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D68F7" w14:textId="342F4E88" w:rsidR="00FF302D" w:rsidRPr="00113F13" w:rsidRDefault="00FF302D" w:rsidP="001C09C6">
      <w:pPr>
        <w:rPr>
          <w:rFonts w:cs="Times New Roman"/>
        </w:rPr>
      </w:pPr>
    </w:p>
    <w:p w14:paraId="0681B12A" w14:textId="77777777" w:rsidR="00FF302D" w:rsidRPr="00113F13" w:rsidRDefault="00FF302D" w:rsidP="001C09C6">
      <w:pPr>
        <w:rPr>
          <w:rFonts w:cs="Times New Roman"/>
        </w:rPr>
      </w:pPr>
    </w:p>
    <w:p w14:paraId="29938343" w14:textId="77777777" w:rsidR="00FF302D" w:rsidRPr="00113F13" w:rsidRDefault="00FF302D" w:rsidP="00FF302D">
      <w:pPr>
        <w:jc w:val="center"/>
        <w:rPr>
          <w:rFonts w:cs="Times New Roman"/>
          <w:sz w:val="24"/>
        </w:rPr>
      </w:pPr>
      <w:r w:rsidRPr="00113F13">
        <w:rPr>
          <w:rFonts w:cs="Times New Roman"/>
          <w:noProof/>
        </w:rPr>
        <w:drawing>
          <wp:inline distT="0" distB="0" distL="0" distR="0" wp14:anchorId="0CC95396" wp14:editId="229861EF">
            <wp:extent cx="4882516" cy="816610"/>
            <wp:effectExtent l="0" t="0" r="0" b="0"/>
            <wp:docPr id="955838442" name="Picture 955838442" descr="A black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5838442" name="Picture 955838442" descr="A black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82516" cy="816610"/>
                    </a:xfrm>
                    <a:prstGeom prst="rect">
                      <a:avLst/>
                    </a:prstGeom>
                  </pic:spPr>
                </pic:pic>
              </a:graphicData>
            </a:graphic>
          </wp:inline>
        </w:drawing>
      </w:r>
    </w:p>
    <w:p w14:paraId="1B1F6980" w14:textId="77777777" w:rsidR="00FF302D" w:rsidRPr="00113F13" w:rsidRDefault="00FF302D" w:rsidP="00FF302D">
      <w:pPr>
        <w:rPr>
          <w:rFonts w:cs="Times New Roman"/>
          <w:sz w:val="24"/>
        </w:rPr>
      </w:pPr>
    </w:p>
    <w:p w14:paraId="1F1F03E8" w14:textId="77777777" w:rsidR="00FF302D" w:rsidRPr="00113F13" w:rsidRDefault="00FF302D" w:rsidP="00FF302D">
      <w:pPr>
        <w:rPr>
          <w:rFonts w:cs="Times New Roman"/>
          <w:sz w:val="24"/>
        </w:rPr>
      </w:pPr>
    </w:p>
    <w:p w14:paraId="03E59BCC" w14:textId="77777777" w:rsidR="00FF302D" w:rsidRPr="00113F13" w:rsidRDefault="00FF302D" w:rsidP="00FF302D">
      <w:pPr>
        <w:spacing w:before="1440" w:line="288" w:lineRule="auto"/>
        <w:jc w:val="center"/>
        <w:rPr>
          <w:rFonts w:cs="Times New Roman"/>
          <w:sz w:val="68"/>
          <w:szCs w:val="68"/>
        </w:rPr>
      </w:pPr>
      <w:r w:rsidRPr="00113F13">
        <w:rPr>
          <w:rFonts w:cs="Times New Roman"/>
          <w:sz w:val="68"/>
          <w:szCs w:val="68"/>
        </w:rPr>
        <w:t>Review of Privacy Laws in Tasmania</w:t>
      </w:r>
    </w:p>
    <w:p w14:paraId="1A96A3A6" w14:textId="77777777" w:rsidR="00FF302D" w:rsidRPr="00113F13" w:rsidRDefault="00FF302D" w:rsidP="00FF302D">
      <w:pPr>
        <w:spacing w:after="360"/>
        <w:jc w:val="center"/>
        <w:rPr>
          <w:rFonts w:cs="Times New Roman"/>
          <w:smallCaps/>
          <w:sz w:val="24"/>
        </w:rPr>
      </w:pPr>
    </w:p>
    <w:p w14:paraId="2010D62C" w14:textId="77777777" w:rsidR="00FF302D" w:rsidRPr="00113F13" w:rsidRDefault="00FF302D" w:rsidP="00FF302D">
      <w:pPr>
        <w:spacing w:after="360"/>
        <w:jc w:val="center"/>
        <w:rPr>
          <w:rFonts w:cs="Times New Roman"/>
          <w:smallCaps/>
          <w:sz w:val="24"/>
        </w:rPr>
      </w:pPr>
    </w:p>
    <w:p w14:paraId="40F518AC" w14:textId="77777777" w:rsidR="00FF302D" w:rsidRPr="00113F13" w:rsidRDefault="00FF302D" w:rsidP="00FF302D">
      <w:pPr>
        <w:spacing w:after="360"/>
        <w:jc w:val="center"/>
        <w:rPr>
          <w:rFonts w:cs="Times New Roman"/>
          <w:smallCaps/>
          <w:sz w:val="24"/>
        </w:rPr>
      </w:pPr>
    </w:p>
    <w:p w14:paraId="15C04B4A" w14:textId="77777777" w:rsidR="00FF302D" w:rsidRPr="00113F13" w:rsidRDefault="00FF302D" w:rsidP="00FF302D">
      <w:pPr>
        <w:spacing w:after="360"/>
        <w:jc w:val="center"/>
        <w:rPr>
          <w:rFonts w:cs="Times New Roman"/>
          <w:smallCaps/>
          <w:sz w:val="24"/>
        </w:rPr>
      </w:pPr>
    </w:p>
    <w:p w14:paraId="0D151055" w14:textId="77777777" w:rsidR="00FF302D" w:rsidRPr="00113F13" w:rsidRDefault="00FF302D" w:rsidP="00FF302D">
      <w:pPr>
        <w:spacing w:after="360"/>
        <w:jc w:val="center"/>
        <w:rPr>
          <w:rFonts w:cs="Times New Roman"/>
          <w:smallCaps/>
          <w:sz w:val="36"/>
          <w:szCs w:val="36"/>
        </w:rPr>
      </w:pPr>
      <w:r w:rsidRPr="00113F13">
        <w:rPr>
          <w:rFonts w:cs="Times New Roman"/>
          <w:smallCaps/>
          <w:sz w:val="36"/>
          <w:szCs w:val="36"/>
        </w:rPr>
        <w:t>Final Report No 33</w:t>
      </w:r>
    </w:p>
    <w:p w14:paraId="7C203410" w14:textId="77777777" w:rsidR="00FF302D" w:rsidRPr="00113F13" w:rsidRDefault="00FF302D" w:rsidP="00FF302D">
      <w:pPr>
        <w:jc w:val="center"/>
        <w:rPr>
          <w:rFonts w:cs="Times New Roman"/>
          <w:smallCaps/>
          <w:sz w:val="36"/>
          <w:szCs w:val="36"/>
        </w:rPr>
      </w:pPr>
      <w:r w:rsidRPr="00113F13">
        <w:rPr>
          <w:rFonts w:cs="Times New Roman"/>
          <w:smallCaps/>
          <w:sz w:val="36"/>
          <w:szCs w:val="36"/>
        </w:rPr>
        <w:t>MAY 2024</w:t>
      </w:r>
    </w:p>
    <w:p w14:paraId="40736D68" w14:textId="77777777" w:rsidR="00FF302D" w:rsidRPr="00113F13" w:rsidRDefault="00FF302D" w:rsidP="00FF302D">
      <w:pPr>
        <w:rPr>
          <w:rFonts w:eastAsiaTheme="majorEastAsia" w:cs="Times New Roman"/>
          <w:spacing w:val="-10"/>
          <w:sz w:val="24"/>
        </w:rPr>
        <w:sectPr w:rsidR="00FF302D" w:rsidRPr="00113F13" w:rsidSect="00BC08AB">
          <w:headerReference w:type="default" r:id="rId12"/>
          <w:footerReference w:type="even" r:id="rId13"/>
          <w:footerReference w:type="default" r:id="rId14"/>
          <w:footerReference w:type="first" r:id="rId15"/>
          <w:type w:val="continuous"/>
          <w:pgSz w:w="11906" w:h="16838" w:code="9"/>
          <w:pgMar w:top="1440" w:right="1440" w:bottom="1440" w:left="1440" w:header="708" w:footer="708" w:gutter="0"/>
          <w:pgNumType w:start="0"/>
          <w:cols w:space="708"/>
          <w:titlePg/>
          <w:docGrid w:linePitch="360"/>
        </w:sectPr>
      </w:pPr>
    </w:p>
    <w:p w14:paraId="2738F3F1" w14:textId="77777777" w:rsidR="00FF302D" w:rsidRPr="00113F13" w:rsidRDefault="00FF302D" w:rsidP="00FF302D">
      <w:pPr>
        <w:rPr>
          <w:rFonts w:eastAsiaTheme="majorEastAsia" w:cs="Times New Roman"/>
          <w:spacing w:val="-10"/>
          <w:sz w:val="24"/>
        </w:rPr>
      </w:pPr>
    </w:p>
    <w:p w14:paraId="4EF33120" w14:textId="0AF870F8" w:rsidR="00165D4F" w:rsidRDefault="00FF302D">
      <w:pPr>
        <w:spacing w:after="200" w:line="276" w:lineRule="auto"/>
        <w:jc w:val="left"/>
        <w:rPr>
          <w:rFonts w:cs="Times New Roman"/>
          <w:sz w:val="40"/>
          <w:szCs w:val="40"/>
        </w:rPr>
      </w:pPr>
      <w:r w:rsidRPr="00113F13">
        <w:rPr>
          <w:rFonts w:cs="Times New Roman"/>
          <w:sz w:val="40"/>
          <w:szCs w:val="40"/>
        </w:rPr>
        <w:br w:type="page"/>
      </w:r>
      <w:r w:rsidR="00165D4F" w:rsidRPr="00113F13">
        <w:rPr>
          <w:rFonts w:cs="Times New Roman"/>
          <w:noProof/>
          <w:sz w:val="20"/>
          <w:szCs w:val="20"/>
        </w:rPr>
        <w:lastRenderedPageBreak/>
        <mc:AlternateContent>
          <mc:Choice Requires="wps">
            <w:drawing>
              <wp:anchor distT="45720" distB="45720" distL="114300" distR="114300" simplePos="0" relativeHeight="251658240" behindDoc="0" locked="0" layoutInCell="1" allowOverlap="1" wp14:anchorId="4AF1C964" wp14:editId="7812919D">
                <wp:simplePos x="0" y="0"/>
                <wp:positionH relativeFrom="margin">
                  <wp:align>right</wp:align>
                </wp:positionH>
                <wp:positionV relativeFrom="paragraph">
                  <wp:posOffset>7885016</wp:posOffset>
                </wp:positionV>
                <wp:extent cx="4327525" cy="975360"/>
                <wp:effectExtent l="0" t="0" r="0" b="0"/>
                <wp:wrapSquare wrapText="bothSides"/>
                <wp:docPr id="1162725709" name="Text Box 1162725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975360"/>
                        </a:xfrm>
                        <a:prstGeom prst="rect">
                          <a:avLst/>
                        </a:prstGeom>
                        <a:solidFill>
                          <a:srgbClr val="FFFFFF"/>
                        </a:solidFill>
                        <a:ln w="9525">
                          <a:noFill/>
                          <a:miter lim="800000"/>
                          <a:headEnd/>
                          <a:tailEnd/>
                        </a:ln>
                      </wps:spPr>
                      <wps:txbx>
                        <w:txbxContent>
                          <w:p w14:paraId="260D46E7" w14:textId="77777777" w:rsidR="00FF302D" w:rsidRPr="00A660A0" w:rsidRDefault="00FF302D" w:rsidP="00FF302D">
                            <w:pPr>
                              <w:jc w:val="right"/>
                              <w:rPr>
                                <w:rFonts w:cs="Times New Roman"/>
                                <w:sz w:val="20"/>
                                <w:szCs w:val="20"/>
                              </w:rPr>
                            </w:pPr>
                            <w:r w:rsidRPr="00A660A0">
                              <w:rPr>
                                <w:rFonts w:cs="Times New Roman"/>
                                <w:sz w:val="20"/>
                                <w:szCs w:val="20"/>
                              </w:rPr>
                              <w:t>© Tasmania Law Reform Institute 202</w:t>
                            </w:r>
                            <w:r>
                              <w:rPr>
                                <w:rFonts w:cs="Times New Roman"/>
                                <w:sz w:val="20"/>
                                <w:szCs w:val="20"/>
                              </w:rPr>
                              <w:t>4</w:t>
                            </w:r>
                          </w:p>
                          <w:p w14:paraId="6665C370" w14:textId="77777777" w:rsidR="00FF302D" w:rsidRPr="00A660A0" w:rsidRDefault="00FF302D" w:rsidP="00FF302D">
                            <w:pPr>
                              <w:jc w:val="right"/>
                              <w:rPr>
                                <w:rFonts w:cs="Times New Roman"/>
                                <w:sz w:val="20"/>
                                <w:szCs w:val="20"/>
                              </w:rPr>
                            </w:pPr>
                            <w:r w:rsidRPr="006167BF">
                              <w:rPr>
                                <w:rFonts w:cs="Times New Roman"/>
                                <w:sz w:val="20"/>
                                <w:szCs w:val="20"/>
                              </w:rPr>
                              <w:t>https://www.utas.edu.au/law-reform/publications/completed-law-reform-projects</w:t>
                            </w:r>
                          </w:p>
                          <w:p w14:paraId="69079BE1" w14:textId="77777777" w:rsidR="00FF302D" w:rsidRPr="00A660A0" w:rsidRDefault="00FF302D" w:rsidP="00FF302D">
                            <w:pPr>
                              <w:jc w:val="right"/>
                              <w:rPr>
                                <w:rFonts w:cs="Times New Roman"/>
                                <w:sz w:val="20"/>
                                <w:szCs w:val="20"/>
                              </w:rPr>
                            </w:pPr>
                            <w:r w:rsidRPr="00A660A0">
                              <w:rPr>
                                <w:rFonts w:cs="Times New Roman"/>
                                <w:sz w:val="20"/>
                                <w:szCs w:val="20"/>
                              </w:rPr>
                              <w:t xml:space="preserve">Cite as: Tasmania Law Reform Institute, </w:t>
                            </w:r>
                            <w:r>
                              <w:rPr>
                                <w:rFonts w:cs="Times New Roman"/>
                                <w:i/>
                                <w:iCs/>
                                <w:sz w:val="20"/>
                                <w:szCs w:val="20"/>
                              </w:rPr>
                              <w:t xml:space="preserve">Review of Privacy Laws in Tasmania </w:t>
                            </w:r>
                            <w:r w:rsidRPr="00A660A0">
                              <w:rPr>
                                <w:rFonts w:cs="Times New Roman"/>
                                <w:sz w:val="20"/>
                                <w:szCs w:val="20"/>
                              </w:rPr>
                              <w:t>(</w:t>
                            </w:r>
                            <w:r>
                              <w:rPr>
                                <w:rFonts w:cs="Times New Roman"/>
                                <w:sz w:val="20"/>
                                <w:szCs w:val="20"/>
                              </w:rPr>
                              <w:t>Final Report</w:t>
                            </w:r>
                            <w:r w:rsidRPr="00A660A0">
                              <w:rPr>
                                <w:rFonts w:cs="Times New Roman"/>
                                <w:sz w:val="20"/>
                                <w:szCs w:val="20"/>
                              </w:rPr>
                              <w:t xml:space="preserve"> No </w:t>
                            </w:r>
                            <w:r>
                              <w:rPr>
                                <w:rFonts w:cs="Times New Roman"/>
                                <w:sz w:val="20"/>
                                <w:szCs w:val="20"/>
                              </w:rPr>
                              <w:t>33</w:t>
                            </w:r>
                            <w:r w:rsidRPr="00A660A0">
                              <w:rPr>
                                <w:rFonts w:cs="Times New Roman"/>
                                <w:sz w:val="20"/>
                                <w:szCs w:val="20"/>
                              </w:rPr>
                              <w:t xml:space="preserve">, </w:t>
                            </w:r>
                            <w:r>
                              <w:rPr>
                                <w:rFonts w:cs="Times New Roman"/>
                                <w:sz w:val="20"/>
                                <w:szCs w:val="20"/>
                              </w:rPr>
                              <w:t>May</w:t>
                            </w:r>
                            <w:r w:rsidRPr="00A660A0">
                              <w:rPr>
                                <w:rFonts w:cs="Times New Roman"/>
                                <w:sz w:val="20"/>
                                <w:szCs w:val="20"/>
                              </w:rPr>
                              <w:t xml:space="preserve"> 202</w:t>
                            </w:r>
                            <w:r>
                              <w:rPr>
                                <w:rFonts w:cs="Times New Roman"/>
                                <w:sz w:val="20"/>
                                <w:szCs w:val="20"/>
                              </w:rPr>
                              <w:t>4</w:t>
                            </w:r>
                            <w:r w:rsidRPr="00A660A0">
                              <w:rPr>
                                <w:rFonts w:cs="Times New Roman"/>
                                <w:sz w:val="20"/>
                                <w:szCs w:val="20"/>
                              </w:rPr>
                              <w:t>)</w:t>
                            </w:r>
                          </w:p>
                          <w:p w14:paraId="63F3F661" w14:textId="77777777" w:rsidR="00FF302D" w:rsidRDefault="00FF302D" w:rsidP="00FF30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1C964" id="_x0000_t202" coordsize="21600,21600" o:spt="202" path="m,l,21600r21600,l21600,xe">
                <v:stroke joinstyle="miter"/>
                <v:path gradientshapeok="t" o:connecttype="rect"/>
              </v:shapetype>
              <v:shape id="Text Box 1162725709" o:spid="_x0000_s1026" type="#_x0000_t202" style="position:absolute;margin-left:289.55pt;margin-top:620.85pt;width:340.75pt;height:76.8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EhDAIAAPYDAAAOAAAAZHJzL2Uyb0RvYy54bWysU9tu2zAMfR+wfxD0vthJk6Y14hRdugwD&#10;ugvQ7QNkWY6FyaJGKbGzrx8lp2nQvQ3TgyCK5BF5eLS6GzrDDgq9Blvy6STnTFkJtba7kv/4vn13&#10;w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" stroked="f">
                <v:textbox>
                  <w:txbxContent>
                    <w:p w14:paraId="260D46E7" w14:textId="77777777" w:rsidR="00FF302D" w:rsidRPr="00A660A0" w:rsidRDefault="00FF302D" w:rsidP="00FF302D">
                      <w:pPr>
                        <w:jc w:val="right"/>
                        <w:rPr>
                          <w:rFonts w:cs="Times New Roman"/>
                          <w:sz w:val="20"/>
                          <w:szCs w:val="20"/>
                        </w:rPr>
                      </w:pPr>
                      <w:r w:rsidRPr="00A660A0">
                        <w:rPr>
                          <w:rFonts w:cs="Times New Roman"/>
                          <w:sz w:val="20"/>
                          <w:szCs w:val="20"/>
                        </w:rPr>
                        <w:t>© Tasmania Law Reform Institute 202</w:t>
                      </w:r>
                      <w:r>
                        <w:rPr>
                          <w:rFonts w:cs="Times New Roman"/>
                          <w:sz w:val="20"/>
                          <w:szCs w:val="20"/>
                        </w:rPr>
                        <w:t>4</w:t>
                      </w:r>
                    </w:p>
                    <w:p w14:paraId="6665C370" w14:textId="77777777" w:rsidR="00FF302D" w:rsidRPr="00A660A0" w:rsidRDefault="00FF302D" w:rsidP="00FF302D">
                      <w:pPr>
                        <w:jc w:val="right"/>
                        <w:rPr>
                          <w:rFonts w:cs="Times New Roman"/>
                          <w:sz w:val="20"/>
                          <w:szCs w:val="20"/>
                        </w:rPr>
                      </w:pPr>
                      <w:r w:rsidRPr="006167BF">
                        <w:rPr>
                          <w:rFonts w:cs="Times New Roman"/>
                          <w:sz w:val="20"/>
                          <w:szCs w:val="20"/>
                        </w:rPr>
                        <w:t>https://www.utas.edu.au/law-reform/publications/completed-law-reform-projects</w:t>
                      </w:r>
                    </w:p>
                    <w:p w14:paraId="69079BE1" w14:textId="77777777" w:rsidR="00FF302D" w:rsidRPr="00A660A0" w:rsidRDefault="00FF302D" w:rsidP="00FF302D">
                      <w:pPr>
                        <w:jc w:val="right"/>
                        <w:rPr>
                          <w:rFonts w:cs="Times New Roman"/>
                          <w:sz w:val="20"/>
                          <w:szCs w:val="20"/>
                        </w:rPr>
                      </w:pPr>
                      <w:r w:rsidRPr="00A660A0">
                        <w:rPr>
                          <w:rFonts w:cs="Times New Roman"/>
                          <w:sz w:val="20"/>
                          <w:szCs w:val="20"/>
                        </w:rPr>
                        <w:t xml:space="preserve">Cite as: Tasmania Law Reform Institute, </w:t>
                      </w:r>
                      <w:r>
                        <w:rPr>
                          <w:rFonts w:cs="Times New Roman"/>
                          <w:i/>
                          <w:iCs/>
                          <w:sz w:val="20"/>
                          <w:szCs w:val="20"/>
                        </w:rPr>
                        <w:t xml:space="preserve">Review of Privacy Laws in Tasmania </w:t>
                      </w:r>
                      <w:r w:rsidRPr="00A660A0">
                        <w:rPr>
                          <w:rFonts w:cs="Times New Roman"/>
                          <w:sz w:val="20"/>
                          <w:szCs w:val="20"/>
                        </w:rPr>
                        <w:t>(</w:t>
                      </w:r>
                      <w:r>
                        <w:rPr>
                          <w:rFonts w:cs="Times New Roman"/>
                          <w:sz w:val="20"/>
                          <w:szCs w:val="20"/>
                        </w:rPr>
                        <w:t>Final Report</w:t>
                      </w:r>
                      <w:r w:rsidRPr="00A660A0">
                        <w:rPr>
                          <w:rFonts w:cs="Times New Roman"/>
                          <w:sz w:val="20"/>
                          <w:szCs w:val="20"/>
                        </w:rPr>
                        <w:t xml:space="preserve"> No </w:t>
                      </w:r>
                      <w:r>
                        <w:rPr>
                          <w:rFonts w:cs="Times New Roman"/>
                          <w:sz w:val="20"/>
                          <w:szCs w:val="20"/>
                        </w:rPr>
                        <w:t>33</w:t>
                      </w:r>
                      <w:r w:rsidRPr="00A660A0">
                        <w:rPr>
                          <w:rFonts w:cs="Times New Roman"/>
                          <w:sz w:val="20"/>
                          <w:szCs w:val="20"/>
                        </w:rPr>
                        <w:t xml:space="preserve">, </w:t>
                      </w:r>
                      <w:r>
                        <w:rPr>
                          <w:rFonts w:cs="Times New Roman"/>
                          <w:sz w:val="20"/>
                          <w:szCs w:val="20"/>
                        </w:rPr>
                        <w:t>May</w:t>
                      </w:r>
                      <w:r w:rsidRPr="00A660A0">
                        <w:rPr>
                          <w:rFonts w:cs="Times New Roman"/>
                          <w:sz w:val="20"/>
                          <w:szCs w:val="20"/>
                        </w:rPr>
                        <w:t xml:space="preserve"> 202</w:t>
                      </w:r>
                      <w:r>
                        <w:rPr>
                          <w:rFonts w:cs="Times New Roman"/>
                          <w:sz w:val="20"/>
                          <w:szCs w:val="20"/>
                        </w:rPr>
                        <w:t>4</w:t>
                      </w:r>
                      <w:r w:rsidRPr="00A660A0">
                        <w:rPr>
                          <w:rFonts w:cs="Times New Roman"/>
                          <w:sz w:val="20"/>
                          <w:szCs w:val="20"/>
                        </w:rPr>
                        <w:t>)</w:t>
                      </w:r>
                    </w:p>
                    <w:p w14:paraId="63F3F661" w14:textId="77777777" w:rsidR="00FF302D" w:rsidRDefault="00FF302D" w:rsidP="00FF302D"/>
                  </w:txbxContent>
                </v:textbox>
                <w10:wrap type="square" anchorx="margin"/>
              </v:shape>
            </w:pict>
          </mc:Fallback>
        </mc:AlternateContent>
      </w:r>
      <w:r w:rsidR="00165D4F">
        <w:rPr>
          <w:rFonts w:cs="Times New Roman"/>
          <w:sz w:val="40"/>
          <w:szCs w:val="40"/>
        </w:rPr>
        <w:br w:type="page"/>
      </w:r>
    </w:p>
    <w:p w14:paraId="21409A09" w14:textId="77777777" w:rsidR="00FF302D" w:rsidRPr="00113F13" w:rsidRDefault="00FF302D" w:rsidP="00FF302D">
      <w:pPr>
        <w:rPr>
          <w:rFonts w:cs="Times New Roman"/>
          <w:sz w:val="40"/>
          <w:szCs w:val="40"/>
        </w:rPr>
        <w:sectPr w:rsidR="00FF302D" w:rsidRPr="00113F13" w:rsidSect="00BC08AB">
          <w:headerReference w:type="default" r:id="rId16"/>
          <w:type w:val="continuous"/>
          <w:pgSz w:w="11906" w:h="16838" w:code="9"/>
          <w:pgMar w:top="1440" w:right="1440" w:bottom="1440" w:left="1440" w:header="708" w:footer="708" w:gutter="0"/>
          <w:pgNumType w:fmt="lowerRoman" w:start="2"/>
          <w:cols w:space="708"/>
          <w:titlePg/>
          <w:docGrid w:linePitch="360"/>
        </w:sectPr>
      </w:pPr>
    </w:p>
    <w:p w14:paraId="62B08AE4" w14:textId="77777777" w:rsidR="00FF302D" w:rsidRPr="00113F13" w:rsidRDefault="00FF302D" w:rsidP="00113F13">
      <w:pPr>
        <w:rPr>
          <w:rFonts w:cs="Times New Roman"/>
          <w:b/>
          <w:bCs/>
          <w:sz w:val="32"/>
          <w:szCs w:val="32"/>
        </w:rPr>
      </w:pPr>
      <w:bookmarkStart w:id="0" w:name="_Toc130540410"/>
      <w:bookmarkStart w:id="1" w:name="_Toc91831981"/>
      <w:r w:rsidRPr="00113F13">
        <w:rPr>
          <w:rFonts w:cs="Times New Roman"/>
          <w:b/>
          <w:bCs/>
          <w:sz w:val="32"/>
          <w:szCs w:val="32"/>
        </w:rPr>
        <w:lastRenderedPageBreak/>
        <w:t>Contents</w:t>
      </w:r>
    </w:p>
    <w:p w14:paraId="1410A470" w14:textId="0226E10B" w:rsidR="00E83FE2" w:rsidRDefault="00D73A62" w:rsidP="0076225D">
      <w:pPr>
        <w:pStyle w:val="TOC1"/>
        <w:rPr>
          <w:rFonts w:asciiTheme="minorHAnsi" w:eastAsiaTheme="minorEastAsia" w:hAnsiTheme="minorHAnsi"/>
          <w:kern w:val="2"/>
          <w:sz w:val="24"/>
          <w:lang w:eastAsia="en-AU"/>
          <w14:ligatures w14:val="standardContextual"/>
        </w:rPr>
      </w:pPr>
      <w:r>
        <w:fldChar w:fldCharType="begin"/>
      </w:r>
      <w:r>
        <w:instrText xml:space="preserve"> TOC \t "Part Heading TLRI,1,Numbered Heading TLRI,1,Sub-Heading TLRI,2,Heading unnumbered,1,Part Heading,1" </w:instrText>
      </w:r>
      <w:r>
        <w:fldChar w:fldCharType="separate"/>
      </w:r>
      <w:r w:rsidR="00E83FE2" w:rsidRPr="007B1607">
        <w:t>About the Tasmania Law Reform Institute</w:t>
      </w:r>
      <w:r w:rsidR="00E83FE2">
        <w:tab/>
      </w:r>
      <w:r w:rsidR="00E83FE2">
        <w:fldChar w:fldCharType="begin"/>
      </w:r>
      <w:r w:rsidR="00E83FE2">
        <w:instrText xml:space="preserve"> PAGEREF _Toc164606486 \h </w:instrText>
      </w:r>
      <w:r w:rsidR="00E83FE2">
        <w:fldChar w:fldCharType="separate"/>
      </w:r>
      <w:r w:rsidR="00183626">
        <w:t>ix</w:t>
      </w:r>
      <w:r w:rsidR="00E83FE2">
        <w:fldChar w:fldCharType="end"/>
      </w:r>
    </w:p>
    <w:p w14:paraId="5D81090B" w14:textId="51ED2BA0" w:rsidR="00E83FE2" w:rsidRDefault="00E83FE2" w:rsidP="0076225D">
      <w:pPr>
        <w:pStyle w:val="TOC1"/>
        <w:rPr>
          <w:rFonts w:asciiTheme="minorHAnsi" w:eastAsiaTheme="minorEastAsia" w:hAnsiTheme="minorHAnsi"/>
          <w:kern w:val="2"/>
          <w:sz w:val="24"/>
          <w:lang w:eastAsia="en-AU"/>
          <w14:ligatures w14:val="standardContextual"/>
        </w:rPr>
      </w:pPr>
      <w:r w:rsidRPr="007B1607">
        <w:rPr>
          <w:rFonts w:cs="Times New Roman"/>
        </w:rPr>
        <w:t>Acknowledg</w:t>
      </w:r>
      <w:r w:rsidR="00F66C1E">
        <w:rPr>
          <w:rFonts w:cs="Times New Roman"/>
        </w:rPr>
        <w:t>e</w:t>
      </w:r>
      <w:r w:rsidRPr="007B1607">
        <w:rPr>
          <w:rFonts w:cs="Times New Roman"/>
        </w:rPr>
        <w:t>ments</w:t>
      </w:r>
      <w:r>
        <w:tab/>
      </w:r>
      <w:r>
        <w:fldChar w:fldCharType="begin"/>
      </w:r>
      <w:r>
        <w:instrText xml:space="preserve"> PAGEREF _Toc164606487 \h </w:instrText>
      </w:r>
      <w:r>
        <w:fldChar w:fldCharType="separate"/>
      </w:r>
      <w:r w:rsidR="00183626">
        <w:t>x</w:t>
      </w:r>
      <w:r>
        <w:fldChar w:fldCharType="end"/>
      </w:r>
    </w:p>
    <w:p w14:paraId="3A44D937" w14:textId="70E2B380" w:rsidR="00E83FE2" w:rsidRDefault="00E83FE2" w:rsidP="0076225D">
      <w:pPr>
        <w:pStyle w:val="TOC1"/>
        <w:rPr>
          <w:rFonts w:asciiTheme="minorHAnsi" w:eastAsiaTheme="minorEastAsia" w:hAnsiTheme="minorHAnsi"/>
          <w:kern w:val="2"/>
          <w:sz w:val="24"/>
          <w:lang w:eastAsia="en-AU"/>
          <w14:ligatures w14:val="standardContextual"/>
        </w:rPr>
      </w:pPr>
      <w:r w:rsidRPr="007B1607">
        <w:rPr>
          <w:rFonts w:cs="Times New Roman"/>
        </w:rPr>
        <w:t>Ethical Conduct of Research</w:t>
      </w:r>
      <w:r>
        <w:tab/>
      </w:r>
      <w:r>
        <w:fldChar w:fldCharType="begin"/>
      </w:r>
      <w:r>
        <w:instrText xml:space="preserve"> PAGEREF _Toc164606488 \h </w:instrText>
      </w:r>
      <w:r>
        <w:fldChar w:fldCharType="separate"/>
      </w:r>
      <w:r w:rsidR="00183626">
        <w:t>x</w:t>
      </w:r>
      <w:r>
        <w:fldChar w:fldCharType="end"/>
      </w:r>
    </w:p>
    <w:p w14:paraId="7E4DF43C" w14:textId="4A6D4527" w:rsidR="00E83FE2" w:rsidRDefault="00E83FE2" w:rsidP="0076225D">
      <w:pPr>
        <w:pStyle w:val="TOC1"/>
        <w:rPr>
          <w:rFonts w:asciiTheme="minorHAnsi" w:eastAsiaTheme="minorEastAsia" w:hAnsiTheme="minorHAnsi"/>
          <w:kern w:val="2"/>
          <w:sz w:val="24"/>
          <w:lang w:eastAsia="en-AU"/>
          <w14:ligatures w14:val="standardContextual"/>
        </w:rPr>
      </w:pPr>
      <w:r w:rsidRPr="007B1607">
        <w:rPr>
          <w:rFonts w:cs="Times New Roman"/>
        </w:rPr>
        <w:t>Executive Summary</w:t>
      </w:r>
      <w:r>
        <w:tab/>
      </w:r>
      <w:r>
        <w:fldChar w:fldCharType="begin"/>
      </w:r>
      <w:r>
        <w:instrText xml:space="preserve"> PAGEREF _Toc164606489 \h </w:instrText>
      </w:r>
      <w:r>
        <w:fldChar w:fldCharType="separate"/>
      </w:r>
      <w:r w:rsidR="00183626">
        <w:t>xi</w:t>
      </w:r>
      <w:r>
        <w:fldChar w:fldCharType="end"/>
      </w:r>
    </w:p>
    <w:p w14:paraId="0F9F9929" w14:textId="501F3CF5" w:rsidR="00E83FE2" w:rsidRDefault="00E83FE2" w:rsidP="0076225D">
      <w:pPr>
        <w:pStyle w:val="TOC1"/>
        <w:rPr>
          <w:rFonts w:asciiTheme="minorHAnsi" w:eastAsiaTheme="minorEastAsia" w:hAnsiTheme="minorHAnsi"/>
          <w:kern w:val="2"/>
          <w:sz w:val="24"/>
          <w:lang w:eastAsia="en-AU"/>
          <w14:ligatures w14:val="standardContextual"/>
        </w:rPr>
      </w:pPr>
      <w:r w:rsidRPr="007B1607">
        <w:rPr>
          <w:rFonts w:cs="Times New Roman"/>
        </w:rPr>
        <w:t>Recommendations</w:t>
      </w:r>
      <w:r>
        <w:tab/>
      </w:r>
      <w:r>
        <w:fldChar w:fldCharType="begin"/>
      </w:r>
      <w:r>
        <w:instrText xml:space="preserve"> PAGEREF _Toc164606490 \h </w:instrText>
      </w:r>
      <w:r>
        <w:fldChar w:fldCharType="separate"/>
      </w:r>
      <w:r w:rsidR="00183626">
        <w:t>xiv</w:t>
      </w:r>
      <w:r>
        <w:fldChar w:fldCharType="end"/>
      </w:r>
    </w:p>
    <w:p w14:paraId="78C37B01" w14:textId="1191D0F7" w:rsidR="00E83FE2" w:rsidRDefault="00E83FE2" w:rsidP="0076225D">
      <w:pPr>
        <w:pStyle w:val="TOC1"/>
        <w:rPr>
          <w:rFonts w:asciiTheme="minorHAnsi" w:eastAsiaTheme="minorEastAsia" w:hAnsiTheme="minorHAnsi"/>
          <w:kern w:val="2"/>
          <w:sz w:val="24"/>
          <w:lang w:eastAsia="en-AU"/>
          <w14:ligatures w14:val="standardContextual"/>
        </w:rPr>
      </w:pPr>
      <w:r>
        <w:t xml:space="preserve">List of </w:t>
      </w:r>
      <w:r w:rsidR="00DE700E">
        <w:t>A</w:t>
      </w:r>
      <w:r>
        <w:t xml:space="preserve">cronyms and </w:t>
      </w:r>
      <w:r w:rsidR="00DE700E">
        <w:t>A</w:t>
      </w:r>
      <w:r>
        <w:t>bbreviations</w:t>
      </w:r>
      <w:r>
        <w:tab/>
      </w:r>
      <w:r>
        <w:fldChar w:fldCharType="begin"/>
      </w:r>
      <w:r>
        <w:instrText xml:space="preserve"> PAGEREF _Toc164606491 \h </w:instrText>
      </w:r>
      <w:r>
        <w:fldChar w:fldCharType="separate"/>
      </w:r>
      <w:r w:rsidR="00183626">
        <w:t>xxi</w:t>
      </w:r>
      <w:r>
        <w:fldChar w:fldCharType="end"/>
      </w:r>
    </w:p>
    <w:p w14:paraId="7E52CFA5" w14:textId="00FB5B2D" w:rsidR="00E83FE2" w:rsidRDefault="00B4746F" w:rsidP="0076225D">
      <w:pPr>
        <w:pStyle w:val="TOC1"/>
        <w:rPr>
          <w:rFonts w:asciiTheme="minorHAnsi" w:eastAsiaTheme="minorEastAsia" w:hAnsiTheme="minorHAnsi"/>
          <w:kern w:val="2"/>
          <w:sz w:val="24"/>
          <w:lang w:eastAsia="en-AU"/>
          <w14:ligatures w14:val="standardContextual"/>
        </w:rPr>
      </w:pPr>
      <w:r w:rsidRPr="002D185D">
        <w:rPr>
          <w:b/>
          <w:bCs/>
        </w:rPr>
        <w:t xml:space="preserve">Part 1: </w:t>
      </w:r>
      <w:r w:rsidR="00E83FE2" w:rsidRPr="002D185D">
        <w:rPr>
          <w:b/>
          <w:bCs/>
        </w:rPr>
        <w:t>About this Final Report</w:t>
      </w:r>
      <w:r w:rsidR="00E83FE2">
        <w:tab/>
      </w:r>
      <w:r w:rsidR="00E83FE2" w:rsidRPr="002D185D">
        <w:rPr>
          <w:b/>
          <w:bCs/>
        </w:rPr>
        <w:fldChar w:fldCharType="begin"/>
      </w:r>
      <w:r w:rsidR="00E83FE2" w:rsidRPr="002D185D">
        <w:rPr>
          <w:b/>
          <w:bCs/>
        </w:rPr>
        <w:instrText xml:space="preserve"> PAGEREF _Toc164606492 \h </w:instrText>
      </w:r>
      <w:r w:rsidR="00E83FE2" w:rsidRPr="002D185D">
        <w:rPr>
          <w:b/>
          <w:bCs/>
        </w:rPr>
      </w:r>
      <w:r w:rsidR="00E83FE2" w:rsidRPr="002D185D">
        <w:rPr>
          <w:b/>
          <w:bCs/>
        </w:rPr>
        <w:fldChar w:fldCharType="separate"/>
      </w:r>
      <w:r w:rsidR="00183626">
        <w:rPr>
          <w:b/>
          <w:bCs/>
        </w:rPr>
        <w:t>1</w:t>
      </w:r>
      <w:r w:rsidR="00E83FE2" w:rsidRPr="002D185D">
        <w:rPr>
          <w:b/>
          <w:bCs/>
        </w:rPr>
        <w:fldChar w:fldCharType="end"/>
      </w:r>
    </w:p>
    <w:p w14:paraId="49F4D790" w14:textId="12EA750A" w:rsidR="00E83FE2" w:rsidRDefault="00E83FE2" w:rsidP="0076225D">
      <w:pPr>
        <w:pStyle w:val="TOC1"/>
        <w:rPr>
          <w:rFonts w:asciiTheme="minorHAnsi" w:eastAsiaTheme="minorEastAsia" w:hAnsiTheme="minorHAnsi"/>
          <w:kern w:val="2"/>
          <w:sz w:val="24"/>
          <w:lang w:eastAsia="en-AU"/>
          <w14:ligatures w14:val="standardContextual"/>
        </w:rPr>
      </w:pPr>
      <w:r>
        <w:t>1.1</w:t>
      </w:r>
      <w:r>
        <w:rPr>
          <w:rFonts w:asciiTheme="minorHAnsi" w:eastAsiaTheme="minorEastAsia" w:hAnsiTheme="minorHAnsi"/>
          <w:kern w:val="2"/>
          <w:sz w:val="24"/>
          <w:lang w:eastAsia="en-AU"/>
          <w14:ligatures w14:val="standardContextual"/>
        </w:rPr>
        <w:tab/>
      </w:r>
      <w:r>
        <w:t>Background</w:t>
      </w:r>
      <w:r>
        <w:tab/>
      </w:r>
      <w:r>
        <w:fldChar w:fldCharType="begin"/>
      </w:r>
      <w:r>
        <w:instrText xml:space="preserve"> PAGEREF _Toc164606493 \h </w:instrText>
      </w:r>
      <w:r>
        <w:fldChar w:fldCharType="separate"/>
      </w:r>
      <w:r w:rsidR="00183626">
        <w:t>1</w:t>
      </w:r>
      <w:r>
        <w:fldChar w:fldCharType="end"/>
      </w:r>
    </w:p>
    <w:p w14:paraId="50FE9B6F" w14:textId="4BD47EB8" w:rsidR="00E83FE2" w:rsidRDefault="00E83FE2" w:rsidP="0076225D">
      <w:pPr>
        <w:pStyle w:val="TOC1"/>
        <w:rPr>
          <w:rFonts w:asciiTheme="minorHAnsi" w:eastAsiaTheme="minorEastAsia" w:hAnsiTheme="minorHAnsi"/>
          <w:kern w:val="2"/>
          <w:sz w:val="24"/>
          <w:lang w:eastAsia="en-AU"/>
          <w14:ligatures w14:val="standardContextual"/>
        </w:rPr>
      </w:pPr>
      <w:r>
        <w:t>1.2</w:t>
      </w:r>
      <w:r>
        <w:rPr>
          <w:rFonts w:asciiTheme="minorHAnsi" w:eastAsiaTheme="minorEastAsia" w:hAnsiTheme="minorHAnsi"/>
          <w:kern w:val="2"/>
          <w:sz w:val="24"/>
          <w:lang w:eastAsia="en-AU"/>
          <w14:ligatures w14:val="standardContextual"/>
        </w:rPr>
        <w:tab/>
      </w:r>
      <w:r>
        <w:t>Terms of Reference</w:t>
      </w:r>
      <w:r>
        <w:tab/>
      </w:r>
      <w:r>
        <w:fldChar w:fldCharType="begin"/>
      </w:r>
      <w:r>
        <w:instrText xml:space="preserve"> PAGEREF _Toc164606494 \h </w:instrText>
      </w:r>
      <w:r>
        <w:fldChar w:fldCharType="separate"/>
      </w:r>
      <w:r w:rsidR="00183626">
        <w:t>1</w:t>
      </w:r>
      <w:r>
        <w:fldChar w:fldCharType="end"/>
      </w:r>
    </w:p>
    <w:p w14:paraId="529DCF49" w14:textId="64BE40A0" w:rsidR="00E83FE2" w:rsidRDefault="00E83FE2" w:rsidP="0076225D">
      <w:pPr>
        <w:pStyle w:val="TOC1"/>
        <w:rPr>
          <w:rFonts w:asciiTheme="minorHAnsi" w:eastAsiaTheme="minorEastAsia" w:hAnsiTheme="minorHAnsi"/>
          <w:kern w:val="2"/>
          <w:sz w:val="24"/>
          <w:lang w:eastAsia="en-AU"/>
          <w14:ligatures w14:val="standardContextual"/>
        </w:rPr>
      </w:pPr>
      <w:r>
        <w:t>1.3</w:t>
      </w:r>
      <w:r>
        <w:rPr>
          <w:rFonts w:asciiTheme="minorHAnsi" w:eastAsiaTheme="minorEastAsia" w:hAnsiTheme="minorHAnsi"/>
          <w:kern w:val="2"/>
          <w:sz w:val="24"/>
          <w:lang w:eastAsia="en-AU"/>
          <w14:ligatures w14:val="standardContextual"/>
        </w:rPr>
        <w:tab/>
      </w:r>
      <w:r>
        <w:t>Conduct of Inquiry</w:t>
      </w:r>
      <w:r>
        <w:tab/>
      </w:r>
      <w:r>
        <w:fldChar w:fldCharType="begin"/>
      </w:r>
      <w:r>
        <w:instrText xml:space="preserve"> PAGEREF _Toc164606495 \h </w:instrText>
      </w:r>
      <w:r>
        <w:fldChar w:fldCharType="separate"/>
      </w:r>
      <w:r w:rsidR="00183626">
        <w:t>2</w:t>
      </w:r>
      <w:r>
        <w:fldChar w:fldCharType="end"/>
      </w:r>
    </w:p>
    <w:p w14:paraId="0B25F4D2" w14:textId="400E5F2D" w:rsidR="00E83FE2" w:rsidRDefault="00E83FE2" w:rsidP="0076225D">
      <w:pPr>
        <w:pStyle w:val="TOC1"/>
        <w:rPr>
          <w:rFonts w:asciiTheme="minorHAnsi" w:eastAsiaTheme="minorEastAsia" w:hAnsiTheme="minorHAnsi"/>
          <w:kern w:val="2"/>
          <w:sz w:val="24"/>
          <w:lang w:eastAsia="en-AU"/>
          <w14:ligatures w14:val="standardContextual"/>
        </w:rPr>
      </w:pPr>
      <w:r>
        <w:t>1.4</w:t>
      </w:r>
      <w:r>
        <w:rPr>
          <w:rFonts w:asciiTheme="minorHAnsi" w:eastAsiaTheme="minorEastAsia" w:hAnsiTheme="minorHAnsi"/>
          <w:kern w:val="2"/>
          <w:sz w:val="24"/>
          <w:lang w:eastAsia="en-AU"/>
          <w14:ligatures w14:val="standardContextual"/>
        </w:rPr>
        <w:tab/>
      </w:r>
      <w:r>
        <w:t>Submissions to the Inquiry</w:t>
      </w:r>
      <w:r>
        <w:tab/>
      </w:r>
      <w:r>
        <w:fldChar w:fldCharType="begin"/>
      </w:r>
      <w:r>
        <w:instrText xml:space="preserve"> PAGEREF _Toc164606496 \h </w:instrText>
      </w:r>
      <w:r>
        <w:fldChar w:fldCharType="separate"/>
      </w:r>
      <w:r w:rsidR="00183626">
        <w:t>3</w:t>
      </w:r>
      <w:r>
        <w:fldChar w:fldCharType="end"/>
      </w:r>
    </w:p>
    <w:p w14:paraId="4A2DD2D6" w14:textId="20846540" w:rsidR="00E83FE2" w:rsidRDefault="00E83FE2" w:rsidP="0076225D">
      <w:pPr>
        <w:pStyle w:val="TOC1"/>
        <w:rPr>
          <w:rFonts w:asciiTheme="minorHAnsi" w:eastAsiaTheme="minorEastAsia" w:hAnsiTheme="minorHAnsi"/>
          <w:kern w:val="2"/>
          <w:sz w:val="24"/>
          <w:lang w:eastAsia="en-AU"/>
          <w14:ligatures w14:val="standardContextual"/>
        </w:rPr>
      </w:pPr>
      <w:r>
        <w:t>1.5</w:t>
      </w:r>
      <w:r>
        <w:rPr>
          <w:rFonts w:asciiTheme="minorHAnsi" w:eastAsiaTheme="minorEastAsia" w:hAnsiTheme="minorHAnsi"/>
          <w:kern w:val="2"/>
          <w:sz w:val="24"/>
          <w:lang w:eastAsia="en-AU"/>
          <w14:ligatures w14:val="standardContextual"/>
        </w:rPr>
        <w:tab/>
      </w:r>
      <w:r>
        <w:t>Approach of the TLRI in the Final Report</w:t>
      </w:r>
      <w:r>
        <w:tab/>
      </w:r>
      <w:r>
        <w:fldChar w:fldCharType="begin"/>
      </w:r>
      <w:r>
        <w:instrText xml:space="preserve"> PAGEREF _Toc164606497 \h </w:instrText>
      </w:r>
      <w:r>
        <w:fldChar w:fldCharType="separate"/>
      </w:r>
      <w:r w:rsidR="00183626">
        <w:t>4</w:t>
      </w:r>
      <w:r>
        <w:fldChar w:fldCharType="end"/>
      </w:r>
    </w:p>
    <w:p w14:paraId="5AFE3E92" w14:textId="67DAFC87" w:rsidR="00E83FE2" w:rsidRDefault="00B4746F" w:rsidP="0076225D">
      <w:pPr>
        <w:pStyle w:val="TOC1"/>
        <w:rPr>
          <w:rFonts w:asciiTheme="minorHAnsi" w:eastAsiaTheme="minorEastAsia" w:hAnsiTheme="minorHAnsi"/>
          <w:kern w:val="2"/>
          <w:sz w:val="24"/>
          <w:lang w:eastAsia="en-AU"/>
          <w14:ligatures w14:val="standardContextual"/>
        </w:rPr>
      </w:pPr>
      <w:r w:rsidRPr="002D185D">
        <w:rPr>
          <w:b/>
          <w:bCs/>
        </w:rPr>
        <w:t xml:space="preserve">Part 2: </w:t>
      </w:r>
      <w:r w:rsidR="00E83FE2" w:rsidRPr="002D185D">
        <w:rPr>
          <w:b/>
          <w:bCs/>
        </w:rPr>
        <w:t>Privacy Protections in Tasmania</w:t>
      </w:r>
      <w:r w:rsidR="00E83FE2">
        <w:tab/>
      </w:r>
      <w:r w:rsidR="00E83FE2" w:rsidRPr="002D185D">
        <w:rPr>
          <w:b/>
          <w:bCs/>
        </w:rPr>
        <w:fldChar w:fldCharType="begin"/>
      </w:r>
      <w:r w:rsidR="00E83FE2" w:rsidRPr="002D185D">
        <w:rPr>
          <w:b/>
          <w:bCs/>
        </w:rPr>
        <w:instrText xml:space="preserve"> PAGEREF _Toc164606498 \h </w:instrText>
      </w:r>
      <w:r w:rsidR="00E83FE2" w:rsidRPr="002D185D">
        <w:rPr>
          <w:b/>
          <w:bCs/>
        </w:rPr>
      </w:r>
      <w:r w:rsidR="00E83FE2" w:rsidRPr="002D185D">
        <w:rPr>
          <w:b/>
          <w:bCs/>
        </w:rPr>
        <w:fldChar w:fldCharType="separate"/>
      </w:r>
      <w:r w:rsidR="00183626">
        <w:rPr>
          <w:b/>
          <w:bCs/>
        </w:rPr>
        <w:t>6</w:t>
      </w:r>
      <w:r w:rsidR="00E83FE2" w:rsidRPr="002D185D">
        <w:rPr>
          <w:b/>
          <w:bCs/>
        </w:rPr>
        <w:fldChar w:fldCharType="end"/>
      </w:r>
    </w:p>
    <w:p w14:paraId="66B35748" w14:textId="1FCCAEBA" w:rsidR="00E83FE2" w:rsidRDefault="00E83FE2" w:rsidP="0076225D">
      <w:pPr>
        <w:pStyle w:val="TOC1"/>
        <w:rPr>
          <w:rFonts w:asciiTheme="minorHAnsi" w:eastAsiaTheme="minorEastAsia" w:hAnsiTheme="minorHAnsi"/>
          <w:kern w:val="2"/>
          <w:sz w:val="24"/>
          <w:lang w:eastAsia="en-AU"/>
          <w14:ligatures w14:val="standardContextual"/>
        </w:rPr>
      </w:pPr>
      <w:r>
        <w:t>2.1</w:t>
      </w:r>
      <w:r>
        <w:rPr>
          <w:rFonts w:asciiTheme="minorHAnsi" w:eastAsiaTheme="minorEastAsia" w:hAnsiTheme="minorHAnsi"/>
          <w:kern w:val="2"/>
          <w:sz w:val="24"/>
          <w:lang w:eastAsia="en-AU"/>
          <w14:ligatures w14:val="standardContextual"/>
        </w:rPr>
        <w:tab/>
      </w:r>
      <w:r>
        <w:t>Introduction</w:t>
      </w:r>
      <w:r>
        <w:tab/>
      </w:r>
      <w:r>
        <w:fldChar w:fldCharType="begin"/>
      </w:r>
      <w:r>
        <w:instrText xml:space="preserve"> PAGEREF _Toc164606499 \h </w:instrText>
      </w:r>
      <w:r>
        <w:fldChar w:fldCharType="separate"/>
      </w:r>
      <w:r w:rsidR="00183626">
        <w:t>6</w:t>
      </w:r>
      <w:r>
        <w:fldChar w:fldCharType="end"/>
      </w:r>
    </w:p>
    <w:p w14:paraId="092842BF" w14:textId="64868601" w:rsidR="00E83FE2" w:rsidRDefault="00E83FE2" w:rsidP="0076225D">
      <w:pPr>
        <w:pStyle w:val="TOC1"/>
        <w:rPr>
          <w:rFonts w:asciiTheme="minorHAnsi" w:eastAsiaTheme="minorEastAsia" w:hAnsiTheme="minorHAnsi"/>
          <w:kern w:val="2"/>
          <w:sz w:val="24"/>
          <w:lang w:eastAsia="en-AU"/>
          <w14:ligatures w14:val="standardContextual"/>
        </w:rPr>
      </w:pPr>
      <w:r>
        <w:t>2.2</w:t>
      </w:r>
      <w:r>
        <w:rPr>
          <w:rFonts w:asciiTheme="minorHAnsi" w:eastAsiaTheme="minorEastAsia" w:hAnsiTheme="minorHAnsi"/>
          <w:kern w:val="2"/>
          <w:sz w:val="24"/>
          <w:lang w:eastAsia="en-AU"/>
          <w14:ligatures w14:val="standardContextual"/>
        </w:rPr>
        <w:tab/>
      </w:r>
      <w:r>
        <w:t>Defining privacy and its importance</w:t>
      </w:r>
      <w:r>
        <w:tab/>
      </w:r>
      <w:r>
        <w:fldChar w:fldCharType="begin"/>
      </w:r>
      <w:r>
        <w:instrText xml:space="preserve"> PAGEREF _Toc164606500 \h </w:instrText>
      </w:r>
      <w:r>
        <w:fldChar w:fldCharType="separate"/>
      </w:r>
      <w:r w:rsidR="00183626">
        <w:t>6</w:t>
      </w:r>
      <w:r>
        <w:fldChar w:fldCharType="end"/>
      </w:r>
    </w:p>
    <w:p w14:paraId="689547D7" w14:textId="17FE542C" w:rsidR="00E83FE2" w:rsidRDefault="00E83FE2" w:rsidP="0076225D">
      <w:pPr>
        <w:pStyle w:val="TOC1"/>
        <w:rPr>
          <w:rFonts w:asciiTheme="minorHAnsi" w:eastAsiaTheme="minorEastAsia" w:hAnsiTheme="minorHAnsi"/>
          <w:kern w:val="2"/>
          <w:sz w:val="24"/>
          <w:lang w:eastAsia="en-AU"/>
          <w14:ligatures w14:val="standardContextual"/>
        </w:rPr>
      </w:pPr>
      <w:r>
        <w:t>2.3</w:t>
      </w:r>
      <w:r>
        <w:rPr>
          <w:rFonts w:asciiTheme="minorHAnsi" w:eastAsiaTheme="minorEastAsia" w:hAnsiTheme="minorHAnsi"/>
          <w:kern w:val="2"/>
          <w:sz w:val="24"/>
          <w:lang w:eastAsia="en-AU"/>
          <w14:ligatures w14:val="standardContextual"/>
        </w:rPr>
        <w:tab/>
      </w:r>
      <w:r>
        <w:t>Community attitudes to privacy and privacy protections</w:t>
      </w:r>
      <w:r>
        <w:tab/>
      </w:r>
      <w:r>
        <w:fldChar w:fldCharType="begin"/>
      </w:r>
      <w:r>
        <w:instrText xml:space="preserve"> PAGEREF _Toc164606501 \h </w:instrText>
      </w:r>
      <w:r>
        <w:fldChar w:fldCharType="separate"/>
      </w:r>
      <w:r w:rsidR="00183626">
        <w:t>7</w:t>
      </w:r>
      <w:r>
        <w:fldChar w:fldCharType="end"/>
      </w:r>
    </w:p>
    <w:p w14:paraId="41F1F49F" w14:textId="193DE245" w:rsidR="00E83FE2" w:rsidRDefault="00E83FE2" w:rsidP="0076225D">
      <w:pPr>
        <w:pStyle w:val="TOC1"/>
        <w:rPr>
          <w:rFonts w:asciiTheme="minorHAnsi" w:eastAsiaTheme="minorEastAsia" w:hAnsiTheme="minorHAnsi"/>
          <w:kern w:val="2"/>
          <w:sz w:val="24"/>
          <w:lang w:eastAsia="en-AU"/>
          <w14:ligatures w14:val="standardContextual"/>
        </w:rPr>
      </w:pPr>
      <w:r>
        <w:t>2.4</w:t>
      </w:r>
      <w:r>
        <w:rPr>
          <w:rFonts w:asciiTheme="minorHAnsi" w:eastAsiaTheme="minorEastAsia" w:hAnsiTheme="minorHAnsi"/>
          <w:kern w:val="2"/>
          <w:sz w:val="24"/>
          <w:lang w:eastAsia="en-AU"/>
          <w14:ligatures w14:val="standardContextual"/>
        </w:rPr>
        <w:tab/>
      </w:r>
      <w:r>
        <w:t>Do Tasmanians enjoy a fundamental right to privacy?</w:t>
      </w:r>
      <w:r>
        <w:tab/>
      </w:r>
      <w:r>
        <w:fldChar w:fldCharType="begin"/>
      </w:r>
      <w:r>
        <w:instrText xml:space="preserve"> PAGEREF _Toc164606502 \h </w:instrText>
      </w:r>
      <w:r>
        <w:fldChar w:fldCharType="separate"/>
      </w:r>
      <w:r w:rsidR="00183626">
        <w:t>8</w:t>
      </w:r>
      <w:r>
        <w:fldChar w:fldCharType="end"/>
      </w:r>
    </w:p>
    <w:p w14:paraId="7A4258B7" w14:textId="7DC5D628" w:rsidR="00E83FE2" w:rsidRDefault="00E83FE2" w:rsidP="0076225D">
      <w:pPr>
        <w:pStyle w:val="TOC1"/>
        <w:rPr>
          <w:rFonts w:asciiTheme="minorHAnsi" w:eastAsiaTheme="minorEastAsia" w:hAnsiTheme="minorHAnsi"/>
          <w:kern w:val="2"/>
          <w:sz w:val="24"/>
          <w:lang w:eastAsia="en-AU"/>
          <w14:ligatures w14:val="standardContextual"/>
        </w:rPr>
      </w:pPr>
      <w:r>
        <w:t>2.5</w:t>
      </w:r>
      <w:r>
        <w:rPr>
          <w:rFonts w:asciiTheme="minorHAnsi" w:eastAsiaTheme="minorEastAsia" w:hAnsiTheme="minorHAnsi"/>
          <w:kern w:val="2"/>
          <w:sz w:val="24"/>
          <w:lang w:eastAsia="en-AU"/>
          <w14:ligatures w14:val="standardContextual"/>
        </w:rPr>
        <w:tab/>
      </w:r>
      <w:r>
        <w:t>Existing privacy protections in Tasmania</w:t>
      </w:r>
      <w:r>
        <w:tab/>
      </w:r>
      <w:r>
        <w:fldChar w:fldCharType="begin"/>
      </w:r>
      <w:r>
        <w:instrText xml:space="preserve"> PAGEREF _Toc164606503 \h </w:instrText>
      </w:r>
      <w:r>
        <w:fldChar w:fldCharType="separate"/>
      </w:r>
      <w:r w:rsidR="00183626">
        <w:t>11</w:t>
      </w:r>
      <w:r>
        <w:fldChar w:fldCharType="end"/>
      </w:r>
    </w:p>
    <w:p w14:paraId="5E526654" w14:textId="3A22208C" w:rsidR="00E83FE2" w:rsidRDefault="00E83FE2" w:rsidP="008E5AE3">
      <w:pPr>
        <w:pStyle w:val="TOC2"/>
        <w:rPr>
          <w:rFonts w:asciiTheme="minorHAnsi" w:hAnsiTheme="minorHAnsi" w:cstheme="minorBidi"/>
          <w:kern w:val="2"/>
          <w:sz w:val="24"/>
          <w:szCs w:val="24"/>
          <w:lang w:eastAsia="en-AU"/>
          <w14:ligatures w14:val="standardContextual"/>
        </w:rPr>
      </w:pPr>
      <w:r>
        <w:t>The Privacy Act</w:t>
      </w:r>
      <w:r>
        <w:tab/>
      </w:r>
      <w:r>
        <w:fldChar w:fldCharType="begin"/>
      </w:r>
      <w:r>
        <w:instrText xml:space="preserve"> PAGEREF _Toc164606504 \h </w:instrText>
      </w:r>
      <w:r>
        <w:fldChar w:fldCharType="separate"/>
      </w:r>
      <w:r w:rsidR="00183626">
        <w:t>11</w:t>
      </w:r>
      <w:r>
        <w:fldChar w:fldCharType="end"/>
      </w:r>
    </w:p>
    <w:p w14:paraId="1A2C9C7A" w14:textId="3188B1E2" w:rsidR="00E83FE2" w:rsidRDefault="00E83FE2" w:rsidP="008E5AE3">
      <w:pPr>
        <w:pStyle w:val="TOC2"/>
        <w:rPr>
          <w:rFonts w:asciiTheme="minorHAnsi" w:hAnsiTheme="minorHAnsi" w:cstheme="minorBidi"/>
          <w:kern w:val="2"/>
          <w:sz w:val="24"/>
          <w:szCs w:val="24"/>
          <w:lang w:eastAsia="en-AU"/>
          <w14:ligatures w14:val="standardContextual"/>
        </w:rPr>
      </w:pPr>
      <w:r>
        <w:t xml:space="preserve">The </w:t>
      </w:r>
      <w:r w:rsidRPr="00EA22F8">
        <w:rPr>
          <w:i/>
          <w:iCs/>
        </w:rPr>
        <w:t xml:space="preserve">Personal Information Protection Act 2004 </w:t>
      </w:r>
      <w:r>
        <w:t>(Tas) (‘PIPA’)</w:t>
      </w:r>
      <w:r>
        <w:tab/>
      </w:r>
      <w:r>
        <w:fldChar w:fldCharType="begin"/>
      </w:r>
      <w:r>
        <w:instrText xml:space="preserve"> PAGEREF _Toc164606505 \h </w:instrText>
      </w:r>
      <w:r>
        <w:fldChar w:fldCharType="separate"/>
      </w:r>
      <w:r w:rsidR="00183626">
        <w:t>13</w:t>
      </w:r>
      <w:r>
        <w:fldChar w:fldCharType="end"/>
      </w:r>
    </w:p>
    <w:p w14:paraId="3C7BC6BE" w14:textId="461D1CB3" w:rsidR="00E83FE2" w:rsidRDefault="00E83FE2" w:rsidP="008E5AE3">
      <w:pPr>
        <w:pStyle w:val="TOC2"/>
        <w:rPr>
          <w:rFonts w:asciiTheme="minorHAnsi" w:hAnsiTheme="minorHAnsi" w:cstheme="minorBidi"/>
          <w:kern w:val="2"/>
          <w:sz w:val="24"/>
          <w:szCs w:val="24"/>
          <w:lang w:eastAsia="en-AU"/>
          <w14:ligatures w14:val="standardContextual"/>
        </w:rPr>
      </w:pPr>
      <w:r>
        <w:t>Other Tasmanian legislation</w:t>
      </w:r>
      <w:r>
        <w:tab/>
      </w:r>
      <w:r>
        <w:fldChar w:fldCharType="begin"/>
      </w:r>
      <w:r>
        <w:instrText xml:space="preserve"> PAGEREF _Toc164606506 \h </w:instrText>
      </w:r>
      <w:r>
        <w:fldChar w:fldCharType="separate"/>
      </w:r>
      <w:r w:rsidR="00183626">
        <w:t>14</w:t>
      </w:r>
      <w:r>
        <w:fldChar w:fldCharType="end"/>
      </w:r>
    </w:p>
    <w:p w14:paraId="7384395E" w14:textId="4B83E45D" w:rsidR="00E83FE2" w:rsidRDefault="00E83FE2" w:rsidP="008E5AE3">
      <w:pPr>
        <w:pStyle w:val="TOC2"/>
        <w:rPr>
          <w:rFonts w:asciiTheme="minorHAnsi" w:hAnsiTheme="minorHAnsi" w:cstheme="minorBidi"/>
          <w:kern w:val="2"/>
          <w:sz w:val="24"/>
          <w:szCs w:val="24"/>
          <w:lang w:eastAsia="en-AU"/>
          <w14:ligatures w14:val="standardContextual"/>
        </w:rPr>
      </w:pPr>
      <w:r>
        <w:t>The general law in Tasmania</w:t>
      </w:r>
      <w:r>
        <w:tab/>
      </w:r>
      <w:r>
        <w:fldChar w:fldCharType="begin"/>
      </w:r>
      <w:r>
        <w:instrText xml:space="preserve"> PAGEREF _Toc164606507 \h </w:instrText>
      </w:r>
      <w:r>
        <w:fldChar w:fldCharType="separate"/>
      </w:r>
      <w:r w:rsidR="00183626">
        <w:t>15</w:t>
      </w:r>
      <w:r>
        <w:fldChar w:fldCharType="end"/>
      </w:r>
    </w:p>
    <w:p w14:paraId="3299BCE4" w14:textId="31F7078D" w:rsidR="00E83FE2" w:rsidRDefault="00E83FE2" w:rsidP="0076225D">
      <w:pPr>
        <w:pStyle w:val="TOC1"/>
        <w:rPr>
          <w:rFonts w:asciiTheme="minorHAnsi" w:eastAsiaTheme="minorEastAsia" w:hAnsiTheme="minorHAnsi"/>
          <w:kern w:val="2"/>
          <w:sz w:val="24"/>
          <w:lang w:eastAsia="en-AU"/>
          <w14:ligatures w14:val="standardContextual"/>
        </w:rPr>
      </w:pPr>
      <w:r>
        <w:t>2.6</w:t>
      </w:r>
      <w:r>
        <w:rPr>
          <w:rFonts w:asciiTheme="minorHAnsi" w:eastAsiaTheme="minorEastAsia" w:hAnsiTheme="minorHAnsi"/>
          <w:kern w:val="2"/>
          <w:sz w:val="24"/>
          <w:lang w:eastAsia="en-AU"/>
          <w14:ligatures w14:val="standardContextual"/>
        </w:rPr>
        <w:tab/>
      </w:r>
      <w:r>
        <w:t>Consistency of information privacy regulation across jurisdictions</w:t>
      </w:r>
      <w:r>
        <w:tab/>
      </w:r>
      <w:r>
        <w:fldChar w:fldCharType="begin"/>
      </w:r>
      <w:r>
        <w:instrText xml:space="preserve"> PAGEREF _Toc164606508 \h </w:instrText>
      </w:r>
      <w:r>
        <w:fldChar w:fldCharType="separate"/>
      </w:r>
      <w:r w:rsidR="00183626">
        <w:t>16</w:t>
      </w:r>
      <w:r>
        <w:fldChar w:fldCharType="end"/>
      </w:r>
    </w:p>
    <w:p w14:paraId="4EF0467A" w14:textId="5347E253" w:rsidR="00E83FE2" w:rsidRDefault="00E83FE2" w:rsidP="0076225D">
      <w:pPr>
        <w:pStyle w:val="TOC1"/>
        <w:rPr>
          <w:rFonts w:asciiTheme="minorHAnsi" w:eastAsiaTheme="minorEastAsia" w:hAnsiTheme="minorHAnsi"/>
          <w:kern w:val="2"/>
          <w:sz w:val="24"/>
          <w:lang w:eastAsia="en-AU"/>
          <w14:ligatures w14:val="standardContextual"/>
        </w:rPr>
      </w:pPr>
      <w:r>
        <w:t>2.7</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_Toc164606509 \h </w:instrText>
      </w:r>
      <w:r>
        <w:fldChar w:fldCharType="separate"/>
      </w:r>
      <w:r w:rsidR="00183626">
        <w:t>17</w:t>
      </w:r>
      <w:r>
        <w:fldChar w:fldCharType="end"/>
      </w:r>
    </w:p>
    <w:p w14:paraId="72CC9361" w14:textId="47325C91" w:rsidR="00E83FE2" w:rsidRDefault="00E83FE2" w:rsidP="0076225D">
      <w:pPr>
        <w:pStyle w:val="TOC1"/>
        <w:rPr>
          <w:rFonts w:asciiTheme="minorHAnsi" w:eastAsiaTheme="minorEastAsia" w:hAnsiTheme="minorHAnsi"/>
          <w:kern w:val="2"/>
          <w:sz w:val="24"/>
          <w:lang w:eastAsia="en-AU"/>
          <w14:ligatures w14:val="standardContextual"/>
        </w:rPr>
      </w:pPr>
      <w:r>
        <w:t>2.8</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_Toc164606510 \h </w:instrText>
      </w:r>
      <w:r>
        <w:fldChar w:fldCharType="separate"/>
      </w:r>
      <w:r w:rsidR="00183626">
        <w:t>18</w:t>
      </w:r>
      <w:r>
        <w:fldChar w:fldCharType="end"/>
      </w:r>
    </w:p>
    <w:p w14:paraId="2D3EE102" w14:textId="5118D9E2" w:rsidR="00E83FE2" w:rsidRDefault="003A5302" w:rsidP="0076225D">
      <w:pPr>
        <w:pStyle w:val="TOC1"/>
        <w:rPr>
          <w:rFonts w:asciiTheme="minorHAnsi" w:eastAsiaTheme="minorEastAsia" w:hAnsiTheme="minorHAnsi"/>
          <w:kern w:val="2"/>
          <w:sz w:val="24"/>
          <w:lang w:eastAsia="en-AU"/>
          <w14:ligatures w14:val="standardContextual"/>
        </w:rPr>
      </w:pPr>
      <w:r w:rsidRPr="002D185D">
        <w:rPr>
          <w:b/>
          <w:bCs/>
        </w:rPr>
        <w:t xml:space="preserve">Part 3: </w:t>
      </w:r>
      <w:r w:rsidR="00E83FE2" w:rsidRPr="002D185D">
        <w:rPr>
          <w:b/>
          <w:bCs/>
        </w:rPr>
        <w:t xml:space="preserve">Scope and Application of the </w:t>
      </w:r>
      <w:r w:rsidR="00E83FE2" w:rsidRPr="002D185D">
        <w:rPr>
          <w:b/>
          <w:bCs/>
          <w:i/>
          <w:iCs/>
        </w:rPr>
        <w:t xml:space="preserve">Personal Information Protection Act 2004 </w:t>
      </w:r>
      <w:r w:rsidR="00E83FE2" w:rsidRPr="002D185D">
        <w:rPr>
          <w:b/>
          <w:bCs/>
        </w:rPr>
        <w:t>(Tas) (‘PIPA’) – Bodies Subject to the PIPA</w:t>
      </w:r>
      <w:r w:rsidR="00E83FE2">
        <w:tab/>
      </w:r>
      <w:r w:rsidR="00E83FE2" w:rsidRPr="002D185D">
        <w:rPr>
          <w:b/>
          <w:bCs/>
        </w:rPr>
        <w:fldChar w:fldCharType="begin"/>
      </w:r>
      <w:r w:rsidR="00E83FE2" w:rsidRPr="002D185D">
        <w:rPr>
          <w:b/>
          <w:bCs/>
        </w:rPr>
        <w:instrText xml:space="preserve"> PAGEREF _Toc164606511 \h </w:instrText>
      </w:r>
      <w:r w:rsidR="00E83FE2" w:rsidRPr="002D185D">
        <w:rPr>
          <w:b/>
          <w:bCs/>
        </w:rPr>
      </w:r>
      <w:r w:rsidR="00E83FE2" w:rsidRPr="002D185D">
        <w:rPr>
          <w:b/>
          <w:bCs/>
        </w:rPr>
        <w:fldChar w:fldCharType="separate"/>
      </w:r>
      <w:r w:rsidR="00183626">
        <w:rPr>
          <w:b/>
          <w:bCs/>
        </w:rPr>
        <w:t>19</w:t>
      </w:r>
      <w:r w:rsidR="00E83FE2" w:rsidRPr="002D185D">
        <w:rPr>
          <w:b/>
          <w:bCs/>
        </w:rPr>
        <w:fldChar w:fldCharType="end"/>
      </w:r>
    </w:p>
    <w:p w14:paraId="604ACB70" w14:textId="5735BDC6" w:rsidR="00E83FE2" w:rsidRDefault="00E83FE2" w:rsidP="0076225D">
      <w:pPr>
        <w:pStyle w:val="TOC1"/>
        <w:rPr>
          <w:rFonts w:asciiTheme="minorHAnsi" w:eastAsiaTheme="minorEastAsia" w:hAnsiTheme="minorHAnsi"/>
          <w:kern w:val="2"/>
          <w:sz w:val="24"/>
          <w:lang w:eastAsia="en-AU"/>
          <w14:ligatures w14:val="standardContextual"/>
        </w:rPr>
      </w:pPr>
      <w:r>
        <w:t>3.1</w:t>
      </w:r>
      <w:r>
        <w:rPr>
          <w:rFonts w:asciiTheme="minorHAnsi" w:eastAsiaTheme="minorEastAsia" w:hAnsiTheme="minorHAnsi"/>
          <w:kern w:val="2"/>
          <w:sz w:val="24"/>
          <w:lang w:eastAsia="en-AU"/>
          <w14:ligatures w14:val="standardContextual"/>
        </w:rPr>
        <w:tab/>
      </w:r>
      <w:r>
        <w:t>Overview of this Part</w:t>
      </w:r>
      <w:r>
        <w:tab/>
      </w:r>
      <w:r>
        <w:fldChar w:fldCharType="begin"/>
      </w:r>
      <w:r>
        <w:instrText xml:space="preserve"> PAGEREF _Toc164606512 \h </w:instrText>
      </w:r>
      <w:r>
        <w:fldChar w:fldCharType="separate"/>
      </w:r>
      <w:r w:rsidR="00183626">
        <w:t>19</w:t>
      </w:r>
      <w:r>
        <w:fldChar w:fldCharType="end"/>
      </w:r>
    </w:p>
    <w:p w14:paraId="306B6CFE" w14:textId="7106D964" w:rsidR="00E83FE2" w:rsidRDefault="00E83FE2" w:rsidP="0076225D">
      <w:pPr>
        <w:pStyle w:val="TOC1"/>
        <w:rPr>
          <w:rFonts w:asciiTheme="minorHAnsi" w:eastAsiaTheme="minorEastAsia" w:hAnsiTheme="minorHAnsi"/>
          <w:kern w:val="2"/>
          <w:sz w:val="24"/>
          <w:lang w:eastAsia="en-AU"/>
          <w14:ligatures w14:val="standardContextual"/>
        </w:rPr>
      </w:pPr>
      <w:r>
        <w:t>3.2</w:t>
      </w:r>
      <w:r>
        <w:rPr>
          <w:rFonts w:asciiTheme="minorHAnsi" w:eastAsiaTheme="minorEastAsia" w:hAnsiTheme="minorHAnsi"/>
          <w:kern w:val="2"/>
          <w:sz w:val="24"/>
          <w:lang w:eastAsia="en-AU"/>
          <w14:ligatures w14:val="standardContextual"/>
        </w:rPr>
        <w:tab/>
      </w:r>
      <w:r>
        <w:t>The Tasmanian position</w:t>
      </w:r>
      <w:r>
        <w:tab/>
      </w:r>
      <w:r>
        <w:fldChar w:fldCharType="begin"/>
      </w:r>
      <w:r>
        <w:instrText xml:space="preserve"> PAGEREF _Toc164606513 \h </w:instrText>
      </w:r>
      <w:r>
        <w:fldChar w:fldCharType="separate"/>
      </w:r>
      <w:r w:rsidR="00183626">
        <w:t>19</w:t>
      </w:r>
      <w:r>
        <w:fldChar w:fldCharType="end"/>
      </w:r>
    </w:p>
    <w:p w14:paraId="244115EE" w14:textId="4FC79A76" w:rsidR="00E83FE2" w:rsidRDefault="00E83FE2" w:rsidP="008E5AE3">
      <w:pPr>
        <w:pStyle w:val="TOC2"/>
        <w:rPr>
          <w:rFonts w:asciiTheme="minorHAnsi" w:hAnsiTheme="minorHAnsi" w:cstheme="minorBidi"/>
          <w:kern w:val="2"/>
          <w:sz w:val="24"/>
          <w:szCs w:val="24"/>
          <w:lang w:eastAsia="en-AU"/>
          <w14:ligatures w14:val="standardContextual"/>
        </w:rPr>
      </w:pPr>
      <w:r>
        <w:t>Obligations under Commonwealth privacy laws for Tasmanian bodies</w:t>
      </w:r>
      <w:r>
        <w:tab/>
      </w:r>
      <w:r>
        <w:fldChar w:fldCharType="begin"/>
      </w:r>
      <w:r>
        <w:instrText xml:space="preserve"> PAGEREF _Toc164606514 \h </w:instrText>
      </w:r>
      <w:r>
        <w:fldChar w:fldCharType="separate"/>
      </w:r>
      <w:r w:rsidR="00183626">
        <w:t>21</w:t>
      </w:r>
      <w:r>
        <w:fldChar w:fldCharType="end"/>
      </w:r>
    </w:p>
    <w:p w14:paraId="6FF31424" w14:textId="6665C611" w:rsidR="00E83FE2" w:rsidRDefault="00E83FE2" w:rsidP="0076225D">
      <w:pPr>
        <w:pStyle w:val="TOC1"/>
        <w:rPr>
          <w:rFonts w:asciiTheme="minorHAnsi" w:eastAsiaTheme="minorEastAsia" w:hAnsiTheme="minorHAnsi"/>
          <w:kern w:val="2"/>
          <w:sz w:val="24"/>
          <w:lang w:eastAsia="en-AU"/>
          <w14:ligatures w14:val="standardContextual"/>
        </w:rPr>
      </w:pPr>
      <w:r>
        <w:t>3.3</w:t>
      </w:r>
      <w:r>
        <w:rPr>
          <w:rFonts w:asciiTheme="minorHAnsi" w:eastAsiaTheme="minorEastAsia" w:hAnsiTheme="minorHAnsi"/>
          <w:kern w:val="2"/>
          <w:sz w:val="24"/>
          <w:lang w:eastAsia="en-AU"/>
          <w14:ligatures w14:val="standardContextual"/>
        </w:rPr>
        <w:tab/>
      </w:r>
      <w:r>
        <w:t>The position in other jurisdictions</w:t>
      </w:r>
      <w:r>
        <w:tab/>
      </w:r>
      <w:r>
        <w:fldChar w:fldCharType="begin"/>
      </w:r>
      <w:r>
        <w:instrText xml:space="preserve"> PAGEREF _Toc164606515 \h </w:instrText>
      </w:r>
      <w:r>
        <w:fldChar w:fldCharType="separate"/>
      </w:r>
      <w:r w:rsidR="00183626">
        <w:t>22</w:t>
      </w:r>
      <w:r>
        <w:fldChar w:fldCharType="end"/>
      </w:r>
    </w:p>
    <w:p w14:paraId="5B588A42" w14:textId="7F582729" w:rsidR="00E83FE2" w:rsidRDefault="00E83FE2" w:rsidP="0076225D">
      <w:pPr>
        <w:pStyle w:val="TOC1"/>
        <w:rPr>
          <w:rFonts w:asciiTheme="minorHAnsi" w:eastAsiaTheme="minorEastAsia" w:hAnsiTheme="minorHAnsi"/>
          <w:kern w:val="2"/>
          <w:sz w:val="24"/>
          <w:lang w:eastAsia="en-AU"/>
          <w14:ligatures w14:val="standardContextual"/>
        </w:rPr>
      </w:pPr>
      <w:r>
        <w:t>3.4</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_Toc164606516 \h </w:instrText>
      </w:r>
      <w:r>
        <w:fldChar w:fldCharType="separate"/>
      </w:r>
      <w:r w:rsidR="00183626">
        <w:t>23</w:t>
      </w:r>
      <w:r>
        <w:fldChar w:fldCharType="end"/>
      </w:r>
    </w:p>
    <w:p w14:paraId="6EBCF671" w14:textId="7156CE7B" w:rsidR="00E83FE2" w:rsidRDefault="00E83FE2" w:rsidP="0076225D">
      <w:pPr>
        <w:pStyle w:val="TOC1"/>
        <w:rPr>
          <w:rFonts w:asciiTheme="minorHAnsi" w:eastAsiaTheme="minorEastAsia" w:hAnsiTheme="minorHAnsi"/>
          <w:kern w:val="2"/>
          <w:sz w:val="24"/>
          <w:lang w:eastAsia="en-AU"/>
          <w14:ligatures w14:val="standardContextual"/>
        </w:rPr>
      </w:pPr>
      <w:r>
        <w:t>3.5</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_Toc164606517 \h </w:instrText>
      </w:r>
      <w:r>
        <w:fldChar w:fldCharType="separate"/>
      </w:r>
      <w:r w:rsidR="00183626">
        <w:t>25</w:t>
      </w:r>
      <w:r>
        <w:fldChar w:fldCharType="end"/>
      </w:r>
    </w:p>
    <w:p w14:paraId="62473F8A" w14:textId="630F2286" w:rsidR="00E83FE2" w:rsidRDefault="00E83FE2" w:rsidP="0076225D">
      <w:pPr>
        <w:pStyle w:val="TOC1"/>
        <w:rPr>
          <w:rFonts w:asciiTheme="minorHAnsi" w:eastAsiaTheme="minorEastAsia" w:hAnsiTheme="minorHAnsi"/>
          <w:kern w:val="2"/>
          <w:sz w:val="24"/>
          <w:lang w:eastAsia="en-AU"/>
          <w14:ligatures w14:val="standardContextual"/>
        </w:rPr>
      </w:pPr>
      <w:r>
        <w:t>3.6</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_Toc164606518 \h </w:instrText>
      </w:r>
      <w:r>
        <w:fldChar w:fldCharType="separate"/>
      </w:r>
      <w:r w:rsidR="00183626">
        <w:t>26</w:t>
      </w:r>
      <w:r>
        <w:fldChar w:fldCharType="end"/>
      </w:r>
    </w:p>
    <w:p w14:paraId="625D7FF3" w14:textId="2C806FCE" w:rsidR="00E83FE2" w:rsidRDefault="00E83FE2" w:rsidP="0076225D">
      <w:pPr>
        <w:pStyle w:val="TOC1"/>
        <w:rPr>
          <w:rFonts w:asciiTheme="minorHAnsi" w:eastAsiaTheme="minorEastAsia" w:hAnsiTheme="minorHAnsi"/>
          <w:kern w:val="2"/>
          <w:sz w:val="24"/>
          <w:lang w:eastAsia="en-AU"/>
          <w14:ligatures w14:val="standardContextual"/>
        </w:rPr>
      </w:pPr>
      <w:r>
        <w:t>3.7</w:t>
      </w:r>
      <w:r>
        <w:rPr>
          <w:rFonts w:asciiTheme="minorHAnsi" w:eastAsiaTheme="minorEastAsia" w:hAnsiTheme="minorHAnsi"/>
          <w:kern w:val="2"/>
          <w:sz w:val="24"/>
          <w:lang w:eastAsia="en-AU"/>
          <w14:ligatures w14:val="standardContextual"/>
        </w:rPr>
        <w:tab/>
      </w:r>
      <w:r>
        <w:t>Recommendations</w:t>
      </w:r>
      <w:r>
        <w:tab/>
      </w:r>
      <w:r>
        <w:fldChar w:fldCharType="begin"/>
      </w:r>
      <w:r>
        <w:instrText xml:space="preserve"> PAGEREF _Toc164606519 \h </w:instrText>
      </w:r>
      <w:r>
        <w:fldChar w:fldCharType="separate"/>
      </w:r>
      <w:r w:rsidR="00183626">
        <w:t>27</w:t>
      </w:r>
      <w:r>
        <w:fldChar w:fldCharType="end"/>
      </w:r>
    </w:p>
    <w:p w14:paraId="38027FEB" w14:textId="0A90241E" w:rsidR="00E83FE2" w:rsidRDefault="003A5302" w:rsidP="0076225D">
      <w:pPr>
        <w:pStyle w:val="TOC1"/>
        <w:rPr>
          <w:rFonts w:asciiTheme="minorHAnsi" w:eastAsiaTheme="minorEastAsia" w:hAnsiTheme="minorHAnsi"/>
          <w:kern w:val="2"/>
          <w:sz w:val="24"/>
          <w:lang w:eastAsia="en-AU"/>
          <w14:ligatures w14:val="standardContextual"/>
        </w:rPr>
      </w:pPr>
      <w:r w:rsidRPr="002D185D">
        <w:rPr>
          <w:b/>
          <w:bCs/>
        </w:rPr>
        <w:t xml:space="preserve">Part 4: </w:t>
      </w:r>
      <w:r w:rsidR="00E83FE2" w:rsidRPr="002D185D">
        <w:rPr>
          <w:b/>
          <w:bCs/>
        </w:rPr>
        <w:t>Scope and Application of the PIPA – Information Protected by the PIPA</w:t>
      </w:r>
      <w:r w:rsidR="00E83FE2">
        <w:tab/>
      </w:r>
      <w:r w:rsidR="001F5128">
        <w:tab/>
      </w:r>
      <w:r w:rsidR="00002072">
        <w:tab/>
      </w:r>
      <w:r w:rsidR="00E83FE2" w:rsidRPr="002D185D">
        <w:rPr>
          <w:b/>
          <w:bCs/>
        </w:rPr>
        <w:fldChar w:fldCharType="begin"/>
      </w:r>
      <w:r w:rsidR="00E83FE2" w:rsidRPr="002D185D">
        <w:rPr>
          <w:b/>
          <w:bCs/>
        </w:rPr>
        <w:instrText xml:space="preserve"> PAGEREF _Toc164606520 \h </w:instrText>
      </w:r>
      <w:r w:rsidR="00E83FE2" w:rsidRPr="002D185D">
        <w:rPr>
          <w:b/>
          <w:bCs/>
        </w:rPr>
      </w:r>
      <w:r w:rsidR="00E83FE2" w:rsidRPr="002D185D">
        <w:rPr>
          <w:b/>
          <w:bCs/>
        </w:rPr>
        <w:fldChar w:fldCharType="separate"/>
      </w:r>
      <w:r w:rsidR="00183626">
        <w:rPr>
          <w:b/>
          <w:bCs/>
        </w:rPr>
        <w:t>28</w:t>
      </w:r>
      <w:r w:rsidR="00E83FE2" w:rsidRPr="002D185D">
        <w:rPr>
          <w:b/>
          <w:bCs/>
        </w:rPr>
        <w:fldChar w:fldCharType="end"/>
      </w:r>
    </w:p>
    <w:p w14:paraId="52F230C3" w14:textId="1235A3A4" w:rsidR="00E83FE2" w:rsidRDefault="00E83FE2" w:rsidP="0076225D">
      <w:pPr>
        <w:pStyle w:val="TOC1"/>
        <w:rPr>
          <w:rFonts w:asciiTheme="minorHAnsi" w:eastAsiaTheme="minorEastAsia" w:hAnsiTheme="minorHAnsi"/>
          <w:kern w:val="2"/>
          <w:sz w:val="24"/>
          <w:lang w:eastAsia="en-AU"/>
          <w14:ligatures w14:val="standardContextual"/>
        </w:rPr>
      </w:pPr>
      <w:r>
        <w:t>4.1</w:t>
      </w:r>
      <w:r>
        <w:rPr>
          <w:rFonts w:asciiTheme="minorHAnsi" w:eastAsiaTheme="minorEastAsia" w:hAnsiTheme="minorHAnsi"/>
          <w:kern w:val="2"/>
          <w:sz w:val="24"/>
          <w:lang w:eastAsia="en-AU"/>
          <w14:ligatures w14:val="standardContextual"/>
        </w:rPr>
        <w:tab/>
      </w:r>
      <w:r>
        <w:t xml:space="preserve">Overview of this </w:t>
      </w:r>
      <w:r w:rsidR="008042D5">
        <w:t>Part</w:t>
      </w:r>
      <w:r>
        <w:tab/>
      </w:r>
      <w:r>
        <w:fldChar w:fldCharType="begin"/>
      </w:r>
      <w:r>
        <w:instrText xml:space="preserve"> PAGEREF _Toc164606521 \h </w:instrText>
      </w:r>
      <w:r>
        <w:fldChar w:fldCharType="separate"/>
      </w:r>
      <w:r w:rsidR="00183626">
        <w:t>28</w:t>
      </w:r>
      <w:r>
        <w:fldChar w:fldCharType="end"/>
      </w:r>
    </w:p>
    <w:p w14:paraId="3045933D" w14:textId="04667BF1" w:rsidR="00E83FE2" w:rsidRDefault="00E83FE2" w:rsidP="0076225D">
      <w:pPr>
        <w:pStyle w:val="TOC1"/>
        <w:rPr>
          <w:rFonts w:asciiTheme="minorHAnsi" w:eastAsiaTheme="minorEastAsia" w:hAnsiTheme="minorHAnsi"/>
          <w:kern w:val="2"/>
          <w:sz w:val="24"/>
          <w:lang w:eastAsia="en-AU"/>
          <w14:ligatures w14:val="standardContextual"/>
        </w:rPr>
      </w:pPr>
      <w:r>
        <w:lastRenderedPageBreak/>
        <w:t>4.2</w:t>
      </w:r>
      <w:r>
        <w:rPr>
          <w:rFonts w:asciiTheme="minorHAnsi" w:eastAsiaTheme="minorEastAsia" w:hAnsiTheme="minorHAnsi"/>
          <w:kern w:val="2"/>
          <w:sz w:val="24"/>
          <w:lang w:eastAsia="en-AU"/>
          <w14:ligatures w14:val="standardContextual"/>
        </w:rPr>
        <w:tab/>
      </w:r>
      <w:r>
        <w:t>Protection of ‘personal information’ in the PIPA</w:t>
      </w:r>
      <w:r>
        <w:tab/>
      </w:r>
      <w:r>
        <w:fldChar w:fldCharType="begin"/>
      </w:r>
      <w:r>
        <w:instrText xml:space="preserve"> PAGEREF _Toc164606522 \h </w:instrText>
      </w:r>
      <w:r>
        <w:fldChar w:fldCharType="separate"/>
      </w:r>
      <w:r w:rsidR="00183626">
        <w:t>28</w:t>
      </w:r>
      <w:r>
        <w:fldChar w:fldCharType="end"/>
      </w:r>
    </w:p>
    <w:p w14:paraId="782E624C" w14:textId="1B521286" w:rsidR="00E83FE2" w:rsidRDefault="001F5128" w:rsidP="0076225D">
      <w:pPr>
        <w:pStyle w:val="TOC1"/>
        <w:rPr>
          <w:rFonts w:asciiTheme="minorHAnsi" w:eastAsiaTheme="minorEastAsia" w:hAnsiTheme="minorHAnsi"/>
          <w:kern w:val="2"/>
          <w:sz w:val="24"/>
          <w:lang w:eastAsia="en-AU"/>
          <w14:ligatures w14:val="standardContextual"/>
        </w:rPr>
      </w:pPr>
      <w:r>
        <w:tab/>
      </w:r>
      <w:r w:rsidR="00E83FE2">
        <w:t>The Tasmanian position</w:t>
      </w:r>
      <w:r w:rsidR="00E83FE2">
        <w:tab/>
      </w:r>
      <w:r w:rsidR="00E83FE2">
        <w:fldChar w:fldCharType="begin"/>
      </w:r>
      <w:r w:rsidR="00E83FE2">
        <w:instrText xml:space="preserve"> PAGEREF _Toc164606523 \h </w:instrText>
      </w:r>
      <w:r w:rsidR="00E83FE2">
        <w:fldChar w:fldCharType="separate"/>
      </w:r>
      <w:r w:rsidR="00183626">
        <w:t>28</w:t>
      </w:r>
      <w:r w:rsidR="00E83FE2">
        <w:fldChar w:fldCharType="end"/>
      </w:r>
    </w:p>
    <w:p w14:paraId="267E0754" w14:textId="4B8E03E7" w:rsidR="00E83FE2" w:rsidRDefault="00E83FE2" w:rsidP="008E5AE3">
      <w:pPr>
        <w:pStyle w:val="TOC2"/>
        <w:rPr>
          <w:rFonts w:asciiTheme="minorHAnsi" w:hAnsiTheme="minorHAnsi" w:cstheme="minorBidi"/>
          <w:kern w:val="2"/>
          <w:sz w:val="24"/>
          <w:szCs w:val="24"/>
          <w:lang w:eastAsia="en-AU"/>
          <w14:ligatures w14:val="standardContextual"/>
        </w:rPr>
      </w:pPr>
      <w:r>
        <w:t>Information or opinion ‘about an individual’</w:t>
      </w:r>
      <w:r>
        <w:tab/>
      </w:r>
      <w:r>
        <w:fldChar w:fldCharType="begin"/>
      </w:r>
      <w:r>
        <w:instrText xml:space="preserve"> PAGEREF _Toc164606524 \h </w:instrText>
      </w:r>
      <w:r>
        <w:fldChar w:fldCharType="separate"/>
      </w:r>
      <w:r w:rsidR="00183626">
        <w:t>29</w:t>
      </w:r>
      <w:r>
        <w:fldChar w:fldCharType="end"/>
      </w:r>
    </w:p>
    <w:p w14:paraId="4BEBF5F6" w14:textId="6F0B972C" w:rsidR="00E83FE2" w:rsidRDefault="00E83FE2" w:rsidP="008E5AE3">
      <w:pPr>
        <w:pStyle w:val="TOC2"/>
        <w:rPr>
          <w:rFonts w:asciiTheme="minorHAnsi" w:hAnsiTheme="minorHAnsi" w:cstheme="minorBidi"/>
          <w:kern w:val="2"/>
          <w:sz w:val="24"/>
          <w:szCs w:val="24"/>
          <w:lang w:eastAsia="en-AU"/>
          <w14:ligatures w14:val="standardContextual"/>
        </w:rPr>
      </w:pPr>
      <w:r>
        <w:t>Identity is ‘reasonably ascertainable’</w:t>
      </w:r>
      <w:r>
        <w:tab/>
      </w:r>
      <w:r>
        <w:fldChar w:fldCharType="begin"/>
      </w:r>
      <w:r>
        <w:instrText xml:space="preserve"> PAGEREF _Toc164606525 \h </w:instrText>
      </w:r>
      <w:r>
        <w:fldChar w:fldCharType="separate"/>
      </w:r>
      <w:r w:rsidR="00183626">
        <w:t>29</w:t>
      </w:r>
      <w:r>
        <w:fldChar w:fldCharType="end"/>
      </w:r>
    </w:p>
    <w:p w14:paraId="3647AD0B" w14:textId="3E90CA0E" w:rsidR="00E83FE2" w:rsidRDefault="00E83FE2" w:rsidP="008E5AE3">
      <w:pPr>
        <w:pStyle w:val="TOC2"/>
        <w:rPr>
          <w:rFonts w:asciiTheme="minorHAnsi" w:hAnsiTheme="minorHAnsi" w:cstheme="minorBidi"/>
          <w:kern w:val="2"/>
          <w:sz w:val="24"/>
          <w:szCs w:val="24"/>
          <w:lang w:eastAsia="en-AU"/>
          <w14:ligatures w14:val="standardContextual"/>
        </w:rPr>
      </w:pPr>
      <w:r>
        <w:t>De-identification and pseudonymisation</w:t>
      </w:r>
      <w:r>
        <w:tab/>
      </w:r>
      <w:r>
        <w:fldChar w:fldCharType="begin"/>
      </w:r>
      <w:r>
        <w:instrText xml:space="preserve"> PAGEREF _Toc164606526 \h </w:instrText>
      </w:r>
      <w:r>
        <w:fldChar w:fldCharType="separate"/>
      </w:r>
      <w:r w:rsidR="00183626">
        <w:t>29</w:t>
      </w:r>
      <w:r>
        <w:fldChar w:fldCharType="end"/>
      </w:r>
    </w:p>
    <w:p w14:paraId="76C64E31" w14:textId="5F9A9974" w:rsidR="00E83FE2" w:rsidRDefault="00E83FE2" w:rsidP="008E5AE3">
      <w:pPr>
        <w:pStyle w:val="TOC2"/>
        <w:rPr>
          <w:rFonts w:asciiTheme="minorHAnsi" w:hAnsiTheme="minorHAnsi" w:cstheme="minorBidi"/>
          <w:kern w:val="2"/>
          <w:sz w:val="24"/>
          <w:szCs w:val="24"/>
          <w:lang w:eastAsia="en-AU"/>
          <w14:ligatures w14:val="standardContextual"/>
        </w:rPr>
      </w:pPr>
      <w:r>
        <w:t>Deceased persons</w:t>
      </w:r>
      <w:r>
        <w:tab/>
      </w:r>
      <w:r>
        <w:fldChar w:fldCharType="begin"/>
      </w:r>
      <w:r>
        <w:instrText xml:space="preserve"> PAGEREF _Toc164606527 \h </w:instrText>
      </w:r>
      <w:r>
        <w:fldChar w:fldCharType="separate"/>
      </w:r>
      <w:r w:rsidR="00183626">
        <w:t>29</w:t>
      </w:r>
      <w:r>
        <w:fldChar w:fldCharType="end"/>
      </w:r>
    </w:p>
    <w:p w14:paraId="30B2ADC8" w14:textId="4E0A4A8D" w:rsidR="00E83FE2" w:rsidRDefault="001F5128"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_Toc164606528 \h </w:instrText>
      </w:r>
      <w:r w:rsidR="00E83FE2">
        <w:fldChar w:fldCharType="separate"/>
      </w:r>
      <w:r w:rsidR="00183626">
        <w:t>30</w:t>
      </w:r>
      <w:r w:rsidR="00E83FE2">
        <w:fldChar w:fldCharType="end"/>
      </w:r>
    </w:p>
    <w:p w14:paraId="51C18E6C" w14:textId="17149857" w:rsidR="00E83FE2" w:rsidRDefault="00E83FE2" w:rsidP="008E5AE3">
      <w:pPr>
        <w:pStyle w:val="TOC2"/>
        <w:rPr>
          <w:rFonts w:asciiTheme="minorHAnsi" w:hAnsiTheme="minorHAnsi" w:cstheme="minorBidi"/>
          <w:kern w:val="2"/>
          <w:sz w:val="24"/>
          <w:szCs w:val="24"/>
          <w:lang w:eastAsia="en-AU"/>
          <w14:ligatures w14:val="standardContextual"/>
        </w:rPr>
      </w:pPr>
      <w:r>
        <w:t>Information or opinion ‘about an individual’</w:t>
      </w:r>
      <w:r>
        <w:tab/>
      </w:r>
      <w:r>
        <w:fldChar w:fldCharType="begin"/>
      </w:r>
      <w:r>
        <w:instrText xml:space="preserve"> PAGEREF _Toc164606529 \h </w:instrText>
      </w:r>
      <w:r>
        <w:fldChar w:fldCharType="separate"/>
      </w:r>
      <w:r w:rsidR="00183626">
        <w:t>30</w:t>
      </w:r>
      <w:r>
        <w:fldChar w:fldCharType="end"/>
      </w:r>
    </w:p>
    <w:p w14:paraId="0981AAFE" w14:textId="0222A990" w:rsidR="00E83FE2" w:rsidRDefault="00E83FE2" w:rsidP="008E5AE3">
      <w:pPr>
        <w:pStyle w:val="TOC2"/>
        <w:rPr>
          <w:rFonts w:asciiTheme="minorHAnsi" w:hAnsiTheme="minorHAnsi" w:cstheme="minorBidi"/>
          <w:kern w:val="2"/>
          <w:sz w:val="24"/>
          <w:szCs w:val="24"/>
          <w:lang w:eastAsia="en-AU"/>
          <w14:ligatures w14:val="standardContextual"/>
        </w:rPr>
      </w:pPr>
      <w:r>
        <w:t>Identity is ‘reasonably ascertainable’</w:t>
      </w:r>
      <w:r>
        <w:tab/>
      </w:r>
      <w:r>
        <w:fldChar w:fldCharType="begin"/>
      </w:r>
      <w:r>
        <w:instrText xml:space="preserve"> PAGEREF _Toc164606530 \h </w:instrText>
      </w:r>
      <w:r>
        <w:fldChar w:fldCharType="separate"/>
      </w:r>
      <w:r w:rsidR="00183626">
        <w:t>31</w:t>
      </w:r>
      <w:r>
        <w:fldChar w:fldCharType="end"/>
      </w:r>
    </w:p>
    <w:p w14:paraId="4E897903" w14:textId="66A92420" w:rsidR="00E83FE2" w:rsidRDefault="00E83FE2" w:rsidP="008E5AE3">
      <w:pPr>
        <w:pStyle w:val="TOC2"/>
        <w:rPr>
          <w:rFonts w:asciiTheme="minorHAnsi" w:hAnsiTheme="minorHAnsi" w:cstheme="minorBidi"/>
          <w:kern w:val="2"/>
          <w:sz w:val="24"/>
          <w:szCs w:val="24"/>
          <w:lang w:eastAsia="en-AU"/>
          <w14:ligatures w14:val="standardContextual"/>
        </w:rPr>
      </w:pPr>
      <w:r>
        <w:t>De-identification and pseudonymisation</w:t>
      </w:r>
      <w:r>
        <w:tab/>
      </w:r>
      <w:r>
        <w:fldChar w:fldCharType="begin"/>
      </w:r>
      <w:r>
        <w:instrText xml:space="preserve"> PAGEREF _Toc164606531 \h </w:instrText>
      </w:r>
      <w:r>
        <w:fldChar w:fldCharType="separate"/>
      </w:r>
      <w:r w:rsidR="00183626">
        <w:t>31</w:t>
      </w:r>
      <w:r>
        <w:fldChar w:fldCharType="end"/>
      </w:r>
    </w:p>
    <w:p w14:paraId="0AF43E69" w14:textId="69D02D10" w:rsidR="00E83FE2" w:rsidRDefault="00E83FE2" w:rsidP="008E5AE3">
      <w:pPr>
        <w:pStyle w:val="TOC2"/>
        <w:rPr>
          <w:rFonts w:asciiTheme="minorHAnsi" w:hAnsiTheme="minorHAnsi" w:cstheme="minorBidi"/>
          <w:kern w:val="2"/>
          <w:sz w:val="24"/>
          <w:szCs w:val="24"/>
          <w:lang w:eastAsia="en-AU"/>
          <w14:ligatures w14:val="standardContextual"/>
        </w:rPr>
      </w:pPr>
      <w:r>
        <w:t>Deceased persons</w:t>
      </w:r>
      <w:r>
        <w:tab/>
      </w:r>
      <w:r>
        <w:fldChar w:fldCharType="begin"/>
      </w:r>
      <w:r>
        <w:instrText xml:space="preserve"> PAGEREF _Toc164606532 \h </w:instrText>
      </w:r>
      <w:r>
        <w:fldChar w:fldCharType="separate"/>
      </w:r>
      <w:r w:rsidR="00183626">
        <w:t>32</w:t>
      </w:r>
      <w:r>
        <w:fldChar w:fldCharType="end"/>
      </w:r>
    </w:p>
    <w:p w14:paraId="570AFF36" w14:textId="0FD517E2" w:rsidR="00E83FE2" w:rsidRDefault="00E83FE2" w:rsidP="0076225D">
      <w:pPr>
        <w:pStyle w:val="TOC1"/>
        <w:rPr>
          <w:rFonts w:asciiTheme="minorHAnsi" w:eastAsiaTheme="minorEastAsia" w:hAnsiTheme="minorHAnsi"/>
          <w:kern w:val="2"/>
          <w:sz w:val="24"/>
          <w:lang w:eastAsia="en-AU"/>
          <w14:ligatures w14:val="standardContextual"/>
        </w:rPr>
      </w:pPr>
      <w:r>
        <w:t>4.3</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_Toc164606533 \h </w:instrText>
      </w:r>
      <w:r>
        <w:fldChar w:fldCharType="separate"/>
      </w:r>
      <w:r w:rsidR="00183626">
        <w:t>32</w:t>
      </w:r>
      <w:r>
        <w:fldChar w:fldCharType="end"/>
      </w:r>
    </w:p>
    <w:p w14:paraId="5BED95E1" w14:textId="4FC0A5B6" w:rsidR="00E83FE2" w:rsidRDefault="00E83FE2" w:rsidP="008E5AE3">
      <w:pPr>
        <w:pStyle w:val="TOC2"/>
        <w:rPr>
          <w:rFonts w:asciiTheme="minorHAnsi" w:hAnsiTheme="minorHAnsi" w:cstheme="minorBidi"/>
          <w:kern w:val="2"/>
          <w:sz w:val="24"/>
          <w:szCs w:val="24"/>
          <w:lang w:eastAsia="en-AU"/>
          <w14:ligatures w14:val="standardContextual"/>
        </w:rPr>
      </w:pPr>
      <w:r>
        <w:t>Information or opinion ‘about an individual’</w:t>
      </w:r>
      <w:r>
        <w:tab/>
      </w:r>
      <w:r>
        <w:fldChar w:fldCharType="begin"/>
      </w:r>
      <w:r>
        <w:instrText xml:space="preserve"> PAGEREF _Toc164606534 \h </w:instrText>
      </w:r>
      <w:r>
        <w:fldChar w:fldCharType="separate"/>
      </w:r>
      <w:r w:rsidR="00183626">
        <w:t>32</w:t>
      </w:r>
      <w:r>
        <w:fldChar w:fldCharType="end"/>
      </w:r>
    </w:p>
    <w:p w14:paraId="449BBBB8" w14:textId="6020DC4C" w:rsidR="00E83FE2" w:rsidRDefault="00E83FE2" w:rsidP="008E5AE3">
      <w:pPr>
        <w:pStyle w:val="TOC2"/>
        <w:rPr>
          <w:rFonts w:asciiTheme="minorHAnsi" w:hAnsiTheme="minorHAnsi" w:cstheme="minorBidi"/>
          <w:kern w:val="2"/>
          <w:sz w:val="24"/>
          <w:szCs w:val="24"/>
          <w:lang w:eastAsia="en-AU"/>
          <w14:ligatures w14:val="standardContextual"/>
        </w:rPr>
      </w:pPr>
      <w:r>
        <w:t>De-identification and pseudonymisation</w:t>
      </w:r>
      <w:r>
        <w:tab/>
      </w:r>
      <w:r>
        <w:fldChar w:fldCharType="begin"/>
      </w:r>
      <w:r>
        <w:instrText xml:space="preserve"> PAGEREF _Toc164606535 \h </w:instrText>
      </w:r>
      <w:r>
        <w:fldChar w:fldCharType="separate"/>
      </w:r>
      <w:r w:rsidR="00183626">
        <w:t>34</w:t>
      </w:r>
      <w:r>
        <w:fldChar w:fldCharType="end"/>
      </w:r>
    </w:p>
    <w:p w14:paraId="257D59A9" w14:textId="6C2D32B5" w:rsidR="00E83FE2" w:rsidRDefault="00E83FE2" w:rsidP="008E5AE3">
      <w:pPr>
        <w:pStyle w:val="TOC2"/>
        <w:rPr>
          <w:rFonts w:asciiTheme="minorHAnsi" w:hAnsiTheme="minorHAnsi" w:cstheme="minorBidi"/>
          <w:kern w:val="2"/>
          <w:sz w:val="24"/>
          <w:szCs w:val="24"/>
          <w:lang w:eastAsia="en-AU"/>
          <w14:ligatures w14:val="standardContextual"/>
        </w:rPr>
      </w:pPr>
      <w:r>
        <w:t>Deceased persons</w:t>
      </w:r>
      <w:r>
        <w:tab/>
      </w:r>
      <w:r>
        <w:fldChar w:fldCharType="begin"/>
      </w:r>
      <w:r>
        <w:instrText xml:space="preserve"> PAGEREF _Toc164606536 \h </w:instrText>
      </w:r>
      <w:r>
        <w:fldChar w:fldCharType="separate"/>
      </w:r>
      <w:r w:rsidR="00183626">
        <w:t>35</w:t>
      </w:r>
      <w:r>
        <w:fldChar w:fldCharType="end"/>
      </w:r>
    </w:p>
    <w:p w14:paraId="54E57DBD" w14:textId="04304285" w:rsidR="00E83FE2" w:rsidRDefault="00E83FE2" w:rsidP="0076225D">
      <w:pPr>
        <w:pStyle w:val="TOC1"/>
        <w:rPr>
          <w:rFonts w:asciiTheme="minorHAnsi" w:eastAsiaTheme="minorEastAsia" w:hAnsiTheme="minorHAnsi"/>
          <w:kern w:val="2"/>
          <w:sz w:val="24"/>
          <w:lang w:eastAsia="en-AU"/>
          <w14:ligatures w14:val="standardContextual"/>
        </w:rPr>
      </w:pPr>
      <w:r>
        <w:t>4.4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_Toc164606537 \h </w:instrText>
      </w:r>
      <w:r>
        <w:fldChar w:fldCharType="separate"/>
      </w:r>
      <w:r w:rsidR="00183626">
        <w:t>36</w:t>
      </w:r>
      <w:r>
        <w:fldChar w:fldCharType="end"/>
      </w:r>
    </w:p>
    <w:p w14:paraId="0315913B" w14:textId="7686AC8B" w:rsidR="00E83FE2" w:rsidRDefault="00E83FE2" w:rsidP="008E5AE3">
      <w:pPr>
        <w:pStyle w:val="TOC2"/>
        <w:rPr>
          <w:rFonts w:asciiTheme="minorHAnsi" w:hAnsiTheme="minorHAnsi" w:cstheme="minorBidi"/>
          <w:kern w:val="2"/>
          <w:sz w:val="24"/>
          <w:szCs w:val="24"/>
          <w:lang w:eastAsia="en-AU"/>
          <w14:ligatures w14:val="standardContextual"/>
        </w:rPr>
      </w:pPr>
      <w:r>
        <w:t>Information or opinion ‘about an individual’</w:t>
      </w:r>
      <w:r>
        <w:tab/>
      </w:r>
      <w:r>
        <w:fldChar w:fldCharType="begin"/>
      </w:r>
      <w:r>
        <w:instrText xml:space="preserve"> PAGEREF _Toc164606538 \h </w:instrText>
      </w:r>
      <w:r>
        <w:fldChar w:fldCharType="separate"/>
      </w:r>
      <w:r w:rsidR="00183626">
        <w:t>36</w:t>
      </w:r>
      <w:r>
        <w:fldChar w:fldCharType="end"/>
      </w:r>
    </w:p>
    <w:p w14:paraId="6D71488A" w14:textId="4D2F8E5D" w:rsidR="00E83FE2" w:rsidRDefault="00E83FE2" w:rsidP="008E5AE3">
      <w:pPr>
        <w:pStyle w:val="TOC2"/>
        <w:rPr>
          <w:rFonts w:asciiTheme="minorHAnsi" w:hAnsiTheme="minorHAnsi" w:cstheme="minorBidi"/>
          <w:kern w:val="2"/>
          <w:sz w:val="24"/>
          <w:szCs w:val="24"/>
          <w:lang w:eastAsia="en-AU"/>
          <w14:ligatures w14:val="standardContextual"/>
        </w:rPr>
      </w:pPr>
      <w:r>
        <w:t>Identity is ‘reasonably ascertainable’, de-identification, and pseudonymisation</w:t>
      </w:r>
      <w:r>
        <w:tab/>
      </w:r>
      <w:r>
        <w:fldChar w:fldCharType="begin"/>
      </w:r>
      <w:r>
        <w:instrText xml:space="preserve"> PAGEREF _Toc164606539 \h </w:instrText>
      </w:r>
      <w:r>
        <w:fldChar w:fldCharType="separate"/>
      </w:r>
      <w:r w:rsidR="00183626">
        <w:t>37</w:t>
      </w:r>
      <w:r>
        <w:fldChar w:fldCharType="end"/>
      </w:r>
    </w:p>
    <w:p w14:paraId="2DF8DA9C" w14:textId="144D0109" w:rsidR="00E83FE2" w:rsidRDefault="00E83FE2" w:rsidP="008E5AE3">
      <w:pPr>
        <w:pStyle w:val="TOC2"/>
        <w:rPr>
          <w:rFonts w:asciiTheme="minorHAnsi" w:hAnsiTheme="minorHAnsi" w:cstheme="minorBidi"/>
          <w:kern w:val="2"/>
          <w:sz w:val="24"/>
          <w:szCs w:val="24"/>
          <w:lang w:eastAsia="en-AU"/>
          <w14:ligatures w14:val="standardContextual"/>
        </w:rPr>
      </w:pPr>
      <w:r>
        <w:t>Deceased persons</w:t>
      </w:r>
      <w:r>
        <w:tab/>
      </w:r>
      <w:r>
        <w:fldChar w:fldCharType="begin"/>
      </w:r>
      <w:r>
        <w:instrText xml:space="preserve"> PAGEREF _Toc164606540 \h </w:instrText>
      </w:r>
      <w:r>
        <w:fldChar w:fldCharType="separate"/>
      </w:r>
      <w:r w:rsidR="00183626">
        <w:t>37</w:t>
      </w:r>
      <w:r>
        <w:fldChar w:fldCharType="end"/>
      </w:r>
    </w:p>
    <w:p w14:paraId="3EE7629F" w14:textId="0F04ED23" w:rsidR="00E83FE2" w:rsidRDefault="00E83FE2" w:rsidP="0076225D">
      <w:pPr>
        <w:pStyle w:val="TOC1"/>
        <w:rPr>
          <w:rFonts w:asciiTheme="minorHAnsi" w:eastAsiaTheme="minorEastAsia" w:hAnsiTheme="minorHAnsi"/>
          <w:kern w:val="2"/>
          <w:sz w:val="24"/>
          <w:lang w:eastAsia="en-AU"/>
          <w14:ligatures w14:val="standardContextual"/>
        </w:rPr>
      </w:pPr>
      <w:r>
        <w:t>4.5</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_Toc164606541 \h </w:instrText>
      </w:r>
      <w:r>
        <w:fldChar w:fldCharType="separate"/>
      </w:r>
      <w:r w:rsidR="00183626">
        <w:t>37</w:t>
      </w:r>
      <w:r>
        <w:fldChar w:fldCharType="end"/>
      </w:r>
    </w:p>
    <w:p w14:paraId="4DBF4055" w14:textId="5EAC2252" w:rsidR="00E83FE2" w:rsidRDefault="00E83FE2" w:rsidP="008E5AE3">
      <w:pPr>
        <w:pStyle w:val="TOC2"/>
        <w:rPr>
          <w:rFonts w:asciiTheme="minorHAnsi" w:hAnsiTheme="minorHAnsi" w:cstheme="minorBidi"/>
          <w:kern w:val="2"/>
          <w:sz w:val="24"/>
          <w:szCs w:val="24"/>
          <w:lang w:eastAsia="en-AU"/>
          <w14:ligatures w14:val="standardContextual"/>
        </w:rPr>
      </w:pPr>
      <w:r>
        <w:t>Information or opinion ‘about an individual’</w:t>
      </w:r>
      <w:r>
        <w:tab/>
      </w:r>
      <w:r>
        <w:fldChar w:fldCharType="begin"/>
      </w:r>
      <w:r>
        <w:instrText xml:space="preserve"> PAGEREF _Toc164606542 \h </w:instrText>
      </w:r>
      <w:r>
        <w:fldChar w:fldCharType="separate"/>
      </w:r>
      <w:r w:rsidR="00183626">
        <w:t>37</w:t>
      </w:r>
      <w:r>
        <w:fldChar w:fldCharType="end"/>
      </w:r>
    </w:p>
    <w:p w14:paraId="3D13DD2A" w14:textId="7871275F" w:rsidR="00E83FE2" w:rsidRDefault="00E83FE2" w:rsidP="008E5AE3">
      <w:pPr>
        <w:pStyle w:val="TOC2"/>
        <w:rPr>
          <w:rFonts w:asciiTheme="minorHAnsi" w:hAnsiTheme="minorHAnsi" w:cstheme="minorBidi"/>
          <w:kern w:val="2"/>
          <w:sz w:val="24"/>
          <w:szCs w:val="24"/>
          <w:lang w:eastAsia="en-AU"/>
          <w14:ligatures w14:val="standardContextual"/>
        </w:rPr>
      </w:pPr>
      <w:r>
        <w:t>Identity is ‘reasonably identifiable’</w:t>
      </w:r>
      <w:r>
        <w:tab/>
      </w:r>
      <w:r>
        <w:fldChar w:fldCharType="begin"/>
      </w:r>
      <w:r>
        <w:instrText xml:space="preserve"> PAGEREF _Toc164606543 \h </w:instrText>
      </w:r>
      <w:r>
        <w:fldChar w:fldCharType="separate"/>
      </w:r>
      <w:r w:rsidR="00183626">
        <w:t>37</w:t>
      </w:r>
      <w:r>
        <w:fldChar w:fldCharType="end"/>
      </w:r>
    </w:p>
    <w:p w14:paraId="3E185765" w14:textId="300566EB" w:rsidR="00E83FE2" w:rsidRDefault="00E83FE2" w:rsidP="008E5AE3">
      <w:pPr>
        <w:pStyle w:val="TOC2"/>
        <w:rPr>
          <w:rFonts w:asciiTheme="minorHAnsi" w:hAnsiTheme="minorHAnsi" w:cstheme="minorBidi"/>
          <w:kern w:val="2"/>
          <w:sz w:val="24"/>
          <w:szCs w:val="24"/>
          <w:lang w:eastAsia="en-AU"/>
          <w14:ligatures w14:val="standardContextual"/>
        </w:rPr>
      </w:pPr>
      <w:r>
        <w:t>De-identification and pseudonymisation</w:t>
      </w:r>
      <w:r>
        <w:tab/>
      </w:r>
      <w:r>
        <w:fldChar w:fldCharType="begin"/>
      </w:r>
      <w:r>
        <w:instrText xml:space="preserve"> PAGEREF _Toc164606544 \h </w:instrText>
      </w:r>
      <w:r>
        <w:fldChar w:fldCharType="separate"/>
      </w:r>
      <w:r w:rsidR="00183626">
        <w:t>38</w:t>
      </w:r>
      <w:r>
        <w:fldChar w:fldCharType="end"/>
      </w:r>
    </w:p>
    <w:p w14:paraId="46DD8DF1" w14:textId="68544F85" w:rsidR="00E83FE2" w:rsidRDefault="00E83FE2" w:rsidP="0076225D">
      <w:pPr>
        <w:pStyle w:val="TOC1"/>
        <w:rPr>
          <w:rFonts w:asciiTheme="minorHAnsi" w:eastAsiaTheme="minorEastAsia" w:hAnsiTheme="minorHAnsi"/>
          <w:kern w:val="2"/>
          <w:sz w:val="24"/>
          <w:lang w:eastAsia="en-AU"/>
          <w14:ligatures w14:val="standardContextual"/>
        </w:rPr>
      </w:pPr>
      <w:r>
        <w:t>4.6</w:t>
      </w:r>
      <w:r>
        <w:rPr>
          <w:rFonts w:asciiTheme="minorHAnsi" w:eastAsiaTheme="minorEastAsia" w:hAnsiTheme="minorHAnsi"/>
          <w:kern w:val="2"/>
          <w:sz w:val="24"/>
          <w:lang w:eastAsia="en-AU"/>
          <w14:ligatures w14:val="standardContextual"/>
        </w:rPr>
        <w:tab/>
      </w:r>
      <w:r>
        <w:t>Recommendations</w:t>
      </w:r>
      <w:r w:rsidR="00AA1525">
        <w:t xml:space="preserve"> 1–4</w:t>
      </w:r>
      <w:r>
        <w:tab/>
      </w:r>
      <w:r w:rsidRPr="008E5AE3">
        <w:fldChar w:fldCharType="begin"/>
      </w:r>
      <w:r w:rsidRPr="008E5AE3">
        <w:instrText xml:space="preserve"> PAGEREF _Toc164606545 \h </w:instrText>
      </w:r>
      <w:r w:rsidRPr="008E5AE3">
        <w:fldChar w:fldCharType="separate"/>
      </w:r>
      <w:r w:rsidR="00183626">
        <w:t>39</w:t>
      </w:r>
      <w:r w:rsidRPr="008E5AE3">
        <w:fldChar w:fldCharType="end"/>
      </w:r>
    </w:p>
    <w:p w14:paraId="3C9B1EA2" w14:textId="71103295" w:rsidR="00E83FE2" w:rsidRDefault="00E83FE2" w:rsidP="0076225D">
      <w:pPr>
        <w:pStyle w:val="TOC1"/>
        <w:rPr>
          <w:rFonts w:asciiTheme="minorHAnsi" w:eastAsiaTheme="minorEastAsia" w:hAnsiTheme="minorHAnsi"/>
          <w:kern w:val="2"/>
          <w:sz w:val="24"/>
          <w:lang w:eastAsia="en-AU"/>
          <w14:ligatures w14:val="standardContextual"/>
        </w:rPr>
      </w:pPr>
      <w:r>
        <w:t>4.7</w:t>
      </w:r>
      <w:r>
        <w:rPr>
          <w:rFonts w:asciiTheme="minorHAnsi" w:eastAsiaTheme="minorEastAsia" w:hAnsiTheme="minorHAnsi"/>
          <w:kern w:val="2"/>
          <w:sz w:val="24"/>
          <w:lang w:eastAsia="en-AU"/>
          <w14:ligatures w14:val="standardContextual"/>
        </w:rPr>
        <w:tab/>
      </w:r>
      <w:r>
        <w:t>Types of information given additional protection in the PIPA</w:t>
      </w:r>
      <w:r>
        <w:tab/>
      </w:r>
      <w:r>
        <w:fldChar w:fldCharType="begin"/>
      </w:r>
      <w:r>
        <w:instrText xml:space="preserve"> PAGEREF _Toc164606546 \h </w:instrText>
      </w:r>
      <w:r>
        <w:fldChar w:fldCharType="separate"/>
      </w:r>
      <w:r w:rsidR="00183626">
        <w:t>40</w:t>
      </w:r>
      <w:r>
        <w:fldChar w:fldCharType="end"/>
      </w:r>
    </w:p>
    <w:p w14:paraId="25F2FCA7" w14:textId="3D9DF97C" w:rsidR="00E83FE2" w:rsidRDefault="00AA1525"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_Toc164606547 \h </w:instrText>
      </w:r>
      <w:r w:rsidR="00E83FE2">
        <w:fldChar w:fldCharType="separate"/>
      </w:r>
      <w:r w:rsidR="00183626">
        <w:t>40</w:t>
      </w:r>
      <w:r w:rsidR="00E83FE2">
        <w:fldChar w:fldCharType="end"/>
      </w:r>
    </w:p>
    <w:p w14:paraId="75D3574D" w14:textId="6AAB5789" w:rsidR="00E83FE2" w:rsidRDefault="00E83FE2" w:rsidP="008E5AE3">
      <w:pPr>
        <w:pStyle w:val="TOC2"/>
        <w:rPr>
          <w:rFonts w:asciiTheme="minorHAnsi" w:hAnsiTheme="minorHAnsi" w:cstheme="minorBidi"/>
          <w:kern w:val="2"/>
          <w:sz w:val="24"/>
          <w:szCs w:val="24"/>
          <w:lang w:eastAsia="en-AU"/>
          <w14:ligatures w14:val="standardContextual"/>
        </w:rPr>
      </w:pPr>
      <w:r>
        <w:t>Sensitive information</w:t>
      </w:r>
      <w:r>
        <w:tab/>
      </w:r>
      <w:r>
        <w:fldChar w:fldCharType="begin"/>
      </w:r>
      <w:r>
        <w:instrText xml:space="preserve"> PAGEREF _Toc164606548 \h </w:instrText>
      </w:r>
      <w:r>
        <w:fldChar w:fldCharType="separate"/>
      </w:r>
      <w:r w:rsidR="00183626">
        <w:t>40</w:t>
      </w:r>
      <w:r>
        <w:fldChar w:fldCharType="end"/>
      </w:r>
    </w:p>
    <w:p w14:paraId="47C90D7F" w14:textId="197738C5" w:rsidR="00E83FE2" w:rsidRDefault="00E83FE2" w:rsidP="008E5AE3">
      <w:pPr>
        <w:pStyle w:val="TOC2"/>
        <w:rPr>
          <w:rFonts w:asciiTheme="minorHAnsi" w:hAnsiTheme="minorHAnsi" w:cstheme="minorBidi"/>
          <w:kern w:val="2"/>
          <w:sz w:val="24"/>
          <w:szCs w:val="24"/>
          <w:lang w:eastAsia="en-AU"/>
          <w14:ligatures w14:val="standardContextual"/>
        </w:rPr>
      </w:pPr>
      <w:r>
        <w:t>Health information</w:t>
      </w:r>
      <w:r>
        <w:tab/>
      </w:r>
      <w:r>
        <w:fldChar w:fldCharType="begin"/>
      </w:r>
      <w:r>
        <w:instrText xml:space="preserve"> PAGEREF _Toc164606549 \h </w:instrText>
      </w:r>
      <w:r>
        <w:fldChar w:fldCharType="separate"/>
      </w:r>
      <w:r w:rsidR="00183626">
        <w:t>41</w:t>
      </w:r>
      <w:r>
        <w:fldChar w:fldCharType="end"/>
      </w:r>
    </w:p>
    <w:p w14:paraId="0717A9F7" w14:textId="09ED97BD" w:rsidR="00E83FE2" w:rsidRDefault="00AA1525"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_Toc164606550 \h </w:instrText>
      </w:r>
      <w:r w:rsidR="00E83FE2">
        <w:fldChar w:fldCharType="separate"/>
      </w:r>
      <w:r w:rsidR="00183626">
        <w:t>42</w:t>
      </w:r>
      <w:r w:rsidR="00E83FE2">
        <w:fldChar w:fldCharType="end"/>
      </w:r>
    </w:p>
    <w:p w14:paraId="31E020A1" w14:textId="6E4DFD17" w:rsidR="00E83FE2" w:rsidRDefault="00E83FE2" w:rsidP="0076225D">
      <w:pPr>
        <w:pStyle w:val="TOC1"/>
        <w:rPr>
          <w:rFonts w:asciiTheme="minorHAnsi" w:eastAsiaTheme="minorEastAsia" w:hAnsiTheme="minorHAnsi"/>
          <w:kern w:val="2"/>
          <w:sz w:val="24"/>
          <w:lang w:eastAsia="en-AU"/>
          <w14:ligatures w14:val="standardContextual"/>
        </w:rPr>
      </w:pPr>
      <w:r>
        <w:t>4.8</w:t>
      </w:r>
      <w:r>
        <w:rPr>
          <w:rFonts w:asciiTheme="minorHAnsi" w:eastAsiaTheme="minorEastAsia" w:hAnsiTheme="minorHAnsi"/>
          <w:kern w:val="2"/>
          <w:sz w:val="24"/>
          <w:lang w:eastAsia="en-AU"/>
          <w14:ligatures w14:val="standardContextual"/>
        </w:rPr>
        <w:tab/>
      </w:r>
      <w:r>
        <w:t>Proposals in the Commonwealth Privacy Act Review</w:t>
      </w:r>
      <w:r>
        <w:tab/>
      </w:r>
      <w:r>
        <w:fldChar w:fldCharType="begin"/>
      </w:r>
      <w:r>
        <w:instrText xml:space="preserve"> PAGEREF _Toc164606551 \h </w:instrText>
      </w:r>
      <w:r>
        <w:fldChar w:fldCharType="separate"/>
      </w:r>
      <w:r w:rsidR="00183626">
        <w:t>43</w:t>
      </w:r>
      <w:r>
        <w:fldChar w:fldCharType="end"/>
      </w:r>
    </w:p>
    <w:p w14:paraId="7E50874B" w14:textId="4FE772E8" w:rsidR="00E83FE2" w:rsidRDefault="00E83FE2" w:rsidP="0076225D">
      <w:pPr>
        <w:pStyle w:val="TOC1"/>
        <w:rPr>
          <w:rFonts w:asciiTheme="minorHAnsi" w:eastAsiaTheme="minorEastAsia" w:hAnsiTheme="minorHAnsi"/>
          <w:kern w:val="2"/>
          <w:sz w:val="24"/>
          <w:lang w:eastAsia="en-AU"/>
          <w14:ligatures w14:val="standardContextual"/>
        </w:rPr>
      </w:pPr>
      <w:r>
        <w:t>4.9</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_Toc164606552 \h </w:instrText>
      </w:r>
      <w:r>
        <w:fldChar w:fldCharType="separate"/>
      </w:r>
      <w:r w:rsidR="00183626">
        <w:t>45</w:t>
      </w:r>
      <w:r>
        <w:fldChar w:fldCharType="end"/>
      </w:r>
    </w:p>
    <w:p w14:paraId="72633B09" w14:textId="38216E83" w:rsidR="00E83FE2" w:rsidRDefault="00E83FE2" w:rsidP="0076225D">
      <w:pPr>
        <w:pStyle w:val="TOC1"/>
        <w:rPr>
          <w:rFonts w:asciiTheme="minorHAnsi" w:eastAsiaTheme="minorEastAsia" w:hAnsiTheme="minorHAnsi"/>
          <w:kern w:val="2"/>
          <w:sz w:val="24"/>
          <w:lang w:eastAsia="en-AU"/>
          <w14:ligatures w14:val="standardContextual"/>
        </w:rPr>
      </w:pPr>
      <w:r>
        <w:t>4.10</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_Toc164606553 \h </w:instrText>
      </w:r>
      <w:r>
        <w:fldChar w:fldCharType="separate"/>
      </w:r>
      <w:r w:rsidR="00183626">
        <w:t>46</w:t>
      </w:r>
      <w:r>
        <w:fldChar w:fldCharType="end"/>
      </w:r>
    </w:p>
    <w:p w14:paraId="63DCAC99" w14:textId="16E145D5" w:rsidR="00E83FE2" w:rsidRDefault="00E83FE2" w:rsidP="0076225D">
      <w:pPr>
        <w:pStyle w:val="TOC1"/>
        <w:rPr>
          <w:rFonts w:asciiTheme="minorHAnsi" w:eastAsiaTheme="minorEastAsia" w:hAnsiTheme="minorHAnsi"/>
          <w:kern w:val="2"/>
          <w:sz w:val="24"/>
          <w:lang w:eastAsia="en-AU"/>
          <w14:ligatures w14:val="standardContextual"/>
        </w:rPr>
      </w:pPr>
      <w:r>
        <w:t>4.11</w:t>
      </w:r>
      <w:r>
        <w:rPr>
          <w:rFonts w:asciiTheme="minorHAnsi" w:eastAsiaTheme="minorEastAsia" w:hAnsiTheme="minorHAnsi"/>
          <w:kern w:val="2"/>
          <w:sz w:val="24"/>
          <w:lang w:eastAsia="en-AU"/>
          <w14:ligatures w14:val="standardContextual"/>
        </w:rPr>
        <w:tab/>
      </w:r>
      <w:r>
        <w:t>Recommendations</w:t>
      </w:r>
      <w:r w:rsidR="009B39A6">
        <w:t xml:space="preserve"> 5–9</w:t>
      </w:r>
      <w:r>
        <w:tab/>
      </w:r>
      <w:r>
        <w:fldChar w:fldCharType="begin"/>
      </w:r>
      <w:r>
        <w:instrText xml:space="preserve"> PAGEREF _Toc164606554 \h </w:instrText>
      </w:r>
      <w:r>
        <w:fldChar w:fldCharType="separate"/>
      </w:r>
      <w:r w:rsidR="00183626">
        <w:t>47</w:t>
      </w:r>
      <w:r>
        <w:fldChar w:fldCharType="end"/>
      </w:r>
    </w:p>
    <w:p w14:paraId="23D64BD1" w14:textId="5AE3BF06" w:rsidR="00E83FE2" w:rsidRDefault="00E83FE2" w:rsidP="002D185D">
      <w:pPr>
        <w:pStyle w:val="TOC1"/>
        <w:ind w:left="720" w:hanging="720"/>
        <w:rPr>
          <w:rFonts w:asciiTheme="minorHAnsi" w:eastAsiaTheme="minorEastAsia" w:hAnsiTheme="minorHAnsi"/>
          <w:kern w:val="2"/>
          <w:sz w:val="24"/>
          <w:lang w:eastAsia="en-AU"/>
          <w14:ligatures w14:val="standardContextual"/>
        </w:rPr>
      </w:pPr>
      <w:r>
        <w:t>4.12</w:t>
      </w:r>
      <w:r>
        <w:rPr>
          <w:rFonts w:asciiTheme="minorHAnsi" w:eastAsiaTheme="minorEastAsia" w:hAnsiTheme="minorHAnsi"/>
          <w:kern w:val="2"/>
          <w:sz w:val="24"/>
          <w:lang w:eastAsia="en-AU"/>
          <w14:ligatures w14:val="standardContextual"/>
        </w:rPr>
        <w:tab/>
      </w:r>
      <w:r>
        <w:t>Information that receives a lower level of protection under the PIPA or other privacy</w:t>
      </w:r>
      <w:r w:rsidR="001F5128">
        <w:t xml:space="preserve"> </w:t>
      </w:r>
      <w:r>
        <w:t>legislation</w:t>
      </w:r>
      <w:r w:rsidR="008D6A39">
        <w:t xml:space="preserve"> </w:t>
      </w:r>
      <w:r>
        <w:tab/>
      </w:r>
      <w:r>
        <w:fldChar w:fldCharType="begin"/>
      </w:r>
      <w:r>
        <w:instrText xml:space="preserve"> PAGEREF _Toc164606555 \h </w:instrText>
      </w:r>
      <w:r>
        <w:fldChar w:fldCharType="separate"/>
      </w:r>
      <w:r w:rsidR="00183626">
        <w:t>48</w:t>
      </w:r>
      <w:r>
        <w:fldChar w:fldCharType="end"/>
      </w:r>
    </w:p>
    <w:p w14:paraId="6F27496B" w14:textId="7D0F7516" w:rsidR="00E83FE2" w:rsidRDefault="009B39A6"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_Toc164606556 \h </w:instrText>
      </w:r>
      <w:r w:rsidR="00E83FE2">
        <w:fldChar w:fldCharType="separate"/>
      </w:r>
      <w:r w:rsidR="00183626">
        <w:t>48</w:t>
      </w:r>
      <w:r w:rsidR="00E83FE2">
        <w:fldChar w:fldCharType="end"/>
      </w:r>
    </w:p>
    <w:p w14:paraId="51388C6D" w14:textId="4013D130" w:rsidR="00E83FE2" w:rsidRDefault="00E83FE2" w:rsidP="008E5AE3">
      <w:pPr>
        <w:pStyle w:val="TOC2"/>
        <w:rPr>
          <w:rFonts w:asciiTheme="minorHAnsi" w:hAnsiTheme="minorHAnsi" w:cstheme="minorBidi"/>
          <w:kern w:val="2"/>
          <w:sz w:val="24"/>
          <w:szCs w:val="24"/>
          <w:lang w:eastAsia="en-AU"/>
          <w14:ligatures w14:val="standardContextual"/>
        </w:rPr>
      </w:pPr>
      <w:r>
        <w:t>Basic personal information</w:t>
      </w:r>
      <w:r>
        <w:tab/>
      </w:r>
      <w:r>
        <w:fldChar w:fldCharType="begin"/>
      </w:r>
      <w:r>
        <w:instrText xml:space="preserve"> PAGEREF _Toc164606557 \h </w:instrText>
      </w:r>
      <w:r>
        <w:fldChar w:fldCharType="separate"/>
      </w:r>
      <w:r w:rsidR="00183626">
        <w:t>48</w:t>
      </w:r>
      <w:r>
        <w:fldChar w:fldCharType="end"/>
      </w:r>
    </w:p>
    <w:p w14:paraId="01700380" w14:textId="4B1FAA7D" w:rsidR="00E83FE2" w:rsidRDefault="00E83FE2" w:rsidP="008E5AE3">
      <w:pPr>
        <w:pStyle w:val="TOC2"/>
        <w:rPr>
          <w:rFonts w:asciiTheme="minorHAnsi" w:hAnsiTheme="minorHAnsi" w:cstheme="minorBidi"/>
          <w:kern w:val="2"/>
          <w:sz w:val="24"/>
          <w:szCs w:val="24"/>
          <w:lang w:eastAsia="en-AU"/>
          <w14:ligatures w14:val="standardContextual"/>
        </w:rPr>
      </w:pPr>
      <w:r>
        <w:t>Employee information</w:t>
      </w:r>
      <w:r>
        <w:tab/>
      </w:r>
      <w:r>
        <w:fldChar w:fldCharType="begin"/>
      </w:r>
      <w:r>
        <w:instrText xml:space="preserve"> PAGEREF _Toc164606558 \h </w:instrText>
      </w:r>
      <w:r>
        <w:fldChar w:fldCharType="separate"/>
      </w:r>
      <w:r w:rsidR="00183626">
        <w:t>48</w:t>
      </w:r>
      <w:r>
        <w:fldChar w:fldCharType="end"/>
      </w:r>
    </w:p>
    <w:p w14:paraId="4142E711" w14:textId="5B05C1A6" w:rsidR="00E83FE2" w:rsidRDefault="00E83FE2" w:rsidP="008E5AE3">
      <w:pPr>
        <w:pStyle w:val="TOC2"/>
        <w:rPr>
          <w:rFonts w:asciiTheme="minorHAnsi" w:hAnsiTheme="minorHAnsi" w:cstheme="minorBidi"/>
          <w:kern w:val="2"/>
          <w:sz w:val="24"/>
          <w:szCs w:val="24"/>
          <w:lang w:eastAsia="en-AU"/>
          <w14:ligatures w14:val="standardContextual"/>
        </w:rPr>
      </w:pPr>
      <w:r>
        <w:lastRenderedPageBreak/>
        <w:t>Public information</w:t>
      </w:r>
      <w:r>
        <w:tab/>
      </w:r>
      <w:r>
        <w:fldChar w:fldCharType="begin"/>
      </w:r>
      <w:r>
        <w:instrText xml:space="preserve"> PAGEREF _Toc164606559 \h </w:instrText>
      </w:r>
      <w:r>
        <w:fldChar w:fldCharType="separate"/>
      </w:r>
      <w:r w:rsidR="00183626">
        <w:t>49</w:t>
      </w:r>
      <w:r>
        <w:fldChar w:fldCharType="end"/>
      </w:r>
    </w:p>
    <w:p w14:paraId="3EA75F67" w14:textId="4A63F595" w:rsidR="00E83FE2" w:rsidRDefault="00E83FE2" w:rsidP="008E5AE3">
      <w:pPr>
        <w:pStyle w:val="TOC2"/>
        <w:rPr>
          <w:rFonts w:asciiTheme="minorHAnsi" w:hAnsiTheme="minorHAnsi" w:cstheme="minorBidi"/>
          <w:kern w:val="2"/>
          <w:sz w:val="24"/>
          <w:szCs w:val="24"/>
          <w:lang w:eastAsia="en-AU"/>
          <w14:ligatures w14:val="standardContextual"/>
        </w:rPr>
      </w:pPr>
      <w:r>
        <w:t>Law enforcement information</w:t>
      </w:r>
      <w:r>
        <w:tab/>
      </w:r>
      <w:r>
        <w:fldChar w:fldCharType="begin"/>
      </w:r>
      <w:r>
        <w:instrText xml:space="preserve"> PAGEREF _Toc164606560 \h </w:instrText>
      </w:r>
      <w:r>
        <w:fldChar w:fldCharType="separate"/>
      </w:r>
      <w:r w:rsidR="00183626">
        <w:t>49</w:t>
      </w:r>
      <w:r>
        <w:fldChar w:fldCharType="end"/>
      </w:r>
    </w:p>
    <w:p w14:paraId="3603CAC2" w14:textId="30C6FD76" w:rsidR="00E83FE2" w:rsidRDefault="00E83FE2" w:rsidP="008E5AE3">
      <w:pPr>
        <w:pStyle w:val="TOC2"/>
        <w:rPr>
          <w:rFonts w:asciiTheme="minorHAnsi" w:hAnsiTheme="minorHAnsi" w:cstheme="minorBidi"/>
          <w:kern w:val="2"/>
          <w:sz w:val="24"/>
          <w:szCs w:val="24"/>
          <w:lang w:eastAsia="en-AU"/>
          <w14:ligatures w14:val="standardContextual"/>
        </w:rPr>
      </w:pPr>
      <w:r>
        <w:t>Public benefit exemptions</w:t>
      </w:r>
      <w:r>
        <w:tab/>
      </w:r>
      <w:r>
        <w:fldChar w:fldCharType="begin"/>
      </w:r>
      <w:r>
        <w:instrText xml:space="preserve"> PAGEREF _Toc164606561 \h </w:instrText>
      </w:r>
      <w:r>
        <w:fldChar w:fldCharType="separate"/>
      </w:r>
      <w:r w:rsidR="00183626">
        <w:t>51</w:t>
      </w:r>
      <w:r>
        <w:fldChar w:fldCharType="end"/>
      </w:r>
    </w:p>
    <w:p w14:paraId="4A86543C" w14:textId="762CF625" w:rsidR="00E83FE2" w:rsidRDefault="00E83FE2" w:rsidP="008E5AE3">
      <w:pPr>
        <w:pStyle w:val="TOC2"/>
        <w:rPr>
          <w:rFonts w:asciiTheme="minorHAnsi" w:hAnsiTheme="minorHAnsi" w:cstheme="minorBidi"/>
          <w:kern w:val="2"/>
          <w:sz w:val="24"/>
          <w:szCs w:val="24"/>
          <w:lang w:eastAsia="en-AU"/>
          <w14:ligatures w14:val="standardContextual"/>
        </w:rPr>
      </w:pPr>
      <w:r>
        <w:t>Emergency declarations</w:t>
      </w:r>
      <w:r>
        <w:tab/>
      </w:r>
      <w:r>
        <w:fldChar w:fldCharType="begin"/>
      </w:r>
      <w:r>
        <w:instrText xml:space="preserve"> PAGEREF _Toc164606562 \h </w:instrText>
      </w:r>
      <w:r>
        <w:fldChar w:fldCharType="separate"/>
      </w:r>
      <w:r w:rsidR="00183626">
        <w:t>52</w:t>
      </w:r>
      <w:r>
        <w:fldChar w:fldCharType="end"/>
      </w:r>
    </w:p>
    <w:p w14:paraId="1E5A60E2" w14:textId="3715E930" w:rsidR="00E83FE2" w:rsidRDefault="009B39A6"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_Toc164606563 \h </w:instrText>
      </w:r>
      <w:r w:rsidR="00E83FE2">
        <w:fldChar w:fldCharType="separate"/>
      </w:r>
      <w:r w:rsidR="00183626">
        <w:t>52</w:t>
      </w:r>
      <w:r w:rsidR="00E83FE2">
        <w:fldChar w:fldCharType="end"/>
      </w:r>
    </w:p>
    <w:p w14:paraId="0C4384D6" w14:textId="2EE1497A" w:rsidR="00E83FE2" w:rsidRDefault="00E83FE2" w:rsidP="008E5AE3">
      <w:pPr>
        <w:pStyle w:val="TOC2"/>
        <w:rPr>
          <w:rFonts w:asciiTheme="minorHAnsi" w:hAnsiTheme="minorHAnsi" w:cstheme="minorBidi"/>
          <w:kern w:val="2"/>
          <w:sz w:val="24"/>
          <w:szCs w:val="24"/>
          <w:lang w:eastAsia="en-AU"/>
          <w14:ligatures w14:val="standardContextual"/>
        </w:rPr>
      </w:pPr>
      <w:r>
        <w:t>Basic information</w:t>
      </w:r>
      <w:r>
        <w:tab/>
      </w:r>
      <w:r>
        <w:fldChar w:fldCharType="begin"/>
      </w:r>
      <w:r>
        <w:instrText xml:space="preserve"> PAGEREF _Toc164606564 \h </w:instrText>
      </w:r>
      <w:r>
        <w:fldChar w:fldCharType="separate"/>
      </w:r>
      <w:r w:rsidR="00183626">
        <w:t>52</w:t>
      </w:r>
      <w:r>
        <w:fldChar w:fldCharType="end"/>
      </w:r>
    </w:p>
    <w:p w14:paraId="154BCB34" w14:textId="294A6EB4" w:rsidR="00E83FE2" w:rsidRDefault="00E83FE2" w:rsidP="008E5AE3">
      <w:pPr>
        <w:pStyle w:val="TOC2"/>
        <w:rPr>
          <w:rFonts w:asciiTheme="minorHAnsi" w:hAnsiTheme="minorHAnsi" w:cstheme="minorBidi"/>
          <w:kern w:val="2"/>
          <w:sz w:val="24"/>
          <w:szCs w:val="24"/>
          <w:lang w:eastAsia="en-AU"/>
          <w14:ligatures w14:val="standardContextual"/>
        </w:rPr>
      </w:pPr>
      <w:r>
        <w:t>Employee information</w:t>
      </w:r>
      <w:r>
        <w:tab/>
      </w:r>
      <w:r>
        <w:fldChar w:fldCharType="begin"/>
      </w:r>
      <w:r>
        <w:instrText xml:space="preserve"> PAGEREF _Toc164606565 \h </w:instrText>
      </w:r>
      <w:r>
        <w:fldChar w:fldCharType="separate"/>
      </w:r>
      <w:r w:rsidR="00183626">
        <w:t>52</w:t>
      </w:r>
      <w:r>
        <w:fldChar w:fldCharType="end"/>
      </w:r>
    </w:p>
    <w:p w14:paraId="17BF4BFB" w14:textId="4F8630A3" w:rsidR="00E83FE2" w:rsidRDefault="00E83FE2" w:rsidP="008E5AE3">
      <w:pPr>
        <w:pStyle w:val="TOC2"/>
        <w:rPr>
          <w:rFonts w:asciiTheme="minorHAnsi" w:hAnsiTheme="minorHAnsi" w:cstheme="minorBidi"/>
          <w:kern w:val="2"/>
          <w:sz w:val="24"/>
          <w:szCs w:val="24"/>
          <w:lang w:eastAsia="en-AU"/>
          <w14:ligatures w14:val="standardContextual"/>
        </w:rPr>
      </w:pPr>
      <w:r>
        <w:t>Public information</w:t>
      </w:r>
      <w:r>
        <w:tab/>
      </w:r>
      <w:r>
        <w:fldChar w:fldCharType="begin"/>
      </w:r>
      <w:r>
        <w:instrText xml:space="preserve"> PAGEREF _Toc164606566 \h </w:instrText>
      </w:r>
      <w:r>
        <w:fldChar w:fldCharType="separate"/>
      </w:r>
      <w:r w:rsidR="00183626">
        <w:t>52</w:t>
      </w:r>
      <w:r>
        <w:fldChar w:fldCharType="end"/>
      </w:r>
    </w:p>
    <w:p w14:paraId="20D2979B" w14:textId="50099B9D" w:rsidR="00E83FE2" w:rsidRDefault="00E83FE2" w:rsidP="008E5AE3">
      <w:pPr>
        <w:pStyle w:val="TOC2"/>
        <w:rPr>
          <w:rFonts w:asciiTheme="minorHAnsi" w:hAnsiTheme="minorHAnsi" w:cstheme="minorBidi"/>
          <w:kern w:val="2"/>
          <w:sz w:val="24"/>
          <w:szCs w:val="24"/>
          <w:lang w:eastAsia="en-AU"/>
          <w14:ligatures w14:val="standardContextual"/>
        </w:rPr>
      </w:pPr>
      <w:r>
        <w:t>Law enforcement information</w:t>
      </w:r>
      <w:r>
        <w:tab/>
      </w:r>
      <w:r>
        <w:fldChar w:fldCharType="begin"/>
      </w:r>
      <w:r>
        <w:instrText xml:space="preserve"> PAGEREF _Toc164606567 \h </w:instrText>
      </w:r>
      <w:r>
        <w:fldChar w:fldCharType="separate"/>
      </w:r>
      <w:r w:rsidR="00183626">
        <w:t>53</w:t>
      </w:r>
      <w:r>
        <w:fldChar w:fldCharType="end"/>
      </w:r>
    </w:p>
    <w:p w14:paraId="4A0ECA5C" w14:textId="7270CC9A" w:rsidR="00E83FE2" w:rsidRDefault="00E83FE2" w:rsidP="008E5AE3">
      <w:pPr>
        <w:pStyle w:val="TOC2"/>
        <w:rPr>
          <w:rFonts w:asciiTheme="minorHAnsi" w:hAnsiTheme="minorHAnsi" w:cstheme="minorBidi"/>
          <w:kern w:val="2"/>
          <w:sz w:val="24"/>
          <w:szCs w:val="24"/>
          <w:lang w:eastAsia="en-AU"/>
          <w14:ligatures w14:val="standardContextual"/>
        </w:rPr>
      </w:pPr>
      <w:r>
        <w:t>Public benefit or public interest exemptions</w:t>
      </w:r>
      <w:r>
        <w:tab/>
      </w:r>
      <w:r>
        <w:fldChar w:fldCharType="begin"/>
      </w:r>
      <w:r>
        <w:instrText xml:space="preserve"> PAGEREF _Toc164606568 \h </w:instrText>
      </w:r>
      <w:r>
        <w:fldChar w:fldCharType="separate"/>
      </w:r>
      <w:r w:rsidR="00183626">
        <w:t>53</w:t>
      </w:r>
      <w:r>
        <w:fldChar w:fldCharType="end"/>
      </w:r>
    </w:p>
    <w:p w14:paraId="3475F5FA" w14:textId="282989EE" w:rsidR="00E83FE2" w:rsidRDefault="00E83FE2" w:rsidP="008E5AE3">
      <w:pPr>
        <w:pStyle w:val="TOC2"/>
        <w:rPr>
          <w:rFonts w:asciiTheme="minorHAnsi" w:hAnsiTheme="minorHAnsi" w:cstheme="minorBidi"/>
          <w:kern w:val="2"/>
          <w:sz w:val="24"/>
          <w:szCs w:val="24"/>
          <w:lang w:eastAsia="en-AU"/>
          <w14:ligatures w14:val="standardContextual"/>
        </w:rPr>
      </w:pPr>
      <w:r>
        <w:t>Emergency declarations</w:t>
      </w:r>
      <w:r>
        <w:tab/>
      </w:r>
      <w:r>
        <w:fldChar w:fldCharType="begin"/>
      </w:r>
      <w:r>
        <w:instrText xml:space="preserve"> PAGEREF _Toc164606569 \h </w:instrText>
      </w:r>
      <w:r>
        <w:fldChar w:fldCharType="separate"/>
      </w:r>
      <w:r w:rsidR="00183626">
        <w:t>54</w:t>
      </w:r>
      <w:r>
        <w:fldChar w:fldCharType="end"/>
      </w:r>
    </w:p>
    <w:p w14:paraId="2C6A4765" w14:textId="15070F34" w:rsidR="00E83FE2" w:rsidRDefault="00E83FE2" w:rsidP="0076225D">
      <w:pPr>
        <w:pStyle w:val="TOC1"/>
        <w:rPr>
          <w:rFonts w:asciiTheme="minorHAnsi" w:eastAsiaTheme="minorEastAsia" w:hAnsiTheme="minorHAnsi"/>
          <w:kern w:val="2"/>
          <w:sz w:val="24"/>
          <w:lang w:eastAsia="en-AU"/>
          <w14:ligatures w14:val="standardContextual"/>
        </w:rPr>
      </w:pPr>
      <w:r>
        <w:t>4.13</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_Toc164606570 \h </w:instrText>
      </w:r>
      <w:r>
        <w:fldChar w:fldCharType="separate"/>
      </w:r>
      <w:r w:rsidR="00183626">
        <w:t>55</w:t>
      </w:r>
      <w:r>
        <w:fldChar w:fldCharType="end"/>
      </w:r>
    </w:p>
    <w:p w14:paraId="0441C3CA" w14:textId="69AA091B" w:rsidR="00E83FE2" w:rsidRDefault="00E83FE2" w:rsidP="008E5AE3">
      <w:pPr>
        <w:pStyle w:val="TOC2"/>
        <w:rPr>
          <w:rFonts w:asciiTheme="minorHAnsi" w:hAnsiTheme="minorHAnsi" w:cstheme="minorBidi"/>
          <w:kern w:val="2"/>
          <w:sz w:val="24"/>
          <w:szCs w:val="24"/>
          <w:lang w:eastAsia="en-AU"/>
          <w14:ligatures w14:val="standardContextual"/>
        </w:rPr>
      </w:pPr>
      <w:r>
        <w:t>Employee information</w:t>
      </w:r>
      <w:r>
        <w:tab/>
      </w:r>
      <w:r>
        <w:fldChar w:fldCharType="begin"/>
      </w:r>
      <w:r>
        <w:instrText xml:space="preserve"> PAGEREF _Toc164606571 \h </w:instrText>
      </w:r>
      <w:r>
        <w:fldChar w:fldCharType="separate"/>
      </w:r>
      <w:r w:rsidR="00183626">
        <w:t>55</w:t>
      </w:r>
      <w:r>
        <w:fldChar w:fldCharType="end"/>
      </w:r>
    </w:p>
    <w:p w14:paraId="6A00C48B" w14:textId="2C5546F9" w:rsidR="00E83FE2" w:rsidRDefault="00E83FE2" w:rsidP="008E5AE3">
      <w:pPr>
        <w:pStyle w:val="TOC2"/>
        <w:rPr>
          <w:rFonts w:asciiTheme="minorHAnsi" w:hAnsiTheme="minorHAnsi" w:cstheme="minorBidi"/>
          <w:kern w:val="2"/>
          <w:sz w:val="24"/>
          <w:szCs w:val="24"/>
          <w:lang w:eastAsia="en-AU"/>
          <w14:ligatures w14:val="standardContextual"/>
        </w:rPr>
      </w:pPr>
      <w:r>
        <w:t>Public information</w:t>
      </w:r>
      <w:r>
        <w:tab/>
      </w:r>
      <w:r>
        <w:fldChar w:fldCharType="begin"/>
      </w:r>
      <w:r>
        <w:instrText xml:space="preserve"> PAGEREF _Toc164606572 \h </w:instrText>
      </w:r>
      <w:r>
        <w:fldChar w:fldCharType="separate"/>
      </w:r>
      <w:r w:rsidR="00183626">
        <w:t>55</w:t>
      </w:r>
      <w:r>
        <w:fldChar w:fldCharType="end"/>
      </w:r>
    </w:p>
    <w:p w14:paraId="3A80F01F" w14:textId="69EAC767" w:rsidR="00E83FE2" w:rsidRDefault="00E83FE2" w:rsidP="008E5AE3">
      <w:pPr>
        <w:pStyle w:val="TOC2"/>
        <w:rPr>
          <w:rFonts w:asciiTheme="minorHAnsi" w:hAnsiTheme="minorHAnsi" w:cstheme="minorBidi"/>
          <w:kern w:val="2"/>
          <w:sz w:val="24"/>
          <w:szCs w:val="24"/>
          <w:lang w:eastAsia="en-AU"/>
          <w14:ligatures w14:val="standardContextual"/>
        </w:rPr>
      </w:pPr>
      <w:r>
        <w:t>Law enforcement information and public benefit exemptions</w:t>
      </w:r>
      <w:r>
        <w:tab/>
      </w:r>
      <w:r>
        <w:fldChar w:fldCharType="begin"/>
      </w:r>
      <w:r>
        <w:instrText xml:space="preserve"> PAGEREF _Toc164606573 \h </w:instrText>
      </w:r>
      <w:r>
        <w:fldChar w:fldCharType="separate"/>
      </w:r>
      <w:r w:rsidR="00183626">
        <w:t>56</w:t>
      </w:r>
      <w:r>
        <w:fldChar w:fldCharType="end"/>
      </w:r>
    </w:p>
    <w:p w14:paraId="7F88B71D" w14:textId="22684C21" w:rsidR="00E83FE2" w:rsidRDefault="00E83FE2" w:rsidP="008E5AE3">
      <w:pPr>
        <w:pStyle w:val="TOC2"/>
        <w:rPr>
          <w:rFonts w:asciiTheme="minorHAnsi" w:hAnsiTheme="minorHAnsi" w:cstheme="minorBidi"/>
          <w:kern w:val="2"/>
          <w:sz w:val="24"/>
          <w:szCs w:val="24"/>
          <w:lang w:eastAsia="en-AU"/>
          <w14:ligatures w14:val="standardContextual"/>
        </w:rPr>
      </w:pPr>
      <w:r>
        <w:t>Emergency declarations</w:t>
      </w:r>
      <w:r>
        <w:tab/>
      </w:r>
      <w:r>
        <w:fldChar w:fldCharType="begin"/>
      </w:r>
      <w:r>
        <w:instrText xml:space="preserve"> PAGEREF _Toc164606574 \h </w:instrText>
      </w:r>
      <w:r>
        <w:fldChar w:fldCharType="separate"/>
      </w:r>
      <w:r w:rsidR="00183626">
        <w:t>56</w:t>
      </w:r>
      <w:r>
        <w:fldChar w:fldCharType="end"/>
      </w:r>
    </w:p>
    <w:p w14:paraId="3AE5DC48" w14:textId="480DB801" w:rsidR="00E83FE2" w:rsidRDefault="00E83FE2" w:rsidP="0076225D">
      <w:pPr>
        <w:pStyle w:val="TOC1"/>
        <w:rPr>
          <w:rFonts w:asciiTheme="minorHAnsi" w:eastAsiaTheme="minorEastAsia" w:hAnsiTheme="minorHAnsi"/>
          <w:kern w:val="2"/>
          <w:sz w:val="24"/>
          <w:lang w:eastAsia="en-AU"/>
          <w14:ligatures w14:val="standardContextual"/>
        </w:rPr>
      </w:pPr>
      <w:r>
        <w:t>4.14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_Toc164606575 \h </w:instrText>
      </w:r>
      <w:r>
        <w:fldChar w:fldCharType="separate"/>
      </w:r>
      <w:r w:rsidR="00183626">
        <w:t>57</w:t>
      </w:r>
      <w:r>
        <w:fldChar w:fldCharType="end"/>
      </w:r>
    </w:p>
    <w:p w14:paraId="1F407CAB" w14:textId="59064D94" w:rsidR="00E83FE2" w:rsidRDefault="00E83FE2" w:rsidP="0076225D">
      <w:pPr>
        <w:pStyle w:val="TOC1"/>
        <w:rPr>
          <w:rFonts w:asciiTheme="minorHAnsi" w:eastAsiaTheme="minorEastAsia" w:hAnsiTheme="minorHAnsi"/>
          <w:kern w:val="2"/>
          <w:sz w:val="24"/>
          <w:lang w:eastAsia="en-AU"/>
          <w14:ligatures w14:val="standardContextual"/>
        </w:rPr>
      </w:pPr>
      <w:r>
        <w:t>4.15</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_Toc164606576 \h </w:instrText>
      </w:r>
      <w:r>
        <w:fldChar w:fldCharType="separate"/>
      </w:r>
      <w:r w:rsidR="00183626">
        <w:t>58</w:t>
      </w:r>
      <w:r>
        <w:fldChar w:fldCharType="end"/>
      </w:r>
    </w:p>
    <w:p w14:paraId="07FB5CAE" w14:textId="2AC6FF91" w:rsidR="00E83FE2" w:rsidRDefault="00E83FE2" w:rsidP="008E5AE3">
      <w:pPr>
        <w:pStyle w:val="TOC2"/>
        <w:rPr>
          <w:rFonts w:asciiTheme="minorHAnsi" w:hAnsiTheme="minorHAnsi" w:cstheme="minorBidi"/>
          <w:kern w:val="2"/>
          <w:sz w:val="24"/>
          <w:szCs w:val="24"/>
          <w:lang w:eastAsia="en-AU"/>
          <w14:ligatures w14:val="standardContextual"/>
        </w:rPr>
      </w:pPr>
      <w:r>
        <w:t>Basic personal information</w:t>
      </w:r>
      <w:r>
        <w:tab/>
      </w:r>
      <w:r>
        <w:fldChar w:fldCharType="begin"/>
      </w:r>
      <w:r>
        <w:instrText xml:space="preserve"> PAGEREF _Toc164606577 \h </w:instrText>
      </w:r>
      <w:r>
        <w:fldChar w:fldCharType="separate"/>
      </w:r>
      <w:r w:rsidR="00183626">
        <w:t>58</w:t>
      </w:r>
      <w:r>
        <w:fldChar w:fldCharType="end"/>
      </w:r>
    </w:p>
    <w:p w14:paraId="511F274C" w14:textId="584C6A18" w:rsidR="00E83FE2" w:rsidRDefault="00E83FE2" w:rsidP="008E5AE3">
      <w:pPr>
        <w:pStyle w:val="TOC2"/>
        <w:rPr>
          <w:rFonts w:asciiTheme="minorHAnsi" w:hAnsiTheme="minorHAnsi" w:cstheme="minorBidi"/>
          <w:kern w:val="2"/>
          <w:sz w:val="24"/>
          <w:szCs w:val="24"/>
          <w:lang w:eastAsia="en-AU"/>
          <w14:ligatures w14:val="standardContextual"/>
        </w:rPr>
      </w:pPr>
      <w:r>
        <w:t>Employee information</w:t>
      </w:r>
      <w:r>
        <w:tab/>
      </w:r>
      <w:r>
        <w:fldChar w:fldCharType="begin"/>
      </w:r>
      <w:r>
        <w:instrText xml:space="preserve"> PAGEREF _Toc164606578 \h </w:instrText>
      </w:r>
      <w:r>
        <w:fldChar w:fldCharType="separate"/>
      </w:r>
      <w:r w:rsidR="00183626">
        <w:t>58</w:t>
      </w:r>
      <w:r>
        <w:fldChar w:fldCharType="end"/>
      </w:r>
    </w:p>
    <w:p w14:paraId="33336F45" w14:textId="34406F85" w:rsidR="00E83FE2" w:rsidRDefault="00E83FE2" w:rsidP="008E5AE3">
      <w:pPr>
        <w:pStyle w:val="TOC2"/>
        <w:rPr>
          <w:rFonts w:asciiTheme="minorHAnsi" w:hAnsiTheme="minorHAnsi" w:cstheme="minorBidi"/>
          <w:kern w:val="2"/>
          <w:sz w:val="24"/>
          <w:szCs w:val="24"/>
          <w:lang w:eastAsia="en-AU"/>
          <w14:ligatures w14:val="standardContextual"/>
        </w:rPr>
      </w:pPr>
      <w:r>
        <w:t>Public information</w:t>
      </w:r>
      <w:r>
        <w:tab/>
      </w:r>
      <w:r>
        <w:fldChar w:fldCharType="begin"/>
      </w:r>
      <w:r>
        <w:instrText xml:space="preserve"> PAGEREF _Toc164606579 \h </w:instrText>
      </w:r>
      <w:r>
        <w:fldChar w:fldCharType="separate"/>
      </w:r>
      <w:r w:rsidR="00183626">
        <w:t>58</w:t>
      </w:r>
      <w:r>
        <w:fldChar w:fldCharType="end"/>
      </w:r>
    </w:p>
    <w:p w14:paraId="574069AE" w14:textId="3C77E7BD" w:rsidR="00E83FE2" w:rsidRDefault="00E83FE2" w:rsidP="008E5AE3">
      <w:pPr>
        <w:pStyle w:val="TOC2"/>
        <w:rPr>
          <w:rFonts w:asciiTheme="minorHAnsi" w:hAnsiTheme="minorHAnsi" w:cstheme="minorBidi"/>
          <w:kern w:val="2"/>
          <w:sz w:val="24"/>
          <w:szCs w:val="24"/>
          <w:lang w:eastAsia="en-AU"/>
          <w14:ligatures w14:val="standardContextual"/>
        </w:rPr>
      </w:pPr>
      <w:r>
        <w:t>Law enforcement information</w:t>
      </w:r>
      <w:r>
        <w:tab/>
      </w:r>
      <w:r>
        <w:fldChar w:fldCharType="begin"/>
      </w:r>
      <w:r>
        <w:instrText xml:space="preserve"> PAGEREF _Toc164606580 \h </w:instrText>
      </w:r>
      <w:r>
        <w:fldChar w:fldCharType="separate"/>
      </w:r>
      <w:r w:rsidR="00183626">
        <w:t>59</w:t>
      </w:r>
      <w:r>
        <w:fldChar w:fldCharType="end"/>
      </w:r>
    </w:p>
    <w:p w14:paraId="5D231A37" w14:textId="6EBF55FF" w:rsidR="00E83FE2" w:rsidRDefault="00E83FE2" w:rsidP="008E5AE3">
      <w:pPr>
        <w:pStyle w:val="TOC2"/>
        <w:rPr>
          <w:rFonts w:asciiTheme="minorHAnsi" w:hAnsiTheme="minorHAnsi" w:cstheme="minorBidi"/>
          <w:kern w:val="2"/>
          <w:sz w:val="24"/>
          <w:szCs w:val="24"/>
          <w:lang w:eastAsia="en-AU"/>
          <w14:ligatures w14:val="standardContextual"/>
        </w:rPr>
      </w:pPr>
      <w:r>
        <w:t>Public benefit exemptions</w:t>
      </w:r>
      <w:r>
        <w:tab/>
      </w:r>
      <w:r>
        <w:fldChar w:fldCharType="begin"/>
      </w:r>
      <w:r>
        <w:instrText xml:space="preserve"> PAGEREF _Toc164606581 \h </w:instrText>
      </w:r>
      <w:r>
        <w:fldChar w:fldCharType="separate"/>
      </w:r>
      <w:r w:rsidR="00183626">
        <w:t>59</w:t>
      </w:r>
      <w:r>
        <w:fldChar w:fldCharType="end"/>
      </w:r>
    </w:p>
    <w:p w14:paraId="26B1A04D" w14:textId="36003949" w:rsidR="00E83FE2" w:rsidRDefault="00E83FE2" w:rsidP="008E5AE3">
      <w:pPr>
        <w:pStyle w:val="TOC2"/>
        <w:rPr>
          <w:rFonts w:asciiTheme="minorHAnsi" w:hAnsiTheme="minorHAnsi" w:cstheme="minorBidi"/>
          <w:kern w:val="2"/>
          <w:sz w:val="24"/>
          <w:szCs w:val="24"/>
          <w:lang w:eastAsia="en-AU"/>
          <w14:ligatures w14:val="standardContextual"/>
        </w:rPr>
      </w:pPr>
      <w:r>
        <w:t>Emergency declarations</w:t>
      </w:r>
      <w:r>
        <w:tab/>
      </w:r>
      <w:r>
        <w:fldChar w:fldCharType="begin"/>
      </w:r>
      <w:r>
        <w:instrText xml:space="preserve"> PAGEREF _Toc164606582 \h </w:instrText>
      </w:r>
      <w:r>
        <w:fldChar w:fldCharType="separate"/>
      </w:r>
      <w:r w:rsidR="00183626">
        <w:t>60</w:t>
      </w:r>
      <w:r>
        <w:fldChar w:fldCharType="end"/>
      </w:r>
    </w:p>
    <w:p w14:paraId="075F682B" w14:textId="12CE94A8" w:rsidR="00E83FE2" w:rsidRDefault="00E83FE2" w:rsidP="0076225D">
      <w:pPr>
        <w:pStyle w:val="TOC1"/>
        <w:rPr>
          <w:rFonts w:asciiTheme="minorHAnsi" w:eastAsiaTheme="minorEastAsia" w:hAnsiTheme="minorHAnsi"/>
          <w:kern w:val="2"/>
          <w:sz w:val="24"/>
          <w:lang w:eastAsia="en-AU"/>
          <w14:ligatures w14:val="standardContextual"/>
        </w:rPr>
      </w:pPr>
      <w:r>
        <w:t>4.16</w:t>
      </w:r>
      <w:r>
        <w:rPr>
          <w:rFonts w:asciiTheme="minorHAnsi" w:eastAsiaTheme="minorEastAsia" w:hAnsiTheme="minorHAnsi"/>
          <w:kern w:val="2"/>
          <w:sz w:val="24"/>
          <w:lang w:eastAsia="en-AU"/>
          <w14:ligatures w14:val="standardContextual"/>
        </w:rPr>
        <w:tab/>
      </w:r>
      <w:r>
        <w:t>Recommendations</w:t>
      </w:r>
      <w:r w:rsidR="00F14898">
        <w:t xml:space="preserve"> 10–15</w:t>
      </w:r>
      <w:r>
        <w:tab/>
      </w:r>
      <w:r>
        <w:fldChar w:fldCharType="begin"/>
      </w:r>
      <w:r>
        <w:instrText xml:space="preserve"> PAGEREF _Toc164606583 \h </w:instrText>
      </w:r>
      <w:r>
        <w:fldChar w:fldCharType="separate"/>
      </w:r>
      <w:r w:rsidR="00183626">
        <w:t>60</w:t>
      </w:r>
      <w:r>
        <w:fldChar w:fldCharType="end"/>
      </w:r>
    </w:p>
    <w:p w14:paraId="722BE3F4" w14:textId="4B707733" w:rsidR="00E83FE2" w:rsidRDefault="00F14898" w:rsidP="0076225D">
      <w:pPr>
        <w:pStyle w:val="TOC1"/>
        <w:rPr>
          <w:rFonts w:asciiTheme="minorHAnsi" w:eastAsiaTheme="minorEastAsia" w:hAnsiTheme="minorHAnsi"/>
          <w:kern w:val="2"/>
          <w:sz w:val="24"/>
          <w:lang w:eastAsia="en-AU"/>
          <w14:ligatures w14:val="standardContextual"/>
        </w:rPr>
      </w:pPr>
      <w:r w:rsidRPr="002D185D">
        <w:rPr>
          <w:b/>
          <w:bCs/>
        </w:rPr>
        <w:t xml:space="preserve">Part 5: </w:t>
      </w:r>
      <w:r w:rsidR="00E83FE2" w:rsidRPr="002D185D">
        <w:rPr>
          <w:b/>
          <w:bCs/>
        </w:rPr>
        <w:t>Aligning the Personal Information Protection Principles with the Commonwealth Act: Collection, Use, and Disclosure</w:t>
      </w:r>
      <w:r w:rsidR="00E83FE2">
        <w:tab/>
      </w:r>
      <w:r w:rsidR="00E83FE2" w:rsidRPr="002D185D">
        <w:rPr>
          <w:b/>
          <w:bCs/>
        </w:rPr>
        <w:fldChar w:fldCharType="begin"/>
      </w:r>
      <w:r w:rsidR="00E83FE2" w:rsidRPr="002D185D">
        <w:rPr>
          <w:b/>
          <w:bCs/>
        </w:rPr>
        <w:instrText xml:space="preserve"> PAGEREF _Toc164606584 \h </w:instrText>
      </w:r>
      <w:r w:rsidR="00E83FE2" w:rsidRPr="002D185D">
        <w:rPr>
          <w:b/>
          <w:bCs/>
        </w:rPr>
      </w:r>
      <w:r w:rsidR="00E83FE2" w:rsidRPr="002D185D">
        <w:rPr>
          <w:b/>
          <w:bCs/>
        </w:rPr>
        <w:fldChar w:fldCharType="separate"/>
      </w:r>
      <w:r w:rsidR="00183626">
        <w:rPr>
          <w:b/>
          <w:bCs/>
        </w:rPr>
        <w:t>61</w:t>
      </w:r>
      <w:r w:rsidR="00E83FE2" w:rsidRPr="002D185D">
        <w:rPr>
          <w:b/>
          <w:bCs/>
        </w:rPr>
        <w:fldChar w:fldCharType="end"/>
      </w:r>
    </w:p>
    <w:p w14:paraId="18D4F989" w14:textId="0804815A" w:rsidR="00E83FE2" w:rsidRDefault="00E83FE2" w:rsidP="0076225D">
      <w:pPr>
        <w:pStyle w:val="TOC1"/>
        <w:rPr>
          <w:rFonts w:asciiTheme="minorHAnsi" w:eastAsiaTheme="minorEastAsia" w:hAnsiTheme="minorHAnsi"/>
          <w:kern w:val="2"/>
          <w:sz w:val="24"/>
          <w:lang w:eastAsia="en-AU"/>
          <w14:ligatures w14:val="standardContextual"/>
        </w:rPr>
      </w:pPr>
      <w:r>
        <w:t>5.1</w:t>
      </w:r>
      <w:r>
        <w:rPr>
          <w:rFonts w:asciiTheme="minorHAnsi" w:eastAsiaTheme="minorEastAsia" w:hAnsiTheme="minorHAnsi"/>
          <w:kern w:val="2"/>
          <w:sz w:val="24"/>
          <w:lang w:eastAsia="en-AU"/>
          <w14:ligatures w14:val="standardContextual"/>
        </w:rPr>
        <w:tab/>
      </w:r>
      <w:r>
        <w:t xml:space="preserve">Overview of this </w:t>
      </w:r>
      <w:r w:rsidR="00981FF2">
        <w:t>Part</w:t>
      </w:r>
      <w:r>
        <w:tab/>
      </w:r>
      <w:r>
        <w:fldChar w:fldCharType="begin"/>
      </w:r>
      <w:r>
        <w:instrText xml:space="preserve"> PAGEREF _Toc164606585 \h </w:instrText>
      </w:r>
      <w:r>
        <w:fldChar w:fldCharType="separate"/>
      </w:r>
      <w:r w:rsidR="00183626">
        <w:t>61</w:t>
      </w:r>
      <w:r>
        <w:fldChar w:fldCharType="end"/>
      </w:r>
    </w:p>
    <w:p w14:paraId="3D75B3D8" w14:textId="330A5357" w:rsidR="00E83FE2" w:rsidRDefault="00E83FE2" w:rsidP="0076225D">
      <w:pPr>
        <w:pStyle w:val="TOC1"/>
        <w:rPr>
          <w:rFonts w:asciiTheme="minorHAnsi" w:eastAsiaTheme="minorEastAsia" w:hAnsiTheme="minorHAnsi"/>
          <w:kern w:val="2"/>
          <w:sz w:val="24"/>
          <w:lang w:eastAsia="en-AU"/>
          <w14:ligatures w14:val="standardContextual"/>
        </w:rPr>
      </w:pPr>
      <w:r>
        <w:t>5.2</w:t>
      </w:r>
      <w:r>
        <w:rPr>
          <w:rFonts w:asciiTheme="minorHAnsi" w:eastAsiaTheme="minorEastAsia" w:hAnsiTheme="minorHAnsi"/>
          <w:kern w:val="2"/>
          <w:sz w:val="24"/>
          <w:lang w:eastAsia="en-AU"/>
          <w14:ligatures w14:val="standardContextual"/>
        </w:rPr>
        <w:tab/>
      </w:r>
      <w:r>
        <w:t>The Tasmanian position</w:t>
      </w:r>
      <w:r>
        <w:tab/>
      </w:r>
      <w:r>
        <w:fldChar w:fldCharType="begin"/>
      </w:r>
      <w:r>
        <w:instrText xml:space="preserve"> PAGEREF _Toc164606586 \h </w:instrText>
      </w:r>
      <w:r>
        <w:fldChar w:fldCharType="separate"/>
      </w:r>
      <w:r w:rsidR="00183626">
        <w:t>62</w:t>
      </w:r>
      <w:r>
        <w:fldChar w:fldCharType="end"/>
      </w:r>
    </w:p>
    <w:p w14:paraId="67812C59" w14:textId="69B6734D" w:rsidR="00E83FE2" w:rsidRDefault="00E83FE2" w:rsidP="008E5AE3">
      <w:pPr>
        <w:pStyle w:val="TOC2"/>
        <w:rPr>
          <w:rFonts w:asciiTheme="minorHAnsi" w:hAnsiTheme="minorHAnsi" w:cstheme="minorBidi"/>
          <w:kern w:val="2"/>
          <w:sz w:val="24"/>
          <w:szCs w:val="24"/>
          <w:lang w:eastAsia="en-AU"/>
          <w14:ligatures w14:val="standardContextual"/>
        </w:rPr>
      </w:pPr>
      <w:r>
        <w:t>Collection of personal information</w:t>
      </w:r>
      <w:r>
        <w:tab/>
      </w:r>
      <w:r>
        <w:fldChar w:fldCharType="begin"/>
      </w:r>
      <w:r>
        <w:instrText xml:space="preserve"> PAGEREF _Toc164606587 \h </w:instrText>
      </w:r>
      <w:r>
        <w:fldChar w:fldCharType="separate"/>
      </w:r>
      <w:r w:rsidR="00183626">
        <w:t>62</w:t>
      </w:r>
      <w:r>
        <w:fldChar w:fldCharType="end"/>
      </w:r>
    </w:p>
    <w:p w14:paraId="618F4C17" w14:textId="149BBFD0" w:rsidR="00E83FE2" w:rsidRDefault="00E83FE2" w:rsidP="008E5AE3">
      <w:pPr>
        <w:pStyle w:val="TOC2"/>
        <w:rPr>
          <w:rFonts w:asciiTheme="minorHAnsi" w:hAnsiTheme="minorHAnsi" w:cstheme="minorBidi"/>
          <w:kern w:val="2"/>
          <w:sz w:val="24"/>
          <w:szCs w:val="24"/>
          <w:lang w:eastAsia="en-AU"/>
          <w14:ligatures w14:val="standardContextual"/>
        </w:rPr>
      </w:pPr>
      <w:r>
        <w:t>Collection of sensitive information (including health information)</w:t>
      </w:r>
      <w:r>
        <w:tab/>
      </w:r>
      <w:r>
        <w:fldChar w:fldCharType="begin"/>
      </w:r>
      <w:r>
        <w:instrText xml:space="preserve"> PAGEREF _Toc164606588 \h </w:instrText>
      </w:r>
      <w:r>
        <w:fldChar w:fldCharType="separate"/>
      </w:r>
      <w:r w:rsidR="00183626">
        <w:t>63</w:t>
      </w:r>
      <w:r>
        <w:fldChar w:fldCharType="end"/>
      </w:r>
    </w:p>
    <w:p w14:paraId="5166EE90" w14:textId="27BAB2F0" w:rsidR="00E83FE2" w:rsidRDefault="00E83FE2" w:rsidP="008E5AE3">
      <w:pPr>
        <w:pStyle w:val="TOC2"/>
        <w:rPr>
          <w:rFonts w:asciiTheme="minorHAnsi" w:hAnsiTheme="minorHAnsi" w:cstheme="minorBidi"/>
          <w:kern w:val="2"/>
          <w:sz w:val="24"/>
          <w:szCs w:val="24"/>
          <w:lang w:eastAsia="en-AU"/>
          <w14:ligatures w14:val="standardContextual"/>
        </w:rPr>
      </w:pPr>
      <w:r>
        <w:t>Collection of unsolicited information</w:t>
      </w:r>
      <w:r>
        <w:tab/>
      </w:r>
      <w:r>
        <w:fldChar w:fldCharType="begin"/>
      </w:r>
      <w:r>
        <w:instrText xml:space="preserve"> PAGEREF _Toc164606589 \h </w:instrText>
      </w:r>
      <w:r>
        <w:fldChar w:fldCharType="separate"/>
      </w:r>
      <w:r w:rsidR="00183626">
        <w:t>64</w:t>
      </w:r>
      <w:r>
        <w:fldChar w:fldCharType="end"/>
      </w:r>
    </w:p>
    <w:p w14:paraId="74DAECD7" w14:textId="0BEFD9D6" w:rsidR="00E83FE2" w:rsidRDefault="00E83FE2" w:rsidP="008E5AE3">
      <w:pPr>
        <w:pStyle w:val="TOC2"/>
        <w:rPr>
          <w:rFonts w:asciiTheme="minorHAnsi" w:hAnsiTheme="minorHAnsi" w:cstheme="minorBidi"/>
          <w:kern w:val="2"/>
          <w:sz w:val="24"/>
          <w:szCs w:val="24"/>
          <w:lang w:eastAsia="en-AU"/>
          <w14:ligatures w14:val="standardContextual"/>
        </w:rPr>
      </w:pPr>
      <w:r>
        <w:t>Use and disclosure of personal information (including sensitive information)</w:t>
      </w:r>
      <w:r>
        <w:tab/>
      </w:r>
      <w:r>
        <w:fldChar w:fldCharType="begin"/>
      </w:r>
      <w:r>
        <w:instrText xml:space="preserve"> PAGEREF _Toc164606590 \h </w:instrText>
      </w:r>
      <w:r>
        <w:fldChar w:fldCharType="separate"/>
      </w:r>
      <w:r w:rsidR="00183626">
        <w:t>64</w:t>
      </w:r>
      <w:r>
        <w:fldChar w:fldCharType="end"/>
      </w:r>
    </w:p>
    <w:p w14:paraId="0DBCEED7" w14:textId="796504C7" w:rsidR="00E83FE2" w:rsidRDefault="00E83FE2" w:rsidP="008E5AE3">
      <w:pPr>
        <w:pStyle w:val="TOC2"/>
        <w:rPr>
          <w:rFonts w:asciiTheme="minorHAnsi" w:hAnsiTheme="minorHAnsi" w:cstheme="minorBidi"/>
          <w:kern w:val="2"/>
          <w:sz w:val="24"/>
          <w:szCs w:val="24"/>
          <w:lang w:eastAsia="en-AU"/>
          <w14:ligatures w14:val="standardContextual"/>
        </w:rPr>
      </w:pPr>
      <w:r>
        <w:t>Cross-border disclosure</w:t>
      </w:r>
      <w:r>
        <w:tab/>
      </w:r>
      <w:r>
        <w:fldChar w:fldCharType="begin"/>
      </w:r>
      <w:r>
        <w:instrText xml:space="preserve"> PAGEREF _Toc164606591 \h </w:instrText>
      </w:r>
      <w:r>
        <w:fldChar w:fldCharType="separate"/>
      </w:r>
      <w:r w:rsidR="00183626">
        <w:t>65</w:t>
      </w:r>
      <w:r>
        <w:fldChar w:fldCharType="end"/>
      </w:r>
    </w:p>
    <w:p w14:paraId="242375F7" w14:textId="36DBD3EA" w:rsidR="00E83FE2" w:rsidRDefault="00E83FE2" w:rsidP="008E5AE3">
      <w:pPr>
        <w:pStyle w:val="TOC2"/>
        <w:rPr>
          <w:rFonts w:asciiTheme="minorHAnsi" w:hAnsiTheme="minorHAnsi" w:cstheme="minorBidi"/>
          <w:kern w:val="2"/>
          <w:sz w:val="24"/>
          <w:szCs w:val="24"/>
          <w:lang w:eastAsia="en-AU"/>
          <w14:ligatures w14:val="standardContextual"/>
        </w:rPr>
      </w:pPr>
      <w:r>
        <w:t>Consent to collection, use or disclosure</w:t>
      </w:r>
      <w:r>
        <w:tab/>
      </w:r>
      <w:r>
        <w:fldChar w:fldCharType="begin"/>
      </w:r>
      <w:r>
        <w:instrText xml:space="preserve"> PAGEREF _Toc164606592 \h </w:instrText>
      </w:r>
      <w:r>
        <w:fldChar w:fldCharType="separate"/>
      </w:r>
      <w:r w:rsidR="00183626">
        <w:t>66</w:t>
      </w:r>
      <w:r>
        <w:fldChar w:fldCharType="end"/>
      </w:r>
    </w:p>
    <w:p w14:paraId="7F713F9F" w14:textId="60F9374A" w:rsidR="00E83FE2" w:rsidRDefault="00E83FE2" w:rsidP="0076225D">
      <w:pPr>
        <w:pStyle w:val="TOC1"/>
        <w:rPr>
          <w:rFonts w:asciiTheme="minorHAnsi" w:eastAsiaTheme="minorEastAsia" w:hAnsiTheme="minorHAnsi"/>
          <w:kern w:val="2"/>
          <w:sz w:val="24"/>
          <w:lang w:eastAsia="en-AU"/>
          <w14:ligatures w14:val="standardContextual"/>
        </w:rPr>
      </w:pPr>
      <w:r>
        <w:t>5.3</w:t>
      </w:r>
      <w:r>
        <w:rPr>
          <w:rFonts w:asciiTheme="minorHAnsi" w:eastAsiaTheme="minorEastAsia" w:hAnsiTheme="minorHAnsi"/>
          <w:kern w:val="2"/>
          <w:sz w:val="24"/>
          <w:lang w:eastAsia="en-AU"/>
          <w14:ligatures w14:val="standardContextual"/>
        </w:rPr>
        <w:tab/>
      </w:r>
      <w:r>
        <w:t>The position in other jurisdictions</w:t>
      </w:r>
      <w:r>
        <w:tab/>
      </w:r>
      <w:r>
        <w:fldChar w:fldCharType="begin"/>
      </w:r>
      <w:r>
        <w:instrText xml:space="preserve"> PAGEREF _Toc164606593 \h </w:instrText>
      </w:r>
      <w:r>
        <w:fldChar w:fldCharType="separate"/>
      </w:r>
      <w:r w:rsidR="00183626">
        <w:t>66</w:t>
      </w:r>
      <w:r>
        <w:fldChar w:fldCharType="end"/>
      </w:r>
    </w:p>
    <w:p w14:paraId="36A2AE20" w14:textId="2D31ADD1" w:rsidR="00E83FE2" w:rsidRDefault="00E83FE2" w:rsidP="008E5AE3">
      <w:pPr>
        <w:pStyle w:val="TOC2"/>
        <w:rPr>
          <w:rFonts w:asciiTheme="minorHAnsi" w:hAnsiTheme="minorHAnsi" w:cstheme="minorBidi"/>
          <w:kern w:val="2"/>
          <w:sz w:val="24"/>
          <w:szCs w:val="24"/>
          <w:lang w:eastAsia="en-AU"/>
          <w14:ligatures w14:val="standardContextual"/>
        </w:rPr>
      </w:pPr>
      <w:r>
        <w:t>Collection of personal information</w:t>
      </w:r>
      <w:r>
        <w:tab/>
      </w:r>
      <w:r>
        <w:fldChar w:fldCharType="begin"/>
      </w:r>
      <w:r>
        <w:instrText xml:space="preserve"> PAGEREF _Toc164606594 \h </w:instrText>
      </w:r>
      <w:r>
        <w:fldChar w:fldCharType="separate"/>
      </w:r>
      <w:r w:rsidR="00183626">
        <w:t>66</w:t>
      </w:r>
      <w:r>
        <w:fldChar w:fldCharType="end"/>
      </w:r>
    </w:p>
    <w:p w14:paraId="19FEC2BE" w14:textId="42775A37" w:rsidR="00E83FE2" w:rsidRDefault="00E83FE2" w:rsidP="008E5AE3">
      <w:pPr>
        <w:pStyle w:val="TOC2"/>
        <w:rPr>
          <w:rFonts w:asciiTheme="minorHAnsi" w:hAnsiTheme="minorHAnsi" w:cstheme="minorBidi"/>
          <w:kern w:val="2"/>
          <w:sz w:val="24"/>
          <w:szCs w:val="24"/>
          <w:lang w:eastAsia="en-AU"/>
          <w14:ligatures w14:val="standardContextual"/>
        </w:rPr>
      </w:pPr>
      <w:r>
        <w:t>Collection of sensitive information (including health information)</w:t>
      </w:r>
      <w:r>
        <w:tab/>
      </w:r>
      <w:r>
        <w:fldChar w:fldCharType="begin"/>
      </w:r>
      <w:r>
        <w:instrText xml:space="preserve"> PAGEREF _Toc164606595 \h </w:instrText>
      </w:r>
      <w:r>
        <w:fldChar w:fldCharType="separate"/>
      </w:r>
      <w:r w:rsidR="00183626">
        <w:t>68</w:t>
      </w:r>
      <w:r>
        <w:fldChar w:fldCharType="end"/>
      </w:r>
    </w:p>
    <w:p w14:paraId="5D81A094" w14:textId="04C0C1FA" w:rsidR="00E83FE2" w:rsidRDefault="00E83FE2" w:rsidP="008E5AE3">
      <w:pPr>
        <w:pStyle w:val="TOC2"/>
        <w:rPr>
          <w:rFonts w:asciiTheme="minorHAnsi" w:hAnsiTheme="minorHAnsi" w:cstheme="minorBidi"/>
          <w:kern w:val="2"/>
          <w:sz w:val="24"/>
          <w:szCs w:val="24"/>
          <w:lang w:eastAsia="en-AU"/>
          <w14:ligatures w14:val="standardContextual"/>
        </w:rPr>
      </w:pPr>
      <w:r>
        <w:lastRenderedPageBreak/>
        <w:t>Collection of unsolicited information</w:t>
      </w:r>
      <w:r>
        <w:tab/>
      </w:r>
      <w:r>
        <w:fldChar w:fldCharType="begin"/>
      </w:r>
      <w:r>
        <w:instrText xml:space="preserve"> PAGEREF _Toc164606596 \h </w:instrText>
      </w:r>
      <w:r>
        <w:fldChar w:fldCharType="separate"/>
      </w:r>
      <w:r w:rsidR="00183626">
        <w:t>69</w:t>
      </w:r>
      <w:r>
        <w:fldChar w:fldCharType="end"/>
      </w:r>
    </w:p>
    <w:p w14:paraId="50FA3863" w14:textId="76200EC3" w:rsidR="00E83FE2" w:rsidRDefault="00E83FE2" w:rsidP="008E5AE3">
      <w:pPr>
        <w:pStyle w:val="TOC2"/>
        <w:rPr>
          <w:rFonts w:asciiTheme="minorHAnsi" w:hAnsiTheme="minorHAnsi" w:cstheme="minorBidi"/>
          <w:kern w:val="2"/>
          <w:sz w:val="24"/>
          <w:szCs w:val="24"/>
          <w:lang w:eastAsia="en-AU"/>
          <w14:ligatures w14:val="standardContextual"/>
        </w:rPr>
      </w:pPr>
      <w:r>
        <w:t>Use and disclosure of personal information (including sensitive information)</w:t>
      </w:r>
      <w:r>
        <w:tab/>
      </w:r>
      <w:r>
        <w:fldChar w:fldCharType="begin"/>
      </w:r>
      <w:r>
        <w:instrText xml:space="preserve"> PAGEREF _Toc164606597 \h </w:instrText>
      </w:r>
      <w:r>
        <w:fldChar w:fldCharType="separate"/>
      </w:r>
      <w:r w:rsidR="00183626">
        <w:t>70</w:t>
      </w:r>
      <w:r>
        <w:fldChar w:fldCharType="end"/>
      </w:r>
    </w:p>
    <w:p w14:paraId="2A521A03" w14:textId="197EA932" w:rsidR="00E83FE2" w:rsidRDefault="00E83FE2" w:rsidP="008E5AE3">
      <w:pPr>
        <w:pStyle w:val="TOC2"/>
        <w:rPr>
          <w:rFonts w:asciiTheme="minorHAnsi" w:hAnsiTheme="minorHAnsi" w:cstheme="minorBidi"/>
          <w:kern w:val="2"/>
          <w:sz w:val="24"/>
          <w:szCs w:val="24"/>
          <w:lang w:eastAsia="en-AU"/>
          <w14:ligatures w14:val="standardContextual"/>
        </w:rPr>
      </w:pPr>
      <w:r>
        <w:t>Cross-border disclosure</w:t>
      </w:r>
      <w:r>
        <w:tab/>
      </w:r>
      <w:r>
        <w:fldChar w:fldCharType="begin"/>
      </w:r>
      <w:r>
        <w:instrText xml:space="preserve"> PAGEREF _Toc164606598 \h </w:instrText>
      </w:r>
      <w:r>
        <w:fldChar w:fldCharType="separate"/>
      </w:r>
      <w:r w:rsidR="00183626">
        <w:t>72</w:t>
      </w:r>
      <w:r>
        <w:fldChar w:fldCharType="end"/>
      </w:r>
    </w:p>
    <w:p w14:paraId="2ABCBC15" w14:textId="0E498B24" w:rsidR="00E83FE2" w:rsidRDefault="00E83FE2" w:rsidP="008E5AE3">
      <w:pPr>
        <w:pStyle w:val="TOC2"/>
        <w:rPr>
          <w:rFonts w:asciiTheme="minorHAnsi" w:hAnsiTheme="minorHAnsi" w:cstheme="minorBidi"/>
          <w:kern w:val="2"/>
          <w:sz w:val="24"/>
          <w:szCs w:val="24"/>
          <w:lang w:eastAsia="en-AU"/>
          <w14:ligatures w14:val="standardContextual"/>
        </w:rPr>
      </w:pPr>
      <w:r>
        <w:t>Consent to collection, use, or disclosure</w:t>
      </w:r>
      <w:r>
        <w:tab/>
      </w:r>
      <w:r>
        <w:fldChar w:fldCharType="begin"/>
      </w:r>
      <w:r>
        <w:instrText xml:space="preserve"> PAGEREF _Toc164606599 \h </w:instrText>
      </w:r>
      <w:r>
        <w:fldChar w:fldCharType="separate"/>
      </w:r>
      <w:r w:rsidR="00183626">
        <w:t>73</w:t>
      </w:r>
      <w:r>
        <w:fldChar w:fldCharType="end"/>
      </w:r>
    </w:p>
    <w:p w14:paraId="2588470D" w14:textId="5BBE306F" w:rsidR="00E83FE2" w:rsidRDefault="00E83FE2" w:rsidP="0076225D">
      <w:pPr>
        <w:pStyle w:val="TOC1"/>
        <w:rPr>
          <w:rFonts w:asciiTheme="minorHAnsi" w:eastAsiaTheme="minorEastAsia" w:hAnsiTheme="minorHAnsi"/>
          <w:kern w:val="2"/>
          <w:sz w:val="24"/>
          <w:lang w:eastAsia="en-AU"/>
          <w14:ligatures w14:val="standardContextual"/>
        </w:rPr>
      </w:pPr>
      <w:r>
        <w:t>5.4</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_Toc164606600 \h </w:instrText>
      </w:r>
      <w:r>
        <w:fldChar w:fldCharType="separate"/>
      </w:r>
      <w:r w:rsidR="00183626">
        <w:t>73</w:t>
      </w:r>
      <w:r>
        <w:fldChar w:fldCharType="end"/>
      </w:r>
    </w:p>
    <w:p w14:paraId="781A73E5" w14:textId="184AE98B" w:rsidR="00E83FE2" w:rsidRDefault="00E83FE2" w:rsidP="008E5AE3">
      <w:pPr>
        <w:pStyle w:val="TOC2"/>
        <w:rPr>
          <w:rFonts w:asciiTheme="minorHAnsi" w:hAnsiTheme="minorHAnsi" w:cstheme="minorBidi"/>
          <w:kern w:val="2"/>
          <w:sz w:val="24"/>
          <w:szCs w:val="24"/>
          <w:lang w:eastAsia="en-AU"/>
          <w14:ligatures w14:val="standardContextual"/>
        </w:rPr>
      </w:pPr>
      <w:r>
        <w:t>Collection of personal information</w:t>
      </w:r>
      <w:r>
        <w:tab/>
      </w:r>
      <w:r>
        <w:fldChar w:fldCharType="begin"/>
      </w:r>
      <w:r>
        <w:instrText xml:space="preserve"> PAGEREF _Toc164606601 \h </w:instrText>
      </w:r>
      <w:r>
        <w:fldChar w:fldCharType="separate"/>
      </w:r>
      <w:r w:rsidR="00183626">
        <w:t>73</w:t>
      </w:r>
      <w:r>
        <w:fldChar w:fldCharType="end"/>
      </w:r>
    </w:p>
    <w:p w14:paraId="29DCFE8C" w14:textId="296DF08D" w:rsidR="00E83FE2" w:rsidRDefault="00E83FE2" w:rsidP="008E5AE3">
      <w:pPr>
        <w:pStyle w:val="TOC2"/>
        <w:rPr>
          <w:rFonts w:asciiTheme="minorHAnsi" w:hAnsiTheme="minorHAnsi" w:cstheme="minorBidi"/>
          <w:kern w:val="2"/>
          <w:sz w:val="24"/>
          <w:szCs w:val="24"/>
          <w:lang w:eastAsia="en-AU"/>
          <w14:ligatures w14:val="standardContextual"/>
        </w:rPr>
      </w:pPr>
      <w:r>
        <w:t>Collection of sensitive information (including health information)</w:t>
      </w:r>
      <w:r>
        <w:tab/>
      </w:r>
      <w:r>
        <w:fldChar w:fldCharType="begin"/>
      </w:r>
      <w:r>
        <w:instrText xml:space="preserve"> PAGEREF _Toc164606602 \h </w:instrText>
      </w:r>
      <w:r>
        <w:fldChar w:fldCharType="separate"/>
      </w:r>
      <w:r w:rsidR="00183626">
        <w:t>75</w:t>
      </w:r>
      <w:r>
        <w:fldChar w:fldCharType="end"/>
      </w:r>
    </w:p>
    <w:p w14:paraId="1E1DF922" w14:textId="417E89C1" w:rsidR="00E83FE2" w:rsidRDefault="00E83FE2" w:rsidP="008E5AE3">
      <w:pPr>
        <w:pStyle w:val="TOC2"/>
        <w:rPr>
          <w:rFonts w:asciiTheme="minorHAnsi" w:hAnsiTheme="minorHAnsi" w:cstheme="minorBidi"/>
          <w:kern w:val="2"/>
          <w:sz w:val="24"/>
          <w:szCs w:val="24"/>
          <w:lang w:eastAsia="en-AU"/>
          <w14:ligatures w14:val="standardContextual"/>
        </w:rPr>
      </w:pPr>
      <w:r>
        <w:t>Collection of unsolicited information</w:t>
      </w:r>
      <w:r>
        <w:tab/>
      </w:r>
      <w:r>
        <w:fldChar w:fldCharType="begin"/>
      </w:r>
      <w:r>
        <w:instrText xml:space="preserve"> PAGEREF _Toc164606603 \h </w:instrText>
      </w:r>
      <w:r>
        <w:fldChar w:fldCharType="separate"/>
      </w:r>
      <w:r w:rsidR="00183626">
        <w:t>75</w:t>
      </w:r>
      <w:r>
        <w:fldChar w:fldCharType="end"/>
      </w:r>
    </w:p>
    <w:p w14:paraId="7EEB50A2" w14:textId="3B14C492" w:rsidR="00E83FE2" w:rsidRDefault="00E83FE2" w:rsidP="008E5AE3">
      <w:pPr>
        <w:pStyle w:val="TOC2"/>
        <w:rPr>
          <w:rFonts w:asciiTheme="minorHAnsi" w:hAnsiTheme="minorHAnsi" w:cstheme="minorBidi"/>
          <w:kern w:val="2"/>
          <w:sz w:val="24"/>
          <w:szCs w:val="24"/>
          <w:lang w:eastAsia="en-AU"/>
          <w14:ligatures w14:val="standardContextual"/>
        </w:rPr>
      </w:pPr>
      <w:r>
        <w:t>Use and disclosure of personal information (including sensitive information)</w:t>
      </w:r>
      <w:r>
        <w:tab/>
      </w:r>
      <w:r>
        <w:fldChar w:fldCharType="begin"/>
      </w:r>
      <w:r>
        <w:instrText xml:space="preserve"> PAGEREF _Toc164606604 \h </w:instrText>
      </w:r>
      <w:r>
        <w:fldChar w:fldCharType="separate"/>
      </w:r>
      <w:r w:rsidR="00183626">
        <w:t>75</w:t>
      </w:r>
      <w:r>
        <w:fldChar w:fldCharType="end"/>
      </w:r>
    </w:p>
    <w:p w14:paraId="24815B67" w14:textId="1394F1F7" w:rsidR="00E83FE2" w:rsidRDefault="00E83FE2" w:rsidP="008E5AE3">
      <w:pPr>
        <w:pStyle w:val="TOC2"/>
        <w:rPr>
          <w:rFonts w:asciiTheme="minorHAnsi" w:hAnsiTheme="minorHAnsi" w:cstheme="minorBidi"/>
          <w:kern w:val="2"/>
          <w:sz w:val="24"/>
          <w:szCs w:val="24"/>
          <w:lang w:eastAsia="en-AU"/>
          <w14:ligatures w14:val="standardContextual"/>
        </w:rPr>
      </w:pPr>
      <w:r>
        <w:t>Cross-border disclosure</w:t>
      </w:r>
      <w:r>
        <w:tab/>
      </w:r>
      <w:r>
        <w:fldChar w:fldCharType="begin"/>
      </w:r>
      <w:r>
        <w:instrText xml:space="preserve"> PAGEREF _Toc164606605 \h </w:instrText>
      </w:r>
      <w:r>
        <w:fldChar w:fldCharType="separate"/>
      </w:r>
      <w:r w:rsidR="00183626">
        <w:t>76</w:t>
      </w:r>
      <w:r>
        <w:fldChar w:fldCharType="end"/>
      </w:r>
    </w:p>
    <w:p w14:paraId="119C3E56" w14:textId="011E4316" w:rsidR="00E83FE2" w:rsidRDefault="00E83FE2" w:rsidP="008E5AE3">
      <w:pPr>
        <w:pStyle w:val="TOC2"/>
        <w:rPr>
          <w:rFonts w:asciiTheme="minorHAnsi" w:hAnsiTheme="minorHAnsi" w:cstheme="minorBidi"/>
          <w:kern w:val="2"/>
          <w:sz w:val="24"/>
          <w:szCs w:val="24"/>
          <w:lang w:eastAsia="en-AU"/>
          <w14:ligatures w14:val="standardContextual"/>
        </w:rPr>
      </w:pPr>
      <w:r>
        <w:t>Additional proposals relating to collection, use or disclosure</w:t>
      </w:r>
      <w:r>
        <w:tab/>
      </w:r>
      <w:r>
        <w:fldChar w:fldCharType="begin"/>
      </w:r>
      <w:r>
        <w:instrText xml:space="preserve"> PAGEREF _Toc164606606 \h </w:instrText>
      </w:r>
      <w:r>
        <w:fldChar w:fldCharType="separate"/>
      </w:r>
      <w:r w:rsidR="00183626">
        <w:t>77</w:t>
      </w:r>
      <w:r>
        <w:fldChar w:fldCharType="end"/>
      </w:r>
    </w:p>
    <w:p w14:paraId="32101A65" w14:textId="05808595" w:rsidR="00E83FE2" w:rsidRPr="00F14898" w:rsidRDefault="00E83FE2" w:rsidP="008E5AE3">
      <w:pPr>
        <w:pStyle w:val="TOC2"/>
        <w:rPr>
          <w:rFonts w:asciiTheme="minorHAnsi" w:hAnsiTheme="minorHAnsi" w:cstheme="minorBidi"/>
          <w:kern w:val="2"/>
          <w:sz w:val="24"/>
          <w:szCs w:val="24"/>
          <w:lang w:eastAsia="en-AU"/>
          <w14:ligatures w14:val="standardContextual"/>
        </w:rPr>
      </w:pPr>
      <w:r w:rsidRPr="00EA22F8">
        <w:t>Fair and reasonable test</w:t>
      </w:r>
      <w:r w:rsidRPr="00F14898">
        <w:tab/>
      </w:r>
      <w:r w:rsidRPr="00F14898">
        <w:fldChar w:fldCharType="begin"/>
      </w:r>
      <w:r w:rsidRPr="00F14898">
        <w:instrText xml:space="preserve"> PAGEREF _Toc164606607 \h </w:instrText>
      </w:r>
      <w:r w:rsidRPr="00F14898">
        <w:fldChar w:fldCharType="separate"/>
      </w:r>
      <w:r w:rsidR="00183626">
        <w:t>78</w:t>
      </w:r>
      <w:r w:rsidRPr="00F14898">
        <w:fldChar w:fldCharType="end"/>
      </w:r>
    </w:p>
    <w:p w14:paraId="2ED17487" w14:textId="167B9A06" w:rsidR="00E83FE2" w:rsidRPr="00F14898" w:rsidRDefault="00E83FE2" w:rsidP="008E5AE3">
      <w:pPr>
        <w:pStyle w:val="TOC2"/>
        <w:rPr>
          <w:rFonts w:asciiTheme="minorHAnsi" w:hAnsiTheme="minorHAnsi" w:cstheme="minorBidi"/>
          <w:kern w:val="2"/>
          <w:sz w:val="24"/>
          <w:szCs w:val="24"/>
          <w:lang w:eastAsia="en-AU"/>
          <w14:ligatures w14:val="standardContextual"/>
        </w:rPr>
      </w:pPr>
      <w:r w:rsidRPr="00EA22F8">
        <w:t>Consent to collection, use, or disclosure</w:t>
      </w:r>
      <w:r w:rsidRPr="00F14898">
        <w:tab/>
      </w:r>
      <w:r w:rsidRPr="00F14898">
        <w:fldChar w:fldCharType="begin"/>
      </w:r>
      <w:r w:rsidRPr="00F14898">
        <w:instrText xml:space="preserve"> PAGEREF _Toc164606608 \h </w:instrText>
      </w:r>
      <w:r w:rsidRPr="00F14898">
        <w:fldChar w:fldCharType="separate"/>
      </w:r>
      <w:r w:rsidR="00183626">
        <w:t>79</w:t>
      </w:r>
      <w:r w:rsidRPr="00F14898">
        <w:fldChar w:fldCharType="end"/>
      </w:r>
    </w:p>
    <w:p w14:paraId="34701EBC" w14:textId="42E92DED" w:rsidR="00E83FE2" w:rsidRDefault="00E83FE2" w:rsidP="008E5AE3">
      <w:pPr>
        <w:pStyle w:val="TOC2"/>
        <w:rPr>
          <w:rFonts w:asciiTheme="minorHAnsi" w:hAnsiTheme="minorHAnsi" w:cstheme="minorBidi"/>
          <w:kern w:val="2"/>
          <w:sz w:val="24"/>
          <w:szCs w:val="24"/>
          <w:lang w:eastAsia="en-AU"/>
          <w14:ligatures w14:val="standardContextual"/>
        </w:rPr>
      </w:pPr>
      <w:r w:rsidRPr="00EA22F8">
        <w:t>Consent of children</w:t>
      </w:r>
      <w:r w:rsidRPr="00F14898">
        <w:tab/>
      </w:r>
      <w:r w:rsidRPr="00F14898">
        <w:fldChar w:fldCharType="begin"/>
      </w:r>
      <w:r w:rsidRPr="00F14898">
        <w:instrText xml:space="preserve"> PAGEREF _Toc164606609 \h </w:instrText>
      </w:r>
      <w:r w:rsidRPr="00F14898">
        <w:fldChar w:fldCharType="separate"/>
      </w:r>
      <w:r w:rsidR="00183626">
        <w:t>80</w:t>
      </w:r>
      <w:r w:rsidRPr="00F14898">
        <w:fldChar w:fldCharType="end"/>
      </w:r>
    </w:p>
    <w:p w14:paraId="4C57D4E8" w14:textId="6B316E9E" w:rsidR="00E83FE2" w:rsidRDefault="00E83FE2" w:rsidP="008E5AE3">
      <w:pPr>
        <w:pStyle w:val="TOC2"/>
        <w:rPr>
          <w:rFonts w:asciiTheme="minorHAnsi" w:hAnsiTheme="minorHAnsi" w:cstheme="minorBidi"/>
          <w:kern w:val="2"/>
          <w:sz w:val="24"/>
          <w:szCs w:val="24"/>
          <w:lang w:eastAsia="en-AU"/>
          <w14:ligatures w14:val="standardContextual"/>
        </w:rPr>
      </w:pPr>
      <w:r>
        <w:t>Right to object</w:t>
      </w:r>
      <w:r>
        <w:tab/>
      </w:r>
      <w:r>
        <w:fldChar w:fldCharType="begin"/>
      </w:r>
      <w:r>
        <w:instrText xml:space="preserve"> PAGEREF _Toc164606610 \h </w:instrText>
      </w:r>
      <w:r>
        <w:fldChar w:fldCharType="separate"/>
      </w:r>
      <w:r w:rsidR="00183626">
        <w:t>81</w:t>
      </w:r>
      <w:r>
        <w:fldChar w:fldCharType="end"/>
      </w:r>
    </w:p>
    <w:p w14:paraId="608FB47A" w14:textId="1FE88233" w:rsidR="00E83FE2" w:rsidRDefault="00E83FE2" w:rsidP="0076225D">
      <w:pPr>
        <w:pStyle w:val="TOC1"/>
        <w:rPr>
          <w:rFonts w:asciiTheme="minorHAnsi" w:eastAsiaTheme="minorEastAsia" w:hAnsiTheme="minorHAnsi"/>
          <w:kern w:val="2"/>
          <w:sz w:val="24"/>
          <w:lang w:eastAsia="en-AU"/>
          <w14:ligatures w14:val="standardContextual"/>
        </w:rPr>
      </w:pPr>
      <w:r>
        <w:t>5.5</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_Toc164606611 \h </w:instrText>
      </w:r>
      <w:r>
        <w:fldChar w:fldCharType="separate"/>
      </w:r>
      <w:r w:rsidR="00183626">
        <w:t>82</w:t>
      </w:r>
      <w:r>
        <w:fldChar w:fldCharType="end"/>
      </w:r>
    </w:p>
    <w:p w14:paraId="040B9141" w14:textId="2BE34CB3" w:rsidR="00E83FE2" w:rsidRDefault="00E83FE2" w:rsidP="008E5AE3">
      <w:pPr>
        <w:pStyle w:val="TOC2"/>
        <w:rPr>
          <w:rFonts w:asciiTheme="minorHAnsi" w:hAnsiTheme="minorHAnsi" w:cstheme="minorBidi"/>
          <w:kern w:val="2"/>
          <w:sz w:val="24"/>
          <w:szCs w:val="24"/>
          <w:lang w:eastAsia="en-AU"/>
          <w14:ligatures w14:val="standardContextual"/>
        </w:rPr>
      </w:pPr>
      <w:r>
        <w:t>Collection of personal information</w:t>
      </w:r>
      <w:r>
        <w:tab/>
      </w:r>
      <w:r>
        <w:fldChar w:fldCharType="begin"/>
      </w:r>
      <w:r>
        <w:instrText xml:space="preserve"> PAGEREF _Toc164606612 \h </w:instrText>
      </w:r>
      <w:r>
        <w:fldChar w:fldCharType="separate"/>
      </w:r>
      <w:r w:rsidR="00183626">
        <w:t>82</w:t>
      </w:r>
      <w:r>
        <w:fldChar w:fldCharType="end"/>
      </w:r>
    </w:p>
    <w:p w14:paraId="4AD0116D" w14:textId="50768F13" w:rsidR="00E83FE2" w:rsidRDefault="00E83FE2" w:rsidP="008E5AE3">
      <w:pPr>
        <w:pStyle w:val="TOC2"/>
        <w:rPr>
          <w:rFonts w:asciiTheme="minorHAnsi" w:hAnsiTheme="minorHAnsi" w:cstheme="minorBidi"/>
          <w:kern w:val="2"/>
          <w:sz w:val="24"/>
          <w:szCs w:val="24"/>
          <w:lang w:eastAsia="en-AU"/>
          <w14:ligatures w14:val="standardContextual"/>
        </w:rPr>
      </w:pPr>
      <w:r>
        <w:t>Collection, use, and disclosure of personal information</w:t>
      </w:r>
      <w:r>
        <w:tab/>
      </w:r>
      <w:r>
        <w:fldChar w:fldCharType="begin"/>
      </w:r>
      <w:r>
        <w:instrText xml:space="preserve"> PAGEREF _Toc164606613 \h </w:instrText>
      </w:r>
      <w:r>
        <w:fldChar w:fldCharType="separate"/>
      </w:r>
      <w:r w:rsidR="00183626">
        <w:t>83</w:t>
      </w:r>
      <w:r>
        <w:fldChar w:fldCharType="end"/>
      </w:r>
    </w:p>
    <w:p w14:paraId="2B395FE3" w14:textId="2CBDFB7F" w:rsidR="00E83FE2" w:rsidRDefault="00E83FE2" w:rsidP="008E5AE3">
      <w:pPr>
        <w:pStyle w:val="TOC2"/>
        <w:rPr>
          <w:rFonts w:asciiTheme="minorHAnsi" w:hAnsiTheme="minorHAnsi" w:cstheme="minorBidi"/>
          <w:kern w:val="2"/>
          <w:sz w:val="24"/>
          <w:szCs w:val="24"/>
          <w:lang w:eastAsia="en-AU"/>
          <w14:ligatures w14:val="standardContextual"/>
        </w:rPr>
      </w:pPr>
      <w:r>
        <w:t>Consent to collection, use, or disclosure</w:t>
      </w:r>
      <w:r>
        <w:tab/>
      </w:r>
      <w:r>
        <w:fldChar w:fldCharType="begin"/>
      </w:r>
      <w:r>
        <w:instrText xml:space="preserve"> PAGEREF _Toc164606614 \h </w:instrText>
      </w:r>
      <w:r>
        <w:fldChar w:fldCharType="separate"/>
      </w:r>
      <w:r w:rsidR="00183626">
        <w:t>83</w:t>
      </w:r>
      <w:r>
        <w:fldChar w:fldCharType="end"/>
      </w:r>
    </w:p>
    <w:p w14:paraId="53204069" w14:textId="554ACAAB" w:rsidR="00E83FE2" w:rsidRDefault="00E83FE2" w:rsidP="0076225D">
      <w:pPr>
        <w:pStyle w:val="TOC1"/>
        <w:rPr>
          <w:rFonts w:asciiTheme="minorHAnsi" w:eastAsiaTheme="minorEastAsia" w:hAnsiTheme="minorHAnsi"/>
          <w:kern w:val="2"/>
          <w:sz w:val="24"/>
          <w:lang w:eastAsia="en-AU"/>
          <w14:ligatures w14:val="standardContextual"/>
        </w:rPr>
      </w:pPr>
      <w:r>
        <w:t>5.6</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_Toc164606615 \h </w:instrText>
      </w:r>
      <w:r>
        <w:fldChar w:fldCharType="separate"/>
      </w:r>
      <w:r w:rsidR="00183626">
        <w:t>84</w:t>
      </w:r>
      <w:r>
        <w:fldChar w:fldCharType="end"/>
      </w:r>
    </w:p>
    <w:p w14:paraId="1753D7C9" w14:textId="16D351D0" w:rsidR="00E83FE2" w:rsidRDefault="00E83FE2" w:rsidP="008E5AE3">
      <w:pPr>
        <w:pStyle w:val="TOC2"/>
        <w:rPr>
          <w:rFonts w:asciiTheme="minorHAnsi" w:hAnsiTheme="minorHAnsi" w:cstheme="minorBidi"/>
          <w:kern w:val="2"/>
          <w:sz w:val="24"/>
          <w:szCs w:val="24"/>
          <w:lang w:eastAsia="en-AU"/>
          <w14:ligatures w14:val="standardContextual"/>
        </w:rPr>
      </w:pPr>
      <w:r>
        <w:t>Collection of personal information</w:t>
      </w:r>
      <w:r>
        <w:tab/>
      </w:r>
      <w:r>
        <w:fldChar w:fldCharType="begin"/>
      </w:r>
      <w:r>
        <w:instrText xml:space="preserve"> PAGEREF _Toc164606616 \h </w:instrText>
      </w:r>
      <w:r>
        <w:fldChar w:fldCharType="separate"/>
      </w:r>
      <w:r w:rsidR="00183626">
        <w:t>84</w:t>
      </w:r>
      <w:r>
        <w:fldChar w:fldCharType="end"/>
      </w:r>
    </w:p>
    <w:p w14:paraId="0689F31E" w14:textId="5C3FDCC0" w:rsidR="00E83FE2" w:rsidRDefault="00E83FE2" w:rsidP="008E5AE3">
      <w:pPr>
        <w:pStyle w:val="TOC2"/>
        <w:rPr>
          <w:rFonts w:asciiTheme="minorHAnsi" w:hAnsiTheme="minorHAnsi" w:cstheme="minorBidi"/>
          <w:kern w:val="2"/>
          <w:sz w:val="24"/>
          <w:szCs w:val="24"/>
          <w:lang w:eastAsia="en-AU"/>
          <w14:ligatures w14:val="standardContextual"/>
        </w:rPr>
      </w:pPr>
      <w:r>
        <w:t>Collection of sensitive information (including health information)</w:t>
      </w:r>
      <w:r>
        <w:tab/>
      </w:r>
      <w:r>
        <w:fldChar w:fldCharType="begin"/>
      </w:r>
      <w:r>
        <w:instrText xml:space="preserve"> PAGEREF _Toc164606617 \h </w:instrText>
      </w:r>
      <w:r>
        <w:fldChar w:fldCharType="separate"/>
      </w:r>
      <w:r w:rsidR="00183626">
        <w:t>86</w:t>
      </w:r>
      <w:r>
        <w:fldChar w:fldCharType="end"/>
      </w:r>
    </w:p>
    <w:p w14:paraId="7540891B" w14:textId="5FCAA1BF" w:rsidR="00E83FE2" w:rsidRDefault="00E83FE2" w:rsidP="008E5AE3">
      <w:pPr>
        <w:pStyle w:val="TOC2"/>
        <w:rPr>
          <w:rFonts w:asciiTheme="minorHAnsi" w:hAnsiTheme="minorHAnsi" w:cstheme="minorBidi"/>
          <w:kern w:val="2"/>
          <w:sz w:val="24"/>
          <w:szCs w:val="24"/>
          <w:lang w:eastAsia="en-AU"/>
          <w14:ligatures w14:val="standardContextual"/>
        </w:rPr>
      </w:pPr>
      <w:r>
        <w:t>Collection of unsolicited information</w:t>
      </w:r>
      <w:r>
        <w:tab/>
      </w:r>
      <w:r>
        <w:fldChar w:fldCharType="begin"/>
      </w:r>
      <w:r>
        <w:instrText xml:space="preserve"> PAGEREF _Toc164606618 \h </w:instrText>
      </w:r>
      <w:r>
        <w:fldChar w:fldCharType="separate"/>
      </w:r>
      <w:r w:rsidR="00183626">
        <w:t>86</w:t>
      </w:r>
      <w:r>
        <w:fldChar w:fldCharType="end"/>
      </w:r>
    </w:p>
    <w:p w14:paraId="47D8CE63" w14:textId="1425264A" w:rsidR="00E83FE2" w:rsidRDefault="00E83FE2" w:rsidP="008E5AE3">
      <w:pPr>
        <w:pStyle w:val="TOC2"/>
        <w:rPr>
          <w:rFonts w:asciiTheme="minorHAnsi" w:hAnsiTheme="minorHAnsi" w:cstheme="minorBidi"/>
          <w:kern w:val="2"/>
          <w:sz w:val="24"/>
          <w:szCs w:val="24"/>
          <w:lang w:eastAsia="en-AU"/>
          <w14:ligatures w14:val="standardContextual"/>
        </w:rPr>
      </w:pPr>
      <w:r>
        <w:t>Use and disclosure of personal information (including sensitive information)</w:t>
      </w:r>
      <w:r>
        <w:tab/>
      </w:r>
      <w:r>
        <w:fldChar w:fldCharType="begin"/>
      </w:r>
      <w:r>
        <w:instrText xml:space="preserve"> PAGEREF _Toc164606619 \h </w:instrText>
      </w:r>
      <w:r>
        <w:fldChar w:fldCharType="separate"/>
      </w:r>
      <w:r w:rsidR="00183626">
        <w:t>87</w:t>
      </w:r>
      <w:r>
        <w:fldChar w:fldCharType="end"/>
      </w:r>
    </w:p>
    <w:p w14:paraId="63729649" w14:textId="1577B621" w:rsidR="00E83FE2" w:rsidRDefault="00E83FE2" w:rsidP="008E5AE3">
      <w:pPr>
        <w:pStyle w:val="TOC2"/>
        <w:rPr>
          <w:rFonts w:asciiTheme="minorHAnsi" w:hAnsiTheme="minorHAnsi" w:cstheme="minorBidi"/>
          <w:kern w:val="2"/>
          <w:sz w:val="24"/>
          <w:szCs w:val="24"/>
          <w:lang w:eastAsia="en-AU"/>
          <w14:ligatures w14:val="standardContextual"/>
        </w:rPr>
      </w:pPr>
      <w:r>
        <w:t>Cross-border disclosure</w:t>
      </w:r>
      <w:r>
        <w:tab/>
      </w:r>
      <w:r>
        <w:fldChar w:fldCharType="begin"/>
      </w:r>
      <w:r>
        <w:instrText xml:space="preserve"> PAGEREF _Toc164606620 \h </w:instrText>
      </w:r>
      <w:r>
        <w:fldChar w:fldCharType="separate"/>
      </w:r>
      <w:r w:rsidR="00183626">
        <w:t>87</w:t>
      </w:r>
      <w:r>
        <w:fldChar w:fldCharType="end"/>
      </w:r>
    </w:p>
    <w:p w14:paraId="3DFC650E" w14:textId="14FA0290" w:rsidR="00E83FE2" w:rsidRDefault="00E83FE2" w:rsidP="008E5AE3">
      <w:pPr>
        <w:pStyle w:val="TOC2"/>
        <w:rPr>
          <w:rFonts w:asciiTheme="minorHAnsi" w:hAnsiTheme="minorHAnsi" w:cstheme="minorBidi"/>
          <w:kern w:val="2"/>
          <w:sz w:val="24"/>
          <w:szCs w:val="24"/>
          <w:lang w:eastAsia="en-AU"/>
          <w14:ligatures w14:val="standardContextual"/>
        </w:rPr>
      </w:pPr>
      <w:r>
        <w:t>Collection, use, and disclosure generally</w:t>
      </w:r>
      <w:r>
        <w:tab/>
      </w:r>
      <w:r>
        <w:fldChar w:fldCharType="begin"/>
      </w:r>
      <w:r>
        <w:instrText xml:space="preserve"> PAGEREF _Toc164606621 \h </w:instrText>
      </w:r>
      <w:r>
        <w:fldChar w:fldCharType="separate"/>
      </w:r>
      <w:r w:rsidR="00183626">
        <w:t>88</w:t>
      </w:r>
      <w:r>
        <w:fldChar w:fldCharType="end"/>
      </w:r>
    </w:p>
    <w:p w14:paraId="16BDB191" w14:textId="1619BDA1" w:rsidR="00E83FE2" w:rsidRDefault="00E83FE2" w:rsidP="008E5AE3">
      <w:pPr>
        <w:pStyle w:val="TOC2"/>
        <w:rPr>
          <w:rFonts w:asciiTheme="minorHAnsi" w:hAnsiTheme="minorHAnsi" w:cstheme="minorBidi"/>
          <w:kern w:val="2"/>
          <w:sz w:val="24"/>
          <w:szCs w:val="24"/>
          <w:lang w:eastAsia="en-AU"/>
          <w14:ligatures w14:val="standardContextual"/>
        </w:rPr>
      </w:pPr>
      <w:r>
        <w:t>Required or authorised by law</w:t>
      </w:r>
      <w:r>
        <w:tab/>
      </w:r>
      <w:r>
        <w:fldChar w:fldCharType="begin"/>
      </w:r>
      <w:r>
        <w:instrText xml:space="preserve"> PAGEREF _Toc164606622 \h </w:instrText>
      </w:r>
      <w:r>
        <w:fldChar w:fldCharType="separate"/>
      </w:r>
      <w:r w:rsidR="00183626">
        <w:t>89</w:t>
      </w:r>
      <w:r>
        <w:fldChar w:fldCharType="end"/>
      </w:r>
    </w:p>
    <w:p w14:paraId="0651B53C" w14:textId="4C46E58A" w:rsidR="00E83FE2" w:rsidRDefault="00E83FE2" w:rsidP="008E5AE3">
      <w:pPr>
        <w:pStyle w:val="TOC2"/>
        <w:rPr>
          <w:rFonts w:asciiTheme="minorHAnsi" w:hAnsiTheme="minorHAnsi" w:cstheme="minorBidi"/>
          <w:kern w:val="2"/>
          <w:sz w:val="24"/>
          <w:szCs w:val="24"/>
          <w:lang w:eastAsia="en-AU"/>
          <w14:ligatures w14:val="standardContextual"/>
        </w:rPr>
      </w:pPr>
      <w:r>
        <w:t>Consent generally</w:t>
      </w:r>
      <w:r>
        <w:tab/>
      </w:r>
      <w:r>
        <w:fldChar w:fldCharType="begin"/>
      </w:r>
      <w:r>
        <w:instrText xml:space="preserve"> PAGEREF _Toc164606623 \h </w:instrText>
      </w:r>
      <w:r>
        <w:fldChar w:fldCharType="separate"/>
      </w:r>
      <w:r w:rsidR="00183626">
        <w:t>90</w:t>
      </w:r>
      <w:r>
        <w:fldChar w:fldCharType="end"/>
      </w:r>
    </w:p>
    <w:p w14:paraId="07A2830F" w14:textId="089D5DAE" w:rsidR="00E83FE2" w:rsidRDefault="00E83FE2" w:rsidP="008E5AE3">
      <w:pPr>
        <w:pStyle w:val="TOC2"/>
        <w:rPr>
          <w:rFonts w:asciiTheme="minorHAnsi" w:hAnsiTheme="minorHAnsi" w:cstheme="minorBidi"/>
          <w:kern w:val="2"/>
          <w:sz w:val="24"/>
          <w:szCs w:val="24"/>
          <w:lang w:eastAsia="en-AU"/>
          <w14:ligatures w14:val="standardContextual"/>
        </w:rPr>
      </w:pPr>
      <w:r>
        <w:t>Consent of children</w:t>
      </w:r>
      <w:r>
        <w:tab/>
      </w:r>
      <w:r>
        <w:fldChar w:fldCharType="begin"/>
      </w:r>
      <w:r>
        <w:instrText xml:space="preserve"> PAGEREF _Toc164606624 \h </w:instrText>
      </w:r>
      <w:r>
        <w:fldChar w:fldCharType="separate"/>
      </w:r>
      <w:r w:rsidR="00183626">
        <w:t>90</w:t>
      </w:r>
      <w:r>
        <w:fldChar w:fldCharType="end"/>
      </w:r>
    </w:p>
    <w:p w14:paraId="008A9C23" w14:textId="0FE34D13" w:rsidR="00E83FE2" w:rsidRDefault="00E83FE2" w:rsidP="008E5AE3">
      <w:pPr>
        <w:pStyle w:val="TOC2"/>
        <w:rPr>
          <w:rFonts w:asciiTheme="minorHAnsi" w:hAnsiTheme="minorHAnsi" w:cstheme="minorBidi"/>
          <w:kern w:val="2"/>
          <w:sz w:val="24"/>
          <w:szCs w:val="24"/>
          <w:lang w:eastAsia="en-AU"/>
          <w14:ligatures w14:val="standardContextual"/>
        </w:rPr>
      </w:pPr>
      <w:r>
        <w:t>Right to object</w:t>
      </w:r>
      <w:r>
        <w:tab/>
      </w:r>
      <w:r>
        <w:fldChar w:fldCharType="begin"/>
      </w:r>
      <w:r>
        <w:instrText xml:space="preserve"> PAGEREF _Toc164606625 \h </w:instrText>
      </w:r>
      <w:r>
        <w:fldChar w:fldCharType="separate"/>
      </w:r>
      <w:r w:rsidR="00183626">
        <w:t>91</w:t>
      </w:r>
      <w:r>
        <w:fldChar w:fldCharType="end"/>
      </w:r>
    </w:p>
    <w:p w14:paraId="60949B57" w14:textId="7D5D8EF0" w:rsidR="00E83FE2" w:rsidRDefault="00E83FE2" w:rsidP="0076225D">
      <w:pPr>
        <w:pStyle w:val="TOC1"/>
        <w:rPr>
          <w:rFonts w:asciiTheme="minorHAnsi" w:eastAsiaTheme="minorEastAsia" w:hAnsiTheme="minorHAnsi"/>
          <w:kern w:val="2"/>
          <w:sz w:val="24"/>
          <w:lang w:eastAsia="en-AU"/>
          <w14:ligatures w14:val="standardContextual"/>
        </w:rPr>
      </w:pPr>
      <w:r>
        <w:t>5.7</w:t>
      </w:r>
      <w:r>
        <w:rPr>
          <w:rFonts w:asciiTheme="minorHAnsi" w:eastAsiaTheme="minorEastAsia" w:hAnsiTheme="minorHAnsi"/>
          <w:kern w:val="2"/>
          <w:sz w:val="24"/>
          <w:lang w:eastAsia="en-AU"/>
          <w14:ligatures w14:val="standardContextual"/>
        </w:rPr>
        <w:tab/>
      </w:r>
      <w:r>
        <w:t>Recommendations</w:t>
      </w:r>
      <w:r w:rsidR="00845E5E">
        <w:t xml:space="preserve"> 16–33</w:t>
      </w:r>
      <w:r>
        <w:tab/>
      </w:r>
      <w:r>
        <w:fldChar w:fldCharType="begin"/>
      </w:r>
      <w:r>
        <w:instrText xml:space="preserve"> PAGEREF _Toc164606626 \h </w:instrText>
      </w:r>
      <w:r>
        <w:fldChar w:fldCharType="separate"/>
      </w:r>
      <w:r w:rsidR="00183626">
        <w:t>92</w:t>
      </w:r>
      <w:r>
        <w:fldChar w:fldCharType="end"/>
      </w:r>
    </w:p>
    <w:p w14:paraId="40185463" w14:textId="326CCBFE" w:rsidR="00E83FE2" w:rsidRDefault="00845E5E" w:rsidP="0076225D">
      <w:pPr>
        <w:pStyle w:val="TOC1"/>
        <w:rPr>
          <w:rFonts w:asciiTheme="minorHAnsi" w:eastAsiaTheme="minorEastAsia" w:hAnsiTheme="minorHAnsi"/>
          <w:kern w:val="2"/>
          <w:sz w:val="24"/>
          <w:lang w:eastAsia="en-AU"/>
          <w14:ligatures w14:val="standardContextual"/>
        </w:rPr>
      </w:pPr>
      <w:r w:rsidRPr="002D185D">
        <w:rPr>
          <w:b/>
          <w:bCs/>
        </w:rPr>
        <w:t xml:space="preserve">Part 6: </w:t>
      </w:r>
      <w:r w:rsidR="00E83FE2" w:rsidRPr="002D185D">
        <w:rPr>
          <w:b/>
          <w:bCs/>
        </w:rPr>
        <w:t>Aligning the Personal Information Protection Principles with the Commonwealth Act: Data Quality, Data Security and Access and Correction</w:t>
      </w:r>
      <w:r w:rsidR="00E83FE2">
        <w:tab/>
      </w:r>
      <w:r w:rsidR="00D53FFE">
        <w:tab/>
      </w:r>
      <w:r w:rsidR="00E20F1D">
        <w:tab/>
      </w:r>
      <w:r w:rsidR="00E83FE2" w:rsidRPr="002D185D">
        <w:rPr>
          <w:b/>
          <w:bCs/>
        </w:rPr>
        <w:fldChar w:fldCharType="begin"/>
      </w:r>
      <w:r w:rsidR="00E83FE2" w:rsidRPr="002D185D">
        <w:rPr>
          <w:b/>
          <w:bCs/>
        </w:rPr>
        <w:instrText xml:space="preserve"> PAGEREF _Toc164606627 \h </w:instrText>
      </w:r>
      <w:r w:rsidR="00E83FE2" w:rsidRPr="002D185D">
        <w:rPr>
          <w:b/>
          <w:bCs/>
        </w:rPr>
      </w:r>
      <w:r w:rsidR="00E83FE2" w:rsidRPr="002D185D">
        <w:rPr>
          <w:b/>
          <w:bCs/>
        </w:rPr>
        <w:fldChar w:fldCharType="separate"/>
      </w:r>
      <w:r w:rsidR="00183626">
        <w:rPr>
          <w:b/>
          <w:bCs/>
        </w:rPr>
        <w:t>94</w:t>
      </w:r>
      <w:r w:rsidR="00E83FE2" w:rsidRPr="002D185D">
        <w:rPr>
          <w:b/>
          <w:bCs/>
        </w:rPr>
        <w:fldChar w:fldCharType="end"/>
      </w:r>
    </w:p>
    <w:p w14:paraId="006A41F8" w14:textId="6549A0BD" w:rsidR="00E83FE2" w:rsidRDefault="00E83FE2" w:rsidP="0076225D">
      <w:pPr>
        <w:pStyle w:val="TOC1"/>
        <w:rPr>
          <w:rFonts w:asciiTheme="minorHAnsi" w:eastAsiaTheme="minorEastAsia" w:hAnsiTheme="minorHAnsi"/>
          <w:kern w:val="2"/>
          <w:sz w:val="24"/>
          <w:lang w:eastAsia="en-AU"/>
          <w14:ligatures w14:val="standardContextual"/>
        </w:rPr>
      </w:pPr>
      <w:r>
        <w:t>6.1</w:t>
      </w:r>
      <w:r>
        <w:rPr>
          <w:rFonts w:asciiTheme="minorHAnsi" w:eastAsiaTheme="minorEastAsia" w:hAnsiTheme="minorHAnsi"/>
          <w:kern w:val="2"/>
          <w:sz w:val="24"/>
          <w:lang w:eastAsia="en-AU"/>
          <w14:ligatures w14:val="standardContextual"/>
        </w:rPr>
        <w:tab/>
      </w:r>
      <w:r>
        <w:t xml:space="preserve">Overview of this </w:t>
      </w:r>
      <w:r w:rsidR="00981FF2">
        <w:t>Part</w:t>
      </w:r>
      <w:r>
        <w:tab/>
      </w:r>
      <w:r>
        <w:fldChar w:fldCharType="begin"/>
      </w:r>
      <w:r>
        <w:instrText xml:space="preserve"> PAGEREF _Toc164606628 \h </w:instrText>
      </w:r>
      <w:r>
        <w:fldChar w:fldCharType="separate"/>
      </w:r>
      <w:r w:rsidR="00183626">
        <w:t>94</w:t>
      </w:r>
      <w:r>
        <w:fldChar w:fldCharType="end"/>
      </w:r>
    </w:p>
    <w:p w14:paraId="07717F12" w14:textId="584C3381" w:rsidR="00E83FE2" w:rsidRDefault="00E83FE2" w:rsidP="0076225D">
      <w:pPr>
        <w:pStyle w:val="TOC1"/>
        <w:rPr>
          <w:rFonts w:asciiTheme="minorHAnsi" w:eastAsiaTheme="minorEastAsia" w:hAnsiTheme="minorHAnsi"/>
          <w:kern w:val="2"/>
          <w:sz w:val="24"/>
          <w:lang w:eastAsia="en-AU"/>
          <w14:ligatures w14:val="standardContextual"/>
        </w:rPr>
      </w:pPr>
      <w:r>
        <w:t>6.2</w:t>
      </w:r>
      <w:r>
        <w:rPr>
          <w:rFonts w:asciiTheme="minorHAnsi" w:eastAsiaTheme="minorEastAsia" w:hAnsiTheme="minorHAnsi"/>
          <w:kern w:val="2"/>
          <w:sz w:val="24"/>
          <w:lang w:eastAsia="en-AU"/>
          <w14:ligatures w14:val="standardContextual"/>
        </w:rPr>
        <w:tab/>
      </w:r>
      <w:r>
        <w:t>The Tasmanian position</w:t>
      </w:r>
      <w:r>
        <w:tab/>
      </w:r>
      <w:r>
        <w:fldChar w:fldCharType="begin"/>
      </w:r>
      <w:r>
        <w:instrText xml:space="preserve"> PAGEREF _Toc164606629 \h </w:instrText>
      </w:r>
      <w:r>
        <w:fldChar w:fldCharType="separate"/>
      </w:r>
      <w:r w:rsidR="00183626">
        <w:t>94</w:t>
      </w:r>
      <w:r>
        <w:fldChar w:fldCharType="end"/>
      </w:r>
    </w:p>
    <w:p w14:paraId="28247CF4" w14:textId="63B3B7AF" w:rsidR="00E83FE2" w:rsidRDefault="00E83FE2" w:rsidP="008E5AE3">
      <w:pPr>
        <w:pStyle w:val="TOC2"/>
        <w:rPr>
          <w:rFonts w:asciiTheme="minorHAnsi" w:hAnsiTheme="minorHAnsi" w:cstheme="minorBidi"/>
          <w:kern w:val="2"/>
          <w:sz w:val="24"/>
          <w:szCs w:val="24"/>
          <w:lang w:eastAsia="en-AU"/>
          <w14:ligatures w14:val="standardContextual"/>
        </w:rPr>
      </w:pPr>
      <w:r>
        <w:t>Data quality</w:t>
      </w:r>
      <w:r>
        <w:tab/>
      </w:r>
      <w:r>
        <w:fldChar w:fldCharType="begin"/>
      </w:r>
      <w:r>
        <w:instrText xml:space="preserve"> PAGEREF _Toc164606630 \h </w:instrText>
      </w:r>
      <w:r>
        <w:fldChar w:fldCharType="separate"/>
      </w:r>
      <w:r w:rsidR="00183626">
        <w:t>94</w:t>
      </w:r>
      <w:r>
        <w:fldChar w:fldCharType="end"/>
      </w:r>
    </w:p>
    <w:p w14:paraId="1ADA7073" w14:textId="471F2A1B" w:rsidR="00E83FE2" w:rsidRDefault="00E83FE2" w:rsidP="008E5AE3">
      <w:pPr>
        <w:pStyle w:val="TOC2"/>
        <w:rPr>
          <w:rFonts w:asciiTheme="minorHAnsi" w:hAnsiTheme="minorHAnsi" w:cstheme="minorBidi"/>
          <w:kern w:val="2"/>
          <w:sz w:val="24"/>
          <w:szCs w:val="24"/>
          <w:lang w:eastAsia="en-AU"/>
          <w14:ligatures w14:val="standardContextual"/>
        </w:rPr>
      </w:pPr>
      <w:r>
        <w:t>Data security</w:t>
      </w:r>
      <w:r>
        <w:tab/>
      </w:r>
      <w:r>
        <w:fldChar w:fldCharType="begin"/>
      </w:r>
      <w:r>
        <w:instrText xml:space="preserve"> PAGEREF _Toc164606631 \h </w:instrText>
      </w:r>
      <w:r>
        <w:fldChar w:fldCharType="separate"/>
      </w:r>
      <w:r w:rsidR="00183626">
        <w:t>94</w:t>
      </w:r>
      <w:r>
        <w:fldChar w:fldCharType="end"/>
      </w:r>
    </w:p>
    <w:p w14:paraId="4918B8C4" w14:textId="23C0916C" w:rsidR="00E83FE2" w:rsidRDefault="00E83FE2" w:rsidP="008E5AE3">
      <w:pPr>
        <w:pStyle w:val="TOC2"/>
        <w:rPr>
          <w:rFonts w:asciiTheme="minorHAnsi" w:hAnsiTheme="minorHAnsi" w:cstheme="minorBidi"/>
          <w:kern w:val="2"/>
          <w:sz w:val="24"/>
          <w:szCs w:val="24"/>
          <w:lang w:eastAsia="en-AU"/>
          <w14:ligatures w14:val="standardContextual"/>
        </w:rPr>
      </w:pPr>
      <w:r>
        <w:lastRenderedPageBreak/>
        <w:t>Access and correction</w:t>
      </w:r>
      <w:r>
        <w:tab/>
      </w:r>
      <w:r>
        <w:fldChar w:fldCharType="begin"/>
      </w:r>
      <w:r>
        <w:instrText xml:space="preserve"> PAGEREF _Toc164606632 \h </w:instrText>
      </w:r>
      <w:r>
        <w:fldChar w:fldCharType="separate"/>
      </w:r>
      <w:r w:rsidR="00183626">
        <w:t>95</w:t>
      </w:r>
      <w:r>
        <w:fldChar w:fldCharType="end"/>
      </w:r>
    </w:p>
    <w:p w14:paraId="54751640" w14:textId="2E39BF35" w:rsidR="00E83FE2" w:rsidRDefault="00E83FE2" w:rsidP="0076225D">
      <w:pPr>
        <w:pStyle w:val="TOC1"/>
        <w:rPr>
          <w:rFonts w:asciiTheme="minorHAnsi" w:eastAsiaTheme="minorEastAsia" w:hAnsiTheme="minorHAnsi"/>
          <w:kern w:val="2"/>
          <w:sz w:val="24"/>
          <w:lang w:eastAsia="en-AU"/>
          <w14:ligatures w14:val="standardContextual"/>
        </w:rPr>
      </w:pPr>
      <w:r>
        <w:t>6.3</w:t>
      </w:r>
      <w:r>
        <w:rPr>
          <w:rFonts w:asciiTheme="minorHAnsi" w:eastAsiaTheme="minorEastAsia" w:hAnsiTheme="minorHAnsi"/>
          <w:kern w:val="2"/>
          <w:sz w:val="24"/>
          <w:lang w:eastAsia="en-AU"/>
          <w14:ligatures w14:val="standardContextual"/>
        </w:rPr>
        <w:tab/>
      </w:r>
      <w:r>
        <w:t>The position in other jurisdictions</w:t>
      </w:r>
      <w:r>
        <w:tab/>
      </w:r>
      <w:r>
        <w:fldChar w:fldCharType="begin"/>
      </w:r>
      <w:r>
        <w:instrText xml:space="preserve"> PAGEREF _Toc164606633 \h </w:instrText>
      </w:r>
      <w:r>
        <w:fldChar w:fldCharType="separate"/>
      </w:r>
      <w:r w:rsidR="00183626">
        <w:t>96</w:t>
      </w:r>
      <w:r>
        <w:fldChar w:fldCharType="end"/>
      </w:r>
    </w:p>
    <w:p w14:paraId="2AE36BB8" w14:textId="74E0CE7C" w:rsidR="00E83FE2" w:rsidRDefault="00E83FE2" w:rsidP="008E5AE3">
      <w:pPr>
        <w:pStyle w:val="TOC2"/>
        <w:rPr>
          <w:rFonts w:asciiTheme="minorHAnsi" w:hAnsiTheme="minorHAnsi" w:cstheme="minorBidi"/>
          <w:kern w:val="2"/>
          <w:sz w:val="24"/>
          <w:szCs w:val="24"/>
          <w:lang w:eastAsia="en-AU"/>
          <w14:ligatures w14:val="standardContextual"/>
        </w:rPr>
      </w:pPr>
      <w:r>
        <w:t>Data quality</w:t>
      </w:r>
      <w:r>
        <w:tab/>
      </w:r>
      <w:r>
        <w:fldChar w:fldCharType="begin"/>
      </w:r>
      <w:r>
        <w:instrText xml:space="preserve"> PAGEREF _Toc164606634 \h </w:instrText>
      </w:r>
      <w:r>
        <w:fldChar w:fldCharType="separate"/>
      </w:r>
      <w:r w:rsidR="00183626">
        <w:t>96</w:t>
      </w:r>
      <w:r>
        <w:fldChar w:fldCharType="end"/>
      </w:r>
    </w:p>
    <w:p w14:paraId="71A83CD8" w14:textId="128A9BEB" w:rsidR="00E83FE2" w:rsidRDefault="00E83FE2" w:rsidP="008E5AE3">
      <w:pPr>
        <w:pStyle w:val="TOC2"/>
        <w:rPr>
          <w:rFonts w:asciiTheme="minorHAnsi" w:hAnsiTheme="minorHAnsi" w:cstheme="minorBidi"/>
          <w:kern w:val="2"/>
          <w:sz w:val="24"/>
          <w:szCs w:val="24"/>
          <w:lang w:eastAsia="en-AU"/>
          <w14:ligatures w14:val="standardContextual"/>
        </w:rPr>
      </w:pPr>
      <w:r>
        <w:t>Data security</w:t>
      </w:r>
      <w:r>
        <w:tab/>
      </w:r>
      <w:r>
        <w:fldChar w:fldCharType="begin"/>
      </w:r>
      <w:r>
        <w:instrText xml:space="preserve"> PAGEREF _Toc164606635 \h </w:instrText>
      </w:r>
      <w:r>
        <w:fldChar w:fldCharType="separate"/>
      </w:r>
      <w:r w:rsidR="00183626">
        <w:t>96</w:t>
      </w:r>
      <w:r>
        <w:fldChar w:fldCharType="end"/>
      </w:r>
    </w:p>
    <w:p w14:paraId="5E3323DA" w14:textId="1EF05E63" w:rsidR="00E83FE2" w:rsidRDefault="00E83FE2" w:rsidP="008E5AE3">
      <w:pPr>
        <w:pStyle w:val="TOC2"/>
        <w:rPr>
          <w:rFonts w:asciiTheme="minorHAnsi" w:hAnsiTheme="minorHAnsi" w:cstheme="minorBidi"/>
          <w:kern w:val="2"/>
          <w:sz w:val="24"/>
          <w:szCs w:val="24"/>
          <w:lang w:eastAsia="en-AU"/>
          <w14:ligatures w14:val="standardContextual"/>
        </w:rPr>
      </w:pPr>
      <w:r>
        <w:t>Access and correction</w:t>
      </w:r>
      <w:r>
        <w:tab/>
      </w:r>
      <w:r>
        <w:fldChar w:fldCharType="begin"/>
      </w:r>
      <w:r>
        <w:instrText xml:space="preserve"> PAGEREF _Toc164606636 \h </w:instrText>
      </w:r>
      <w:r>
        <w:fldChar w:fldCharType="separate"/>
      </w:r>
      <w:r w:rsidR="00183626">
        <w:t>98</w:t>
      </w:r>
      <w:r>
        <w:fldChar w:fldCharType="end"/>
      </w:r>
    </w:p>
    <w:p w14:paraId="6AF345EC" w14:textId="7071273B" w:rsidR="00E83FE2" w:rsidRDefault="00E83FE2" w:rsidP="0076225D">
      <w:pPr>
        <w:pStyle w:val="TOC1"/>
        <w:rPr>
          <w:rFonts w:asciiTheme="minorHAnsi" w:eastAsiaTheme="minorEastAsia" w:hAnsiTheme="minorHAnsi"/>
          <w:kern w:val="2"/>
          <w:sz w:val="24"/>
          <w:lang w:eastAsia="en-AU"/>
          <w14:ligatures w14:val="standardContextual"/>
        </w:rPr>
      </w:pPr>
      <w:r>
        <w:t>6.4</w:t>
      </w:r>
      <w:r>
        <w:rPr>
          <w:rFonts w:asciiTheme="minorHAnsi" w:eastAsiaTheme="minorEastAsia" w:hAnsiTheme="minorHAnsi"/>
          <w:kern w:val="2"/>
          <w:sz w:val="24"/>
          <w:lang w:eastAsia="en-AU"/>
          <w14:ligatures w14:val="standardContextual"/>
        </w:rPr>
        <w:tab/>
      </w:r>
      <w:r>
        <w:t>Proposals in the Commonwealth Privacy Act Review</w:t>
      </w:r>
      <w:r>
        <w:tab/>
      </w:r>
      <w:r>
        <w:fldChar w:fldCharType="begin"/>
      </w:r>
      <w:r>
        <w:instrText xml:space="preserve"> PAGEREF _Toc164606637 \h </w:instrText>
      </w:r>
      <w:r>
        <w:fldChar w:fldCharType="separate"/>
      </w:r>
      <w:r w:rsidR="00183626">
        <w:t>100</w:t>
      </w:r>
      <w:r>
        <w:fldChar w:fldCharType="end"/>
      </w:r>
    </w:p>
    <w:p w14:paraId="11CE65E0" w14:textId="1BD4B6A3" w:rsidR="00E83FE2" w:rsidRDefault="00E83FE2" w:rsidP="008E5AE3">
      <w:pPr>
        <w:pStyle w:val="TOC2"/>
        <w:rPr>
          <w:rFonts w:asciiTheme="minorHAnsi" w:hAnsiTheme="minorHAnsi" w:cstheme="minorBidi"/>
          <w:kern w:val="2"/>
          <w:sz w:val="24"/>
          <w:szCs w:val="24"/>
          <w:lang w:eastAsia="en-AU"/>
          <w14:ligatures w14:val="standardContextual"/>
        </w:rPr>
      </w:pPr>
      <w:r>
        <w:t>Data security</w:t>
      </w:r>
      <w:r>
        <w:tab/>
      </w:r>
      <w:r>
        <w:fldChar w:fldCharType="begin"/>
      </w:r>
      <w:r>
        <w:instrText xml:space="preserve"> PAGEREF _Toc164606638 \h </w:instrText>
      </w:r>
      <w:r>
        <w:fldChar w:fldCharType="separate"/>
      </w:r>
      <w:r w:rsidR="00183626">
        <w:t>101</w:t>
      </w:r>
      <w:r>
        <w:fldChar w:fldCharType="end"/>
      </w:r>
    </w:p>
    <w:p w14:paraId="3626EEA9" w14:textId="2A20AE53" w:rsidR="00E83FE2" w:rsidRDefault="00E83FE2" w:rsidP="008E5AE3">
      <w:pPr>
        <w:pStyle w:val="TOC2"/>
        <w:rPr>
          <w:rFonts w:asciiTheme="minorHAnsi" w:hAnsiTheme="minorHAnsi" w:cstheme="minorBidi"/>
          <w:kern w:val="2"/>
          <w:sz w:val="24"/>
          <w:szCs w:val="24"/>
          <w:lang w:eastAsia="en-AU"/>
          <w14:ligatures w14:val="standardContextual"/>
        </w:rPr>
      </w:pPr>
      <w:r>
        <w:t>Access and correction</w:t>
      </w:r>
      <w:r>
        <w:tab/>
      </w:r>
      <w:r>
        <w:fldChar w:fldCharType="begin"/>
      </w:r>
      <w:r>
        <w:instrText xml:space="preserve"> PAGEREF _Toc164606639 \h </w:instrText>
      </w:r>
      <w:r>
        <w:fldChar w:fldCharType="separate"/>
      </w:r>
      <w:r w:rsidR="00183626">
        <w:t>103</w:t>
      </w:r>
      <w:r>
        <w:fldChar w:fldCharType="end"/>
      </w:r>
    </w:p>
    <w:p w14:paraId="0E9E8A49" w14:textId="3A48A598" w:rsidR="00E83FE2" w:rsidRDefault="00E83FE2" w:rsidP="008E5AE3">
      <w:pPr>
        <w:pStyle w:val="TOC2"/>
        <w:rPr>
          <w:rFonts w:asciiTheme="minorHAnsi" w:hAnsiTheme="minorHAnsi" w:cstheme="minorBidi"/>
          <w:kern w:val="2"/>
          <w:sz w:val="24"/>
          <w:szCs w:val="24"/>
          <w:lang w:eastAsia="en-AU"/>
          <w14:ligatures w14:val="standardContextual"/>
        </w:rPr>
      </w:pPr>
      <w:r>
        <w:t>General exceptions to individual rights</w:t>
      </w:r>
      <w:r>
        <w:tab/>
      </w:r>
      <w:r>
        <w:fldChar w:fldCharType="begin"/>
      </w:r>
      <w:r>
        <w:instrText xml:space="preserve"> PAGEREF _Toc164606640 \h </w:instrText>
      </w:r>
      <w:r>
        <w:fldChar w:fldCharType="separate"/>
      </w:r>
      <w:r w:rsidR="00183626">
        <w:t>103</w:t>
      </w:r>
      <w:r>
        <w:fldChar w:fldCharType="end"/>
      </w:r>
    </w:p>
    <w:p w14:paraId="732BD188" w14:textId="3E069A8C" w:rsidR="00E83FE2" w:rsidRDefault="00E83FE2" w:rsidP="008E5AE3">
      <w:pPr>
        <w:pStyle w:val="TOC2"/>
        <w:rPr>
          <w:rFonts w:asciiTheme="minorHAnsi" w:hAnsiTheme="minorHAnsi" w:cstheme="minorBidi"/>
          <w:kern w:val="2"/>
          <w:sz w:val="24"/>
          <w:szCs w:val="24"/>
          <w:lang w:eastAsia="en-AU"/>
          <w14:ligatures w14:val="standardContextual"/>
        </w:rPr>
      </w:pPr>
      <w:r>
        <w:t>Assisting and responding to the exercise of individual rights</w:t>
      </w:r>
      <w:r>
        <w:tab/>
      </w:r>
      <w:r>
        <w:fldChar w:fldCharType="begin"/>
      </w:r>
      <w:r>
        <w:instrText xml:space="preserve"> PAGEREF _Toc164606641 \h </w:instrText>
      </w:r>
      <w:r>
        <w:fldChar w:fldCharType="separate"/>
      </w:r>
      <w:r w:rsidR="00183626">
        <w:t>104</w:t>
      </w:r>
      <w:r>
        <w:fldChar w:fldCharType="end"/>
      </w:r>
    </w:p>
    <w:p w14:paraId="73124564" w14:textId="7551AC9E" w:rsidR="00E83FE2" w:rsidRDefault="00E83FE2" w:rsidP="0076225D">
      <w:pPr>
        <w:pStyle w:val="TOC1"/>
        <w:rPr>
          <w:rFonts w:asciiTheme="minorHAnsi" w:eastAsiaTheme="minorEastAsia" w:hAnsiTheme="minorHAnsi"/>
          <w:kern w:val="2"/>
          <w:sz w:val="24"/>
          <w:lang w:eastAsia="en-AU"/>
          <w14:ligatures w14:val="standardContextual"/>
        </w:rPr>
      </w:pPr>
      <w:r>
        <w:t>6.5</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_Toc164606642 \h </w:instrText>
      </w:r>
      <w:r>
        <w:fldChar w:fldCharType="separate"/>
      </w:r>
      <w:r w:rsidR="00183626">
        <w:t>105</w:t>
      </w:r>
      <w:r>
        <w:fldChar w:fldCharType="end"/>
      </w:r>
    </w:p>
    <w:p w14:paraId="1EFCF841" w14:textId="25E7AEA1" w:rsidR="00E83FE2" w:rsidRDefault="00E83FE2" w:rsidP="008E5AE3">
      <w:pPr>
        <w:pStyle w:val="TOC2"/>
        <w:rPr>
          <w:rFonts w:asciiTheme="minorHAnsi" w:hAnsiTheme="minorHAnsi" w:cstheme="minorBidi"/>
          <w:kern w:val="2"/>
          <w:sz w:val="24"/>
          <w:szCs w:val="24"/>
          <w:lang w:eastAsia="en-AU"/>
          <w14:ligatures w14:val="standardContextual"/>
        </w:rPr>
      </w:pPr>
      <w:r>
        <w:t>Data security</w:t>
      </w:r>
      <w:r>
        <w:tab/>
      </w:r>
      <w:r>
        <w:fldChar w:fldCharType="begin"/>
      </w:r>
      <w:r>
        <w:instrText xml:space="preserve"> PAGEREF _Toc164606643 \h </w:instrText>
      </w:r>
      <w:r>
        <w:fldChar w:fldCharType="separate"/>
      </w:r>
      <w:r w:rsidR="00183626">
        <w:t>105</w:t>
      </w:r>
      <w:r>
        <w:fldChar w:fldCharType="end"/>
      </w:r>
    </w:p>
    <w:p w14:paraId="69CC90E1" w14:textId="1116A553" w:rsidR="00E83FE2" w:rsidRDefault="00E83FE2" w:rsidP="008E5AE3">
      <w:pPr>
        <w:pStyle w:val="TOC2"/>
        <w:rPr>
          <w:rFonts w:asciiTheme="minorHAnsi" w:hAnsiTheme="minorHAnsi" w:cstheme="minorBidi"/>
          <w:kern w:val="2"/>
          <w:sz w:val="24"/>
          <w:szCs w:val="24"/>
          <w:lang w:eastAsia="en-AU"/>
          <w14:ligatures w14:val="standardContextual"/>
        </w:rPr>
      </w:pPr>
      <w:r>
        <w:t>Access and correction</w:t>
      </w:r>
      <w:r>
        <w:tab/>
      </w:r>
      <w:r>
        <w:fldChar w:fldCharType="begin"/>
      </w:r>
      <w:r>
        <w:instrText xml:space="preserve"> PAGEREF _Toc164606644 \h </w:instrText>
      </w:r>
      <w:r>
        <w:fldChar w:fldCharType="separate"/>
      </w:r>
      <w:r w:rsidR="00183626">
        <w:t>105</w:t>
      </w:r>
      <w:r>
        <w:fldChar w:fldCharType="end"/>
      </w:r>
    </w:p>
    <w:p w14:paraId="67DEFB93" w14:textId="6ED17679" w:rsidR="00E83FE2" w:rsidRDefault="00E83FE2" w:rsidP="0076225D">
      <w:pPr>
        <w:pStyle w:val="TOC1"/>
        <w:rPr>
          <w:rFonts w:asciiTheme="minorHAnsi" w:eastAsiaTheme="minorEastAsia" w:hAnsiTheme="minorHAnsi"/>
          <w:kern w:val="2"/>
          <w:sz w:val="24"/>
          <w:lang w:eastAsia="en-AU"/>
          <w14:ligatures w14:val="standardContextual"/>
        </w:rPr>
      </w:pPr>
      <w:r>
        <w:t>6.6</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_Toc164606645 \h </w:instrText>
      </w:r>
      <w:r>
        <w:fldChar w:fldCharType="separate"/>
      </w:r>
      <w:r w:rsidR="00183626">
        <w:t>107</w:t>
      </w:r>
      <w:r>
        <w:fldChar w:fldCharType="end"/>
      </w:r>
    </w:p>
    <w:p w14:paraId="70662F8F" w14:textId="431C2C93" w:rsidR="00E83FE2" w:rsidRDefault="00E83FE2" w:rsidP="008E5AE3">
      <w:pPr>
        <w:pStyle w:val="TOC2"/>
        <w:rPr>
          <w:rFonts w:asciiTheme="minorHAnsi" w:hAnsiTheme="minorHAnsi" w:cstheme="minorBidi"/>
          <w:kern w:val="2"/>
          <w:sz w:val="24"/>
          <w:szCs w:val="24"/>
          <w:lang w:eastAsia="en-AU"/>
          <w14:ligatures w14:val="standardContextual"/>
        </w:rPr>
      </w:pPr>
      <w:r>
        <w:t>Data quality</w:t>
      </w:r>
      <w:r>
        <w:tab/>
      </w:r>
      <w:r>
        <w:fldChar w:fldCharType="begin"/>
      </w:r>
      <w:r>
        <w:instrText xml:space="preserve"> PAGEREF _Toc164606646 \h </w:instrText>
      </w:r>
      <w:r>
        <w:fldChar w:fldCharType="separate"/>
      </w:r>
      <w:r w:rsidR="00183626">
        <w:t>107</w:t>
      </w:r>
      <w:r>
        <w:fldChar w:fldCharType="end"/>
      </w:r>
    </w:p>
    <w:p w14:paraId="1B3B7624" w14:textId="72EE05C8" w:rsidR="00E83FE2" w:rsidRDefault="00E83FE2" w:rsidP="008E5AE3">
      <w:pPr>
        <w:pStyle w:val="TOC2"/>
        <w:rPr>
          <w:rFonts w:asciiTheme="minorHAnsi" w:hAnsiTheme="minorHAnsi" w:cstheme="minorBidi"/>
          <w:kern w:val="2"/>
          <w:sz w:val="24"/>
          <w:szCs w:val="24"/>
          <w:lang w:eastAsia="en-AU"/>
          <w14:ligatures w14:val="standardContextual"/>
        </w:rPr>
      </w:pPr>
      <w:r>
        <w:t>Data security</w:t>
      </w:r>
      <w:r>
        <w:tab/>
      </w:r>
      <w:r>
        <w:fldChar w:fldCharType="begin"/>
      </w:r>
      <w:r>
        <w:instrText xml:space="preserve"> PAGEREF _Toc164606647 \h </w:instrText>
      </w:r>
      <w:r>
        <w:fldChar w:fldCharType="separate"/>
      </w:r>
      <w:r w:rsidR="00183626">
        <w:t>107</w:t>
      </w:r>
      <w:r>
        <w:fldChar w:fldCharType="end"/>
      </w:r>
    </w:p>
    <w:p w14:paraId="532FF9DA" w14:textId="0C830ACB" w:rsidR="00E83FE2" w:rsidRDefault="00845E5E"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Access and correction</w:t>
      </w:r>
      <w:r w:rsidR="00E83FE2">
        <w:tab/>
      </w:r>
      <w:r w:rsidR="00E83FE2">
        <w:fldChar w:fldCharType="begin"/>
      </w:r>
      <w:r w:rsidR="00E83FE2">
        <w:instrText xml:space="preserve"> PAGEREF _Toc164606648 \h </w:instrText>
      </w:r>
      <w:r w:rsidR="00E83FE2">
        <w:fldChar w:fldCharType="separate"/>
      </w:r>
      <w:r w:rsidR="00183626">
        <w:t>108</w:t>
      </w:r>
      <w:r w:rsidR="00E83FE2">
        <w:fldChar w:fldCharType="end"/>
      </w:r>
    </w:p>
    <w:p w14:paraId="7290F191" w14:textId="6750DCDE" w:rsidR="00E83FE2" w:rsidRDefault="00E83FE2" w:rsidP="008E5AE3">
      <w:pPr>
        <w:pStyle w:val="TOC2"/>
        <w:rPr>
          <w:rFonts w:asciiTheme="minorHAnsi" w:hAnsiTheme="minorHAnsi" w:cstheme="minorBidi"/>
          <w:kern w:val="2"/>
          <w:sz w:val="24"/>
          <w:szCs w:val="24"/>
          <w:lang w:eastAsia="en-AU"/>
          <w14:ligatures w14:val="standardContextual"/>
        </w:rPr>
      </w:pPr>
      <w:r>
        <w:t>Access</w:t>
      </w:r>
      <w:r>
        <w:tab/>
      </w:r>
      <w:r>
        <w:fldChar w:fldCharType="begin"/>
      </w:r>
      <w:r>
        <w:instrText xml:space="preserve"> PAGEREF _Toc164606649 \h </w:instrText>
      </w:r>
      <w:r>
        <w:fldChar w:fldCharType="separate"/>
      </w:r>
      <w:r w:rsidR="00183626">
        <w:t>108</w:t>
      </w:r>
      <w:r>
        <w:fldChar w:fldCharType="end"/>
      </w:r>
    </w:p>
    <w:p w14:paraId="3D902B8E" w14:textId="4D59143D" w:rsidR="00E83FE2" w:rsidRDefault="00E83FE2" w:rsidP="008E5AE3">
      <w:pPr>
        <w:pStyle w:val="TOC2"/>
        <w:rPr>
          <w:rFonts w:asciiTheme="minorHAnsi" w:hAnsiTheme="minorHAnsi" w:cstheme="minorBidi"/>
          <w:kern w:val="2"/>
          <w:sz w:val="24"/>
          <w:szCs w:val="24"/>
          <w:lang w:eastAsia="en-AU"/>
          <w14:ligatures w14:val="standardContextual"/>
        </w:rPr>
      </w:pPr>
      <w:r>
        <w:t>Correction</w:t>
      </w:r>
      <w:r>
        <w:tab/>
      </w:r>
      <w:r>
        <w:fldChar w:fldCharType="begin"/>
      </w:r>
      <w:r>
        <w:instrText xml:space="preserve"> PAGEREF _Toc164606650 \h </w:instrText>
      </w:r>
      <w:r>
        <w:fldChar w:fldCharType="separate"/>
      </w:r>
      <w:r w:rsidR="00183626">
        <w:t>110</w:t>
      </w:r>
      <w:r>
        <w:fldChar w:fldCharType="end"/>
      </w:r>
    </w:p>
    <w:p w14:paraId="5EE3C55E" w14:textId="2116A44D" w:rsidR="00E83FE2" w:rsidRDefault="00E83FE2" w:rsidP="0076225D">
      <w:pPr>
        <w:pStyle w:val="TOC1"/>
        <w:rPr>
          <w:rFonts w:asciiTheme="minorHAnsi" w:eastAsiaTheme="minorEastAsia" w:hAnsiTheme="minorHAnsi"/>
          <w:kern w:val="2"/>
          <w:sz w:val="24"/>
          <w:lang w:eastAsia="en-AU"/>
          <w14:ligatures w14:val="standardContextual"/>
        </w:rPr>
      </w:pPr>
      <w:r>
        <w:t>6.7</w:t>
      </w:r>
      <w:r>
        <w:rPr>
          <w:rFonts w:asciiTheme="minorHAnsi" w:eastAsiaTheme="minorEastAsia" w:hAnsiTheme="minorHAnsi"/>
          <w:kern w:val="2"/>
          <w:sz w:val="24"/>
          <w:lang w:eastAsia="en-AU"/>
          <w14:ligatures w14:val="standardContextual"/>
        </w:rPr>
        <w:tab/>
      </w:r>
      <w:r>
        <w:t>Recommendations</w:t>
      </w:r>
      <w:r w:rsidR="00845E5E">
        <w:t xml:space="preserve"> 34–43</w:t>
      </w:r>
      <w:r>
        <w:tab/>
      </w:r>
      <w:r>
        <w:fldChar w:fldCharType="begin"/>
      </w:r>
      <w:r>
        <w:instrText xml:space="preserve"> PAGEREF _Toc164606651 \h </w:instrText>
      </w:r>
      <w:r>
        <w:fldChar w:fldCharType="separate"/>
      </w:r>
      <w:r w:rsidR="00183626">
        <w:t>111</w:t>
      </w:r>
      <w:r>
        <w:fldChar w:fldCharType="end"/>
      </w:r>
    </w:p>
    <w:p w14:paraId="63179EBB" w14:textId="1ED14108" w:rsidR="00E83FE2" w:rsidRDefault="00845E5E" w:rsidP="0076225D">
      <w:pPr>
        <w:pStyle w:val="TOC1"/>
        <w:rPr>
          <w:rFonts w:asciiTheme="minorHAnsi" w:eastAsiaTheme="minorEastAsia" w:hAnsiTheme="minorHAnsi"/>
          <w:kern w:val="2"/>
          <w:sz w:val="24"/>
          <w:lang w:eastAsia="en-AU"/>
          <w14:ligatures w14:val="standardContextual"/>
        </w:rPr>
      </w:pPr>
      <w:r w:rsidRPr="002D185D">
        <w:rPr>
          <w:b/>
          <w:bCs/>
        </w:rPr>
        <w:t xml:space="preserve">Part 7: </w:t>
      </w:r>
      <w:r w:rsidR="00E83FE2" w:rsidRPr="002D185D">
        <w:rPr>
          <w:b/>
          <w:bCs/>
        </w:rPr>
        <w:t>Aligning the Personal Information Protection Principles with the Commonwealth Act: Other Privacy Principles</w:t>
      </w:r>
      <w:r w:rsidR="00E83FE2">
        <w:tab/>
      </w:r>
      <w:r w:rsidR="00E83FE2" w:rsidRPr="002D185D">
        <w:rPr>
          <w:b/>
          <w:bCs/>
        </w:rPr>
        <w:fldChar w:fldCharType="begin"/>
      </w:r>
      <w:r w:rsidR="00E83FE2" w:rsidRPr="002D185D">
        <w:rPr>
          <w:b/>
          <w:bCs/>
        </w:rPr>
        <w:instrText xml:space="preserve"> PAGEREF _Toc164606652 \h </w:instrText>
      </w:r>
      <w:r w:rsidR="00E83FE2" w:rsidRPr="002D185D">
        <w:rPr>
          <w:b/>
          <w:bCs/>
        </w:rPr>
      </w:r>
      <w:r w:rsidR="00E83FE2" w:rsidRPr="002D185D">
        <w:rPr>
          <w:b/>
          <w:bCs/>
        </w:rPr>
        <w:fldChar w:fldCharType="separate"/>
      </w:r>
      <w:r w:rsidR="00183626">
        <w:rPr>
          <w:b/>
          <w:bCs/>
        </w:rPr>
        <w:t>113</w:t>
      </w:r>
      <w:r w:rsidR="00E83FE2" w:rsidRPr="002D185D">
        <w:rPr>
          <w:b/>
          <w:bCs/>
        </w:rPr>
        <w:fldChar w:fldCharType="end"/>
      </w:r>
    </w:p>
    <w:p w14:paraId="1C31683E" w14:textId="2F4A049E" w:rsidR="00E83FE2" w:rsidRDefault="00E83FE2" w:rsidP="0076225D">
      <w:pPr>
        <w:pStyle w:val="TOC1"/>
        <w:rPr>
          <w:rFonts w:asciiTheme="minorHAnsi" w:eastAsiaTheme="minorEastAsia" w:hAnsiTheme="minorHAnsi"/>
          <w:kern w:val="2"/>
          <w:sz w:val="24"/>
          <w:lang w:eastAsia="en-AU"/>
          <w14:ligatures w14:val="standardContextual"/>
        </w:rPr>
      </w:pPr>
      <w:r>
        <w:t>7.1</w:t>
      </w:r>
      <w:r>
        <w:rPr>
          <w:rFonts w:asciiTheme="minorHAnsi" w:eastAsiaTheme="minorEastAsia" w:hAnsiTheme="minorHAnsi"/>
          <w:kern w:val="2"/>
          <w:sz w:val="24"/>
          <w:lang w:eastAsia="en-AU"/>
          <w14:ligatures w14:val="standardContextual"/>
        </w:rPr>
        <w:tab/>
      </w:r>
      <w:r>
        <w:t xml:space="preserve">Overview of this </w:t>
      </w:r>
      <w:r w:rsidR="00981FF2">
        <w:t>Part</w:t>
      </w:r>
      <w:r>
        <w:tab/>
      </w:r>
      <w:r>
        <w:fldChar w:fldCharType="begin"/>
      </w:r>
      <w:r>
        <w:instrText xml:space="preserve"> PAGEREF _Toc164606653 \h </w:instrText>
      </w:r>
      <w:r>
        <w:fldChar w:fldCharType="separate"/>
      </w:r>
      <w:r w:rsidR="00183626">
        <w:t>113</w:t>
      </w:r>
      <w:r>
        <w:fldChar w:fldCharType="end"/>
      </w:r>
    </w:p>
    <w:p w14:paraId="2E78D31D" w14:textId="2381FB56" w:rsidR="00E83FE2" w:rsidRDefault="00E83FE2" w:rsidP="0076225D">
      <w:pPr>
        <w:pStyle w:val="TOC1"/>
        <w:rPr>
          <w:rFonts w:asciiTheme="minorHAnsi" w:eastAsiaTheme="minorEastAsia" w:hAnsiTheme="minorHAnsi"/>
          <w:kern w:val="2"/>
          <w:sz w:val="24"/>
          <w:lang w:eastAsia="en-AU"/>
          <w14:ligatures w14:val="standardContextual"/>
        </w:rPr>
      </w:pPr>
      <w:r>
        <w:t>7.2</w:t>
      </w:r>
      <w:r>
        <w:rPr>
          <w:rFonts w:asciiTheme="minorHAnsi" w:eastAsiaTheme="minorEastAsia" w:hAnsiTheme="minorHAnsi"/>
          <w:kern w:val="2"/>
          <w:sz w:val="24"/>
          <w:lang w:eastAsia="en-AU"/>
          <w14:ligatures w14:val="standardContextual"/>
        </w:rPr>
        <w:tab/>
      </w:r>
      <w:r>
        <w:t>Openness and privacy policies</w:t>
      </w:r>
      <w:r>
        <w:tab/>
      </w:r>
      <w:r>
        <w:fldChar w:fldCharType="begin"/>
      </w:r>
      <w:r>
        <w:instrText xml:space="preserve"> PAGEREF _Toc164606654 \h </w:instrText>
      </w:r>
      <w:r>
        <w:fldChar w:fldCharType="separate"/>
      </w:r>
      <w:r w:rsidR="00183626">
        <w:t>113</w:t>
      </w:r>
      <w:r>
        <w:fldChar w:fldCharType="end"/>
      </w:r>
    </w:p>
    <w:p w14:paraId="6C47C90A" w14:textId="5FFD4882" w:rsidR="00E83FE2" w:rsidRDefault="00E83FE2" w:rsidP="008E5AE3">
      <w:pPr>
        <w:pStyle w:val="TOC2"/>
        <w:rPr>
          <w:rFonts w:asciiTheme="minorHAnsi" w:hAnsiTheme="minorHAnsi" w:cstheme="minorBidi"/>
          <w:kern w:val="2"/>
          <w:sz w:val="24"/>
          <w:szCs w:val="24"/>
          <w:lang w:eastAsia="en-AU"/>
          <w14:ligatures w14:val="standardContextual"/>
        </w:rPr>
      </w:pPr>
      <w:r>
        <w:t>The Tasmanian position</w:t>
      </w:r>
      <w:r>
        <w:tab/>
      </w:r>
      <w:r>
        <w:fldChar w:fldCharType="begin"/>
      </w:r>
      <w:r>
        <w:instrText xml:space="preserve"> PAGEREF _Toc164606655 \h </w:instrText>
      </w:r>
      <w:r>
        <w:fldChar w:fldCharType="separate"/>
      </w:r>
      <w:r w:rsidR="00183626">
        <w:t>113</w:t>
      </w:r>
      <w:r>
        <w:fldChar w:fldCharType="end"/>
      </w:r>
    </w:p>
    <w:p w14:paraId="18F865BE" w14:textId="59ECDEC1" w:rsidR="00E83FE2" w:rsidRDefault="00E83FE2" w:rsidP="008E5AE3">
      <w:pPr>
        <w:pStyle w:val="TOC2"/>
        <w:rPr>
          <w:rFonts w:asciiTheme="minorHAnsi" w:hAnsiTheme="minorHAnsi" w:cstheme="minorBidi"/>
          <w:kern w:val="2"/>
          <w:sz w:val="24"/>
          <w:szCs w:val="24"/>
          <w:lang w:eastAsia="en-AU"/>
          <w14:ligatures w14:val="standardContextual"/>
        </w:rPr>
      </w:pPr>
      <w:r>
        <w:t>The position in other jurisdictions</w:t>
      </w:r>
      <w:r>
        <w:tab/>
      </w:r>
      <w:r>
        <w:fldChar w:fldCharType="begin"/>
      </w:r>
      <w:r>
        <w:instrText xml:space="preserve"> PAGEREF _Toc164606656 \h </w:instrText>
      </w:r>
      <w:r>
        <w:fldChar w:fldCharType="separate"/>
      </w:r>
      <w:r w:rsidR="00183626">
        <w:t>113</w:t>
      </w:r>
      <w:r>
        <w:fldChar w:fldCharType="end"/>
      </w:r>
    </w:p>
    <w:p w14:paraId="0C63ED16" w14:textId="4D7013CA" w:rsidR="00E83FE2" w:rsidRDefault="00E83FE2" w:rsidP="0076225D">
      <w:pPr>
        <w:pStyle w:val="TOC1"/>
        <w:rPr>
          <w:rFonts w:asciiTheme="minorHAnsi" w:eastAsiaTheme="minorEastAsia" w:hAnsiTheme="minorHAnsi"/>
          <w:kern w:val="2"/>
          <w:sz w:val="24"/>
          <w:lang w:eastAsia="en-AU"/>
          <w14:ligatures w14:val="standardContextual"/>
        </w:rPr>
      </w:pPr>
      <w:r>
        <w:t>7.3</w:t>
      </w:r>
      <w:r>
        <w:rPr>
          <w:rFonts w:asciiTheme="minorHAnsi" w:eastAsiaTheme="minorEastAsia" w:hAnsiTheme="minorHAnsi"/>
          <w:kern w:val="2"/>
          <w:sz w:val="24"/>
          <w:lang w:eastAsia="en-AU"/>
          <w14:ligatures w14:val="standardContextual"/>
        </w:rPr>
        <w:tab/>
      </w:r>
      <w:r>
        <w:t>Proposals in the Commonwealth Privacy Act Review</w:t>
      </w:r>
      <w:r>
        <w:tab/>
      </w:r>
      <w:r>
        <w:fldChar w:fldCharType="begin"/>
      </w:r>
      <w:r>
        <w:instrText xml:space="preserve"> PAGEREF _Toc164606657 \h </w:instrText>
      </w:r>
      <w:r>
        <w:fldChar w:fldCharType="separate"/>
      </w:r>
      <w:r w:rsidR="00183626">
        <w:t>115</w:t>
      </w:r>
      <w:r>
        <w:fldChar w:fldCharType="end"/>
      </w:r>
    </w:p>
    <w:p w14:paraId="708B2E45" w14:textId="1967FE7C" w:rsidR="00E83FE2" w:rsidRDefault="00E83FE2" w:rsidP="008E5AE3">
      <w:pPr>
        <w:pStyle w:val="TOC2"/>
        <w:rPr>
          <w:rFonts w:asciiTheme="minorHAnsi" w:hAnsiTheme="minorHAnsi" w:cstheme="minorBidi"/>
          <w:kern w:val="2"/>
          <w:sz w:val="24"/>
          <w:szCs w:val="24"/>
          <w:lang w:eastAsia="en-AU"/>
          <w14:ligatures w14:val="standardContextual"/>
        </w:rPr>
      </w:pPr>
      <w:r>
        <w:t>Automated decision-making</w:t>
      </w:r>
      <w:r>
        <w:tab/>
      </w:r>
      <w:r>
        <w:fldChar w:fldCharType="begin"/>
      </w:r>
      <w:r>
        <w:instrText xml:space="preserve"> PAGEREF _Toc164606658 \h </w:instrText>
      </w:r>
      <w:r>
        <w:fldChar w:fldCharType="separate"/>
      </w:r>
      <w:r w:rsidR="00183626">
        <w:t>116</w:t>
      </w:r>
      <w:r>
        <w:fldChar w:fldCharType="end"/>
      </w:r>
    </w:p>
    <w:p w14:paraId="267AFFA2" w14:textId="55F5B55E" w:rsidR="00E83FE2" w:rsidRDefault="00E83FE2" w:rsidP="0076225D">
      <w:pPr>
        <w:pStyle w:val="TOC1"/>
        <w:rPr>
          <w:rFonts w:asciiTheme="minorHAnsi" w:eastAsiaTheme="minorEastAsia" w:hAnsiTheme="minorHAnsi"/>
          <w:kern w:val="2"/>
          <w:sz w:val="24"/>
          <w:lang w:eastAsia="en-AU"/>
          <w14:ligatures w14:val="standardContextual"/>
        </w:rPr>
      </w:pPr>
      <w:r>
        <w:t>7.4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_Toc164606659 \h </w:instrText>
      </w:r>
      <w:r>
        <w:fldChar w:fldCharType="separate"/>
      </w:r>
      <w:r w:rsidR="00183626">
        <w:t>117</w:t>
      </w:r>
      <w:r>
        <w:fldChar w:fldCharType="end"/>
      </w:r>
    </w:p>
    <w:p w14:paraId="57ADB959" w14:textId="64159F2A" w:rsidR="00E83FE2" w:rsidRDefault="00E83FE2" w:rsidP="0076225D">
      <w:pPr>
        <w:pStyle w:val="TOC1"/>
        <w:rPr>
          <w:rFonts w:asciiTheme="minorHAnsi" w:eastAsiaTheme="minorEastAsia" w:hAnsiTheme="minorHAnsi"/>
          <w:kern w:val="2"/>
          <w:sz w:val="24"/>
          <w:lang w:eastAsia="en-AU"/>
          <w14:ligatures w14:val="standardContextual"/>
        </w:rPr>
      </w:pPr>
      <w:r>
        <w:t>7.5</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_Toc164606660 \h </w:instrText>
      </w:r>
      <w:r>
        <w:fldChar w:fldCharType="separate"/>
      </w:r>
      <w:r w:rsidR="00183626">
        <w:t>118</w:t>
      </w:r>
      <w:r>
        <w:fldChar w:fldCharType="end"/>
      </w:r>
    </w:p>
    <w:p w14:paraId="3EAC80D2" w14:textId="78C26C01" w:rsidR="00E83FE2" w:rsidRDefault="00E83FE2" w:rsidP="0076225D">
      <w:pPr>
        <w:pStyle w:val="TOC1"/>
        <w:rPr>
          <w:rFonts w:asciiTheme="minorHAnsi" w:eastAsiaTheme="minorEastAsia" w:hAnsiTheme="minorHAnsi"/>
          <w:kern w:val="2"/>
          <w:sz w:val="24"/>
          <w:lang w:eastAsia="en-AU"/>
          <w14:ligatures w14:val="standardContextual"/>
        </w:rPr>
      </w:pPr>
      <w:r>
        <w:t>7.6</w:t>
      </w:r>
      <w:r>
        <w:rPr>
          <w:rFonts w:asciiTheme="minorHAnsi" w:eastAsiaTheme="minorEastAsia" w:hAnsiTheme="minorHAnsi"/>
          <w:kern w:val="2"/>
          <w:sz w:val="24"/>
          <w:lang w:eastAsia="en-AU"/>
          <w14:ligatures w14:val="standardContextual"/>
        </w:rPr>
        <w:tab/>
      </w:r>
      <w:r>
        <w:t>Recommendations</w:t>
      </w:r>
      <w:r w:rsidR="00361F36">
        <w:t xml:space="preserve"> 44–46</w:t>
      </w:r>
      <w:r>
        <w:tab/>
      </w:r>
      <w:r>
        <w:fldChar w:fldCharType="begin"/>
      </w:r>
      <w:r>
        <w:instrText xml:space="preserve"> PAGEREF _Toc164606661 \h </w:instrText>
      </w:r>
      <w:r>
        <w:fldChar w:fldCharType="separate"/>
      </w:r>
      <w:r w:rsidR="00183626">
        <w:t>119</w:t>
      </w:r>
      <w:r>
        <w:fldChar w:fldCharType="end"/>
      </w:r>
    </w:p>
    <w:p w14:paraId="7AD6CAEF" w14:textId="4FE7B252" w:rsidR="00E83FE2" w:rsidRDefault="00E83FE2" w:rsidP="0076225D">
      <w:pPr>
        <w:pStyle w:val="TOC1"/>
        <w:rPr>
          <w:rFonts w:asciiTheme="minorHAnsi" w:eastAsiaTheme="minorEastAsia" w:hAnsiTheme="minorHAnsi"/>
          <w:kern w:val="2"/>
          <w:sz w:val="24"/>
          <w:lang w:eastAsia="en-AU"/>
          <w14:ligatures w14:val="standardContextual"/>
        </w:rPr>
      </w:pPr>
      <w:r>
        <w:t>7.7</w:t>
      </w:r>
      <w:r>
        <w:rPr>
          <w:rFonts w:asciiTheme="minorHAnsi" w:eastAsiaTheme="minorEastAsia" w:hAnsiTheme="minorHAnsi"/>
          <w:kern w:val="2"/>
          <w:sz w:val="24"/>
          <w:lang w:eastAsia="en-AU"/>
          <w14:ligatures w14:val="standardContextual"/>
        </w:rPr>
        <w:tab/>
      </w:r>
      <w:r>
        <w:t>Unique identifiers</w:t>
      </w:r>
      <w:r>
        <w:tab/>
      </w:r>
      <w:r>
        <w:fldChar w:fldCharType="begin"/>
      </w:r>
      <w:r>
        <w:instrText xml:space="preserve"> PAGEREF _Toc164606662 \h </w:instrText>
      </w:r>
      <w:r>
        <w:fldChar w:fldCharType="separate"/>
      </w:r>
      <w:r w:rsidR="00183626">
        <w:t>119</w:t>
      </w:r>
      <w:r>
        <w:fldChar w:fldCharType="end"/>
      </w:r>
    </w:p>
    <w:p w14:paraId="1D341A14" w14:textId="481B07AB" w:rsidR="00E83FE2" w:rsidRDefault="00361F36"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_Toc164606663 \h </w:instrText>
      </w:r>
      <w:r w:rsidR="00E83FE2">
        <w:fldChar w:fldCharType="separate"/>
      </w:r>
      <w:r w:rsidR="00183626">
        <w:t>119</w:t>
      </w:r>
      <w:r w:rsidR="00E83FE2">
        <w:fldChar w:fldCharType="end"/>
      </w:r>
    </w:p>
    <w:p w14:paraId="72D9306D" w14:textId="79067D37" w:rsidR="00E83FE2" w:rsidRDefault="00361F36"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_Toc164606664 \h </w:instrText>
      </w:r>
      <w:r w:rsidR="00E83FE2">
        <w:fldChar w:fldCharType="separate"/>
      </w:r>
      <w:r w:rsidR="00183626">
        <w:t>120</w:t>
      </w:r>
      <w:r w:rsidR="00E83FE2">
        <w:fldChar w:fldCharType="end"/>
      </w:r>
    </w:p>
    <w:p w14:paraId="1123CA86" w14:textId="2D439DAE" w:rsidR="00E83FE2" w:rsidRDefault="00E83FE2" w:rsidP="0076225D">
      <w:pPr>
        <w:pStyle w:val="TOC1"/>
        <w:rPr>
          <w:rFonts w:asciiTheme="minorHAnsi" w:eastAsiaTheme="minorEastAsia" w:hAnsiTheme="minorHAnsi"/>
          <w:kern w:val="2"/>
          <w:sz w:val="24"/>
          <w:lang w:eastAsia="en-AU"/>
          <w14:ligatures w14:val="standardContextual"/>
        </w:rPr>
      </w:pPr>
      <w:r>
        <w:t>7.8</w:t>
      </w:r>
      <w:r>
        <w:rPr>
          <w:rFonts w:asciiTheme="minorHAnsi" w:eastAsiaTheme="minorEastAsia" w:hAnsiTheme="minorHAnsi"/>
          <w:kern w:val="2"/>
          <w:sz w:val="24"/>
          <w:lang w:eastAsia="en-AU"/>
          <w14:ligatures w14:val="standardContextual"/>
        </w:rPr>
        <w:tab/>
      </w:r>
      <w:r>
        <w:t>Proposals in the Commonwealth Privacy Act Review</w:t>
      </w:r>
      <w:r>
        <w:tab/>
      </w:r>
      <w:r>
        <w:fldChar w:fldCharType="begin"/>
      </w:r>
      <w:r>
        <w:instrText xml:space="preserve"> PAGEREF _Toc164606665 \h </w:instrText>
      </w:r>
      <w:r>
        <w:fldChar w:fldCharType="separate"/>
      </w:r>
      <w:r w:rsidR="00183626">
        <w:t>121</w:t>
      </w:r>
      <w:r>
        <w:fldChar w:fldCharType="end"/>
      </w:r>
    </w:p>
    <w:p w14:paraId="251D3326" w14:textId="5699CB51" w:rsidR="00E83FE2" w:rsidRDefault="00E83FE2" w:rsidP="0076225D">
      <w:pPr>
        <w:pStyle w:val="TOC1"/>
        <w:rPr>
          <w:rFonts w:asciiTheme="minorHAnsi" w:eastAsiaTheme="minorEastAsia" w:hAnsiTheme="minorHAnsi"/>
          <w:kern w:val="2"/>
          <w:sz w:val="24"/>
          <w:lang w:eastAsia="en-AU"/>
          <w14:ligatures w14:val="standardContextual"/>
        </w:rPr>
      </w:pPr>
      <w:r>
        <w:t>7.9</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_Toc164606666 \h </w:instrText>
      </w:r>
      <w:r>
        <w:fldChar w:fldCharType="separate"/>
      </w:r>
      <w:r w:rsidR="00183626">
        <w:t>121</w:t>
      </w:r>
      <w:r>
        <w:fldChar w:fldCharType="end"/>
      </w:r>
    </w:p>
    <w:p w14:paraId="6C4002AE" w14:textId="29A593DD" w:rsidR="00E83FE2" w:rsidRDefault="00E83FE2" w:rsidP="0076225D">
      <w:pPr>
        <w:pStyle w:val="TOC1"/>
        <w:rPr>
          <w:rFonts w:asciiTheme="minorHAnsi" w:eastAsiaTheme="minorEastAsia" w:hAnsiTheme="minorHAnsi"/>
          <w:kern w:val="2"/>
          <w:sz w:val="24"/>
          <w:lang w:eastAsia="en-AU"/>
          <w14:ligatures w14:val="standardContextual"/>
        </w:rPr>
      </w:pPr>
      <w:r>
        <w:t>7.10</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_Toc164606667 \h </w:instrText>
      </w:r>
      <w:r>
        <w:fldChar w:fldCharType="separate"/>
      </w:r>
      <w:r w:rsidR="00183626">
        <w:t>121</w:t>
      </w:r>
      <w:r>
        <w:fldChar w:fldCharType="end"/>
      </w:r>
    </w:p>
    <w:p w14:paraId="6EB3D128" w14:textId="6AEB427E" w:rsidR="00E83FE2" w:rsidRDefault="00E83FE2" w:rsidP="0076225D">
      <w:pPr>
        <w:pStyle w:val="TOC1"/>
        <w:rPr>
          <w:rFonts w:asciiTheme="minorHAnsi" w:eastAsiaTheme="minorEastAsia" w:hAnsiTheme="minorHAnsi"/>
          <w:kern w:val="2"/>
          <w:sz w:val="24"/>
          <w:lang w:eastAsia="en-AU"/>
          <w14:ligatures w14:val="standardContextual"/>
        </w:rPr>
      </w:pPr>
      <w:r>
        <w:t>7.11</w:t>
      </w:r>
      <w:r>
        <w:rPr>
          <w:rFonts w:asciiTheme="minorHAnsi" w:eastAsiaTheme="minorEastAsia" w:hAnsiTheme="minorHAnsi"/>
          <w:kern w:val="2"/>
          <w:sz w:val="24"/>
          <w:lang w:eastAsia="en-AU"/>
          <w14:ligatures w14:val="standardContextual"/>
        </w:rPr>
        <w:tab/>
      </w:r>
      <w:r>
        <w:t>Recommendations</w:t>
      </w:r>
      <w:r>
        <w:tab/>
      </w:r>
      <w:r>
        <w:fldChar w:fldCharType="begin"/>
      </w:r>
      <w:r>
        <w:instrText xml:space="preserve"> PAGEREF _Toc164606668 \h </w:instrText>
      </w:r>
      <w:r>
        <w:fldChar w:fldCharType="separate"/>
      </w:r>
      <w:r w:rsidR="00183626">
        <w:t>122</w:t>
      </w:r>
      <w:r>
        <w:fldChar w:fldCharType="end"/>
      </w:r>
    </w:p>
    <w:p w14:paraId="036BE6CB" w14:textId="108CC3C8" w:rsidR="00E83FE2" w:rsidRDefault="00E83FE2" w:rsidP="0076225D">
      <w:pPr>
        <w:pStyle w:val="TOC1"/>
        <w:rPr>
          <w:rFonts w:asciiTheme="minorHAnsi" w:eastAsiaTheme="minorEastAsia" w:hAnsiTheme="minorHAnsi"/>
          <w:kern w:val="2"/>
          <w:sz w:val="24"/>
          <w:lang w:eastAsia="en-AU"/>
          <w14:ligatures w14:val="standardContextual"/>
        </w:rPr>
      </w:pPr>
      <w:r>
        <w:t>7.12</w:t>
      </w:r>
      <w:r>
        <w:rPr>
          <w:rFonts w:asciiTheme="minorHAnsi" w:eastAsiaTheme="minorEastAsia" w:hAnsiTheme="minorHAnsi"/>
          <w:kern w:val="2"/>
          <w:sz w:val="24"/>
          <w:lang w:eastAsia="en-AU"/>
          <w14:ligatures w14:val="standardContextual"/>
        </w:rPr>
        <w:tab/>
      </w:r>
      <w:r>
        <w:t>Anonymity</w:t>
      </w:r>
      <w:r>
        <w:tab/>
      </w:r>
      <w:r>
        <w:fldChar w:fldCharType="begin"/>
      </w:r>
      <w:r>
        <w:instrText xml:space="preserve"> PAGEREF _Toc164606669 \h </w:instrText>
      </w:r>
      <w:r>
        <w:fldChar w:fldCharType="separate"/>
      </w:r>
      <w:r w:rsidR="00183626">
        <w:t>122</w:t>
      </w:r>
      <w:r>
        <w:fldChar w:fldCharType="end"/>
      </w:r>
    </w:p>
    <w:p w14:paraId="5D81A594" w14:textId="37B31439" w:rsidR="00E83FE2" w:rsidRDefault="00361F36" w:rsidP="0076225D">
      <w:pPr>
        <w:pStyle w:val="TOC1"/>
        <w:rPr>
          <w:rFonts w:asciiTheme="minorHAnsi" w:eastAsiaTheme="minorEastAsia" w:hAnsiTheme="minorHAnsi"/>
          <w:kern w:val="2"/>
          <w:sz w:val="24"/>
          <w:lang w:eastAsia="en-AU"/>
          <w14:ligatures w14:val="standardContextual"/>
        </w:rPr>
      </w:pPr>
      <w:r>
        <w:rPr>
          <w:rFonts w:cs="Times New Roman"/>
        </w:rPr>
        <w:lastRenderedPageBreak/>
        <w:tab/>
      </w:r>
      <w:r w:rsidR="00E83FE2" w:rsidRPr="007B1607">
        <w:rPr>
          <w:rFonts w:cs="Times New Roman"/>
        </w:rPr>
        <w:t>The Tasmanian position</w:t>
      </w:r>
      <w:r w:rsidR="00E83FE2">
        <w:tab/>
      </w:r>
      <w:r w:rsidR="00E83FE2">
        <w:fldChar w:fldCharType="begin"/>
      </w:r>
      <w:r w:rsidR="00E83FE2">
        <w:instrText xml:space="preserve"> PAGEREF _Toc164606670 \h </w:instrText>
      </w:r>
      <w:r w:rsidR="00E83FE2">
        <w:fldChar w:fldCharType="separate"/>
      </w:r>
      <w:r w:rsidR="00183626">
        <w:t>122</w:t>
      </w:r>
      <w:r w:rsidR="00E83FE2">
        <w:fldChar w:fldCharType="end"/>
      </w:r>
    </w:p>
    <w:p w14:paraId="51BA0292" w14:textId="78667657" w:rsidR="00E83FE2" w:rsidRDefault="00361F36"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_Toc164606671 \h </w:instrText>
      </w:r>
      <w:r w:rsidR="00E83FE2">
        <w:fldChar w:fldCharType="separate"/>
      </w:r>
      <w:r w:rsidR="00183626">
        <w:t>122</w:t>
      </w:r>
      <w:r w:rsidR="00E83FE2">
        <w:fldChar w:fldCharType="end"/>
      </w:r>
    </w:p>
    <w:p w14:paraId="680172C7" w14:textId="0493EF79" w:rsidR="00E83FE2" w:rsidRDefault="00E83FE2" w:rsidP="0076225D">
      <w:pPr>
        <w:pStyle w:val="TOC1"/>
        <w:rPr>
          <w:rFonts w:asciiTheme="minorHAnsi" w:eastAsiaTheme="minorEastAsia" w:hAnsiTheme="minorHAnsi"/>
          <w:kern w:val="2"/>
          <w:sz w:val="24"/>
          <w:lang w:eastAsia="en-AU"/>
          <w14:ligatures w14:val="standardContextual"/>
        </w:rPr>
      </w:pPr>
      <w:r>
        <w:t>7.13</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_Toc164606672 \h </w:instrText>
      </w:r>
      <w:r>
        <w:fldChar w:fldCharType="separate"/>
      </w:r>
      <w:r w:rsidR="00183626">
        <w:t>122</w:t>
      </w:r>
      <w:r>
        <w:fldChar w:fldCharType="end"/>
      </w:r>
    </w:p>
    <w:p w14:paraId="1A9D3109" w14:textId="296E9D29" w:rsidR="00E83FE2" w:rsidRDefault="00E83FE2" w:rsidP="0076225D">
      <w:pPr>
        <w:pStyle w:val="TOC1"/>
        <w:rPr>
          <w:rFonts w:asciiTheme="minorHAnsi" w:eastAsiaTheme="minorEastAsia" w:hAnsiTheme="minorHAnsi"/>
          <w:kern w:val="2"/>
          <w:sz w:val="24"/>
          <w:lang w:eastAsia="en-AU"/>
          <w14:ligatures w14:val="standardContextual"/>
        </w:rPr>
      </w:pPr>
      <w:r>
        <w:t>7.14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_Toc164606673 \h </w:instrText>
      </w:r>
      <w:r>
        <w:fldChar w:fldCharType="separate"/>
      </w:r>
      <w:r w:rsidR="00183626">
        <w:t>122</w:t>
      </w:r>
      <w:r>
        <w:fldChar w:fldCharType="end"/>
      </w:r>
    </w:p>
    <w:p w14:paraId="1B6ED999" w14:textId="17436BF2" w:rsidR="00E83FE2" w:rsidRDefault="00E83FE2" w:rsidP="0076225D">
      <w:pPr>
        <w:pStyle w:val="TOC1"/>
        <w:rPr>
          <w:rFonts w:asciiTheme="minorHAnsi" w:eastAsiaTheme="minorEastAsia" w:hAnsiTheme="minorHAnsi"/>
          <w:kern w:val="2"/>
          <w:sz w:val="24"/>
          <w:lang w:eastAsia="en-AU"/>
          <w14:ligatures w14:val="standardContextual"/>
        </w:rPr>
      </w:pPr>
      <w:r>
        <w:t>7.15</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_Toc164606674 \h </w:instrText>
      </w:r>
      <w:r>
        <w:fldChar w:fldCharType="separate"/>
      </w:r>
      <w:r w:rsidR="00183626">
        <w:t>122</w:t>
      </w:r>
      <w:r>
        <w:fldChar w:fldCharType="end"/>
      </w:r>
    </w:p>
    <w:p w14:paraId="069E8652" w14:textId="22210D9C" w:rsidR="00E83FE2" w:rsidRDefault="00E83FE2" w:rsidP="0076225D">
      <w:pPr>
        <w:pStyle w:val="TOC1"/>
        <w:rPr>
          <w:rFonts w:asciiTheme="minorHAnsi" w:eastAsiaTheme="minorEastAsia" w:hAnsiTheme="minorHAnsi"/>
          <w:kern w:val="2"/>
          <w:sz w:val="24"/>
          <w:lang w:eastAsia="en-AU"/>
          <w14:ligatures w14:val="standardContextual"/>
        </w:rPr>
      </w:pPr>
      <w:r>
        <w:t>7.16</w:t>
      </w:r>
      <w:r>
        <w:rPr>
          <w:rFonts w:asciiTheme="minorHAnsi" w:eastAsiaTheme="minorEastAsia" w:hAnsiTheme="minorHAnsi"/>
          <w:kern w:val="2"/>
          <w:sz w:val="24"/>
          <w:lang w:eastAsia="en-AU"/>
          <w14:ligatures w14:val="standardContextual"/>
        </w:rPr>
        <w:tab/>
      </w:r>
      <w:r>
        <w:t>Recommendations</w:t>
      </w:r>
      <w:r>
        <w:tab/>
      </w:r>
      <w:r>
        <w:fldChar w:fldCharType="begin"/>
      </w:r>
      <w:r>
        <w:instrText xml:space="preserve"> PAGEREF _Toc164606675 \h </w:instrText>
      </w:r>
      <w:r>
        <w:fldChar w:fldCharType="separate"/>
      </w:r>
      <w:r w:rsidR="00183626">
        <w:t>123</w:t>
      </w:r>
      <w:r>
        <w:fldChar w:fldCharType="end"/>
      </w:r>
    </w:p>
    <w:p w14:paraId="0A93B310" w14:textId="3BF92B34" w:rsidR="00E83FE2" w:rsidRDefault="00E83FE2" w:rsidP="0076225D">
      <w:pPr>
        <w:pStyle w:val="TOC1"/>
        <w:rPr>
          <w:rFonts w:asciiTheme="minorHAnsi" w:eastAsiaTheme="minorEastAsia" w:hAnsiTheme="minorHAnsi"/>
          <w:kern w:val="2"/>
          <w:sz w:val="24"/>
          <w:lang w:eastAsia="en-AU"/>
          <w14:ligatures w14:val="standardContextual"/>
        </w:rPr>
      </w:pPr>
      <w:r>
        <w:t>7.17</w:t>
      </w:r>
      <w:r>
        <w:rPr>
          <w:rFonts w:asciiTheme="minorHAnsi" w:eastAsiaTheme="minorEastAsia" w:hAnsiTheme="minorHAnsi"/>
          <w:kern w:val="2"/>
          <w:sz w:val="24"/>
          <w:lang w:eastAsia="en-AU"/>
          <w14:ligatures w14:val="standardContextual"/>
        </w:rPr>
        <w:tab/>
      </w:r>
      <w:r>
        <w:t>Other PIPA-related issues requiring further consideration</w:t>
      </w:r>
      <w:r>
        <w:tab/>
      </w:r>
      <w:r>
        <w:fldChar w:fldCharType="begin"/>
      </w:r>
      <w:r>
        <w:instrText xml:space="preserve"> PAGEREF _Toc164606676 \h </w:instrText>
      </w:r>
      <w:r>
        <w:fldChar w:fldCharType="separate"/>
      </w:r>
      <w:r w:rsidR="00183626">
        <w:t>123</w:t>
      </w:r>
      <w:r>
        <w:fldChar w:fldCharType="end"/>
      </w:r>
    </w:p>
    <w:p w14:paraId="5F4913EC" w14:textId="22BB4A99" w:rsidR="00E83FE2" w:rsidRDefault="00361F36" w:rsidP="0076225D">
      <w:pPr>
        <w:pStyle w:val="TOC1"/>
        <w:rPr>
          <w:rFonts w:asciiTheme="minorHAnsi" w:eastAsiaTheme="minorEastAsia" w:hAnsiTheme="minorHAnsi"/>
          <w:kern w:val="2"/>
          <w:sz w:val="24"/>
          <w:lang w:eastAsia="en-AU"/>
          <w14:ligatures w14:val="standardContextual"/>
        </w:rPr>
      </w:pPr>
      <w:r w:rsidRPr="002D185D">
        <w:rPr>
          <w:b/>
          <w:bCs/>
        </w:rPr>
        <w:t xml:space="preserve">Part 8: </w:t>
      </w:r>
      <w:r w:rsidR="00E83FE2" w:rsidRPr="002D185D">
        <w:rPr>
          <w:b/>
          <w:bCs/>
        </w:rPr>
        <w:t>The PIPA: Complaints, Monitoring, and Enforcement</w:t>
      </w:r>
      <w:r w:rsidR="00E83FE2">
        <w:tab/>
      </w:r>
      <w:r w:rsidR="00E83FE2" w:rsidRPr="002D185D">
        <w:rPr>
          <w:b/>
          <w:bCs/>
        </w:rPr>
        <w:fldChar w:fldCharType="begin"/>
      </w:r>
      <w:r w:rsidR="00E83FE2" w:rsidRPr="002D185D">
        <w:rPr>
          <w:b/>
          <w:bCs/>
        </w:rPr>
        <w:instrText xml:space="preserve"> PAGEREF _Toc164606677 \h </w:instrText>
      </w:r>
      <w:r w:rsidR="00E83FE2" w:rsidRPr="002D185D">
        <w:rPr>
          <w:b/>
          <w:bCs/>
        </w:rPr>
      </w:r>
      <w:r w:rsidR="00E83FE2" w:rsidRPr="002D185D">
        <w:rPr>
          <w:b/>
          <w:bCs/>
        </w:rPr>
        <w:fldChar w:fldCharType="separate"/>
      </w:r>
      <w:r w:rsidR="00183626">
        <w:rPr>
          <w:b/>
          <w:bCs/>
        </w:rPr>
        <w:t>125</w:t>
      </w:r>
      <w:r w:rsidR="00E83FE2" w:rsidRPr="002D185D">
        <w:rPr>
          <w:b/>
          <w:bCs/>
        </w:rPr>
        <w:fldChar w:fldCharType="end"/>
      </w:r>
    </w:p>
    <w:p w14:paraId="118E3DE6" w14:textId="055E5C8B" w:rsidR="00E83FE2" w:rsidRDefault="00E83FE2" w:rsidP="0076225D">
      <w:pPr>
        <w:pStyle w:val="TOC1"/>
        <w:rPr>
          <w:rFonts w:asciiTheme="minorHAnsi" w:eastAsiaTheme="minorEastAsia" w:hAnsiTheme="minorHAnsi"/>
          <w:kern w:val="2"/>
          <w:sz w:val="24"/>
          <w:lang w:eastAsia="en-AU"/>
          <w14:ligatures w14:val="standardContextual"/>
        </w:rPr>
      </w:pPr>
      <w:r>
        <w:t>8.1</w:t>
      </w:r>
      <w:r>
        <w:rPr>
          <w:rFonts w:asciiTheme="minorHAnsi" w:eastAsiaTheme="minorEastAsia" w:hAnsiTheme="minorHAnsi"/>
          <w:kern w:val="2"/>
          <w:sz w:val="24"/>
          <w:lang w:eastAsia="en-AU"/>
          <w14:ligatures w14:val="standardContextual"/>
        </w:rPr>
        <w:tab/>
      </w:r>
      <w:r>
        <w:t>Introduction</w:t>
      </w:r>
      <w:r>
        <w:tab/>
      </w:r>
      <w:r>
        <w:fldChar w:fldCharType="begin"/>
      </w:r>
      <w:r>
        <w:instrText xml:space="preserve"> PAGEREF _Toc164606678 \h </w:instrText>
      </w:r>
      <w:r>
        <w:fldChar w:fldCharType="separate"/>
      </w:r>
      <w:r w:rsidR="00183626">
        <w:t>125</w:t>
      </w:r>
      <w:r>
        <w:fldChar w:fldCharType="end"/>
      </w:r>
    </w:p>
    <w:p w14:paraId="18E94905" w14:textId="74331739" w:rsidR="00E83FE2" w:rsidRDefault="00E83FE2" w:rsidP="0076225D">
      <w:pPr>
        <w:pStyle w:val="TOC1"/>
        <w:rPr>
          <w:rFonts w:asciiTheme="minorHAnsi" w:eastAsiaTheme="minorEastAsia" w:hAnsiTheme="minorHAnsi"/>
          <w:kern w:val="2"/>
          <w:sz w:val="24"/>
          <w:lang w:eastAsia="en-AU"/>
          <w14:ligatures w14:val="standardContextual"/>
        </w:rPr>
      </w:pPr>
      <w:r>
        <w:t>8.2</w:t>
      </w:r>
      <w:r>
        <w:rPr>
          <w:rFonts w:asciiTheme="minorHAnsi" w:eastAsiaTheme="minorEastAsia" w:hAnsiTheme="minorHAnsi"/>
          <w:kern w:val="2"/>
          <w:sz w:val="24"/>
          <w:lang w:eastAsia="en-AU"/>
          <w14:ligatures w14:val="standardContextual"/>
        </w:rPr>
        <w:tab/>
      </w:r>
      <w:r>
        <w:t>Complaints and remedies</w:t>
      </w:r>
      <w:r>
        <w:tab/>
      </w:r>
      <w:r>
        <w:fldChar w:fldCharType="begin"/>
      </w:r>
      <w:r>
        <w:instrText xml:space="preserve"> PAGEREF _Toc164606679 \h </w:instrText>
      </w:r>
      <w:r>
        <w:fldChar w:fldCharType="separate"/>
      </w:r>
      <w:r w:rsidR="00183626">
        <w:t>125</w:t>
      </w:r>
      <w:r>
        <w:fldChar w:fldCharType="end"/>
      </w:r>
    </w:p>
    <w:p w14:paraId="48A2FB97" w14:textId="3FD9615D" w:rsidR="00E83FE2" w:rsidRDefault="000A002B"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_Toc164606680 \h </w:instrText>
      </w:r>
      <w:r w:rsidR="00E83FE2">
        <w:fldChar w:fldCharType="separate"/>
      </w:r>
      <w:r w:rsidR="00183626">
        <w:t>125</w:t>
      </w:r>
      <w:r w:rsidR="00E83FE2">
        <w:fldChar w:fldCharType="end"/>
      </w:r>
    </w:p>
    <w:p w14:paraId="2F9AA13B" w14:textId="68EC31B8" w:rsidR="00E83FE2" w:rsidRDefault="00E83FE2" w:rsidP="008E5AE3">
      <w:pPr>
        <w:pStyle w:val="TOC2"/>
        <w:rPr>
          <w:rFonts w:asciiTheme="minorHAnsi" w:hAnsiTheme="minorHAnsi" w:cstheme="minorBidi"/>
          <w:kern w:val="2"/>
          <w:sz w:val="24"/>
          <w:szCs w:val="24"/>
          <w:lang w:eastAsia="en-AU"/>
          <w14:ligatures w14:val="standardContextual"/>
        </w:rPr>
      </w:pPr>
      <w:r>
        <w:t>The complaints process</w:t>
      </w:r>
      <w:r>
        <w:tab/>
      </w:r>
      <w:r>
        <w:fldChar w:fldCharType="begin"/>
      </w:r>
      <w:r>
        <w:instrText xml:space="preserve"> PAGEREF _Toc164606681 \h </w:instrText>
      </w:r>
      <w:r>
        <w:fldChar w:fldCharType="separate"/>
      </w:r>
      <w:r w:rsidR="00183626">
        <w:t>125</w:t>
      </w:r>
      <w:r>
        <w:fldChar w:fldCharType="end"/>
      </w:r>
    </w:p>
    <w:p w14:paraId="5A2811F3" w14:textId="4E716736" w:rsidR="00E83FE2" w:rsidRDefault="00E83FE2" w:rsidP="008E5AE3">
      <w:pPr>
        <w:pStyle w:val="TOC2"/>
        <w:rPr>
          <w:rFonts w:asciiTheme="minorHAnsi" w:hAnsiTheme="minorHAnsi" w:cstheme="minorBidi"/>
          <w:kern w:val="2"/>
          <w:sz w:val="24"/>
          <w:szCs w:val="24"/>
          <w:lang w:eastAsia="en-AU"/>
          <w14:ligatures w14:val="standardContextual"/>
        </w:rPr>
      </w:pPr>
      <w:r>
        <w:t>The appeals process</w:t>
      </w:r>
      <w:r>
        <w:tab/>
      </w:r>
      <w:r>
        <w:fldChar w:fldCharType="begin"/>
      </w:r>
      <w:r>
        <w:instrText xml:space="preserve"> PAGEREF _Toc164606682 \h </w:instrText>
      </w:r>
      <w:r>
        <w:fldChar w:fldCharType="separate"/>
      </w:r>
      <w:r w:rsidR="00183626">
        <w:t>127</w:t>
      </w:r>
      <w:r>
        <w:fldChar w:fldCharType="end"/>
      </w:r>
    </w:p>
    <w:p w14:paraId="4E4575FC" w14:textId="3A1E3D70" w:rsidR="00E83FE2" w:rsidRDefault="00E83FE2" w:rsidP="008E5AE3">
      <w:pPr>
        <w:pStyle w:val="TOC2"/>
        <w:rPr>
          <w:rFonts w:asciiTheme="minorHAnsi" w:hAnsiTheme="minorHAnsi" w:cstheme="minorBidi"/>
          <w:kern w:val="2"/>
          <w:sz w:val="24"/>
          <w:szCs w:val="24"/>
          <w:lang w:eastAsia="en-AU"/>
          <w14:ligatures w14:val="standardContextual"/>
        </w:rPr>
      </w:pPr>
      <w:r>
        <w:t>Own-motion investigations</w:t>
      </w:r>
      <w:r>
        <w:tab/>
      </w:r>
      <w:r>
        <w:fldChar w:fldCharType="begin"/>
      </w:r>
      <w:r>
        <w:instrText xml:space="preserve"> PAGEREF _Toc164606683 \h </w:instrText>
      </w:r>
      <w:r>
        <w:fldChar w:fldCharType="separate"/>
      </w:r>
      <w:r w:rsidR="00183626">
        <w:t>127</w:t>
      </w:r>
      <w:r>
        <w:fldChar w:fldCharType="end"/>
      </w:r>
    </w:p>
    <w:p w14:paraId="59CC352A" w14:textId="539801A0" w:rsidR="00E83FE2" w:rsidRDefault="00E83FE2" w:rsidP="008E5AE3">
      <w:pPr>
        <w:pStyle w:val="TOC2"/>
        <w:rPr>
          <w:rFonts w:asciiTheme="minorHAnsi" w:hAnsiTheme="minorHAnsi" w:cstheme="minorBidi"/>
          <w:kern w:val="2"/>
          <w:sz w:val="24"/>
          <w:szCs w:val="24"/>
          <w:lang w:eastAsia="en-AU"/>
          <w14:ligatures w14:val="standardContextual"/>
        </w:rPr>
      </w:pPr>
      <w:r>
        <w:t>Remedies for breach of privacy</w:t>
      </w:r>
      <w:r>
        <w:tab/>
      </w:r>
      <w:r>
        <w:fldChar w:fldCharType="begin"/>
      </w:r>
      <w:r>
        <w:instrText xml:space="preserve"> PAGEREF _Toc164606684 \h </w:instrText>
      </w:r>
      <w:r>
        <w:fldChar w:fldCharType="separate"/>
      </w:r>
      <w:r w:rsidR="00183626">
        <w:t>127</w:t>
      </w:r>
      <w:r>
        <w:fldChar w:fldCharType="end"/>
      </w:r>
    </w:p>
    <w:p w14:paraId="0A206653" w14:textId="0C7B1D0E" w:rsidR="00E83FE2" w:rsidRDefault="000A002B"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_Toc164606685 \h </w:instrText>
      </w:r>
      <w:r w:rsidR="00E83FE2">
        <w:fldChar w:fldCharType="separate"/>
      </w:r>
      <w:r w:rsidR="00183626">
        <w:t>128</w:t>
      </w:r>
      <w:r w:rsidR="00E83FE2">
        <w:fldChar w:fldCharType="end"/>
      </w:r>
    </w:p>
    <w:p w14:paraId="18023E5E" w14:textId="7894E7AF" w:rsidR="00E83FE2" w:rsidRDefault="00E83FE2" w:rsidP="008E5AE3">
      <w:pPr>
        <w:pStyle w:val="TOC2"/>
        <w:rPr>
          <w:rFonts w:asciiTheme="minorHAnsi" w:hAnsiTheme="minorHAnsi" w:cstheme="minorBidi"/>
          <w:kern w:val="2"/>
          <w:sz w:val="24"/>
          <w:szCs w:val="24"/>
          <w:lang w:eastAsia="en-AU"/>
          <w14:ligatures w14:val="standardContextual"/>
        </w:rPr>
      </w:pPr>
      <w:r>
        <w:t>The complaints process</w:t>
      </w:r>
      <w:r>
        <w:tab/>
      </w:r>
      <w:r>
        <w:fldChar w:fldCharType="begin"/>
      </w:r>
      <w:r>
        <w:instrText xml:space="preserve"> PAGEREF _Toc164606686 \h </w:instrText>
      </w:r>
      <w:r>
        <w:fldChar w:fldCharType="separate"/>
      </w:r>
      <w:r w:rsidR="00183626">
        <w:t>128</w:t>
      </w:r>
      <w:r>
        <w:fldChar w:fldCharType="end"/>
      </w:r>
    </w:p>
    <w:p w14:paraId="291F692D" w14:textId="3F49388F" w:rsidR="00E83FE2" w:rsidRDefault="00E83FE2" w:rsidP="008E5AE3">
      <w:pPr>
        <w:pStyle w:val="TOC2"/>
        <w:rPr>
          <w:rFonts w:asciiTheme="minorHAnsi" w:hAnsiTheme="minorHAnsi" w:cstheme="minorBidi"/>
          <w:kern w:val="2"/>
          <w:sz w:val="24"/>
          <w:szCs w:val="24"/>
          <w:lang w:eastAsia="en-AU"/>
          <w14:ligatures w14:val="standardContextual"/>
        </w:rPr>
      </w:pPr>
      <w:r>
        <w:t>The appeals process</w:t>
      </w:r>
      <w:r>
        <w:tab/>
      </w:r>
      <w:r>
        <w:fldChar w:fldCharType="begin"/>
      </w:r>
      <w:r>
        <w:instrText xml:space="preserve"> PAGEREF _Toc164606687 \h </w:instrText>
      </w:r>
      <w:r>
        <w:fldChar w:fldCharType="separate"/>
      </w:r>
      <w:r w:rsidR="00183626">
        <w:t>129</w:t>
      </w:r>
      <w:r>
        <w:fldChar w:fldCharType="end"/>
      </w:r>
    </w:p>
    <w:p w14:paraId="3512B2B3" w14:textId="11B09492" w:rsidR="00E83FE2" w:rsidRDefault="00E83FE2" w:rsidP="008E5AE3">
      <w:pPr>
        <w:pStyle w:val="TOC2"/>
        <w:rPr>
          <w:rFonts w:asciiTheme="minorHAnsi" w:hAnsiTheme="minorHAnsi" w:cstheme="minorBidi"/>
          <w:kern w:val="2"/>
          <w:sz w:val="24"/>
          <w:szCs w:val="24"/>
          <w:lang w:eastAsia="en-AU"/>
          <w14:ligatures w14:val="standardContextual"/>
        </w:rPr>
      </w:pPr>
      <w:r>
        <w:t>Own-motion investigations</w:t>
      </w:r>
      <w:r>
        <w:tab/>
      </w:r>
      <w:r>
        <w:fldChar w:fldCharType="begin"/>
      </w:r>
      <w:r>
        <w:instrText xml:space="preserve"> PAGEREF _Toc164606688 \h </w:instrText>
      </w:r>
      <w:r>
        <w:fldChar w:fldCharType="separate"/>
      </w:r>
      <w:r w:rsidR="00183626">
        <w:t>130</w:t>
      </w:r>
      <w:r>
        <w:fldChar w:fldCharType="end"/>
      </w:r>
    </w:p>
    <w:p w14:paraId="295E3E37" w14:textId="45A1D0D9" w:rsidR="00E83FE2" w:rsidRDefault="00E83FE2" w:rsidP="008E5AE3">
      <w:pPr>
        <w:pStyle w:val="TOC2"/>
        <w:rPr>
          <w:rFonts w:asciiTheme="minorHAnsi" w:hAnsiTheme="minorHAnsi" w:cstheme="minorBidi"/>
          <w:kern w:val="2"/>
          <w:sz w:val="24"/>
          <w:szCs w:val="24"/>
          <w:lang w:eastAsia="en-AU"/>
          <w14:ligatures w14:val="standardContextual"/>
        </w:rPr>
      </w:pPr>
      <w:r>
        <w:t>Remedies for breaches of privacy</w:t>
      </w:r>
      <w:r>
        <w:tab/>
      </w:r>
      <w:r>
        <w:fldChar w:fldCharType="begin"/>
      </w:r>
      <w:r>
        <w:instrText xml:space="preserve"> PAGEREF _Toc164606689 \h </w:instrText>
      </w:r>
      <w:r>
        <w:fldChar w:fldCharType="separate"/>
      </w:r>
      <w:r w:rsidR="00183626">
        <w:t>131</w:t>
      </w:r>
      <w:r>
        <w:fldChar w:fldCharType="end"/>
      </w:r>
    </w:p>
    <w:p w14:paraId="1F859EDF" w14:textId="0B2BF766" w:rsidR="00E83FE2" w:rsidRDefault="00E83FE2" w:rsidP="0076225D">
      <w:pPr>
        <w:pStyle w:val="TOC1"/>
        <w:rPr>
          <w:rFonts w:asciiTheme="minorHAnsi" w:eastAsiaTheme="minorEastAsia" w:hAnsiTheme="minorHAnsi"/>
          <w:kern w:val="2"/>
          <w:sz w:val="24"/>
          <w:lang w:eastAsia="en-AU"/>
          <w14:ligatures w14:val="standardContextual"/>
        </w:rPr>
      </w:pPr>
      <w:r>
        <w:t>8.3</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_Toc164606690 \h </w:instrText>
      </w:r>
      <w:r>
        <w:fldChar w:fldCharType="separate"/>
      </w:r>
      <w:r w:rsidR="00183626">
        <w:t>133</w:t>
      </w:r>
      <w:r>
        <w:fldChar w:fldCharType="end"/>
      </w:r>
    </w:p>
    <w:p w14:paraId="642C9126" w14:textId="20122864" w:rsidR="00E83FE2" w:rsidRDefault="00E83FE2" w:rsidP="0076225D">
      <w:pPr>
        <w:pStyle w:val="TOC1"/>
        <w:rPr>
          <w:rFonts w:asciiTheme="minorHAnsi" w:eastAsiaTheme="minorEastAsia" w:hAnsiTheme="minorHAnsi"/>
          <w:kern w:val="2"/>
          <w:sz w:val="24"/>
          <w:lang w:eastAsia="en-AU"/>
          <w14:ligatures w14:val="standardContextual"/>
        </w:rPr>
      </w:pPr>
      <w:r>
        <w:t>8.4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_Toc164606691 \h </w:instrText>
      </w:r>
      <w:r>
        <w:fldChar w:fldCharType="separate"/>
      </w:r>
      <w:r w:rsidR="00183626">
        <w:t>136</w:t>
      </w:r>
      <w:r>
        <w:fldChar w:fldCharType="end"/>
      </w:r>
    </w:p>
    <w:p w14:paraId="1CC94B3A" w14:textId="7F7EDA2D" w:rsidR="00E83FE2" w:rsidRDefault="00E83FE2" w:rsidP="0076225D">
      <w:pPr>
        <w:pStyle w:val="TOC1"/>
        <w:rPr>
          <w:rFonts w:asciiTheme="minorHAnsi" w:eastAsiaTheme="minorEastAsia" w:hAnsiTheme="minorHAnsi"/>
          <w:kern w:val="2"/>
          <w:sz w:val="24"/>
          <w:lang w:eastAsia="en-AU"/>
          <w14:ligatures w14:val="standardContextual"/>
        </w:rPr>
      </w:pPr>
      <w:r>
        <w:t>8.5</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_Toc164606692 \h </w:instrText>
      </w:r>
      <w:r>
        <w:fldChar w:fldCharType="separate"/>
      </w:r>
      <w:r w:rsidR="00183626">
        <w:t>138</w:t>
      </w:r>
      <w:r>
        <w:fldChar w:fldCharType="end"/>
      </w:r>
    </w:p>
    <w:p w14:paraId="7157C38A" w14:textId="44B73DDF" w:rsidR="00E83FE2" w:rsidRDefault="00E83FE2" w:rsidP="0076225D">
      <w:pPr>
        <w:pStyle w:val="TOC1"/>
        <w:rPr>
          <w:rFonts w:asciiTheme="minorHAnsi" w:eastAsiaTheme="minorEastAsia" w:hAnsiTheme="minorHAnsi"/>
          <w:kern w:val="2"/>
          <w:sz w:val="24"/>
          <w:lang w:eastAsia="en-AU"/>
          <w14:ligatures w14:val="standardContextual"/>
        </w:rPr>
      </w:pPr>
      <w:r>
        <w:t>8.6</w:t>
      </w:r>
      <w:r>
        <w:rPr>
          <w:rFonts w:asciiTheme="minorHAnsi" w:eastAsiaTheme="minorEastAsia" w:hAnsiTheme="minorHAnsi"/>
          <w:kern w:val="2"/>
          <w:sz w:val="24"/>
          <w:lang w:eastAsia="en-AU"/>
          <w14:ligatures w14:val="standardContextual"/>
        </w:rPr>
        <w:tab/>
      </w:r>
      <w:r>
        <w:t>Recommendations</w:t>
      </w:r>
      <w:r w:rsidR="000A002B">
        <w:t xml:space="preserve"> 47–53</w:t>
      </w:r>
      <w:r>
        <w:tab/>
      </w:r>
      <w:r>
        <w:fldChar w:fldCharType="begin"/>
      </w:r>
      <w:r>
        <w:instrText xml:space="preserve"> PAGEREF _Toc164606693 \h </w:instrText>
      </w:r>
      <w:r>
        <w:fldChar w:fldCharType="separate"/>
      </w:r>
      <w:r w:rsidR="00183626">
        <w:t>140</w:t>
      </w:r>
      <w:r>
        <w:fldChar w:fldCharType="end"/>
      </w:r>
    </w:p>
    <w:p w14:paraId="4EF56C4F" w14:textId="15305612" w:rsidR="00E83FE2" w:rsidRDefault="00E83FE2" w:rsidP="0076225D">
      <w:pPr>
        <w:pStyle w:val="TOC1"/>
        <w:rPr>
          <w:rFonts w:asciiTheme="minorHAnsi" w:eastAsiaTheme="minorEastAsia" w:hAnsiTheme="minorHAnsi"/>
          <w:kern w:val="2"/>
          <w:sz w:val="24"/>
          <w:lang w:eastAsia="en-AU"/>
          <w14:ligatures w14:val="standardContextual"/>
        </w:rPr>
      </w:pPr>
      <w:r>
        <w:t>8.7</w:t>
      </w:r>
      <w:r>
        <w:rPr>
          <w:rFonts w:asciiTheme="minorHAnsi" w:eastAsiaTheme="minorEastAsia" w:hAnsiTheme="minorHAnsi"/>
          <w:kern w:val="2"/>
          <w:sz w:val="24"/>
          <w:lang w:eastAsia="en-AU"/>
          <w14:ligatures w14:val="standardContextual"/>
        </w:rPr>
        <w:tab/>
      </w:r>
      <w:r>
        <w:t>Other regulatory action</w:t>
      </w:r>
      <w:r>
        <w:tab/>
      </w:r>
      <w:r>
        <w:fldChar w:fldCharType="begin"/>
      </w:r>
      <w:r>
        <w:instrText xml:space="preserve"> PAGEREF _Toc164606694 \h </w:instrText>
      </w:r>
      <w:r>
        <w:fldChar w:fldCharType="separate"/>
      </w:r>
      <w:r w:rsidR="00183626">
        <w:t>141</w:t>
      </w:r>
      <w:r>
        <w:fldChar w:fldCharType="end"/>
      </w:r>
    </w:p>
    <w:p w14:paraId="3848F12F" w14:textId="3976AE5F" w:rsidR="00E83FE2" w:rsidRDefault="000A002B"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_Toc164606695 \h </w:instrText>
      </w:r>
      <w:r w:rsidR="00E83FE2">
        <w:fldChar w:fldCharType="separate"/>
      </w:r>
      <w:r w:rsidR="00183626">
        <w:t>141</w:t>
      </w:r>
      <w:r w:rsidR="00E83FE2">
        <w:fldChar w:fldCharType="end"/>
      </w:r>
    </w:p>
    <w:p w14:paraId="615973C9" w14:textId="04EE8BFF" w:rsidR="00E83FE2" w:rsidRDefault="000A002B"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_Toc164606696 \h </w:instrText>
      </w:r>
      <w:r w:rsidR="00E83FE2">
        <w:fldChar w:fldCharType="separate"/>
      </w:r>
      <w:r w:rsidR="00183626">
        <w:t>141</w:t>
      </w:r>
      <w:r w:rsidR="00E83FE2">
        <w:fldChar w:fldCharType="end"/>
      </w:r>
    </w:p>
    <w:p w14:paraId="3FBBCC72" w14:textId="3BBD94A4" w:rsidR="00E83FE2" w:rsidRDefault="00E83FE2" w:rsidP="0076225D">
      <w:pPr>
        <w:pStyle w:val="TOC1"/>
        <w:rPr>
          <w:rFonts w:asciiTheme="minorHAnsi" w:eastAsiaTheme="minorEastAsia" w:hAnsiTheme="minorHAnsi"/>
          <w:kern w:val="2"/>
          <w:sz w:val="24"/>
          <w:lang w:eastAsia="en-AU"/>
          <w14:ligatures w14:val="standardContextual"/>
        </w:rPr>
      </w:pPr>
      <w:r>
        <w:t>8.8</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_Toc164606697 \h </w:instrText>
      </w:r>
      <w:r>
        <w:fldChar w:fldCharType="separate"/>
      </w:r>
      <w:r w:rsidR="00183626">
        <w:t>144</w:t>
      </w:r>
      <w:r>
        <w:fldChar w:fldCharType="end"/>
      </w:r>
    </w:p>
    <w:p w14:paraId="229F16DE" w14:textId="4D20C8A6" w:rsidR="00E83FE2" w:rsidRDefault="00E83FE2" w:rsidP="0076225D">
      <w:pPr>
        <w:pStyle w:val="TOC1"/>
        <w:rPr>
          <w:rFonts w:asciiTheme="minorHAnsi" w:eastAsiaTheme="minorEastAsia" w:hAnsiTheme="minorHAnsi"/>
          <w:kern w:val="2"/>
          <w:sz w:val="24"/>
          <w:lang w:eastAsia="en-AU"/>
          <w14:ligatures w14:val="standardContextual"/>
        </w:rPr>
      </w:pPr>
      <w:r>
        <w:t>8.9</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_Toc164606698 \h </w:instrText>
      </w:r>
      <w:r>
        <w:fldChar w:fldCharType="separate"/>
      </w:r>
      <w:r w:rsidR="00183626">
        <w:t>145</w:t>
      </w:r>
      <w:r>
        <w:fldChar w:fldCharType="end"/>
      </w:r>
    </w:p>
    <w:p w14:paraId="4C3D1A3D" w14:textId="0E9C5687" w:rsidR="00E83FE2" w:rsidRDefault="00E83FE2" w:rsidP="0076225D">
      <w:pPr>
        <w:pStyle w:val="TOC1"/>
        <w:rPr>
          <w:rFonts w:asciiTheme="minorHAnsi" w:eastAsiaTheme="minorEastAsia" w:hAnsiTheme="minorHAnsi"/>
          <w:kern w:val="2"/>
          <w:sz w:val="24"/>
          <w:lang w:eastAsia="en-AU"/>
          <w14:ligatures w14:val="standardContextual"/>
        </w:rPr>
      </w:pPr>
      <w:r>
        <w:t>8.10</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_Toc164606699 \h </w:instrText>
      </w:r>
      <w:r>
        <w:fldChar w:fldCharType="separate"/>
      </w:r>
      <w:r w:rsidR="00183626">
        <w:t>145</w:t>
      </w:r>
      <w:r>
        <w:fldChar w:fldCharType="end"/>
      </w:r>
    </w:p>
    <w:p w14:paraId="5F247CF6" w14:textId="6735C129" w:rsidR="00E83FE2" w:rsidRDefault="00E83FE2" w:rsidP="0076225D">
      <w:pPr>
        <w:pStyle w:val="TOC1"/>
        <w:rPr>
          <w:rFonts w:asciiTheme="minorHAnsi" w:eastAsiaTheme="minorEastAsia" w:hAnsiTheme="minorHAnsi"/>
          <w:kern w:val="2"/>
          <w:sz w:val="24"/>
          <w:lang w:eastAsia="en-AU"/>
          <w14:ligatures w14:val="standardContextual"/>
        </w:rPr>
      </w:pPr>
      <w:r>
        <w:t>8.11</w:t>
      </w:r>
      <w:r>
        <w:rPr>
          <w:rFonts w:asciiTheme="minorHAnsi" w:eastAsiaTheme="minorEastAsia" w:hAnsiTheme="minorHAnsi"/>
          <w:kern w:val="2"/>
          <w:sz w:val="24"/>
          <w:lang w:eastAsia="en-AU"/>
          <w14:ligatures w14:val="standardContextual"/>
        </w:rPr>
        <w:tab/>
      </w:r>
      <w:r>
        <w:t>Recommendation</w:t>
      </w:r>
      <w:r w:rsidR="00357945">
        <w:t xml:space="preserve"> 54</w:t>
      </w:r>
      <w:r>
        <w:tab/>
      </w:r>
      <w:r>
        <w:fldChar w:fldCharType="begin"/>
      </w:r>
      <w:r>
        <w:instrText xml:space="preserve"> PAGEREF _Toc164606700 \h </w:instrText>
      </w:r>
      <w:r>
        <w:fldChar w:fldCharType="separate"/>
      </w:r>
      <w:r w:rsidR="00183626">
        <w:t>146</w:t>
      </w:r>
      <w:r>
        <w:fldChar w:fldCharType="end"/>
      </w:r>
    </w:p>
    <w:p w14:paraId="15DACB4D" w14:textId="7C187A15" w:rsidR="00E83FE2" w:rsidRDefault="00E83FE2" w:rsidP="0076225D">
      <w:pPr>
        <w:pStyle w:val="TOC1"/>
        <w:rPr>
          <w:rFonts w:asciiTheme="minorHAnsi" w:eastAsiaTheme="minorEastAsia" w:hAnsiTheme="minorHAnsi"/>
          <w:kern w:val="2"/>
          <w:sz w:val="24"/>
          <w:lang w:eastAsia="en-AU"/>
          <w14:ligatures w14:val="standardContextual"/>
        </w:rPr>
      </w:pPr>
      <w:r>
        <w:t>8.12</w:t>
      </w:r>
      <w:r>
        <w:rPr>
          <w:rFonts w:asciiTheme="minorHAnsi" w:eastAsiaTheme="minorEastAsia" w:hAnsiTheme="minorHAnsi"/>
          <w:kern w:val="2"/>
          <w:sz w:val="24"/>
          <w:lang w:eastAsia="en-AU"/>
          <w14:ligatures w14:val="standardContextual"/>
        </w:rPr>
        <w:tab/>
      </w:r>
      <w:r>
        <w:t>Mandatory data breach notification</w:t>
      </w:r>
      <w:r>
        <w:tab/>
      </w:r>
      <w:r>
        <w:fldChar w:fldCharType="begin"/>
      </w:r>
      <w:r>
        <w:instrText xml:space="preserve"> PAGEREF _Toc164606701 \h </w:instrText>
      </w:r>
      <w:r>
        <w:fldChar w:fldCharType="separate"/>
      </w:r>
      <w:r w:rsidR="00183626">
        <w:t>146</w:t>
      </w:r>
      <w:r>
        <w:fldChar w:fldCharType="end"/>
      </w:r>
    </w:p>
    <w:p w14:paraId="05B60BF6" w14:textId="5E9263F3" w:rsidR="00E83FE2" w:rsidRDefault="00357945"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_Toc164606702 \h </w:instrText>
      </w:r>
      <w:r w:rsidR="00E83FE2">
        <w:fldChar w:fldCharType="separate"/>
      </w:r>
      <w:r w:rsidR="00183626">
        <w:t>146</w:t>
      </w:r>
      <w:r w:rsidR="00E83FE2">
        <w:fldChar w:fldCharType="end"/>
      </w:r>
    </w:p>
    <w:p w14:paraId="33F59EAE" w14:textId="7F744447" w:rsidR="00E83FE2" w:rsidRDefault="00357945"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_Toc164606703 \h </w:instrText>
      </w:r>
      <w:r w:rsidR="00E83FE2">
        <w:fldChar w:fldCharType="separate"/>
      </w:r>
      <w:r w:rsidR="00183626">
        <w:t>146</w:t>
      </w:r>
      <w:r w:rsidR="00E83FE2">
        <w:fldChar w:fldCharType="end"/>
      </w:r>
    </w:p>
    <w:p w14:paraId="70D54988" w14:textId="1B52EDF9" w:rsidR="00E83FE2" w:rsidRDefault="00E83FE2" w:rsidP="0076225D">
      <w:pPr>
        <w:pStyle w:val="TOC1"/>
        <w:rPr>
          <w:rFonts w:asciiTheme="minorHAnsi" w:eastAsiaTheme="minorEastAsia" w:hAnsiTheme="minorHAnsi"/>
          <w:kern w:val="2"/>
          <w:sz w:val="24"/>
          <w:lang w:eastAsia="en-AU"/>
          <w14:ligatures w14:val="standardContextual"/>
        </w:rPr>
      </w:pPr>
      <w:r>
        <w:t>8.13</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_Toc164606704 \h </w:instrText>
      </w:r>
      <w:r>
        <w:fldChar w:fldCharType="separate"/>
      </w:r>
      <w:r w:rsidR="00183626">
        <w:t>148</w:t>
      </w:r>
      <w:r>
        <w:fldChar w:fldCharType="end"/>
      </w:r>
    </w:p>
    <w:p w14:paraId="4172DBD2" w14:textId="6A66DD09" w:rsidR="00E83FE2" w:rsidRDefault="00E83FE2" w:rsidP="0076225D">
      <w:pPr>
        <w:pStyle w:val="TOC1"/>
        <w:rPr>
          <w:rFonts w:asciiTheme="minorHAnsi" w:eastAsiaTheme="minorEastAsia" w:hAnsiTheme="minorHAnsi"/>
          <w:kern w:val="2"/>
          <w:sz w:val="24"/>
          <w:lang w:eastAsia="en-AU"/>
          <w14:ligatures w14:val="standardContextual"/>
        </w:rPr>
      </w:pPr>
      <w:r>
        <w:t>8.14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_Toc164606705 \h </w:instrText>
      </w:r>
      <w:r>
        <w:fldChar w:fldCharType="separate"/>
      </w:r>
      <w:r w:rsidR="00183626">
        <w:t>149</w:t>
      </w:r>
      <w:r>
        <w:fldChar w:fldCharType="end"/>
      </w:r>
    </w:p>
    <w:p w14:paraId="6E67D30A" w14:textId="6C83CFA4" w:rsidR="00E83FE2" w:rsidRDefault="00E83FE2" w:rsidP="0076225D">
      <w:pPr>
        <w:pStyle w:val="TOC1"/>
        <w:rPr>
          <w:rFonts w:asciiTheme="minorHAnsi" w:eastAsiaTheme="minorEastAsia" w:hAnsiTheme="minorHAnsi"/>
          <w:kern w:val="2"/>
          <w:sz w:val="24"/>
          <w:lang w:eastAsia="en-AU"/>
          <w14:ligatures w14:val="standardContextual"/>
        </w:rPr>
      </w:pPr>
      <w:r>
        <w:t>8.15</w:t>
      </w:r>
      <w:r>
        <w:rPr>
          <w:rFonts w:asciiTheme="minorHAnsi" w:eastAsiaTheme="minorEastAsia" w:hAnsiTheme="minorHAnsi"/>
          <w:kern w:val="2"/>
          <w:sz w:val="24"/>
          <w:lang w:eastAsia="en-AU"/>
          <w14:ligatures w14:val="standardContextual"/>
        </w:rPr>
        <w:tab/>
      </w:r>
      <w:r>
        <w:t>The TLRI position</w:t>
      </w:r>
      <w:r>
        <w:tab/>
      </w:r>
      <w:r>
        <w:fldChar w:fldCharType="begin"/>
      </w:r>
      <w:r>
        <w:instrText xml:space="preserve"> PAGEREF _Toc164606706 \h </w:instrText>
      </w:r>
      <w:r>
        <w:fldChar w:fldCharType="separate"/>
      </w:r>
      <w:r w:rsidR="00183626">
        <w:t>150</w:t>
      </w:r>
      <w:r>
        <w:fldChar w:fldCharType="end"/>
      </w:r>
    </w:p>
    <w:p w14:paraId="201818FA" w14:textId="7B958AC8" w:rsidR="00E83FE2" w:rsidRDefault="00E83FE2" w:rsidP="0076225D">
      <w:pPr>
        <w:pStyle w:val="TOC1"/>
        <w:rPr>
          <w:rFonts w:asciiTheme="minorHAnsi" w:eastAsiaTheme="minorEastAsia" w:hAnsiTheme="minorHAnsi"/>
          <w:kern w:val="2"/>
          <w:sz w:val="24"/>
          <w:lang w:eastAsia="en-AU"/>
          <w14:ligatures w14:val="standardContextual"/>
        </w:rPr>
      </w:pPr>
      <w:r>
        <w:t>8.16</w:t>
      </w:r>
      <w:r>
        <w:rPr>
          <w:rFonts w:asciiTheme="minorHAnsi" w:eastAsiaTheme="minorEastAsia" w:hAnsiTheme="minorHAnsi"/>
          <w:kern w:val="2"/>
          <w:sz w:val="24"/>
          <w:lang w:eastAsia="en-AU"/>
          <w14:ligatures w14:val="standardContextual"/>
        </w:rPr>
        <w:tab/>
      </w:r>
      <w:r>
        <w:t>Recommendation</w:t>
      </w:r>
      <w:r w:rsidR="00357945">
        <w:t xml:space="preserve"> 5</w:t>
      </w:r>
      <w:r w:rsidR="005D5C56">
        <w:t>5</w:t>
      </w:r>
      <w:r>
        <w:tab/>
      </w:r>
      <w:r>
        <w:fldChar w:fldCharType="begin"/>
      </w:r>
      <w:r>
        <w:instrText xml:space="preserve"> PAGEREF _Toc164606707 \h </w:instrText>
      </w:r>
      <w:r>
        <w:fldChar w:fldCharType="separate"/>
      </w:r>
      <w:r w:rsidR="00183626">
        <w:t>151</w:t>
      </w:r>
      <w:r>
        <w:fldChar w:fldCharType="end"/>
      </w:r>
    </w:p>
    <w:p w14:paraId="5782E97D" w14:textId="40B15290" w:rsidR="00E83FE2" w:rsidRDefault="00357945" w:rsidP="0076225D">
      <w:pPr>
        <w:pStyle w:val="TOC1"/>
        <w:rPr>
          <w:rFonts w:asciiTheme="minorHAnsi" w:eastAsiaTheme="minorEastAsia" w:hAnsiTheme="minorHAnsi"/>
          <w:kern w:val="2"/>
          <w:sz w:val="24"/>
          <w:lang w:eastAsia="en-AU"/>
          <w14:ligatures w14:val="standardContextual"/>
        </w:rPr>
      </w:pPr>
      <w:r w:rsidRPr="0076225D">
        <w:rPr>
          <w:b/>
          <w:bCs/>
        </w:rPr>
        <w:t xml:space="preserve">Part 9: </w:t>
      </w:r>
      <w:r w:rsidR="00E83FE2" w:rsidRPr="0076225D">
        <w:rPr>
          <w:b/>
          <w:bCs/>
        </w:rPr>
        <w:t>Other Legislation Impacting the Privacy of Government-held Information</w:t>
      </w:r>
      <w:r w:rsidR="00E83FE2">
        <w:tab/>
      </w:r>
      <w:r w:rsidR="00E83FE2" w:rsidRPr="0076225D">
        <w:rPr>
          <w:b/>
          <w:bCs/>
        </w:rPr>
        <w:fldChar w:fldCharType="begin"/>
      </w:r>
      <w:r w:rsidR="00E83FE2" w:rsidRPr="0076225D">
        <w:rPr>
          <w:b/>
          <w:bCs/>
        </w:rPr>
        <w:instrText xml:space="preserve"> PAGEREF _Toc164606708 \h </w:instrText>
      </w:r>
      <w:r w:rsidR="00E83FE2" w:rsidRPr="0076225D">
        <w:rPr>
          <w:b/>
          <w:bCs/>
        </w:rPr>
      </w:r>
      <w:r w:rsidR="00E83FE2" w:rsidRPr="0076225D">
        <w:rPr>
          <w:b/>
          <w:bCs/>
        </w:rPr>
        <w:fldChar w:fldCharType="separate"/>
      </w:r>
      <w:r w:rsidR="00183626">
        <w:rPr>
          <w:b/>
          <w:bCs/>
        </w:rPr>
        <w:t>152</w:t>
      </w:r>
      <w:r w:rsidR="00E83FE2" w:rsidRPr="0076225D">
        <w:rPr>
          <w:b/>
          <w:bCs/>
        </w:rPr>
        <w:fldChar w:fldCharType="end"/>
      </w:r>
    </w:p>
    <w:p w14:paraId="544442DD" w14:textId="7416B412" w:rsidR="00E83FE2" w:rsidRDefault="00E83FE2" w:rsidP="0076225D">
      <w:pPr>
        <w:pStyle w:val="TOC1"/>
        <w:rPr>
          <w:rFonts w:asciiTheme="minorHAnsi" w:eastAsiaTheme="minorEastAsia" w:hAnsiTheme="minorHAnsi"/>
          <w:kern w:val="2"/>
          <w:sz w:val="24"/>
          <w:lang w:eastAsia="en-AU"/>
          <w14:ligatures w14:val="standardContextual"/>
        </w:rPr>
      </w:pPr>
      <w:r>
        <w:lastRenderedPageBreak/>
        <w:t>9.1</w:t>
      </w:r>
      <w:r>
        <w:rPr>
          <w:rFonts w:asciiTheme="minorHAnsi" w:eastAsiaTheme="minorEastAsia" w:hAnsiTheme="minorHAnsi"/>
          <w:kern w:val="2"/>
          <w:sz w:val="24"/>
          <w:lang w:eastAsia="en-AU"/>
          <w14:ligatures w14:val="standardContextual"/>
        </w:rPr>
        <w:tab/>
      </w:r>
      <w:r>
        <w:t xml:space="preserve">Overview of </w:t>
      </w:r>
      <w:r w:rsidR="006F6139">
        <w:t xml:space="preserve">this </w:t>
      </w:r>
      <w:r w:rsidR="00981FF2">
        <w:t>Part</w:t>
      </w:r>
      <w:r>
        <w:tab/>
      </w:r>
      <w:r>
        <w:fldChar w:fldCharType="begin"/>
      </w:r>
      <w:r>
        <w:instrText xml:space="preserve"> PAGEREF _Toc164606709 \h </w:instrText>
      </w:r>
      <w:r>
        <w:fldChar w:fldCharType="separate"/>
      </w:r>
      <w:r w:rsidR="00183626">
        <w:t>152</w:t>
      </w:r>
      <w:r>
        <w:fldChar w:fldCharType="end"/>
      </w:r>
    </w:p>
    <w:p w14:paraId="59C60C0C" w14:textId="79C97FB7" w:rsidR="00E83FE2" w:rsidRDefault="00E83FE2" w:rsidP="0076225D">
      <w:pPr>
        <w:pStyle w:val="TOC1"/>
        <w:rPr>
          <w:rFonts w:asciiTheme="minorHAnsi" w:eastAsiaTheme="minorEastAsia" w:hAnsiTheme="minorHAnsi"/>
          <w:kern w:val="2"/>
          <w:sz w:val="24"/>
          <w:lang w:eastAsia="en-AU"/>
          <w14:ligatures w14:val="standardContextual"/>
        </w:rPr>
      </w:pPr>
      <w:r>
        <w:t>9.2</w:t>
      </w:r>
      <w:r>
        <w:rPr>
          <w:rFonts w:asciiTheme="minorHAnsi" w:eastAsiaTheme="minorEastAsia" w:hAnsiTheme="minorHAnsi"/>
          <w:kern w:val="2"/>
          <w:sz w:val="24"/>
          <w:lang w:eastAsia="en-AU"/>
          <w14:ligatures w14:val="standardContextual"/>
        </w:rPr>
        <w:tab/>
      </w:r>
      <w:r>
        <w:t>Legislation which may override the PIPA</w:t>
      </w:r>
      <w:r>
        <w:tab/>
      </w:r>
      <w:r>
        <w:fldChar w:fldCharType="begin"/>
      </w:r>
      <w:r>
        <w:instrText xml:space="preserve"> PAGEREF _Toc164606710 \h </w:instrText>
      </w:r>
      <w:r>
        <w:fldChar w:fldCharType="separate"/>
      </w:r>
      <w:r w:rsidR="00183626">
        <w:t>152</w:t>
      </w:r>
      <w:r>
        <w:fldChar w:fldCharType="end"/>
      </w:r>
    </w:p>
    <w:p w14:paraId="1DC91A8D" w14:textId="19D37566" w:rsidR="00E83FE2" w:rsidRDefault="00357945"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_Toc164606711 \h </w:instrText>
      </w:r>
      <w:r w:rsidR="00E83FE2">
        <w:fldChar w:fldCharType="separate"/>
      </w:r>
      <w:r w:rsidR="00183626">
        <w:t>152</w:t>
      </w:r>
      <w:r w:rsidR="00E83FE2">
        <w:fldChar w:fldCharType="end"/>
      </w:r>
    </w:p>
    <w:p w14:paraId="470C662B" w14:textId="4C5AADB9" w:rsidR="00E83FE2" w:rsidRDefault="00357945"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_Toc164606712 \h </w:instrText>
      </w:r>
      <w:r w:rsidR="00E83FE2">
        <w:fldChar w:fldCharType="separate"/>
      </w:r>
      <w:r w:rsidR="00183626">
        <w:t>155</w:t>
      </w:r>
      <w:r w:rsidR="00E83FE2">
        <w:fldChar w:fldCharType="end"/>
      </w:r>
    </w:p>
    <w:p w14:paraId="41B85C62" w14:textId="76E7B5C3" w:rsidR="00E83FE2" w:rsidRDefault="00E83FE2" w:rsidP="0076225D">
      <w:pPr>
        <w:pStyle w:val="TOC1"/>
        <w:rPr>
          <w:rFonts w:asciiTheme="minorHAnsi" w:eastAsiaTheme="minorEastAsia" w:hAnsiTheme="minorHAnsi"/>
          <w:kern w:val="2"/>
          <w:sz w:val="24"/>
          <w:lang w:eastAsia="en-AU"/>
          <w14:ligatures w14:val="standardContextual"/>
        </w:rPr>
      </w:pPr>
      <w:r>
        <w:t>9.3</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_Toc164606713 \h </w:instrText>
      </w:r>
      <w:r>
        <w:fldChar w:fldCharType="separate"/>
      </w:r>
      <w:r w:rsidR="00183626">
        <w:t>156</w:t>
      </w:r>
      <w:r>
        <w:fldChar w:fldCharType="end"/>
      </w:r>
    </w:p>
    <w:p w14:paraId="58BCF07E" w14:textId="32360EAD" w:rsidR="00E83FE2" w:rsidRDefault="00E83FE2" w:rsidP="0076225D">
      <w:pPr>
        <w:pStyle w:val="TOC1"/>
        <w:rPr>
          <w:rFonts w:asciiTheme="minorHAnsi" w:eastAsiaTheme="minorEastAsia" w:hAnsiTheme="minorHAnsi"/>
          <w:kern w:val="2"/>
          <w:sz w:val="24"/>
          <w:lang w:eastAsia="en-AU"/>
          <w14:ligatures w14:val="standardContextual"/>
        </w:rPr>
      </w:pPr>
      <w:r>
        <w:t>9.4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_Toc164606714 \h </w:instrText>
      </w:r>
      <w:r>
        <w:fldChar w:fldCharType="separate"/>
      </w:r>
      <w:r w:rsidR="00183626">
        <w:t>156</w:t>
      </w:r>
      <w:r>
        <w:fldChar w:fldCharType="end"/>
      </w:r>
    </w:p>
    <w:p w14:paraId="63630A42" w14:textId="00373FD0" w:rsidR="00E83FE2" w:rsidRDefault="00E83FE2" w:rsidP="0076225D">
      <w:pPr>
        <w:pStyle w:val="TOC1"/>
        <w:rPr>
          <w:rFonts w:asciiTheme="minorHAnsi" w:eastAsiaTheme="minorEastAsia" w:hAnsiTheme="minorHAnsi"/>
          <w:kern w:val="2"/>
          <w:sz w:val="24"/>
          <w:lang w:eastAsia="en-AU"/>
          <w14:ligatures w14:val="standardContextual"/>
        </w:rPr>
      </w:pPr>
      <w:r>
        <w:t>9.5</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_Toc164606715 \h </w:instrText>
      </w:r>
      <w:r>
        <w:fldChar w:fldCharType="separate"/>
      </w:r>
      <w:r w:rsidR="00183626">
        <w:t>157</w:t>
      </w:r>
      <w:r>
        <w:fldChar w:fldCharType="end"/>
      </w:r>
    </w:p>
    <w:p w14:paraId="698D62CF" w14:textId="71EAB797" w:rsidR="00E83FE2" w:rsidRDefault="00E83FE2" w:rsidP="0076225D">
      <w:pPr>
        <w:pStyle w:val="TOC1"/>
        <w:rPr>
          <w:rFonts w:asciiTheme="minorHAnsi" w:eastAsiaTheme="minorEastAsia" w:hAnsiTheme="minorHAnsi"/>
          <w:kern w:val="2"/>
          <w:sz w:val="24"/>
          <w:lang w:eastAsia="en-AU"/>
          <w14:ligatures w14:val="standardContextual"/>
        </w:rPr>
      </w:pPr>
      <w:r>
        <w:t>9.6</w:t>
      </w:r>
      <w:r>
        <w:rPr>
          <w:rFonts w:asciiTheme="minorHAnsi" w:eastAsiaTheme="minorEastAsia" w:hAnsiTheme="minorHAnsi"/>
          <w:kern w:val="2"/>
          <w:sz w:val="24"/>
          <w:lang w:eastAsia="en-AU"/>
          <w14:ligatures w14:val="standardContextual"/>
        </w:rPr>
        <w:tab/>
      </w:r>
      <w:r>
        <w:t>Recommendation</w:t>
      </w:r>
      <w:r w:rsidR="00357945">
        <w:t xml:space="preserve"> 56</w:t>
      </w:r>
      <w:r>
        <w:tab/>
      </w:r>
      <w:r>
        <w:fldChar w:fldCharType="begin"/>
      </w:r>
      <w:r>
        <w:instrText xml:space="preserve"> PAGEREF _Toc164606716 \h </w:instrText>
      </w:r>
      <w:r>
        <w:fldChar w:fldCharType="separate"/>
      </w:r>
      <w:r w:rsidR="00183626">
        <w:t>158</w:t>
      </w:r>
      <w:r>
        <w:fldChar w:fldCharType="end"/>
      </w:r>
    </w:p>
    <w:p w14:paraId="7014A16C" w14:textId="01CFF9DB" w:rsidR="00E83FE2" w:rsidRDefault="00E83FE2" w:rsidP="0076225D">
      <w:pPr>
        <w:pStyle w:val="TOC1"/>
        <w:rPr>
          <w:rFonts w:asciiTheme="minorHAnsi" w:eastAsiaTheme="minorEastAsia" w:hAnsiTheme="minorHAnsi"/>
          <w:kern w:val="2"/>
          <w:sz w:val="24"/>
          <w:lang w:eastAsia="en-AU"/>
          <w14:ligatures w14:val="standardContextual"/>
        </w:rPr>
      </w:pPr>
      <w:r>
        <w:t>9.7</w:t>
      </w:r>
      <w:r>
        <w:rPr>
          <w:rFonts w:asciiTheme="minorHAnsi" w:eastAsiaTheme="minorEastAsia" w:hAnsiTheme="minorHAnsi"/>
          <w:kern w:val="2"/>
          <w:sz w:val="24"/>
          <w:lang w:eastAsia="en-AU"/>
          <w14:ligatures w14:val="standardContextual"/>
        </w:rPr>
        <w:tab/>
      </w:r>
      <w:r>
        <w:t>Legislation that restricts the sharing of government-held information</w:t>
      </w:r>
      <w:r>
        <w:tab/>
      </w:r>
      <w:r>
        <w:fldChar w:fldCharType="begin"/>
      </w:r>
      <w:r>
        <w:instrText xml:space="preserve"> PAGEREF _Toc164606717 \h </w:instrText>
      </w:r>
      <w:r>
        <w:fldChar w:fldCharType="separate"/>
      </w:r>
      <w:r w:rsidR="00183626">
        <w:t>158</w:t>
      </w:r>
      <w:r>
        <w:fldChar w:fldCharType="end"/>
      </w:r>
    </w:p>
    <w:p w14:paraId="6281A099" w14:textId="7AFC16DD" w:rsidR="00E83FE2" w:rsidRDefault="00E83FE2" w:rsidP="0076225D">
      <w:pPr>
        <w:pStyle w:val="TOC1"/>
        <w:rPr>
          <w:rFonts w:asciiTheme="minorHAnsi" w:eastAsiaTheme="minorEastAsia" w:hAnsiTheme="minorHAnsi"/>
          <w:kern w:val="2"/>
          <w:sz w:val="24"/>
          <w:lang w:eastAsia="en-AU"/>
          <w14:ligatures w14:val="standardContextual"/>
        </w:rPr>
      </w:pPr>
      <w:r>
        <w:t>9.8</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_Toc164606718 \h </w:instrText>
      </w:r>
      <w:r>
        <w:fldChar w:fldCharType="separate"/>
      </w:r>
      <w:r w:rsidR="00183626">
        <w:t>159</w:t>
      </w:r>
      <w:r>
        <w:fldChar w:fldCharType="end"/>
      </w:r>
    </w:p>
    <w:p w14:paraId="21FAEADF" w14:textId="66D957AD" w:rsidR="00E83FE2" w:rsidRDefault="00E83FE2" w:rsidP="0076225D">
      <w:pPr>
        <w:pStyle w:val="TOC1"/>
        <w:rPr>
          <w:rFonts w:asciiTheme="minorHAnsi" w:eastAsiaTheme="minorEastAsia" w:hAnsiTheme="minorHAnsi"/>
          <w:kern w:val="2"/>
          <w:sz w:val="24"/>
          <w:lang w:eastAsia="en-AU"/>
          <w14:ligatures w14:val="standardContextual"/>
        </w:rPr>
      </w:pPr>
      <w:r>
        <w:t>9.9</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_Toc164606719 \h </w:instrText>
      </w:r>
      <w:r>
        <w:fldChar w:fldCharType="separate"/>
      </w:r>
      <w:r w:rsidR="00183626">
        <w:t>160</w:t>
      </w:r>
      <w:r>
        <w:fldChar w:fldCharType="end"/>
      </w:r>
    </w:p>
    <w:p w14:paraId="321125F5" w14:textId="5B80EC14" w:rsidR="00E83FE2" w:rsidRPr="0076225D" w:rsidRDefault="00E83FE2" w:rsidP="002D185D">
      <w:pPr>
        <w:pStyle w:val="TOC1"/>
        <w:ind w:left="720" w:hanging="720"/>
        <w:rPr>
          <w:rFonts w:asciiTheme="minorHAnsi" w:eastAsiaTheme="minorEastAsia" w:hAnsiTheme="minorHAnsi"/>
          <w:kern w:val="2"/>
          <w:sz w:val="24"/>
          <w:lang w:eastAsia="en-AU"/>
          <w14:ligatures w14:val="standardContextual"/>
        </w:rPr>
      </w:pPr>
      <w:r w:rsidRPr="0076225D">
        <w:t>9.10</w:t>
      </w:r>
      <w:r w:rsidRPr="0076225D">
        <w:rPr>
          <w:rFonts w:asciiTheme="minorHAnsi" w:eastAsiaTheme="minorEastAsia" w:hAnsiTheme="minorHAnsi"/>
          <w:kern w:val="2"/>
          <w:sz w:val="24"/>
          <w:lang w:eastAsia="en-AU"/>
          <w14:ligatures w14:val="standardContextual"/>
        </w:rPr>
        <w:tab/>
      </w:r>
      <w:r w:rsidRPr="0076225D">
        <w:t>Legislation that facilitates the sharing of information within and between government agencies</w:t>
      </w:r>
      <w:r w:rsidR="00357945" w:rsidRPr="0076225D">
        <w:tab/>
      </w:r>
      <w:r w:rsidRPr="0076225D">
        <w:fldChar w:fldCharType="begin"/>
      </w:r>
      <w:r w:rsidRPr="0076225D">
        <w:instrText xml:space="preserve"> PAGEREF _Toc164606720 \h </w:instrText>
      </w:r>
      <w:r w:rsidRPr="0076225D">
        <w:fldChar w:fldCharType="separate"/>
      </w:r>
      <w:r w:rsidR="00183626">
        <w:t>160</w:t>
      </w:r>
      <w:r w:rsidRPr="0076225D">
        <w:fldChar w:fldCharType="end"/>
      </w:r>
    </w:p>
    <w:p w14:paraId="56EA03A4" w14:textId="66414A2D" w:rsidR="00E83FE2" w:rsidRDefault="00357945" w:rsidP="0076225D">
      <w:pPr>
        <w:pStyle w:val="TOC1"/>
        <w:rPr>
          <w:rFonts w:asciiTheme="minorHAnsi" w:eastAsiaTheme="minorEastAsia" w:hAnsiTheme="minorHAnsi"/>
          <w:kern w:val="2"/>
          <w:sz w:val="24"/>
          <w:lang w:eastAsia="en-AU"/>
          <w14:ligatures w14:val="standardContextual"/>
        </w:rPr>
      </w:pPr>
      <w:r>
        <w:tab/>
      </w:r>
      <w:r w:rsidR="00E83FE2">
        <w:t>The Tasmanian position</w:t>
      </w:r>
      <w:r w:rsidR="00E83FE2">
        <w:tab/>
      </w:r>
      <w:r w:rsidR="00E83FE2">
        <w:fldChar w:fldCharType="begin"/>
      </w:r>
      <w:r w:rsidR="00E83FE2">
        <w:instrText xml:space="preserve"> PAGEREF _Toc164606721 \h </w:instrText>
      </w:r>
      <w:r w:rsidR="00E83FE2">
        <w:fldChar w:fldCharType="separate"/>
      </w:r>
      <w:r w:rsidR="00183626">
        <w:t>160</w:t>
      </w:r>
      <w:r w:rsidR="00E83FE2">
        <w:fldChar w:fldCharType="end"/>
      </w:r>
    </w:p>
    <w:p w14:paraId="6A9A8A09" w14:textId="0D5F4CD6" w:rsidR="00E83FE2" w:rsidRDefault="00357945" w:rsidP="0076225D">
      <w:pPr>
        <w:pStyle w:val="TOC1"/>
        <w:rPr>
          <w:rFonts w:asciiTheme="minorHAnsi" w:eastAsiaTheme="minorEastAsia" w:hAnsiTheme="minorHAnsi"/>
          <w:kern w:val="2"/>
          <w:sz w:val="24"/>
          <w:lang w:eastAsia="en-AU"/>
          <w14:ligatures w14:val="standardContextual"/>
        </w:rPr>
      </w:pPr>
      <w:r>
        <w:tab/>
      </w:r>
      <w:r w:rsidR="00E83FE2">
        <w:t>The position in other jurisdictions</w:t>
      </w:r>
      <w:r w:rsidR="00E83FE2">
        <w:tab/>
      </w:r>
      <w:r w:rsidR="00E83FE2">
        <w:fldChar w:fldCharType="begin"/>
      </w:r>
      <w:r w:rsidR="00E83FE2">
        <w:instrText xml:space="preserve"> PAGEREF _Toc164606722 \h </w:instrText>
      </w:r>
      <w:r w:rsidR="00E83FE2">
        <w:fldChar w:fldCharType="separate"/>
      </w:r>
      <w:r w:rsidR="00183626">
        <w:t>162</w:t>
      </w:r>
      <w:r w:rsidR="00E83FE2">
        <w:fldChar w:fldCharType="end"/>
      </w:r>
    </w:p>
    <w:p w14:paraId="45AE64D8" w14:textId="2F31EB42" w:rsidR="00E83FE2" w:rsidRDefault="00E83FE2" w:rsidP="0076225D">
      <w:pPr>
        <w:pStyle w:val="TOC1"/>
        <w:rPr>
          <w:rFonts w:asciiTheme="minorHAnsi" w:eastAsiaTheme="minorEastAsia" w:hAnsiTheme="minorHAnsi"/>
          <w:kern w:val="2"/>
          <w:sz w:val="24"/>
          <w:lang w:eastAsia="en-AU"/>
          <w14:ligatures w14:val="standardContextual"/>
        </w:rPr>
      </w:pPr>
      <w:r>
        <w:t>9.11</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_Toc164606723 \h </w:instrText>
      </w:r>
      <w:r>
        <w:fldChar w:fldCharType="separate"/>
      </w:r>
      <w:r w:rsidR="00183626">
        <w:t>164</w:t>
      </w:r>
      <w:r>
        <w:fldChar w:fldCharType="end"/>
      </w:r>
    </w:p>
    <w:p w14:paraId="4E5F89AF" w14:textId="0D8CADDD" w:rsidR="00E83FE2" w:rsidRDefault="00E83FE2" w:rsidP="0076225D">
      <w:pPr>
        <w:pStyle w:val="TOC1"/>
        <w:rPr>
          <w:rFonts w:asciiTheme="minorHAnsi" w:eastAsiaTheme="minorEastAsia" w:hAnsiTheme="minorHAnsi"/>
          <w:kern w:val="2"/>
          <w:sz w:val="24"/>
          <w:lang w:eastAsia="en-AU"/>
          <w14:ligatures w14:val="standardContextual"/>
        </w:rPr>
      </w:pPr>
      <w:r>
        <w:t>9.12</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_Toc164606724 \h </w:instrText>
      </w:r>
      <w:r>
        <w:fldChar w:fldCharType="separate"/>
      </w:r>
      <w:r w:rsidR="00183626">
        <w:t>164</w:t>
      </w:r>
      <w:r>
        <w:fldChar w:fldCharType="end"/>
      </w:r>
    </w:p>
    <w:p w14:paraId="4231E8E6" w14:textId="5AB9C43C" w:rsidR="00E83FE2" w:rsidRDefault="00E83FE2" w:rsidP="0076225D">
      <w:pPr>
        <w:pStyle w:val="TOC1"/>
        <w:rPr>
          <w:rFonts w:asciiTheme="minorHAnsi" w:eastAsiaTheme="minorEastAsia" w:hAnsiTheme="minorHAnsi"/>
          <w:kern w:val="2"/>
          <w:sz w:val="24"/>
          <w:lang w:eastAsia="en-AU"/>
          <w14:ligatures w14:val="standardContextual"/>
        </w:rPr>
      </w:pPr>
      <w:r>
        <w:t>9.13</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_Toc164606725 \h </w:instrText>
      </w:r>
      <w:r>
        <w:fldChar w:fldCharType="separate"/>
      </w:r>
      <w:r w:rsidR="00183626">
        <w:t>166</w:t>
      </w:r>
      <w:r>
        <w:fldChar w:fldCharType="end"/>
      </w:r>
    </w:p>
    <w:p w14:paraId="0FC08FBB" w14:textId="4E33F663" w:rsidR="00E83FE2" w:rsidRDefault="00E83FE2" w:rsidP="0076225D">
      <w:pPr>
        <w:pStyle w:val="TOC1"/>
        <w:rPr>
          <w:rFonts w:asciiTheme="minorHAnsi" w:eastAsiaTheme="minorEastAsia" w:hAnsiTheme="minorHAnsi"/>
          <w:kern w:val="2"/>
          <w:sz w:val="24"/>
          <w:lang w:eastAsia="en-AU"/>
          <w14:ligatures w14:val="standardContextual"/>
        </w:rPr>
      </w:pPr>
      <w:r>
        <w:t>9.14</w:t>
      </w:r>
      <w:r>
        <w:rPr>
          <w:rFonts w:asciiTheme="minorHAnsi" w:eastAsiaTheme="minorEastAsia" w:hAnsiTheme="minorHAnsi"/>
          <w:kern w:val="2"/>
          <w:sz w:val="24"/>
          <w:lang w:eastAsia="en-AU"/>
          <w14:ligatures w14:val="standardContextual"/>
        </w:rPr>
        <w:tab/>
      </w:r>
      <w:r>
        <w:t>Recommendation</w:t>
      </w:r>
      <w:r w:rsidR="00357945">
        <w:t xml:space="preserve"> 57</w:t>
      </w:r>
      <w:r>
        <w:tab/>
      </w:r>
      <w:r>
        <w:fldChar w:fldCharType="begin"/>
      </w:r>
      <w:r>
        <w:instrText xml:space="preserve"> PAGEREF _Toc164606726 \h </w:instrText>
      </w:r>
      <w:r>
        <w:fldChar w:fldCharType="separate"/>
      </w:r>
      <w:r w:rsidR="00183626">
        <w:t>166</w:t>
      </w:r>
      <w:r>
        <w:fldChar w:fldCharType="end"/>
      </w:r>
    </w:p>
    <w:p w14:paraId="6956BA0B" w14:textId="5C39F98B" w:rsidR="00E83FE2" w:rsidRDefault="00357945" w:rsidP="0076225D">
      <w:pPr>
        <w:pStyle w:val="TOC1"/>
        <w:rPr>
          <w:rFonts w:asciiTheme="minorHAnsi" w:eastAsiaTheme="minorEastAsia" w:hAnsiTheme="minorHAnsi"/>
          <w:kern w:val="2"/>
          <w:sz w:val="24"/>
          <w:lang w:eastAsia="en-AU"/>
          <w14:ligatures w14:val="standardContextual"/>
        </w:rPr>
      </w:pPr>
      <w:r w:rsidRPr="002D185D">
        <w:rPr>
          <w:b/>
          <w:bCs/>
        </w:rPr>
        <w:t xml:space="preserve">Part 10: </w:t>
      </w:r>
      <w:r w:rsidR="00E83FE2" w:rsidRPr="002D185D">
        <w:rPr>
          <w:b/>
          <w:bCs/>
        </w:rPr>
        <w:t>Other Legislative Protections of Privacy</w:t>
      </w:r>
      <w:r w:rsidR="00E83FE2">
        <w:tab/>
      </w:r>
      <w:r w:rsidR="00E83FE2" w:rsidRPr="002D185D">
        <w:rPr>
          <w:b/>
          <w:bCs/>
        </w:rPr>
        <w:fldChar w:fldCharType="begin"/>
      </w:r>
      <w:r w:rsidR="00E83FE2" w:rsidRPr="002D185D">
        <w:rPr>
          <w:b/>
          <w:bCs/>
        </w:rPr>
        <w:instrText xml:space="preserve"> PAGEREF _Toc164606727 \h </w:instrText>
      </w:r>
      <w:r w:rsidR="00E83FE2" w:rsidRPr="002D185D">
        <w:rPr>
          <w:b/>
          <w:bCs/>
        </w:rPr>
      </w:r>
      <w:r w:rsidR="00E83FE2" w:rsidRPr="002D185D">
        <w:rPr>
          <w:b/>
          <w:bCs/>
        </w:rPr>
        <w:fldChar w:fldCharType="separate"/>
      </w:r>
      <w:r w:rsidR="00183626">
        <w:rPr>
          <w:b/>
          <w:bCs/>
        </w:rPr>
        <w:t>167</w:t>
      </w:r>
      <w:r w:rsidR="00E83FE2" w:rsidRPr="002D185D">
        <w:rPr>
          <w:b/>
          <w:bCs/>
        </w:rPr>
        <w:fldChar w:fldCharType="end"/>
      </w:r>
    </w:p>
    <w:p w14:paraId="3F2C3248" w14:textId="7549977A" w:rsidR="00E83FE2" w:rsidRDefault="00E83FE2" w:rsidP="0076225D">
      <w:pPr>
        <w:pStyle w:val="TOC1"/>
        <w:rPr>
          <w:rFonts w:asciiTheme="minorHAnsi" w:eastAsiaTheme="minorEastAsia" w:hAnsiTheme="minorHAnsi"/>
          <w:kern w:val="2"/>
          <w:sz w:val="24"/>
          <w:lang w:eastAsia="en-AU"/>
          <w14:ligatures w14:val="standardContextual"/>
        </w:rPr>
      </w:pPr>
      <w:r>
        <w:t>10.1</w:t>
      </w:r>
      <w:r>
        <w:rPr>
          <w:rFonts w:asciiTheme="minorHAnsi" w:eastAsiaTheme="minorEastAsia" w:hAnsiTheme="minorHAnsi"/>
          <w:kern w:val="2"/>
          <w:sz w:val="24"/>
          <w:lang w:eastAsia="en-AU"/>
          <w14:ligatures w14:val="standardContextual"/>
        </w:rPr>
        <w:tab/>
      </w:r>
      <w:r>
        <w:t xml:space="preserve">Overview of this </w:t>
      </w:r>
      <w:r w:rsidR="00981FF2">
        <w:t>Part</w:t>
      </w:r>
      <w:r>
        <w:tab/>
      </w:r>
      <w:r>
        <w:fldChar w:fldCharType="begin"/>
      </w:r>
      <w:r>
        <w:instrText xml:space="preserve"> PAGEREF _Toc164606728 \h </w:instrText>
      </w:r>
      <w:r>
        <w:fldChar w:fldCharType="separate"/>
      </w:r>
      <w:r w:rsidR="00183626">
        <w:t>167</w:t>
      </w:r>
      <w:r>
        <w:fldChar w:fldCharType="end"/>
      </w:r>
    </w:p>
    <w:p w14:paraId="1D91B86B" w14:textId="2E879C65" w:rsidR="00E83FE2" w:rsidRDefault="00E83FE2" w:rsidP="0076225D">
      <w:pPr>
        <w:pStyle w:val="TOC1"/>
        <w:rPr>
          <w:rFonts w:asciiTheme="minorHAnsi" w:eastAsiaTheme="minorEastAsia" w:hAnsiTheme="minorHAnsi"/>
          <w:kern w:val="2"/>
          <w:sz w:val="24"/>
          <w:lang w:eastAsia="en-AU"/>
          <w14:ligatures w14:val="standardContextual"/>
        </w:rPr>
      </w:pPr>
      <w:r>
        <w:t>10.2</w:t>
      </w:r>
      <w:r>
        <w:rPr>
          <w:rFonts w:asciiTheme="minorHAnsi" w:eastAsiaTheme="minorEastAsia" w:hAnsiTheme="minorHAnsi"/>
          <w:kern w:val="2"/>
          <w:sz w:val="24"/>
          <w:lang w:eastAsia="en-AU"/>
          <w14:ligatures w14:val="standardContextual"/>
        </w:rPr>
        <w:tab/>
      </w:r>
      <w:r>
        <w:t>Legislative Protections Relating to Surveillance</w:t>
      </w:r>
      <w:r>
        <w:tab/>
      </w:r>
      <w:r>
        <w:fldChar w:fldCharType="begin"/>
      </w:r>
      <w:r>
        <w:instrText xml:space="preserve"> PAGEREF _Toc164606729 \h </w:instrText>
      </w:r>
      <w:r>
        <w:fldChar w:fldCharType="separate"/>
      </w:r>
      <w:r w:rsidR="00183626">
        <w:t>167</w:t>
      </w:r>
      <w:r>
        <w:fldChar w:fldCharType="end"/>
      </w:r>
    </w:p>
    <w:p w14:paraId="7A5CA68D" w14:textId="226288BB" w:rsidR="00E83FE2" w:rsidRDefault="00357945"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_Toc164606730 \h </w:instrText>
      </w:r>
      <w:r w:rsidR="00E83FE2">
        <w:fldChar w:fldCharType="separate"/>
      </w:r>
      <w:r w:rsidR="00183626">
        <w:t>167</w:t>
      </w:r>
      <w:r w:rsidR="00E83FE2">
        <w:fldChar w:fldCharType="end"/>
      </w:r>
    </w:p>
    <w:p w14:paraId="4F6E6C94" w14:textId="3F5B2EAE" w:rsidR="00E83FE2" w:rsidRDefault="00E83FE2" w:rsidP="008E5AE3">
      <w:pPr>
        <w:pStyle w:val="TOC2"/>
        <w:rPr>
          <w:rFonts w:asciiTheme="minorHAnsi" w:hAnsiTheme="minorHAnsi" w:cstheme="minorBidi"/>
          <w:kern w:val="2"/>
          <w:sz w:val="24"/>
          <w:szCs w:val="24"/>
          <w:lang w:eastAsia="en-AU"/>
          <w14:ligatures w14:val="standardContextual"/>
        </w:rPr>
      </w:pPr>
      <w:r w:rsidRPr="00EA22F8">
        <w:rPr>
          <w:i/>
          <w:iCs/>
          <w:lang w:val="en-GB"/>
        </w:rPr>
        <w:t xml:space="preserve">Listening Devices Act 1991 </w:t>
      </w:r>
      <w:r w:rsidRPr="007B1607">
        <w:rPr>
          <w:lang w:val="en-GB"/>
        </w:rPr>
        <w:t>(Tas)</w:t>
      </w:r>
      <w:r>
        <w:tab/>
      </w:r>
      <w:r>
        <w:fldChar w:fldCharType="begin"/>
      </w:r>
      <w:r>
        <w:instrText xml:space="preserve"> PAGEREF _Toc164606731 \h </w:instrText>
      </w:r>
      <w:r>
        <w:fldChar w:fldCharType="separate"/>
      </w:r>
      <w:r w:rsidR="00183626">
        <w:t>167</w:t>
      </w:r>
      <w:r>
        <w:fldChar w:fldCharType="end"/>
      </w:r>
    </w:p>
    <w:p w14:paraId="5A483F42" w14:textId="212498F1" w:rsidR="00E83FE2" w:rsidRDefault="00E83FE2" w:rsidP="008E5AE3">
      <w:pPr>
        <w:pStyle w:val="TOC2"/>
        <w:rPr>
          <w:rFonts w:asciiTheme="minorHAnsi" w:hAnsiTheme="minorHAnsi" w:cstheme="minorBidi"/>
          <w:kern w:val="2"/>
          <w:sz w:val="24"/>
          <w:szCs w:val="24"/>
          <w:lang w:eastAsia="en-AU"/>
          <w14:ligatures w14:val="standardContextual"/>
        </w:rPr>
      </w:pPr>
      <w:r w:rsidRPr="00EA22F8">
        <w:rPr>
          <w:i/>
          <w:iCs/>
          <w:lang w:val="en-GB"/>
        </w:rPr>
        <w:t>Police Offences Act 1935</w:t>
      </w:r>
      <w:r w:rsidRPr="007B1607">
        <w:rPr>
          <w:lang w:val="en-GB"/>
        </w:rPr>
        <w:t xml:space="preserve"> </w:t>
      </w:r>
      <w:r w:rsidRPr="007B1607">
        <w:rPr>
          <w:iCs/>
          <w:lang w:val="en-GB"/>
        </w:rPr>
        <w:t>(Tas)</w:t>
      </w:r>
      <w:r>
        <w:tab/>
      </w:r>
      <w:r>
        <w:fldChar w:fldCharType="begin"/>
      </w:r>
      <w:r>
        <w:instrText xml:space="preserve"> PAGEREF _Toc164606732 \h </w:instrText>
      </w:r>
      <w:r>
        <w:fldChar w:fldCharType="separate"/>
      </w:r>
      <w:r w:rsidR="00183626">
        <w:t>169</w:t>
      </w:r>
      <w:r>
        <w:fldChar w:fldCharType="end"/>
      </w:r>
    </w:p>
    <w:p w14:paraId="20AFAA7C" w14:textId="2C7586B5" w:rsidR="00E83FE2" w:rsidRDefault="00E83FE2" w:rsidP="008E5AE3">
      <w:pPr>
        <w:pStyle w:val="TOC2"/>
        <w:rPr>
          <w:rFonts w:asciiTheme="minorHAnsi" w:hAnsiTheme="minorHAnsi" w:cstheme="minorBidi"/>
          <w:kern w:val="2"/>
          <w:sz w:val="24"/>
          <w:szCs w:val="24"/>
          <w:lang w:eastAsia="en-AU"/>
          <w14:ligatures w14:val="standardContextual"/>
        </w:rPr>
      </w:pPr>
      <w:r w:rsidRPr="007B1607">
        <w:rPr>
          <w:lang w:val="en-GB"/>
        </w:rPr>
        <w:t>Drones</w:t>
      </w:r>
      <w:r>
        <w:tab/>
      </w:r>
      <w:r>
        <w:fldChar w:fldCharType="begin"/>
      </w:r>
      <w:r>
        <w:instrText xml:space="preserve"> PAGEREF _Toc164606733 \h </w:instrText>
      </w:r>
      <w:r>
        <w:fldChar w:fldCharType="separate"/>
      </w:r>
      <w:r w:rsidR="00183626">
        <w:t>170</w:t>
      </w:r>
      <w:r>
        <w:fldChar w:fldCharType="end"/>
      </w:r>
    </w:p>
    <w:p w14:paraId="0E2C12EB" w14:textId="0D2F6B44" w:rsidR="00E83FE2" w:rsidRDefault="00357945" w:rsidP="0076225D">
      <w:pPr>
        <w:pStyle w:val="TOC1"/>
        <w:rPr>
          <w:rFonts w:asciiTheme="minorHAnsi" w:eastAsiaTheme="minorEastAsia" w:hAnsiTheme="minorHAnsi"/>
          <w:kern w:val="2"/>
          <w:sz w:val="24"/>
          <w:lang w:eastAsia="en-AU"/>
          <w14:ligatures w14:val="standardContextual"/>
        </w:rPr>
      </w:pPr>
      <w:r>
        <w:rPr>
          <w:lang w:val="en-GB"/>
        </w:rPr>
        <w:tab/>
      </w:r>
      <w:r w:rsidR="00E83FE2" w:rsidRPr="007B1607">
        <w:rPr>
          <w:lang w:val="en-GB"/>
        </w:rPr>
        <w:t xml:space="preserve">The position in </w:t>
      </w:r>
      <w:r w:rsidR="00E83FE2" w:rsidRPr="007B1607">
        <w:t>other</w:t>
      </w:r>
      <w:r w:rsidR="00E83FE2" w:rsidRPr="007B1607">
        <w:rPr>
          <w:lang w:val="en-GB"/>
        </w:rPr>
        <w:t xml:space="preserve"> jurisdictions</w:t>
      </w:r>
      <w:r w:rsidR="00E83FE2">
        <w:tab/>
      </w:r>
      <w:r w:rsidR="00E83FE2">
        <w:fldChar w:fldCharType="begin"/>
      </w:r>
      <w:r w:rsidR="00E83FE2">
        <w:instrText xml:space="preserve"> PAGEREF _Toc164606734 \h </w:instrText>
      </w:r>
      <w:r w:rsidR="00E83FE2">
        <w:fldChar w:fldCharType="separate"/>
      </w:r>
      <w:r w:rsidR="00183626">
        <w:t>171</w:t>
      </w:r>
      <w:r w:rsidR="00E83FE2">
        <w:fldChar w:fldCharType="end"/>
      </w:r>
    </w:p>
    <w:p w14:paraId="4BDE79DE" w14:textId="0A1A6604" w:rsidR="00E83FE2" w:rsidRDefault="00E83FE2" w:rsidP="0076225D">
      <w:pPr>
        <w:pStyle w:val="TOC1"/>
        <w:rPr>
          <w:rFonts w:asciiTheme="minorHAnsi" w:eastAsiaTheme="minorEastAsia" w:hAnsiTheme="minorHAnsi"/>
          <w:kern w:val="2"/>
          <w:sz w:val="24"/>
          <w:lang w:eastAsia="en-AU"/>
          <w14:ligatures w14:val="standardContextual"/>
        </w:rPr>
      </w:pPr>
      <w:r>
        <w:t>10.3</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_Toc164606735 \h </w:instrText>
      </w:r>
      <w:r>
        <w:fldChar w:fldCharType="separate"/>
      </w:r>
      <w:r w:rsidR="00183626">
        <w:t>172</w:t>
      </w:r>
      <w:r>
        <w:fldChar w:fldCharType="end"/>
      </w:r>
    </w:p>
    <w:p w14:paraId="30F611D7" w14:textId="6D91B6ED"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_Toc164606736 \h </w:instrText>
      </w:r>
      <w:r>
        <w:fldChar w:fldCharType="separate"/>
      </w:r>
      <w:r w:rsidR="00183626">
        <w:t>173</w:t>
      </w:r>
      <w:r>
        <w:fldChar w:fldCharType="end"/>
      </w:r>
    </w:p>
    <w:p w14:paraId="6B1736ED" w14:textId="1005A48A" w:rsidR="00E83FE2" w:rsidRDefault="00E83FE2" w:rsidP="0076225D">
      <w:pPr>
        <w:pStyle w:val="TOC1"/>
        <w:rPr>
          <w:rFonts w:asciiTheme="minorHAnsi" w:eastAsiaTheme="minorEastAsia" w:hAnsiTheme="minorHAnsi"/>
          <w:kern w:val="2"/>
          <w:sz w:val="24"/>
          <w:lang w:eastAsia="en-AU"/>
          <w14:ligatures w14:val="standardContextual"/>
        </w:rPr>
      </w:pPr>
      <w:r>
        <w:t>10.5</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_Toc164606737 \h </w:instrText>
      </w:r>
      <w:r>
        <w:fldChar w:fldCharType="separate"/>
      </w:r>
      <w:r w:rsidR="00183626">
        <w:t>175</w:t>
      </w:r>
      <w:r>
        <w:fldChar w:fldCharType="end"/>
      </w:r>
    </w:p>
    <w:p w14:paraId="74A3096C" w14:textId="057F8F99" w:rsidR="00E83FE2" w:rsidRDefault="00E83FE2" w:rsidP="0076225D">
      <w:pPr>
        <w:pStyle w:val="TOC1"/>
        <w:rPr>
          <w:rFonts w:asciiTheme="minorHAnsi" w:eastAsiaTheme="minorEastAsia" w:hAnsiTheme="minorHAnsi"/>
          <w:kern w:val="2"/>
          <w:sz w:val="24"/>
          <w:lang w:eastAsia="en-AU"/>
          <w14:ligatures w14:val="standardContextual"/>
        </w:rPr>
      </w:pPr>
      <w:r>
        <w:t>10.6</w:t>
      </w:r>
      <w:r>
        <w:rPr>
          <w:rFonts w:asciiTheme="minorHAnsi" w:eastAsiaTheme="minorEastAsia" w:hAnsiTheme="minorHAnsi"/>
          <w:kern w:val="2"/>
          <w:sz w:val="24"/>
          <w:lang w:eastAsia="en-AU"/>
          <w14:ligatures w14:val="standardContextual"/>
        </w:rPr>
        <w:tab/>
      </w:r>
      <w:r>
        <w:t>Recommendations</w:t>
      </w:r>
      <w:r w:rsidR="00FE2822">
        <w:t xml:space="preserve"> 58–59</w:t>
      </w:r>
      <w:r>
        <w:tab/>
      </w:r>
      <w:r>
        <w:fldChar w:fldCharType="begin"/>
      </w:r>
      <w:r>
        <w:instrText xml:space="preserve"> PAGEREF _Toc164606738 \h </w:instrText>
      </w:r>
      <w:r>
        <w:fldChar w:fldCharType="separate"/>
      </w:r>
      <w:r w:rsidR="00183626">
        <w:t>176</w:t>
      </w:r>
      <w:r>
        <w:fldChar w:fldCharType="end"/>
      </w:r>
    </w:p>
    <w:p w14:paraId="2DAD60A8" w14:textId="6EE5FD86" w:rsidR="00E83FE2" w:rsidRDefault="00E83FE2" w:rsidP="0076225D">
      <w:pPr>
        <w:pStyle w:val="TOC1"/>
        <w:rPr>
          <w:rFonts w:asciiTheme="minorHAnsi" w:eastAsiaTheme="minorEastAsia" w:hAnsiTheme="minorHAnsi"/>
          <w:kern w:val="2"/>
          <w:sz w:val="24"/>
          <w:lang w:eastAsia="en-AU"/>
          <w14:ligatures w14:val="standardContextual"/>
        </w:rPr>
      </w:pPr>
      <w:r>
        <w:t>10.7</w:t>
      </w:r>
      <w:r>
        <w:rPr>
          <w:rFonts w:asciiTheme="minorHAnsi" w:eastAsiaTheme="minorEastAsia" w:hAnsiTheme="minorHAnsi"/>
          <w:kern w:val="2"/>
          <w:sz w:val="24"/>
          <w:lang w:eastAsia="en-AU"/>
          <w14:ligatures w14:val="standardContextual"/>
        </w:rPr>
        <w:tab/>
      </w:r>
      <w:r>
        <w:t>Legislative protections relating to stalking and harassment</w:t>
      </w:r>
      <w:r>
        <w:tab/>
      </w:r>
      <w:r>
        <w:fldChar w:fldCharType="begin"/>
      </w:r>
      <w:r>
        <w:instrText xml:space="preserve"> PAGEREF _Toc164606739 \h </w:instrText>
      </w:r>
      <w:r>
        <w:fldChar w:fldCharType="separate"/>
      </w:r>
      <w:r w:rsidR="00183626">
        <w:t>177</w:t>
      </w:r>
      <w:r>
        <w:fldChar w:fldCharType="end"/>
      </w:r>
    </w:p>
    <w:p w14:paraId="6F61E093" w14:textId="005C7AB8" w:rsidR="00E83FE2" w:rsidRDefault="00FE2822"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_Toc164606740 \h </w:instrText>
      </w:r>
      <w:r w:rsidR="00E83FE2">
        <w:fldChar w:fldCharType="separate"/>
      </w:r>
      <w:r w:rsidR="00183626">
        <w:t>177</w:t>
      </w:r>
      <w:r w:rsidR="00E83FE2">
        <w:fldChar w:fldCharType="end"/>
      </w:r>
    </w:p>
    <w:p w14:paraId="18F1558D" w14:textId="057F0DFA" w:rsidR="00E83FE2" w:rsidRDefault="00FE2822"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_Toc164606741 \h </w:instrText>
      </w:r>
      <w:r w:rsidR="00E83FE2">
        <w:fldChar w:fldCharType="separate"/>
      </w:r>
      <w:r w:rsidR="00183626">
        <w:t>179</w:t>
      </w:r>
      <w:r w:rsidR="00E83FE2">
        <w:fldChar w:fldCharType="end"/>
      </w:r>
    </w:p>
    <w:p w14:paraId="7D6BB64B" w14:textId="4120D2AD"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10.8</w:t>
      </w:r>
      <w:r>
        <w:rPr>
          <w:rFonts w:asciiTheme="minorHAnsi" w:eastAsiaTheme="minorEastAsia" w:hAnsiTheme="minorHAnsi"/>
          <w:kern w:val="2"/>
          <w:sz w:val="24"/>
          <w:lang w:eastAsia="en-AU"/>
          <w14:ligatures w14:val="standardContextual"/>
        </w:rPr>
        <w:tab/>
      </w:r>
      <w:r w:rsidRPr="007B1607">
        <w:rPr>
          <w:lang w:val="en-GB"/>
        </w:rPr>
        <w:t xml:space="preserve">The </w:t>
      </w:r>
      <w:r>
        <w:t>Commonwealth</w:t>
      </w:r>
      <w:r w:rsidRPr="007B1607">
        <w:rPr>
          <w:lang w:val="en-GB"/>
        </w:rPr>
        <w:t xml:space="preserve"> Privacy Act Review</w:t>
      </w:r>
      <w:r>
        <w:tab/>
      </w:r>
      <w:r>
        <w:fldChar w:fldCharType="begin"/>
      </w:r>
      <w:r>
        <w:instrText xml:space="preserve"> PAGEREF _Toc164606742 \h </w:instrText>
      </w:r>
      <w:r>
        <w:fldChar w:fldCharType="separate"/>
      </w:r>
      <w:r w:rsidR="00183626">
        <w:t>179</w:t>
      </w:r>
      <w:r>
        <w:fldChar w:fldCharType="end"/>
      </w:r>
    </w:p>
    <w:p w14:paraId="283D64AB" w14:textId="43D2143B"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10.9</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_Toc164606743 \h </w:instrText>
      </w:r>
      <w:r>
        <w:fldChar w:fldCharType="separate"/>
      </w:r>
      <w:r w:rsidR="00183626">
        <w:t>180</w:t>
      </w:r>
      <w:r>
        <w:fldChar w:fldCharType="end"/>
      </w:r>
    </w:p>
    <w:p w14:paraId="564BACB1" w14:textId="7194F1D6"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10.10</w:t>
      </w:r>
      <w:r>
        <w:rPr>
          <w:rFonts w:asciiTheme="minorHAnsi" w:eastAsiaTheme="minorEastAsia" w:hAnsiTheme="minorHAnsi"/>
          <w:kern w:val="2"/>
          <w:sz w:val="24"/>
          <w:lang w:eastAsia="en-AU"/>
          <w14:ligatures w14:val="standardContextual"/>
        </w:rPr>
        <w:tab/>
      </w:r>
      <w:r>
        <w:t>The TLRI’s</w:t>
      </w:r>
      <w:r w:rsidRPr="007B1607">
        <w:rPr>
          <w:lang w:val="en-GB"/>
        </w:rPr>
        <w:t xml:space="preserve"> view</w:t>
      </w:r>
      <w:r>
        <w:tab/>
      </w:r>
      <w:r>
        <w:fldChar w:fldCharType="begin"/>
      </w:r>
      <w:r>
        <w:instrText xml:space="preserve"> PAGEREF _Toc164606744 \h </w:instrText>
      </w:r>
      <w:r>
        <w:fldChar w:fldCharType="separate"/>
      </w:r>
      <w:r w:rsidR="00183626">
        <w:t>180</w:t>
      </w:r>
      <w:r>
        <w:fldChar w:fldCharType="end"/>
      </w:r>
    </w:p>
    <w:p w14:paraId="302CE176" w14:textId="1D1A057E"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10.11</w:t>
      </w:r>
      <w:r>
        <w:rPr>
          <w:rFonts w:asciiTheme="minorHAnsi" w:eastAsiaTheme="minorEastAsia" w:hAnsiTheme="minorHAnsi"/>
          <w:kern w:val="2"/>
          <w:sz w:val="24"/>
          <w:lang w:eastAsia="en-AU"/>
          <w14:ligatures w14:val="standardContextual"/>
        </w:rPr>
        <w:tab/>
      </w:r>
      <w:r>
        <w:t>Recommendation</w:t>
      </w:r>
      <w:r w:rsidR="00FE2822">
        <w:t xml:space="preserve"> 60</w:t>
      </w:r>
      <w:r>
        <w:tab/>
      </w:r>
      <w:r>
        <w:fldChar w:fldCharType="begin"/>
      </w:r>
      <w:r>
        <w:instrText xml:space="preserve"> PAGEREF _Toc164606745 \h </w:instrText>
      </w:r>
      <w:r>
        <w:fldChar w:fldCharType="separate"/>
      </w:r>
      <w:r w:rsidR="00183626">
        <w:t>181</w:t>
      </w:r>
      <w:r>
        <w:fldChar w:fldCharType="end"/>
      </w:r>
    </w:p>
    <w:p w14:paraId="44D23991" w14:textId="71BAE0AD" w:rsidR="00E83FE2" w:rsidRDefault="00E83FE2" w:rsidP="0076225D">
      <w:pPr>
        <w:pStyle w:val="TOC1"/>
        <w:rPr>
          <w:rFonts w:asciiTheme="minorHAnsi" w:eastAsiaTheme="minorEastAsia" w:hAnsiTheme="minorHAnsi"/>
          <w:kern w:val="2"/>
          <w:sz w:val="24"/>
          <w:lang w:eastAsia="en-AU"/>
          <w14:ligatures w14:val="standardContextual"/>
        </w:rPr>
      </w:pPr>
      <w:r>
        <w:t>10.12</w:t>
      </w:r>
      <w:r>
        <w:rPr>
          <w:rFonts w:asciiTheme="minorHAnsi" w:eastAsiaTheme="minorEastAsia" w:hAnsiTheme="minorHAnsi"/>
          <w:kern w:val="2"/>
          <w:sz w:val="24"/>
          <w:lang w:eastAsia="en-AU"/>
          <w14:ligatures w14:val="standardContextual"/>
        </w:rPr>
        <w:tab/>
      </w:r>
      <w:r>
        <w:t>Unauthorised sharing of intimate images</w:t>
      </w:r>
      <w:r>
        <w:tab/>
      </w:r>
      <w:r>
        <w:fldChar w:fldCharType="begin"/>
      </w:r>
      <w:r>
        <w:instrText xml:space="preserve"> PAGEREF _Toc164606746 \h </w:instrText>
      </w:r>
      <w:r>
        <w:fldChar w:fldCharType="separate"/>
      </w:r>
      <w:r w:rsidR="00183626">
        <w:t>181</w:t>
      </w:r>
      <w:r>
        <w:fldChar w:fldCharType="end"/>
      </w:r>
    </w:p>
    <w:p w14:paraId="4FF75760" w14:textId="1FAC1DCE" w:rsidR="00E83FE2" w:rsidRDefault="00FE2822" w:rsidP="0076225D">
      <w:pPr>
        <w:pStyle w:val="TOC1"/>
        <w:rPr>
          <w:rFonts w:asciiTheme="minorHAnsi" w:eastAsiaTheme="minorEastAsia" w:hAnsiTheme="minorHAnsi"/>
          <w:kern w:val="2"/>
          <w:sz w:val="24"/>
          <w:lang w:eastAsia="en-AU"/>
          <w14:ligatures w14:val="standardContextual"/>
        </w:rPr>
      </w:pPr>
      <w:r>
        <w:rPr>
          <w:rFonts w:cs="Times New Roman"/>
        </w:rPr>
        <w:lastRenderedPageBreak/>
        <w:tab/>
      </w:r>
      <w:r w:rsidR="00E83FE2" w:rsidRPr="007B1607">
        <w:rPr>
          <w:rFonts w:cs="Times New Roman"/>
        </w:rPr>
        <w:t>The Tasmanian position</w:t>
      </w:r>
      <w:r w:rsidR="00E83FE2">
        <w:tab/>
      </w:r>
      <w:r w:rsidR="00E83FE2">
        <w:fldChar w:fldCharType="begin"/>
      </w:r>
      <w:r w:rsidR="00E83FE2">
        <w:instrText xml:space="preserve"> PAGEREF _Toc164606747 \h </w:instrText>
      </w:r>
      <w:r w:rsidR="00E83FE2">
        <w:fldChar w:fldCharType="separate"/>
      </w:r>
      <w:r w:rsidR="00183626">
        <w:t>182</w:t>
      </w:r>
      <w:r w:rsidR="00E83FE2">
        <w:fldChar w:fldCharType="end"/>
      </w:r>
    </w:p>
    <w:p w14:paraId="5EDFE6B3" w14:textId="0449FC0F" w:rsidR="00E83FE2" w:rsidRDefault="00FE2822" w:rsidP="0076225D">
      <w:pPr>
        <w:pStyle w:val="TOC1"/>
        <w:rPr>
          <w:rFonts w:asciiTheme="minorHAnsi" w:eastAsiaTheme="minorEastAsia" w:hAnsiTheme="minorHAnsi"/>
          <w:kern w:val="2"/>
          <w:sz w:val="24"/>
          <w:lang w:eastAsia="en-AU"/>
          <w14:ligatures w14:val="standardContextual"/>
        </w:rPr>
      </w:pPr>
      <w:r>
        <w:rPr>
          <w:lang w:val="en-GB"/>
        </w:rPr>
        <w:tab/>
      </w:r>
      <w:r w:rsidR="00E83FE2" w:rsidRPr="007B1607">
        <w:rPr>
          <w:lang w:val="en-GB"/>
        </w:rPr>
        <w:t xml:space="preserve">The </w:t>
      </w:r>
      <w:r w:rsidR="00E83FE2" w:rsidRPr="007B1607">
        <w:t>position</w:t>
      </w:r>
      <w:r w:rsidR="00E83FE2" w:rsidRPr="007B1607">
        <w:rPr>
          <w:lang w:val="en-GB"/>
        </w:rPr>
        <w:t xml:space="preserve"> in other jurisdictions</w:t>
      </w:r>
      <w:r w:rsidR="00E83FE2">
        <w:tab/>
      </w:r>
      <w:r w:rsidR="00E83FE2">
        <w:fldChar w:fldCharType="begin"/>
      </w:r>
      <w:r w:rsidR="00E83FE2">
        <w:instrText xml:space="preserve"> PAGEREF _Toc164606748 \h </w:instrText>
      </w:r>
      <w:r w:rsidR="00E83FE2">
        <w:fldChar w:fldCharType="separate"/>
      </w:r>
      <w:r w:rsidR="00183626">
        <w:t>182</w:t>
      </w:r>
      <w:r w:rsidR="00E83FE2">
        <w:fldChar w:fldCharType="end"/>
      </w:r>
    </w:p>
    <w:p w14:paraId="4EA23F49" w14:textId="265456CD"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10.13</w:t>
      </w:r>
      <w:r>
        <w:rPr>
          <w:rFonts w:asciiTheme="minorHAnsi" w:eastAsiaTheme="minorEastAsia" w:hAnsiTheme="minorHAnsi"/>
          <w:kern w:val="2"/>
          <w:sz w:val="24"/>
          <w:lang w:eastAsia="en-AU"/>
          <w14:ligatures w14:val="standardContextual"/>
        </w:rPr>
        <w:tab/>
      </w:r>
      <w:r w:rsidRPr="007B1607">
        <w:rPr>
          <w:lang w:val="en-GB"/>
        </w:rPr>
        <w:t xml:space="preserve">The Commonwealth </w:t>
      </w:r>
      <w:r>
        <w:t>Privacy</w:t>
      </w:r>
      <w:r w:rsidRPr="007B1607">
        <w:rPr>
          <w:lang w:val="en-GB"/>
        </w:rPr>
        <w:t xml:space="preserve"> Act Review</w:t>
      </w:r>
      <w:r>
        <w:tab/>
      </w:r>
      <w:r>
        <w:fldChar w:fldCharType="begin"/>
      </w:r>
      <w:r>
        <w:instrText xml:space="preserve"> PAGEREF _Toc164606749 \h </w:instrText>
      </w:r>
      <w:r>
        <w:fldChar w:fldCharType="separate"/>
      </w:r>
      <w:r w:rsidR="00183626">
        <w:t>183</w:t>
      </w:r>
      <w:r>
        <w:fldChar w:fldCharType="end"/>
      </w:r>
    </w:p>
    <w:p w14:paraId="4162C0B1" w14:textId="741563D9"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10.14</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_Toc164606750 \h </w:instrText>
      </w:r>
      <w:r>
        <w:fldChar w:fldCharType="separate"/>
      </w:r>
      <w:r w:rsidR="00183626">
        <w:t>184</w:t>
      </w:r>
      <w:r>
        <w:fldChar w:fldCharType="end"/>
      </w:r>
    </w:p>
    <w:p w14:paraId="048712BB" w14:textId="072BE31F"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10.15</w:t>
      </w:r>
      <w:r>
        <w:rPr>
          <w:rFonts w:asciiTheme="minorHAnsi" w:eastAsiaTheme="minorEastAsia" w:hAnsiTheme="minorHAnsi"/>
          <w:kern w:val="2"/>
          <w:sz w:val="24"/>
          <w:lang w:eastAsia="en-AU"/>
          <w14:ligatures w14:val="standardContextual"/>
        </w:rPr>
        <w:tab/>
      </w:r>
      <w:r w:rsidRPr="007B1607">
        <w:rPr>
          <w:lang w:val="en-GB"/>
        </w:rPr>
        <w:t>The TLRI’s view</w:t>
      </w:r>
      <w:r>
        <w:tab/>
      </w:r>
      <w:r>
        <w:fldChar w:fldCharType="begin"/>
      </w:r>
      <w:r>
        <w:instrText xml:space="preserve"> PAGEREF _Toc164606751 \h </w:instrText>
      </w:r>
      <w:r>
        <w:fldChar w:fldCharType="separate"/>
      </w:r>
      <w:r w:rsidR="00183626">
        <w:t>184</w:t>
      </w:r>
      <w:r>
        <w:fldChar w:fldCharType="end"/>
      </w:r>
    </w:p>
    <w:p w14:paraId="4CE64DE6" w14:textId="6A8C4092"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10.16</w:t>
      </w:r>
      <w:r>
        <w:rPr>
          <w:rFonts w:asciiTheme="minorHAnsi" w:eastAsiaTheme="minorEastAsia" w:hAnsiTheme="minorHAnsi"/>
          <w:kern w:val="2"/>
          <w:sz w:val="24"/>
          <w:lang w:eastAsia="en-AU"/>
          <w14:ligatures w14:val="standardContextual"/>
        </w:rPr>
        <w:tab/>
      </w:r>
      <w:r w:rsidRPr="007B1607">
        <w:rPr>
          <w:lang w:val="en-GB"/>
        </w:rPr>
        <w:t>Recommendation</w:t>
      </w:r>
      <w:r w:rsidR="00FE2822">
        <w:rPr>
          <w:lang w:val="en-GB"/>
        </w:rPr>
        <w:t xml:space="preserve"> 61</w:t>
      </w:r>
      <w:r>
        <w:tab/>
      </w:r>
      <w:r>
        <w:fldChar w:fldCharType="begin"/>
      </w:r>
      <w:r>
        <w:instrText xml:space="preserve"> PAGEREF _Toc164606752 \h </w:instrText>
      </w:r>
      <w:r>
        <w:fldChar w:fldCharType="separate"/>
      </w:r>
      <w:r w:rsidR="00183626">
        <w:t>185</w:t>
      </w:r>
      <w:r>
        <w:fldChar w:fldCharType="end"/>
      </w:r>
    </w:p>
    <w:p w14:paraId="3A4752B6" w14:textId="123F15FB" w:rsidR="00E83FE2" w:rsidRDefault="00E83FE2" w:rsidP="0076225D">
      <w:pPr>
        <w:pStyle w:val="TOC1"/>
        <w:rPr>
          <w:rFonts w:asciiTheme="minorHAnsi" w:eastAsiaTheme="minorEastAsia" w:hAnsiTheme="minorHAnsi"/>
          <w:kern w:val="2"/>
          <w:sz w:val="24"/>
          <w:lang w:eastAsia="en-AU"/>
          <w14:ligatures w14:val="standardContextual"/>
        </w:rPr>
      </w:pPr>
      <w:r>
        <w:t>10.17</w:t>
      </w:r>
      <w:r>
        <w:rPr>
          <w:rFonts w:asciiTheme="minorHAnsi" w:eastAsiaTheme="minorEastAsia" w:hAnsiTheme="minorHAnsi"/>
          <w:kern w:val="2"/>
          <w:sz w:val="24"/>
          <w:lang w:eastAsia="en-AU"/>
          <w14:ligatures w14:val="standardContextual"/>
        </w:rPr>
        <w:tab/>
      </w:r>
      <w:r>
        <w:t>Additional protections of health information</w:t>
      </w:r>
      <w:r>
        <w:tab/>
      </w:r>
      <w:r>
        <w:fldChar w:fldCharType="begin"/>
      </w:r>
      <w:r>
        <w:instrText xml:space="preserve"> PAGEREF _Toc164606753 \h </w:instrText>
      </w:r>
      <w:r>
        <w:fldChar w:fldCharType="separate"/>
      </w:r>
      <w:r w:rsidR="00183626">
        <w:t>185</w:t>
      </w:r>
      <w:r>
        <w:fldChar w:fldCharType="end"/>
      </w:r>
    </w:p>
    <w:p w14:paraId="5D3CE802" w14:textId="08131284" w:rsidR="00E83FE2" w:rsidRDefault="00FE2822"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Tasmanian position</w:t>
      </w:r>
      <w:r w:rsidR="00E83FE2">
        <w:tab/>
      </w:r>
      <w:r w:rsidR="00E83FE2">
        <w:fldChar w:fldCharType="begin"/>
      </w:r>
      <w:r w:rsidR="00E83FE2">
        <w:instrText xml:space="preserve"> PAGEREF _Toc164606754 \h </w:instrText>
      </w:r>
      <w:r w:rsidR="00E83FE2">
        <w:fldChar w:fldCharType="separate"/>
      </w:r>
      <w:r w:rsidR="00183626">
        <w:t>185</w:t>
      </w:r>
      <w:r w:rsidR="00E83FE2">
        <w:fldChar w:fldCharType="end"/>
      </w:r>
    </w:p>
    <w:p w14:paraId="049D710B" w14:textId="20276D61" w:rsidR="00E83FE2" w:rsidRDefault="00FE2822"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_Toc164606755 \h </w:instrText>
      </w:r>
      <w:r w:rsidR="00E83FE2">
        <w:fldChar w:fldCharType="separate"/>
      </w:r>
      <w:r w:rsidR="00183626">
        <w:t>187</w:t>
      </w:r>
      <w:r w:rsidR="00E83FE2">
        <w:fldChar w:fldCharType="end"/>
      </w:r>
    </w:p>
    <w:p w14:paraId="27065E15" w14:textId="2DBB8FA2" w:rsidR="00E83FE2" w:rsidRDefault="00E83FE2" w:rsidP="0076225D">
      <w:pPr>
        <w:pStyle w:val="TOC1"/>
        <w:rPr>
          <w:rFonts w:asciiTheme="minorHAnsi" w:eastAsiaTheme="minorEastAsia" w:hAnsiTheme="minorHAnsi"/>
          <w:kern w:val="2"/>
          <w:sz w:val="24"/>
          <w:lang w:eastAsia="en-AU"/>
          <w14:ligatures w14:val="standardContextual"/>
        </w:rPr>
      </w:pPr>
      <w:r>
        <w:t>10.18</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_Toc164606756 \h </w:instrText>
      </w:r>
      <w:r>
        <w:fldChar w:fldCharType="separate"/>
      </w:r>
      <w:r w:rsidR="00183626">
        <w:t>187</w:t>
      </w:r>
      <w:r>
        <w:fldChar w:fldCharType="end"/>
      </w:r>
    </w:p>
    <w:p w14:paraId="3A54101D" w14:textId="0CC9F883" w:rsidR="00E83FE2" w:rsidRDefault="00E83FE2" w:rsidP="0076225D">
      <w:pPr>
        <w:pStyle w:val="TOC1"/>
        <w:rPr>
          <w:rFonts w:asciiTheme="minorHAnsi" w:eastAsiaTheme="minorEastAsia" w:hAnsiTheme="minorHAnsi"/>
          <w:kern w:val="2"/>
          <w:sz w:val="24"/>
          <w:lang w:eastAsia="en-AU"/>
          <w14:ligatures w14:val="standardContextual"/>
        </w:rPr>
      </w:pPr>
      <w:r>
        <w:t>10.19</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_Toc164606757 \h </w:instrText>
      </w:r>
      <w:r>
        <w:fldChar w:fldCharType="separate"/>
      </w:r>
      <w:r w:rsidR="00183626">
        <w:t>187</w:t>
      </w:r>
      <w:r>
        <w:fldChar w:fldCharType="end"/>
      </w:r>
    </w:p>
    <w:p w14:paraId="45FB0320" w14:textId="6EE49031" w:rsidR="00E83FE2" w:rsidRDefault="00E83FE2" w:rsidP="0076225D">
      <w:pPr>
        <w:pStyle w:val="TOC1"/>
        <w:rPr>
          <w:rFonts w:asciiTheme="minorHAnsi" w:eastAsiaTheme="minorEastAsia" w:hAnsiTheme="minorHAnsi"/>
          <w:kern w:val="2"/>
          <w:sz w:val="24"/>
          <w:lang w:eastAsia="en-AU"/>
          <w14:ligatures w14:val="standardContextual"/>
        </w:rPr>
      </w:pPr>
      <w:r w:rsidRPr="007B1607">
        <w:rPr>
          <w:lang w:val="en-GB"/>
        </w:rPr>
        <w:t>10.20</w:t>
      </w:r>
      <w:r>
        <w:rPr>
          <w:rFonts w:asciiTheme="minorHAnsi" w:eastAsiaTheme="minorEastAsia" w:hAnsiTheme="minorHAnsi"/>
          <w:kern w:val="2"/>
          <w:sz w:val="24"/>
          <w:lang w:eastAsia="en-AU"/>
          <w14:ligatures w14:val="standardContextual"/>
        </w:rPr>
        <w:tab/>
      </w:r>
      <w:r w:rsidRPr="007B1607">
        <w:rPr>
          <w:lang w:val="en-GB"/>
        </w:rPr>
        <w:t>Recommendation</w:t>
      </w:r>
      <w:r w:rsidR="00FE2822">
        <w:rPr>
          <w:lang w:val="en-GB"/>
        </w:rPr>
        <w:t xml:space="preserve"> 62</w:t>
      </w:r>
      <w:r>
        <w:tab/>
      </w:r>
      <w:r>
        <w:fldChar w:fldCharType="begin"/>
      </w:r>
      <w:r>
        <w:instrText xml:space="preserve"> PAGEREF _Toc164606758 \h </w:instrText>
      </w:r>
      <w:r>
        <w:fldChar w:fldCharType="separate"/>
      </w:r>
      <w:r w:rsidR="00183626">
        <w:t>188</w:t>
      </w:r>
      <w:r>
        <w:fldChar w:fldCharType="end"/>
      </w:r>
    </w:p>
    <w:p w14:paraId="49B3AD41" w14:textId="36853D44" w:rsidR="00E83FE2" w:rsidRDefault="00FE2822" w:rsidP="0076225D">
      <w:pPr>
        <w:pStyle w:val="TOC1"/>
        <w:rPr>
          <w:rFonts w:asciiTheme="minorHAnsi" w:eastAsiaTheme="minorEastAsia" w:hAnsiTheme="minorHAnsi"/>
          <w:kern w:val="2"/>
          <w:sz w:val="24"/>
          <w:lang w:eastAsia="en-AU"/>
          <w14:ligatures w14:val="standardContextual"/>
        </w:rPr>
      </w:pPr>
      <w:r w:rsidRPr="002D185D">
        <w:rPr>
          <w:b/>
          <w:bCs/>
        </w:rPr>
        <w:t xml:space="preserve">Part 11: </w:t>
      </w:r>
      <w:r w:rsidR="00E83FE2" w:rsidRPr="002D185D">
        <w:rPr>
          <w:b/>
          <w:bCs/>
        </w:rPr>
        <w:t>General Law Protections and a Civil Statutory Cause of Action</w:t>
      </w:r>
      <w:r w:rsidR="00E83FE2">
        <w:tab/>
      </w:r>
      <w:r w:rsidR="00E83FE2" w:rsidRPr="002D185D">
        <w:rPr>
          <w:b/>
          <w:bCs/>
        </w:rPr>
        <w:fldChar w:fldCharType="begin"/>
      </w:r>
      <w:r w:rsidR="00E83FE2" w:rsidRPr="002D185D">
        <w:rPr>
          <w:b/>
          <w:bCs/>
        </w:rPr>
        <w:instrText xml:space="preserve"> PAGEREF _Toc164606759 \h </w:instrText>
      </w:r>
      <w:r w:rsidR="00E83FE2" w:rsidRPr="002D185D">
        <w:rPr>
          <w:b/>
          <w:bCs/>
        </w:rPr>
      </w:r>
      <w:r w:rsidR="00E83FE2" w:rsidRPr="002D185D">
        <w:rPr>
          <w:b/>
          <w:bCs/>
        </w:rPr>
        <w:fldChar w:fldCharType="separate"/>
      </w:r>
      <w:r w:rsidR="00183626">
        <w:rPr>
          <w:b/>
          <w:bCs/>
        </w:rPr>
        <w:t>189</w:t>
      </w:r>
      <w:r w:rsidR="00E83FE2" w:rsidRPr="002D185D">
        <w:rPr>
          <w:b/>
          <w:bCs/>
        </w:rPr>
        <w:fldChar w:fldCharType="end"/>
      </w:r>
    </w:p>
    <w:p w14:paraId="0D0A6D29" w14:textId="0C8599FA" w:rsidR="00E83FE2" w:rsidRDefault="00E83FE2" w:rsidP="0076225D">
      <w:pPr>
        <w:pStyle w:val="TOC1"/>
        <w:rPr>
          <w:rFonts w:asciiTheme="minorHAnsi" w:eastAsiaTheme="minorEastAsia" w:hAnsiTheme="minorHAnsi"/>
          <w:kern w:val="2"/>
          <w:sz w:val="24"/>
          <w:lang w:eastAsia="en-AU"/>
          <w14:ligatures w14:val="standardContextual"/>
        </w:rPr>
      </w:pPr>
      <w:r>
        <w:t>11.1</w:t>
      </w:r>
      <w:r>
        <w:rPr>
          <w:rFonts w:asciiTheme="minorHAnsi" w:eastAsiaTheme="minorEastAsia" w:hAnsiTheme="minorHAnsi"/>
          <w:kern w:val="2"/>
          <w:sz w:val="24"/>
          <w:lang w:eastAsia="en-AU"/>
          <w14:ligatures w14:val="standardContextual"/>
        </w:rPr>
        <w:tab/>
      </w:r>
      <w:r>
        <w:t>Introduction</w:t>
      </w:r>
      <w:r>
        <w:tab/>
      </w:r>
      <w:r>
        <w:fldChar w:fldCharType="begin"/>
      </w:r>
      <w:r>
        <w:instrText xml:space="preserve"> PAGEREF _Toc164606760 \h </w:instrText>
      </w:r>
      <w:r>
        <w:fldChar w:fldCharType="separate"/>
      </w:r>
      <w:r w:rsidR="00183626">
        <w:t>189</w:t>
      </w:r>
      <w:r>
        <w:fldChar w:fldCharType="end"/>
      </w:r>
    </w:p>
    <w:p w14:paraId="640A6980" w14:textId="0A3CD13F" w:rsidR="00E83FE2" w:rsidRDefault="00E83FE2" w:rsidP="0076225D">
      <w:pPr>
        <w:pStyle w:val="TOC1"/>
        <w:rPr>
          <w:rFonts w:asciiTheme="minorHAnsi" w:eastAsiaTheme="minorEastAsia" w:hAnsiTheme="minorHAnsi"/>
          <w:kern w:val="2"/>
          <w:sz w:val="24"/>
          <w:lang w:eastAsia="en-AU"/>
          <w14:ligatures w14:val="standardContextual"/>
        </w:rPr>
      </w:pPr>
      <w:r>
        <w:t>11.2</w:t>
      </w:r>
      <w:r>
        <w:rPr>
          <w:rFonts w:asciiTheme="minorHAnsi" w:eastAsiaTheme="minorEastAsia" w:hAnsiTheme="minorHAnsi"/>
          <w:kern w:val="2"/>
          <w:sz w:val="24"/>
          <w:lang w:eastAsia="en-AU"/>
          <w14:ligatures w14:val="standardContextual"/>
        </w:rPr>
        <w:tab/>
      </w:r>
      <w:r>
        <w:t>The current position at common law</w:t>
      </w:r>
      <w:r>
        <w:tab/>
      </w:r>
      <w:r>
        <w:fldChar w:fldCharType="begin"/>
      </w:r>
      <w:r>
        <w:instrText xml:space="preserve"> PAGEREF _Toc164606761 \h </w:instrText>
      </w:r>
      <w:r>
        <w:fldChar w:fldCharType="separate"/>
      </w:r>
      <w:r w:rsidR="00183626">
        <w:t>189</w:t>
      </w:r>
      <w:r>
        <w:fldChar w:fldCharType="end"/>
      </w:r>
    </w:p>
    <w:p w14:paraId="7E7E48C2" w14:textId="18F2C0D3" w:rsidR="00E83FE2" w:rsidRDefault="00E83FE2" w:rsidP="0076225D">
      <w:pPr>
        <w:pStyle w:val="TOC1"/>
        <w:rPr>
          <w:rFonts w:asciiTheme="minorHAnsi" w:eastAsiaTheme="minorEastAsia" w:hAnsiTheme="minorHAnsi"/>
          <w:kern w:val="2"/>
          <w:sz w:val="24"/>
          <w:lang w:eastAsia="en-AU"/>
          <w14:ligatures w14:val="standardContextual"/>
        </w:rPr>
      </w:pPr>
      <w:r>
        <w:t>11.3</w:t>
      </w:r>
      <w:r>
        <w:rPr>
          <w:rFonts w:asciiTheme="minorHAnsi" w:eastAsiaTheme="minorEastAsia" w:hAnsiTheme="minorHAnsi"/>
          <w:kern w:val="2"/>
          <w:sz w:val="24"/>
          <w:lang w:eastAsia="en-AU"/>
          <w14:ligatures w14:val="standardContextual"/>
        </w:rPr>
        <w:tab/>
      </w:r>
      <w:r>
        <w:t>A civil cause of action for interference with privacy</w:t>
      </w:r>
      <w:r>
        <w:tab/>
      </w:r>
      <w:r>
        <w:fldChar w:fldCharType="begin"/>
      </w:r>
      <w:r>
        <w:instrText xml:space="preserve"> PAGEREF _Toc164606762 \h </w:instrText>
      </w:r>
      <w:r>
        <w:fldChar w:fldCharType="separate"/>
      </w:r>
      <w:r w:rsidR="00183626">
        <w:t>191</w:t>
      </w:r>
      <w:r>
        <w:fldChar w:fldCharType="end"/>
      </w:r>
    </w:p>
    <w:p w14:paraId="4DBA44F2" w14:textId="1E14BDA0" w:rsidR="00E83FE2" w:rsidRDefault="00FE2822" w:rsidP="0076225D">
      <w:pPr>
        <w:pStyle w:val="TOC1"/>
        <w:rPr>
          <w:rFonts w:asciiTheme="minorHAnsi" w:eastAsiaTheme="minorEastAsia" w:hAnsiTheme="minorHAnsi"/>
          <w:kern w:val="2"/>
          <w:sz w:val="24"/>
          <w:lang w:eastAsia="en-AU"/>
          <w14:ligatures w14:val="standardContextual"/>
        </w:rPr>
      </w:pPr>
      <w:r>
        <w:rPr>
          <w:rFonts w:cs="Times New Roman"/>
        </w:rPr>
        <w:tab/>
      </w:r>
      <w:r w:rsidR="00E83FE2" w:rsidRPr="007B1607">
        <w:rPr>
          <w:rFonts w:cs="Times New Roman"/>
        </w:rPr>
        <w:t>The position in Tasmania</w:t>
      </w:r>
      <w:r w:rsidR="00E83FE2">
        <w:tab/>
      </w:r>
      <w:r w:rsidR="00E83FE2">
        <w:fldChar w:fldCharType="begin"/>
      </w:r>
      <w:r w:rsidR="00E83FE2">
        <w:instrText xml:space="preserve"> PAGEREF _Toc164606763 \h </w:instrText>
      </w:r>
      <w:r w:rsidR="00E83FE2">
        <w:fldChar w:fldCharType="separate"/>
      </w:r>
      <w:r w:rsidR="00183626">
        <w:t>191</w:t>
      </w:r>
      <w:r w:rsidR="00E83FE2">
        <w:fldChar w:fldCharType="end"/>
      </w:r>
    </w:p>
    <w:p w14:paraId="7DF3C529" w14:textId="5DCD3763" w:rsidR="00E83FE2" w:rsidRDefault="00FE2822" w:rsidP="0076225D">
      <w:pPr>
        <w:pStyle w:val="TOC1"/>
        <w:rPr>
          <w:rFonts w:asciiTheme="minorHAnsi" w:eastAsiaTheme="minorEastAsia" w:hAnsiTheme="minorHAnsi"/>
          <w:kern w:val="2"/>
          <w:sz w:val="24"/>
          <w:lang w:eastAsia="en-AU"/>
          <w14:ligatures w14:val="standardContextual"/>
        </w:rPr>
      </w:pPr>
      <w:r>
        <w:tab/>
      </w:r>
      <w:r w:rsidR="00E83FE2" w:rsidRPr="007B1607">
        <w:t>The position in other jurisdictions</w:t>
      </w:r>
      <w:r w:rsidR="00E83FE2">
        <w:tab/>
      </w:r>
      <w:r w:rsidR="00E83FE2">
        <w:fldChar w:fldCharType="begin"/>
      </w:r>
      <w:r w:rsidR="00E83FE2">
        <w:instrText xml:space="preserve"> PAGEREF _Toc164606764 \h </w:instrText>
      </w:r>
      <w:r w:rsidR="00E83FE2">
        <w:fldChar w:fldCharType="separate"/>
      </w:r>
      <w:r w:rsidR="00183626">
        <w:t>193</w:t>
      </w:r>
      <w:r w:rsidR="00E83FE2">
        <w:fldChar w:fldCharType="end"/>
      </w:r>
    </w:p>
    <w:p w14:paraId="0BDFC084" w14:textId="425F61F4" w:rsidR="00E83FE2" w:rsidRDefault="00E83FE2" w:rsidP="0076225D">
      <w:pPr>
        <w:pStyle w:val="TOC1"/>
        <w:rPr>
          <w:rFonts w:asciiTheme="minorHAnsi" w:eastAsiaTheme="minorEastAsia" w:hAnsiTheme="minorHAnsi"/>
          <w:kern w:val="2"/>
          <w:sz w:val="24"/>
          <w:lang w:eastAsia="en-AU"/>
          <w14:ligatures w14:val="standardContextual"/>
        </w:rPr>
      </w:pPr>
      <w:r>
        <w:t>11.4</w:t>
      </w:r>
      <w:r>
        <w:rPr>
          <w:rFonts w:asciiTheme="minorHAnsi" w:eastAsiaTheme="minorEastAsia" w:hAnsiTheme="minorHAnsi"/>
          <w:kern w:val="2"/>
          <w:sz w:val="24"/>
          <w:lang w:eastAsia="en-AU"/>
          <w14:ligatures w14:val="standardContextual"/>
        </w:rPr>
        <w:tab/>
      </w:r>
      <w:r>
        <w:t>The Commonwealth Privacy Act Review</w:t>
      </w:r>
      <w:r>
        <w:tab/>
      </w:r>
      <w:r>
        <w:fldChar w:fldCharType="begin"/>
      </w:r>
      <w:r>
        <w:instrText xml:space="preserve"> PAGEREF _Toc164606765 \h </w:instrText>
      </w:r>
      <w:r>
        <w:fldChar w:fldCharType="separate"/>
      </w:r>
      <w:r w:rsidR="00183626">
        <w:t>195</w:t>
      </w:r>
      <w:r>
        <w:fldChar w:fldCharType="end"/>
      </w:r>
    </w:p>
    <w:p w14:paraId="21E93CEE" w14:textId="39AD9B94" w:rsidR="00E83FE2" w:rsidRDefault="00E83FE2" w:rsidP="0076225D">
      <w:pPr>
        <w:pStyle w:val="TOC1"/>
        <w:rPr>
          <w:rFonts w:asciiTheme="minorHAnsi" w:eastAsiaTheme="minorEastAsia" w:hAnsiTheme="minorHAnsi"/>
          <w:kern w:val="2"/>
          <w:sz w:val="24"/>
          <w:lang w:eastAsia="en-AU"/>
          <w14:ligatures w14:val="standardContextual"/>
        </w:rPr>
      </w:pPr>
      <w:r>
        <w:t>11.5</w:t>
      </w:r>
      <w:r>
        <w:rPr>
          <w:rFonts w:asciiTheme="minorHAnsi" w:eastAsiaTheme="minorEastAsia" w:hAnsiTheme="minorHAnsi"/>
          <w:kern w:val="2"/>
          <w:sz w:val="24"/>
          <w:lang w:eastAsia="en-AU"/>
          <w14:ligatures w14:val="standardContextual"/>
        </w:rPr>
        <w:tab/>
      </w:r>
      <w:r>
        <w:t>Consultation</w:t>
      </w:r>
      <w:r>
        <w:tab/>
      </w:r>
      <w:r>
        <w:fldChar w:fldCharType="begin"/>
      </w:r>
      <w:r>
        <w:instrText xml:space="preserve"> PAGEREF _Toc164606766 \h </w:instrText>
      </w:r>
      <w:r>
        <w:fldChar w:fldCharType="separate"/>
      </w:r>
      <w:r w:rsidR="00183626">
        <w:t>196</w:t>
      </w:r>
      <w:r>
        <w:fldChar w:fldCharType="end"/>
      </w:r>
    </w:p>
    <w:p w14:paraId="0BD33A0D" w14:textId="42F8D1BD" w:rsidR="00E83FE2" w:rsidRDefault="00E83FE2" w:rsidP="0076225D">
      <w:pPr>
        <w:pStyle w:val="TOC1"/>
        <w:rPr>
          <w:rFonts w:asciiTheme="minorHAnsi" w:eastAsiaTheme="minorEastAsia" w:hAnsiTheme="minorHAnsi"/>
          <w:kern w:val="2"/>
          <w:sz w:val="24"/>
          <w:lang w:eastAsia="en-AU"/>
          <w14:ligatures w14:val="standardContextual"/>
        </w:rPr>
      </w:pPr>
      <w:r>
        <w:t>11.6</w:t>
      </w:r>
      <w:r>
        <w:rPr>
          <w:rFonts w:asciiTheme="minorHAnsi" w:eastAsiaTheme="minorEastAsia" w:hAnsiTheme="minorHAnsi"/>
          <w:kern w:val="2"/>
          <w:sz w:val="24"/>
          <w:lang w:eastAsia="en-AU"/>
          <w14:ligatures w14:val="standardContextual"/>
        </w:rPr>
        <w:tab/>
      </w:r>
      <w:r>
        <w:t>The TLRI’s view</w:t>
      </w:r>
      <w:r>
        <w:tab/>
      </w:r>
      <w:r>
        <w:fldChar w:fldCharType="begin"/>
      </w:r>
      <w:r>
        <w:instrText xml:space="preserve"> PAGEREF _Toc164606767 \h </w:instrText>
      </w:r>
      <w:r>
        <w:fldChar w:fldCharType="separate"/>
      </w:r>
      <w:r w:rsidR="00183626">
        <w:t>197</w:t>
      </w:r>
      <w:r>
        <w:fldChar w:fldCharType="end"/>
      </w:r>
    </w:p>
    <w:p w14:paraId="4166B20E" w14:textId="4EC43876" w:rsidR="00E83FE2" w:rsidRDefault="00E83FE2" w:rsidP="0076225D">
      <w:pPr>
        <w:pStyle w:val="TOC1"/>
        <w:rPr>
          <w:rFonts w:asciiTheme="minorHAnsi" w:eastAsiaTheme="minorEastAsia" w:hAnsiTheme="minorHAnsi"/>
          <w:kern w:val="2"/>
          <w:sz w:val="24"/>
          <w:lang w:eastAsia="en-AU"/>
          <w14:ligatures w14:val="standardContextual"/>
        </w:rPr>
      </w:pPr>
      <w:r>
        <w:t>11.7</w:t>
      </w:r>
      <w:r>
        <w:rPr>
          <w:rFonts w:asciiTheme="minorHAnsi" w:eastAsiaTheme="minorEastAsia" w:hAnsiTheme="minorHAnsi"/>
          <w:kern w:val="2"/>
          <w:sz w:val="24"/>
          <w:lang w:eastAsia="en-AU"/>
          <w14:ligatures w14:val="standardContextual"/>
        </w:rPr>
        <w:tab/>
      </w:r>
      <w:r>
        <w:t>Recommendation</w:t>
      </w:r>
      <w:r w:rsidR="0034395E">
        <w:t xml:space="preserve"> 63</w:t>
      </w:r>
      <w:r>
        <w:tab/>
      </w:r>
      <w:r>
        <w:fldChar w:fldCharType="begin"/>
      </w:r>
      <w:r>
        <w:instrText xml:space="preserve"> PAGEREF _Toc164606768 \h </w:instrText>
      </w:r>
      <w:r>
        <w:fldChar w:fldCharType="separate"/>
      </w:r>
      <w:r w:rsidR="00183626">
        <w:t>198</w:t>
      </w:r>
      <w:r>
        <w:fldChar w:fldCharType="end"/>
      </w:r>
    </w:p>
    <w:p w14:paraId="1FF7E8E2" w14:textId="7BA6481C" w:rsidR="00E83FE2" w:rsidRDefault="00E83FE2" w:rsidP="0076225D">
      <w:pPr>
        <w:pStyle w:val="TOC1"/>
        <w:rPr>
          <w:rFonts w:asciiTheme="minorHAnsi" w:eastAsiaTheme="minorEastAsia" w:hAnsiTheme="minorHAnsi"/>
          <w:kern w:val="2"/>
          <w:sz w:val="24"/>
          <w:lang w:eastAsia="en-AU"/>
          <w14:ligatures w14:val="standardContextual"/>
        </w:rPr>
      </w:pPr>
      <w:r w:rsidRPr="007B1607">
        <w:rPr>
          <w:rFonts w:cs="Times New Roman"/>
          <w:lang w:val="en-GB"/>
        </w:rPr>
        <w:t>Appendix 1</w:t>
      </w:r>
      <w:r w:rsidR="0034395E">
        <w:rPr>
          <w:rFonts w:cs="Times New Roman"/>
          <w:lang w:val="en-GB"/>
        </w:rPr>
        <w:t xml:space="preserve">: </w:t>
      </w:r>
      <w:r w:rsidRPr="007B1607">
        <w:rPr>
          <w:lang w:val="en-GB"/>
        </w:rPr>
        <w:t>State and Territory Protection of Privacy</w:t>
      </w:r>
      <w:r>
        <w:tab/>
      </w:r>
      <w:r>
        <w:fldChar w:fldCharType="begin"/>
      </w:r>
      <w:r>
        <w:instrText xml:space="preserve"> PAGEREF _Toc164606770 \h </w:instrText>
      </w:r>
      <w:r>
        <w:fldChar w:fldCharType="separate"/>
      </w:r>
      <w:r w:rsidR="00183626">
        <w:t>199</w:t>
      </w:r>
      <w:r>
        <w:fldChar w:fldCharType="end"/>
      </w:r>
    </w:p>
    <w:p w14:paraId="21A83914" w14:textId="0FF295D0" w:rsidR="00E83FE2" w:rsidRDefault="00E83FE2" w:rsidP="0076225D">
      <w:pPr>
        <w:pStyle w:val="TOC1"/>
        <w:rPr>
          <w:rFonts w:asciiTheme="minorHAnsi" w:eastAsiaTheme="minorEastAsia" w:hAnsiTheme="minorHAnsi"/>
          <w:kern w:val="2"/>
          <w:sz w:val="24"/>
          <w:lang w:eastAsia="en-AU"/>
          <w14:ligatures w14:val="standardContextual"/>
        </w:rPr>
      </w:pPr>
      <w:r w:rsidRPr="007B1607">
        <w:rPr>
          <w:rFonts w:cs="Times New Roman"/>
          <w:lang w:val="en-GB"/>
        </w:rPr>
        <w:t>Appendix 2</w:t>
      </w:r>
      <w:r w:rsidR="0034395E">
        <w:rPr>
          <w:rFonts w:cs="Times New Roman"/>
          <w:lang w:val="en-GB"/>
        </w:rPr>
        <w:t xml:space="preserve">: </w:t>
      </w:r>
      <w:r w:rsidRPr="007B1607">
        <w:rPr>
          <w:rFonts w:cs="Times New Roman"/>
          <w:lang w:val="en-GB"/>
        </w:rPr>
        <w:t>Law Reform Projects</w:t>
      </w:r>
      <w:r>
        <w:tab/>
      </w:r>
      <w:r>
        <w:fldChar w:fldCharType="begin"/>
      </w:r>
      <w:r>
        <w:instrText xml:space="preserve"> PAGEREF _Toc164606772 \h </w:instrText>
      </w:r>
      <w:r>
        <w:fldChar w:fldCharType="separate"/>
      </w:r>
      <w:r w:rsidR="00183626">
        <w:t>202</w:t>
      </w:r>
      <w:r>
        <w:fldChar w:fldCharType="end"/>
      </w:r>
    </w:p>
    <w:p w14:paraId="3E541FAA" w14:textId="4DA281E4" w:rsidR="00FF302D" w:rsidRPr="00113F13" w:rsidRDefault="00D73A62" w:rsidP="00FF302D">
      <w:pPr>
        <w:pStyle w:val="Heading1"/>
        <w:spacing w:before="0"/>
        <w:rPr>
          <w:rFonts w:ascii="Times New Roman" w:hAnsi="Times New Roman" w:cs="Times New Roman"/>
        </w:rPr>
      </w:pPr>
      <w:r>
        <w:rPr>
          <w:rFonts w:ascii="Times New Roman" w:eastAsiaTheme="minorHAnsi" w:hAnsi="Times New Roman" w:cs="Times New Roman"/>
          <w:color w:val="auto"/>
          <w:sz w:val="22"/>
          <w:szCs w:val="24"/>
        </w:rPr>
        <w:fldChar w:fldCharType="end"/>
      </w:r>
      <w:r w:rsidR="00FF302D" w:rsidRPr="00113F13">
        <w:rPr>
          <w:rFonts w:ascii="Times New Roman" w:hAnsi="Times New Roman" w:cs="Times New Roman"/>
        </w:rPr>
        <w:br w:type="page"/>
      </w:r>
    </w:p>
    <w:p w14:paraId="3C4F9207" w14:textId="77777777" w:rsidR="00FF302D" w:rsidRPr="00113F13" w:rsidRDefault="00FF302D" w:rsidP="00113F13">
      <w:pPr>
        <w:pStyle w:val="Headingunnumbered"/>
        <w:rPr>
          <w:rFonts w:cs="Times New Roman"/>
        </w:rPr>
      </w:pPr>
      <w:bookmarkStart w:id="2" w:name="_Toc164606486"/>
      <w:r w:rsidRPr="00113F13">
        <w:rPr>
          <w:rFonts w:cs="Times New Roman"/>
        </w:rPr>
        <w:lastRenderedPageBreak/>
        <w:t>About the Tasmania Law Reform Institute</w:t>
      </w:r>
      <w:bookmarkEnd w:id="0"/>
      <w:bookmarkEnd w:id="2"/>
      <w:r w:rsidRPr="00113F13">
        <w:rPr>
          <w:rFonts w:cs="Times New Roman"/>
        </w:rPr>
        <w:t xml:space="preserve"> </w:t>
      </w:r>
    </w:p>
    <w:p w14:paraId="53A1E524" w14:textId="77777777" w:rsidR="00FF302D" w:rsidRPr="00DB799F" w:rsidRDefault="00FF302D" w:rsidP="00FF302D">
      <w:pPr>
        <w:pStyle w:val="BodyText"/>
        <w:spacing w:before="226" w:line="252" w:lineRule="auto"/>
        <w:ind w:right="116"/>
        <w:rPr>
          <w:rFonts w:ascii="Times New Roman" w:hAnsi="Times New Roman" w:cs="Times New Roman"/>
          <w:b w:val="0"/>
          <w:w w:val="105"/>
          <w:sz w:val="22"/>
          <w:szCs w:val="22"/>
        </w:rPr>
      </w:pPr>
      <w:r w:rsidRPr="00DB799F">
        <w:rPr>
          <w:rFonts w:ascii="Times New Roman" w:hAnsi="Times New Roman" w:cs="Times New Roman"/>
          <w:b w:val="0"/>
          <w:w w:val="105"/>
          <w:sz w:val="22"/>
          <w:szCs w:val="22"/>
        </w:rPr>
        <w:t>The Tasmania Law Reform Institute</w:t>
      </w:r>
      <w:r w:rsidRPr="00DB799F">
        <w:rPr>
          <w:rFonts w:ascii="Times New Roman" w:hAnsi="Times New Roman" w:cs="Times New Roman"/>
          <w:b w:val="0"/>
          <w:w w:val="105"/>
          <w:sz w:val="22"/>
          <w:szCs w:val="22"/>
          <w:lang w:val="en-AU"/>
        </w:rPr>
        <w:t xml:space="preserve"> </w:t>
      </w:r>
      <w:r w:rsidRPr="00DB799F">
        <w:rPr>
          <w:rFonts w:ascii="Times New Roman" w:hAnsi="Times New Roman" w:cs="Times New Roman"/>
          <w:b w:val="0"/>
          <w:w w:val="105"/>
          <w:sz w:val="22"/>
          <w:szCs w:val="22"/>
        </w:rPr>
        <w:t>is Tasmania’s peak independent law reform body. The</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Institute</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was</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established</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on</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23</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July</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2001</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by</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agreement</w:t>
      </w:r>
      <w:r w:rsidRPr="00DB799F">
        <w:rPr>
          <w:rFonts w:ascii="Times New Roman" w:hAnsi="Times New Roman" w:cs="Times New Roman"/>
          <w:b w:val="0"/>
          <w:spacing w:val="36"/>
          <w:w w:val="105"/>
          <w:sz w:val="22"/>
          <w:szCs w:val="22"/>
        </w:rPr>
        <w:t xml:space="preserve"> </w:t>
      </w:r>
      <w:r w:rsidRPr="00DB799F">
        <w:rPr>
          <w:rFonts w:ascii="Times New Roman" w:hAnsi="Times New Roman" w:cs="Times New Roman"/>
          <w:b w:val="0"/>
          <w:w w:val="105"/>
          <w:sz w:val="22"/>
          <w:szCs w:val="22"/>
        </w:rPr>
        <w:t>between</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the</w:t>
      </w:r>
      <w:r w:rsidRPr="00DB799F">
        <w:rPr>
          <w:rFonts w:ascii="Times New Roman" w:hAnsi="Times New Roman" w:cs="Times New Roman"/>
          <w:b w:val="0"/>
          <w:w w:val="102"/>
          <w:sz w:val="22"/>
          <w:szCs w:val="22"/>
        </w:rPr>
        <w:t xml:space="preserve"> </w:t>
      </w:r>
      <w:r w:rsidRPr="00DB799F">
        <w:rPr>
          <w:rFonts w:ascii="Times New Roman" w:hAnsi="Times New Roman" w:cs="Times New Roman"/>
          <w:b w:val="0"/>
          <w:w w:val="105"/>
          <w:sz w:val="22"/>
          <w:szCs w:val="22"/>
        </w:rPr>
        <w:t>Government of the State of Tasmania, the University of Tasmania and The Law Society of</w:t>
      </w:r>
      <w:r w:rsidRPr="00DB799F">
        <w:rPr>
          <w:rFonts w:ascii="Times New Roman" w:hAnsi="Times New Roman" w:cs="Times New Roman"/>
          <w:b w:val="0"/>
          <w:spacing w:val="23"/>
          <w:w w:val="105"/>
          <w:sz w:val="22"/>
          <w:szCs w:val="22"/>
        </w:rPr>
        <w:t xml:space="preserve"> </w:t>
      </w:r>
      <w:r w:rsidRPr="00DB799F">
        <w:rPr>
          <w:rFonts w:ascii="Times New Roman" w:hAnsi="Times New Roman" w:cs="Times New Roman"/>
          <w:b w:val="0"/>
          <w:w w:val="105"/>
          <w:sz w:val="22"/>
          <w:szCs w:val="22"/>
        </w:rPr>
        <w:t>Tasmania.</w:t>
      </w:r>
      <w:r w:rsidRPr="00DB799F">
        <w:rPr>
          <w:rFonts w:ascii="Times New Roman" w:hAnsi="Times New Roman" w:cs="Times New Roman"/>
          <w:b w:val="0"/>
          <w:w w:val="102"/>
          <w:sz w:val="22"/>
          <w:szCs w:val="22"/>
        </w:rPr>
        <w:t xml:space="preserve"> </w:t>
      </w:r>
      <w:r w:rsidRPr="00DB799F">
        <w:rPr>
          <w:rFonts w:ascii="Times New Roman" w:hAnsi="Times New Roman" w:cs="Times New Roman"/>
          <w:b w:val="0"/>
          <w:w w:val="105"/>
          <w:sz w:val="22"/>
          <w:szCs w:val="22"/>
        </w:rPr>
        <w:t>The creation of the Institute was part of a Partnership Agreement between the University and the</w:t>
      </w:r>
      <w:r w:rsidRPr="00DB799F">
        <w:rPr>
          <w:rFonts w:ascii="Times New Roman" w:hAnsi="Times New Roman" w:cs="Times New Roman"/>
          <w:b w:val="0"/>
          <w:spacing w:val="-36"/>
          <w:w w:val="105"/>
          <w:sz w:val="22"/>
          <w:szCs w:val="22"/>
        </w:rPr>
        <w:t xml:space="preserve"> </w:t>
      </w:r>
      <w:r w:rsidRPr="00DB799F">
        <w:rPr>
          <w:rFonts w:ascii="Times New Roman" w:hAnsi="Times New Roman" w:cs="Times New Roman"/>
          <w:b w:val="0"/>
          <w:w w:val="105"/>
          <w:sz w:val="22"/>
          <w:szCs w:val="22"/>
        </w:rPr>
        <w:t>State</w:t>
      </w:r>
      <w:r w:rsidRPr="00DB799F">
        <w:rPr>
          <w:rFonts w:ascii="Times New Roman" w:hAnsi="Times New Roman" w:cs="Times New Roman"/>
          <w:b w:val="0"/>
          <w:w w:val="102"/>
          <w:sz w:val="22"/>
          <w:szCs w:val="22"/>
        </w:rPr>
        <w:t xml:space="preserve"> </w:t>
      </w:r>
      <w:r w:rsidRPr="00DB799F">
        <w:rPr>
          <w:rFonts w:ascii="Times New Roman" w:hAnsi="Times New Roman" w:cs="Times New Roman"/>
          <w:b w:val="0"/>
          <w:w w:val="105"/>
          <w:sz w:val="22"/>
          <w:szCs w:val="22"/>
        </w:rPr>
        <w:t>Government</w:t>
      </w:r>
      <w:r w:rsidRPr="00DB799F">
        <w:rPr>
          <w:rFonts w:ascii="Times New Roman" w:hAnsi="Times New Roman" w:cs="Times New Roman"/>
          <w:b w:val="0"/>
          <w:spacing w:val="29"/>
          <w:w w:val="105"/>
          <w:sz w:val="22"/>
          <w:szCs w:val="22"/>
        </w:rPr>
        <w:t xml:space="preserve"> </w:t>
      </w:r>
      <w:r w:rsidRPr="00DB799F">
        <w:rPr>
          <w:rFonts w:ascii="Times New Roman" w:hAnsi="Times New Roman" w:cs="Times New Roman"/>
          <w:b w:val="0"/>
          <w:w w:val="105"/>
          <w:sz w:val="22"/>
          <w:szCs w:val="22"/>
        </w:rPr>
        <w:t>signed</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in</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2000.</w:t>
      </w:r>
      <w:r w:rsidRPr="00DB799F">
        <w:rPr>
          <w:rFonts w:ascii="Times New Roman" w:hAnsi="Times New Roman" w:cs="Times New Roman"/>
          <w:b w:val="0"/>
          <w:spacing w:val="29"/>
          <w:w w:val="105"/>
          <w:sz w:val="22"/>
          <w:szCs w:val="22"/>
        </w:rPr>
        <w:t xml:space="preserve"> </w:t>
      </w:r>
      <w:r w:rsidRPr="00DB799F">
        <w:rPr>
          <w:rFonts w:ascii="Times New Roman" w:hAnsi="Times New Roman" w:cs="Times New Roman"/>
          <w:b w:val="0"/>
          <w:w w:val="105"/>
          <w:sz w:val="22"/>
          <w:szCs w:val="22"/>
        </w:rPr>
        <w:t>The</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Institute</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is</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based</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at</w:t>
      </w:r>
      <w:r w:rsidRPr="00DB799F">
        <w:rPr>
          <w:rFonts w:ascii="Times New Roman" w:hAnsi="Times New Roman" w:cs="Times New Roman"/>
          <w:b w:val="0"/>
          <w:spacing w:val="29"/>
          <w:w w:val="105"/>
          <w:sz w:val="22"/>
          <w:szCs w:val="22"/>
        </w:rPr>
        <w:t xml:space="preserve"> </w:t>
      </w:r>
      <w:r w:rsidRPr="00DB799F">
        <w:rPr>
          <w:rFonts w:ascii="Times New Roman" w:hAnsi="Times New Roman" w:cs="Times New Roman"/>
          <w:b w:val="0"/>
          <w:w w:val="105"/>
          <w:sz w:val="22"/>
          <w:szCs w:val="22"/>
        </w:rPr>
        <w:t>the</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Sandy</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Bay</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campus</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of</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the</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University</w:t>
      </w:r>
      <w:r w:rsidRPr="00DB799F">
        <w:rPr>
          <w:rFonts w:ascii="Times New Roman" w:hAnsi="Times New Roman" w:cs="Times New Roman"/>
          <w:b w:val="0"/>
          <w:spacing w:val="30"/>
          <w:w w:val="105"/>
          <w:sz w:val="22"/>
          <w:szCs w:val="22"/>
        </w:rPr>
        <w:t xml:space="preserve"> </w:t>
      </w:r>
      <w:r w:rsidRPr="00DB799F">
        <w:rPr>
          <w:rFonts w:ascii="Times New Roman" w:hAnsi="Times New Roman" w:cs="Times New Roman"/>
          <w:b w:val="0"/>
          <w:w w:val="105"/>
          <w:sz w:val="22"/>
          <w:szCs w:val="22"/>
        </w:rPr>
        <w:t>of</w:t>
      </w:r>
      <w:r w:rsidRPr="00DB799F">
        <w:rPr>
          <w:rFonts w:ascii="Times New Roman" w:hAnsi="Times New Roman" w:cs="Times New Roman"/>
          <w:b w:val="0"/>
          <w:w w:val="102"/>
          <w:sz w:val="22"/>
          <w:szCs w:val="22"/>
        </w:rPr>
        <w:t xml:space="preserve"> </w:t>
      </w:r>
      <w:r w:rsidRPr="00DB799F">
        <w:rPr>
          <w:rFonts w:ascii="Times New Roman" w:hAnsi="Times New Roman" w:cs="Times New Roman"/>
          <w:b w:val="0"/>
          <w:w w:val="105"/>
          <w:sz w:val="22"/>
          <w:szCs w:val="22"/>
        </w:rPr>
        <w:t>Tasmania within the Faculty of Law. The Institute undertakes law reform work and research on</w:t>
      </w:r>
      <w:r w:rsidRPr="00DB799F">
        <w:rPr>
          <w:rFonts w:ascii="Times New Roman" w:hAnsi="Times New Roman" w:cs="Times New Roman"/>
          <w:b w:val="0"/>
          <w:spacing w:val="-13"/>
          <w:w w:val="105"/>
          <w:sz w:val="22"/>
          <w:szCs w:val="22"/>
        </w:rPr>
        <w:t xml:space="preserve"> </w:t>
      </w:r>
      <w:r w:rsidRPr="00DB799F">
        <w:rPr>
          <w:rFonts w:ascii="Times New Roman" w:hAnsi="Times New Roman" w:cs="Times New Roman"/>
          <w:b w:val="0"/>
          <w:w w:val="105"/>
          <w:sz w:val="22"/>
          <w:szCs w:val="22"/>
        </w:rPr>
        <w:t>topics</w:t>
      </w:r>
      <w:r w:rsidRPr="00DB799F">
        <w:rPr>
          <w:rFonts w:ascii="Times New Roman" w:hAnsi="Times New Roman" w:cs="Times New Roman"/>
          <w:b w:val="0"/>
          <w:spacing w:val="1"/>
          <w:w w:val="102"/>
          <w:sz w:val="22"/>
          <w:szCs w:val="22"/>
        </w:rPr>
        <w:t xml:space="preserve"> </w:t>
      </w:r>
      <w:r w:rsidRPr="00DB799F">
        <w:rPr>
          <w:rFonts w:ascii="Times New Roman" w:hAnsi="Times New Roman" w:cs="Times New Roman"/>
          <w:b w:val="0"/>
          <w:w w:val="105"/>
          <w:sz w:val="22"/>
          <w:szCs w:val="22"/>
        </w:rPr>
        <w:t>proposed by the Government, the community, the University and the Institute</w:t>
      </w:r>
      <w:r w:rsidRPr="00DB799F">
        <w:rPr>
          <w:rFonts w:ascii="Times New Roman" w:hAnsi="Times New Roman" w:cs="Times New Roman"/>
          <w:b w:val="0"/>
          <w:spacing w:val="-37"/>
          <w:w w:val="105"/>
          <w:sz w:val="22"/>
          <w:szCs w:val="22"/>
        </w:rPr>
        <w:t xml:space="preserve"> </w:t>
      </w:r>
      <w:r w:rsidRPr="00DB799F">
        <w:rPr>
          <w:rFonts w:ascii="Times New Roman" w:hAnsi="Times New Roman" w:cs="Times New Roman"/>
          <w:b w:val="0"/>
          <w:w w:val="105"/>
          <w:sz w:val="22"/>
          <w:szCs w:val="22"/>
        </w:rPr>
        <w:t>itself.</w:t>
      </w:r>
    </w:p>
    <w:p w14:paraId="04E084AD" w14:textId="77777777" w:rsidR="00FF302D" w:rsidRPr="00113F13" w:rsidRDefault="00FF302D" w:rsidP="00FF302D">
      <w:pPr>
        <w:pStyle w:val="BodyText"/>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work of the Institute is to conduct impartial and independent reviews or research on areas of law and legal policy in order to provide independent and impartial advice and recommendations on the area investigated, with a view to, or for the purposes of:</w:t>
      </w:r>
    </w:p>
    <w:p w14:paraId="344E9839"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modernisation of the law; and/or</w:t>
      </w:r>
    </w:p>
    <w:p w14:paraId="46327F19"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elimination of defects in the law; and/or</w:t>
      </w:r>
    </w:p>
    <w:p w14:paraId="1A42CB5C"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simplification of the law; and/or</w:t>
      </w:r>
    </w:p>
    <w:p w14:paraId="0F8043C5"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consolidation of any laws; and/or</w:t>
      </w:r>
    </w:p>
    <w:p w14:paraId="46B48AA6"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repeal of laws that are obsolete or unnecessary; and/or</w:t>
      </w:r>
    </w:p>
    <w:p w14:paraId="1737D0FB"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adopting new or more effective methods for administering the law and dispensing justice; and/or</w:t>
      </w:r>
    </w:p>
    <w:p w14:paraId="5358FC62"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providing improved access to justice; and/or</w:t>
      </w:r>
    </w:p>
    <w:p w14:paraId="17D71538"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uniformity between laws of other states, territories and the Commonwealth; and/or</w:t>
      </w:r>
    </w:p>
    <w:p w14:paraId="3155C21D"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codification of laws; and/or</w:t>
      </w:r>
    </w:p>
    <w:p w14:paraId="420491ED" w14:textId="77777777" w:rsidR="00FF302D" w:rsidRPr="00113F13" w:rsidRDefault="00FF302D" w:rsidP="00B63604">
      <w:pPr>
        <w:pStyle w:val="BodyText"/>
        <w:numPr>
          <w:ilvl w:val="0"/>
          <w:numId w:val="1"/>
        </w:numPr>
        <w:spacing w:before="226" w:line="252" w:lineRule="auto"/>
        <w:ind w:right="116"/>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promoting equality before the law</w:t>
      </w:r>
      <w:r w:rsidRPr="00113F13">
        <w:rPr>
          <w:rFonts w:ascii="Times New Roman" w:hAnsi="Times New Roman" w:cs="Times New Roman"/>
          <w:b w:val="0"/>
          <w:bCs/>
          <w:w w:val="105"/>
          <w:sz w:val="22"/>
          <w:szCs w:val="22"/>
          <w:lang w:val="en-AU"/>
        </w:rPr>
        <w:t>.</w:t>
      </w:r>
    </w:p>
    <w:p w14:paraId="445EFE33" w14:textId="7A8A68A3" w:rsidR="00FF302D" w:rsidRPr="00113F13" w:rsidRDefault="00FF302D" w:rsidP="00B530E7">
      <w:pPr>
        <w:pStyle w:val="BodyText"/>
        <w:spacing w:before="360" w:line="250" w:lineRule="auto"/>
        <w:ind w:right="113"/>
        <w:rPr>
          <w:rFonts w:ascii="Times New Roman" w:hAnsi="Times New Roman" w:cs="Times New Roman"/>
          <w:b w:val="0"/>
          <w:w w:val="105"/>
          <w:sz w:val="22"/>
          <w:szCs w:val="22"/>
          <w:lang w:val="en-AU"/>
        </w:rPr>
      </w:pPr>
      <w:r w:rsidRPr="00113F13">
        <w:rPr>
          <w:rFonts w:ascii="Times New Roman" w:hAnsi="Times New Roman" w:cs="Times New Roman"/>
          <w:b w:val="0"/>
          <w:w w:val="105"/>
          <w:sz w:val="22"/>
          <w:szCs w:val="22"/>
        </w:rPr>
        <w:t xml:space="preserve">The Institute’s Director is Professor </w:t>
      </w:r>
      <w:r w:rsidRPr="00113F13">
        <w:rPr>
          <w:rFonts w:ascii="Times New Roman" w:hAnsi="Times New Roman" w:cs="Times New Roman"/>
          <w:b w:val="0"/>
          <w:w w:val="105"/>
          <w:sz w:val="22"/>
          <w:szCs w:val="22"/>
          <w:lang w:val="en-AU"/>
        </w:rPr>
        <w:t>Jeremy Prichard</w:t>
      </w:r>
      <w:r w:rsidRPr="00113F13">
        <w:rPr>
          <w:rFonts w:ascii="Times New Roman" w:hAnsi="Times New Roman" w:cs="Times New Roman"/>
          <w:b w:val="0"/>
          <w:w w:val="105"/>
          <w:sz w:val="22"/>
          <w:szCs w:val="22"/>
        </w:rPr>
        <w:t xml:space="preserve"> of the University of</w:t>
      </w:r>
      <w:r w:rsidRPr="00113F13">
        <w:rPr>
          <w:rFonts w:ascii="Times New Roman" w:hAnsi="Times New Roman" w:cs="Times New Roman"/>
          <w:b w:val="0"/>
          <w:spacing w:val="43"/>
          <w:w w:val="105"/>
          <w:sz w:val="22"/>
          <w:szCs w:val="22"/>
        </w:rPr>
        <w:t xml:space="preserve"> </w:t>
      </w:r>
      <w:r w:rsidRPr="00113F13">
        <w:rPr>
          <w:rFonts w:ascii="Times New Roman" w:hAnsi="Times New Roman" w:cs="Times New Roman"/>
          <w:b w:val="0"/>
          <w:w w:val="105"/>
          <w:sz w:val="22"/>
          <w:szCs w:val="22"/>
        </w:rPr>
        <w:t>Tasmania</w:t>
      </w:r>
      <w:r w:rsidRPr="00113F13">
        <w:rPr>
          <w:rFonts w:ascii="Times New Roman" w:hAnsi="Times New Roman" w:cs="Times New Roman"/>
          <w:b w:val="0"/>
          <w:w w:val="102"/>
          <w:sz w:val="22"/>
          <w:szCs w:val="22"/>
        </w:rPr>
        <w:t xml:space="preserve"> </w:t>
      </w:r>
      <w:r w:rsidRPr="00113F13">
        <w:rPr>
          <w:rFonts w:ascii="Times New Roman" w:hAnsi="Times New Roman" w:cs="Times New Roman"/>
          <w:b w:val="0"/>
          <w:w w:val="105"/>
          <w:sz w:val="22"/>
          <w:szCs w:val="22"/>
        </w:rPr>
        <w:t>(appointed by the Vice-Chancellor of the University of Tasmania). The members of the Board of</w:t>
      </w:r>
      <w:r w:rsidRPr="00113F13">
        <w:rPr>
          <w:rFonts w:ascii="Times New Roman" w:hAnsi="Times New Roman" w:cs="Times New Roman"/>
          <w:b w:val="0"/>
          <w:spacing w:val="16"/>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w w:val="102"/>
          <w:sz w:val="22"/>
          <w:szCs w:val="22"/>
        </w:rPr>
        <w:t xml:space="preserve"> </w:t>
      </w:r>
      <w:r w:rsidRPr="00113F13">
        <w:rPr>
          <w:rFonts w:ascii="Times New Roman" w:hAnsi="Times New Roman" w:cs="Times New Roman"/>
          <w:b w:val="0"/>
          <w:w w:val="105"/>
          <w:sz w:val="22"/>
          <w:szCs w:val="22"/>
        </w:rPr>
        <w:t xml:space="preserve">Institute are: </w:t>
      </w:r>
      <w:r w:rsidRPr="00113F13">
        <w:rPr>
          <w:rFonts w:ascii="Times New Roman" w:hAnsi="Times New Roman" w:cs="Times New Roman"/>
          <w:b w:val="0"/>
          <w:sz w:val="22"/>
          <w:szCs w:val="22"/>
        </w:rPr>
        <w:t xml:space="preserve">Craig Mackie (Chair, appointed by the Tasmanian Bar Association), </w:t>
      </w:r>
      <w:r w:rsidRPr="00113F13">
        <w:rPr>
          <w:rFonts w:ascii="Times New Roman" w:hAnsi="Times New Roman" w:cs="Times New Roman"/>
          <w:b w:val="0"/>
          <w:w w:val="105"/>
          <w:sz w:val="22"/>
          <w:szCs w:val="22"/>
        </w:rPr>
        <w:t xml:space="preserve">Professor </w:t>
      </w:r>
      <w:r w:rsidRPr="00113F13">
        <w:rPr>
          <w:rFonts w:ascii="Times New Roman" w:hAnsi="Times New Roman" w:cs="Times New Roman"/>
          <w:b w:val="0"/>
          <w:w w:val="105"/>
          <w:sz w:val="22"/>
          <w:szCs w:val="22"/>
          <w:lang w:val="en-AU"/>
        </w:rPr>
        <w:t>Gino Dal Pont</w:t>
      </w:r>
      <w:r w:rsidRPr="00113F13">
        <w:rPr>
          <w:rFonts w:ascii="Times New Roman" w:hAnsi="Times New Roman" w:cs="Times New Roman"/>
          <w:b w:val="0"/>
          <w:w w:val="105"/>
          <w:sz w:val="22"/>
          <w:szCs w:val="22"/>
        </w:rPr>
        <w:t xml:space="preserve"> (</w:t>
      </w:r>
      <w:r w:rsidRPr="00113F13">
        <w:rPr>
          <w:rFonts w:ascii="Times New Roman" w:hAnsi="Times New Roman" w:cs="Times New Roman"/>
          <w:b w:val="0"/>
          <w:w w:val="105"/>
          <w:sz w:val="22"/>
          <w:szCs w:val="22"/>
          <w:lang w:val="en-AU"/>
        </w:rPr>
        <w:t xml:space="preserve">Interim </w:t>
      </w:r>
      <w:r w:rsidRPr="00113F13">
        <w:rPr>
          <w:rFonts w:ascii="Times New Roman" w:hAnsi="Times New Roman" w:cs="Times New Roman"/>
          <w:b w:val="0"/>
          <w:w w:val="105"/>
          <w:sz w:val="22"/>
          <w:szCs w:val="22"/>
        </w:rPr>
        <w:t>Dean of</w:t>
      </w:r>
      <w:r w:rsidRPr="00113F13">
        <w:rPr>
          <w:rFonts w:ascii="Times New Roman" w:hAnsi="Times New Roman" w:cs="Times New Roman"/>
          <w:b w:val="0"/>
          <w:spacing w:val="45"/>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w w:val="102"/>
          <w:sz w:val="22"/>
          <w:szCs w:val="22"/>
        </w:rPr>
        <w:t xml:space="preserve"> </w:t>
      </w:r>
      <w:r w:rsidRPr="00113F13">
        <w:rPr>
          <w:rFonts w:ascii="Times New Roman" w:hAnsi="Times New Roman" w:cs="Times New Roman"/>
          <w:b w:val="0"/>
          <w:w w:val="105"/>
          <w:sz w:val="22"/>
          <w:szCs w:val="22"/>
        </w:rPr>
        <w:t>Faculty of Law at the University of Tasmania), the Honourable Justice Helen Wood (appointed by</w:t>
      </w:r>
      <w:r w:rsidRPr="00113F13">
        <w:rPr>
          <w:rFonts w:ascii="Times New Roman" w:hAnsi="Times New Roman" w:cs="Times New Roman"/>
          <w:b w:val="0"/>
          <w:spacing w:val="-10"/>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w w:val="102"/>
          <w:sz w:val="22"/>
          <w:szCs w:val="22"/>
        </w:rPr>
        <w:t xml:space="preserve"> </w:t>
      </w:r>
      <w:r w:rsidRPr="00113F13">
        <w:rPr>
          <w:rFonts w:ascii="Times New Roman" w:hAnsi="Times New Roman" w:cs="Times New Roman"/>
          <w:b w:val="0"/>
          <w:w w:val="105"/>
          <w:sz w:val="22"/>
          <w:szCs w:val="22"/>
        </w:rPr>
        <w:t>Honourable</w:t>
      </w:r>
      <w:r w:rsidRPr="00113F13">
        <w:rPr>
          <w:rFonts w:ascii="Times New Roman" w:hAnsi="Times New Roman" w:cs="Times New Roman"/>
          <w:b w:val="0"/>
          <w:spacing w:val="31"/>
          <w:w w:val="105"/>
          <w:sz w:val="22"/>
          <w:szCs w:val="22"/>
        </w:rPr>
        <w:t xml:space="preserve"> </w:t>
      </w:r>
      <w:r w:rsidRPr="00113F13">
        <w:rPr>
          <w:rFonts w:ascii="Times New Roman" w:hAnsi="Times New Roman" w:cs="Times New Roman"/>
          <w:b w:val="0"/>
          <w:w w:val="105"/>
          <w:sz w:val="22"/>
          <w:szCs w:val="22"/>
        </w:rPr>
        <w:t>Chief</w:t>
      </w:r>
      <w:r w:rsidRPr="00113F13">
        <w:rPr>
          <w:rFonts w:ascii="Times New Roman" w:hAnsi="Times New Roman" w:cs="Times New Roman"/>
          <w:b w:val="0"/>
          <w:spacing w:val="30"/>
          <w:w w:val="105"/>
          <w:sz w:val="22"/>
          <w:szCs w:val="22"/>
        </w:rPr>
        <w:t xml:space="preserve"> </w:t>
      </w:r>
      <w:r w:rsidRPr="00113F13">
        <w:rPr>
          <w:rFonts w:ascii="Times New Roman" w:hAnsi="Times New Roman" w:cs="Times New Roman"/>
          <w:b w:val="0"/>
          <w:w w:val="105"/>
          <w:sz w:val="22"/>
          <w:szCs w:val="22"/>
        </w:rPr>
        <w:t>Justice</w:t>
      </w:r>
      <w:r w:rsidRPr="00113F13">
        <w:rPr>
          <w:rFonts w:ascii="Times New Roman" w:hAnsi="Times New Roman" w:cs="Times New Roman"/>
          <w:b w:val="0"/>
          <w:spacing w:val="31"/>
          <w:w w:val="105"/>
          <w:sz w:val="22"/>
          <w:szCs w:val="22"/>
        </w:rPr>
        <w:t xml:space="preserve"> </w:t>
      </w:r>
      <w:r w:rsidRPr="00113F13">
        <w:rPr>
          <w:rFonts w:ascii="Times New Roman" w:hAnsi="Times New Roman" w:cs="Times New Roman"/>
          <w:b w:val="0"/>
          <w:w w:val="105"/>
          <w:sz w:val="22"/>
          <w:szCs w:val="22"/>
        </w:rPr>
        <w:t>of</w:t>
      </w:r>
      <w:r w:rsidRPr="00113F13">
        <w:rPr>
          <w:rFonts w:ascii="Times New Roman" w:hAnsi="Times New Roman" w:cs="Times New Roman"/>
          <w:b w:val="0"/>
          <w:spacing w:val="30"/>
          <w:w w:val="105"/>
          <w:sz w:val="22"/>
          <w:szCs w:val="22"/>
        </w:rPr>
        <w:t xml:space="preserve"> </w:t>
      </w:r>
      <w:r w:rsidRPr="00113F13">
        <w:rPr>
          <w:rFonts w:ascii="Times New Roman" w:hAnsi="Times New Roman" w:cs="Times New Roman"/>
          <w:b w:val="0"/>
          <w:w w:val="105"/>
          <w:sz w:val="22"/>
          <w:szCs w:val="22"/>
        </w:rPr>
        <w:t>Tasmania),</w:t>
      </w:r>
      <w:r w:rsidRPr="00113F13">
        <w:rPr>
          <w:rFonts w:ascii="Times New Roman" w:hAnsi="Times New Roman" w:cs="Times New Roman"/>
          <w:b w:val="0"/>
          <w:spacing w:val="30"/>
          <w:w w:val="105"/>
          <w:sz w:val="22"/>
          <w:szCs w:val="22"/>
        </w:rPr>
        <w:t xml:space="preserve"> </w:t>
      </w:r>
      <w:r w:rsidRPr="00113F13">
        <w:rPr>
          <w:rFonts w:ascii="Times New Roman" w:hAnsi="Times New Roman" w:cs="Times New Roman"/>
          <w:b w:val="0"/>
          <w:w w:val="105"/>
          <w:sz w:val="22"/>
          <w:szCs w:val="22"/>
          <w:lang w:val="en-AU"/>
        </w:rPr>
        <w:t>Kristy Bourne</w:t>
      </w:r>
      <w:r w:rsidRPr="00113F13">
        <w:rPr>
          <w:rFonts w:ascii="Times New Roman" w:hAnsi="Times New Roman" w:cs="Times New Roman"/>
          <w:b w:val="0"/>
          <w:spacing w:val="31"/>
          <w:w w:val="105"/>
          <w:sz w:val="22"/>
          <w:szCs w:val="22"/>
        </w:rPr>
        <w:t xml:space="preserve"> </w:t>
      </w:r>
      <w:r w:rsidRPr="00113F13">
        <w:rPr>
          <w:rFonts w:ascii="Times New Roman" w:hAnsi="Times New Roman" w:cs="Times New Roman"/>
          <w:b w:val="0"/>
          <w:w w:val="105"/>
          <w:sz w:val="22"/>
          <w:szCs w:val="22"/>
        </w:rPr>
        <w:t>(appointed</w:t>
      </w:r>
      <w:r w:rsidRPr="00113F13">
        <w:rPr>
          <w:rFonts w:ascii="Times New Roman" w:hAnsi="Times New Roman" w:cs="Times New Roman"/>
          <w:b w:val="0"/>
          <w:spacing w:val="31"/>
          <w:w w:val="105"/>
          <w:sz w:val="22"/>
          <w:szCs w:val="22"/>
        </w:rPr>
        <w:t xml:space="preserve"> </w:t>
      </w:r>
      <w:r w:rsidRPr="00113F13">
        <w:rPr>
          <w:rFonts w:ascii="Times New Roman" w:hAnsi="Times New Roman" w:cs="Times New Roman"/>
          <w:b w:val="0"/>
          <w:w w:val="105"/>
          <w:sz w:val="22"/>
          <w:szCs w:val="22"/>
        </w:rPr>
        <w:t>by</w:t>
      </w:r>
      <w:r w:rsidRPr="00113F13">
        <w:rPr>
          <w:rFonts w:ascii="Times New Roman" w:hAnsi="Times New Roman" w:cs="Times New Roman"/>
          <w:b w:val="0"/>
          <w:spacing w:val="31"/>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spacing w:val="31"/>
          <w:w w:val="105"/>
          <w:sz w:val="22"/>
          <w:szCs w:val="22"/>
        </w:rPr>
        <w:t xml:space="preserve"> </w:t>
      </w:r>
      <w:r w:rsidRPr="00113F13">
        <w:rPr>
          <w:rFonts w:ascii="Times New Roman" w:hAnsi="Times New Roman" w:cs="Times New Roman"/>
          <w:b w:val="0"/>
          <w:w w:val="105"/>
          <w:sz w:val="22"/>
          <w:szCs w:val="22"/>
        </w:rPr>
        <w:t>Attorney-General), Rohan Foon (appointed by the Law Society)</w:t>
      </w:r>
      <w:r w:rsidRPr="00113F13">
        <w:rPr>
          <w:rFonts w:ascii="Times New Roman" w:hAnsi="Times New Roman" w:cs="Times New Roman"/>
          <w:b w:val="0"/>
          <w:w w:val="105"/>
          <w:sz w:val="22"/>
          <w:szCs w:val="22"/>
          <w:lang w:val="en-AU"/>
        </w:rPr>
        <w:t>,</w:t>
      </w:r>
      <w:r w:rsidRPr="00113F13">
        <w:rPr>
          <w:rFonts w:ascii="Times New Roman" w:hAnsi="Times New Roman" w:cs="Times New Roman"/>
          <w:b w:val="0"/>
          <w:w w:val="105"/>
          <w:sz w:val="22"/>
          <w:szCs w:val="22"/>
        </w:rPr>
        <w:t xml:space="preserve"> Ann Hughes (appointed</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at</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invitation</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of</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Board),</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Kim</w:t>
      </w:r>
      <w:r w:rsidRPr="00113F13">
        <w:rPr>
          <w:rFonts w:ascii="Times New Roman" w:hAnsi="Times New Roman" w:cs="Times New Roman"/>
          <w:b w:val="0"/>
          <w:spacing w:val="-5"/>
          <w:w w:val="105"/>
          <w:sz w:val="22"/>
          <w:szCs w:val="22"/>
        </w:rPr>
        <w:t xml:space="preserve"> </w:t>
      </w:r>
      <w:r w:rsidRPr="00113F13">
        <w:rPr>
          <w:rFonts w:ascii="Times New Roman" w:hAnsi="Times New Roman" w:cs="Times New Roman"/>
          <w:b w:val="0"/>
          <w:w w:val="105"/>
          <w:sz w:val="22"/>
          <w:szCs w:val="22"/>
        </w:rPr>
        <w:t>Baumeler</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(appointed</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at</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invitation</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of</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 xml:space="preserve">Board), </w:t>
      </w:r>
      <w:r w:rsidR="00502A61">
        <w:rPr>
          <w:rFonts w:ascii="Times New Roman" w:hAnsi="Times New Roman" w:cs="Times New Roman"/>
          <w:b w:val="0"/>
          <w:w w:val="105"/>
          <w:sz w:val="22"/>
          <w:szCs w:val="22"/>
        </w:rPr>
        <w:t xml:space="preserve">Dr </w:t>
      </w:r>
      <w:r w:rsidRPr="00113F13">
        <w:rPr>
          <w:rFonts w:ascii="Times New Roman" w:hAnsi="Times New Roman" w:cs="Times New Roman"/>
          <w:b w:val="0"/>
          <w:w w:val="105"/>
          <w:sz w:val="22"/>
          <w:szCs w:val="22"/>
        </w:rPr>
        <w:t>Yvette Maker (Appointed by Council of University)</w:t>
      </w:r>
      <w:r w:rsidRPr="00113F13">
        <w:rPr>
          <w:rFonts w:ascii="Times New Roman" w:hAnsi="Times New Roman" w:cs="Times New Roman"/>
          <w:b w:val="0"/>
          <w:w w:val="105"/>
          <w:sz w:val="22"/>
          <w:szCs w:val="22"/>
          <w:lang w:val="en-AU"/>
        </w:rPr>
        <w:t xml:space="preserve"> and Rosie Smith </w:t>
      </w:r>
      <w:r w:rsidRPr="00113F13">
        <w:rPr>
          <w:rFonts w:ascii="Times New Roman" w:hAnsi="Times New Roman" w:cs="Times New Roman"/>
          <w:b w:val="0"/>
          <w:w w:val="105"/>
          <w:sz w:val="22"/>
          <w:szCs w:val="22"/>
        </w:rPr>
        <w:t>(appointed</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at</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invitation</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of</w:t>
      </w:r>
      <w:r w:rsidRPr="00113F13">
        <w:rPr>
          <w:rFonts w:ascii="Times New Roman" w:hAnsi="Times New Roman" w:cs="Times New Roman"/>
          <w:b w:val="0"/>
          <w:spacing w:val="-7"/>
          <w:w w:val="105"/>
          <w:sz w:val="22"/>
          <w:szCs w:val="22"/>
        </w:rPr>
        <w:t xml:space="preserve"> </w:t>
      </w:r>
      <w:r w:rsidRPr="00113F13">
        <w:rPr>
          <w:rFonts w:ascii="Times New Roman" w:hAnsi="Times New Roman" w:cs="Times New Roman"/>
          <w:b w:val="0"/>
          <w:w w:val="105"/>
          <w:sz w:val="22"/>
          <w:szCs w:val="22"/>
        </w:rPr>
        <w:t>the</w:t>
      </w:r>
      <w:r w:rsidRPr="00113F13">
        <w:rPr>
          <w:rFonts w:ascii="Times New Roman" w:hAnsi="Times New Roman" w:cs="Times New Roman"/>
          <w:b w:val="0"/>
          <w:spacing w:val="-6"/>
          <w:w w:val="105"/>
          <w:sz w:val="22"/>
          <w:szCs w:val="22"/>
        </w:rPr>
        <w:t xml:space="preserve"> </w:t>
      </w:r>
      <w:r w:rsidRPr="00113F13">
        <w:rPr>
          <w:rFonts w:ascii="Times New Roman" w:hAnsi="Times New Roman" w:cs="Times New Roman"/>
          <w:b w:val="0"/>
          <w:w w:val="105"/>
          <w:sz w:val="22"/>
          <w:szCs w:val="22"/>
        </w:rPr>
        <w:t>Board</w:t>
      </w:r>
      <w:r w:rsidRPr="00113F13">
        <w:rPr>
          <w:rFonts w:ascii="Times New Roman" w:hAnsi="Times New Roman" w:cs="Times New Roman"/>
          <w:b w:val="0"/>
          <w:w w:val="105"/>
          <w:sz w:val="22"/>
          <w:szCs w:val="22"/>
          <w:lang w:val="en-AU"/>
        </w:rPr>
        <w:t xml:space="preserve"> as a member of the Tasmanian Aboriginal community</w:t>
      </w:r>
      <w:r w:rsidRPr="00113F13">
        <w:rPr>
          <w:rFonts w:ascii="Times New Roman" w:hAnsi="Times New Roman" w:cs="Times New Roman"/>
          <w:b w:val="0"/>
          <w:w w:val="105"/>
          <w:sz w:val="22"/>
          <w:szCs w:val="22"/>
        </w:rPr>
        <w:t>)</w:t>
      </w:r>
      <w:r w:rsidRPr="00113F13">
        <w:rPr>
          <w:rFonts w:ascii="Times New Roman" w:hAnsi="Times New Roman" w:cs="Times New Roman"/>
          <w:b w:val="0"/>
          <w:w w:val="105"/>
          <w:sz w:val="22"/>
          <w:szCs w:val="22"/>
          <w:lang w:val="en-AU"/>
        </w:rPr>
        <w:t>.</w:t>
      </w:r>
    </w:p>
    <w:p w14:paraId="0B4AC0D9" w14:textId="77777777" w:rsidR="00FF302D" w:rsidRPr="00113F13" w:rsidRDefault="00FF302D" w:rsidP="00B530E7">
      <w:pPr>
        <w:pStyle w:val="BodyText"/>
        <w:spacing w:before="240" w:line="250" w:lineRule="auto"/>
        <w:ind w:right="113"/>
        <w:rPr>
          <w:rFonts w:ascii="Times New Roman" w:hAnsi="Times New Roman" w:cs="Times New Roman"/>
          <w:b w:val="0"/>
          <w:bCs/>
          <w:w w:val="105"/>
          <w:sz w:val="22"/>
          <w:szCs w:val="22"/>
        </w:rPr>
      </w:pPr>
      <w:r w:rsidRPr="00113F13">
        <w:rPr>
          <w:rFonts w:ascii="Times New Roman" w:hAnsi="Times New Roman" w:cs="Times New Roman"/>
          <w:b w:val="0"/>
          <w:bCs/>
          <w:w w:val="105"/>
          <w:sz w:val="22"/>
          <w:szCs w:val="22"/>
        </w:rPr>
        <w:t>The Board oversees the Institute’s research, considering each reference before it is accepted, and approving publications before their release.</w:t>
      </w:r>
    </w:p>
    <w:p w14:paraId="4DD501E6" w14:textId="77777777" w:rsidR="00FF302D" w:rsidRPr="00113F13" w:rsidRDefault="00FF302D" w:rsidP="00FF302D">
      <w:pPr>
        <w:rPr>
          <w:rFonts w:eastAsiaTheme="majorEastAsia" w:cs="Times New Roman"/>
          <w:b/>
          <w:color w:val="262626" w:themeColor="text1" w:themeTint="D9"/>
          <w:sz w:val="32"/>
          <w:szCs w:val="32"/>
        </w:rPr>
      </w:pPr>
      <w:r w:rsidRPr="00113F13">
        <w:rPr>
          <w:rFonts w:cs="Times New Roman"/>
        </w:rPr>
        <w:br w:type="page"/>
      </w:r>
    </w:p>
    <w:p w14:paraId="7FB6AFD0" w14:textId="129537CB" w:rsidR="00FF302D" w:rsidRPr="00113F13" w:rsidRDefault="00FF302D" w:rsidP="00113F13">
      <w:pPr>
        <w:pStyle w:val="Headingunnumbered"/>
        <w:rPr>
          <w:rFonts w:cs="Times New Roman"/>
        </w:rPr>
      </w:pPr>
      <w:bookmarkStart w:id="3" w:name="_Toc130540412"/>
      <w:bookmarkStart w:id="4" w:name="_Toc164606487"/>
      <w:r w:rsidRPr="00113F13">
        <w:rPr>
          <w:rFonts w:cs="Times New Roman"/>
        </w:rPr>
        <w:lastRenderedPageBreak/>
        <w:t>Acknowledg</w:t>
      </w:r>
      <w:r w:rsidR="001C7B89">
        <w:rPr>
          <w:rFonts w:cs="Times New Roman"/>
        </w:rPr>
        <w:t>e</w:t>
      </w:r>
      <w:r w:rsidRPr="00113F13">
        <w:rPr>
          <w:rFonts w:cs="Times New Roman"/>
        </w:rPr>
        <w:t>ments</w:t>
      </w:r>
      <w:bookmarkEnd w:id="3"/>
      <w:bookmarkEnd w:id="4"/>
    </w:p>
    <w:p w14:paraId="1E83C7E9" w14:textId="427864C6" w:rsidR="00FF302D" w:rsidRPr="00113F13" w:rsidRDefault="00FF302D" w:rsidP="00FF302D">
      <w:pPr>
        <w:rPr>
          <w:rFonts w:cs="Times New Roman"/>
        </w:rPr>
      </w:pPr>
      <w:r w:rsidRPr="00113F13">
        <w:rPr>
          <w:rFonts w:cs="Times New Roman"/>
        </w:rPr>
        <w:t xml:space="preserve">This Inquiry was initiated by the Honourable Meg Webb, Independent member of the Tasmanian Legislative Council (see Background and Terms of Reference on </w:t>
      </w:r>
      <w:r w:rsidRPr="00502A61">
        <w:rPr>
          <w:rFonts w:cs="Times New Roman"/>
        </w:rPr>
        <w:t>p</w:t>
      </w:r>
      <w:r w:rsidR="00F66C1E">
        <w:rPr>
          <w:rFonts w:cs="Times New Roman"/>
        </w:rPr>
        <w:t>ages</w:t>
      </w:r>
      <w:r w:rsidR="00502A61">
        <w:rPr>
          <w:rFonts w:cs="Times New Roman"/>
        </w:rPr>
        <w:t xml:space="preserve"> 1</w:t>
      </w:r>
      <w:r w:rsidR="00DB799F">
        <w:rPr>
          <w:rFonts w:cs="Times New Roman"/>
        </w:rPr>
        <w:t>–</w:t>
      </w:r>
      <w:r w:rsidR="00502A61">
        <w:rPr>
          <w:rFonts w:cs="Times New Roman"/>
        </w:rPr>
        <w:t>2</w:t>
      </w:r>
      <w:r w:rsidRPr="00113F13">
        <w:rPr>
          <w:rFonts w:cs="Times New Roman"/>
        </w:rPr>
        <w:t xml:space="preserve">) and funded by the Solicitors Guarantee Fund under a grant provided to the Tasmanian Law Reform Institute. </w:t>
      </w:r>
    </w:p>
    <w:p w14:paraId="4098E72C" w14:textId="77777777" w:rsidR="00FF302D" w:rsidRPr="00113F13" w:rsidRDefault="00FF302D" w:rsidP="00FF302D">
      <w:pPr>
        <w:rPr>
          <w:rFonts w:cs="Times New Roman"/>
        </w:rPr>
      </w:pPr>
      <w:r w:rsidRPr="00113F13">
        <w:rPr>
          <w:rFonts w:cs="Times New Roman"/>
        </w:rPr>
        <w:t>This Final Report was prepared for the Board by Dr Yvette Maker and Dr Rebecca Bradfield. Penelope Stevenson provided research assistance.</w:t>
      </w:r>
    </w:p>
    <w:p w14:paraId="44E95F4C" w14:textId="77777777" w:rsidR="00FF302D" w:rsidRPr="00113F13" w:rsidRDefault="00FF302D" w:rsidP="00FF302D">
      <w:pPr>
        <w:rPr>
          <w:rFonts w:cs="Times New Roman"/>
        </w:rPr>
      </w:pPr>
      <w:r w:rsidRPr="00113F13">
        <w:rPr>
          <w:rFonts w:cs="Times New Roman"/>
        </w:rPr>
        <w:t xml:space="preserve">The Issues Paper that preceded this Report and informed much of its content was prepared for the Board by Daniel Stewart, Damian Clifford and Jelena Gilgorijevic, Dr Brendan Gogarty and Chun Yu, with Ms Yu also providing research assistance. The Issues Paper was edited and prepared for publication by Dr Nina Hudson. </w:t>
      </w:r>
    </w:p>
    <w:p w14:paraId="47F9B80E" w14:textId="53E4A8B8" w:rsidR="00FF302D" w:rsidRPr="00113F13" w:rsidRDefault="00FF302D" w:rsidP="00FF302D">
      <w:pPr>
        <w:rPr>
          <w:rFonts w:cs="Times New Roman"/>
        </w:rPr>
      </w:pPr>
      <w:r w:rsidRPr="00113F13">
        <w:rPr>
          <w:rFonts w:cs="Times New Roman"/>
        </w:rPr>
        <w:t xml:space="preserve">Ongoing administrative and management of the Inquiry has been provided by </w:t>
      </w:r>
      <w:r w:rsidR="00FC194D">
        <w:rPr>
          <w:rFonts w:cs="Times New Roman"/>
        </w:rPr>
        <w:t>Ms</w:t>
      </w:r>
      <w:r w:rsidR="00F66C1E">
        <w:rPr>
          <w:rFonts w:cs="Times New Roman"/>
        </w:rPr>
        <w:t> </w:t>
      </w:r>
      <w:r w:rsidRPr="00113F13">
        <w:rPr>
          <w:rFonts w:cs="Times New Roman"/>
        </w:rPr>
        <w:t>Kira White. This Final Report was edited and prepared for publication by Dr</w:t>
      </w:r>
      <w:r w:rsidR="00F66C1E">
        <w:rPr>
          <w:rFonts w:cs="Times New Roman"/>
        </w:rPr>
        <w:t> </w:t>
      </w:r>
      <w:r w:rsidRPr="00113F13">
        <w:rPr>
          <w:rFonts w:cs="Times New Roman"/>
        </w:rPr>
        <w:t>Jacqueline Fox.</w:t>
      </w:r>
    </w:p>
    <w:p w14:paraId="5216DBEF" w14:textId="77777777" w:rsidR="00FF302D" w:rsidRPr="00113F13" w:rsidRDefault="00FF302D" w:rsidP="00502A61">
      <w:r w:rsidRPr="00113F13">
        <w:t xml:space="preserve">The </w:t>
      </w:r>
      <w:r w:rsidRPr="00502A61">
        <w:rPr>
          <w:rFonts w:cs="Times New Roman"/>
        </w:rPr>
        <w:t>TLRI</w:t>
      </w:r>
      <w:r w:rsidRPr="00113F13">
        <w:t xml:space="preserve"> wishes to thank all those who made submissions in response to the questions asked in the Issues Paper. All submissions were taken into account in formulating those recommendations.</w:t>
      </w:r>
    </w:p>
    <w:p w14:paraId="52003A69" w14:textId="77777777" w:rsidR="00FF302D" w:rsidRPr="00113F13" w:rsidRDefault="00FF302D" w:rsidP="00FF302D">
      <w:pPr>
        <w:pStyle w:val="NumberlessNormalText"/>
      </w:pPr>
      <w:r w:rsidRPr="00113F13">
        <w:t>An electronic copy of the Final Report is available at the TLRI website.</w:t>
      </w:r>
    </w:p>
    <w:p w14:paraId="6DCDBF22" w14:textId="77777777" w:rsidR="00FF302D" w:rsidRPr="00113F13" w:rsidRDefault="00FF302D" w:rsidP="00FF302D">
      <w:pPr>
        <w:pStyle w:val="NumberlessNormalText"/>
        <w:jc w:val="left"/>
      </w:pPr>
      <w:r w:rsidRPr="00113F13">
        <w:t xml:space="preserve">An electronic copy may also be obtained by: </w:t>
      </w:r>
    </w:p>
    <w:p w14:paraId="092A7843" w14:textId="77777777" w:rsidR="00FF302D" w:rsidRPr="00113F13" w:rsidRDefault="00FF302D" w:rsidP="00FF302D">
      <w:pPr>
        <w:pStyle w:val="NumberlessNormalText"/>
        <w:spacing w:line="240" w:lineRule="auto"/>
      </w:pPr>
      <w:r w:rsidRPr="00113F13">
        <w:t xml:space="preserve">Email: </w:t>
      </w:r>
      <w:r w:rsidRPr="00113F13">
        <w:tab/>
        <w:t xml:space="preserve">law.reform@utas.edu.au </w:t>
      </w:r>
    </w:p>
    <w:p w14:paraId="3D544E06" w14:textId="77777777" w:rsidR="00FF302D" w:rsidRPr="00113F13" w:rsidRDefault="00FF302D" w:rsidP="00FF302D">
      <w:pPr>
        <w:pStyle w:val="NumberlessNormalText"/>
        <w:spacing w:line="240" w:lineRule="auto"/>
      </w:pPr>
      <w:r w:rsidRPr="00113F13">
        <w:t xml:space="preserve">Phone: </w:t>
      </w:r>
      <w:r w:rsidRPr="00113F13">
        <w:tab/>
        <w:t xml:space="preserve">(03) 6226 2069 </w:t>
      </w:r>
    </w:p>
    <w:p w14:paraId="6642120C" w14:textId="77777777" w:rsidR="00FF302D" w:rsidRPr="00113F13" w:rsidRDefault="00FF302D" w:rsidP="00FF302D">
      <w:pPr>
        <w:pStyle w:val="NumberlessNormalText"/>
        <w:spacing w:line="240" w:lineRule="auto"/>
      </w:pPr>
      <w:r w:rsidRPr="00113F13">
        <w:t xml:space="preserve">Post: </w:t>
      </w:r>
      <w:r w:rsidRPr="00113F13">
        <w:tab/>
        <w:t xml:space="preserve">Tasmania Law Reform Institute </w:t>
      </w:r>
    </w:p>
    <w:p w14:paraId="0FBB3659" w14:textId="77777777" w:rsidR="00FF302D" w:rsidRPr="00113F13" w:rsidRDefault="00FF302D" w:rsidP="00FF302D">
      <w:pPr>
        <w:pStyle w:val="NumberlessNormalText"/>
        <w:spacing w:line="240" w:lineRule="auto"/>
        <w:ind w:left="567"/>
      </w:pPr>
      <w:r w:rsidRPr="00113F13">
        <w:tab/>
        <w:t>Private Bag 89 Hobart TAS 7001</w:t>
      </w:r>
    </w:p>
    <w:p w14:paraId="2B7817F8" w14:textId="77777777" w:rsidR="00113F13" w:rsidRPr="00113F13" w:rsidRDefault="00113F13" w:rsidP="00113F13">
      <w:pPr>
        <w:pStyle w:val="Headingunnumbered"/>
        <w:rPr>
          <w:rFonts w:cs="Times New Roman"/>
        </w:rPr>
      </w:pPr>
    </w:p>
    <w:p w14:paraId="1C209B99" w14:textId="393C4742" w:rsidR="00FF302D" w:rsidRPr="00113F13" w:rsidRDefault="00FF302D" w:rsidP="00113F13">
      <w:pPr>
        <w:pStyle w:val="Headingunnumbered"/>
        <w:rPr>
          <w:rFonts w:cs="Times New Roman"/>
        </w:rPr>
      </w:pPr>
      <w:bookmarkStart w:id="5" w:name="_Toc164606488"/>
      <w:r w:rsidRPr="00113F13">
        <w:rPr>
          <w:rFonts w:cs="Times New Roman"/>
        </w:rPr>
        <w:t>Ethical Conduct of Research</w:t>
      </w:r>
      <w:bookmarkEnd w:id="5"/>
    </w:p>
    <w:p w14:paraId="29FDF6F4" w14:textId="77777777" w:rsidR="00FF302D" w:rsidRPr="00113F13" w:rsidRDefault="00FF302D" w:rsidP="00FF302D">
      <w:pPr>
        <w:rPr>
          <w:rFonts w:cs="Times New Roman"/>
          <w:bCs/>
          <w:lang w:bidi="en-US"/>
        </w:rPr>
      </w:pPr>
      <w:r w:rsidRPr="00113F13">
        <w:rPr>
          <w:rFonts w:cs="Times New Roman"/>
          <w:bCs/>
          <w:lang w:bidi="en-US"/>
        </w:rPr>
        <w:t xml:space="preserve">This project has been approved by the Tasmanian Social Sciences Human Research Ethics Committee. If you have concerns or complaints about the conduct of this study, please contact the Executive Officer of the University of Tasmania Human Research Ethics Committee on +61 3 6226 6254 or email </w:t>
      </w:r>
      <w:hyperlink r:id="rId17" w:history="1">
        <w:r w:rsidRPr="00113F13">
          <w:rPr>
            <w:rStyle w:val="Hyperlink"/>
            <w:rFonts w:cs="Times New Roman"/>
            <w:bCs/>
            <w:lang w:bidi="en-US"/>
          </w:rPr>
          <w:t>human.ethics@utas.edu.au</w:t>
        </w:r>
      </w:hyperlink>
      <w:r w:rsidRPr="00113F13">
        <w:rPr>
          <w:rFonts w:cs="Times New Roman"/>
          <w:bCs/>
          <w:lang w:bidi="en-US"/>
        </w:rPr>
        <w:t>. The Executive Officer is the person nominated to receive complaints from research participants. You will need to quote ethics reference number H0016752.</w:t>
      </w:r>
    </w:p>
    <w:p w14:paraId="0EF7B53A" w14:textId="25C0E356" w:rsidR="002D1CC7" w:rsidRDefault="002D1CC7">
      <w:pPr>
        <w:spacing w:after="200" w:line="276" w:lineRule="auto"/>
        <w:jc w:val="left"/>
        <w:rPr>
          <w:rFonts w:cs="Times New Roman"/>
        </w:rPr>
      </w:pPr>
      <w:r>
        <w:rPr>
          <w:rFonts w:cs="Times New Roman"/>
        </w:rPr>
        <w:br w:type="page"/>
      </w:r>
    </w:p>
    <w:p w14:paraId="4B78768C" w14:textId="77777777" w:rsidR="00FF302D" w:rsidRPr="00113F13" w:rsidRDefault="00FF302D" w:rsidP="00FF302D">
      <w:pPr>
        <w:pStyle w:val="Heading1"/>
        <w:spacing w:before="0"/>
        <w:rPr>
          <w:rFonts w:ascii="Times New Roman" w:hAnsi="Times New Roman" w:cs="Times New Roman"/>
        </w:rPr>
        <w:sectPr w:rsidR="00FF302D" w:rsidRPr="00113F13" w:rsidSect="00BC08AB">
          <w:headerReference w:type="even" r:id="rId18"/>
          <w:headerReference w:type="default" r:id="rId19"/>
          <w:footerReference w:type="default" r:id="rId20"/>
          <w:type w:val="continuous"/>
          <w:pgSz w:w="11906" w:h="16838" w:code="9"/>
          <w:pgMar w:top="1440" w:right="1440" w:bottom="1440" w:left="1440" w:header="708" w:footer="708" w:gutter="0"/>
          <w:pgNumType w:fmt="lowerRoman" w:start="1"/>
          <w:cols w:space="708"/>
          <w:docGrid w:linePitch="360"/>
        </w:sectPr>
      </w:pPr>
      <w:bookmarkStart w:id="6" w:name="_Toc130540413"/>
    </w:p>
    <w:p w14:paraId="6768B9E4" w14:textId="77777777" w:rsidR="00FF302D" w:rsidRPr="00113F13" w:rsidRDefault="00FF302D" w:rsidP="00113F13">
      <w:pPr>
        <w:pStyle w:val="Headingunnumbered"/>
        <w:rPr>
          <w:rFonts w:cs="Times New Roman"/>
        </w:rPr>
      </w:pPr>
      <w:bookmarkStart w:id="7" w:name="_Toc164606489"/>
      <w:r w:rsidRPr="00113F13">
        <w:rPr>
          <w:rFonts w:cs="Times New Roman"/>
        </w:rPr>
        <w:lastRenderedPageBreak/>
        <w:t>Executive Summary</w:t>
      </w:r>
      <w:bookmarkEnd w:id="7"/>
    </w:p>
    <w:p w14:paraId="37B04249" w14:textId="77777777" w:rsidR="00FF302D" w:rsidRPr="00113F13" w:rsidRDefault="00FF302D" w:rsidP="00FF302D">
      <w:pPr>
        <w:adjustRightInd w:val="0"/>
        <w:spacing w:after="120"/>
        <w:outlineLvl w:val="2"/>
        <w:rPr>
          <w:rFonts w:eastAsia="Times New Roman" w:cs="Times New Roman"/>
          <w:color w:val="0D0D0D"/>
        </w:rPr>
      </w:pPr>
      <w:r w:rsidRPr="00113F13">
        <w:rPr>
          <w:rFonts w:eastAsia="Times New Roman" w:cs="Times New Roman"/>
          <w:color w:val="0D0D0D"/>
        </w:rPr>
        <w:t xml:space="preserve">This Final Report consolidates the Institute’s research and consideration of community and stakeholder consultation on the regulation of privacy in Tasmania. The Report follows the release of an Issues Paper by the Institute in March 2023. </w:t>
      </w:r>
    </w:p>
    <w:p w14:paraId="7FEBB7EB" w14:textId="4424D7CC" w:rsidR="00FF302D" w:rsidRPr="00113F13" w:rsidRDefault="00FF302D" w:rsidP="00FF302D">
      <w:pPr>
        <w:rPr>
          <w:rFonts w:eastAsia="Times New Roman" w:cs="Times New Roman"/>
          <w:color w:val="0D0D0D"/>
        </w:rPr>
      </w:pPr>
      <w:r w:rsidRPr="00113F13">
        <w:rPr>
          <w:rFonts w:eastAsia="Times New Roman" w:cs="Times New Roman"/>
          <w:color w:val="0D0D0D"/>
        </w:rPr>
        <w:t xml:space="preserve">This Final Report makes </w:t>
      </w:r>
      <w:r w:rsidR="006330BE">
        <w:rPr>
          <w:rFonts w:eastAsia="Times New Roman" w:cs="Times New Roman"/>
          <w:color w:val="0D0D0D"/>
        </w:rPr>
        <w:t>63</w:t>
      </w:r>
      <w:r w:rsidRPr="00113F13">
        <w:rPr>
          <w:rFonts w:eastAsia="Times New Roman" w:cs="Times New Roman"/>
          <w:color w:val="0D0D0D"/>
        </w:rPr>
        <w:t xml:space="preserve"> recommendations for reforms to Tasmanian law to provide better privacy protection </w:t>
      </w:r>
      <w:r w:rsidRPr="00113F13">
        <w:rPr>
          <w:rFonts w:cs="Times New Roman"/>
        </w:rPr>
        <w:t>given the rapid advances in information technology, changing community perceptions about the importance of privacy, and growing legislative regulation of various matters</w:t>
      </w:r>
      <w:r w:rsidRPr="00113F13">
        <w:rPr>
          <w:rFonts w:eastAsia="Times New Roman" w:cs="Times New Roman"/>
          <w:color w:val="0D0D0D"/>
        </w:rPr>
        <w:t xml:space="preserve">. The reforms are also aimed at providing greater clarity and certainty in relation to privacy obligations to facilitate compliance by information custodians and greater awareness within the community. </w:t>
      </w:r>
    </w:p>
    <w:p w14:paraId="10FBA491" w14:textId="680ACFCC" w:rsidR="00FF302D" w:rsidRPr="00113F13" w:rsidRDefault="288D8F58" w:rsidP="00FF302D">
      <w:pPr>
        <w:rPr>
          <w:rFonts w:cs="Times New Roman"/>
        </w:rPr>
      </w:pPr>
      <w:r w:rsidRPr="288D8F58">
        <w:rPr>
          <w:rFonts w:cs="Times New Roman"/>
        </w:rPr>
        <w:t xml:space="preserve">As with the Issues Paper, the Final Report adopts a broad working definition of privacy </w:t>
      </w:r>
      <w:r w:rsidRPr="00DE700E">
        <w:rPr>
          <w:rFonts w:cs="Times New Roman"/>
        </w:rPr>
        <w:t>([2.2])</w:t>
      </w:r>
      <w:r w:rsidRPr="288D8F58">
        <w:rPr>
          <w:rFonts w:cs="Times New Roman"/>
        </w:rPr>
        <w:t xml:space="preserve"> which covers the overlapping categories of information privacy, privacy of communications, bodily privacy, and territorial privacy. Bodily and territorial privacy are collectively known as ‘rights to seclusion’, which is the right to have one’s physical self and one’s environment free from intrusion. </w:t>
      </w:r>
    </w:p>
    <w:p w14:paraId="20E4FB43" w14:textId="6E10558D" w:rsidR="00FF302D" w:rsidRPr="00113F13" w:rsidRDefault="288D8F58" w:rsidP="00FF302D">
      <w:pPr>
        <w:rPr>
          <w:rFonts w:cs="Times New Roman"/>
        </w:rPr>
      </w:pPr>
      <w:r w:rsidRPr="288D8F58">
        <w:rPr>
          <w:rFonts w:cs="Times New Roman"/>
        </w:rPr>
        <w:t xml:space="preserve">Currently, there is no comprehensive privacy regulation in Tasmania. Rather, privacy protection is fragmented across different laws that protect different types of privacy in different specific circumstances </w:t>
      </w:r>
      <w:r w:rsidRPr="00DE700E">
        <w:rPr>
          <w:rFonts w:cs="Times New Roman"/>
        </w:rPr>
        <w:t>([2.5]).</w:t>
      </w:r>
      <w:r w:rsidRPr="288D8F58">
        <w:rPr>
          <w:rFonts w:cs="Times New Roman"/>
        </w:rPr>
        <w:t xml:space="preserve"> Different legislation may interact to affect privacy protections (</w:t>
      </w:r>
      <w:r w:rsidRPr="00DE700E">
        <w:rPr>
          <w:rFonts w:cs="Times New Roman"/>
        </w:rPr>
        <w:t>Part 2).</w:t>
      </w:r>
      <w:r w:rsidRPr="288D8F58">
        <w:rPr>
          <w:rFonts w:cs="Times New Roman"/>
        </w:rPr>
        <w:t xml:space="preserve"> The applicability of regulations at the Australian federal level under the Privacy Act</w:t>
      </w:r>
      <w:r w:rsidRPr="288D8F58">
        <w:rPr>
          <w:rFonts w:cs="Times New Roman"/>
          <w:i/>
          <w:iCs/>
        </w:rPr>
        <w:t xml:space="preserve"> </w:t>
      </w:r>
      <w:r w:rsidRPr="288D8F58">
        <w:rPr>
          <w:rFonts w:cs="Times New Roman"/>
        </w:rPr>
        <w:t>and the international level create further complexity in the landscape of privacy protection. Accordingly, in answer to the overarching question guiding this project, the TLRI’s view is that existing privacy laws in Tasmania are not adequately protective.</w:t>
      </w:r>
    </w:p>
    <w:p w14:paraId="0B87EFBE" w14:textId="51660AB5" w:rsidR="00FF302D" w:rsidRPr="00113F13" w:rsidRDefault="00FF302D" w:rsidP="00FF302D">
      <w:pPr>
        <w:adjustRightInd w:val="0"/>
        <w:spacing w:after="120"/>
        <w:outlineLvl w:val="2"/>
        <w:rPr>
          <w:rFonts w:eastAsia="Times New Roman" w:cs="Times New Roman"/>
          <w:color w:val="0D0D0D"/>
        </w:rPr>
      </w:pPr>
      <w:r w:rsidRPr="00113F13">
        <w:rPr>
          <w:rFonts w:eastAsia="Times New Roman" w:cs="Times New Roman"/>
          <w:color w:val="0D0D0D"/>
        </w:rPr>
        <w:t xml:space="preserve">In </w:t>
      </w:r>
      <w:r w:rsidRPr="00113F13">
        <w:rPr>
          <w:rFonts w:eastAsia="Times New Roman" w:cs="Times New Roman"/>
          <w:color w:val="0D0D0D" w:themeColor="text1" w:themeTint="F2"/>
        </w:rPr>
        <w:t xml:space="preserve">contemplating </w:t>
      </w:r>
      <w:r w:rsidRPr="00113F13">
        <w:rPr>
          <w:rFonts w:eastAsia="Times New Roman" w:cs="Times New Roman"/>
          <w:color w:val="0D0D0D"/>
        </w:rPr>
        <w:t xml:space="preserve">appropriate reforms, the TLRI considers that consistency of the Tasmanian information privacy legislation with the Commonwealth and other </w:t>
      </w:r>
      <w:r w:rsidR="00484566">
        <w:rPr>
          <w:rFonts w:eastAsia="Times New Roman" w:cs="Times New Roman"/>
          <w:color w:val="0D0D0D"/>
        </w:rPr>
        <w:t>S</w:t>
      </w:r>
      <w:r w:rsidRPr="00113F13">
        <w:rPr>
          <w:rFonts w:eastAsia="Times New Roman" w:cs="Times New Roman"/>
          <w:color w:val="0D0D0D"/>
        </w:rPr>
        <w:t xml:space="preserve">tate and </w:t>
      </w:r>
      <w:r w:rsidR="00484566">
        <w:rPr>
          <w:rFonts w:eastAsia="Times New Roman" w:cs="Times New Roman"/>
          <w:color w:val="0D0D0D"/>
        </w:rPr>
        <w:t>T</w:t>
      </w:r>
      <w:r w:rsidRPr="00113F13">
        <w:rPr>
          <w:rFonts w:eastAsia="Times New Roman" w:cs="Times New Roman"/>
          <w:color w:val="0D0D0D"/>
        </w:rPr>
        <w:t xml:space="preserve">erritory legislation is desirable. This is a key issue identified in reviews elsewhere in Australia, and in submissions to this Final Report. Consistency reduces confusion, promotes information sharing and enables Tasmania to learn from the experiences in other jurisdictions. </w:t>
      </w:r>
    </w:p>
    <w:p w14:paraId="4CCFEB1E" w14:textId="77777777" w:rsidR="00FF302D" w:rsidRPr="00113F13" w:rsidRDefault="00FF302D" w:rsidP="00FF302D">
      <w:pPr>
        <w:adjustRightInd w:val="0"/>
        <w:spacing w:after="120"/>
        <w:outlineLvl w:val="2"/>
        <w:rPr>
          <w:rFonts w:eastAsia="Times New Roman" w:cs="Times New Roman"/>
          <w:color w:val="0D0D0D"/>
        </w:rPr>
      </w:pPr>
    </w:p>
    <w:p w14:paraId="7904FA8D" w14:textId="03AEF7A1" w:rsidR="00FF302D" w:rsidRPr="00113F13" w:rsidRDefault="288D8F58" w:rsidP="288D8F58">
      <w:pPr>
        <w:rPr>
          <w:rFonts w:cs="Times New Roman"/>
          <w:b/>
          <w:bCs/>
          <w:i/>
          <w:iCs/>
        </w:rPr>
      </w:pPr>
      <w:r w:rsidRPr="288D8F58">
        <w:rPr>
          <w:rFonts w:cs="Times New Roman"/>
          <w:b/>
          <w:bCs/>
          <w:i/>
          <w:iCs/>
        </w:rPr>
        <w:t xml:space="preserve">A statutory tort for serious invasions of </w:t>
      </w:r>
      <w:r w:rsidRPr="00DE700E">
        <w:rPr>
          <w:rFonts w:cs="Times New Roman"/>
          <w:b/>
          <w:bCs/>
          <w:i/>
          <w:iCs/>
        </w:rPr>
        <w:t>privacy (see Part 11)</w:t>
      </w:r>
    </w:p>
    <w:p w14:paraId="4F0CEBB5" w14:textId="41880F9B" w:rsidR="00FF302D" w:rsidRPr="00113F13" w:rsidRDefault="00FF302D" w:rsidP="00FF302D">
      <w:pPr>
        <w:adjustRightInd w:val="0"/>
        <w:spacing w:after="120"/>
        <w:outlineLvl w:val="2"/>
        <w:rPr>
          <w:rFonts w:eastAsia="Times New Roman" w:cs="Times New Roman"/>
          <w:color w:val="0D0D0D"/>
        </w:rPr>
      </w:pPr>
      <w:r w:rsidRPr="00113F13">
        <w:rPr>
          <w:rFonts w:eastAsia="Times New Roman" w:cs="Times New Roman"/>
          <w:color w:val="0D0D0D"/>
        </w:rPr>
        <w:t xml:space="preserve">In addressing the gaps in privacy protection, together with the fragmented landscape of protection under both legislation and general law, the TLRI considers that there is a case for creating a civil statutory cause of action (and remedy) for certain interferences with privacy. The TLRI considers that the introduction of a statutory tort for serious invasions of privacy would address a significant gap in privacy protection in Tasmania that appears unlikely to be addressed in common law in the immediate term. This view is consistent with recommendations of multiple national and </w:t>
      </w:r>
      <w:r w:rsidR="00375A67">
        <w:rPr>
          <w:rFonts w:eastAsia="Times New Roman" w:cs="Times New Roman"/>
          <w:color w:val="0D0D0D"/>
        </w:rPr>
        <w:t>S</w:t>
      </w:r>
      <w:r w:rsidRPr="00113F13">
        <w:rPr>
          <w:rFonts w:eastAsia="Times New Roman" w:cs="Times New Roman"/>
          <w:color w:val="0D0D0D"/>
        </w:rPr>
        <w:t>tate-based reviews in recent years.</w:t>
      </w:r>
    </w:p>
    <w:p w14:paraId="3DBB5B97" w14:textId="77777777" w:rsidR="00FF302D" w:rsidRPr="00113F13" w:rsidRDefault="00FF302D" w:rsidP="00FF302D">
      <w:pPr>
        <w:adjustRightInd w:val="0"/>
        <w:spacing w:after="120"/>
        <w:outlineLvl w:val="2"/>
        <w:rPr>
          <w:rFonts w:eastAsia="Times New Roman" w:cs="Times New Roman"/>
          <w:color w:val="0D0D0D"/>
        </w:rPr>
      </w:pPr>
      <w:r w:rsidRPr="00113F13">
        <w:rPr>
          <w:rFonts w:eastAsia="Times New Roman" w:cs="Times New Roman"/>
          <w:color w:val="0D0D0D"/>
        </w:rPr>
        <w:t>A statutory tort to be enacted in a standalone Commonwealth Act, with cross-vesting of federal jurisdiction, would be the most appropriate way to introduce such a protection. However, the TLRI considers that, if the Commonwealth does not adopt the proposal of the ALRC and the Privacy Act Review in the near future, further consideration should be given to the introduction of Tasmanian legislation to create a statutory civil cause of action, or statutory tort, of privacy.</w:t>
      </w:r>
    </w:p>
    <w:p w14:paraId="272AEC02" w14:textId="77777777" w:rsidR="00FF302D" w:rsidRPr="00113F13" w:rsidRDefault="00FF302D" w:rsidP="00FF302D">
      <w:pPr>
        <w:rPr>
          <w:rFonts w:cs="Times New Roman"/>
          <w:b/>
          <w:bCs/>
          <w:i/>
          <w:iCs/>
        </w:rPr>
      </w:pPr>
    </w:p>
    <w:p w14:paraId="57B58BB7" w14:textId="49F85BE2" w:rsidR="00FF302D" w:rsidRPr="00113F13" w:rsidRDefault="288D8F58" w:rsidP="288D8F58">
      <w:pPr>
        <w:rPr>
          <w:rFonts w:cs="Times New Roman"/>
          <w:b/>
          <w:bCs/>
          <w:i/>
          <w:iCs/>
        </w:rPr>
      </w:pPr>
      <w:r w:rsidRPr="288D8F58">
        <w:rPr>
          <w:rFonts w:cs="Times New Roman"/>
          <w:b/>
          <w:bCs/>
          <w:i/>
          <w:iCs/>
        </w:rPr>
        <w:t>Personal Information Protection Act 2004 (</w:t>
      </w:r>
      <w:r w:rsidRPr="00DE700E">
        <w:rPr>
          <w:rFonts w:cs="Times New Roman"/>
          <w:b/>
          <w:bCs/>
          <w:i/>
          <w:iCs/>
        </w:rPr>
        <w:t>Tas) (see Parts 3</w:t>
      </w:r>
      <w:r w:rsidR="007712CF">
        <w:rPr>
          <w:rFonts w:cs="Times New Roman"/>
          <w:b/>
          <w:bCs/>
          <w:i/>
          <w:iCs/>
        </w:rPr>
        <w:t>–</w:t>
      </w:r>
      <w:r w:rsidRPr="00DE700E">
        <w:rPr>
          <w:rFonts w:cs="Times New Roman"/>
          <w:b/>
          <w:bCs/>
          <w:i/>
          <w:iCs/>
        </w:rPr>
        <w:t>8)</w:t>
      </w:r>
    </w:p>
    <w:p w14:paraId="6ABDDFD8" w14:textId="0E6604AB" w:rsidR="00FF302D" w:rsidRPr="00113F13" w:rsidRDefault="00FF302D" w:rsidP="00FF302D">
      <w:pPr>
        <w:rPr>
          <w:rFonts w:cs="Times New Roman"/>
        </w:rPr>
      </w:pPr>
      <w:r w:rsidRPr="00113F13">
        <w:rPr>
          <w:rFonts w:cs="Times New Roman"/>
        </w:rPr>
        <w:t xml:space="preserve">The primary privacy framework in Tasmania is the </w:t>
      </w:r>
      <w:r w:rsidRPr="00113F13">
        <w:rPr>
          <w:rFonts w:cs="Times New Roman"/>
          <w:i/>
          <w:iCs/>
        </w:rPr>
        <w:t xml:space="preserve">Personal Information Protection Act 2004 </w:t>
      </w:r>
      <w:r w:rsidRPr="00113F13">
        <w:rPr>
          <w:rFonts w:cs="Times New Roman"/>
        </w:rPr>
        <w:t>(Tas) (‘PIPA’)</w:t>
      </w:r>
      <w:r w:rsidR="00131D8B">
        <w:rPr>
          <w:rFonts w:cs="Times New Roman"/>
        </w:rPr>
        <w:t>,</w:t>
      </w:r>
      <w:r w:rsidRPr="00113F13">
        <w:rPr>
          <w:rFonts w:cs="Times New Roman"/>
        </w:rPr>
        <w:t xml:space="preserve"> which binds government agencies and their contractors. It protects government-held information, primarily through prescribing </w:t>
      </w:r>
      <w:r w:rsidR="00087F37">
        <w:rPr>
          <w:rFonts w:cs="Times New Roman"/>
        </w:rPr>
        <w:t>10</w:t>
      </w:r>
      <w:r w:rsidRPr="00113F13">
        <w:rPr>
          <w:rFonts w:cs="Times New Roman"/>
        </w:rPr>
        <w:t xml:space="preserve"> ‘Personal Information Protection Principles’ (‘PIPPs’) by which the entities must abide. While a detailed piece of legislation, there are multiple gaps in its </w:t>
      </w:r>
      <w:r w:rsidRPr="00113F13">
        <w:rPr>
          <w:rFonts w:cs="Times New Roman"/>
        </w:rPr>
        <w:lastRenderedPageBreak/>
        <w:t>scope, operation, and enforcement that can jeopardise privacy. To address these gaps, the TLRI makes recommendations relating to the scope of the information protected by:</w:t>
      </w:r>
    </w:p>
    <w:p w14:paraId="11413EAF" w14:textId="7744245C" w:rsidR="00FF302D" w:rsidRPr="00113F13" w:rsidRDefault="00087F37" w:rsidP="00B63604">
      <w:pPr>
        <w:pStyle w:val="ListParagraph"/>
        <w:numPr>
          <w:ilvl w:val="0"/>
          <w:numId w:val="43"/>
        </w:numPr>
        <w:spacing w:after="160" w:line="259" w:lineRule="auto"/>
        <w:rPr>
          <w:rFonts w:eastAsia="Times New Roman" w:cs="Times New Roman"/>
          <w:color w:val="0D0D0D"/>
        </w:rPr>
      </w:pPr>
      <w:r>
        <w:rPr>
          <w:rFonts w:eastAsia="Times New Roman" w:cs="Times New Roman"/>
          <w:color w:val="0D0D0D" w:themeColor="text1" w:themeTint="F2"/>
        </w:rPr>
        <w:t>a</w:t>
      </w:r>
      <w:r w:rsidR="00FF302D" w:rsidRPr="00113F13">
        <w:rPr>
          <w:rFonts w:eastAsia="Times New Roman" w:cs="Times New Roman"/>
          <w:color w:val="0D0D0D" w:themeColor="text1" w:themeTint="F2"/>
        </w:rPr>
        <w:t>mending the definition of personal information</w:t>
      </w:r>
      <w:r>
        <w:rPr>
          <w:rFonts w:eastAsia="Times New Roman" w:cs="Times New Roman"/>
          <w:color w:val="0D0D0D" w:themeColor="text1" w:themeTint="F2"/>
        </w:rPr>
        <w:t>;</w:t>
      </w:r>
    </w:p>
    <w:p w14:paraId="0F0E718E" w14:textId="0C33D157" w:rsidR="00FF302D" w:rsidRPr="00113F13" w:rsidRDefault="00087F37" w:rsidP="00B63604">
      <w:pPr>
        <w:pStyle w:val="ListParagraph"/>
        <w:numPr>
          <w:ilvl w:val="0"/>
          <w:numId w:val="43"/>
        </w:numPr>
        <w:spacing w:after="160" w:line="259" w:lineRule="auto"/>
        <w:rPr>
          <w:rFonts w:cs="Times New Roman"/>
          <w:kern w:val="2"/>
          <w14:ligatures w14:val="standardContextual"/>
        </w:rPr>
      </w:pPr>
      <w:r>
        <w:rPr>
          <w:rFonts w:eastAsia="Times New Roman" w:cs="Times New Roman"/>
          <w:color w:val="0D0D0D" w:themeColor="text1" w:themeTint="F2"/>
        </w:rPr>
        <w:t>i</w:t>
      </w:r>
      <w:r w:rsidR="00FF302D" w:rsidRPr="00113F13">
        <w:rPr>
          <w:rFonts w:eastAsia="Times New Roman" w:cs="Times New Roman"/>
          <w:color w:val="0D0D0D" w:themeColor="text1" w:themeTint="F2"/>
        </w:rPr>
        <w:t>nserting into the PIPA a non-exhaustive list of circumstances to which PIPA personal information custodians will be expected to have regard in assessing whether identity is ‘reasonably identifiable’</w:t>
      </w:r>
      <w:r>
        <w:rPr>
          <w:rFonts w:eastAsia="Times New Roman" w:cs="Times New Roman"/>
          <w:color w:val="0D0D0D" w:themeColor="text1" w:themeTint="F2"/>
        </w:rPr>
        <w:t>;</w:t>
      </w:r>
    </w:p>
    <w:p w14:paraId="38270DFB" w14:textId="27FF9CD8" w:rsidR="00FF302D" w:rsidRPr="00113F13" w:rsidRDefault="00087F37" w:rsidP="00B63604">
      <w:pPr>
        <w:pStyle w:val="ListParagraph"/>
        <w:numPr>
          <w:ilvl w:val="0"/>
          <w:numId w:val="43"/>
        </w:numPr>
        <w:adjustRightInd w:val="0"/>
        <w:spacing w:after="120" w:line="259" w:lineRule="auto"/>
        <w:outlineLvl w:val="2"/>
        <w:rPr>
          <w:rFonts w:eastAsia="Times New Roman" w:cs="Times New Roman"/>
          <w:color w:val="0D0D0D"/>
        </w:rPr>
      </w:pPr>
      <w:r>
        <w:rPr>
          <w:rFonts w:eastAsia="Times New Roman" w:cs="Times New Roman"/>
          <w:color w:val="0D0D0D" w:themeColor="text1" w:themeTint="F2"/>
        </w:rPr>
        <w:t>i</w:t>
      </w:r>
      <w:r w:rsidR="00FF302D" w:rsidRPr="00113F13">
        <w:rPr>
          <w:rFonts w:eastAsia="Times New Roman" w:cs="Times New Roman"/>
          <w:color w:val="0D0D0D" w:themeColor="text1" w:themeTint="F2"/>
        </w:rPr>
        <w:t>nserting a definition of ‘de-identified’</w:t>
      </w:r>
      <w:r>
        <w:rPr>
          <w:rFonts w:eastAsia="Times New Roman" w:cs="Times New Roman"/>
          <w:color w:val="0D0D0D" w:themeColor="text1" w:themeTint="F2"/>
        </w:rPr>
        <w:t>; and</w:t>
      </w:r>
      <w:r w:rsidR="00FF302D" w:rsidRPr="00113F13">
        <w:rPr>
          <w:rFonts w:eastAsia="Times New Roman" w:cs="Times New Roman"/>
          <w:color w:val="0D0D0D" w:themeColor="text1" w:themeTint="F2"/>
        </w:rPr>
        <w:t xml:space="preserve"> </w:t>
      </w:r>
    </w:p>
    <w:p w14:paraId="4D503544" w14:textId="57E9CAB0" w:rsidR="00FF302D" w:rsidRPr="00113F13" w:rsidRDefault="288D8F58" w:rsidP="00B63604">
      <w:pPr>
        <w:pStyle w:val="ListParagraph"/>
        <w:numPr>
          <w:ilvl w:val="0"/>
          <w:numId w:val="43"/>
        </w:numPr>
        <w:adjustRightInd w:val="0"/>
        <w:spacing w:after="120" w:line="259" w:lineRule="auto"/>
        <w:outlineLvl w:val="2"/>
        <w:rPr>
          <w:rFonts w:eastAsia="Times New Roman" w:cs="Times New Roman"/>
          <w:color w:val="0D0D0D"/>
        </w:rPr>
      </w:pPr>
      <w:r w:rsidRPr="288D8F58">
        <w:rPr>
          <w:rFonts w:eastAsia="Times New Roman" w:cs="Times New Roman"/>
          <w:color w:val="0D0D0D" w:themeColor="text1" w:themeTint="F2"/>
        </w:rPr>
        <w:t xml:space="preserve">aligning the definition of ‘sensitive information’ by adding biometric information and genetic information about an individual that is not otherwise health information to the PIPA definition </w:t>
      </w:r>
      <w:r w:rsidRPr="00DE700E">
        <w:rPr>
          <w:rFonts w:eastAsia="Times New Roman" w:cs="Times New Roman"/>
          <w:color w:val="0D0D0D" w:themeColor="text1" w:themeTint="F2"/>
        </w:rPr>
        <w:t>(see [4.10]).</w:t>
      </w:r>
    </w:p>
    <w:p w14:paraId="19185ECD" w14:textId="3F1196C2" w:rsidR="00FF302D" w:rsidRPr="00113F13" w:rsidRDefault="288D8F58" w:rsidP="00FF302D">
      <w:pPr>
        <w:adjustRightInd w:val="0"/>
        <w:spacing w:after="120"/>
        <w:outlineLvl w:val="2"/>
        <w:rPr>
          <w:rFonts w:eastAsia="Calibri" w:cs="Times New Roman"/>
        </w:rPr>
      </w:pPr>
      <w:r w:rsidRPr="288D8F58">
        <w:rPr>
          <w:rFonts w:eastAsia="Times New Roman" w:cs="Times New Roman"/>
          <w:color w:val="0D0D0D" w:themeColor="text1" w:themeTint="F2"/>
        </w:rPr>
        <w:t xml:space="preserve">The TLRI also make recommendations about removing exemptions or exceptions under the PIPA relating to employee information and public information. Currently, these </w:t>
      </w:r>
      <w:r w:rsidRPr="288D8F58">
        <w:rPr>
          <w:rFonts w:eastAsia="Calibri" w:cs="Times New Roman"/>
        </w:rPr>
        <w:t xml:space="preserve">types of information receive less than the general level of legislative privacy </w:t>
      </w:r>
      <w:r w:rsidRPr="00DE700E">
        <w:rPr>
          <w:rFonts w:eastAsia="Calibri" w:cs="Times New Roman"/>
        </w:rPr>
        <w:t>protection (see [4.12</w:t>
      </w:r>
      <w:r w:rsidR="00DE700E">
        <w:rPr>
          <w:rFonts w:eastAsia="Calibri" w:cs="Times New Roman"/>
        </w:rPr>
        <w:t>]</w:t>
      </w:r>
      <w:r w:rsidRPr="00DE700E">
        <w:rPr>
          <w:rFonts w:eastAsia="Calibri" w:cs="Times New Roman"/>
        </w:rPr>
        <w:t>).</w:t>
      </w:r>
    </w:p>
    <w:p w14:paraId="56F9A3EE" w14:textId="20D15BA2" w:rsidR="00FF302D" w:rsidRPr="00113F13" w:rsidRDefault="288D8F58" w:rsidP="00FF302D">
      <w:pPr>
        <w:adjustRightInd w:val="0"/>
        <w:spacing w:after="120"/>
        <w:outlineLvl w:val="2"/>
        <w:rPr>
          <w:rFonts w:eastAsia="Times New Roman" w:cs="Times New Roman"/>
          <w:color w:val="0D0D0D"/>
        </w:rPr>
      </w:pPr>
      <w:r w:rsidRPr="288D8F58">
        <w:rPr>
          <w:rFonts w:eastAsia="Times New Roman" w:cs="Times New Roman"/>
          <w:color w:val="0D0D0D" w:themeColor="text1" w:themeTint="F2"/>
        </w:rPr>
        <w:t xml:space="preserve">The TLRI also considers that a definition of law enforcement information should be included in the PIPA and that the Ministerial exemption mechanism based on a public benefit assessment in the PIPA should be amended. Further, it is the TLRI’s view that exemptions for information handling in emergency situations should be provided for in the PIPA </w:t>
      </w:r>
      <w:r w:rsidRPr="00DE700E">
        <w:rPr>
          <w:rFonts w:eastAsia="Times New Roman" w:cs="Times New Roman"/>
          <w:color w:val="0D0D0D" w:themeColor="text1" w:themeTint="F2"/>
        </w:rPr>
        <w:t>(see [4.15]).</w:t>
      </w:r>
    </w:p>
    <w:p w14:paraId="4212C9E9" w14:textId="2F44C0E7" w:rsidR="00FF302D" w:rsidRPr="00113F13" w:rsidRDefault="288D8F58" w:rsidP="00FF302D">
      <w:pPr>
        <w:adjustRightInd w:val="0"/>
        <w:spacing w:after="120"/>
        <w:outlineLvl w:val="2"/>
        <w:rPr>
          <w:rFonts w:eastAsia="Times New Roman" w:cs="Times New Roman"/>
          <w:color w:val="0D0D0D"/>
        </w:rPr>
      </w:pPr>
      <w:r w:rsidRPr="288D8F58">
        <w:rPr>
          <w:rFonts w:eastAsia="Times New Roman" w:cs="Times New Roman"/>
          <w:color w:val="0D0D0D" w:themeColor="text1" w:themeTint="F2"/>
        </w:rPr>
        <w:t xml:space="preserve">In addressing the alignment of the Tasmanian privacy principles with the Commonwealth Act, the TLRI recommends a number of changes to the PIPPs and other provisions of the PIPA to enhance consistency and clarity for both individuals and personal information custodians and to respond more comprehensively to privacy risks associated with the increasing proliferation and sophistication of digital </w:t>
      </w:r>
      <w:r w:rsidRPr="00DE700E">
        <w:rPr>
          <w:rFonts w:eastAsia="Times New Roman" w:cs="Times New Roman"/>
          <w:color w:val="0D0D0D" w:themeColor="text1" w:themeTint="F2"/>
        </w:rPr>
        <w:t>technology (see Parts 5</w:t>
      </w:r>
      <w:r w:rsidR="00DE700E" w:rsidRPr="00DE700E">
        <w:rPr>
          <w:rFonts w:eastAsia="Times New Roman" w:cs="Times New Roman"/>
          <w:color w:val="0D0D0D" w:themeColor="text1" w:themeTint="F2"/>
        </w:rPr>
        <w:t>–</w:t>
      </w:r>
      <w:r w:rsidRPr="00DE700E">
        <w:rPr>
          <w:rFonts w:eastAsia="Times New Roman" w:cs="Times New Roman"/>
          <w:color w:val="0D0D0D" w:themeColor="text1" w:themeTint="F2"/>
        </w:rPr>
        <w:t>7). These</w:t>
      </w:r>
      <w:r w:rsidRPr="288D8F58">
        <w:rPr>
          <w:rFonts w:eastAsia="Times New Roman" w:cs="Times New Roman"/>
          <w:color w:val="0D0D0D" w:themeColor="text1" w:themeTint="F2"/>
        </w:rPr>
        <w:t xml:space="preserve"> reforms are in the areas of the collection, use and disclosure of personal information, data quality, security, access and correction, and complaints, monitoring, and </w:t>
      </w:r>
      <w:r w:rsidRPr="00DE700E">
        <w:rPr>
          <w:rFonts w:eastAsia="Times New Roman" w:cs="Times New Roman"/>
          <w:color w:val="0D0D0D" w:themeColor="text1" w:themeTint="F2"/>
        </w:rPr>
        <w:t>enforcement (see Parts 5 and 6).</w:t>
      </w:r>
    </w:p>
    <w:p w14:paraId="65D8D16D" w14:textId="42B2EA2A" w:rsidR="00FF302D" w:rsidRPr="00113F13" w:rsidRDefault="288D8F58" w:rsidP="00FF302D">
      <w:pPr>
        <w:adjustRightInd w:val="0"/>
        <w:spacing w:after="120"/>
        <w:outlineLvl w:val="2"/>
        <w:rPr>
          <w:rFonts w:eastAsia="Times New Roman" w:cs="Times New Roman"/>
          <w:color w:val="0D0D0D"/>
        </w:rPr>
      </w:pPr>
      <w:r w:rsidRPr="288D8F58">
        <w:rPr>
          <w:rFonts w:eastAsia="Times New Roman" w:cs="Times New Roman"/>
          <w:color w:val="0D0D0D" w:themeColor="text1" w:themeTint="F2"/>
        </w:rPr>
        <w:t xml:space="preserve">The TLRI notes the concerns raised in multiple submissions about the privacy risks associated with emerging technology, such as facial recognition and automated decision-making. The TLRI agrees with the findings of the Commonwealth Privacy Act Review and other recent projects (such as the AHRC’s </w:t>
      </w:r>
      <w:r w:rsidRPr="288D8F58">
        <w:rPr>
          <w:rFonts w:eastAsia="Times New Roman" w:cs="Times New Roman"/>
          <w:i/>
          <w:iCs/>
          <w:color w:val="0D0D0D" w:themeColor="text1" w:themeTint="F2"/>
        </w:rPr>
        <w:t xml:space="preserve">Human Rights and Technology </w:t>
      </w:r>
      <w:r w:rsidRPr="288D8F58">
        <w:rPr>
          <w:rFonts w:eastAsia="Times New Roman" w:cs="Times New Roman"/>
          <w:color w:val="0D0D0D" w:themeColor="text1" w:themeTint="F2"/>
        </w:rPr>
        <w:t xml:space="preserve">project) that the risks associated with these technologies justify reforms to privacy legislation. There is considerable scope to strengthen the PIPA complaints process, and to make provision for remedies for breaches of the PIPA, in order to enhance privacy protections for individuals and foster personal information custodians’ compliance with the PIPA. The TLRI considers that strengthened data breach notification measures should be implemented in Tasmania; this is discussed in more detail </w:t>
      </w:r>
      <w:r w:rsidRPr="00DE700E">
        <w:rPr>
          <w:rFonts w:eastAsia="Times New Roman" w:cs="Times New Roman"/>
          <w:color w:val="0D0D0D" w:themeColor="text1" w:themeTint="F2"/>
        </w:rPr>
        <w:t>in Part 8.</w:t>
      </w:r>
      <w:r w:rsidRPr="288D8F58">
        <w:rPr>
          <w:rFonts w:eastAsia="Times New Roman" w:cs="Times New Roman"/>
          <w:color w:val="0D0D0D" w:themeColor="text1" w:themeTint="F2"/>
        </w:rPr>
        <w:t xml:space="preserve"> Additional resources would need to be made available to assist personal information custodians to comply with data breach notification requirements.</w:t>
      </w:r>
    </w:p>
    <w:p w14:paraId="3B0F59D4" w14:textId="77777777" w:rsidR="00FF302D" w:rsidRPr="00113F13" w:rsidRDefault="00FF302D" w:rsidP="00FF302D">
      <w:pPr>
        <w:adjustRightInd w:val="0"/>
        <w:spacing w:after="120"/>
        <w:outlineLvl w:val="2"/>
        <w:rPr>
          <w:rFonts w:eastAsia="Times New Roman" w:cs="Times New Roman"/>
          <w:color w:val="0D0D0D"/>
        </w:rPr>
      </w:pPr>
    </w:p>
    <w:p w14:paraId="49E71E03" w14:textId="3B35B6E7" w:rsidR="00FF302D" w:rsidRPr="00113F13" w:rsidRDefault="00FF302D" w:rsidP="00FF302D">
      <w:pPr>
        <w:rPr>
          <w:rFonts w:cs="Times New Roman"/>
          <w:b/>
          <w:bCs/>
          <w:i/>
          <w:iCs/>
          <w:lang w:eastAsia="ja-JP"/>
        </w:rPr>
      </w:pPr>
      <w:r w:rsidRPr="00113F13">
        <w:rPr>
          <w:rFonts w:cs="Times New Roman"/>
          <w:b/>
          <w:bCs/>
          <w:i/>
          <w:iCs/>
          <w:lang w:eastAsia="ja-JP"/>
        </w:rPr>
        <w:t xml:space="preserve">Other legislative provisions outside the Personal Information Protection Act 2004 (Tas) (‘PIPA’) that impact the privacy of government-held </w:t>
      </w:r>
      <w:r w:rsidR="00360DCD">
        <w:rPr>
          <w:rFonts w:cs="Times New Roman"/>
          <w:b/>
          <w:bCs/>
          <w:i/>
          <w:iCs/>
          <w:lang w:eastAsia="ja-JP"/>
        </w:rPr>
        <w:t>information</w:t>
      </w:r>
    </w:p>
    <w:p w14:paraId="427723A5" w14:textId="519F7432" w:rsidR="00FF302D" w:rsidRPr="00113F13" w:rsidRDefault="288D8F58" w:rsidP="00FF302D">
      <w:pPr>
        <w:adjustRightInd w:val="0"/>
        <w:spacing w:after="120"/>
        <w:outlineLvl w:val="2"/>
        <w:rPr>
          <w:rFonts w:eastAsia="Times New Roman" w:cs="Times New Roman"/>
          <w:color w:val="0D0D0D"/>
        </w:rPr>
      </w:pPr>
      <w:r w:rsidRPr="288D8F58">
        <w:rPr>
          <w:rFonts w:eastAsia="Times New Roman" w:cs="Times New Roman"/>
          <w:color w:val="0D0D0D" w:themeColor="text1" w:themeTint="F2"/>
        </w:rPr>
        <w:t xml:space="preserve">Rights relating to the handling of personal information and the right to information held by government agencies are closely related. Yet, unlike in other jurisdictions, there is a lack of clarity as to the relationship between the privacy protections in the PIPA and freedom of information rights in the </w:t>
      </w:r>
      <w:r w:rsidRPr="00EA22F8">
        <w:rPr>
          <w:rFonts w:eastAsia="Times New Roman" w:cs="Times New Roman"/>
          <w:i/>
          <w:iCs/>
          <w:color w:val="0D0D0D" w:themeColor="text1" w:themeTint="F2"/>
        </w:rPr>
        <w:t>Right to Information Act</w:t>
      </w:r>
      <w:r w:rsidRPr="288D8F58">
        <w:rPr>
          <w:rFonts w:eastAsia="Times New Roman" w:cs="Times New Roman"/>
          <w:i/>
          <w:iCs/>
          <w:color w:val="0D0D0D" w:themeColor="text1" w:themeTint="F2"/>
        </w:rPr>
        <w:t xml:space="preserve"> 2009</w:t>
      </w:r>
      <w:r w:rsidRPr="288D8F58">
        <w:rPr>
          <w:rFonts w:eastAsia="Times New Roman" w:cs="Times New Roman"/>
          <w:color w:val="0D0D0D" w:themeColor="text1" w:themeTint="F2"/>
        </w:rPr>
        <w:t xml:space="preserve"> (Tas) (‘RTI Act’). There is also uncertainty regarding the interaction of the PIPA with other legislative schemes that have provisions restricting the sharing of government-held information or providing for access to information. Accordingly, it is the TLRI’s view that there should be a close examination of the relationship between the provisions of the PIPA and other Tasmanian legislation with a view to obtaining greater harmonisation and consistency between them </w:t>
      </w:r>
      <w:r w:rsidRPr="00DE700E">
        <w:rPr>
          <w:rFonts w:eastAsia="Times New Roman" w:cs="Times New Roman"/>
          <w:color w:val="0D0D0D" w:themeColor="text1" w:themeTint="F2"/>
        </w:rPr>
        <w:t>(see Part 9</w:t>
      </w:r>
      <w:r w:rsidRPr="288D8F58">
        <w:rPr>
          <w:rFonts w:eastAsia="Times New Roman" w:cs="Times New Roman"/>
          <w:color w:val="0D0D0D" w:themeColor="text1" w:themeTint="F2"/>
        </w:rPr>
        <w:t>).</w:t>
      </w:r>
    </w:p>
    <w:p w14:paraId="6F9F4083" w14:textId="77777777" w:rsidR="00FF302D" w:rsidRPr="00113F13" w:rsidRDefault="00FF302D" w:rsidP="00FF302D">
      <w:pPr>
        <w:adjustRightInd w:val="0"/>
        <w:spacing w:after="120"/>
        <w:outlineLvl w:val="2"/>
        <w:rPr>
          <w:rFonts w:eastAsia="Times New Roman" w:cs="Times New Roman"/>
          <w:color w:val="0D0D0D"/>
        </w:rPr>
      </w:pPr>
      <w:r w:rsidRPr="00113F13">
        <w:rPr>
          <w:rFonts w:eastAsia="Times New Roman" w:cs="Times New Roman"/>
          <w:color w:val="0D0D0D"/>
        </w:rPr>
        <w:t xml:space="preserve">Other legislation provides protection against multiple forms of harm to privacy interests but these are generally limited to activities or circumstances in which specific interferences with privacy might occur. These include stalking, harassment, image-based abuse (previously called ‘revenge pornography’), </w:t>
      </w:r>
      <w:r w:rsidRPr="00113F13">
        <w:rPr>
          <w:rFonts w:eastAsia="Times New Roman" w:cs="Times New Roman"/>
          <w:color w:val="0D0D0D" w:themeColor="text1" w:themeTint="F2"/>
        </w:rPr>
        <w:t>governmental or workplace surveillance,</w:t>
      </w:r>
      <w:r w:rsidRPr="00113F13">
        <w:rPr>
          <w:rFonts w:eastAsia="Times New Roman" w:cs="Times New Roman"/>
          <w:color w:val="0D0D0D"/>
        </w:rPr>
        <w:t xml:space="preserve"> and handling of health information.</w:t>
      </w:r>
    </w:p>
    <w:p w14:paraId="4B7ADE0C" w14:textId="6D39872A" w:rsidR="00FF302D" w:rsidRPr="00113F13" w:rsidRDefault="288D8F58" w:rsidP="00FF302D">
      <w:pPr>
        <w:adjustRightInd w:val="0"/>
        <w:spacing w:after="120"/>
        <w:outlineLvl w:val="2"/>
        <w:rPr>
          <w:rFonts w:eastAsia="Times New Roman" w:cs="Times New Roman"/>
          <w:color w:val="0D0D0D"/>
        </w:rPr>
      </w:pPr>
      <w:r w:rsidRPr="288D8F58">
        <w:rPr>
          <w:rFonts w:eastAsia="Times New Roman" w:cs="Times New Roman"/>
          <w:color w:val="0D0D0D" w:themeColor="text1" w:themeTint="F2"/>
        </w:rPr>
        <w:lastRenderedPageBreak/>
        <w:t>In relation to the issue of the adequacy of the surveillance legislation applying in Tasmania ([10.2]</w:t>
      </w:r>
      <w:r w:rsidR="00645991">
        <w:rPr>
          <w:rFonts w:eastAsia="Times New Roman" w:cs="Times New Roman"/>
          <w:color w:val="0D0D0D" w:themeColor="text1" w:themeTint="F2"/>
        </w:rPr>
        <w:t>–</w:t>
      </w:r>
      <w:r w:rsidRPr="288D8F58">
        <w:rPr>
          <w:rFonts w:eastAsia="Times New Roman" w:cs="Times New Roman"/>
          <w:color w:val="0D0D0D" w:themeColor="text1" w:themeTint="F2"/>
        </w:rPr>
        <w:t xml:space="preserve">[10.11]), the TLRI notes that generally the approach under the </w:t>
      </w:r>
      <w:r w:rsidRPr="288D8F58">
        <w:rPr>
          <w:rFonts w:eastAsia="Times New Roman" w:cs="Times New Roman"/>
          <w:i/>
          <w:iCs/>
          <w:color w:val="0D0D0D" w:themeColor="text1" w:themeTint="F2"/>
        </w:rPr>
        <w:t xml:space="preserve">Listening Devices Act 1991 </w:t>
      </w:r>
      <w:r w:rsidRPr="288D8F58">
        <w:rPr>
          <w:rFonts w:eastAsia="Times New Roman" w:cs="Times New Roman"/>
          <w:color w:val="0D0D0D" w:themeColor="text1" w:themeTint="F2"/>
        </w:rPr>
        <w:t xml:space="preserve">(Tas) and the </w:t>
      </w:r>
      <w:r w:rsidRPr="288D8F58">
        <w:rPr>
          <w:rFonts w:eastAsia="Times New Roman" w:cs="Times New Roman"/>
          <w:i/>
          <w:iCs/>
          <w:color w:val="0D0D0D" w:themeColor="text1" w:themeTint="F2"/>
        </w:rPr>
        <w:t xml:space="preserve">Police Offences Act 1935 </w:t>
      </w:r>
      <w:r w:rsidRPr="288D8F58">
        <w:rPr>
          <w:rFonts w:eastAsia="Times New Roman" w:cs="Times New Roman"/>
          <w:color w:val="0D0D0D" w:themeColor="text1" w:themeTint="F2"/>
        </w:rPr>
        <w:t xml:space="preserve">(Tas) provides a broad safeguard for individual privacy. Nevertheless, the TLRI considers that there is scope to expand existing surveillance protections contained in the </w:t>
      </w:r>
      <w:r w:rsidRPr="288D8F58">
        <w:rPr>
          <w:rFonts w:eastAsia="Times New Roman" w:cs="Times New Roman"/>
          <w:i/>
          <w:iCs/>
          <w:color w:val="0D0D0D" w:themeColor="text1" w:themeTint="F2"/>
        </w:rPr>
        <w:t>Listening Devices Act 1991</w:t>
      </w:r>
      <w:r w:rsidRPr="288D8F58">
        <w:rPr>
          <w:rFonts w:eastAsia="Times New Roman" w:cs="Times New Roman"/>
          <w:color w:val="0D0D0D" w:themeColor="text1" w:themeTint="F2"/>
        </w:rPr>
        <w:t xml:space="preserve"> (Tas)</w:t>
      </w:r>
      <w:r w:rsidRPr="288D8F58">
        <w:rPr>
          <w:rFonts w:eastAsia="Times New Roman" w:cs="Times New Roman"/>
          <w:i/>
          <w:iCs/>
          <w:color w:val="0D0D0D" w:themeColor="text1" w:themeTint="F2"/>
        </w:rPr>
        <w:t xml:space="preserve"> </w:t>
      </w:r>
      <w:r w:rsidRPr="288D8F58">
        <w:rPr>
          <w:rFonts w:eastAsia="Times New Roman" w:cs="Times New Roman"/>
          <w:color w:val="0D0D0D" w:themeColor="text1" w:themeTint="F2"/>
        </w:rPr>
        <w:t xml:space="preserve">to cover a broader range of technologies, such as visual and tracking devices, as exists in most other jurisdictions. </w:t>
      </w:r>
    </w:p>
    <w:p w14:paraId="43A540F6" w14:textId="10805960" w:rsidR="00FF302D" w:rsidRPr="00113F13" w:rsidRDefault="00FF302D" w:rsidP="00FF302D">
      <w:pPr>
        <w:adjustRightInd w:val="0"/>
        <w:spacing w:after="120"/>
        <w:outlineLvl w:val="2"/>
        <w:rPr>
          <w:rFonts w:eastAsia="Calibri" w:cs="Times New Roman"/>
        </w:rPr>
      </w:pPr>
      <w:r w:rsidRPr="00113F13">
        <w:rPr>
          <w:rFonts w:eastAsia="Calibri" w:cs="Times New Roman"/>
        </w:rPr>
        <w:t>Stalking, harassment</w:t>
      </w:r>
      <w:r w:rsidR="005A4CB4">
        <w:rPr>
          <w:rFonts w:eastAsia="Calibri" w:cs="Times New Roman"/>
        </w:rPr>
        <w:t>,</w:t>
      </w:r>
      <w:r w:rsidRPr="00113F13">
        <w:rPr>
          <w:rFonts w:eastAsia="Calibri" w:cs="Times New Roman"/>
        </w:rPr>
        <w:t xml:space="preserve"> and bullying may in some circumstances involve interference with privacy—whether through intrusion upon seclusion (also referred to as physical privacy, meaning a person’s bodily or territorial privacy) or through the malicious use of private information against the person concerned (for example, to intimidate, blackmail, or otherwise coerce that person). As with other egregious interferences with privacy, these behaviours may cause humiliation, psychological distress, or intimidation.</w:t>
      </w:r>
    </w:p>
    <w:p w14:paraId="35B9E599" w14:textId="530350C4" w:rsidR="00FF302D" w:rsidRPr="00113F13" w:rsidRDefault="00FF302D" w:rsidP="00FF302D">
      <w:pPr>
        <w:adjustRightInd w:val="0"/>
        <w:spacing w:after="120"/>
        <w:outlineLvl w:val="2"/>
        <w:rPr>
          <w:rFonts w:eastAsia="Times New Roman" w:cs="Times New Roman"/>
          <w:color w:val="0D0D0D"/>
        </w:rPr>
      </w:pPr>
      <w:r w:rsidRPr="00113F13">
        <w:rPr>
          <w:rFonts w:eastAsia="Times New Roman" w:cs="Times New Roman"/>
          <w:color w:val="0D0D0D"/>
        </w:rPr>
        <w:t>After reviewing the legislation that exists in other jurisdictions</w:t>
      </w:r>
      <w:r w:rsidR="000B78B0">
        <w:rPr>
          <w:rFonts w:eastAsia="Times New Roman" w:cs="Times New Roman"/>
          <w:color w:val="0D0D0D"/>
        </w:rPr>
        <w:t>,</w:t>
      </w:r>
      <w:r w:rsidRPr="00113F13">
        <w:rPr>
          <w:rFonts w:eastAsia="Times New Roman" w:cs="Times New Roman"/>
          <w:color w:val="0D0D0D"/>
        </w:rPr>
        <w:t xml:space="preserve"> and taking into account the submissions received, the TLRI’s view is that there are areas in which the laws that apply in relation to stalking and bullying could be strengthened in Tasmania to provide greater clarity around</w:t>
      </w:r>
      <w:r w:rsidR="000B78B0">
        <w:rPr>
          <w:rFonts w:eastAsia="Times New Roman" w:cs="Times New Roman"/>
          <w:color w:val="0D0D0D"/>
        </w:rPr>
        <w:t>,</w:t>
      </w:r>
      <w:r w:rsidRPr="00113F13">
        <w:rPr>
          <w:rFonts w:eastAsia="Times New Roman" w:cs="Times New Roman"/>
          <w:color w:val="0D0D0D"/>
        </w:rPr>
        <w:t xml:space="preserve"> and better protection for</w:t>
      </w:r>
      <w:r w:rsidR="000B78B0">
        <w:rPr>
          <w:rFonts w:eastAsia="Times New Roman" w:cs="Times New Roman"/>
          <w:color w:val="0D0D0D"/>
        </w:rPr>
        <w:t>,</w:t>
      </w:r>
      <w:r w:rsidRPr="00113F13">
        <w:rPr>
          <w:rFonts w:eastAsia="Times New Roman" w:cs="Times New Roman"/>
          <w:color w:val="0D0D0D"/>
        </w:rPr>
        <w:t xml:space="preserve"> physical privacy. There is also a need to enact </w:t>
      </w:r>
      <w:r w:rsidR="000B78B0">
        <w:rPr>
          <w:rFonts w:eastAsia="Times New Roman" w:cs="Times New Roman"/>
          <w:color w:val="0D0D0D"/>
        </w:rPr>
        <w:t>S</w:t>
      </w:r>
      <w:r w:rsidRPr="00113F13">
        <w:rPr>
          <w:rFonts w:eastAsia="Times New Roman" w:cs="Times New Roman"/>
          <w:color w:val="0D0D0D"/>
        </w:rPr>
        <w:t xml:space="preserve">tate-based offences relating to distributing an intimate image without consent or threatening to distribute an intimate image. This is consistent with the </w:t>
      </w:r>
      <w:r w:rsidRPr="00113F13">
        <w:rPr>
          <w:rFonts w:eastAsia="Times New Roman" w:cs="Times New Roman"/>
          <w:i/>
          <w:iCs/>
          <w:color w:val="0D0D0D"/>
        </w:rPr>
        <w:t>National Statement of Principles relating to the Criminalisation of the Non-consensual Sharing of Intimate Image</w:t>
      </w:r>
      <w:r w:rsidR="00003213">
        <w:rPr>
          <w:rFonts w:eastAsia="Times New Roman" w:cs="Times New Roman"/>
          <w:i/>
          <w:iCs/>
          <w:color w:val="0D0D0D"/>
        </w:rPr>
        <w:t>s</w:t>
      </w:r>
      <w:r w:rsidRPr="00113F13">
        <w:rPr>
          <w:rFonts w:eastAsia="Times New Roman" w:cs="Times New Roman"/>
          <w:color w:val="0D0D0D"/>
        </w:rPr>
        <w:t>, which set</w:t>
      </w:r>
      <w:r w:rsidR="009865E5">
        <w:rPr>
          <w:rFonts w:eastAsia="Times New Roman" w:cs="Times New Roman"/>
          <w:color w:val="0D0D0D"/>
        </w:rPr>
        <w:t>s</w:t>
      </w:r>
      <w:r w:rsidRPr="00113F13">
        <w:rPr>
          <w:rFonts w:eastAsia="Times New Roman" w:cs="Times New Roman"/>
          <w:color w:val="0D0D0D"/>
        </w:rPr>
        <w:t xml:space="preserve"> out principles for nationally consistent criminal offences.</w:t>
      </w:r>
    </w:p>
    <w:p w14:paraId="37A9FC51" w14:textId="77777777" w:rsidR="00FF302D" w:rsidRPr="00113F13" w:rsidRDefault="00FF302D" w:rsidP="00FF302D">
      <w:pPr>
        <w:rPr>
          <w:rFonts w:cs="Times New Roman"/>
        </w:rPr>
      </w:pPr>
    </w:p>
    <w:p w14:paraId="0F41922F" w14:textId="77777777" w:rsidR="00FF302D" w:rsidRPr="00113F13" w:rsidRDefault="00FF302D" w:rsidP="00FF302D">
      <w:pPr>
        <w:pStyle w:val="Heading1"/>
        <w:spacing w:before="0"/>
        <w:rPr>
          <w:rFonts w:ascii="Times New Roman" w:hAnsi="Times New Roman" w:cs="Times New Roman"/>
        </w:rPr>
        <w:sectPr w:rsidR="00FF302D" w:rsidRPr="00113F13" w:rsidSect="00BC08AB">
          <w:headerReference w:type="default" r:id="rId21"/>
          <w:type w:val="continuous"/>
          <w:pgSz w:w="11906" w:h="16838" w:code="9"/>
          <w:pgMar w:top="1440" w:right="1440" w:bottom="1440" w:left="1440" w:header="708" w:footer="708" w:gutter="0"/>
          <w:pgNumType w:fmt="lowerRoman"/>
          <w:cols w:space="708"/>
          <w:docGrid w:linePitch="360"/>
        </w:sectPr>
      </w:pPr>
    </w:p>
    <w:p w14:paraId="1CCC5CC1" w14:textId="77777777" w:rsidR="00C41946" w:rsidRDefault="00C41946">
      <w:pPr>
        <w:spacing w:after="200" w:line="276" w:lineRule="auto"/>
        <w:jc w:val="left"/>
        <w:rPr>
          <w:rFonts w:cs="Times New Roman"/>
          <w:b/>
          <w:bCs/>
          <w:sz w:val="32"/>
          <w:szCs w:val="36"/>
        </w:rPr>
      </w:pPr>
      <w:bookmarkStart w:id="8" w:name="_Toc164606490"/>
      <w:r>
        <w:rPr>
          <w:rFonts w:cs="Times New Roman"/>
        </w:rPr>
        <w:br w:type="page"/>
      </w:r>
    </w:p>
    <w:p w14:paraId="6191D7FC" w14:textId="47016D56" w:rsidR="00FF302D" w:rsidRPr="00113F13" w:rsidRDefault="00FF302D" w:rsidP="00113F13">
      <w:pPr>
        <w:pStyle w:val="Headingunnumbered"/>
        <w:rPr>
          <w:rFonts w:cs="Times New Roman"/>
        </w:rPr>
      </w:pPr>
      <w:r w:rsidRPr="00113F13">
        <w:rPr>
          <w:rFonts w:cs="Times New Roman"/>
        </w:rPr>
        <w:lastRenderedPageBreak/>
        <w:t>Recommendations</w:t>
      </w:r>
      <w:bookmarkEnd w:id="8"/>
    </w:p>
    <w:p w14:paraId="3137520F" w14:textId="77777777" w:rsidR="00FF302D" w:rsidRPr="00113F13" w:rsidRDefault="00FF302D" w:rsidP="00FF302D">
      <w:pPr>
        <w:rPr>
          <w:rFonts w:cs="Times New Roman"/>
        </w:rPr>
      </w:pPr>
      <w:r w:rsidRPr="00113F13">
        <w:rPr>
          <w:rFonts w:cs="Times New Roman"/>
          <w:b/>
          <w:bCs/>
        </w:rPr>
        <w:t xml:space="preserve">Recommendation 1: </w:t>
      </w:r>
      <w:r w:rsidRPr="00113F13">
        <w:rPr>
          <w:rFonts w:cs="Times New Roman"/>
        </w:rPr>
        <w:t>The definition of ‘personal information’ in the PIPA should be amended to:</w:t>
      </w:r>
    </w:p>
    <w:p w14:paraId="3253D820"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replace ‘about’ with ‘relating to’; and</w:t>
      </w:r>
    </w:p>
    <w:p w14:paraId="559712D3"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introduce a non-exhaustive list of information that may fall within the definition of personal information.</w:t>
      </w:r>
    </w:p>
    <w:p w14:paraId="1FBA0245" w14:textId="77777777" w:rsidR="00FF302D" w:rsidRPr="00113F13" w:rsidRDefault="00FF302D" w:rsidP="00FF302D">
      <w:pPr>
        <w:rPr>
          <w:rFonts w:cs="Times New Roman"/>
        </w:rPr>
      </w:pPr>
      <w:r w:rsidRPr="00113F13">
        <w:rPr>
          <w:rFonts w:cs="Times New Roman"/>
          <w:b/>
          <w:bCs/>
        </w:rPr>
        <w:t xml:space="preserve">Recommendation 2: </w:t>
      </w:r>
      <w:r w:rsidRPr="00113F13">
        <w:rPr>
          <w:rFonts w:cs="Times New Roman"/>
        </w:rPr>
        <w:t>Further consideration should be given to:</w:t>
      </w:r>
    </w:p>
    <w:p w14:paraId="3DF5CDD5"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amending the definition of ‘personal information’ by replacing ‘reasonably ascertainable’ with ‘reasonably identifiable’; and</w:t>
      </w:r>
    </w:p>
    <w:p w14:paraId="19E64A22"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providing further guidance for personal information custodians by inserting a non-exhaustive list of circumstances to which PIPA personal information custodians will be expected to have regard in assessing whether identity is ‘reasonably identifiable’.</w:t>
      </w:r>
    </w:p>
    <w:p w14:paraId="32B6C774" w14:textId="1CCFCF55"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t xml:space="preserve">Recommendation 3: </w:t>
      </w:r>
      <w:r w:rsidRPr="00113F13">
        <w:rPr>
          <w:rFonts w:ascii="Times New Roman" w:hAnsi="Times New Roman" w:cs="Times New Roman"/>
        </w:rPr>
        <w:t xml:space="preserve">The PIPA should be amended to insert a definition of ‘de-identified’ that is consistent with the definition in the </w:t>
      </w:r>
      <w:r w:rsidRPr="00113F13">
        <w:rPr>
          <w:rFonts w:ascii="Times New Roman" w:hAnsi="Times New Roman" w:cs="Times New Roman"/>
          <w:i/>
          <w:iCs/>
        </w:rPr>
        <w:t xml:space="preserve">Privacy Act 1988 </w:t>
      </w:r>
      <w:r w:rsidRPr="00113F13">
        <w:rPr>
          <w:rFonts w:ascii="Times New Roman" w:hAnsi="Times New Roman" w:cs="Times New Roman"/>
        </w:rPr>
        <w:t>(Cth) and that clarifies that ‘de-identification is a process, informed by best available practice, applied to personal information which involves treating it in such a way such that no individual is identified or reasonably identifiable in the current context’</w:t>
      </w:r>
      <w:r w:rsidR="00417621">
        <w:rPr>
          <w:rFonts w:ascii="Times New Roman" w:hAnsi="Times New Roman" w:cs="Times New Roman"/>
        </w:rPr>
        <w:t>.</w:t>
      </w:r>
      <w:r w:rsidRPr="00113F13">
        <w:rPr>
          <w:rStyle w:val="FootnoteReference"/>
          <w:rFonts w:ascii="Times New Roman" w:hAnsi="Times New Roman" w:cs="Times New Roman"/>
        </w:rPr>
        <w:footnoteReference w:id="2"/>
      </w:r>
    </w:p>
    <w:p w14:paraId="290E8376" w14:textId="1B0819F6"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t>Recommendation 4:</w:t>
      </w:r>
      <w:r w:rsidRPr="00113F13">
        <w:rPr>
          <w:rFonts w:ascii="Times New Roman" w:hAnsi="Times New Roman" w:cs="Times New Roman"/>
        </w:rPr>
        <w:t xml:space="preserve"> Further consideration</w:t>
      </w:r>
      <w:r w:rsidR="00010405">
        <w:rPr>
          <w:rFonts w:ascii="Times New Roman" w:hAnsi="Times New Roman" w:cs="Times New Roman"/>
        </w:rPr>
        <w:t xml:space="preserve"> should</w:t>
      </w:r>
      <w:r w:rsidRPr="00113F13">
        <w:rPr>
          <w:rFonts w:ascii="Times New Roman" w:hAnsi="Times New Roman" w:cs="Times New Roman"/>
        </w:rPr>
        <w:t xml:space="preserve"> be given to whether the PIPA should be amended to:</w:t>
      </w:r>
    </w:p>
    <w:p w14:paraId="2CD602EF"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introduce a criminal offence for ‘malicious re-identification’ of de-identified information where there is an intention to harm or obtain an illegitimate benefit;</w:t>
      </w:r>
      <w:r w:rsidRPr="00113F13">
        <w:rPr>
          <w:rStyle w:val="FootnoteReference"/>
          <w:rFonts w:ascii="Times New Roman" w:hAnsi="Times New Roman" w:cs="Times New Roman"/>
        </w:rPr>
        <w:footnoteReference w:id="3"/>
      </w:r>
      <w:r w:rsidRPr="00113F13">
        <w:rPr>
          <w:rFonts w:ascii="Times New Roman" w:hAnsi="Times New Roman" w:cs="Times New Roman"/>
        </w:rPr>
        <w:t xml:space="preserve"> and/or</w:t>
      </w:r>
    </w:p>
    <w:p w14:paraId="293B6617"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introduce a prohibition on PIPA personal information custodians from re-identifying information obtained from a source other than the individual to whom the information relates.</w:t>
      </w:r>
      <w:r w:rsidRPr="00113F13">
        <w:rPr>
          <w:rStyle w:val="FootnoteReference"/>
          <w:rFonts w:ascii="Times New Roman" w:hAnsi="Times New Roman" w:cs="Times New Roman"/>
        </w:rPr>
        <w:footnoteReference w:id="4"/>
      </w:r>
    </w:p>
    <w:p w14:paraId="66C83CF8" w14:textId="7C67A23F" w:rsidR="00FF302D" w:rsidRPr="00113F13" w:rsidRDefault="00FF302D" w:rsidP="00FF302D">
      <w:pPr>
        <w:rPr>
          <w:rFonts w:cs="Times New Roman"/>
        </w:rPr>
      </w:pPr>
      <w:r w:rsidRPr="00113F13">
        <w:rPr>
          <w:rFonts w:cs="Times New Roman"/>
          <w:b/>
          <w:bCs/>
        </w:rPr>
        <w:t xml:space="preserve">Recommendation 5: </w:t>
      </w:r>
      <w:r w:rsidR="00010405" w:rsidRPr="00010405">
        <w:rPr>
          <w:rFonts w:cs="Times New Roman"/>
        </w:rPr>
        <w:t>T</w:t>
      </w:r>
      <w:r w:rsidRPr="00113F13">
        <w:rPr>
          <w:rFonts w:cs="Times New Roman"/>
        </w:rPr>
        <w:t xml:space="preserve">he definition of ‘sensitive information’ in the PIPA </w:t>
      </w:r>
      <w:r w:rsidR="00010405">
        <w:rPr>
          <w:rFonts w:cs="Times New Roman"/>
        </w:rPr>
        <w:t xml:space="preserve">should be amended </w:t>
      </w:r>
      <w:r w:rsidRPr="00113F13">
        <w:rPr>
          <w:rFonts w:cs="Times New Roman"/>
        </w:rPr>
        <w:t>to include:</w:t>
      </w:r>
    </w:p>
    <w:p w14:paraId="2AD7F446"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 xml:space="preserve">biometric information used for the purpose of automated biometric verification or biometric identification; </w:t>
      </w:r>
    </w:p>
    <w:p w14:paraId="39C2F6C6"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biometric templates; and</w:t>
      </w:r>
    </w:p>
    <w:p w14:paraId="0781DF80"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genetic information about an individual that is not otherwise health information.</w:t>
      </w:r>
    </w:p>
    <w:p w14:paraId="1C67F59D" w14:textId="4BA09951"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t>Recommendation 6</w:t>
      </w:r>
      <w:r w:rsidRPr="00113F13">
        <w:rPr>
          <w:rFonts w:ascii="Times New Roman" w:hAnsi="Times New Roman" w:cs="Times New Roman"/>
        </w:rPr>
        <w:t>: If Recommendation 1 is implemented, the definition of ‘sensitive information’ should also be amended to replace ‘about’ with ‘relat</w:t>
      </w:r>
      <w:r w:rsidR="00010405">
        <w:rPr>
          <w:rFonts w:ascii="Times New Roman" w:hAnsi="Times New Roman" w:cs="Times New Roman"/>
        </w:rPr>
        <w:t>ing</w:t>
      </w:r>
      <w:r w:rsidRPr="00113F13">
        <w:rPr>
          <w:rFonts w:ascii="Times New Roman" w:hAnsi="Times New Roman" w:cs="Times New Roman"/>
        </w:rPr>
        <w:t xml:space="preserve"> to’.</w:t>
      </w:r>
    </w:p>
    <w:p w14:paraId="5B463FC8" w14:textId="21757240" w:rsidR="00FF302D" w:rsidRPr="00010405" w:rsidRDefault="00FF302D" w:rsidP="00FF302D">
      <w:pPr>
        <w:pStyle w:val="Heading3"/>
        <w:numPr>
          <w:ilvl w:val="2"/>
          <w:numId w:val="0"/>
        </w:numPr>
        <w:rPr>
          <w:rFonts w:ascii="Times New Roman" w:hAnsi="Times New Roman" w:cs="Times New Roman"/>
          <w:color w:val="auto"/>
        </w:rPr>
      </w:pPr>
      <w:bookmarkStart w:id="9" w:name="_Toc164600210"/>
      <w:r w:rsidRPr="00010405">
        <w:rPr>
          <w:rFonts w:ascii="Times New Roman" w:hAnsi="Times New Roman" w:cs="Times New Roman"/>
          <w:b/>
          <w:bCs/>
          <w:color w:val="auto"/>
        </w:rPr>
        <w:t xml:space="preserve">Recommendation 7: </w:t>
      </w:r>
      <w:r w:rsidRPr="00010405">
        <w:rPr>
          <w:rFonts w:ascii="Times New Roman" w:hAnsi="Times New Roman" w:cs="Times New Roman"/>
          <w:color w:val="auto"/>
        </w:rPr>
        <w:t>The definition of ‘health information’ in the PIPA</w:t>
      </w:r>
      <w:r w:rsidR="00010405" w:rsidRPr="00010405">
        <w:rPr>
          <w:rFonts w:ascii="Times New Roman" w:hAnsi="Times New Roman" w:cs="Times New Roman"/>
          <w:color w:val="auto"/>
        </w:rPr>
        <w:t xml:space="preserve"> should</w:t>
      </w:r>
      <w:r w:rsidRPr="00010405">
        <w:rPr>
          <w:rFonts w:ascii="Times New Roman" w:hAnsi="Times New Roman" w:cs="Times New Roman"/>
          <w:color w:val="auto"/>
        </w:rPr>
        <w:t xml:space="preserve"> be amended to align with the definition of ‘personal information’.</w:t>
      </w:r>
      <w:bookmarkEnd w:id="9"/>
    </w:p>
    <w:p w14:paraId="3109BAE4" w14:textId="77777777"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t>Recommendation 8</w:t>
      </w:r>
      <w:r w:rsidRPr="00113F13">
        <w:rPr>
          <w:rFonts w:ascii="Times New Roman" w:hAnsi="Times New Roman" w:cs="Times New Roman"/>
        </w:rPr>
        <w:t>: In line with developments at the Commonwealth level and the desirability of consistency with the approach in other jurisdictions, further consideration should be given to amending the PIPA to expand the definition of ‘sensitive information’ to:</w:t>
      </w:r>
    </w:p>
    <w:p w14:paraId="5D53917F" w14:textId="0A19D72D"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include genomic information;</w:t>
      </w:r>
      <w:r w:rsidR="001422A1">
        <w:rPr>
          <w:rFonts w:ascii="Times New Roman" w:hAnsi="Times New Roman" w:cs="Times New Roman"/>
        </w:rPr>
        <w:t xml:space="preserve"> and</w:t>
      </w:r>
    </w:p>
    <w:p w14:paraId="6A0198B7"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include inferences about sensitive information.</w:t>
      </w:r>
    </w:p>
    <w:p w14:paraId="5A4C8DAE" w14:textId="22CDFEDE"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lastRenderedPageBreak/>
        <w:t>Recommendation 9:</w:t>
      </w:r>
      <w:r w:rsidRPr="00113F13">
        <w:rPr>
          <w:rFonts w:ascii="Times New Roman" w:hAnsi="Times New Roman" w:cs="Times New Roman"/>
        </w:rPr>
        <w:t xml:space="preserve"> Pending the outcome of the Commonwealth Privacy Act Review, further consideration </w:t>
      </w:r>
      <w:r w:rsidR="00010405">
        <w:rPr>
          <w:rFonts w:ascii="Times New Roman" w:hAnsi="Times New Roman" w:cs="Times New Roman"/>
        </w:rPr>
        <w:t xml:space="preserve">should </w:t>
      </w:r>
      <w:r w:rsidRPr="00113F13">
        <w:rPr>
          <w:rFonts w:ascii="Times New Roman" w:hAnsi="Times New Roman" w:cs="Times New Roman"/>
        </w:rPr>
        <w:t>be given to amending the PIPA to:</w:t>
      </w:r>
    </w:p>
    <w:p w14:paraId="45E426F3"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 xml:space="preserve">insert a definition of geolocation tracking data; and </w:t>
      </w:r>
    </w:p>
    <w:p w14:paraId="5CB710D7" w14:textId="29B2118C"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specify that such geolocation tracking data can only be collected, used, disclosed</w:t>
      </w:r>
      <w:r w:rsidR="00010405">
        <w:rPr>
          <w:rFonts w:ascii="Times New Roman" w:hAnsi="Times New Roman" w:cs="Times New Roman"/>
        </w:rPr>
        <w:t>,</w:t>
      </w:r>
      <w:r w:rsidRPr="00113F13">
        <w:rPr>
          <w:rFonts w:ascii="Times New Roman" w:hAnsi="Times New Roman" w:cs="Times New Roman"/>
        </w:rPr>
        <w:t xml:space="preserve"> and stored with consent.</w:t>
      </w:r>
    </w:p>
    <w:p w14:paraId="760DFCC4" w14:textId="0C818DD0" w:rsidR="00FF302D" w:rsidRPr="00113F13" w:rsidRDefault="00FF302D" w:rsidP="00FF302D">
      <w:pPr>
        <w:rPr>
          <w:rFonts w:cs="Times New Roman"/>
        </w:rPr>
      </w:pPr>
      <w:r w:rsidRPr="00113F13">
        <w:rPr>
          <w:rFonts w:cs="Times New Roman"/>
          <w:b/>
          <w:bCs/>
        </w:rPr>
        <w:t>Recommendation 10:</w:t>
      </w:r>
      <w:r w:rsidRPr="00113F13">
        <w:rPr>
          <w:rFonts w:cs="Times New Roman"/>
        </w:rPr>
        <w:t xml:space="preserve"> Section 12 of the PIPA should</w:t>
      </w:r>
      <w:r w:rsidR="00010405">
        <w:rPr>
          <w:rFonts w:cs="Times New Roman"/>
        </w:rPr>
        <w:t xml:space="preserve"> be</w:t>
      </w:r>
      <w:r w:rsidRPr="00113F13">
        <w:rPr>
          <w:rFonts w:cs="Times New Roman"/>
        </w:rPr>
        <w:t xml:space="preserve"> subject to further consultation with public authorities, to clarify whether the provision is necessary in light of other information-sharing provisions in the PIPA.</w:t>
      </w:r>
    </w:p>
    <w:p w14:paraId="11A6E44A" w14:textId="77777777" w:rsidR="00FF302D" w:rsidRPr="00113F13" w:rsidRDefault="00FF302D" w:rsidP="00FF302D">
      <w:pPr>
        <w:rPr>
          <w:rFonts w:cs="Times New Roman"/>
        </w:rPr>
      </w:pPr>
      <w:r w:rsidRPr="00113F13">
        <w:rPr>
          <w:rFonts w:cs="Times New Roman"/>
          <w:b/>
          <w:bCs/>
        </w:rPr>
        <w:t xml:space="preserve">Recommendation 11: </w:t>
      </w:r>
      <w:r w:rsidRPr="00113F13">
        <w:rPr>
          <w:rFonts w:cs="Times New Roman"/>
        </w:rPr>
        <w:t>The employee information exemptions in the PIPA should be removed.</w:t>
      </w:r>
    </w:p>
    <w:p w14:paraId="4A90B2BD" w14:textId="77777777" w:rsidR="00FF302D" w:rsidRPr="00113F13" w:rsidRDefault="00FF302D" w:rsidP="00FF302D">
      <w:pPr>
        <w:rPr>
          <w:rFonts w:cs="Times New Roman"/>
        </w:rPr>
      </w:pPr>
      <w:r w:rsidRPr="00113F13">
        <w:rPr>
          <w:rFonts w:cs="Times New Roman"/>
          <w:b/>
          <w:bCs/>
        </w:rPr>
        <w:t xml:space="preserve">Recommendation 12: </w:t>
      </w:r>
      <w:r w:rsidRPr="00113F13">
        <w:rPr>
          <w:rFonts w:cs="Times New Roman"/>
        </w:rPr>
        <w:t>The public information exemption in the PIPA should be removed. Consideration should be given to ensuring that appropriate resources, guidance and transition periods are set to enable public authorities to comply with this amendment.</w:t>
      </w:r>
    </w:p>
    <w:p w14:paraId="2C25DDEB" w14:textId="457176B4" w:rsidR="00FF302D" w:rsidRPr="00113F13" w:rsidRDefault="00FF302D" w:rsidP="00FF302D">
      <w:pPr>
        <w:rPr>
          <w:rFonts w:cs="Times New Roman"/>
        </w:rPr>
      </w:pPr>
      <w:r w:rsidRPr="00113F13">
        <w:rPr>
          <w:rFonts w:cs="Times New Roman"/>
          <w:b/>
          <w:bCs/>
        </w:rPr>
        <w:t xml:space="preserve">Recommendation 13: </w:t>
      </w:r>
      <w:r w:rsidRPr="00113F13">
        <w:rPr>
          <w:rFonts w:cs="Times New Roman"/>
        </w:rPr>
        <w:t xml:space="preserve">A definition of </w:t>
      </w:r>
      <w:r w:rsidR="00010405">
        <w:rPr>
          <w:rFonts w:cs="Times New Roman"/>
        </w:rPr>
        <w:t>‘</w:t>
      </w:r>
      <w:r w:rsidRPr="00113F13">
        <w:rPr>
          <w:rFonts w:cs="Times New Roman"/>
        </w:rPr>
        <w:t>law enforcement information</w:t>
      </w:r>
      <w:r w:rsidR="00010405">
        <w:rPr>
          <w:rFonts w:cs="Times New Roman"/>
        </w:rPr>
        <w:t>’</w:t>
      </w:r>
      <w:r w:rsidRPr="00113F13">
        <w:rPr>
          <w:rFonts w:cs="Times New Roman"/>
        </w:rPr>
        <w:t xml:space="preserve"> should be included in the PIPA.</w:t>
      </w:r>
    </w:p>
    <w:p w14:paraId="43BF515E" w14:textId="77777777" w:rsidR="00FF302D" w:rsidRPr="00113F13" w:rsidRDefault="00FF302D" w:rsidP="00FF302D">
      <w:pPr>
        <w:rPr>
          <w:rFonts w:cs="Times New Roman"/>
        </w:rPr>
      </w:pPr>
      <w:r w:rsidRPr="00113F13">
        <w:rPr>
          <w:rFonts w:cs="Times New Roman"/>
          <w:b/>
          <w:bCs/>
        </w:rPr>
        <w:t xml:space="preserve">Recommendation 14: </w:t>
      </w:r>
      <w:r w:rsidRPr="00113F13">
        <w:rPr>
          <w:rFonts w:cs="Times New Roman"/>
        </w:rPr>
        <w:t>The public benefit exemption mechanism should be amended to either:</w:t>
      </w:r>
    </w:p>
    <w:p w14:paraId="1DA16A8D" w14:textId="77777777" w:rsidR="00FF302D" w:rsidRPr="00113F13" w:rsidRDefault="00FF302D" w:rsidP="00B63604">
      <w:pPr>
        <w:pStyle w:val="ListParagraph"/>
        <w:numPr>
          <w:ilvl w:val="0"/>
          <w:numId w:val="36"/>
        </w:numPr>
        <w:spacing w:after="160" w:line="259" w:lineRule="auto"/>
        <w:rPr>
          <w:rFonts w:cs="Times New Roman"/>
        </w:rPr>
      </w:pPr>
      <w:r w:rsidRPr="00113F13">
        <w:rPr>
          <w:rFonts w:cs="Times New Roman"/>
        </w:rPr>
        <w:t>introduce a mechanism making Ministerial public benefit determinations subject to disallowance by the Parliament; or</w:t>
      </w:r>
    </w:p>
    <w:p w14:paraId="5481702C" w14:textId="4A65E411" w:rsidR="00FF302D" w:rsidRPr="00113F13" w:rsidRDefault="00FF302D" w:rsidP="00B63604">
      <w:pPr>
        <w:pStyle w:val="ListParagraph"/>
        <w:numPr>
          <w:ilvl w:val="0"/>
          <w:numId w:val="36"/>
        </w:numPr>
        <w:spacing w:after="160" w:line="259" w:lineRule="auto"/>
        <w:rPr>
          <w:rFonts w:cs="Times New Roman"/>
        </w:rPr>
      </w:pPr>
      <w:r w:rsidRPr="00113F13">
        <w:rPr>
          <w:rFonts w:cs="Times New Roman"/>
        </w:rPr>
        <w:t xml:space="preserve">if </w:t>
      </w:r>
      <w:r w:rsidR="00010405">
        <w:rPr>
          <w:rFonts w:cs="Times New Roman"/>
        </w:rPr>
        <w:t>R</w:t>
      </w:r>
      <w:r w:rsidRPr="00113F13">
        <w:rPr>
          <w:rFonts w:cs="Times New Roman"/>
        </w:rPr>
        <w:t>ecommendation</w:t>
      </w:r>
      <w:r w:rsidR="00010405">
        <w:rPr>
          <w:rFonts w:cs="Times New Roman"/>
        </w:rPr>
        <w:t xml:space="preserve"> 47</w:t>
      </w:r>
      <w:r w:rsidRPr="00113F13">
        <w:rPr>
          <w:rFonts w:cs="Times New Roman"/>
        </w:rPr>
        <w:t xml:space="preserve"> is adopted and an independent office-holder (such as an information commissioner or a privacy commissioner) is established, confer the power to make public benefit determinations on that office-holder, subject to disallowance by the Parliament.</w:t>
      </w:r>
    </w:p>
    <w:p w14:paraId="04B936BB" w14:textId="77777777" w:rsidR="00FF302D" w:rsidRPr="00113F13" w:rsidRDefault="00FF302D" w:rsidP="00FF302D">
      <w:pPr>
        <w:rPr>
          <w:rFonts w:cs="Times New Roman"/>
        </w:rPr>
      </w:pPr>
      <w:r w:rsidRPr="00113F13">
        <w:rPr>
          <w:rFonts w:cs="Times New Roman"/>
          <w:b/>
          <w:bCs/>
        </w:rPr>
        <w:t xml:space="preserve">Recommendation 15: </w:t>
      </w:r>
      <w:r w:rsidRPr="00113F13">
        <w:rPr>
          <w:rFonts w:cs="Times New Roman"/>
        </w:rPr>
        <w:t>There should be appropriate exemptions for information handling in emergency situations in the PIPA.</w:t>
      </w:r>
    </w:p>
    <w:p w14:paraId="5075693E" w14:textId="77777777" w:rsidR="00FF302D" w:rsidRPr="00113F13" w:rsidRDefault="00FF302D" w:rsidP="00FF302D">
      <w:pPr>
        <w:rPr>
          <w:rFonts w:cs="Times New Roman"/>
        </w:rPr>
      </w:pPr>
      <w:r w:rsidRPr="00113F13">
        <w:rPr>
          <w:rFonts w:cs="Times New Roman"/>
          <w:b/>
          <w:bCs/>
        </w:rPr>
        <w:t xml:space="preserve">Recommendation 16: </w:t>
      </w:r>
      <w:r w:rsidRPr="00113F13">
        <w:rPr>
          <w:rFonts w:cs="Times New Roman"/>
        </w:rPr>
        <w:t>The term ‘collects’ should be defined in the PIPA, and the definition should include inferred and generated information.</w:t>
      </w:r>
    </w:p>
    <w:p w14:paraId="43534A09" w14:textId="77777777" w:rsidR="00FF302D" w:rsidRPr="00113F13" w:rsidRDefault="00FF302D" w:rsidP="00FF302D">
      <w:pPr>
        <w:rPr>
          <w:rFonts w:cs="Times New Roman"/>
        </w:rPr>
      </w:pPr>
      <w:r w:rsidRPr="00113F13">
        <w:rPr>
          <w:rFonts w:cs="Times New Roman"/>
          <w:b/>
          <w:bCs/>
        </w:rPr>
        <w:t xml:space="preserve">Recommendation 17: </w:t>
      </w:r>
      <w:r w:rsidRPr="00113F13">
        <w:rPr>
          <w:rFonts w:cs="Times New Roman"/>
        </w:rPr>
        <w:t>PIPP 1(3) should be amended to require personal information custodians to disclose who else may have access to the information once collected.</w:t>
      </w:r>
    </w:p>
    <w:p w14:paraId="6D4C254A" w14:textId="77777777" w:rsidR="00FF302D" w:rsidRPr="00113F13" w:rsidRDefault="00FF302D" w:rsidP="00FF302D">
      <w:pPr>
        <w:rPr>
          <w:rFonts w:cs="Times New Roman"/>
        </w:rPr>
      </w:pPr>
      <w:r w:rsidRPr="00113F13">
        <w:rPr>
          <w:rFonts w:cs="Times New Roman"/>
          <w:b/>
          <w:bCs/>
        </w:rPr>
        <w:t xml:space="preserve">Recommendation 18: </w:t>
      </w:r>
      <w:r w:rsidRPr="00113F13">
        <w:rPr>
          <w:rFonts w:cs="Times New Roman"/>
        </w:rPr>
        <w:t>PIPP 1 should be amended to require personal information custodians to take reasonable steps to give notice of collection at or before the time of collection or, if that is not practicable, as soon as practicable after collection.</w:t>
      </w:r>
    </w:p>
    <w:p w14:paraId="1D3F88E9" w14:textId="77777777" w:rsidR="00FF302D" w:rsidRPr="00113F13" w:rsidRDefault="00FF302D" w:rsidP="00FF302D">
      <w:pPr>
        <w:rPr>
          <w:rFonts w:cs="Times New Roman"/>
        </w:rPr>
      </w:pPr>
      <w:r w:rsidRPr="00113F13">
        <w:rPr>
          <w:rFonts w:cs="Times New Roman"/>
          <w:b/>
          <w:bCs/>
        </w:rPr>
        <w:t xml:space="preserve">Recommendation 19: </w:t>
      </w:r>
      <w:r w:rsidRPr="00113F13">
        <w:rPr>
          <w:rFonts w:cs="Times New Roman"/>
        </w:rPr>
        <w:t>Further consideration should be given to the recommendations of the Commonwealth Privacy Act Review in relation to whether the PIPA requirements relating to collection notices should be amended to:</w:t>
      </w:r>
    </w:p>
    <w:p w14:paraId="29742465" w14:textId="4A765131" w:rsidR="00FF302D" w:rsidRPr="00113F13" w:rsidRDefault="00FF302D" w:rsidP="00B63604">
      <w:pPr>
        <w:pStyle w:val="Dotpointlist"/>
        <w:numPr>
          <w:ilvl w:val="0"/>
          <w:numId w:val="38"/>
        </w:numPr>
        <w:jc w:val="both"/>
        <w:rPr>
          <w:rFonts w:ascii="Times New Roman" w:hAnsi="Times New Roman" w:cs="Times New Roman"/>
        </w:rPr>
      </w:pPr>
      <w:r w:rsidRPr="00113F13">
        <w:rPr>
          <w:rFonts w:ascii="Times New Roman" w:hAnsi="Times New Roman" w:cs="Times New Roman"/>
        </w:rPr>
        <w:t>require that collection notices should be clear and understandable (including where addressed to a child) and accessible; and</w:t>
      </w:r>
    </w:p>
    <w:p w14:paraId="67A4F0AF" w14:textId="3DE921AC" w:rsidR="00FF302D" w:rsidRPr="00113F13" w:rsidRDefault="00FF302D" w:rsidP="00B63604">
      <w:pPr>
        <w:pStyle w:val="Dotpointlist"/>
        <w:numPr>
          <w:ilvl w:val="0"/>
          <w:numId w:val="38"/>
        </w:numPr>
        <w:jc w:val="both"/>
        <w:rPr>
          <w:rFonts w:ascii="Times New Roman" w:hAnsi="Times New Roman" w:cs="Times New Roman"/>
        </w:rPr>
      </w:pPr>
      <w:r w:rsidRPr="00113F13">
        <w:rPr>
          <w:rFonts w:ascii="Times New Roman" w:hAnsi="Times New Roman" w:cs="Times New Roman"/>
        </w:rPr>
        <w:t>require that collection notices contain additional details, such as details of the circumstances of handling where a high-risk activity is involved, information about the privacy policy and what it contains,</w:t>
      </w:r>
      <w:r w:rsidR="007B3227">
        <w:rPr>
          <w:rFonts w:ascii="Times New Roman" w:hAnsi="Times New Roman" w:cs="Times New Roman"/>
        </w:rPr>
        <w:t xml:space="preserve"> and</w:t>
      </w:r>
      <w:r w:rsidRPr="00113F13">
        <w:rPr>
          <w:rFonts w:ascii="Times New Roman" w:hAnsi="Times New Roman" w:cs="Times New Roman"/>
        </w:rPr>
        <w:t xml:space="preserve"> information about individual rights and types of information that may be disclosed to cross-border recipients.</w:t>
      </w:r>
    </w:p>
    <w:p w14:paraId="3DB25A0B" w14:textId="594C72B7" w:rsidR="00FF302D" w:rsidRPr="00113F13" w:rsidRDefault="00FF302D" w:rsidP="00FF302D">
      <w:pPr>
        <w:rPr>
          <w:rFonts w:cs="Times New Roman"/>
        </w:rPr>
      </w:pPr>
      <w:r w:rsidRPr="00113F13">
        <w:rPr>
          <w:rFonts w:cs="Times New Roman"/>
          <w:b/>
          <w:bCs/>
        </w:rPr>
        <w:t xml:space="preserve">Recommendation 20: </w:t>
      </w:r>
      <w:r w:rsidRPr="00113F13">
        <w:rPr>
          <w:rFonts w:cs="Times New Roman"/>
        </w:rPr>
        <w:t>PIPP 1 should be amended to enable personal information custodians to collect personal information about an individual from a person other than the individual</w:t>
      </w:r>
      <w:r w:rsidR="00010405">
        <w:rPr>
          <w:rFonts w:cs="Times New Roman"/>
        </w:rPr>
        <w:t>,</w:t>
      </w:r>
      <w:r w:rsidRPr="00113F13">
        <w:rPr>
          <w:rFonts w:cs="Times New Roman"/>
        </w:rPr>
        <w:t xml:space="preserve"> where the individual has consented or the custodian is required by law to collect the information.</w:t>
      </w:r>
    </w:p>
    <w:p w14:paraId="7E35241F" w14:textId="77777777" w:rsidR="00FF302D" w:rsidRPr="00113F13" w:rsidRDefault="00FF302D" w:rsidP="00FF302D">
      <w:pPr>
        <w:rPr>
          <w:rFonts w:cs="Times New Roman"/>
        </w:rPr>
      </w:pPr>
      <w:r w:rsidRPr="00113F13">
        <w:rPr>
          <w:rFonts w:cs="Times New Roman"/>
          <w:b/>
          <w:bCs/>
        </w:rPr>
        <w:lastRenderedPageBreak/>
        <w:t xml:space="preserve">Recommendation 21: </w:t>
      </w:r>
      <w:r w:rsidRPr="00113F13">
        <w:rPr>
          <w:rFonts w:cs="Times New Roman"/>
        </w:rPr>
        <w:t>The PIPA should be amended to insert a definition of ‘consent’ consistent with the definition of valid consent in the OAIC Guidelines on the Australian Privacy Principles.</w:t>
      </w:r>
    </w:p>
    <w:p w14:paraId="57B7A814" w14:textId="77777777" w:rsidR="00FF302D" w:rsidRPr="00010405" w:rsidRDefault="00FF302D" w:rsidP="00FF302D">
      <w:pPr>
        <w:pStyle w:val="Heading3"/>
        <w:numPr>
          <w:ilvl w:val="2"/>
          <w:numId w:val="0"/>
        </w:numPr>
        <w:rPr>
          <w:rFonts w:ascii="Times New Roman" w:hAnsi="Times New Roman" w:cs="Times New Roman"/>
          <w:color w:val="auto"/>
        </w:rPr>
      </w:pPr>
      <w:bookmarkStart w:id="10" w:name="_Toc164600211"/>
      <w:r w:rsidRPr="00010405">
        <w:rPr>
          <w:rFonts w:ascii="Times New Roman" w:hAnsi="Times New Roman" w:cs="Times New Roman"/>
          <w:b/>
          <w:bCs/>
          <w:color w:val="auto"/>
        </w:rPr>
        <w:t xml:space="preserve">Recommendation 22: </w:t>
      </w:r>
      <w:r w:rsidRPr="00010405">
        <w:rPr>
          <w:rFonts w:ascii="Times New Roman" w:hAnsi="Times New Roman" w:cs="Times New Roman"/>
          <w:color w:val="auto"/>
        </w:rPr>
        <w:t>Guidance on the design of consent requests for online services should be available to personal information custodians.</w:t>
      </w:r>
      <w:bookmarkEnd w:id="10"/>
    </w:p>
    <w:p w14:paraId="3BB7F9FB" w14:textId="77777777" w:rsidR="00FF302D" w:rsidRPr="00113F13" w:rsidRDefault="00FF302D" w:rsidP="00FF302D">
      <w:pPr>
        <w:rPr>
          <w:rFonts w:cs="Times New Roman"/>
        </w:rPr>
      </w:pPr>
      <w:r w:rsidRPr="00113F13">
        <w:rPr>
          <w:rFonts w:cs="Times New Roman"/>
          <w:b/>
          <w:bCs/>
        </w:rPr>
        <w:t xml:space="preserve">Recommendation 23: </w:t>
      </w:r>
      <w:r w:rsidRPr="00113F13">
        <w:rPr>
          <w:rFonts w:cs="Times New Roman"/>
        </w:rPr>
        <w:t>PIPP 1 should be amended to specify how personal information custodians should respond to receiving unsolicited information.</w:t>
      </w:r>
    </w:p>
    <w:p w14:paraId="1BFDEF8C" w14:textId="77777777" w:rsidR="00FF302D" w:rsidRPr="00113F13" w:rsidRDefault="00FF302D" w:rsidP="00FF302D">
      <w:pPr>
        <w:rPr>
          <w:rFonts w:cs="Times New Roman"/>
        </w:rPr>
      </w:pPr>
      <w:r w:rsidRPr="00113F13">
        <w:rPr>
          <w:rFonts w:cs="Times New Roman"/>
          <w:b/>
          <w:bCs/>
        </w:rPr>
        <w:t xml:space="preserve">Recommendation 24: </w:t>
      </w:r>
      <w:r w:rsidRPr="00113F13">
        <w:rPr>
          <w:rFonts w:cs="Times New Roman"/>
        </w:rPr>
        <w:t>Further consideration should be given to aligning the PIPA with the Privacy Act in relation to cross-border in terms of:</w:t>
      </w:r>
    </w:p>
    <w:p w14:paraId="77DB8DC5" w14:textId="77777777" w:rsidR="00FF302D" w:rsidRPr="00113F13" w:rsidRDefault="00FF302D" w:rsidP="00B63604">
      <w:pPr>
        <w:pStyle w:val="Dotpointlist"/>
        <w:numPr>
          <w:ilvl w:val="0"/>
          <w:numId w:val="38"/>
        </w:numPr>
        <w:jc w:val="both"/>
        <w:rPr>
          <w:rFonts w:ascii="Times New Roman" w:hAnsi="Times New Roman" w:cs="Times New Roman"/>
        </w:rPr>
      </w:pPr>
      <w:r w:rsidRPr="00113F13">
        <w:rPr>
          <w:rFonts w:ascii="Times New Roman" w:hAnsi="Times New Roman" w:cs="Times New Roman"/>
        </w:rPr>
        <w:t>whether personal information custodians should be required to hold a reasonable belief that there are mechanisms for the individual to enforce existing privacy protections prior to cross-border disclosure;</w:t>
      </w:r>
    </w:p>
    <w:p w14:paraId="3CDABC72" w14:textId="77777777" w:rsidR="00FF302D" w:rsidRPr="00113F13" w:rsidRDefault="00FF302D" w:rsidP="00B63604">
      <w:pPr>
        <w:pStyle w:val="Dotpointlist"/>
        <w:numPr>
          <w:ilvl w:val="0"/>
          <w:numId w:val="38"/>
        </w:numPr>
        <w:jc w:val="both"/>
        <w:rPr>
          <w:rFonts w:ascii="Times New Roman" w:hAnsi="Times New Roman" w:cs="Times New Roman"/>
        </w:rPr>
      </w:pPr>
      <w:r w:rsidRPr="00113F13">
        <w:rPr>
          <w:rFonts w:ascii="Times New Roman" w:hAnsi="Times New Roman" w:cs="Times New Roman"/>
        </w:rPr>
        <w:t>whether personal information custodians should be required to expressly inform individuals that, if the individual consents to cross-border disclosure, the custodian will not be obliged to take reasonable steps to ensure the recipient does not breach the PIPP (and, per the Privacy Act Review’s further proposal, that privacy protections may not apply to the recipient); and</w:t>
      </w:r>
    </w:p>
    <w:p w14:paraId="2E7C4140" w14:textId="77777777" w:rsidR="00FF302D" w:rsidRPr="00113F13" w:rsidRDefault="00FF302D" w:rsidP="00B63604">
      <w:pPr>
        <w:pStyle w:val="Dotpointlist"/>
        <w:numPr>
          <w:ilvl w:val="0"/>
          <w:numId w:val="38"/>
        </w:numPr>
        <w:jc w:val="both"/>
        <w:rPr>
          <w:rFonts w:ascii="Times New Roman" w:hAnsi="Times New Roman" w:cs="Times New Roman"/>
        </w:rPr>
      </w:pPr>
      <w:r w:rsidRPr="00113F13">
        <w:rPr>
          <w:rFonts w:ascii="Times New Roman" w:hAnsi="Times New Roman" w:cs="Times New Roman"/>
        </w:rPr>
        <w:t>whether personal information custodians retain responsibility for breaches of the PIPPs after they have taken reasonable steps to ensure the recipient deals with the information consistently with the PIPPs.</w:t>
      </w:r>
    </w:p>
    <w:p w14:paraId="6FDFF3F0" w14:textId="67F1FDCF" w:rsidR="00FF302D" w:rsidRPr="00113F13" w:rsidRDefault="00FF302D" w:rsidP="00FF302D">
      <w:pPr>
        <w:rPr>
          <w:rFonts w:cs="Times New Roman"/>
        </w:rPr>
      </w:pPr>
      <w:r w:rsidRPr="00113F13">
        <w:rPr>
          <w:rFonts w:cs="Times New Roman"/>
          <w:b/>
          <w:bCs/>
        </w:rPr>
        <w:t xml:space="preserve">Recommendation 25: </w:t>
      </w:r>
      <w:r w:rsidRPr="00113F13">
        <w:rPr>
          <w:rFonts w:cs="Times New Roman"/>
        </w:rPr>
        <w:t xml:space="preserve">The PIPA should be amended to include a definition of ‘disclosure’ consistent with the current definition in the OAIC </w:t>
      </w:r>
      <w:r w:rsidR="00010405">
        <w:rPr>
          <w:rFonts w:cs="Times New Roman"/>
        </w:rPr>
        <w:t>G</w:t>
      </w:r>
      <w:r w:rsidRPr="00113F13">
        <w:rPr>
          <w:rFonts w:cs="Times New Roman"/>
        </w:rPr>
        <w:t>uidelines on the A</w:t>
      </w:r>
      <w:r w:rsidR="00C432D2">
        <w:rPr>
          <w:rFonts w:cs="Times New Roman"/>
        </w:rPr>
        <w:t>ustralian Privacy</w:t>
      </w:r>
      <w:r w:rsidRPr="00113F13">
        <w:rPr>
          <w:rFonts w:cs="Times New Roman"/>
        </w:rPr>
        <w:t xml:space="preserve"> Principles.</w:t>
      </w:r>
    </w:p>
    <w:p w14:paraId="7D9E2729" w14:textId="77777777" w:rsidR="00FF302D" w:rsidRPr="00113F13" w:rsidRDefault="00FF302D" w:rsidP="00FF302D">
      <w:pPr>
        <w:rPr>
          <w:rFonts w:cs="Times New Roman"/>
        </w:rPr>
      </w:pPr>
      <w:r w:rsidRPr="00113F13">
        <w:rPr>
          <w:rFonts w:cs="Times New Roman"/>
          <w:b/>
          <w:bCs/>
        </w:rPr>
        <w:t>Recommendation 26</w:t>
      </w:r>
      <w:r w:rsidRPr="00113F13">
        <w:rPr>
          <w:rFonts w:cs="Times New Roman"/>
        </w:rPr>
        <w:t>: The PIPA should be amended to require that collection, use and disclosure of personal information must be fair and reasonable in the circumstances, in line with the recommendation of the Privacy Act Review.</w:t>
      </w:r>
      <w:r w:rsidRPr="00113F13">
        <w:rPr>
          <w:rStyle w:val="FootnoteReference"/>
          <w:rFonts w:ascii="Times New Roman" w:hAnsi="Times New Roman" w:cs="Times New Roman"/>
        </w:rPr>
        <w:footnoteReference w:id="5"/>
      </w:r>
    </w:p>
    <w:p w14:paraId="37513C2B" w14:textId="3CB27A39" w:rsidR="00FF302D" w:rsidRPr="00113F13" w:rsidRDefault="00FF302D" w:rsidP="00FF302D">
      <w:pPr>
        <w:rPr>
          <w:rFonts w:cs="Times New Roman"/>
        </w:rPr>
      </w:pPr>
      <w:r w:rsidRPr="00113F13">
        <w:rPr>
          <w:rFonts w:cs="Times New Roman"/>
          <w:b/>
          <w:bCs/>
        </w:rPr>
        <w:t xml:space="preserve">Recommendation 27: </w:t>
      </w:r>
      <w:r w:rsidRPr="00113F13">
        <w:rPr>
          <w:rFonts w:cs="Times New Roman"/>
        </w:rPr>
        <w:t>The PIPA (PIPP 1) should be amended to require personal information custodians to determine and record the purposes of collection, use</w:t>
      </w:r>
      <w:r w:rsidR="00010405">
        <w:rPr>
          <w:rFonts w:cs="Times New Roman"/>
        </w:rPr>
        <w:t>,</w:t>
      </w:r>
      <w:r w:rsidRPr="00113F13">
        <w:rPr>
          <w:rFonts w:cs="Times New Roman"/>
        </w:rPr>
        <w:t xml:space="preserve"> and disclosure of personal information, including any secondary uses or disclosures.</w:t>
      </w:r>
    </w:p>
    <w:p w14:paraId="427E033B" w14:textId="77777777" w:rsidR="00FF302D" w:rsidRPr="00113F13" w:rsidRDefault="00FF302D" w:rsidP="00FF302D">
      <w:pPr>
        <w:rPr>
          <w:rFonts w:cs="Times New Roman"/>
        </w:rPr>
      </w:pPr>
      <w:r w:rsidRPr="00113F13">
        <w:rPr>
          <w:rFonts w:cs="Times New Roman"/>
          <w:b/>
          <w:bCs/>
        </w:rPr>
        <w:t>Recommendation 28</w:t>
      </w:r>
      <w:r w:rsidRPr="00113F13">
        <w:rPr>
          <w:rFonts w:cs="Times New Roman"/>
        </w:rPr>
        <w:t xml:space="preserve">: The scope of PIPA information handling exceptions relating to requirement or authorisation under law should be clarified. </w:t>
      </w:r>
    </w:p>
    <w:p w14:paraId="774EBE74" w14:textId="557006B1" w:rsidR="00FF302D" w:rsidRPr="00113F13" w:rsidRDefault="00FF302D" w:rsidP="00FF302D">
      <w:pPr>
        <w:rPr>
          <w:rFonts w:cs="Times New Roman"/>
        </w:rPr>
      </w:pPr>
      <w:r w:rsidRPr="00113F13">
        <w:rPr>
          <w:rFonts w:cs="Times New Roman"/>
          <w:b/>
          <w:bCs/>
        </w:rPr>
        <w:t xml:space="preserve">Recommendation 29: </w:t>
      </w:r>
      <w:r w:rsidRPr="00113F13">
        <w:rPr>
          <w:rFonts w:cs="Times New Roman"/>
        </w:rPr>
        <w:t>The PIPA should be amended to state that consent to personal information handling must be ‘voluntary, informed, current, specific, and unambiguous’, in line with the proposal of the Privacy Act Review</w:t>
      </w:r>
      <w:r w:rsidR="00010405">
        <w:rPr>
          <w:rFonts w:cs="Times New Roman"/>
        </w:rPr>
        <w:t>.</w:t>
      </w:r>
    </w:p>
    <w:p w14:paraId="22ED680C" w14:textId="77777777" w:rsidR="00FF302D" w:rsidRPr="00113F13" w:rsidRDefault="00FF302D" w:rsidP="00FF302D">
      <w:pPr>
        <w:rPr>
          <w:rFonts w:cs="Times New Roman"/>
        </w:rPr>
      </w:pPr>
      <w:r w:rsidRPr="00113F13">
        <w:rPr>
          <w:rFonts w:cs="Times New Roman"/>
          <w:b/>
          <w:bCs/>
        </w:rPr>
        <w:t xml:space="preserve">Recommendation 30: </w:t>
      </w:r>
      <w:r w:rsidRPr="00113F13">
        <w:rPr>
          <w:rFonts w:cs="Times New Roman"/>
        </w:rPr>
        <w:t>The Tasmanian Government should participate in cross-jurisdictional work on the scope and harmonisation of research exceptions in privacy legislation (as proposed by the Privacy Act Review), including in relation to the introduction of a ‘broad consent’ option for research-related personal information handling.</w:t>
      </w:r>
    </w:p>
    <w:p w14:paraId="08BD4A3D" w14:textId="77777777" w:rsidR="00FF302D" w:rsidRPr="00113F13" w:rsidRDefault="00FF302D" w:rsidP="00FF302D">
      <w:pPr>
        <w:rPr>
          <w:rFonts w:cs="Times New Roman"/>
        </w:rPr>
      </w:pPr>
      <w:r w:rsidRPr="00113F13">
        <w:rPr>
          <w:rFonts w:cs="Times New Roman"/>
          <w:b/>
          <w:bCs/>
        </w:rPr>
        <w:t xml:space="preserve">Recommendation 31: </w:t>
      </w:r>
      <w:r w:rsidRPr="00113F13">
        <w:rPr>
          <w:rFonts w:eastAsia="Times New Roman" w:cs="Times New Roman"/>
        </w:rPr>
        <w:t>Further consultation with stakeholders, including children and young people and their parents and carers, should be undertaken to ensure that privacy protections under the PIPA are appropriate for children and young people and are consistent with contemporary understandings of children’s decision-making capacity. Matters for consultation may include:</w:t>
      </w:r>
    </w:p>
    <w:p w14:paraId="60D5AA46" w14:textId="77777777" w:rsidR="00FF302D" w:rsidRPr="00113F13" w:rsidRDefault="00FF302D" w:rsidP="00C432D2">
      <w:pPr>
        <w:pStyle w:val="ListParagraph"/>
        <w:numPr>
          <w:ilvl w:val="0"/>
          <w:numId w:val="20"/>
        </w:numPr>
        <w:spacing w:after="160" w:line="259" w:lineRule="auto"/>
        <w:rPr>
          <w:rFonts w:cs="Times New Roman"/>
        </w:rPr>
      </w:pPr>
      <w:bookmarkStart w:id="11" w:name="_Toc164600212"/>
      <w:r w:rsidRPr="00113F13">
        <w:rPr>
          <w:rFonts w:cs="Times New Roman"/>
        </w:rPr>
        <w:t>whether the PIPA should be amended to specify that consent to information handling will only be valid where the individual has capacity to consent;</w:t>
      </w:r>
      <w:bookmarkEnd w:id="11"/>
    </w:p>
    <w:p w14:paraId="7FF22E65" w14:textId="77777777" w:rsidR="00FF302D" w:rsidRPr="00113F13" w:rsidRDefault="00FF302D" w:rsidP="00C432D2">
      <w:pPr>
        <w:pStyle w:val="ListParagraph"/>
        <w:numPr>
          <w:ilvl w:val="0"/>
          <w:numId w:val="20"/>
        </w:numPr>
        <w:spacing w:after="160" w:line="259" w:lineRule="auto"/>
        <w:rPr>
          <w:rFonts w:cs="Times New Roman"/>
        </w:rPr>
      </w:pPr>
      <w:bookmarkStart w:id="12" w:name="_Toc164600213"/>
      <w:r w:rsidRPr="00113F13">
        <w:rPr>
          <w:rFonts w:cs="Times New Roman"/>
        </w:rPr>
        <w:lastRenderedPageBreak/>
        <w:t>whether the PIPA should be amended to establish exceptions to consent requirements where seeking consent from a parent or guardian would be inappropriate or harmful for the child or young person; and</w:t>
      </w:r>
      <w:bookmarkEnd w:id="12"/>
    </w:p>
    <w:p w14:paraId="08EAD946" w14:textId="283DD9E7" w:rsidR="00FF302D" w:rsidRPr="00113F13" w:rsidRDefault="00FF302D" w:rsidP="00C432D2">
      <w:pPr>
        <w:pStyle w:val="ListParagraph"/>
        <w:numPr>
          <w:ilvl w:val="0"/>
          <w:numId w:val="20"/>
        </w:numPr>
        <w:spacing w:after="160" w:line="259" w:lineRule="auto"/>
        <w:rPr>
          <w:rFonts w:cs="Times New Roman"/>
        </w:rPr>
      </w:pPr>
      <w:bookmarkStart w:id="13" w:name="_Toc164600214"/>
      <w:r w:rsidRPr="00113F13">
        <w:rPr>
          <w:rFonts w:cs="Times New Roman"/>
        </w:rPr>
        <w:t>whether guidance should be developed to assist personal information custodians to assess the capacity of children and young people on a case-by-case basis.</w:t>
      </w:r>
      <w:bookmarkEnd w:id="13"/>
    </w:p>
    <w:p w14:paraId="349DFA38" w14:textId="77777777" w:rsidR="00FF302D" w:rsidRPr="00010405" w:rsidRDefault="00FF302D" w:rsidP="00FF302D">
      <w:pPr>
        <w:pStyle w:val="Heading3"/>
        <w:numPr>
          <w:ilvl w:val="2"/>
          <w:numId w:val="0"/>
        </w:numPr>
        <w:rPr>
          <w:rFonts w:ascii="Times New Roman" w:hAnsi="Times New Roman" w:cs="Times New Roman"/>
          <w:color w:val="auto"/>
        </w:rPr>
      </w:pPr>
      <w:bookmarkStart w:id="14" w:name="_Toc164600215"/>
      <w:r w:rsidRPr="00010405">
        <w:rPr>
          <w:rFonts w:ascii="Times New Roman" w:hAnsi="Times New Roman" w:cs="Times New Roman"/>
          <w:b/>
          <w:bCs/>
          <w:color w:val="auto"/>
        </w:rPr>
        <w:t>Recommendation 32:</w:t>
      </w:r>
      <w:r w:rsidRPr="00010405">
        <w:rPr>
          <w:rFonts w:ascii="Times New Roman" w:hAnsi="Times New Roman" w:cs="Times New Roman"/>
          <w:color w:val="auto"/>
        </w:rPr>
        <w:t xml:space="preserve"> Guidance on capacity and consent, including guidance on recognising and facilitating supported decision-making, should be available to personal information custodians.</w:t>
      </w:r>
      <w:bookmarkEnd w:id="14"/>
    </w:p>
    <w:p w14:paraId="2B94FB21" w14:textId="77777777" w:rsidR="00FF302D" w:rsidRPr="00113F13" w:rsidRDefault="00FF302D" w:rsidP="00FF302D">
      <w:pPr>
        <w:rPr>
          <w:rFonts w:cs="Times New Roman"/>
        </w:rPr>
      </w:pPr>
      <w:r w:rsidRPr="00113F13">
        <w:rPr>
          <w:rFonts w:cs="Times New Roman"/>
          <w:b/>
          <w:bCs/>
        </w:rPr>
        <w:t xml:space="preserve">Recommendation 33: </w:t>
      </w:r>
      <w:r w:rsidRPr="00113F13">
        <w:rPr>
          <w:rFonts w:cs="Times New Roman"/>
        </w:rPr>
        <w:t>An individual ‘right to object’, with the same features as the right proposed by the Commonwealth Privacy Act Review, should be introduced in the PIPA.</w:t>
      </w:r>
    </w:p>
    <w:p w14:paraId="0D72F117" w14:textId="77777777" w:rsidR="00FF302D" w:rsidRPr="00113F13" w:rsidRDefault="00FF302D" w:rsidP="00FF302D">
      <w:pPr>
        <w:rPr>
          <w:rFonts w:cs="Times New Roman"/>
        </w:rPr>
      </w:pPr>
      <w:r w:rsidRPr="00113F13">
        <w:rPr>
          <w:rFonts w:cs="Times New Roman"/>
          <w:b/>
          <w:bCs/>
        </w:rPr>
        <w:t xml:space="preserve">Recommendation 34: </w:t>
      </w:r>
      <w:r w:rsidRPr="00113F13">
        <w:rPr>
          <w:rFonts w:cs="Times New Roman"/>
        </w:rPr>
        <w:t>PIPP 4 should be amended, in line with the corresponding proposals of the Commonwealth Privacy Act Review, to:</w:t>
      </w:r>
    </w:p>
    <w:p w14:paraId="0D97B981" w14:textId="10B62B25"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provide further guidance to personal information custodians on the ‘reasonable steps’ they must take to protect personal information</w:t>
      </w:r>
      <w:r w:rsidR="00010405">
        <w:rPr>
          <w:rFonts w:cs="Times New Roman"/>
        </w:rPr>
        <w:t>;</w:t>
      </w:r>
    </w:p>
    <w:p w14:paraId="10B43B8B" w14:textId="13D06A51"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set baseline privacy outcomes personal information custodians must meet to fulfil their data security obligations</w:t>
      </w:r>
      <w:r w:rsidR="00010405">
        <w:rPr>
          <w:rFonts w:cs="Times New Roman"/>
        </w:rPr>
        <w:t>;</w:t>
      </w:r>
      <w:r w:rsidRPr="00113F13">
        <w:rPr>
          <w:rFonts w:cs="Times New Roman"/>
        </w:rPr>
        <w:t xml:space="preserve"> and</w:t>
      </w:r>
    </w:p>
    <w:p w14:paraId="6D5D0761" w14:textId="77777777"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require personal information custodians to set and periodically review retention periods for personal information.</w:t>
      </w:r>
    </w:p>
    <w:p w14:paraId="24F103CF" w14:textId="77777777" w:rsidR="00FF302D" w:rsidRPr="00113F13" w:rsidRDefault="00FF302D" w:rsidP="00FF302D">
      <w:pPr>
        <w:rPr>
          <w:rFonts w:cs="Times New Roman"/>
        </w:rPr>
      </w:pPr>
      <w:r w:rsidRPr="00113F13">
        <w:rPr>
          <w:rFonts w:cs="Times New Roman"/>
          <w:b/>
          <w:bCs/>
        </w:rPr>
        <w:t xml:space="preserve">Recommendation 35: </w:t>
      </w:r>
      <w:r w:rsidRPr="00113F13">
        <w:rPr>
          <w:rFonts w:cs="Times New Roman"/>
        </w:rPr>
        <w:t>Consideration should be given to whether further guidance on PIPA-compliant destruction and de-identification of personal information by personal information custodians, similar to the revised guidance proposed by the Commonwealth Privacy Act Review, is necessary.</w:t>
      </w:r>
    </w:p>
    <w:p w14:paraId="4D2BE182" w14:textId="77777777" w:rsidR="00FF302D" w:rsidRPr="00113F13" w:rsidRDefault="00FF302D" w:rsidP="00FF302D">
      <w:pPr>
        <w:rPr>
          <w:rFonts w:cs="Times New Roman"/>
        </w:rPr>
      </w:pPr>
      <w:r w:rsidRPr="00113F13">
        <w:rPr>
          <w:rFonts w:cs="Times New Roman"/>
          <w:b/>
          <w:bCs/>
        </w:rPr>
        <w:t xml:space="preserve">Recommendation 36: </w:t>
      </w:r>
      <w:r w:rsidRPr="00113F13">
        <w:rPr>
          <w:rFonts w:cs="Times New Roman"/>
        </w:rPr>
        <w:t>An individual ‘right to erasure’, with the same features as the right proposed by the Commonwealth Privacy Act Review, should be introduced in the PIPA.</w:t>
      </w:r>
    </w:p>
    <w:p w14:paraId="277712BE" w14:textId="77777777" w:rsidR="00FF302D" w:rsidRPr="00113F13" w:rsidRDefault="00FF302D" w:rsidP="00FF302D">
      <w:pPr>
        <w:rPr>
          <w:rFonts w:cs="Times New Roman"/>
        </w:rPr>
      </w:pPr>
      <w:r w:rsidRPr="00113F13">
        <w:rPr>
          <w:rFonts w:cs="Times New Roman"/>
          <w:b/>
          <w:bCs/>
        </w:rPr>
        <w:t>Recommendation 37:</w:t>
      </w:r>
      <w:r w:rsidRPr="00113F13">
        <w:rPr>
          <w:rFonts w:cs="Times New Roman"/>
        </w:rPr>
        <w:t xml:space="preserve"> There should be a review of all Tasmanian legislation that requires retention of personal information to ensure it appropriately balances policy objectives and privacy and cyber-security risks.</w:t>
      </w:r>
    </w:p>
    <w:p w14:paraId="1E16C6B0" w14:textId="77777777" w:rsidR="00FF302D" w:rsidRPr="00113F13" w:rsidRDefault="00FF302D" w:rsidP="00FF302D">
      <w:pPr>
        <w:rPr>
          <w:rFonts w:cs="Times New Roman"/>
        </w:rPr>
      </w:pPr>
      <w:r w:rsidRPr="00113F13">
        <w:rPr>
          <w:rFonts w:cs="Times New Roman"/>
          <w:b/>
          <w:bCs/>
        </w:rPr>
        <w:t xml:space="preserve">Recommendation 38: </w:t>
      </w:r>
      <w:r w:rsidRPr="00113F13">
        <w:rPr>
          <w:rFonts w:cs="Times New Roman"/>
        </w:rPr>
        <w:t>PIPP 6 should be amended to require a personal information custodian to:</w:t>
      </w:r>
    </w:p>
    <w:p w14:paraId="6AD1023C" w14:textId="0639B811"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provide individuals with access to their personal information upon request</w:t>
      </w:r>
      <w:r w:rsidR="00010405">
        <w:rPr>
          <w:rFonts w:cs="Times New Roman"/>
        </w:rPr>
        <w:t>;</w:t>
      </w:r>
    </w:p>
    <w:p w14:paraId="6F4FAFC1" w14:textId="5563771C"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provide access to personal information in the manner requested by the individual, as long as this is reasonable and practicable, without charge</w:t>
      </w:r>
      <w:r w:rsidR="00010405">
        <w:rPr>
          <w:rFonts w:cs="Times New Roman"/>
        </w:rPr>
        <w:t>;</w:t>
      </w:r>
    </w:p>
    <w:p w14:paraId="5F1677F9" w14:textId="7D261DE9"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 xml:space="preserve">give written notice of the reasons for a refusal to give access and the mechanisms available to complain about the refusal (which are discussed further </w:t>
      </w:r>
      <w:r w:rsidRPr="00010405">
        <w:rPr>
          <w:rFonts w:cs="Times New Roman"/>
        </w:rPr>
        <w:t>in Part 8</w:t>
      </w:r>
      <w:r w:rsidRPr="00113F13">
        <w:rPr>
          <w:rFonts w:cs="Times New Roman"/>
        </w:rPr>
        <w:t xml:space="preserve"> of this Report)</w:t>
      </w:r>
      <w:r w:rsidR="00010405">
        <w:rPr>
          <w:rFonts w:cs="Times New Roman"/>
        </w:rPr>
        <w:t>;</w:t>
      </w:r>
      <w:r w:rsidRPr="00113F13">
        <w:rPr>
          <w:rFonts w:cs="Times New Roman"/>
        </w:rPr>
        <w:t xml:space="preserve"> and </w:t>
      </w:r>
    </w:p>
    <w:p w14:paraId="7C0564D8" w14:textId="77777777"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adopt a presumption in favour of disclosure.</w:t>
      </w:r>
    </w:p>
    <w:p w14:paraId="75FAA70E" w14:textId="77777777" w:rsidR="00FF302D" w:rsidRPr="00113F13" w:rsidRDefault="00FF302D" w:rsidP="00FF302D">
      <w:pPr>
        <w:rPr>
          <w:rFonts w:cs="Times New Roman"/>
        </w:rPr>
      </w:pPr>
      <w:r w:rsidRPr="00113F13">
        <w:rPr>
          <w:rFonts w:cs="Times New Roman"/>
          <w:b/>
          <w:bCs/>
        </w:rPr>
        <w:t xml:space="preserve">Recommendation 39: </w:t>
      </w:r>
      <w:r w:rsidRPr="00113F13">
        <w:rPr>
          <w:rFonts w:cs="Times New Roman"/>
        </w:rPr>
        <w:t xml:space="preserve">PIPP 6 should be amended to simplify the process for requesting access to personal information. These amendments should clarify the interaction of the PIPA and the RTI Act. </w:t>
      </w:r>
    </w:p>
    <w:p w14:paraId="2BE7B634" w14:textId="57AED602" w:rsidR="00FF302D" w:rsidRPr="00113F13" w:rsidRDefault="00FF302D" w:rsidP="00FF302D">
      <w:pPr>
        <w:rPr>
          <w:rFonts w:cs="Times New Roman"/>
        </w:rPr>
      </w:pPr>
      <w:r w:rsidRPr="00113F13">
        <w:rPr>
          <w:rFonts w:cs="Times New Roman"/>
          <w:b/>
          <w:bCs/>
        </w:rPr>
        <w:t xml:space="preserve">Recommendation 40: </w:t>
      </w:r>
      <w:r w:rsidRPr="00113F13">
        <w:rPr>
          <w:rFonts w:cs="Times New Roman"/>
        </w:rPr>
        <w:t>PIPP 6 should be amended to confer an individual right to explanation about personal information, including a right to explanation of the source of personal information collected indirectly</w:t>
      </w:r>
      <w:r w:rsidR="00010405">
        <w:rPr>
          <w:rFonts w:cs="Times New Roman"/>
        </w:rPr>
        <w:t>,</w:t>
      </w:r>
      <w:r w:rsidRPr="00113F13">
        <w:rPr>
          <w:rFonts w:cs="Times New Roman"/>
        </w:rPr>
        <w:t xml:space="preserve"> and a right to an explanation or summary of what a personal information custodian has done with the personal information.</w:t>
      </w:r>
      <w:r w:rsidRPr="00113F13">
        <w:rPr>
          <w:rStyle w:val="FootnoteReference"/>
          <w:rFonts w:ascii="Times New Roman" w:hAnsi="Times New Roman" w:cs="Times New Roman"/>
        </w:rPr>
        <w:footnoteReference w:id="6"/>
      </w:r>
    </w:p>
    <w:p w14:paraId="7345B4F1" w14:textId="77777777" w:rsidR="00FF302D" w:rsidRPr="00113F13" w:rsidRDefault="00FF302D" w:rsidP="00FF302D">
      <w:pPr>
        <w:rPr>
          <w:rFonts w:cs="Times New Roman"/>
        </w:rPr>
      </w:pPr>
      <w:r w:rsidRPr="00113F13">
        <w:rPr>
          <w:rFonts w:cs="Times New Roman"/>
          <w:b/>
          <w:bCs/>
        </w:rPr>
        <w:t xml:space="preserve">Recommendation 41: </w:t>
      </w:r>
      <w:r w:rsidRPr="00113F13">
        <w:rPr>
          <w:rFonts w:cs="Times New Roman"/>
        </w:rPr>
        <w:t>Part 3A of the PIPA should be amended to:</w:t>
      </w:r>
    </w:p>
    <w:p w14:paraId="543B6967" w14:textId="7A63ACB1"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lastRenderedPageBreak/>
        <w:t xml:space="preserve">modify the operation of </w:t>
      </w:r>
      <w:r w:rsidR="009E4420">
        <w:rPr>
          <w:rFonts w:cs="Times New Roman"/>
        </w:rPr>
        <w:t>Section</w:t>
      </w:r>
      <w:r w:rsidRPr="00113F13">
        <w:rPr>
          <w:rFonts w:cs="Times New Roman"/>
        </w:rPr>
        <w:t xml:space="preserve"> 17G to enable a person to request (rather than require) the personal information custodian to add information to a notation</w:t>
      </w:r>
      <w:r w:rsidR="00010405">
        <w:rPr>
          <w:rFonts w:cs="Times New Roman"/>
        </w:rPr>
        <w:t>;</w:t>
      </w:r>
    </w:p>
    <w:p w14:paraId="064764F8" w14:textId="5FF6E4F5"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require a personal information custodian to provide a written notice of a refusal of a request to add information to a notation</w:t>
      </w:r>
      <w:r w:rsidR="00010405">
        <w:rPr>
          <w:rFonts w:cs="Times New Roman"/>
        </w:rPr>
        <w:t>;</w:t>
      </w:r>
      <w:r w:rsidRPr="00113F13">
        <w:rPr>
          <w:rFonts w:cs="Times New Roman"/>
        </w:rPr>
        <w:t xml:space="preserve"> and</w:t>
      </w:r>
    </w:p>
    <w:p w14:paraId="7BF93BAE" w14:textId="510AB18C"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 xml:space="preserve">extend the right to correction in </w:t>
      </w:r>
      <w:r w:rsidR="009E4420">
        <w:rPr>
          <w:rFonts w:cs="Times New Roman"/>
        </w:rPr>
        <w:t xml:space="preserve">Section </w:t>
      </w:r>
      <w:r w:rsidRPr="00113F13">
        <w:rPr>
          <w:rFonts w:cs="Times New Roman"/>
        </w:rPr>
        <w:t>17A to enable persons to request amendment of incorrect, incomplete, out</w:t>
      </w:r>
      <w:r w:rsidR="009976D2">
        <w:rPr>
          <w:rFonts w:cs="Times New Roman"/>
        </w:rPr>
        <w:t>-</w:t>
      </w:r>
      <w:r w:rsidRPr="00113F13">
        <w:rPr>
          <w:rFonts w:cs="Times New Roman"/>
        </w:rPr>
        <w:t>of</w:t>
      </w:r>
      <w:r w:rsidR="009976D2">
        <w:rPr>
          <w:rFonts w:cs="Times New Roman"/>
        </w:rPr>
        <w:t>-</w:t>
      </w:r>
      <w:r w:rsidRPr="00113F13">
        <w:rPr>
          <w:rFonts w:cs="Times New Roman"/>
        </w:rPr>
        <w:t>date or misleading information in generally available publications online over which a personal information custodian maintains control.</w:t>
      </w:r>
    </w:p>
    <w:p w14:paraId="23738E41" w14:textId="6842712E" w:rsidR="00FF302D" w:rsidRPr="00113F13" w:rsidRDefault="00FF302D" w:rsidP="00FF302D">
      <w:pPr>
        <w:rPr>
          <w:rFonts w:cs="Times New Roman"/>
        </w:rPr>
      </w:pPr>
      <w:r w:rsidRPr="00113F13">
        <w:rPr>
          <w:rFonts w:cs="Times New Roman"/>
          <w:b/>
          <w:bCs/>
        </w:rPr>
        <w:t xml:space="preserve">Recommendation 42: </w:t>
      </w:r>
      <w:r w:rsidRPr="00113F13">
        <w:rPr>
          <w:rFonts w:cs="Times New Roman"/>
        </w:rPr>
        <w:t>Individual rights to access and explanation, to object, to erasure, and to correction in the PIPA should be subject to the exceptions proposed by the Commonwealth Privacy Act Review</w:t>
      </w:r>
      <w:r w:rsidR="00010405">
        <w:rPr>
          <w:rFonts w:cs="Times New Roman"/>
        </w:rPr>
        <w:t>;</w:t>
      </w:r>
      <w:r w:rsidRPr="00113F13">
        <w:rPr>
          <w:rFonts w:cs="Times New Roman"/>
        </w:rPr>
        <w:t xml:space="preserve"> namely, where:</w:t>
      </w:r>
    </w:p>
    <w:p w14:paraId="232519D3" w14:textId="77ECB774"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there are competing public interests</w:t>
      </w:r>
      <w:r w:rsidR="00010405">
        <w:rPr>
          <w:rFonts w:cs="Times New Roman"/>
        </w:rPr>
        <w:t>;</w:t>
      </w:r>
    </w:p>
    <w:p w14:paraId="615C6EB2" w14:textId="77D9889E"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required or authorised by law or legal relationships</w:t>
      </w:r>
      <w:r w:rsidR="00010405">
        <w:rPr>
          <w:rFonts w:cs="Times New Roman"/>
        </w:rPr>
        <w:t>;</w:t>
      </w:r>
      <w:r w:rsidRPr="00113F13">
        <w:rPr>
          <w:rFonts w:cs="Times New Roman"/>
        </w:rPr>
        <w:t xml:space="preserve"> and</w:t>
      </w:r>
    </w:p>
    <w:p w14:paraId="320F8199" w14:textId="77777777"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technically infeasible or an abuse of process.</w:t>
      </w:r>
    </w:p>
    <w:p w14:paraId="17EBA9BE" w14:textId="77777777" w:rsidR="00FF302D" w:rsidRPr="00113F13" w:rsidRDefault="00FF302D" w:rsidP="00FF302D">
      <w:pPr>
        <w:rPr>
          <w:rFonts w:cs="Times New Roman"/>
        </w:rPr>
      </w:pPr>
      <w:r w:rsidRPr="00113F13">
        <w:rPr>
          <w:rFonts w:cs="Times New Roman"/>
          <w:b/>
          <w:bCs/>
        </w:rPr>
        <w:t xml:space="preserve">Recommendation 43: </w:t>
      </w:r>
      <w:r w:rsidRPr="00113F13">
        <w:rPr>
          <w:rFonts w:cs="Times New Roman"/>
        </w:rPr>
        <w:t>Personal information custodians should be required to provide ‘reasonable assistance’ to individuals in exercising a right, take ‘reasonable steps’ to respond to an exercise of a right, and respond within a prescribed timeframe, unless a longer period is justified.</w:t>
      </w:r>
    </w:p>
    <w:p w14:paraId="46DBABB9" w14:textId="77777777"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t>Recommendation 44:</w:t>
      </w:r>
      <w:r w:rsidRPr="00113F13">
        <w:rPr>
          <w:rFonts w:ascii="Times New Roman" w:hAnsi="Times New Roman" w:cs="Times New Roman"/>
        </w:rPr>
        <w:t xml:space="preserve"> There should be greater clarity around how personal information custodians should meet the requirements of PIPP 5. This should include:</w:t>
      </w:r>
    </w:p>
    <w:p w14:paraId="7457BFE8" w14:textId="71F47A03"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specifying the type of information that must be included in privacy policies made under PIPP</w:t>
      </w:r>
      <w:r w:rsidR="00010405">
        <w:rPr>
          <w:rFonts w:ascii="Times New Roman" w:hAnsi="Times New Roman" w:cs="Times New Roman"/>
        </w:rPr>
        <w:t> </w:t>
      </w:r>
      <w:r w:rsidRPr="00113F13">
        <w:rPr>
          <w:rFonts w:ascii="Times New Roman" w:hAnsi="Times New Roman" w:cs="Times New Roman"/>
        </w:rPr>
        <w:t>5; and</w:t>
      </w:r>
    </w:p>
    <w:p w14:paraId="656A101B"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requiring personal information custodians to designate a senior employee as privacy officer responsible for compliance with the PIPA.</w:t>
      </w:r>
    </w:p>
    <w:p w14:paraId="30F8BA25" w14:textId="77777777"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rPr>
        <w:t>This could be implemented by amendment to legislation or regulation, or the development of guidelines.</w:t>
      </w:r>
    </w:p>
    <w:p w14:paraId="5109EB37" w14:textId="77777777"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t>Recommendation 45:</w:t>
      </w:r>
      <w:r w:rsidRPr="00113F13">
        <w:rPr>
          <w:rFonts w:ascii="Times New Roman" w:hAnsi="Times New Roman" w:cs="Times New Roman"/>
        </w:rPr>
        <w:t xml:space="preserve"> The PIPA should be amended to:</w:t>
      </w:r>
    </w:p>
    <w:p w14:paraId="04918BA7"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require personal information custodians to specify the types of personal information that will be used in automated decision-making; and</w:t>
      </w:r>
    </w:p>
    <w:p w14:paraId="5EA74402" w14:textId="77777777" w:rsidR="00FF302D" w:rsidRPr="00113F13" w:rsidRDefault="00FF302D" w:rsidP="00FF302D">
      <w:pPr>
        <w:pStyle w:val="Dotpointlist"/>
        <w:jc w:val="both"/>
        <w:rPr>
          <w:rFonts w:ascii="Times New Roman" w:hAnsi="Times New Roman" w:cs="Times New Roman"/>
        </w:rPr>
      </w:pPr>
      <w:r w:rsidRPr="00113F13">
        <w:rPr>
          <w:rFonts w:ascii="Times New Roman" w:hAnsi="Times New Roman" w:cs="Times New Roman"/>
        </w:rPr>
        <w:t>establish a right to request meaningful information about how such decisions are made.</w:t>
      </w:r>
    </w:p>
    <w:p w14:paraId="51E8DF5C" w14:textId="77777777" w:rsidR="00FF302D" w:rsidRPr="00113F13" w:rsidRDefault="00FF302D" w:rsidP="00FF302D">
      <w:pPr>
        <w:pStyle w:val="Dotpointlist"/>
        <w:numPr>
          <w:ilvl w:val="0"/>
          <w:numId w:val="0"/>
        </w:numPr>
        <w:jc w:val="both"/>
        <w:rPr>
          <w:rFonts w:ascii="Times New Roman" w:hAnsi="Times New Roman" w:cs="Times New Roman"/>
        </w:rPr>
      </w:pPr>
      <w:r w:rsidRPr="00113F13">
        <w:rPr>
          <w:rFonts w:ascii="Times New Roman" w:hAnsi="Times New Roman" w:cs="Times New Roman"/>
          <w:b/>
          <w:bCs/>
        </w:rPr>
        <w:t>Recommendation 46</w:t>
      </w:r>
      <w:r w:rsidRPr="00113F13">
        <w:rPr>
          <w:rFonts w:ascii="Times New Roman" w:hAnsi="Times New Roman" w:cs="Times New Roman"/>
        </w:rPr>
        <w:t>: Guidance should be developed to support personal information custodians to meet new requirements relating to automated decision-making.</w:t>
      </w:r>
    </w:p>
    <w:p w14:paraId="6DCDB611" w14:textId="77777777" w:rsidR="00FF302D" w:rsidRPr="00113F13" w:rsidRDefault="00FF302D" w:rsidP="00FF302D">
      <w:pPr>
        <w:rPr>
          <w:rFonts w:cs="Times New Roman"/>
        </w:rPr>
      </w:pPr>
      <w:r w:rsidRPr="00113F13">
        <w:rPr>
          <w:rFonts w:cs="Times New Roman"/>
          <w:b/>
          <w:bCs/>
        </w:rPr>
        <w:t xml:space="preserve">Recommendation 47: </w:t>
      </w:r>
      <w:r w:rsidRPr="00113F13">
        <w:rPr>
          <w:rFonts w:cs="Times New Roman"/>
        </w:rPr>
        <w:t>Consideration should be given to:</w:t>
      </w:r>
    </w:p>
    <w:p w14:paraId="07CEAEBA" w14:textId="77777777" w:rsidR="00FF302D" w:rsidRPr="00113F13" w:rsidRDefault="00FF302D" w:rsidP="00B63604">
      <w:pPr>
        <w:pStyle w:val="ListParagraph"/>
        <w:numPr>
          <w:ilvl w:val="0"/>
          <w:numId w:val="40"/>
        </w:numPr>
        <w:spacing w:after="160" w:line="259" w:lineRule="auto"/>
        <w:rPr>
          <w:rFonts w:cs="Times New Roman"/>
        </w:rPr>
      </w:pPr>
      <w:r w:rsidRPr="00113F13">
        <w:rPr>
          <w:rFonts w:cs="Times New Roman"/>
        </w:rPr>
        <w:t xml:space="preserve">the most appropriate form that a body responsible for broadened enforcement and compliance functions under the PIPA should take; and </w:t>
      </w:r>
    </w:p>
    <w:p w14:paraId="1F11D57D" w14:textId="77777777" w:rsidR="00FF302D" w:rsidRPr="00113F13" w:rsidRDefault="00FF302D" w:rsidP="00B63604">
      <w:pPr>
        <w:pStyle w:val="ListParagraph"/>
        <w:numPr>
          <w:ilvl w:val="0"/>
          <w:numId w:val="40"/>
        </w:numPr>
        <w:spacing w:after="160" w:line="259" w:lineRule="auto"/>
        <w:rPr>
          <w:rFonts w:cs="Times New Roman"/>
        </w:rPr>
      </w:pPr>
      <w:r w:rsidRPr="00113F13">
        <w:rPr>
          <w:rFonts w:cs="Times New Roman"/>
        </w:rPr>
        <w:t>ensuring adequate resourcing for that body.</w:t>
      </w:r>
    </w:p>
    <w:p w14:paraId="0A37CD91" w14:textId="77777777" w:rsidR="00FF302D" w:rsidRPr="00113F13" w:rsidRDefault="00FF302D" w:rsidP="00FF302D">
      <w:pPr>
        <w:rPr>
          <w:rFonts w:cs="Times New Roman"/>
        </w:rPr>
      </w:pPr>
      <w:r w:rsidRPr="00113F13">
        <w:rPr>
          <w:rFonts w:cs="Times New Roman"/>
          <w:b/>
          <w:bCs/>
        </w:rPr>
        <w:t xml:space="preserve">Recommendation 48: </w:t>
      </w:r>
      <w:r w:rsidRPr="00113F13">
        <w:rPr>
          <w:rFonts w:cs="Times New Roman"/>
        </w:rPr>
        <w:t>Consideration should be given to the introduction of a requirement for the Ombudsman (or other complaints-handling body) to consider the appropriateness of conciliation when dealing with a complaint. There should also be jurisdiction for TasCAT to hear a complaint if the Ombudsman (or other complaints-handling body) decides that it is not reasonably possible that a complaint be conciliated successfully.</w:t>
      </w:r>
    </w:p>
    <w:p w14:paraId="19D5ED26" w14:textId="224A23E0" w:rsidR="00FF302D" w:rsidRPr="00113F13" w:rsidRDefault="00FF302D" w:rsidP="00FF302D">
      <w:pPr>
        <w:rPr>
          <w:rFonts w:cs="Times New Roman"/>
        </w:rPr>
      </w:pPr>
      <w:r w:rsidRPr="00113F13">
        <w:rPr>
          <w:rFonts w:cs="Times New Roman"/>
          <w:b/>
          <w:bCs/>
        </w:rPr>
        <w:t xml:space="preserve">Recommendation 49: </w:t>
      </w:r>
      <w:r w:rsidRPr="00113F13">
        <w:rPr>
          <w:rFonts w:cs="Times New Roman"/>
        </w:rPr>
        <w:t>Community consultation should be undertaken to ensure that changes to complaints and review processes under the PIPA are available and accessible to all in the community.</w:t>
      </w:r>
    </w:p>
    <w:p w14:paraId="3EF78A7E" w14:textId="77777777" w:rsidR="00FF302D" w:rsidRPr="00113F13" w:rsidRDefault="00FF302D" w:rsidP="00FF302D">
      <w:pPr>
        <w:rPr>
          <w:rFonts w:cs="Times New Roman"/>
        </w:rPr>
      </w:pPr>
      <w:r w:rsidRPr="00113F13">
        <w:rPr>
          <w:rFonts w:cs="Times New Roman"/>
          <w:b/>
          <w:bCs/>
        </w:rPr>
        <w:t xml:space="preserve">Recommendation 50: </w:t>
      </w:r>
      <w:r w:rsidRPr="00113F13">
        <w:rPr>
          <w:rFonts w:cs="Times New Roman"/>
        </w:rPr>
        <w:t xml:space="preserve">Decisions of the Ombudsman (or other complaints-handling body) in relation to PIPA complaints should be reviewable by TasCAT. </w:t>
      </w:r>
    </w:p>
    <w:p w14:paraId="3988ECC0" w14:textId="609FFA5C" w:rsidR="00FF302D" w:rsidRPr="00113F13" w:rsidRDefault="00FF302D" w:rsidP="00FF302D">
      <w:pPr>
        <w:rPr>
          <w:rFonts w:cs="Times New Roman"/>
          <w:strike/>
        </w:rPr>
      </w:pPr>
      <w:r w:rsidRPr="00113F13">
        <w:rPr>
          <w:rFonts w:cs="Times New Roman"/>
          <w:b/>
          <w:bCs/>
        </w:rPr>
        <w:lastRenderedPageBreak/>
        <w:t xml:space="preserve">Recommendation 51: </w:t>
      </w:r>
      <w:r w:rsidRPr="00113F13">
        <w:rPr>
          <w:rFonts w:cs="Times New Roman"/>
        </w:rPr>
        <w:t>TasCAT should be empowered to make appropriate orders against personal information custodians</w:t>
      </w:r>
      <w:r w:rsidR="00010405">
        <w:rPr>
          <w:rFonts w:cs="Times New Roman"/>
        </w:rPr>
        <w:t>,</w:t>
      </w:r>
      <w:r w:rsidRPr="00113F13">
        <w:rPr>
          <w:rFonts w:cs="Times New Roman"/>
        </w:rPr>
        <w:t xml:space="preserve"> where all or part of a PIPA complaint has been proven. </w:t>
      </w:r>
    </w:p>
    <w:p w14:paraId="54EF4795" w14:textId="77777777" w:rsidR="00FF302D" w:rsidRPr="00113F13" w:rsidRDefault="00FF302D" w:rsidP="00FF302D">
      <w:pPr>
        <w:rPr>
          <w:rFonts w:cs="Times New Roman"/>
        </w:rPr>
      </w:pPr>
      <w:r w:rsidRPr="00113F13">
        <w:rPr>
          <w:rFonts w:cs="Times New Roman"/>
          <w:b/>
          <w:bCs/>
        </w:rPr>
        <w:t xml:space="preserve">Recommendation 52: </w:t>
      </w:r>
      <w:r w:rsidRPr="00113F13">
        <w:rPr>
          <w:rFonts w:cs="Times New Roman"/>
        </w:rPr>
        <w:t>Consideration should be given to strengthening the enforcement regime through:</w:t>
      </w:r>
    </w:p>
    <w:p w14:paraId="7A9A040E" w14:textId="3B1FEEB6" w:rsidR="00FF302D" w:rsidRPr="00113F13" w:rsidRDefault="00FF302D" w:rsidP="00B63604">
      <w:pPr>
        <w:pStyle w:val="ListParagraph"/>
        <w:numPr>
          <w:ilvl w:val="0"/>
          <w:numId w:val="40"/>
        </w:numPr>
        <w:spacing w:after="160" w:line="259" w:lineRule="auto"/>
        <w:rPr>
          <w:rFonts w:cs="Times New Roman"/>
        </w:rPr>
      </w:pPr>
      <w:r w:rsidRPr="00113F13">
        <w:rPr>
          <w:rFonts w:cs="Times New Roman"/>
        </w:rPr>
        <w:t>the creation of offences for certain conduct</w:t>
      </w:r>
      <w:r w:rsidR="00010405">
        <w:rPr>
          <w:rFonts w:cs="Times New Roman"/>
        </w:rPr>
        <w:t>;</w:t>
      </w:r>
    </w:p>
    <w:p w14:paraId="019A80A1" w14:textId="0AB8CBD8" w:rsidR="00FF302D" w:rsidRPr="00113F13" w:rsidRDefault="00FF302D" w:rsidP="00B63604">
      <w:pPr>
        <w:pStyle w:val="ListParagraph"/>
        <w:numPr>
          <w:ilvl w:val="0"/>
          <w:numId w:val="40"/>
        </w:numPr>
        <w:spacing w:after="160" w:line="259" w:lineRule="auto"/>
        <w:rPr>
          <w:rFonts w:cs="Times New Roman"/>
        </w:rPr>
      </w:pPr>
      <w:r w:rsidRPr="00113F13">
        <w:rPr>
          <w:rFonts w:cs="Times New Roman"/>
        </w:rPr>
        <w:t>a civil penalty regime</w:t>
      </w:r>
      <w:r w:rsidR="00010405">
        <w:rPr>
          <w:rFonts w:cs="Times New Roman"/>
        </w:rPr>
        <w:t>;</w:t>
      </w:r>
      <w:r w:rsidRPr="00113F13">
        <w:rPr>
          <w:rFonts w:cs="Times New Roman"/>
        </w:rPr>
        <w:t xml:space="preserve"> and/or</w:t>
      </w:r>
    </w:p>
    <w:p w14:paraId="1F455790" w14:textId="5B35984D" w:rsidR="00FF302D" w:rsidRPr="00113F13" w:rsidRDefault="00FF302D" w:rsidP="00B63604">
      <w:pPr>
        <w:pStyle w:val="ListParagraph"/>
        <w:numPr>
          <w:ilvl w:val="0"/>
          <w:numId w:val="40"/>
        </w:numPr>
        <w:spacing w:after="160" w:line="259" w:lineRule="auto"/>
        <w:rPr>
          <w:rFonts w:cs="Times New Roman"/>
        </w:rPr>
      </w:pPr>
      <w:r w:rsidRPr="00113F13">
        <w:rPr>
          <w:rFonts w:cs="Times New Roman"/>
        </w:rPr>
        <w:t>the creation of additional enforcement mechanisms such as injunctions and enforceable undertakings</w:t>
      </w:r>
      <w:r w:rsidR="00010405">
        <w:rPr>
          <w:rFonts w:cs="Times New Roman"/>
        </w:rPr>
        <w:t>.</w:t>
      </w:r>
    </w:p>
    <w:p w14:paraId="423CF632" w14:textId="77777777" w:rsidR="00FF302D" w:rsidRPr="00113F13" w:rsidRDefault="00FF302D" w:rsidP="00010405">
      <w:pPr>
        <w:rPr>
          <w:rFonts w:cs="Times New Roman"/>
        </w:rPr>
      </w:pPr>
      <w:r w:rsidRPr="00113F13">
        <w:rPr>
          <w:rFonts w:cs="Times New Roman"/>
        </w:rPr>
        <w:t>Guidance can be sought from the provision in other Australian jurisdictions as to the scope of the regimes.</w:t>
      </w:r>
    </w:p>
    <w:p w14:paraId="37BDBB10" w14:textId="282CE9D7" w:rsidR="00FF302D" w:rsidRPr="00113F13" w:rsidRDefault="00FF302D" w:rsidP="00FF302D">
      <w:pPr>
        <w:rPr>
          <w:rFonts w:cs="Times New Roman"/>
        </w:rPr>
      </w:pPr>
      <w:r w:rsidRPr="00113F13">
        <w:rPr>
          <w:rFonts w:cs="Times New Roman"/>
          <w:b/>
          <w:bCs/>
        </w:rPr>
        <w:t xml:space="preserve">Recommendation 53: </w:t>
      </w:r>
      <w:r w:rsidRPr="00113F13">
        <w:rPr>
          <w:rFonts w:cs="Times New Roman"/>
        </w:rPr>
        <w:t>The power of the Ombudsman (or other complaints-handling body) to conduct investigations into breaches of the PIPPs</w:t>
      </w:r>
      <w:r w:rsidR="00010405">
        <w:rPr>
          <w:rFonts w:cs="Times New Roman"/>
        </w:rPr>
        <w:t>,</w:t>
      </w:r>
      <w:r w:rsidRPr="00113F13">
        <w:rPr>
          <w:rFonts w:cs="Times New Roman"/>
        </w:rPr>
        <w:t xml:space="preserve"> regardless of whether a complaint has been received</w:t>
      </w:r>
      <w:r w:rsidR="00010405">
        <w:rPr>
          <w:rFonts w:cs="Times New Roman"/>
        </w:rPr>
        <w:t>,</w:t>
      </w:r>
      <w:r w:rsidRPr="00113F13">
        <w:rPr>
          <w:rFonts w:cs="Times New Roman"/>
        </w:rPr>
        <w:t xml:space="preserve"> should be clarified.</w:t>
      </w:r>
    </w:p>
    <w:p w14:paraId="04BE1D59" w14:textId="77777777" w:rsidR="00FF302D" w:rsidRPr="00113F13" w:rsidRDefault="00FF302D" w:rsidP="00FF302D">
      <w:pPr>
        <w:rPr>
          <w:rFonts w:cs="Times New Roman"/>
        </w:rPr>
      </w:pPr>
      <w:r w:rsidRPr="00113F13">
        <w:rPr>
          <w:rFonts w:cs="Times New Roman"/>
          <w:b/>
          <w:bCs/>
        </w:rPr>
        <w:t xml:space="preserve">Recommendation 54: </w:t>
      </w:r>
      <w:r w:rsidRPr="00113F13">
        <w:rPr>
          <w:rFonts w:cs="Times New Roman"/>
        </w:rPr>
        <w:t>The PIPA should be amended to enable the creation of privacy codes.</w:t>
      </w:r>
    </w:p>
    <w:p w14:paraId="0C788C38" w14:textId="77777777" w:rsidR="00FF302D" w:rsidRPr="00010405" w:rsidRDefault="00FF302D" w:rsidP="00FF302D">
      <w:pPr>
        <w:pStyle w:val="Heading3"/>
        <w:numPr>
          <w:ilvl w:val="2"/>
          <w:numId w:val="0"/>
        </w:numPr>
        <w:rPr>
          <w:rFonts w:ascii="Times New Roman" w:hAnsi="Times New Roman" w:cs="Times New Roman"/>
          <w:color w:val="auto"/>
        </w:rPr>
      </w:pPr>
      <w:bookmarkStart w:id="15" w:name="_Toc164600216"/>
      <w:r w:rsidRPr="00010405">
        <w:rPr>
          <w:rFonts w:ascii="Times New Roman" w:hAnsi="Times New Roman" w:cs="Times New Roman"/>
          <w:b/>
          <w:bCs/>
          <w:color w:val="auto"/>
        </w:rPr>
        <w:t xml:space="preserve">Recommendation 55: </w:t>
      </w:r>
      <w:r w:rsidRPr="00010405">
        <w:rPr>
          <w:rFonts w:ascii="Times New Roman" w:hAnsi="Times New Roman" w:cs="Times New Roman"/>
          <w:color w:val="auto"/>
        </w:rPr>
        <w:t>The TLRI recommends that Tasmania introduce a data breach notification scheme based on the Commonwealth model.</w:t>
      </w:r>
      <w:bookmarkEnd w:id="15"/>
    </w:p>
    <w:p w14:paraId="07A7EC41" w14:textId="77777777" w:rsidR="00FF302D" w:rsidRPr="00113F13" w:rsidRDefault="00FF302D" w:rsidP="00FF302D">
      <w:pPr>
        <w:pStyle w:val="NormalNumberedTextTLRI"/>
        <w:numPr>
          <w:ilvl w:val="2"/>
          <w:numId w:val="0"/>
        </w:numPr>
      </w:pPr>
      <w:r w:rsidRPr="00113F13">
        <w:rPr>
          <w:b/>
          <w:bCs/>
        </w:rPr>
        <w:t>Recommendation 56:</w:t>
      </w:r>
      <w:r w:rsidRPr="00113F13">
        <w:t xml:space="preserve"> There should be a close examination of the relationship between the provisions of the PIPA and other Tasmanian legislation with a view to obtaining greater harmonisation and consistency between them. In this review, there is a need to ensure privacy protection is maximised to the extent that is possible in balance with other policy interests.</w:t>
      </w:r>
    </w:p>
    <w:p w14:paraId="501F3E06" w14:textId="77777777" w:rsidR="00FF302D" w:rsidRPr="00113F13" w:rsidRDefault="00FF302D" w:rsidP="00FF302D">
      <w:pPr>
        <w:pStyle w:val="NormalNumberedTextTLRI"/>
        <w:numPr>
          <w:ilvl w:val="2"/>
          <w:numId w:val="0"/>
        </w:numPr>
      </w:pPr>
      <w:r w:rsidRPr="00113F13">
        <w:rPr>
          <w:b/>
          <w:bCs/>
        </w:rPr>
        <w:t xml:space="preserve">Recommendation 57: </w:t>
      </w:r>
      <w:r w:rsidRPr="00113F13">
        <w:t>The Tasmanian Government should undertake a review of provisions that present legislative barriers to the sharing of information within government and with relevant non-government organisations in the interests of protecting the safety and wellbeing of children and young people, people in family violence situations, abuse of elder persons and people with disabilities.</w:t>
      </w:r>
    </w:p>
    <w:p w14:paraId="599B3FCC" w14:textId="6D226411" w:rsidR="00FF302D" w:rsidRPr="00113F13" w:rsidRDefault="00FF302D" w:rsidP="00FF302D">
      <w:pPr>
        <w:pStyle w:val="Heading3"/>
        <w:numPr>
          <w:ilvl w:val="2"/>
          <w:numId w:val="0"/>
        </w:numPr>
        <w:rPr>
          <w:rFonts w:ascii="Times New Roman" w:hAnsi="Times New Roman" w:cs="Times New Roman"/>
          <w:color w:val="auto"/>
        </w:rPr>
      </w:pPr>
      <w:bookmarkStart w:id="16" w:name="_Toc164600217"/>
      <w:r w:rsidRPr="00113F13">
        <w:rPr>
          <w:rFonts w:ascii="Times New Roman" w:hAnsi="Times New Roman" w:cs="Times New Roman"/>
          <w:b/>
          <w:bCs/>
          <w:color w:val="auto"/>
        </w:rPr>
        <w:t>Recommendation 58:</w:t>
      </w:r>
      <w:r w:rsidRPr="00113F13">
        <w:rPr>
          <w:rFonts w:ascii="Times New Roman" w:hAnsi="Times New Roman" w:cs="Times New Roman"/>
          <w:color w:val="auto"/>
        </w:rPr>
        <w:t xml:space="preserve"> Consideration should be given to reform of the listening devices legislation to strengthen protections for individuals against surveillance by optical surveillance devices, tracking devices</w:t>
      </w:r>
      <w:r w:rsidR="00010405">
        <w:rPr>
          <w:rFonts w:ascii="Times New Roman" w:hAnsi="Times New Roman" w:cs="Times New Roman"/>
          <w:color w:val="auto"/>
        </w:rPr>
        <w:t>,</w:t>
      </w:r>
      <w:r w:rsidRPr="00113F13">
        <w:rPr>
          <w:rFonts w:ascii="Times New Roman" w:hAnsi="Times New Roman" w:cs="Times New Roman"/>
          <w:color w:val="auto"/>
        </w:rPr>
        <w:t xml:space="preserve"> and data surveillance devices.</w:t>
      </w:r>
      <w:bookmarkEnd w:id="16"/>
    </w:p>
    <w:p w14:paraId="33EB6A39" w14:textId="77777777" w:rsidR="00FF302D" w:rsidRPr="00113F13" w:rsidRDefault="00FF302D" w:rsidP="00FF302D">
      <w:pPr>
        <w:rPr>
          <w:rFonts w:cs="Times New Roman"/>
          <w:lang w:val="en-GB"/>
        </w:rPr>
      </w:pPr>
      <w:r w:rsidRPr="00113F13">
        <w:rPr>
          <w:rFonts w:cs="Times New Roman"/>
          <w:b/>
          <w:bCs/>
          <w:lang w:val="en-GB"/>
        </w:rPr>
        <w:t xml:space="preserve">Recommendation </w:t>
      </w:r>
      <w:r w:rsidRPr="00113F13">
        <w:rPr>
          <w:rFonts w:cs="Times New Roman"/>
          <w:b/>
          <w:lang w:val="en-GB"/>
        </w:rPr>
        <w:t>59</w:t>
      </w:r>
      <w:r w:rsidRPr="00113F13">
        <w:rPr>
          <w:rFonts w:cs="Times New Roman"/>
          <w:b/>
          <w:bCs/>
          <w:lang w:val="en-GB"/>
        </w:rPr>
        <w:t>:</w:t>
      </w:r>
      <w:r w:rsidRPr="00113F13">
        <w:rPr>
          <w:rFonts w:cs="Times New Roman"/>
          <w:lang w:val="en-GB"/>
        </w:rPr>
        <w:t xml:space="preserve"> Consideration should be given to improving the resources made available to allow for independent monitoring of police use of surveillance devices by the Ombudsman.</w:t>
      </w:r>
    </w:p>
    <w:p w14:paraId="454A80DE" w14:textId="0590FBDB" w:rsidR="00FF302D" w:rsidRPr="00113F13" w:rsidRDefault="00FF302D" w:rsidP="00FF302D">
      <w:pPr>
        <w:pStyle w:val="Heading3"/>
        <w:numPr>
          <w:ilvl w:val="2"/>
          <w:numId w:val="0"/>
        </w:numPr>
        <w:rPr>
          <w:rFonts w:ascii="Times New Roman" w:hAnsi="Times New Roman" w:cs="Times New Roman"/>
          <w:color w:val="auto"/>
        </w:rPr>
      </w:pPr>
      <w:bookmarkStart w:id="17" w:name="_Toc164600218"/>
      <w:r w:rsidRPr="00113F13">
        <w:rPr>
          <w:rFonts w:ascii="Times New Roman" w:hAnsi="Times New Roman" w:cs="Times New Roman"/>
          <w:b/>
          <w:color w:val="auto"/>
        </w:rPr>
        <w:t>Recommendation 60:</w:t>
      </w:r>
      <w:bookmarkEnd w:id="17"/>
      <w:r w:rsidRPr="00113F13">
        <w:rPr>
          <w:rFonts w:ascii="Times New Roman" w:hAnsi="Times New Roman" w:cs="Times New Roman"/>
          <w:color w:val="auto"/>
        </w:rPr>
        <w:t xml:space="preserve"> </w:t>
      </w:r>
      <w:bookmarkStart w:id="18" w:name="_Toc164600219"/>
      <w:r w:rsidRPr="00113F13">
        <w:rPr>
          <w:rFonts w:ascii="Times New Roman" w:hAnsi="Times New Roman" w:cs="Times New Roman"/>
          <w:color w:val="auto"/>
        </w:rPr>
        <w:t>A review should be conducted that examines the adequacy of the existing laws relating to stalking and intimidation in Tasmania and that considers whether there is a need to amend these laws to take better account of technological advances. The following could be considered in the review:</w:t>
      </w:r>
      <w:bookmarkEnd w:id="18"/>
    </w:p>
    <w:p w14:paraId="563EA827" w14:textId="2082D3E7" w:rsidR="00FF302D" w:rsidRPr="00113F13" w:rsidRDefault="00781E53" w:rsidP="00B63604">
      <w:pPr>
        <w:pStyle w:val="Dotpointlist"/>
        <w:numPr>
          <w:ilvl w:val="0"/>
          <w:numId w:val="44"/>
        </w:numPr>
        <w:jc w:val="both"/>
        <w:rPr>
          <w:rFonts w:ascii="Times New Roman" w:hAnsi="Times New Roman" w:cs="Times New Roman"/>
        </w:rPr>
      </w:pPr>
      <w:r>
        <w:rPr>
          <w:rFonts w:ascii="Times New Roman" w:hAnsi="Times New Roman" w:cs="Times New Roman"/>
        </w:rPr>
        <w:t>whether</w:t>
      </w:r>
      <w:r w:rsidR="00FF302D" w:rsidRPr="00113F13">
        <w:rPr>
          <w:rFonts w:ascii="Times New Roman" w:hAnsi="Times New Roman" w:cs="Times New Roman"/>
        </w:rPr>
        <w:t xml:space="preserve"> the crime of stalking and bullying in the </w:t>
      </w:r>
      <w:r w:rsidR="00FF302D" w:rsidRPr="00113F13">
        <w:rPr>
          <w:rFonts w:ascii="Times New Roman" w:hAnsi="Times New Roman" w:cs="Times New Roman"/>
          <w:i/>
          <w:iCs/>
        </w:rPr>
        <w:t xml:space="preserve">Criminal Code </w:t>
      </w:r>
      <w:r w:rsidR="00FF302D" w:rsidRPr="00113F13">
        <w:rPr>
          <w:rFonts w:ascii="Times New Roman" w:hAnsi="Times New Roman" w:cs="Times New Roman"/>
        </w:rPr>
        <w:t xml:space="preserve">(Tas) </w:t>
      </w:r>
      <w:r w:rsidR="009E4420">
        <w:rPr>
          <w:rFonts w:ascii="Times New Roman" w:hAnsi="Times New Roman" w:cs="Times New Roman"/>
        </w:rPr>
        <w:t>Section</w:t>
      </w:r>
      <w:r w:rsidR="00FF302D" w:rsidRPr="00113F13">
        <w:rPr>
          <w:rFonts w:ascii="Times New Roman" w:hAnsi="Times New Roman" w:cs="Times New Roman"/>
        </w:rPr>
        <w:t xml:space="preserve"> 192 </w:t>
      </w:r>
      <w:r w:rsidR="004E2106">
        <w:rPr>
          <w:rFonts w:ascii="Times New Roman" w:hAnsi="Times New Roman" w:cs="Times New Roman"/>
        </w:rPr>
        <w:t xml:space="preserve">should be amended </w:t>
      </w:r>
      <w:r w:rsidR="00FF302D" w:rsidRPr="00113F13">
        <w:rPr>
          <w:rFonts w:ascii="Times New Roman" w:hAnsi="Times New Roman" w:cs="Times New Roman"/>
        </w:rPr>
        <w:t>to include intimidation based on the New South Wales approach</w:t>
      </w:r>
      <w:r w:rsidR="004E2106">
        <w:rPr>
          <w:rFonts w:ascii="Times New Roman" w:hAnsi="Times New Roman" w:cs="Times New Roman"/>
        </w:rPr>
        <w:t>—</w:t>
      </w:r>
      <w:r w:rsidR="00FF302D" w:rsidRPr="00113F13">
        <w:rPr>
          <w:rFonts w:ascii="Times New Roman" w:hAnsi="Times New Roman" w:cs="Times New Roman"/>
        </w:rPr>
        <w:t>with intimidation being defined separately from stalking</w:t>
      </w:r>
      <w:r w:rsidR="004E2106">
        <w:rPr>
          <w:rFonts w:ascii="Times New Roman" w:hAnsi="Times New Roman" w:cs="Times New Roman"/>
        </w:rPr>
        <w:t>—</w:t>
      </w:r>
      <w:r w:rsidR="00FF302D" w:rsidRPr="00113F13">
        <w:rPr>
          <w:rFonts w:ascii="Times New Roman" w:hAnsi="Times New Roman" w:cs="Times New Roman"/>
        </w:rPr>
        <w:t>and the provision</w:t>
      </w:r>
      <w:r w:rsidR="004E2106">
        <w:rPr>
          <w:rFonts w:ascii="Times New Roman" w:hAnsi="Times New Roman" w:cs="Times New Roman"/>
        </w:rPr>
        <w:t xml:space="preserve"> should</w:t>
      </w:r>
      <w:r w:rsidR="00FF302D" w:rsidRPr="00113F13">
        <w:rPr>
          <w:rFonts w:ascii="Times New Roman" w:hAnsi="Times New Roman" w:cs="Times New Roman"/>
        </w:rPr>
        <w:t xml:space="preserve"> be changed to recognise that a </w:t>
      </w:r>
      <w:r w:rsidR="00456AC4">
        <w:rPr>
          <w:rFonts w:ascii="Times New Roman" w:hAnsi="Times New Roman" w:cs="Times New Roman"/>
        </w:rPr>
        <w:t xml:space="preserve">single act, or a </w:t>
      </w:r>
      <w:r w:rsidR="00FF302D" w:rsidRPr="00113F13">
        <w:rPr>
          <w:rFonts w:ascii="Times New Roman" w:hAnsi="Times New Roman" w:cs="Times New Roman"/>
        </w:rPr>
        <w:t>pattern of behaviour</w:t>
      </w:r>
      <w:r w:rsidR="00456AC4">
        <w:rPr>
          <w:rFonts w:ascii="Times New Roman" w:hAnsi="Times New Roman" w:cs="Times New Roman"/>
        </w:rPr>
        <w:t>,</w:t>
      </w:r>
      <w:r w:rsidR="00FF302D" w:rsidRPr="00113F13">
        <w:rPr>
          <w:rFonts w:ascii="Times New Roman" w:hAnsi="Times New Roman" w:cs="Times New Roman"/>
        </w:rPr>
        <w:t xml:space="preserve"> may be taken into account in the determination of stalking or intimidation</w:t>
      </w:r>
      <w:r w:rsidR="00456AC4">
        <w:rPr>
          <w:rFonts w:ascii="Times New Roman" w:hAnsi="Times New Roman" w:cs="Times New Roman"/>
        </w:rPr>
        <w:t>;</w:t>
      </w:r>
    </w:p>
    <w:p w14:paraId="3CC5C266" w14:textId="3398AEAA" w:rsidR="00FF302D" w:rsidRPr="00113F13" w:rsidRDefault="00FF302D" w:rsidP="00B63604">
      <w:pPr>
        <w:pStyle w:val="Dotpointlist"/>
        <w:numPr>
          <w:ilvl w:val="0"/>
          <w:numId w:val="44"/>
        </w:numPr>
        <w:jc w:val="both"/>
        <w:rPr>
          <w:rFonts w:ascii="Times New Roman" w:hAnsi="Times New Roman" w:cs="Times New Roman"/>
        </w:rPr>
      </w:pPr>
      <w:r w:rsidRPr="00113F13">
        <w:rPr>
          <w:rFonts w:ascii="Times New Roman" w:hAnsi="Times New Roman" w:cs="Times New Roman"/>
        </w:rPr>
        <w:t xml:space="preserve">the extent to which behaviour that amounts to harassment is adequately protected for the purposes of the </w:t>
      </w:r>
      <w:r w:rsidRPr="00113F13">
        <w:rPr>
          <w:rFonts w:ascii="Times New Roman" w:hAnsi="Times New Roman" w:cs="Times New Roman"/>
          <w:i/>
          <w:iCs/>
        </w:rPr>
        <w:t>Family Violence Act 2003</w:t>
      </w:r>
      <w:r w:rsidR="008915BD">
        <w:rPr>
          <w:rFonts w:ascii="Times New Roman" w:hAnsi="Times New Roman" w:cs="Times New Roman"/>
        </w:rPr>
        <w:t xml:space="preserve"> (Tas); and</w:t>
      </w:r>
    </w:p>
    <w:p w14:paraId="09BFA1EB" w14:textId="3756A688" w:rsidR="00FF302D" w:rsidRPr="00113F13" w:rsidRDefault="008915BD" w:rsidP="00B63604">
      <w:pPr>
        <w:pStyle w:val="Dotpointlist"/>
        <w:numPr>
          <w:ilvl w:val="0"/>
          <w:numId w:val="44"/>
        </w:numPr>
        <w:jc w:val="both"/>
        <w:rPr>
          <w:rFonts w:ascii="Times New Roman" w:hAnsi="Times New Roman" w:cs="Times New Roman"/>
        </w:rPr>
      </w:pPr>
      <w:r>
        <w:rPr>
          <w:rFonts w:ascii="Times New Roman" w:eastAsia="Times New Roman" w:hAnsi="Times New Roman" w:cs="Times New Roman"/>
        </w:rPr>
        <w:t xml:space="preserve">whether </w:t>
      </w:r>
      <w:r w:rsidR="00FF302D" w:rsidRPr="00113F13">
        <w:rPr>
          <w:rFonts w:ascii="Times New Roman" w:eastAsia="Times New Roman" w:hAnsi="Times New Roman" w:cs="Times New Roman"/>
        </w:rPr>
        <w:t xml:space="preserve">the crime of stalking and bullying in the </w:t>
      </w:r>
      <w:r w:rsidR="00FF302D" w:rsidRPr="00113F13">
        <w:rPr>
          <w:rFonts w:ascii="Times New Roman" w:eastAsia="Times New Roman" w:hAnsi="Times New Roman" w:cs="Times New Roman"/>
          <w:i/>
          <w:iCs/>
        </w:rPr>
        <w:t xml:space="preserve">Criminal Code </w:t>
      </w:r>
      <w:r w:rsidR="00FF302D" w:rsidRPr="00113F13">
        <w:rPr>
          <w:rFonts w:ascii="Times New Roman" w:eastAsia="Times New Roman" w:hAnsi="Times New Roman" w:cs="Times New Roman"/>
        </w:rPr>
        <w:t xml:space="preserve">(Tas) </w:t>
      </w:r>
      <w:r w:rsidR="009E4420">
        <w:rPr>
          <w:rFonts w:ascii="Times New Roman" w:eastAsia="Times New Roman" w:hAnsi="Times New Roman" w:cs="Times New Roman"/>
        </w:rPr>
        <w:t>Section</w:t>
      </w:r>
      <w:r w:rsidR="00FF302D" w:rsidRPr="00113F13">
        <w:rPr>
          <w:rFonts w:ascii="Times New Roman" w:eastAsia="Times New Roman" w:hAnsi="Times New Roman" w:cs="Times New Roman"/>
        </w:rPr>
        <w:t xml:space="preserve"> 192 </w:t>
      </w:r>
      <w:r>
        <w:rPr>
          <w:rFonts w:ascii="Times New Roman" w:eastAsia="Times New Roman" w:hAnsi="Times New Roman" w:cs="Times New Roman"/>
        </w:rPr>
        <w:t xml:space="preserve">should </w:t>
      </w:r>
      <w:r w:rsidR="00FF302D" w:rsidRPr="00113F13">
        <w:rPr>
          <w:rFonts w:ascii="Times New Roman" w:eastAsia="Times New Roman" w:hAnsi="Times New Roman" w:cs="Times New Roman"/>
        </w:rPr>
        <w:t>be amended to more clearly criminalise surveillance conducted by technology</w:t>
      </w:r>
      <w:r>
        <w:rPr>
          <w:rFonts w:ascii="Times New Roman" w:eastAsia="Times New Roman" w:hAnsi="Times New Roman" w:cs="Times New Roman"/>
        </w:rPr>
        <w:t>;</w:t>
      </w:r>
      <w:r w:rsidR="00FF302D" w:rsidRPr="00113F13">
        <w:rPr>
          <w:rFonts w:ascii="Times New Roman" w:eastAsia="Times New Roman" w:hAnsi="Times New Roman" w:cs="Times New Roman"/>
        </w:rPr>
        <w:t xml:space="preserve"> for example</w:t>
      </w:r>
      <w:r w:rsidR="003473CC">
        <w:rPr>
          <w:rFonts w:ascii="Times New Roman" w:eastAsia="Times New Roman" w:hAnsi="Times New Roman" w:cs="Times New Roman"/>
        </w:rPr>
        <w:t>,</w:t>
      </w:r>
      <w:r w:rsidR="00FF302D" w:rsidRPr="00113F13">
        <w:rPr>
          <w:rFonts w:ascii="Times New Roman" w:eastAsia="Times New Roman" w:hAnsi="Times New Roman" w:cs="Times New Roman"/>
        </w:rPr>
        <w:t xml:space="preserve"> by </w:t>
      </w:r>
      <w:r w:rsidR="00FF302D" w:rsidRPr="00113F13">
        <w:rPr>
          <w:rFonts w:ascii="Times New Roman" w:eastAsia="Times New Roman" w:hAnsi="Times New Roman" w:cs="Times New Roman"/>
        </w:rPr>
        <w:lastRenderedPageBreak/>
        <w:t>installing tracking and spyware applications on mobile phones, electronic devices</w:t>
      </w:r>
      <w:r>
        <w:rPr>
          <w:rFonts w:ascii="Times New Roman" w:eastAsia="Times New Roman" w:hAnsi="Times New Roman" w:cs="Times New Roman"/>
        </w:rPr>
        <w:t>,</w:t>
      </w:r>
      <w:r w:rsidR="00FF302D" w:rsidRPr="00113F13">
        <w:rPr>
          <w:rFonts w:ascii="Times New Roman" w:eastAsia="Times New Roman" w:hAnsi="Times New Roman" w:cs="Times New Roman"/>
        </w:rPr>
        <w:t xml:space="preserve"> and vehicles</w:t>
      </w:r>
      <w:r>
        <w:rPr>
          <w:rFonts w:ascii="Times New Roman" w:eastAsia="Times New Roman" w:hAnsi="Times New Roman" w:cs="Times New Roman"/>
        </w:rPr>
        <w:t>,</w:t>
      </w:r>
      <w:r w:rsidR="00FF302D" w:rsidRPr="00113F13">
        <w:rPr>
          <w:rFonts w:ascii="Times New Roman" w:eastAsia="Times New Roman" w:hAnsi="Times New Roman" w:cs="Times New Roman"/>
        </w:rPr>
        <w:t xml:space="preserve"> as well as installing covert cameras and the use of drones</w:t>
      </w:r>
      <w:r w:rsidR="00FF302D" w:rsidRPr="00113F13">
        <w:rPr>
          <w:rFonts w:ascii="Times New Roman" w:hAnsi="Times New Roman" w:cs="Times New Roman"/>
        </w:rPr>
        <w:t>.</w:t>
      </w:r>
    </w:p>
    <w:p w14:paraId="17B36634" w14:textId="77777777" w:rsidR="00FF302D" w:rsidRPr="005A08F6" w:rsidRDefault="00FF302D" w:rsidP="00FF302D">
      <w:pPr>
        <w:pStyle w:val="Heading3"/>
        <w:numPr>
          <w:ilvl w:val="2"/>
          <w:numId w:val="0"/>
        </w:numPr>
        <w:rPr>
          <w:rFonts w:ascii="Times New Roman" w:hAnsi="Times New Roman" w:cs="Times New Roman"/>
          <w:color w:val="auto"/>
        </w:rPr>
      </w:pPr>
      <w:bookmarkStart w:id="19" w:name="_Toc164600220"/>
      <w:r w:rsidRPr="005A08F6">
        <w:rPr>
          <w:rFonts w:ascii="Times New Roman" w:hAnsi="Times New Roman" w:cs="Times New Roman"/>
          <w:b/>
          <w:bCs/>
          <w:color w:val="auto"/>
        </w:rPr>
        <w:t>Recommendation 61:</w:t>
      </w:r>
      <w:r w:rsidRPr="005A08F6">
        <w:rPr>
          <w:rFonts w:ascii="Times New Roman" w:hAnsi="Times New Roman" w:cs="Times New Roman"/>
          <w:color w:val="auto"/>
        </w:rPr>
        <w:t xml:space="preserve"> Tasmania should, in line with other jurisdictions, enact state-based legislation to create offences of distributing an intimate image without consent or threatening of distribute an intimate image. In the creation of such an offence, the law should make it clear that the prohibition extends to the distribution (or threat to distribute) images created or modified by the use of artificial intelligence.</w:t>
      </w:r>
      <w:bookmarkEnd w:id="19"/>
    </w:p>
    <w:p w14:paraId="58648459" w14:textId="77777777" w:rsidR="00FF302D" w:rsidRPr="00113F13" w:rsidRDefault="00FF302D" w:rsidP="00FF302D">
      <w:pPr>
        <w:pStyle w:val="Heading3"/>
        <w:numPr>
          <w:ilvl w:val="2"/>
          <w:numId w:val="0"/>
        </w:numPr>
        <w:rPr>
          <w:rFonts w:ascii="Times New Roman" w:hAnsi="Times New Roman" w:cs="Times New Roman"/>
          <w:color w:val="auto"/>
        </w:rPr>
      </w:pPr>
      <w:bookmarkStart w:id="20" w:name="_Toc164600221"/>
      <w:r w:rsidRPr="00113F13">
        <w:rPr>
          <w:rFonts w:ascii="Times New Roman" w:hAnsi="Times New Roman" w:cs="Times New Roman"/>
          <w:b/>
          <w:color w:val="auto"/>
        </w:rPr>
        <w:t xml:space="preserve">Recommendation 62: </w:t>
      </w:r>
      <w:r w:rsidRPr="00113F13">
        <w:rPr>
          <w:rFonts w:ascii="Times New Roman" w:hAnsi="Times New Roman" w:cs="Times New Roman"/>
          <w:color w:val="auto"/>
        </w:rPr>
        <w:t xml:space="preserve">There should be further consideration of necessary reforms to the PIPA, or the creation of standalone legislation, to align Tasmanian regulation with the </w:t>
      </w:r>
      <w:r w:rsidRPr="00113F13">
        <w:rPr>
          <w:rFonts w:ascii="Times New Roman" w:hAnsi="Times New Roman" w:cs="Times New Roman"/>
          <w:i/>
          <w:iCs/>
          <w:color w:val="auto"/>
        </w:rPr>
        <w:t>National Health Interoperability Plan</w:t>
      </w:r>
      <w:r w:rsidRPr="00113F13">
        <w:rPr>
          <w:rFonts w:ascii="Times New Roman" w:hAnsi="Times New Roman" w:cs="Times New Roman"/>
          <w:color w:val="auto"/>
        </w:rPr>
        <w:t>.</w:t>
      </w:r>
      <w:bookmarkEnd w:id="20"/>
    </w:p>
    <w:p w14:paraId="233631A9" w14:textId="123F8C8C" w:rsidR="00FF302D" w:rsidRPr="00113F13" w:rsidRDefault="00FF302D" w:rsidP="00FF302D">
      <w:pPr>
        <w:keepNext/>
        <w:rPr>
          <w:rFonts w:cs="Times New Roman"/>
          <w:lang w:val="en-GB"/>
        </w:rPr>
      </w:pPr>
      <w:r w:rsidRPr="00113F13">
        <w:rPr>
          <w:rFonts w:cs="Times New Roman"/>
          <w:b/>
          <w:bCs/>
          <w:lang w:val="en-GB"/>
        </w:rPr>
        <w:t>Recommendation 63:</w:t>
      </w:r>
      <w:r w:rsidRPr="00113F13">
        <w:rPr>
          <w:rFonts w:cs="Times New Roman"/>
          <w:lang w:val="en-GB"/>
        </w:rPr>
        <w:t xml:space="preserve"> If a national statutory tort is not adopted by the Commonwealth in the near future, consideration should be given to the introduction of Tasmanian legislation to create a statutory tort of privacy.</w:t>
      </w:r>
    </w:p>
    <w:p w14:paraId="711BE660" w14:textId="77777777" w:rsidR="00FF302D" w:rsidRPr="00113F13" w:rsidRDefault="00FF302D" w:rsidP="00FF302D">
      <w:pPr>
        <w:rPr>
          <w:rFonts w:cs="Times New Roman"/>
        </w:rPr>
      </w:pPr>
    </w:p>
    <w:p w14:paraId="5661E3BD" w14:textId="77777777" w:rsidR="00FF302D" w:rsidRPr="00113F13" w:rsidRDefault="00FF302D" w:rsidP="00FF302D">
      <w:pPr>
        <w:rPr>
          <w:rFonts w:cs="Times New Roman"/>
        </w:rPr>
      </w:pPr>
    </w:p>
    <w:p w14:paraId="046AB509" w14:textId="77777777" w:rsidR="00FF302D" w:rsidRPr="00113F13" w:rsidRDefault="00FF302D" w:rsidP="00FF302D">
      <w:pPr>
        <w:rPr>
          <w:rFonts w:cs="Times New Roman"/>
        </w:rPr>
      </w:pPr>
    </w:p>
    <w:p w14:paraId="0CAFD8EA" w14:textId="77777777" w:rsidR="00FF302D" w:rsidRPr="00113F13" w:rsidRDefault="00FF302D" w:rsidP="00FF302D">
      <w:pPr>
        <w:pStyle w:val="NormalNumberedTextTLRI"/>
        <w:numPr>
          <w:ilvl w:val="0"/>
          <w:numId w:val="0"/>
        </w:numPr>
      </w:pPr>
    </w:p>
    <w:p w14:paraId="512136CA" w14:textId="77777777" w:rsidR="00FF302D" w:rsidRPr="00113F13" w:rsidRDefault="00FF302D" w:rsidP="00FF302D">
      <w:pPr>
        <w:rPr>
          <w:rFonts w:cs="Times New Roman"/>
        </w:rPr>
      </w:pPr>
    </w:p>
    <w:p w14:paraId="46F774A2" w14:textId="77777777" w:rsidR="00C41946" w:rsidRDefault="00C41946">
      <w:pPr>
        <w:spacing w:after="200" w:line="276" w:lineRule="auto"/>
        <w:jc w:val="left"/>
        <w:rPr>
          <w:b/>
          <w:bCs/>
          <w:sz w:val="32"/>
          <w:szCs w:val="36"/>
        </w:rPr>
      </w:pPr>
      <w:bookmarkStart w:id="21" w:name="_Toc130540417"/>
      <w:bookmarkStart w:id="22" w:name="_Toc164606491"/>
      <w:r>
        <w:br w:type="page"/>
      </w:r>
    </w:p>
    <w:p w14:paraId="33F2D0A6" w14:textId="670F09CA" w:rsidR="00FF302D" w:rsidRPr="00113F13" w:rsidRDefault="00FF302D" w:rsidP="00113F13">
      <w:pPr>
        <w:pStyle w:val="Headingunnumbered"/>
      </w:pPr>
      <w:r w:rsidRPr="00113F13">
        <w:lastRenderedPageBreak/>
        <w:t xml:space="preserve">List of </w:t>
      </w:r>
      <w:r w:rsidR="00502A61">
        <w:t>A</w:t>
      </w:r>
      <w:r w:rsidRPr="00113F13">
        <w:t xml:space="preserve">cronyms and </w:t>
      </w:r>
      <w:r w:rsidR="00502A61">
        <w:t>A</w:t>
      </w:r>
      <w:r w:rsidRPr="00113F13">
        <w:t>bbreviations</w:t>
      </w:r>
      <w:bookmarkEnd w:id="21"/>
      <w:bookmarkEnd w:id="22"/>
    </w:p>
    <w:p w14:paraId="053B408F" w14:textId="0D6DFDB5" w:rsidR="00FF302D" w:rsidRPr="00113F13" w:rsidRDefault="00FF302D" w:rsidP="00FF302D">
      <w:pPr>
        <w:rPr>
          <w:rFonts w:cs="Times New Roman"/>
        </w:rPr>
      </w:pPr>
      <w:r w:rsidRPr="00113F13">
        <w:rPr>
          <w:rFonts w:cs="Times New Roman"/>
        </w:rPr>
        <w:t xml:space="preserve">In this Final Report, language that is consistent with relevant Acts is used wherever possible. The following is a list of </w:t>
      </w:r>
      <w:r w:rsidR="00455C1B">
        <w:rPr>
          <w:rFonts w:cs="Times New Roman"/>
        </w:rPr>
        <w:t xml:space="preserve">the most frequently </w:t>
      </w:r>
      <w:r w:rsidR="00455C1B" w:rsidRPr="00113F13">
        <w:rPr>
          <w:rFonts w:cs="Times New Roman"/>
        </w:rPr>
        <w:t xml:space="preserve">used </w:t>
      </w:r>
      <w:r w:rsidRPr="00113F13">
        <w:rPr>
          <w:rFonts w:cs="Times New Roman"/>
        </w:rPr>
        <w:t>acronyms, abbreviations, and key terms.</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954"/>
      </w:tblGrid>
      <w:tr w:rsidR="00C807BD" w:rsidRPr="00113F13" w14:paraId="1C07550C" w14:textId="77777777" w:rsidTr="00410F42">
        <w:trPr>
          <w:trHeight w:val="397"/>
        </w:trPr>
        <w:tc>
          <w:tcPr>
            <w:tcW w:w="2551" w:type="dxa"/>
            <w:shd w:val="clear" w:color="auto" w:fill="auto"/>
          </w:tcPr>
          <w:p w14:paraId="0258413A" w14:textId="77777777" w:rsidR="00C807BD" w:rsidRPr="00113F13" w:rsidRDefault="00C807BD" w:rsidP="00EF0C0D">
            <w:pPr>
              <w:spacing w:before="120" w:after="120"/>
              <w:jc w:val="left"/>
              <w:rPr>
                <w:rFonts w:cs="Times New Roman"/>
                <w:sz w:val="22"/>
                <w:szCs w:val="22"/>
              </w:rPr>
            </w:pPr>
            <w:r w:rsidRPr="00113F13">
              <w:rPr>
                <w:rFonts w:cs="Times New Roman"/>
              </w:rPr>
              <w:t>2017 APP Code</w:t>
            </w:r>
          </w:p>
        </w:tc>
        <w:tc>
          <w:tcPr>
            <w:tcW w:w="5954" w:type="dxa"/>
            <w:shd w:val="clear" w:color="auto" w:fill="auto"/>
          </w:tcPr>
          <w:p w14:paraId="0ECAFAE1" w14:textId="1FBDF476" w:rsidR="00C807BD" w:rsidRPr="00502A61" w:rsidRDefault="00C807BD" w:rsidP="007317C5">
            <w:pPr>
              <w:spacing w:before="120" w:after="120"/>
              <w:jc w:val="left"/>
              <w:rPr>
                <w:rFonts w:cs="Times New Roman"/>
                <w:sz w:val="22"/>
                <w:szCs w:val="22"/>
              </w:rPr>
            </w:pPr>
            <w:r w:rsidRPr="007317C5">
              <w:rPr>
                <w:rFonts w:cs="Times New Roman"/>
                <w:i/>
                <w:iCs/>
                <w:sz w:val="22"/>
                <w:szCs w:val="22"/>
              </w:rPr>
              <w:t>Privacy (Australian Government Agencies – Governance)</w:t>
            </w:r>
            <w:r>
              <w:rPr>
                <w:rFonts w:cs="Times New Roman"/>
                <w:sz w:val="22"/>
                <w:szCs w:val="22"/>
              </w:rPr>
              <w:t xml:space="preserve"> APP</w:t>
            </w:r>
            <w:r w:rsidR="00410F42">
              <w:rPr>
                <w:rFonts w:cs="Times New Roman"/>
                <w:sz w:val="22"/>
                <w:szCs w:val="22"/>
              </w:rPr>
              <w:t> </w:t>
            </w:r>
            <w:r>
              <w:rPr>
                <w:rFonts w:cs="Times New Roman"/>
                <w:sz w:val="22"/>
                <w:szCs w:val="22"/>
              </w:rPr>
              <w:t>Code 2017</w:t>
            </w:r>
          </w:p>
        </w:tc>
      </w:tr>
      <w:tr w:rsidR="00FF302D" w:rsidRPr="00113F13" w14:paraId="3F450AAC" w14:textId="77777777" w:rsidTr="00410F42">
        <w:trPr>
          <w:trHeight w:val="397"/>
        </w:trPr>
        <w:tc>
          <w:tcPr>
            <w:tcW w:w="2551" w:type="dxa"/>
            <w:shd w:val="clear" w:color="auto" w:fill="auto"/>
          </w:tcPr>
          <w:p w14:paraId="1E8522EC" w14:textId="524530A9" w:rsidR="00FF302D" w:rsidRPr="00113F13" w:rsidRDefault="00FF302D" w:rsidP="00EF0C0D">
            <w:pPr>
              <w:spacing w:before="120" w:after="120"/>
              <w:jc w:val="left"/>
              <w:rPr>
                <w:rFonts w:cs="Times New Roman"/>
                <w:sz w:val="22"/>
                <w:szCs w:val="22"/>
              </w:rPr>
            </w:pPr>
            <w:r w:rsidRPr="00113F13">
              <w:rPr>
                <w:rFonts w:cs="Times New Roman"/>
              </w:rPr>
              <w:t>AAT</w:t>
            </w:r>
          </w:p>
        </w:tc>
        <w:tc>
          <w:tcPr>
            <w:tcW w:w="5954" w:type="dxa"/>
            <w:shd w:val="clear" w:color="auto" w:fill="auto"/>
          </w:tcPr>
          <w:p w14:paraId="74997C5E" w14:textId="77777777" w:rsidR="00FF302D" w:rsidRPr="00113F13" w:rsidRDefault="00FF302D" w:rsidP="007317C5">
            <w:pPr>
              <w:spacing w:before="120" w:after="120"/>
              <w:jc w:val="left"/>
              <w:rPr>
                <w:rFonts w:cs="Times New Roman"/>
                <w:sz w:val="22"/>
                <w:szCs w:val="22"/>
              </w:rPr>
            </w:pPr>
            <w:r w:rsidRPr="00113F13">
              <w:rPr>
                <w:rFonts w:cs="Times New Roman"/>
              </w:rPr>
              <w:t>Administrative Appeals Tribunal</w:t>
            </w:r>
          </w:p>
        </w:tc>
      </w:tr>
      <w:tr w:rsidR="00FF302D" w:rsidRPr="00113F13" w14:paraId="799EA12C" w14:textId="77777777" w:rsidTr="00410F42">
        <w:trPr>
          <w:trHeight w:val="397"/>
        </w:trPr>
        <w:tc>
          <w:tcPr>
            <w:tcW w:w="2551" w:type="dxa"/>
            <w:shd w:val="clear" w:color="auto" w:fill="auto"/>
          </w:tcPr>
          <w:p w14:paraId="56B7514F" w14:textId="77777777" w:rsidR="00FF302D" w:rsidRPr="00113F13" w:rsidRDefault="00FF302D" w:rsidP="00EF0C0D">
            <w:pPr>
              <w:spacing w:before="120" w:after="120"/>
              <w:jc w:val="left"/>
              <w:rPr>
                <w:rFonts w:cs="Times New Roman"/>
                <w:sz w:val="22"/>
                <w:szCs w:val="22"/>
              </w:rPr>
            </w:pPr>
            <w:r w:rsidRPr="00113F13">
              <w:rPr>
                <w:rFonts w:cs="Times New Roman"/>
              </w:rPr>
              <w:t>ACCC</w:t>
            </w:r>
          </w:p>
        </w:tc>
        <w:tc>
          <w:tcPr>
            <w:tcW w:w="5954" w:type="dxa"/>
            <w:shd w:val="clear" w:color="auto" w:fill="auto"/>
          </w:tcPr>
          <w:p w14:paraId="51B721F5" w14:textId="77777777" w:rsidR="00FF302D" w:rsidRPr="00113F13" w:rsidRDefault="00FF302D" w:rsidP="007317C5">
            <w:pPr>
              <w:spacing w:before="120" w:after="120"/>
              <w:jc w:val="left"/>
              <w:rPr>
                <w:rFonts w:cs="Times New Roman"/>
                <w:sz w:val="22"/>
                <w:szCs w:val="22"/>
              </w:rPr>
            </w:pPr>
            <w:r w:rsidRPr="00113F13">
              <w:rPr>
                <w:rFonts w:cs="Times New Roman"/>
              </w:rPr>
              <w:t>Australian Competition &amp; Consumer Commission</w:t>
            </w:r>
          </w:p>
        </w:tc>
      </w:tr>
      <w:tr w:rsidR="00134651" w:rsidRPr="00113F13" w14:paraId="06FEBD79" w14:textId="77777777" w:rsidTr="00410F42">
        <w:trPr>
          <w:trHeight w:val="397"/>
        </w:trPr>
        <w:tc>
          <w:tcPr>
            <w:tcW w:w="2551" w:type="dxa"/>
            <w:shd w:val="clear" w:color="auto" w:fill="auto"/>
          </w:tcPr>
          <w:p w14:paraId="6DC95929" w14:textId="44019DE9" w:rsidR="00134651" w:rsidRPr="00113F13" w:rsidRDefault="00134651" w:rsidP="00EF0C0D">
            <w:pPr>
              <w:spacing w:before="120" w:after="120"/>
              <w:jc w:val="left"/>
              <w:rPr>
                <w:rFonts w:cs="Times New Roman"/>
              </w:rPr>
            </w:pPr>
            <w:r>
              <w:rPr>
                <w:rFonts w:cs="Times New Roman"/>
              </w:rPr>
              <w:t>ACT</w:t>
            </w:r>
          </w:p>
        </w:tc>
        <w:tc>
          <w:tcPr>
            <w:tcW w:w="5954" w:type="dxa"/>
            <w:shd w:val="clear" w:color="auto" w:fill="auto"/>
          </w:tcPr>
          <w:p w14:paraId="606E6AA9" w14:textId="547D44C1" w:rsidR="00134651" w:rsidRPr="00113F13" w:rsidRDefault="00134651" w:rsidP="007317C5">
            <w:pPr>
              <w:spacing w:before="120" w:after="120"/>
              <w:jc w:val="left"/>
              <w:rPr>
                <w:rFonts w:cs="Times New Roman"/>
              </w:rPr>
            </w:pPr>
            <w:r>
              <w:rPr>
                <w:rFonts w:cs="Times New Roman"/>
              </w:rPr>
              <w:t>Australian Capital Territory</w:t>
            </w:r>
          </w:p>
        </w:tc>
      </w:tr>
      <w:tr w:rsidR="00FF302D" w:rsidRPr="00113F13" w14:paraId="3BB2EA0F" w14:textId="77777777" w:rsidTr="00410F42">
        <w:trPr>
          <w:trHeight w:val="397"/>
        </w:trPr>
        <w:tc>
          <w:tcPr>
            <w:tcW w:w="2551" w:type="dxa"/>
            <w:shd w:val="clear" w:color="auto" w:fill="auto"/>
          </w:tcPr>
          <w:p w14:paraId="4AF1113E" w14:textId="77777777" w:rsidR="00FF302D" w:rsidRPr="00113F13" w:rsidRDefault="00FF302D" w:rsidP="00EF0C0D">
            <w:pPr>
              <w:spacing w:before="120" w:after="120"/>
              <w:jc w:val="left"/>
              <w:rPr>
                <w:rFonts w:cs="Times New Roman"/>
                <w:sz w:val="22"/>
                <w:szCs w:val="22"/>
              </w:rPr>
            </w:pPr>
            <w:r w:rsidRPr="00113F13">
              <w:rPr>
                <w:rFonts w:cs="Times New Roman"/>
              </w:rPr>
              <w:t>ADEPT</w:t>
            </w:r>
          </w:p>
        </w:tc>
        <w:tc>
          <w:tcPr>
            <w:tcW w:w="5954" w:type="dxa"/>
            <w:shd w:val="clear" w:color="auto" w:fill="auto"/>
          </w:tcPr>
          <w:p w14:paraId="1D2F53EA" w14:textId="77777777" w:rsidR="00FF302D" w:rsidRPr="00113F13" w:rsidRDefault="00FF302D" w:rsidP="007317C5">
            <w:pPr>
              <w:spacing w:before="120" w:after="120"/>
              <w:jc w:val="left"/>
              <w:rPr>
                <w:rFonts w:cs="Times New Roman"/>
                <w:sz w:val="22"/>
                <w:szCs w:val="22"/>
              </w:rPr>
            </w:pPr>
            <w:r w:rsidRPr="00113F13">
              <w:rPr>
                <w:rFonts w:cs="Times New Roman"/>
              </w:rPr>
              <w:t>Administrative Data Exchange Protocol for Tasmania</w:t>
            </w:r>
          </w:p>
        </w:tc>
      </w:tr>
      <w:tr w:rsidR="00FF302D" w:rsidRPr="00113F13" w14:paraId="712EC12B" w14:textId="77777777" w:rsidTr="00410F42">
        <w:trPr>
          <w:trHeight w:val="397"/>
        </w:trPr>
        <w:tc>
          <w:tcPr>
            <w:tcW w:w="2551" w:type="dxa"/>
            <w:shd w:val="clear" w:color="auto" w:fill="auto"/>
          </w:tcPr>
          <w:p w14:paraId="59CA282D" w14:textId="77777777" w:rsidR="00FF302D" w:rsidRPr="00113F13" w:rsidRDefault="00FF302D" w:rsidP="00EF0C0D">
            <w:pPr>
              <w:spacing w:before="120" w:after="120"/>
              <w:jc w:val="left"/>
              <w:rPr>
                <w:rFonts w:cs="Times New Roman"/>
                <w:sz w:val="22"/>
                <w:szCs w:val="22"/>
              </w:rPr>
            </w:pPr>
            <w:r w:rsidRPr="00113F13">
              <w:rPr>
                <w:rFonts w:cs="Times New Roman"/>
              </w:rPr>
              <w:t>ADM</w:t>
            </w:r>
          </w:p>
        </w:tc>
        <w:tc>
          <w:tcPr>
            <w:tcW w:w="5954" w:type="dxa"/>
            <w:shd w:val="clear" w:color="auto" w:fill="auto"/>
          </w:tcPr>
          <w:p w14:paraId="3B742150" w14:textId="31C0D907" w:rsidR="00FF302D" w:rsidRPr="00113F13" w:rsidRDefault="002041FC" w:rsidP="007317C5">
            <w:pPr>
              <w:spacing w:before="120" w:after="120"/>
              <w:jc w:val="left"/>
              <w:rPr>
                <w:rFonts w:cs="Times New Roman"/>
                <w:sz w:val="22"/>
                <w:szCs w:val="22"/>
              </w:rPr>
            </w:pPr>
            <w:r w:rsidRPr="00113F13">
              <w:rPr>
                <w:rFonts w:cs="Times New Roman"/>
              </w:rPr>
              <w:t>automated decision-making</w:t>
            </w:r>
          </w:p>
        </w:tc>
      </w:tr>
      <w:tr w:rsidR="00FF302D" w:rsidRPr="00113F13" w14:paraId="6482846B" w14:textId="77777777" w:rsidTr="00410F42">
        <w:trPr>
          <w:trHeight w:val="397"/>
        </w:trPr>
        <w:tc>
          <w:tcPr>
            <w:tcW w:w="2551" w:type="dxa"/>
            <w:shd w:val="clear" w:color="auto" w:fill="auto"/>
          </w:tcPr>
          <w:p w14:paraId="29B576EC" w14:textId="77777777" w:rsidR="00FF302D" w:rsidRPr="00113F13" w:rsidRDefault="00FF302D" w:rsidP="00EF0C0D">
            <w:pPr>
              <w:spacing w:before="120" w:after="120"/>
              <w:jc w:val="left"/>
              <w:rPr>
                <w:rFonts w:cs="Times New Roman"/>
                <w:sz w:val="22"/>
                <w:szCs w:val="22"/>
              </w:rPr>
            </w:pPr>
            <w:r w:rsidRPr="00113F13">
              <w:rPr>
                <w:rFonts w:cs="Times New Roman"/>
              </w:rPr>
              <w:t>AHRC</w:t>
            </w:r>
          </w:p>
        </w:tc>
        <w:tc>
          <w:tcPr>
            <w:tcW w:w="5954" w:type="dxa"/>
            <w:shd w:val="clear" w:color="auto" w:fill="auto"/>
          </w:tcPr>
          <w:p w14:paraId="31A00F95" w14:textId="77777777" w:rsidR="00FF302D" w:rsidRPr="00113F13" w:rsidRDefault="00FF302D" w:rsidP="007317C5">
            <w:pPr>
              <w:spacing w:before="120" w:after="120"/>
              <w:jc w:val="left"/>
              <w:rPr>
                <w:rFonts w:cs="Times New Roman"/>
                <w:sz w:val="22"/>
                <w:szCs w:val="22"/>
              </w:rPr>
            </w:pPr>
            <w:r w:rsidRPr="00113F13">
              <w:rPr>
                <w:rFonts w:cs="Times New Roman"/>
              </w:rPr>
              <w:t>Australian Human Rights Commission</w:t>
            </w:r>
          </w:p>
        </w:tc>
      </w:tr>
      <w:tr w:rsidR="00C807BD" w:rsidRPr="00113F13" w14:paraId="2E50C79C" w14:textId="77777777" w:rsidTr="00410F42">
        <w:trPr>
          <w:trHeight w:val="397"/>
        </w:trPr>
        <w:tc>
          <w:tcPr>
            <w:tcW w:w="2551" w:type="dxa"/>
            <w:shd w:val="clear" w:color="auto" w:fill="auto"/>
          </w:tcPr>
          <w:p w14:paraId="60CABC97" w14:textId="77777777" w:rsidR="00C807BD" w:rsidRPr="00113F13" w:rsidRDefault="00C807BD" w:rsidP="00EF0C0D">
            <w:pPr>
              <w:spacing w:before="120" w:after="120"/>
              <w:jc w:val="left"/>
              <w:rPr>
                <w:rFonts w:cs="Times New Roman"/>
                <w:sz w:val="22"/>
                <w:szCs w:val="22"/>
              </w:rPr>
            </w:pPr>
            <w:r w:rsidRPr="00113F13">
              <w:rPr>
                <w:rFonts w:cs="Times New Roman"/>
              </w:rPr>
              <w:t>AI</w:t>
            </w:r>
          </w:p>
        </w:tc>
        <w:tc>
          <w:tcPr>
            <w:tcW w:w="5954" w:type="dxa"/>
            <w:shd w:val="clear" w:color="auto" w:fill="auto"/>
          </w:tcPr>
          <w:p w14:paraId="5CB1DBF9" w14:textId="77777777" w:rsidR="00C807BD" w:rsidRPr="00113F13" w:rsidRDefault="00C807BD" w:rsidP="007317C5">
            <w:pPr>
              <w:spacing w:before="120" w:after="120"/>
              <w:jc w:val="left"/>
              <w:rPr>
                <w:rFonts w:cs="Times New Roman"/>
                <w:sz w:val="22"/>
                <w:szCs w:val="22"/>
              </w:rPr>
            </w:pPr>
            <w:r w:rsidRPr="00113F13">
              <w:rPr>
                <w:rFonts w:cs="Times New Roman"/>
              </w:rPr>
              <w:t>artificial intelligence</w:t>
            </w:r>
          </w:p>
        </w:tc>
      </w:tr>
      <w:tr w:rsidR="00FF302D" w:rsidRPr="00113F13" w14:paraId="3E50C331" w14:textId="77777777" w:rsidTr="00410F42">
        <w:trPr>
          <w:trHeight w:val="397"/>
        </w:trPr>
        <w:tc>
          <w:tcPr>
            <w:tcW w:w="2551" w:type="dxa"/>
            <w:shd w:val="clear" w:color="auto" w:fill="auto"/>
          </w:tcPr>
          <w:p w14:paraId="7E1EED09" w14:textId="77777777" w:rsidR="00FF302D" w:rsidRPr="00113F13" w:rsidRDefault="00FF302D" w:rsidP="00EF0C0D">
            <w:pPr>
              <w:spacing w:before="120" w:after="120"/>
              <w:jc w:val="left"/>
              <w:rPr>
                <w:rFonts w:cs="Times New Roman"/>
                <w:sz w:val="22"/>
                <w:szCs w:val="22"/>
              </w:rPr>
            </w:pPr>
            <w:r w:rsidRPr="00113F13">
              <w:rPr>
                <w:rFonts w:cs="Times New Roman"/>
              </w:rPr>
              <w:t>ALRC </w:t>
            </w:r>
          </w:p>
        </w:tc>
        <w:tc>
          <w:tcPr>
            <w:tcW w:w="5954" w:type="dxa"/>
            <w:shd w:val="clear" w:color="auto" w:fill="auto"/>
          </w:tcPr>
          <w:p w14:paraId="03786F41" w14:textId="77777777" w:rsidR="00FF302D" w:rsidRPr="00113F13" w:rsidRDefault="00FF302D" w:rsidP="007317C5">
            <w:pPr>
              <w:spacing w:before="120" w:after="120"/>
              <w:jc w:val="left"/>
              <w:rPr>
                <w:rFonts w:cs="Times New Roman"/>
                <w:sz w:val="22"/>
                <w:szCs w:val="22"/>
              </w:rPr>
            </w:pPr>
            <w:r w:rsidRPr="00113F13">
              <w:rPr>
                <w:rFonts w:cs="Times New Roman"/>
              </w:rPr>
              <w:t>Australian Law Reform Commission</w:t>
            </w:r>
          </w:p>
        </w:tc>
      </w:tr>
      <w:tr w:rsidR="00FF302D" w:rsidRPr="00113F13" w14:paraId="5002DCA3" w14:textId="77777777" w:rsidTr="00410F42">
        <w:trPr>
          <w:trHeight w:val="397"/>
        </w:trPr>
        <w:tc>
          <w:tcPr>
            <w:tcW w:w="2551" w:type="dxa"/>
            <w:shd w:val="clear" w:color="auto" w:fill="auto"/>
          </w:tcPr>
          <w:p w14:paraId="65FF8E0C" w14:textId="77777777" w:rsidR="00FF302D" w:rsidRPr="00113F13" w:rsidRDefault="00FF302D" w:rsidP="00EF0C0D">
            <w:pPr>
              <w:spacing w:before="120" w:after="120"/>
              <w:jc w:val="left"/>
              <w:rPr>
                <w:rFonts w:cs="Times New Roman"/>
                <w:sz w:val="22"/>
                <w:szCs w:val="22"/>
              </w:rPr>
            </w:pPr>
            <w:r w:rsidRPr="00113F13">
              <w:rPr>
                <w:rFonts w:cs="Times New Roman"/>
              </w:rPr>
              <w:t xml:space="preserve">APPs </w:t>
            </w:r>
          </w:p>
        </w:tc>
        <w:tc>
          <w:tcPr>
            <w:tcW w:w="5954" w:type="dxa"/>
            <w:shd w:val="clear" w:color="auto" w:fill="auto"/>
          </w:tcPr>
          <w:p w14:paraId="17F93F6C" w14:textId="77777777" w:rsidR="00FF302D" w:rsidRPr="00113F13" w:rsidRDefault="00FF302D" w:rsidP="007317C5">
            <w:pPr>
              <w:spacing w:before="120" w:after="120"/>
              <w:jc w:val="left"/>
              <w:rPr>
                <w:rFonts w:cs="Times New Roman"/>
                <w:i/>
                <w:iCs/>
                <w:sz w:val="22"/>
                <w:szCs w:val="22"/>
              </w:rPr>
            </w:pPr>
            <w:r w:rsidRPr="00113F13">
              <w:rPr>
                <w:rFonts w:cs="Times New Roman"/>
              </w:rPr>
              <w:t>Australian Privacy Principles</w:t>
            </w:r>
          </w:p>
        </w:tc>
      </w:tr>
      <w:tr w:rsidR="00C807BD" w:rsidRPr="00113F13" w14:paraId="15524753" w14:textId="77777777" w:rsidTr="00410F42">
        <w:trPr>
          <w:trHeight w:val="397"/>
        </w:trPr>
        <w:tc>
          <w:tcPr>
            <w:tcW w:w="2551" w:type="dxa"/>
            <w:shd w:val="clear" w:color="auto" w:fill="auto"/>
          </w:tcPr>
          <w:p w14:paraId="69B60296" w14:textId="7E72B68C" w:rsidR="00C807BD" w:rsidRDefault="00C807BD" w:rsidP="00EF0C0D">
            <w:pPr>
              <w:spacing w:before="120" w:after="120"/>
              <w:jc w:val="left"/>
              <w:rPr>
                <w:rFonts w:cs="Times New Roman"/>
              </w:rPr>
            </w:pPr>
            <w:r>
              <w:rPr>
                <w:rFonts w:cs="Times New Roman"/>
              </w:rPr>
              <w:t>APRA</w:t>
            </w:r>
          </w:p>
        </w:tc>
        <w:tc>
          <w:tcPr>
            <w:tcW w:w="5954" w:type="dxa"/>
            <w:shd w:val="clear" w:color="auto" w:fill="auto"/>
          </w:tcPr>
          <w:p w14:paraId="068E1F45" w14:textId="0376ADAB" w:rsidR="00C807BD" w:rsidRDefault="00C807BD" w:rsidP="007317C5">
            <w:pPr>
              <w:spacing w:before="120" w:after="120"/>
              <w:jc w:val="left"/>
              <w:rPr>
                <w:rFonts w:cs="Times New Roman"/>
              </w:rPr>
            </w:pPr>
            <w:r>
              <w:rPr>
                <w:rFonts w:cs="Times New Roman"/>
              </w:rPr>
              <w:t>Australian Prudential Regulation Authority</w:t>
            </w:r>
          </w:p>
        </w:tc>
      </w:tr>
      <w:tr w:rsidR="00C807BD" w:rsidRPr="00113F13" w14:paraId="7B80BBEC" w14:textId="77777777" w:rsidTr="00410F42">
        <w:trPr>
          <w:trHeight w:val="397"/>
        </w:trPr>
        <w:tc>
          <w:tcPr>
            <w:tcW w:w="2551" w:type="dxa"/>
            <w:shd w:val="clear" w:color="auto" w:fill="auto"/>
          </w:tcPr>
          <w:p w14:paraId="67DAA224" w14:textId="5ECD9CB6" w:rsidR="00C807BD" w:rsidRDefault="00C807BD" w:rsidP="00EF0C0D">
            <w:pPr>
              <w:spacing w:before="120" w:after="120"/>
              <w:jc w:val="left"/>
              <w:rPr>
                <w:rFonts w:cs="Times New Roman"/>
              </w:rPr>
            </w:pPr>
            <w:r>
              <w:rPr>
                <w:rFonts w:cs="Times New Roman"/>
              </w:rPr>
              <w:t>ASIC</w:t>
            </w:r>
          </w:p>
        </w:tc>
        <w:tc>
          <w:tcPr>
            <w:tcW w:w="5954" w:type="dxa"/>
            <w:shd w:val="clear" w:color="auto" w:fill="auto"/>
          </w:tcPr>
          <w:p w14:paraId="498B2E6C" w14:textId="55658E3C" w:rsidR="00C807BD" w:rsidRDefault="00C807BD" w:rsidP="007317C5">
            <w:pPr>
              <w:spacing w:before="120" w:after="120"/>
              <w:jc w:val="left"/>
              <w:rPr>
                <w:rFonts w:cs="Times New Roman"/>
              </w:rPr>
            </w:pPr>
            <w:r>
              <w:rPr>
                <w:rFonts w:cs="Times New Roman"/>
              </w:rPr>
              <w:t>Australian Securities and Investments Commission</w:t>
            </w:r>
          </w:p>
        </w:tc>
      </w:tr>
      <w:tr w:rsidR="008F272C" w:rsidRPr="00113F13" w14:paraId="7117CF4D" w14:textId="77777777" w:rsidTr="00410F42">
        <w:trPr>
          <w:trHeight w:val="397"/>
        </w:trPr>
        <w:tc>
          <w:tcPr>
            <w:tcW w:w="2551" w:type="dxa"/>
            <w:shd w:val="clear" w:color="auto" w:fill="auto"/>
          </w:tcPr>
          <w:p w14:paraId="0108FC8D" w14:textId="7863CCB6" w:rsidR="008F272C" w:rsidRPr="00310862" w:rsidRDefault="008F272C" w:rsidP="00EF0C0D">
            <w:pPr>
              <w:spacing w:before="120" w:after="120"/>
              <w:jc w:val="left"/>
              <w:rPr>
                <w:rFonts w:cs="Times New Roman"/>
              </w:rPr>
            </w:pPr>
            <w:r>
              <w:rPr>
                <w:rFonts w:cs="Times New Roman"/>
              </w:rPr>
              <w:t>CCTV</w:t>
            </w:r>
          </w:p>
        </w:tc>
        <w:tc>
          <w:tcPr>
            <w:tcW w:w="5954" w:type="dxa"/>
            <w:shd w:val="clear" w:color="auto" w:fill="auto"/>
          </w:tcPr>
          <w:p w14:paraId="50CD5A8E" w14:textId="1A113950" w:rsidR="008F272C" w:rsidRPr="00310862" w:rsidRDefault="008F272C" w:rsidP="007317C5">
            <w:pPr>
              <w:spacing w:before="120" w:after="120"/>
              <w:jc w:val="left"/>
              <w:rPr>
                <w:rFonts w:cs="Times New Roman"/>
              </w:rPr>
            </w:pPr>
            <w:r>
              <w:rPr>
                <w:rFonts w:cs="Times New Roman"/>
              </w:rPr>
              <w:t>closed circuit television</w:t>
            </w:r>
          </w:p>
        </w:tc>
      </w:tr>
      <w:tr w:rsidR="00C807BD" w:rsidRPr="00113F13" w14:paraId="0C83554D" w14:textId="77777777" w:rsidTr="00410F42">
        <w:trPr>
          <w:trHeight w:val="397"/>
        </w:trPr>
        <w:tc>
          <w:tcPr>
            <w:tcW w:w="2551" w:type="dxa"/>
            <w:shd w:val="clear" w:color="auto" w:fill="auto"/>
          </w:tcPr>
          <w:p w14:paraId="48AD8072" w14:textId="53EB9E85" w:rsidR="00C807BD" w:rsidRPr="00310862" w:rsidRDefault="00C807BD" w:rsidP="00EF0C0D">
            <w:pPr>
              <w:spacing w:before="120" w:after="120"/>
              <w:jc w:val="left"/>
              <w:rPr>
                <w:rFonts w:cs="Times New Roman"/>
              </w:rPr>
            </w:pPr>
            <w:r>
              <w:rPr>
                <w:rFonts w:cs="Times New Roman"/>
              </w:rPr>
              <w:t>CDR</w:t>
            </w:r>
          </w:p>
        </w:tc>
        <w:tc>
          <w:tcPr>
            <w:tcW w:w="5954" w:type="dxa"/>
            <w:shd w:val="clear" w:color="auto" w:fill="auto"/>
          </w:tcPr>
          <w:p w14:paraId="4325643D" w14:textId="446F9F47" w:rsidR="00C807BD" w:rsidRPr="00310862" w:rsidRDefault="00C807BD" w:rsidP="007317C5">
            <w:pPr>
              <w:spacing w:before="120" w:after="120"/>
              <w:jc w:val="left"/>
              <w:rPr>
                <w:rFonts w:cs="Times New Roman"/>
              </w:rPr>
            </w:pPr>
            <w:r>
              <w:rPr>
                <w:rFonts w:cs="Times New Roman"/>
              </w:rPr>
              <w:t>Consumer Data Right</w:t>
            </w:r>
          </w:p>
        </w:tc>
      </w:tr>
      <w:tr w:rsidR="00FF302D" w:rsidRPr="00113F13" w14:paraId="1B1AC628" w14:textId="77777777" w:rsidTr="00410F42">
        <w:trPr>
          <w:trHeight w:val="397"/>
        </w:trPr>
        <w:tc>
          <w:tcPr>
            <w:tcW w:w="2551" w:type="dxa"/>
            <w:shd w:val="clear" w:color="auto" w:fill="auto"/>
          </w:tcPr>
          <w:p w14:paraId="1E256133" w14:textId="77777777" w:rsidR="00FF302D" w:rsidRPr="00113F13" w:rsidRDefault="00FF302D" w:rsidP="00EF0C0D">
            <w:pPr>
              <w:spacing w:before="120" w:after="120"/>
              <w:jc w:val="left"/>
              <w:rPr>
                <w:rFonts w:cs="Times New Roman"/>
                <w:sz w:val="22"/>
                <w:szCs w:val="22"/>
                <w:highlight w:val="yellow"/>
              </w:rPr>
            </w:pPr>
            <w:r w:rsidRPr="00310862">
              <w:rPr>
                <w:rFonts w:cs="Times New Roman"/>
              </w:rPr>
              <w:t>CoI</w:t>
            </w:r>
          </w:p>
        </w:tc>
        <w:tc>
          <w:tcPr>
            <w:tcW w:w="5954" w:type="dxa"/>
            <w:shd w:val="clear" w:color="auto" w:fill="auto"/>
          </w:tcPr>
          <w:p w14:paraId="1B0E9FF2" w14:textId="20D32D42" w:rsidR="00FF302D" w:rsidRPr="00EA22F8" w:rsidRDefault="00FF302D" w:rsidP="007317C5">
            <w:pPr>
              <w:spacing w:before="120" w:after="120"/>
              <w:jc w:val="left"/>
              <w:rPr>
                <w:rFonts w:cs="Times New Roman"/>
                <w:sz w:val="22"/>
                <w:szCs w:val="22"/>
              </w:rPr>
            </w:pPr>
            <w:r w:rsidRPr="00310862">
              <w:rPr>
                <w:rFonts w:cs="Times New Roman"/>
              </w:rPr>
              <w:t xml:space="preserve">Commission of </w:t>
            </w:r>
            <w:r w:rsidR="00310862" w:rsidRPr="00310862">
              <w:rPr>
                <w:rFonts w:cs="Times New Roman"/>
              </w:rPr>
              <w:t>I</w:t>
            </w:r>
            <w:r w:rsidR="00310862" w:rsidRPr="00113F13">
              <w:rPr>
                <w:rFonts w:cs="Times New Roman"/>
              </w:rPr>
              <w:t>nquiry into the Tasmanian Government’s Responses to Child Sexual Abuse in Institutional Settings</w:t>
            </w:r>
            <w:r w:rsidR="00310862" w:rsidRPr="00EA22F8">
              <w:rPr>
                <w:rFonts w:cs="Times New Roman"/>
              </w:rPr>
              <w:t xml:space="preserve"> </w:t>
            </w:r>
          </w:p>
        </w:tc>
      </w:tr>
      <w:tr w:rsidR="002041FC" w:rsidRPr="00113F13" w14:paraId="0D225B52" w14:textId="77777777" w:rsidTr="00410F42">
        <w:trPr>
          <w:trHeight w:val="397"/>
        </w:trPr>
        <w:tc>
          <w:tcPr>
            <w:tcW w:w="2551" w:type="dxa"/>
            <w:shd w:val="clear" w:color="auto" w:fill="auto"/>
          </w:tcPr>
          <w:p w14:paraId="2EBA9A80" w14:textId="10EA5B4F" w:rsidR="002041FC" w:rsidRPr="00113F13" w:rsidRDefault="002041FC" w:rsidP="00EF0C0D">
            <w:pPr>
              <w:spacing w:before="120" w:after="120"/>
              <w:jc w:val="left"/>
              <w:rPr>
                <w:rFonts w:cs="Times New Roman"/>
              </w:rPr>
            </w:pPr>
            <w:r>
              <w:rPr>
                <w:rFonts w:cs="Times New Roman"/>
              </w:rPr>
              <w:t>CRC</w:t>
            </w:r>
          </w:p>
        </w:tc>
        <w:tc>
          <w:tcPr>
            <w:tcW w:w="5954" w:type="dxa"/>
            <w:shd w:val="clear" w:color="auto" w:fill="auto"/>
          </w:tcPr>
          <w:p w14:paraId="47C5DFAA" w14:textId="61A19F73" w:rsidR="002041FC" w:rsidRPr="002041FC" w:rsidRDefault="002041FC" w:rsidP="007317C5">
            <w:pPr>
              <w:spacing w:before="120" w:after="120"/>
              <w:jc w:val="left"/>
              <w:rPr>
                <w:rFonts w:cs="Times New Roman"/>
              </w:rPr>
            </w:pPr>
            <w:r>
              <w:rPr>
                <w:rFonts w:cs="Times New Roman"/>
              </w:rPr>
              <w:t>United Nations Committee on the Rights of the Child</w:t>
            </w:r>
          </w:p>
        </w:tc>
      </w:tr>
      <w:tr w:rsidR="00734EFB" w:rsidRPr="00113F13" w14:paraId="2FF1B968" w14:textId="77777777" w:rsidTr="00410F42">
        <w:trPr>
          <w:trHeight w:val="397"/>
        </w:trPr>
        <w:tc>
          <w:tcPr>
            <w:tcW w:w="2551" w:type="dxa"/>
            <w:shd w:val="clear" w:color="auto" w:fill="auto"/>
          </w:tcPr>
          <w:p w14:paraId="52608EF2" w14:textId="364329BA" w:rsidR="00734EFB" w:rsidRPr="00113F13" w:rsidRDefault="00734EFB" w:rsidP="00EF0C0D">
            <w:pPr>
              <w:spacing w:before="120" w:after="120"/>
              <w:jc w:val="left"/>
              <w:rPr>
                <w:rFonts w:cs="Times New Roman"/>
              </w:rPr>
            </w:pPr>
            <w:r>
              <w:rPr>
                <w:rFonts w:cs="Times New Roman"/>
              </w:rPr>
              <w:t>HRIP Act (NSW)</w:t>
            </w:r>
          </w:p>
        </w:tc>
        <w:tc>
          <w:tcPr>
            <w:tcW w:w="5954" w:type="dxa"/>
            <w:shd w:val="clear" w:color="auto" w:fill="auto"/>
          </w:tcPr>
          <w:p w14:paraId="5D58BA58" w14:textId="485B241E" w:rsidR="00734EFB" w:rsidRPr="00113F13" w:rsidRDefault="000B6B1B" w:rsidP="007317C5">
            <w:pPr>
              <w:spacing w:before="120" w:after="120"/>
              <w:jc w:val="left"/>
              <w:rPr>
                <w:rFonts w:cs="Times New Roman"/>
                <w:i/>
                <w:iCs/>
              </w:rPr>
            </w:pPr>
            <w:r w:rsidRPr="00EA22F8">
              <w:rPr>
                <w:rFonts w:cs="Times New Roman"/>
                <w:i/>
                <w:iCs/>
              </w:rPr>
              <w:t>Health Records and Information Privacy Act 2002</w:t>
            </w:r>
            <w:r w:rsidRPr="00EA22F8">
              <w:rPr>
                <w:rFonts w:cs="Times New Roman"/>
              </w:rPr>
              <w:t xml:space="preserve"> (NSW)</w:t>
            </w:r>
          </w:p>
        </w:tc>
      </w:tr>
      <w:tr w:rsidR="00FF302D" w:rsidRPr="00113F13" w14:paraId="158A2F8A" w14:textId="77777777" w:rsidTr="00410F42">
        <w:trPr>
          <w:trHeight w:val="397"/>
        </w:trPr>
        <w:tc>
          <w:tcPr>
            <w:tcW w:w="2551" w:type="dxa"/>
            <w:shd w:val="clear" w:color="auto" w:fill="auto"/>
          </w:tcPr>
          <w:p w14:paraId="6D30ABB2" w14:textId="77777777" w:rsidR="00FF302D" w:rsidRPr="00113F13" w:rsidRDefault="00FF302D" w:rsidP="00EF0C0D">
            <w:pPr>
              <w:spacing w:before="120" w:after="120"/>
              <w:jc w:val="left"/>
              <w:rPr>
                <w:rFonts w:cs="Times New Roman"/>
                <w:sz w:val="22"/>
                <w:szCs w:val="22"/>
              </w:rPr>
            </w:pPr>
            <w:r w:rsidRPr="00113F13">
              <w:rPr>
                <w:rFonts w:cs="Times New Roman"/>
              </w:rPr>
              <w:t>ICCPR</w:t>
            </w:r>
          </w:p>
        </w:tc>
        <w:tc>
          <w:tcPr>
            <w:tcW w:w="5954" w:type="dxa"/>
            <w:shd w:val="clear" w:color="auto" w:fill="auto"/>
          </w:tcPr>
          <w:p w14:paraId="7F37AA38" w14:textId="77777777" w:rsidR="00FF302D" w:rsidRPr="00113F13" w:rsidRDefault="00FF302D" w:rsidP="007317C5">
            <w:pPr>
              <w:spacing w:before="120" w:after="120"/>
              <w:jc w:val="left"/>
              <w:rPr>
                <w:rFonts w:cs="Times New Roman"/>
                <w:sz w:val="22"/>
                <w:szCs w:val="22"/>
              </w:rPr>
            </w:pPr>
            <w:r w:rsidRPr="00113F13">
              <w:rPr>
                <w:rFonts w:cs="Times New Roman"/>
                <w:i/>
                <w:iCs/>
              </w:rPr>
              <w:t>International Covenant on Civil and Political Rights</w:t>
            </w:r>
          </w:p>
        </w:tc>
      </w:tr>
      <w:tr w:rsidR="0075022E" w:rsidRPr="00113F13" w14:paraId="30EDD2DE" w14:textId="77777777" w:rsidTr="00410F42">
        <w:trPr>
          <w:trHeight w:val="397"/>
        </w:trPr>
        <w:tc>
          <w:tcPr>
            <w:tcW w:w="2551" w:type="dxa"/>
            <w:shd w:val="clear" w:color="auto" w:fill="auto"/>
          </w:tcPr>
          <w:p w14:paraId="5E7C9943" w14:textId="49F3683D" w:rsidR="0075022E" w:rsidRDefault="0075022E" w:rsidP="00EF0C0D">
            <w:pPr>
              <w:spacing w:before="120" w:after="120"/>
              <w:jc w:val="left"/>
              <w:rPr>
                <w:rFonts w:cs="Times New Roman"/>
              </w:rPr>
            </w:pPr>
            <w:r>
              <w:rPr>
                <w:rFonts w:cs="Times New Roman"/>
              </w:rPr>
              <w:t>IP Act (Qld)</w:t>
            </w:r>
          </w:p>
        </w:tc>
        <w:tc>
          <w:tcPr>
            <w:tcW w:w="5954" w:type="dxa"/>
            <w:shd w:val="clear" w:color="auto" w:fill="auto"/>
          </w:tcPr>
          <w:p w14:paraId="6D1099EC" w14:textId="3B080B1D" w:rsidR="0075022E" w:rsidRPr="00714F39" w:rsidRDefault="0075022E" w:rsidP="007317C5">
            <w:pPr>
              <w:spacing w:before="120" w:after="120"/>
              <w:jc w:val="left"/>
              <w:rPr>
                <w:rFonts w:cs="Times New Roman"/>
              </w:rPr>
            </w:pPr>
            <w:r>
              <w:rPr>
                <w:rFonts w:cs="Times New Roman"/>
                <w:i/>
                <w:iCs/>
              </w:rPr>
              <w:t>Information Pr</w:t>
            </w:r>
            <w:r w:rsidR="00CA6F6D">
              <w:rPr>
                <w:rFonts w:cs="Times New Roman"/>
                <w:i/>
                <w:iCs/>
              </w:rPr>
              <w:t>ivacy</w:t>
            </w:r>
            <w:r>
              <w:rPr>
                <w:rFonts w:cs="Times New Roman"/>
                <w:i/>
                <w:iCs/>
              </w:rPr>
              <w:t xml:space="preserve"> Act </w:t>
            </w:r>
            <w:r w:rsidR="00714F39">
              <w:rPr>
                <w:rFonts w:cs="Times New Roman"/>
                <w:i/>
                <w:iCs/>
              </w:rPr>
              <w:t xml:space="preserve">2009 </w:t>
            </w:r>
            <w:r w:rsidR="00714F39">
              <w:rPr>
                <w:rFonts w:cs="Times New Roman"/>
              </w:rPr>
              <w:t>(Qld)</w:t>
            </w:r>
          </w:p>
        </w:tc>
      </w:tr>
      <w:tr w:rsidR="00134651" w:rsidRPr="00113F13" w14:paraId="192F253C" w14:textId="77777777" w:rsidTr="00410F42">
        <w:trPr>
          <w:trHeight w:val="397"/>
        </w:trPr>
        <w:tc>
          <w:tcPr>
            <w:tcW w:w="2551" w:type="dxa"/>
            <w:shd w:val="clear" w:color="auto" w:fill="auto"/>
          </w:tcPr>
          <w:p w14:paraId="6ED8260D" w14:textId="4B3B1C5F" w:rsidR="00134651" w:rsidRDefault="00134651" w:rsidP="00EF0C0D">
            <w:pPr>
              <w:spacing w:before="120" w:after="120"/>
              <w:jc w:val="left"/>
              <w:rPr>
                <w:rFonts w:cs="Times New Roman"/>
              </w:rPr>
            </w:pPr>
            <w:r>
              <w:rPr>
                <w:rFonts w:cs="Times New Roman"/>
              </w:rPr>
              <w:t>IPA (ACT)</w:t>
            </w:r>
          </w:p>
        </w:tc>
        <w:tc>
          <w:tcPr>
            <w:tcW w:w="5954" w:type="dxa"/>
            <w:shd w:val="clear" w:color="auto" w:fill="auto"/>
          </w:tcPr>
          <w:p w14:paraId="7538A56C" w14:textId="0CF3C3BC" w:rsidR="00134651" w:rsidRPr="00134651" w:rsidRDefault="00134651" w:rsidP="007317C5">
            <w:pPr>
              <w:spacing w:before="120" w:after="120"/>
              <w:jc w:val="left"/>
              <w:rPr>
                <w:rFonts w:cs="Times New Roman"/>
              </w:rPr>
            </w:pPr>
            <w:r>
              <w:rPr>
                <w:rFonts w:cs="Times New Roman"/>
                <w:i/>
                <w:iCs/>
              </w:rPr>
              <w:t xml:space="preserve">Information Privacy Act 2014 </w:t>
            </w:r>
            <w:r>
              <w:rPr>
                <w:rFonts w:cs="Times New Roman"/>
              </w:rPr>
              <w:t>(ACT)</w:t>
            </w:r>
          </w:p>
        </w:tc>
      </w:tr>
      <w:tr w:rsidR="00EE18E6" w:rsidRPr="00113F13" w14:paraId="2AE8A6CF" w14:textId="77777777" w:rsidTr="00410F42">
        <w:trPr>
          <w:trHeight w:val="397"/>
        </w:trPr>
        <w:tc>
          <w:tcPr>
            <w:tcW w:w="2551" w:type="dxa"/>
            <w:shd w:val="clear" w:color="auto" w:fill="auto"/>
          </w:tcPr>
          <w:p w14:paraId="4C59F71E" w14:textId="7FE9D95A" w:rsidR="00EE18E6" w:rsidRDefault="00EE18E6" w:rsidP="00EF0C0D">
            <w:pPr>
              <w:spacing w:before="120" w:after="120"/>
              <w:jc w:val="left"/>
              <w:rPr>
                <w:rFonts w:cs="Times New Roman"/>
              </w:rPr>
            </w:pPr>
            <w:r>
              <w:rPr>
                <w:rFonts w:cs="Times New Roman"/>
              </w:rPr>
              <w:t>FOI Act</w:t>
            </w:r>
          </w:p>
        </w:tc>
        <w:tc>
          <w:tcPr>
            <w:tcW w:w="5954" w:type="dxa"/>
            <w:shd w:val="clear" w:color="auto" w:fill="auto"/>
          </w:tcPr>
          <w:p w14:paraId="326A165C" w14:textId="735FB7DF" w:rsidR="00EE18E6" w:rsidRPr="00A00005" w:rsidRDefault="00EE18E6" w:rsidP="007317C5">
            <w:pPr>
              <w:spacing w:before="120" w:after="120"/>
              <w:jc w:val="left"/>
              <w:rPr>
                <w:rFonts w:cs="Times New Roman"/>
              </w:rPr>
            </w:pPr>
            <w:r w:rsidRPr="00EE18E6">
              <w:rPr>
                <w:rFonts w:cs="Times New Roman"/>
                <w:i/>
                <w:iCs/>
                <w:sz w:val="20"/>
                <w:szCs w:val="20"/>
              </w:rPr>
              <w:t>Freedom of Information Act 1982</w:t>
            </w:r>
            <w:r w:rsidR="00A00005">
              <w:rPr>
                <w:rFonts w:cs="Times New Roman"/>
                <w:i/>
                <w:iCs/>
                <w:sz w:val="20"/>
                <w:szCs w:val="20"/>
              </w:rPr>
              <w:t xml:space="preserve"> </w:t>
            </w:r>
            <w:r w:rsidR="00A00005">
              <w:rPr>
                <w:rFonts w:cs="Times New Roman"/>
                <w:sz w:val="20"/>
                <w:szCs w:val="20"/>
              </w:rPr>
              <w:t>(Vic)</w:t>
            </w:r>
          </w:p>
        </w:tc>
      </w:tr>
      <w:tr w:rsidR="002041FC" w:rsidRPr="00113F13" w14:paraId="052C9DA5" w14:textId="77777777" w:rsidTr="00410F42">
        <w:trPr>
          <w:trHeight w:val="397"/>
        </w:trPr>
        <w:tc>
          <w:tcPr>
            <w:tcW w:w="2551" w:type="dxa"/>
            <w:shd w:val="clear" w:color="auto" w:fill="auto"/>
          </w:tcPr>
          <w:p w14:paraId="5198BD0F" w14:textId="374E40F2" w:rsidR="002041FC" w:rsidRPr="00113F13" w:rsidRDefault="002041FC" w:rsidP="00EF0C0D">
            <w:pPr>
              <w:spacing w:before="120" w:after="120"/>
              <w:jc w:val="left"/>
              <w:rPr>
                <w:rFonts w:cs="Times New Roman"/>
              </w:rPr>
            </w:pPr>
            <w:r>
              <w:rPr>
                <w:rFonts w:cs="Times New Roman"/>
              </w:rPr>
              <w:t>FRT</w:t>
            </w:r>
          </w:p>
        </w:tc>
        <w:tc>
          <w:tcPr>
            <w:tcW w:w="5954" w:type="dxa"/>
            <w:shd w:val="clear" w:color="auto" w:fill="auto"/>
          </w:tcPr>
          <w:p w14:paraId="6B99C522" w14:textId="2F81F982" w:rsidR="002041FC" w:rsidRPr="00113F13" w:rsidRDefault="002041FC" w:rsidP="007317C5">
            <w:pPr>
              <w:spacing w:before="120" w:after="120"/>
              <w:jc w:val="left"/>
              <w:rPr>
                <w:rFonts w:cs="Times New Roman"/>
              </w:rPr>
            </w:pPr>
            <w:r>
              <w:rPr>
                <w:rFonts w:cs="Times New Roman"/>
              </w:rPr>
              <w:t>facial recognition technology</w:t>
            </w:r>
          </w:p>
        </w:tc>
      </w:tr>
      <w:tr w:rsidR="00FF302D" w:rsidRPr="00113F13" w14:paraId="7F6D5EB4" w14:textId="77777777" w:rsidTr="00410F42">
        <w:trPr>
          <w:trHeight w:val="397"/>
        </w:trPr>
        <w:tc>
          <w:tcPr>
            <w:tcW w:w="2551" w:type="dxa"/>
            <w:shd w:val="clear" w:color="auto" w:fill="auto"/>
          </w:tcPr>
          <w:p w14:paraId="714E8B16" w14:textId="77777777" w:rsidR="00FF302D" w:rsidRPr="00113F13" w:rsidRDefault="00FF302D" w:rsidP="00EF0C0D">
            <w:pPr>
              <w:spacing w:before="120" w:after="120"/>
              <w:jc w:val="left"/>
              <w:rPr>
                <w:rFonts w:cs="Times New Roman"/>
                <w:sz w:val="22"/>
                <w:szCs w:val="22"/>
              </w:rPr>
            </w:pPr>
            <w:r w:rsidRPr="00113F13">
              <w:rPr>
                <w:rFonts w:cs="Times New Roman"/>
              </w:rPr>
              <w:t xml:space="preserve">GDPR </w:t>
            </w:r>
          </w:p>
        </w:tc>
        <w:tc>
          <w:tcPr>
            <w:tcW w:w="5954" w:type="dxa"/>
            <w:shd w:val="clear" w:color="auto" w:fill="auto"/>
          </w:tcPr>
          <w:p w14:paraId="6D3AAF8B" w14:textId="0AF90BFD" w:rsidR="00FF302D" w:rsidRPr="00113F13" w:rsidRDefault="00FF302D" w:rsidP="007317C5">
            <w:pPr>
              <w:spacing w:before="120" w:after="120"/>
              <w:jc w:val="left"/>
              <w:rPr>
                <w:rFonts w:cs="Times New Roman"/>
                <w:sz w:val="22"/>
                <w:szCs w:val="22"/>
              </w:rPr>
            </w:pPr>
            <w:r w:rsidRPr="00113F13">
              <w:rPr>
                <w:rFonts w:cs="Times New Roman"/>
              </w:rPr>
              <w:t xml:space="preserve">European Union </w:t>
            </w:r>
            <w:r w:rsidRPr="00113F13">
              <w:rPr>
                <w:rFonts w:cs="Times New Roman"/>
                <w:i/>
                <w:iCs/>
              </w:rPr>
              <w:t>General Data Protection Regulation 2016/679</w:t>
            </w:r>
          </w:p>
        </w:tc>
      </w:tr>
      <w:tr w:rsidR="00C823B4" w:rsidRPr="00113F13" w14:paraId="68F28152" w14:textId="77777777" w:rsidTr="00410F42">
        <w:trPr>
          <w:trHeight w:val="397"/>
        </w:trPr>
        <w:tc>
          <w:tcPr>
            <w:tcW w:w="2551" w:type="dxa"/>
            <w:shd w:val="clear" w:color="auto" w:fill="auto"/>
          </w:tcPr>
          <w:p w14:paraId="39067C85" w14:textId="6D6B6F3A" w:rsidR="00C823B4" w:rsidRDefault="00C823B4" w:rsidP="00EF0C0D">
            <w:pPr>
              <w:spacing w:before="120" w:after="120"/>
              <w:jc w:val="left"/>
              <w:rPr>
                <w:rFonts w:cs="Times New Roman"/>
              </w:rPr>
            </w:pPr>
            <w:r>
              <w:rPr>
                <w:rFonts w:cs="Times New Roman"/>
              </w:rPr>
              <w:t>HCC</w:t>
            </w:r>
          </w:p>
        </w:tc>
        <w:tc>
          <w:tcPr>
            <w:tcW w:w="5954" w:type="dxa"/>
            <w:shd w:val="clear" w:color="auto" w:fill="auto"/>
          </w:tcPr>
          <w:p w14:paraId="48E3DF18" w14:textId="79A0BC5C" w:rsidR="00C823B4" w:rsidRPr="00C823B4" w:rsidRDefault="00C823B4" w:rsidP="007317C5">
            <w:pPr>
              <w:spacing w:before="120" w:after="120"/>
              <w:jc w:val="left"/>
              <w:rPr>
                <w:rFonts w:cs="Times New Roman"/>
              </w:rPr>
            </w:pPr>
            <w:r>
              <w:rPr>
                <w:rFonts w:cs="Times New Roman"/>
              </w:rPr>
              <w:t>Health Complaints Commission</w:t>
            </w:r>
          </w:p>
        </w:tc>
      </w:tr>
      <w:tr w:rsidR="00F42E33" w:rsidRPr="00113F13" w14:paraId="6D963DDD" w14:textId="77777777" w:rsidTr="00410F42">
        <w:trPr>
          <w:trHeight w:val="397"/>
        </w:trPr>
        <w:tc>
          <w:tcPr>
            <w:tcW w:w="2551" w:type="dxa"/>
            <w:shd w:val="clear" w:color="auto" w:fill="auto"/>
          </w:tcPr>
          <w:p w14:paraId="64CA7AAF" w14:textId="55499C95" w:rsidR="00F42E33" w:rsidRPr="00F42E33" w:rsidRDefault="00F42E33" w:rsidP="00EF0C0D">
            <w:pPr>
              <w:spacing w:before="120" w:after="120"/>
              <w:jc w:val="left"/>
              <w:rPr>
                <w:rFonts w:cs="Times New Roman"/>
              </w:rPr>
            </w:pPr>
            <w:r>
              <w:rPr>
                <w:rFonts w:cs="Times New Roman"/>
              </w:rPr>
              <w:t>Health Complaints Act</w:t>
            </w:r>
          </w:p>
        </w:tc>
        <w:tc>
          <w:tcPr>
            <w:tcW w:w="5954" w:type="dxa"/>
            <w:shd w:val="clear" w:color="auto" w:fill="auto"/>
          </w:tcPr>
          <w:p w14:paraId="46D17C31" w14:textId="2D2BB434" w:rsidR="00F42E33" w:rsidRPr="00F42E33" w:rsidRDefault="00F42E33" w:rsidP="007317C5">
            <w:pPr>
              <w:spacing w:before="120" w:after="120"/>
              <w:jc w:val="left"/>
              <w:rPr>
                <w:rFonts w:cs="Times New Roman"/>
              </w:rPr>
            </w:pPr>
            <w:r>
              <w:rPr>
                <w:rFonts w:cs="Times New Roman"/>
                <w:i/>
                <w:iCs/>
              </w:rPr>
              <w:t xml:space="preserve">Health Complaints Act 1995 </w:t>
            </w:r>
            <w:r>
              <w:rPr>
                <w:rFonts w:cs="Times New Roman"/>
              </w:rPr>
              <w:t>(Tas)</w:t>
            </w:r>
          </w:p>
        </w:tc>
      </w:tr>
      <w:tr w:rsidR="00FF302D" w:rsidRPr="00113F13" w14:paraId="0B60CB87" w14:textId="77777777" w:rsidTr="00410F42">
        <w:trPr>
          <w:trHeight w:val="397"/>
        </w:trPr>
        <w:tc>
          <w:tcPr>
            <w:tcW w:w="2551" w:type="dxa"/>
            <w:shd w:val="clear" w:color="auto" w:fill="auto"/>
          </w:tcPr>
          <w:p w14:paraId="21D71F4C" w14:textId="77777777" w:rsidR="00FF302D" w:rsidRPr="00113F13" w:rsidRDefault="00FF302D" w:rsidP="00EF0C0D">
            <w:pPr>
              <w:spacing w:before="120" w:after="120"/>
              <w:jc w:val="left"/>
              <w:rPr>
                <w:rFonts w:cs="Times New Roman"/>
                <w:sz w:val="22"/>
                <w:szCs w:val="22"/>
              </w:rPr>
            </w:pPr>
            <w:r w:rsidRPr="00113F13">
              <w:rPr>
                <w:rFonts w:cs="Times New Roman"/>
              </w:rPr>
              <w:lastRenderedPageBreak/>
              <w:t>MLC</w:t>
            </w:r>
          </w:p>
        </w:tc>
        <w:tc>
          <w:tcPr>
            <w:tcW w:w="5954" w:type="dxa"/>
            <w:shd w:val="clear" w:color="auto" w:fill="auto"/>
          </w:tcPr>
          <w:p w14:paraId="54D85C7B" w14:textId="77777777" w:rsidR="00FF302D" w:rsidRPr="00113F13" w:rsidRDefault="00FF302D" w:rsidP="007317C5">
            <w:pPr>
              <w:spacing w:before="120" w:after="120"/>
              <w:jc w:val="left"/>
              <w:rPr>
                <w:rFonts w:cs="Times New Roman"/>
                <w:sz w:val="22"/>
                <w:szCs w:val="22"/>
              </w:rPr>
            </w:pPr>
            <w:r w:rsidRPr="00113F13">
              <w:rPr>
                <w:rFonts w:cs="Times New Roman"/>
              </w:rPr>
              <w:t>Member of the Legislative Council</w:t>
            </w:r>
          </w:p>
        </w:tc>
      </w:tr>
      <w:tr w:rsidR="00D96D9F" w:rsidRPr="00113F13" w14:paraId="5D06EEC2" w14:textId="77777777" w:rsidTr="00410F42">
        <w:trPr>
          <w:trHeight w:val="397"/>
        </w:trPr>
        <w:tc>
          <w:tcPr>
            <w:tcW w:w="2551" w:type="dxa"/>
            <w:shd w:val="clear" w:color="auto" w:fill="auto"/>
          </w:tcPr>
          <w:p w14:paraId="7B808CD0" w14:textId="7A760F97" w:rsidR="00D96D9F" w:rsidRPr="00113F13" w:rsidRDefault="00D96D9F" w:rsidP="00EF0C0D">
            <w:pPr>
              <w:spacing w:before="120" w:after="120"/>
              <w:jc w:val="left"/>
              <w:rPr>
                <w:rFonts w:cs="Times New Roman"/>
              </w:rPr>
            </w:pPr>
            <w:r>
              <w:rPr>
                <w:rFonts w:cs="Times New Roman"/>
              </w:rPr>
              <w:t>MNDB</w:t>
            </w:r>
          </w:p>
        </w:tc>
        <w:tc>
          <w:tcPr>
            <w:tcW w:w="5954" w:type="dxa"/>
            <w:shd w:val="clear" w:color="auto" w:fill="auto"/>
          </w:tcPr>
          <w:p w14:paraId="0DA70F69" w14:textId="516072C8" w:rsidR="00D96D9F" w:rsidRPr="00113F13" w:rsidRDefault="00D96D9F" w:rsidP="007317C5">
            <w:pPr>
              <w:spacing w:before="120" w:after="120"/>
              <w:jc w:val="left"/>
              <w:rPr>
                <w:rFonts w:cs="Times New Roman"/>
              </w:rPr>
            </w:pPr>
            <w:r w:rsidRPr="00113F13">
              <w:t>Mandatory Notification of Data Breach Scheme</w:t>
            </w:r>
            <w:r>
              <w:t xml:space="preserve"> (NSW)</w:t>
            </w:r>
          </w:p>
        </w:tc>
      </w:tr>
      <w:tr w:rsidR="00E9416B" w:rsidRPr="00113F13" w14:paraId="6DD704CA" w14:textId="77777777" w:rsidTr="00410F42">
        <w:trPr>
          <w:trHeight w:val="397"/>
        </w:trPr>
        <w:tc>
          <w:tcPr>
            <w:tcW w:w="2551" w:type="dxa"/>
            <w:shd w:val="clear" w:color="auto" w:fill="auto"/>
          </w:tcPr>
          <w:p w14:paraId="3EDBF8AA" w14:textId="670AB3C5" w:rsidR="00E9416B" w:rsidRDefault="00E9416B" w:rsidP="007317C5">
            <w:pPr>
              <w:spacing w:before="120" w:after="120"/>
              <w:jc w:val="left"/>
              <w:rPr>
                <w:rFonts w:cs="Times New Roman"/>
              </w:rPr>
            </w:pPr>
            <w:r>
              <w:rPr>
                <w:rFonts w:cs="Times New Roman"/>
              </w:rPr>
              <w:t>NDLFRS</w:t>
            </w:r>
          </w:p>
        </w:tc>
        <w:tc>
          <w:tcPr>
            <w:tcW w:w="5954" w:type="dxa"/>
            <w:shd w:val="clear" w:color="auto" w:fill="auto"/>
          </w:tcPr>
          <w:p w14:paraId="17DF5545" w14:textId="3AEA1202" w:rsidR="00E9416B" w:rsidRDefault="00E9416B" w:rsidP="007317C5">
            <w:pPr>
              <w:spacing w:before="120" w:after="120"/>
              <w:jc w:val="left"/>
              <w:rPr>
                <w:rFonts w:cs="Times New Roman"/>
              </w:rPr>
            </w:pPr>
            <w:r>
              <w:rPr>
                <w:rFonts w:cs="Times New Roman"/>
              </w:rPr>
              <w:t>National Driver Licence Facial Recognition Solution</w:t>
            </w:r>
          </w:p>
        </w:tc>
      </w:tr>
      <w:tr w:rsidR="003F3BF9" w:rsidRPr="00113F13" w14:paraId="3E1EDE1D" w14:textId="77777777" w:rsidTr="00410F42">
        <w:trPr>
          <w:trHeight w:val="397"/>
        </w:trPr>
        <w:tc>
          <w:tcPr>
            <w:tcW w:w="2551" w:type="dxa"/>
            <w:shd w:val="clear" w:color="auto" w:fill="auto"/>
          </w:tcPr>
          <w:p w14:paraId="688B5C0C" w14:textId="7707CE27" w:rsidR="003F3BF9" w:rsidRPr="00310862" w:rsidRDefault="003F3BF9" w:rsidP="00EF0C0D">
            <w:pPr>
              <w:spacing w:before="120" w:after="120"/>
              <w:jc w:val="left"/>
              <w:rPr>
                <w:rFonts w:cs="Times New Roman"/>
              </w:rPr>
            </w:pPr>
            <w:r>
              <w:rPr>
                <w:rFonts w:cs="Times New Roman"/>
              </w:rPr>
              <w:t>NHMRC</w:t>
            </w:r>
          </w:p>
        </w:tc>
        <w:tc>
          <w:tcPr>
            <w:tcW w:w="5954" w:type="dxa"/>
            <w:shd w:val="clear" w:color="auto" w:fill="auto"/>
          </w:tcPr>
          <w:p w14:paraId="4557387D" w14:textId="5D1A6D99" w:rsidR="003F3BF9" w:rsidRPr="00310862" w:rsidRDefault="003F3BF9" w:rsidP="007317C5">
            <w:pPr>
              <w:spacing w:before="120" w:after="120"/>
              <w:jc w:val="left"/>
              <w:rPr>
                <w:rFonts w:cs="Times New Roman"/>
              </w:rPr>
            </w:pPr>
            <w:r>
              <w:rPr>
                <w:rFonts w:cs="Times New Roman"/>
              </w:rPr>
              <w:t>National Health and Medical Research Council</w:t>
            </w:r>
          </w:p>
        </w:tc>
      </w:tr>
      <w:tr w:rsidR="00FF302D" w:rsidRPr="00113F13" w14:paraId="0671F8C1" w14:textId="77777777" w:rsidTr="00410F42">
        <w:trPr>
          <w:trHeight w:val="397"/>
        </w:trPr>
        <w:tc>
          <w:tcPr>
            <w:tcW w:w="2551" w:type="dxa"/>
            <w:shd w:val="clear" w:color="auto" w:fill="auto"/>
          </w:tcPr>
          <w:p w14:paraId="298BE061" w14:textId="77777777" w:rsidR="00FF302D" w:rsidRPr="00113F13" w:rsidRDefault="00FF302D" w:rsidP="00EF0C0D">
            <w:pPr>
              <w:spacing w:before="120" w:after="120"/>
              <w:jc w:val="left"/>
              <w:rPr>
                <w:rFonts w:cs="Times New Roman"/>
                <w:sz w:val="22"/>
                <w:szCs w:val="22"/>
                <w:highlight w:val="yellow"/>
              </w:rPr>
            </w:pPr>
            <w:r w:rsidRPr="00310862">
              <w:rPr>
                <w:rFonts w:cs="Times New Roman"/>
              </w:rPr>
              <w:t>NSWPC</w:t>
            </w:r>
          </w:p>
        </w:tc>
        <w:tc>
          <w:tcPr>
            <w:tcW w:w="5954" w:type="dxa"/>
            <w:shd w:val="clear" w:color="auto" w:fill="auto"/>
          </w:tcPr>
          <w:p w14:paraId="762BB955" w14:textId="4CA093ED" w:rsidR="00FF302D" w:rsidRPr="00113F13" w:rsidRDefault="00FF302D" w:rsidP="007317C5">
            <w:pPr>
              <w:spacing w:before="120" w:after="120"/>
              <w:jc w:val="left"/>
              <w:rPr>
                <w:rFonts w:cs="Times New Roman"/>
                <w:sz w:val="22"/>
                <w:szCs w:val="22"/>
                <w:highlight w:val="yellow"/>
              </w:rPr>
            </w:pPr>
            <w:r w:rsidRPr="00310862">
              <w:rPr>
                <w:rFonts w:cs="Times New Roman"/>
              </w:rPr>
              <w:t>New South Wales Privacy Commissioner</w:t>
            </w:r>
          </w:p>
        </w:tc>
      </w:tr>
      <w:tr w:rsidR="00FF302D" w:rsidRPr="00113F13" w14:paraId="245E400F" w14:textId="77777777" w:rsidTr="00410F42">
        <w:trPr>
          <w:trHeight w:val="397"/>
        </w:trPr>
        <w:tc>
          <w:tcPr>
            <w:tcW w:w="2551" w:type="dxa"/>
            <w:shd w:val="clear" w:color="auto" w:fill="auto"/>
          </w:tcPr>
          <w:p w14:paraId="5D60B5CA" w14:textId="77777777" w:rsidR="00FF302D" w:rsidRPr="00113F13" w:rsidRDefault="00FF302D" w:rsidP="00EF0C0D">
            <w:pPr>
              <w:spacing w:before="120" w:after="120"/>
              <w:jc w:val="left"/>
              <w:rPr>
                <w:rFonts w:cs="Times New Roman"/>
                <w:sz w:val="22"/>
                <w:szCs w:val="22"/>
              </w:rPr>
            </w:pPr>
            <w:r w:rsidRPr="00113F13">
              <w:rPr>
                <w:rFonts w:cs="Times New Roman"/>
              </w:rPr>
              <w:t xml:space="preserve">OAIC </w:t>
            </w:r>
          </w:p>
        </w:tc>
        <w:tc>
          <w:tcPr>
            <w:tcW w:w="5954" w:type="dxa"/>
            <w:shd w:val="clear" w:color="auto" w:fill="auto"/>
          </w:tcPr>
          <w:p w14:paraId="622AF0A1" w14:textId="77777777" w:rsidR="00FF302D" w:rsidRPr="00113F13" w:rsidRDefault="00FF302D" w:rsidP="007317C5">
            <w:pPr>
              <w:spacing w:before="120" w:after="120"/>
              <w:jc w:val="left"/>
              <w:rPr>
                <w:rFonts w:cs="Times New Roman"/>
                <w:sz w:val="22"/>
                <w:szCs w:val="22"/>
              </w:rPr>
            </w:pPr>
            <w:r w:rsidRPr="00113F13">
              <w:rPr>
                <w:rFonts w:cs="Times New Roman"/>
              </w:rPr>
              <w:t>Office of the Australian Information Commissioner</w:t>
            </w:r>
          </w:p>
        </w:tc>
      </w:tr>
      <w:tr w:rsidR="008F272C" w:rsidRPr="00113F13" w14:paraId="6D0E13F9" w14:textId="77777777" w:rsidTr="00410F42">
        <w:trPr>
          <w:trHeight w:val="397"/>
        </w:trPr>
        <w:tc>
          <w:tcPr>
            <w:tcW w:w="2551" w:type="dxa"/>
            <w:shd w:val="clear" w:color="auto" w:fill="auto"/>
          </w:tcPr>
          <w:p w14:paraId="206AA2F7" w14:textId="79E5A96E" w:rsidR="008F272C" w:rsidRDefault="008F272C" w:rsidP="00EF0C0D">
            <w:pPr>
              <w:spacing w:before="120" w:after="120"/>
              <w:jc w:val="left"/>
              <w:rPr>
                <w:rFonts w:cs="Times New Roman"/>
              </w:rPr>
            </w:pPr>
            <w:r>
              <w:rPr>
                <w:rFonts w:cs="Times New Roman"/>
              </w:rPr>
              <w:t>OVIC</w:t>
            </w:r>
          </w:p>
        </w:tc>
        <w:tc>
          <w:tcPr>
            <w:tcW w:w="5954" w:type="dxa"/>
            <w:shd w:val="clear" w:color="auto" w:fill="auto"/>
          </w:tcPr>
          <w:p w14:paraId="35FAAEBB" w14:textId="647F5F14" w:rsidR="008F272C" w:rsidRPr="008F272C" w:rsidRDefault="008F272C" w:rsidP="007317C5">
            <w:pPr>
              <w:spacing w:before="120" w:after="120"/>
              <w:jc w:val="left"/>
              <w:rPr>
                <w:rFonts w:cs="Times New Roman"/>
              </w:rPr>
            </w:pPr>
            <w:r w:rsidRPr="008F272C">
              <w:rPr>
                <w:rFonts w:cs="Times New Roman"/>
              </w:rPr>
              <w:t>Office of the Victorian Information Commissioner</w:t>
            </w:r>
          </w:p>
        </w:tc>
      </w:tr>
      <w:tr w:rsidR="00134651" w:rsidRPr="00113F13" w14:paraId="3CDF8686" w14:textId="77777777" w:rsidTr="00410F42">
        <w:trPr>
          <w:trHeight w:val="397"/>
        </w:trPr>
        <w:tc>
          <w:tcPr>
            <w:tcW w:w="2551" w:type="dxa"/>
            <w:shd w:val="clear" w:color="auto" w:fill="auto"/>
          </w:tcPr>
          <w:p w14:paraId="3C3FA3F5" w14:textId="04FFE494" w:rsidR="00134651" w:rsidRPr="00113F13" w:rsidRDefault="00134651" w:rsidP="00EF0C0D">
            <w:pPr>
              <w:spacing w:before="120" w:after="120"/>
              <w:jc w:val="left"/>
              <w:rPr>
                <w:rFonts w:cs="Times New Roman"/>
              </w:rPr>
            </w:pPr>
            <w:r>
              <w:rPr>
                <w:rFonts w:cs="Times New Roman"/>
              </w:rPr>
              <w:t>PDPA</w:t>
            </w:r>
            <w:r w:rsidR="00724A8C">
              <w:rPr>
                <w:rFonts w:cs="Times New Roman"/>
              </w:rPr>
              <w:t xml:space="preserve"> (Vic)</w:t>
            </w:r>
          </w:p>
        </w:tc>
        <w:tc>
          <w:tcPr>
            <w:tcW w:w="5954" w:type="dxa"/>
            <w:shd w:val="clear" w:color="auto" w:fill="auto"/>
          </w:tcPr>
          <w:p w14:paraId="7081C13F" w14:textId="3BA64167" w:rsidR="00134651" w:rsidRPr="00724A8C" w:rsidRDefault="00724A8C" w:rsidP="007317C5">
            <w:pPr>
              <w:spacing w:before="120" w:after="120"/>
              <w:jc w:val="left"/>
              <w:rPr>
                <w:rFonts w:cs="Times New Roman"/>
              </w:rPr>
            </w:pPr>
            <w:r>
              <w:rPr>
                <w:rFonts w:cs="Times New Roman"/>
                <w:i/>
                <w:iCs/>
              </w:rPr>
              <w:t xml:space="preserve">Privacy and Data Protection Act 2014 </w:t>
            </w:r>
            <w:r>
              <w:rPr>
                <w:rFonts w:cs="Times New Roman"/>
              </w:rPr>
              <w:t>(Vic)</w:t>
            </w:r>
          </w:p>
        </w:tc>
      </w:tr>
      <w:tr w:rsidR="00FF302D" w:rsidRPr="00113F13" w14:paraId="2CC48A0B" w14:textId="77777777" w:rsidTr="00410F42">
        <w:trPr>
          <w:trHeight w:val="397"/>
        </w:trPr>
        <w:tc>
          <w:tcPr>
            <w:tcW w:w="2551" w:type="dxa"/>
            <w:shd w:val="clear" w:color="auto" w:fill="auto"/>
          </w:tcPr>
          <w:p w14:paraId="4ECC44AF" w14:textId="77777777" w:rsidR="00FF302D" w:rsidRPr="00113F13" w:rsidRDefault="00FF302D" w:rsidP="00EF0C0D">
            <w:pPr>
              <w:spacing w:before="120" w:after="120"/>
              <w:jc w:val="left"/>
              <w:rPr>
                <w:rFonts w:cs="Times New Roman"/>
                <w:sz w:val="22"/>
                <w:szCs w:val="22"/>
              </w:rPr>
            </w:pPr>
            <w:r w:rsidRPr="00113F13">
              <w:rPr>
                <w:rFonts w:cs="Times New Roman"/>
              </w:rPr>
              <w:t>PIPA</w:t>
            </w:r>
          </w:p>
        </w:tc>
        <w:tc>
          <w:tcPr>
            <w:tcW w:w="5954" w:type="dxa"/>
            <w:shd w:val="clear" w:color="auto" w:fill="auto"/>
          </w:tcPr>
          <w:p w14:paraId="0D73C11F" w14:textId="77777777" w:rsidR="00FF302D" w:rsidRPr="00113F13" w:rsidRDefault="00FF302D" w:rsidP="007317C5">
            <w:pPr>
              <w:spacing w:before="120" w:after="120"/>
              <w:jc w:val="left"/>
              <w:rPr>
                <w:rFonts w:cs="Times New Roman"/>
                <w:sz w:val="22"/>
                <w:szCs w:val="22"/>
              </w:rPr>
            </w:pPr>
            <w:r w:rsidRPr="00113F13">
              <w:rPr>
                <w:rFonts w:cs="Times New Roman"/>
                <w:i/>
                <w:iCs/>
              </w:rPr>
              <w:t>Personal Information Protection Act 2004</w:t>
            </w:r>
            <w:r w:rsidRPr="00113F13">
              <w:rPr>
                <w:rFonts w:cs="Times New Roman"/>
              </w:rPr>
              <w:t xml:space="preserve"> (Tas)</w:t>
            </w:r>
          </w:p>
        </w:tc>
      </w:tr>
      <w:tr w:rsidR="008C685B" w:rsidRPr="00113F13" w14:paraId="3BA6F877" w14:textId="77777777" w:rsidTr="00410F42">
        <w:trPr>
          <w:trHeight w:val="397"/>
        </w:trPr>
        <w:tc>
          <w:tcPr>
            <w:tcW w:w="2551" w:type="dxa"/>
            <w:shd w:val="clear" w:color="auto" w:fill="auto"/>
          </w:tcPr>
          <w:p w14:paraId="5395C14C" w14:textId="79F5BB1C" w:rsidR="008C685B" w:rsidRPr="00113F13" w:rsidRDefault="008C685B" w:rsidP="00EF0C0D">
            <w:pPr>
              <w:spacing w:before="120" w:after="120"/>
              <w:jc w:val="left"/>
              <w:rPr>
                <w:rFonts w:cs="Times New Roman"/>
              </w:rPr>
            </w:pPr>
            <w:r>
              <w:rPr>
                <w:rFonts w:cs="Times New Roman"/>
              </w:rPr>
              <w:t>PP</w:t>
            </w:r>
            <w:r w:rsidR="00A0191F">
              <w:rPr>
                <w:rFonts w:cs="Times New Roman"/>
              </w:rPr>
              <w:t>I</w:t>
            </w:r>
            <w:r>
              <w:rPr>
                <w:rFonts w:cs="Times New Roman"/>
              </w:rPr>
              <w:t>P Act (NSW)</w:t>
            </w:r>
          </w:p>
        </w:tc>
        <w:tc>
          <w:tcPr>
            <w:tcW w:w="5954" w:type="dxa"/>
            <w:shd w:val="clear" w:color="auto" w:fill="auto"/>
          </w:tcPr>
          <w:p w14:paraId="33255E7F" w14:textId="453F1BFB" w:rsidR="008C685B" w:rsidRPr="00A0191F" w:rsidRDefault="00A0191F" w:rsidP="007317C5">
            <w:pPr>
              <w:spacing w:before="120" w:after="120"/>
              <w:jc w:val="left"/>
              <w:rPr>
                <w:rFonts w:cs="Times New Roman"/>
              </w:rPr>
            </w:pPr>
            <w:r w:rsidRPr="00A0191F">
              <w:rPr>
                <w:rFonts w:cs="Times New Roman"/>
                <w:i/>
                <w:iCs/>
              </w:rPr>
              <w:t>Privacy and Personal Information Protection Act 1998</w:t>
            </w:r>
            <w:r>
              <w:rPr>
                <w:rFonts w:cs="Times New Roman"/>
                <w:i/>
                <w:iCs/>
              </w:rPr>
              <w:t xml:space="preserve"> </w:t>
            </w:r>
            <w:r>
              <w:rPr>
                <w:rFonts w:cs="Times New Roman"/>
              </w:rPr>
              <w:t>(NSW)</w:t>
            </w:r>
          </w:p>
        </w:tc>
      </w:tr>
      <w:tr w:rsidR="00FF302D" w:rsidRPr="00113F13" w14:paraId="168F173E" w14:textId="77777777" w:rsidTr="00410F42">
        <w:trPr>
          <w:trHeight w:val="397"/>
        </w:trPr>
        <w:tc>
          <w:tcPr>
            <w:tcW w:w="2551" w:type="dxa"/>
            <w:shd w:val="clear" w:color="auto" w:fill="auto"/>
          </w:tcPr>
          <w:p w14:paraId="0AF0A24A" w14:textId="77777777" w:rsidR="00FF302D" w:rsidRPr="00113F13" w:rsidRDefault="00FF302D" w:rsidP="00EF0C0D">
            <w:pPr>
              <w:spacing w:before="120" w:after="120"/>
              <w:jc w:val="left"/>
              <w:rPr>
                <w:rFonts w:cs="Times New Roman"/>
                <w:sz w:val="22"/>
                <w:szCs w:val="22"/>
              </w:rPr>
            </w:pPr>
            <w:r w:rsidRPr="00113F13">
              <w:rPr>
                <w:rFonts w:cs="Times New Roman"/>
              </w:rPr>
              <w:t>Privacy Act</w:t>
            </w:r>
          </w:p>
        </w:tc>
        <w:tc>
          <w:tcPr>
            <w:tcW w:w="5954" w:type="dxa"/>
            <w:shd w:val="clear" w:color="auto" w:fill="auto"/>
          </w:tcPr>
          <w:p w14:paraId="4C8E9FA3" w14:textId="77777777" w:rsidR="00FF302D" w:rsidRPr="00113F13" w:rsidRDefault="00FF302D" w:rsidP="007317C5">
            <w:pPr>
              <w:spacing w:before="120" w:after="120"/>
              <w:jc w:val="left"/>
              <w:rPr>
                <w:rFonts w:cs="Times New Roman"/>
                <w:sz w:val="22"/>
                <w:szCs w:val="22"/>
              </w:rPr>
            </w:pPr>
            <w:r w:rsidRPr="00113F13">
              <w:rPr>
                <w:rFonts w:cs="Times New Roman"/>
                <w:i/>
                <w:iCs/>
              </w:rPr>
              <w:t>Privacy Act 1988</w:t>
            </w:r>
            <w:r w:rsidRPr="00113F13">
              <w:rPr>
                <w:rFonts w:cs="Times New Roman"/>
              </w:rPr>
              <w:t xml:space="preserve"> (Cth)</w:t>
            </w:r>
          </w:p>
        </w:tc>
      </w:tr>
      <w:tr w:rsidR="00FF302D" w:rsidRPr="00113F13" w14:paraId="3CD48190" w14:textId="77777777" w:rsidTr="00410F42">
        <w:trPr>
          <w:trHeight w:val="397"/>
        </w:trPr>
        <w:tc>
          <w:tcPr>
            <w:tcW w:w="2551" w:type="dxa"/>
            <w:shd w:val="clear" w:color="auto" w:fill="auto"/>
          </w:tcPr>
          <w:p w14:paraId="0A7B7600" w14:textId="77777777" w:rsidR="00FF302D" w:rsidRPr="00113F13" w:rsidRDefault="00FF302D" w:rsidP="00EF0C0D">
            <w:pPr>
              <w:spacing w:before="120" w:after="120"/>
              <w:jc w:val="left"/>
              <w:rPr>
                <w:rFonts w:cs="Times New Roman"/>
                <w:sz w:val="22"/>
                <w:szCs w:val="22"/>
              </w:rPr>
            </w:pPr>
            <w:r w:rsidRPr="00113F13">
              <w:rPr>
                <w:rFonts w:cs="Times New Roman"/>
              </w:rPr>
              <w:t xml:space="preserve">PIPPs </w:t>
            </w:r>
          </w:p>
        </w:tc>
        <w:tc>
          <w:tcPr>
            <w:tcW w:w="5954" w:type="dxa"/>
            <w:shd w:val="clear" w:color="auto" w:fill="auto"/>
          </w:tcPr>
          <w:p w14:paraId="3D6A94A0" w14:textId="77777777" w:rsidR="00FF302D" w:rsidRPr="00113F13" w:rsidRDefault="00FF302D" w:rsidP="007317C5">
            <w:pPr>
              <w:spacing w:before="120" w:after="120"/>
              <w:jc w:val="left"/>
              <w:rPr>
                <w:rFonts w:cs="Times New Roman"/>
                <w:sz w:val="22"/>
                <w:szCs w:val="22"/>
              </w:rPr>
            </w:pPr>
            <w:r w:rsidRPr="00113F13">
              <w:rPr>
                <w:rFonts w:cs="Times New Roman"/>
              </w:rPr>
              <w:t>Personal Information Protection Principles</w:t>
            </w:r>
          </w:p>
        </w:tc>
      </w:tr>
      <w:tr w:rsidR="00CD1634" w:rsidRPr="00113F13" w14:paraId="778DB713" w14:textId="77777777" w:rsidTr="00410F42">
        <w:trPr>
          <w:trHeight w:val="397"/>
        </w:trPr>
        <w:tc>
          <w:tcPr>
            <w:tcW w:w="2551" w:type="dxa"/>
            <w:shd w:val="clear" w:color="auto" w:fill="auto"/>
          </w:tcPr>
          <w:p w14:paraId="08A6F802" w14:textId="0F899F3F" w:rsidR="00CD1634" w:rsidRDefault="00E02842" w:rsidP="00EF0C0D">
            <w:pPr>
              <w:spacing w:before="120" w:after="120"/>
              <w:jc w:val="left"/>
              <w:rPr>
                <w:rFonts w:cs="Times New Roman"/>
              </w:rPr>
            </w:pPr>
            <w:r>
              <w:rPr>
                <w:rFonts w:cs="Times New Roman"/>
              </w:rPr>
              <w:t>QCAT</w:t>
            </w:r>
          </w:p>
        </w:tc>
        <w:tc>
          <w:tcPr>
            <w:tcW w:w="5954" w:type="dxa"/>
            <w:shd w:val="clear" w:color="auto" w:fill="auto"/>
          </w:tcPr>
          <w:p w14:paraId="0885294A" w14:textId="35A07E87" w:rsidR="00CD1634" w:rsidRDefault="00E02842" w:rsidP="007317C5">
            <w:pPr>
              <w:spacing w:before="120" w:after="120"/>
              <w:jc w:val="left"/>
              <w:rPr>
                <w:rFonts w:cs="Times New Roman"/>
              </w:rPr>
            </w:pPr>
            <w:r>
              <w:rPr>
                <w:rFonts w:cs="Times New Roman"/>
              </w:rPr>
              <w:t>Queensland Civil and Administrative Tribunal</w:t>
            </w:r>
          </w:p>
        </w:tc>
      </w:tr>
      <w:tr w:rsidR="00CD1634" w:rsidRPr="00113F13" w14:paraId="39A5B389" w14:textId="77777777" w:rsidTr="00410F42">
        <w:trPr>
          <w:trHeight w:val="397"/>
        </w:trPr>
        <w:tc>
          <w:tcPr>
            <w:tcW w:w="2551" w:type="dxa"/>
            <w:shd w:val="clear" w:color="auto" w:fill="auto"/>
          </w:tcPr>
          <w:p w14:paraId="2D36881E" w14:textId="465AA251" w:rsidR="00CD1634" w:rsidRDefault="00CD1634" w:rsidP="00EF0C0D">
            <w:pPr>
              <w:spacing w:before="120" w:after="120"/>
              <w:jc w:val="left"/>
              <w:rPr>
                <w:rFonts w:cs="Times New Roman"/>
              </w:rPr>
            </w:pPr>
            <w:r>
              <w:rPr>
                <w:rFonts w:cs="Times New Roman"/>
              </w:rPr>
              <w:t>QIC</w:t>
            </w:r>
          </w:p>
        </w:tc>
        <w:tc>
          <w:tcPr>
            <w:tcW w:w="5954" w:type="dxa"/>
            <w:shd w:val="clear" w:color="auto" w:fill="auto"/>
          </w:tcPr>
          <w:p w14:paraId="2010A564" w14:textId="79AD3972" w:rsidR="00CD1634" w:rsidRDefault="00CD1634" w:rsidP="007317C5">
            <w:pPr>
              <w:spacing w:before="120" w:after="120"/>
              <w:jc w:val="left"/>
              <w:rPr>
                <w:rFonts w:cs="Times New Roman"/>
              </w:rPr>
            </w:pPr>
            <w:r>
              <w:rPr>
                <w:rFonts w:cs="Times New Roman"/>
              </w:rPr>
              <w:t>Queensland Information Commissioner</w:t>
            </w:r>
          </w:p>
        </w:tc>
      </w:tr>
      <w:tr w:rsidR="003B30BF" w:rsidRPr="00113F13" w14:paraId="2C53106E" w14:textId="77777777" w:rsidTr="00410F42">
        <w:trPr>
          <w:trHeight w:val="397"/>
        </w:trPr>
        <w:tc>
          <w:tcPr>
            <w:tcW w:w="2551" w:type="dxa"/>
            <w:shd w:val="clear" w:color="auto" w:fill="auto"/>
          </w:tcPr>
          <w:p w14:paraId="46E2E803" w14:textId="389B3BF3" w:rsidR="003B30BF" w:rsidRPr="00113F13" w:rsidRDefault="00CD1634" w:rsidP="00EF0C0D">
            <w:pPr>
              <w:spacing w:before="120" w:after="120"/>
              <w:jc w:val="left"/>
              <w:rPr>
                <w:rFonts w:cs="Times New Roman"/>
              </w:rPr>
            </w:pPr>
            <w:r>
              <w:rPr>
                <w:rFonts w:cs="Times New Roman"/>
              </w:rPr>
              <w:t>QPP</w:t>
            </w:r>
          </w:p>
        </w:tc>
        <w:tc>
          <w:tcPr>
            <w:tcW w:w="5954" w:type="dxa"/>
            <w:shd w:val="clear" w:color="auto" w:fill="auto"/>
          </w:tcPr>
          <w:p w14:paraId="09EB8B7E" w14:textId="1CE6992C" w:rsidR="003B30BF" w:rsidRPr="00113F13" w:rsidRDefault="00CD1634" w:rsidP="007317C5">
            <w:pPr>
              <w:spacing w:before="120" w:after="120"/>
              <w:jc w:val="left"/>
              <w:rPr>
                <w:rFonts w:cs="Times New Roman"/>
              </w:rPr>
            </w:pPr>
            <w:r>
              <w:rPr>
                <w:rFonts w:cs="Times New Roman"/>
              </w:rPr>
              <w:t>Queensland Privacy Principles</w:t>
            </w:r>
          </w:p>
        </w:tc>
      </w:tr>
      <w:tr w:rsidR="00FF302D" w:rsidRPr="00113F13" w14:paraId="17807ECD" w14:textId="77777777" w:rsidTr="00410F42">
        <w:trPr>
          <w:trHeight w:val="397"/>
        </w:trPr>
        <w:tc>
          <w:tcPr>
            <w:tcW w:w="2551" w:type="dxa"/>
            <w:shd w:val="clear" w:color="auto" w:fill="auto"/>
          </w:tcPr>
          <w:p w14:paraId="3F7B3712" w14:textId="77777777" w:rsidR="00FF302D" w:rsidRPr="00113F13" w:rsidRDefault="00FF302D" w:rsidP="00EF0C0D">
            <w:pPr>
              <w:spacing w:before="120" w:after="120"/>
              <w:jc w:val="left"/>
              <w:rPr>
                <w:rFonts w:cs="Times New Roman"/>
                <w:sz w:val="22"/>
                <w:szCs w:val="22"/>
              </w:rPr>
            </w:pPr>
            <w:r w:rsidRPr="00113F13">
              <w:rPr>
                <w:rFonts w:cs="Times New Roman"/>
              </w:rPr>
              <w:t>RPA</w:t>
            </w:r>
          </w:p>
        </w:tc>
        <w:tc>
          <w:tcPr>
            <w:tcW w:w="5954" w:type="dxa"/>
            <w:shd w:val="clear" w:color="auto" w:fill="auto"/>
          </w:tcPr>
          <w:p w14:paraId="74FC8B7F" w14:textId="2BE00686" w:rsidR="00FF302D" w:rsidRPr="00113F13" w:rsidRDefault="00B66150" w:rsidP="007317C5">
            <w:pPr>
              <w:spacing w:before="120" w:after="120"/>
              <w:jc w:val="left"/>
              <w:rPr>
                <w:rFonts w:cs="Times New Roman"/>
                <w:sz w:val="22"/>
                <w:szCs w:val="22"/>
              </w:rPr>
            </w:pPr>
            <w:r w:rsidRPr="00113F13">
              <w:rPr>
                <w:rFonts w:cs="Times New Roman"/>
              </w:rPr>
              <w:t xml:space="preserve">Remotely Piloted Aircraft </w:t>
            </w:r>
            <w:r w:rsidR="002041FC" w:rsidRPr="00113F13">
              <w:rPr>
                <w:rFonts w:cs="Times New Roman"/>
              </w:rPr>
              <w:t>(drones)</w:t>
            </w:r>
          </w:p>
        </w:tc>
      </w:tr>
      <w:tr w:rsidR="00FF302D" w:rsidRPr="00113F13" w14:paraId="4C6B8B13" w14:textId="77777777" w:rsidTr="00410F42">
        <w:trPr>
          <w:trHeight w:val="397"/>
        </w:trPr>
        <w:tc>
          <w:tcPr>
            <w:tcW w:w="2551" w:type="dxa"/>
            <w:shd w:val="clear" w:color="auto" w:fill="auto"/>
          </w:tcPr>
          <w:p w14:paraId="378D3519" w14:textId="77777777" w:rsidR="00FF302D" w:rsidRPr="00113F13" w:rsidRDefault="00FF302D" w:rsidP="00EF0C0D">
            <w:pPr>
              <w:spacing w:before="120" w:after="120"/>
              <w:jc w:val="left"/>
              <w:rPr>
                <w:rFonts w:cs="Times New Roman"/>
                <w:sz w:val="22"/>
                <w:szCs w:val="22"/>
              </w:rPr>
            </w:pPr>
            <w:r w:rsidRPr="00113F13">
              <w:rPr>
                <w:rFonts w:cs="Times New Roman"/>
              </w:rPr>
              <w:t>RTI Act</w:t>
            </w:r>
          </w:p>
        </w:tc>
        <w:tc>
          <w:tcPr>
            <w:tcW w:w="5954" w:type="dxa"/>
            <w:shd w:val="clear" w:color="auto" w:fill="auto"/>
          </w:tcPr>
          <w:p w14:paraId="3F3AC385" w14:textId="77777777" w:rsidR="00FF302D" w:rsidRPr="00113F13" w:rsidRDefault="00FF302D" w:rsidP="007317C5">
            <w:pPr>
              <w:spacing w:before="120" w:after="120"/>
              <w:jc w:val="left"/>
              <w:rPr>
                <w:rFonts w:cs="Times New Roman"/>
                <w:sz w:val="22"/>
                <w:szCs w:val="22"/>
              </w:rPr>
            </w:pPr>
            <w:r w:rsidRPr="00113F13">
              <w:rPr>
                <w:rFonts w:cs="Times New Roman"/>
                <w:i/>
                <w:iCs/>
              </w:rPr>
              <w:t xml:space="preserve">Right to Information Act 2009 </w:t>
            </w:r>
            <w:r w:rsidRPr="00113F13">
              <w:rPr>
                <w:rFonts w:cs="Times New Roman"/>
              </w:rPr>
              <w:t>(Tas)</w:t>
            </w:r>
          </w:p>
        </w:tc>
      </w:tr>
      <w:tr w:rsidR="00E02842" w:rsidRPr="00113F13" w14:paraId="2900D619" w14:textId="77777777" w:rsidTr="00410F42">
        <w:trPr>
          <w:trHeight w:val="397"/>
        </w:trPr>
        <w:tc>
          <w:tcPr>
            <w:tcW w:w="2551" w:type="dxa"/>
            <w:shd w:val="clear" w:color="auto" w:fill="auto"/>
          </w:tcPr>
          <w:p w14:paraId="142A7DC3" w14:textId="486BE627" w:rsidR="00E02842" w:rsidRDefault="00E02842" w:rsidP="00EF0C0D">
            <w:pPr>
              <w:spacing w:before="120" w:after="120"/>
              <w:jc w:val="left"/>
              <w:rPr>
                <w:rFonts w:cs="Times New Roman"/>
              </w:rPr>
            </w:pPr>
            <w:r>
              <w:rPr>
                <w:rFonts w:cs="Times New Roman"/>
              </w:rPr>
              <w:t>SALRI</w:t>
            </w:r>
          </w:p>
        </w:tc>
        <w:tc>
          <w:tcPr>
            <w:tcW w:w="5954" w:type="dxa"/>
            <w:shd w:val="clear" w:color="auto" w:fill="auto"/>
          </w:tcPr>
          <w:p w14:paraId="3D275551" w14:textId="3A63DAAB" w:rsidR="00E02842" w:rsidRDefault="00E02842" w:rsidP="007317C5">
            <w:pPr>
              <w:spacing w:before="120" w:after="120"/>
              <w:jc w:val="left"/>
              <w:rPr>
                <w:rFonts w:cs="Times New Roman"/>
              </w:rPr>
            </w:pPr>
            <w:r>
              <w:rPr>
                <w:rFonts w:cs="Times New Roman"/>
              </w:rPr>
              <w:t>South Australia Law Reform Institute</w:t>
            </w:r>
          </w:p>
        </w:tc>
      </w:tr>
      <w:tr w:rsidR="0008306D" w:rsidRPr="00113F13" w14:paraId="466A35F1" w14:textId="77777777" w:rsidTr="00410F42">
        <w:trPr>
          <w:trHeight w:val="397"/>
        </w:trPr>
        <w:tc>
          <w:tcPr>
            <w:tcW w:w="2551" w:type="dxa"/>
            <w:shd w:val="clear" w:color="auto" w:fill="auto"/>
          </w:tcPr>
          <w:p w14:paraId="209889B3" w14:textId="106460CF" w:rsidR="0008306D" w:rsidRPr="00113F13" w:rsidRDefault="0008306D" w:rsidP="00EF0C0D">
            <w:pPr>
              <w:spacing w:before="120" w:after="120"/>
              <w:jc w:val="left"/>
              <w:rPr>
                <w:rFonts w:cs="Times New Roman"/>
              </w:rPr>
            </w:pPr>
            <w:r>
              <w:rPr>
                <w:rFonts w:cs="Times New Roman"/>
              </w:rPr>
              <w:t>TasCAT</w:t>
            </w:r>
          </w:p>
        </w:tc>
        <w:tc>
          <w:tcPr>
            <w:tcW w:w="5954" w:type="dxa"/>
            <w:shd w:val="clear" w:color="auto" w:fill="auto"/>
          </w:tcPr>
          <w:p w14:paraId="16E76714" w14:textId="5BD06AE9" w:rsidR="0008306D" w:rsidRPr="00113F13" w:rsidRDefault="003B30BF" w:rsidP="007317C5">
            <w:pPr>
              <w:spacing w:before="120" w:after="120"/>
              <w:jc w:val="left"/>
              <w:rPr>
                <w:rFonts w:cs="Times New Roman"/>
              </w:rPr>
            </w:pPr>
            <w:r>
              <w:rPr>
                <w:rFonts w:cs="Times New Roman"/>
              </w:rPr>
              <w:t>Tasmanian Civil and Administrative Tribunal</w:t>
            </w:r>
          </w:p>
        </w:tc>
      </w:tr>
      <w:tr w:rsidR="00FF302D" w:rsidRPr="00113F13" w14:paraId="02B2A10B" w14:textId="77777777" w:rsidTr="00410F42">
        <w:trPr>
          <w:trHeight w:val="397"/>
        </w:trPr>
        <w:tc>
          <w:tcPr>
            <w:tcW w:w="2551" w:type="dxa"/>
            <w:shd w:val="clear" w:color="auto" w:fill="auto"/>
          </w:tcPr>
          <w:p w14:paraId="54C335DD" w14:textId="77777777" w:rsidR="00FF302D" w:rsidRPr="00113F13" w:rsidRDefault="00FF302D" w:rsidP="00EF0C0D">
            <w:pPr>
              <w:spacing w:before="120" w:after="120"/>
              <w:jc w:val="left"/>
              <w:rPr>
                <w:rFonts w:cs="Times New Roman"/>
                <w:sz w:val="22"/>
                <w:szCs w:val="22"/>
              </w:rPr>
            </w:pPr>
            <w:r w:rsidRPr="00113F13">
              <w:rPr>
                <w:rFonts w:cs="Times New Roman"/>
              </w:rPr>
              <w:t>TasCOSS</w:t>
            </w:r>
          </w:p>
        </w:tc>
        <w:tc>
          <w:tcPr>
            <w:tcW w:w="5954" w:type="dxa"/>
            <w:shd w:val="clear" w:color="auto" w:fill="auto"/>
          </w:tcPr>
          <w:p w14:paraId="5FF63095" w14:textId="77777777" w:rsidR="00FF302D" w:rsidRPr="00113F13" w:rsidRDefault="00FF302D" w:rsidP="007317C5">
            <w:pPr>
              <w:spacing w:before="120" w:after="120"/>
              <w:jc w:val="left"/>
              <w:rPr>
                <w:rFonts w:cs="Times New Roman"/>
                <w:sz w:val="22"/>
                <w:szCs w:val="22"/>
              </w:rPr>
            </w:pPr>
            <w:r w:rsidRPr="00113F13">
              <w:rPr>
                <w:rFonts w:cs="Times New Roman"/>
              </w:rPr>
              <w:t>Tasmanian Council of Social Service</w:t>
            </w:r>
          </w:p>
        </w:tc>
      </w:tr>
      <w:tr w:rsidR="00FF302D" w:rsidRPr="00113F13" w14:paraId="49B500C3" w14:textId="77777777" w:rsidTr="00410F42">
        <w:trPr>
          <w:trHeight w:val="397"/>
        </w:trPr>
        <w:tc>
          <w:tcPr>
            <w:tcW w:w="2551" w:type="dxa"/>
            <w:shd w:val="clear" w:color="auto" w:fill="auto"/>
          </w:tcPr>
          <w:p w14:paraId="19D8DF77" w14:textId="77777777" w:rsidR="00FF302D" w:rsidRPr="00113F13" w:rsidRDefault="00FF302D" w:rsidP="00EF0C0D">
            <w:pPr>
              <w:spacing w:before="120" w:after="120"/>
              <w:jc w:val="left"/>
              <w:rPr>
                <w:rFonts w:cs="Times New Roman"/>
                <w:sz w:val="22"/>
                <w:szCs w:val="22"/>
              </w:rPr>
            </w:pPr>
            <w:r w:rsidRPr="00113F13">
              <w:rPr>
                <w:rFonts w:cs="Times New Roman"/>
              </w:rPr>
              <w:t>TLA</w:t>
            </w:r>
          </w:p>
        </w:tc>
        <w:tc>
          <w:tcPr>
            <w:tcW w:w="5954" w:type="dxa"/>
            <w:shd w:val="clear" w:color="auto" w:fill="auto"/>
          </w:tcPr>
          <w:p w14:paraId="3001A21D" w14:textId="77777777" w:rsidR="00FF302D" w:rsidRPr="00113F13" w:rsidRDefault="00FF302D" w:rsidP="007317C5">
            <w:pPr>
              <w:spacing w:before="120" w:after="120"/>
              <w:jc w:val="left"/>
              <w:rPr>
                <w:rFonts w:cs="Times New Roman"/>
                <w:sz w:val="22"/>
                <w:szCs w:val="22"/>
              </w:rPr>
            </w:pPr>
            <w:r w:rsidRPr="00113F13">
              <w:rPr>
                <w:rFonts w:cs="Times New Roman"/>
              </w:rPr>
              <w:t>Tasmanian Legal Aid</w:t>
            </w:r>
          </w:p>
        </w:tc>
      </w:tr>
      <w:tr w:rsidR="00C807BD" w:rsidRPr="00113F13" w14:paraId="45EED0F5" w14:textId="77777777" w:rsidTr="00410F42">
        <w:trPr>
          <w:trHeight w:val="397"/>
        </w:trPr>
        <w:tc>
          <w:tcPr>
            <w:tcW w:w="2551" w:type="dxa"/>
            <w:shd w:val="clear" w:color="auto" w:fill="auto"/>
          </w:tcPr>
          <w:p w14:paraId="79348D22" w14:textId="02A3ACF0" w:rsidR="00C807BD" w:rsidRPr="00113F13" w:rsidRDefault="00C807BD" w:rsidP="00EF0C0D">
            <w:pPr>
              <w:spacing w:before="120" w:after="120"/>
              <w:jc w:val="left"/>
              <w:rPr>
                <w:rFonts w:cs="Times New Roman"/>
              </w:rPr>
            </w:pPr>
            <w:r>
              <w:rPr>
                <w:rFonts w:cs="Times New Roman"/>
              </w:rPr>
              <w:t>TLGC</w:t>
            </w:r>
          </w:p>
        </w:tc>
        <w:tc>
          <w:tcPr>
            <w:tcW w:w="5954" w:type="dxa"/>
            <w:shd w:val="clear" w:color="auto" w:fill="auto"/>
          </w:tcPr>
          <w:p w14:paraId="701738E6" w14:textId="2B67C53B" w:rsidR="00C807BD" w:rsidRPr="00113F13" w:rsidRDefault="00C807BD" w:rsidP="007317C5">
            <w:pPr>
              <w:spacing w:before="120" w:after="120"/>
              <w:jc w:val="left"/>
              <w:rPr>
                <w:rFonts w:cs="Times New Roman"/>
              </w:rPr>
            </w:pPr>
            <w:r>
              <w:rPr>
                <w:rFonts w:cs="Times New Roman"/>
              </w:rPr>
              <w:t>Tasmanian Liquor and Gaming Commission</w:t>
            </w:r>
          </w:p>
        </w:tc>
      </w:tr>
      <w:tr w:rsidR="00FF302D" w:rsidRPr="00113F13" w14:paraId="6C4CEA0B" w14:textId="77777777" w:rsidTr="00410F42">
        <w:trPr>
          <w:trHeight w:val="397"/>
        </w:trPr>
        <w:tc>
          <w:tcPr>
            <w:tcW w:w="2551" w:type="dxa"/>
            <w:shd w:val="clear" w:color="auto" w:fill="auto"/>
          </w:tcPr>
          <w:p w14:paraId="3FEB0498" w14:textId="77777777" w:rsidR="00FF302D" w:rsidRPr="00113F13" w:rsidRDefault="00FF302D" w:rsidP="00EF0C0D">
            <w:pPr>
              <w:spacing w:before="120" w:after="120"/>
              <w:jc w:val="left"/>
              <w:rPr>
                <w:rFonts w:cs="Times New Roman"/>
                <w:sz w:val="22"/>
                <w:szCs w:val="22"/>
              </w:rPr>
            </w:pPr>
            <w:r w:rsidRPr="00113F13">
              <w:rPr>
                <w:rFonts w:cs="Times New Roman"/>
              </w:rPr>
              <w:t xml:space="preserve">TLRI </w:t>
            </w:r>
          </w:p>
        </w:tc>
        <w:tc>
          <w:tcPr>
            <w:tcW w:w="5954" w:type="dxa"/>
            <w:shd w:val="clear" w:color="auto" w:fill="auto"/>
          </w:tcPr>
          <w:p w14:paraId="361C0732" w14:textId="77777777" w:rsidR="00FF302D" w:rsidRPr="00113F13" w:rsidRDefault="00FF302D" w:rsidP="007317C5">
            <w:pPr>
              <w:spacing w:before="120" w:after="120"/>
              <w:jc w:val="left"/>
              <w:rPr>
                <w:rFonts w:cs="Times New Roman"/>
                <w:sz w:val="22"/>
                <w:szCs w:val="22"/>
              </w:rPr>
            </w:pPr>
            <w:r w:rsidRPr="00113F13">
              <w:rPr>
                <w:rFonts w:cs="Times New Roman"/>
              </w:rPr>
              <w:t>Tasmania Law Reform Institute</w:t>
            </w:r>
          </w:p>
        </w:tc>
      </w:tr>
      <w:tr w:rsidR="0075022E" w:rsidRPr="00113F13" w14:paraId="57D044BD" w14:textId="77777777" w:rsidTr="00410F42">
        <w:trPr>
          <w:trHeight w:val="397"/>
        </w:trPr>
        <w:tc>
          <w:tcPr>
            <w:tcW w:w="2551" w:type="dxa"/>
            <w:shd w:val="clear" w:color="auto" w:fill="auto"/>
          </w:tcPr>
          <w:p w14:paraId="1D14F5AE" w14:textId="6FC48467" w:rsidR="0075022E" w:rsidRPr="00113F13" w:rsidRDefault="0075022E" w:rsidP="00EF0C0D">
            <w:pPr>
              <w:spacing w:before="120" w:after="120"/>
              <w:jc w:val="left"/>
              <w:rPr>
                <w:rFonts w:cs="Times New Roman"/>
              </w:rPr>
            </w:pPr>
            <w:r>
              <w:rPr>
                <w:rFonts w:cs="Times New Roman"/>
              </w:rPr>
              <w:t>ToRs</w:t>
            </w:r>
          </w:p>
        </w:tc>
        <w:tc>
          <w:tcPr>
            <w:tcW w:w="5954" w:type="dxa"/>
            <w:shd w:val="clear" w:color="auto" w:fill="auto"/>
          </w:tcPr>
          <w:p w14:paraId="4821E80E" w14:textId="54F210DA" w:rsidR="0075022E" w:rsidRPr="00113F13" w:rsidRDefault="0075022E" w:rsidP="007317C5">
            <w:pPr>
              <w:spacing w:before="120" w:after="120"/>
              <w:jc w:val="left"/>
              <w:rPr>
                <w:rFonts w:cs="Times New Roman"/>
              </w:rPr>
            </w:pPr>
            <w:r>
              <w:rPr>
                <w:rFonts w:cs="Times New Roman"/>
              </w:rPr>
              <w:t>Terms of Reference</w:t>
            </w:r>
          </w:p>
        </w:tc>
      </w:tr>
      <w:tr w:rsidR="00FF302D" w:rsidRPr="00113F13" w14:paraId="60DEE5AE" w14:textId="77777777" w:rsidTr="00410F42">
        <w:trPr>
          <w:trHeight w:val="397"/>
        </w:trPr>
        <w:tc>
          <w:tcPr>
            <w:tcW w:w="2551" w:type="dxa"/>
            <w:shd w:val="clear" w:color="auto" w:fill="auto"/>
          </w:tcPr>
          <w:p w14:paraId="5DBBA2E1" w14:textId="77777777" w:rsidR="00FF302D" w:rsidRPr="00113F13" w:rsidRDefault="00FF302D" w:rsidP="00EF0C0D">
            <w:pPr>
              <w:spacing w:before="120" w:after="120"/>
              <w:jc w:val="left"/>
              <w:rPr>
                <w:rFonts w:cs="Times New Roman"/>
                <w:sz w:val="22"/>
                <w:szCs w:val="22"/>
              </w:rPr>
            </w:pPr>
            <w:r w:rsidRPr="00113F13">
              <w:rPr>
                <w:rFonts w:cs="Times New Roman"/>
              </w:rPr>
              <w:t>UAV</w:t>
            </w:r>
          </w:p>
        </w:tc>
        <w:tc>
          <w:tcPr>
            <w:tcW w:w="5954" w:type="dxa"/>
            <w:shd w:val="clear" w:color="auto" w:fill="auto"/>
          </w:tcPr>
          <w:p w14:paraId="02646763" w14:textId="28EC40F1" w:rsidR="00FF302D" w:rsidRPr="00113F13" w:rsidRDefault="00B66150" w:rsidP="007317C5">
            <w:pPr>
              <w:spacing w:before="120" w:after="120"/>
              <w:jc w:val="left"/>
              <w:rPr>
                <w:rFonts w:cs="Times New Roman"/>
                <w:sz w:val="22"/>
                <w:szCs w:val="22"/>
              </w:rPr>
            </w:pPr>
            <w:r w:rsidRPr="00113F13">
              <w:rPr>
                <w:rFonts w:cs="Times New Roman"/>
              </w:rPr>
              <w:t xml:space="preserve">Unmanned Aerial Vehicles </w:t>
            </w:r>
            <w:r w:rsidR="002041FC" w:rsidRPr="00113F13">
              <w:rPr>
                <w:rFonts w:cs="Times New Roman"/>
              </w:rPr>
              <w:t>(drones)</w:t>
            </w:r>
          </w:p>
        </w:tc>
      </w:tr>
      <w:tr w:rsidR="006B36B9" w:rsidRPr="00113F13" w14:paraId="27AA1349" w14:textId="77777777" w:rsidTr="00410F42">
        <w:trPr>
          <w:trHeight w:val="397"/>
        </w:trPr>
        <w:tc>
          <w:tcPr>
            <w:tcW w:w="2551" w:type="dxa"/>
            <w:shd w:val="clear" w:color="auto" w:fill="auto"/>
          </w:tcPr>
          <w:p w14:paraId="4AAA4E22" w14:textId="2A9809C9" w:rsidR="006B36B9" w:rsidRPr="00310862" w:rsidRDefault="006B36B9" w:rsidP="00EF0C0D">
            <w:pPr>
              <w:spacing w:before="120" w:after="120"/>
              <w:jc w:val="left"/>
              <w:rPr>
                <w:rFonts w:cs="Times New Roman"/>
              </w:rPr>
            </w:pPr>
            <w:r>
              <w:rPr>
                <w:rFonts w:cs="Times New Roman"/>
              </w:rPr>
              <w:t>VCAT</w:t>
            </w:r>
          </w:p>
        </w:tc>
        <w:tc>
          <w:tcPr>
            <w:tcW w:w="5954" w:type="dxa"/>
            <w:shd w:val="clear" w:color="auto" w:fill="auto"/>
          </w:tcPr>
          <w:p w14:paraId="02844725" w14:textId="35CB03C8" w:rsidR="006B36B9" w:rsidRPr="00310862" w:rsidRDefault="006B36B9" w:rsidP="007317C5">
            <w:pPr>
              <w:spacing w:before="120" w:after="120"/>
              <w:jc w:val="left"/>
              <w:rPr>
                <w:rFonts w:cs="Times New Roman"/>
              </w:rPr>
            </w:pPr>
            <w:r>
              <w:rPr>
                <w:rFonts w:cs="Times New Roman"/>
              </w:rPr>
              <w:t>Victorian Civil and Administrative Tribunal</w:t>
            </w:r>
          </w:p>
        </w:tc>
      </w:tr>
      <w:tr w:rsidR="00FF302D" w:rsidRPr="00113F13" w14:paraId="285C0A29" w14:textId="77777777" w:rsidTr="00410F42">
        <w:trPr>
          <w:trHeight w:val="397"/>
        </w:trPr>
        <w:tc>
          <w:tcPr>
            <w:tcW w:w="2551" w:type="dxa"/>
            <w:shd w:val="clear" w:color="auto" w:fill="auto"/>
          </w:tcPr>
          <w:p w14:paraId="621E1E33" w14:textId="77777777" w:rsidR="00FF302D" w:rsidRPr="00113F13" w:rsidRDefault="00FF302D" w:rsidP="00EF0C0D">
            <w:pPr>
              <w:spacing w:before="120" w:after="120"/>
              <w:jc w:val="left"/>
              <w:rPr>
                <w:rFonts w:cs="Times New Roman"/>
                <w:sz w:val="22"/>
                <w:szCs w:val="22"/>
                <w:highlight w:val="yellow"/>
              </w:rPr>
            </w:pPr>
            <w:r w:rsidRPr="00310862">
              <w:rPr>
                <w:rFonts w:cs="Times New Roman"/>
              </w:rPr>
              <w:t>VIC</w:t>
            </w:r>
          </w:p>
        </w:tc>
        <w:tc>
          <w:tcPr>
            <w:tcW w:w="5954" w:type="dxa"/>
            <w:shd w:val="clear" w:color="auto" w:fill="auto"/>
          </w:tcPr>
          <w:p w14:paraId="38798124" w14:textId="21649BC9" w:rsidR="00FF302D" w:rsidRPr="00113F13" w:rsidRDefault="00FF302D" w:rsidP="007317C5">
            <w:pPr>
              <w:spacing w:before="120" w:after="120"/>
              <w:jc w:val="left"/>
              <w:rPr>
                <w:rFonts w:cs="Times New Roman"/>
                <w:sz w:val="22"/>
                <w:szCs w:val="22"/>
                <w:highlight w:val="yellow"/>
              </w:rPr>
            </w:pPr>
            <w:r w:rsidRPr="00310862">
              <w:rPr>
                <w:rFonts w:cs="Times New Roman"/>
              </w:rPr>
              <w:t>Victorian Information Commission</w:t>
            </w:r>
          </w:p>
        </w:tc>
      </w:tr>
      <w:tr w:rsidR="005928A6" w:rsidRPr="00113F13" w14:paraId="5AFBD30A" w14:textId="77777777" w:rsidTr="00410F42">
        <w:trPr>
          <w:trHeight w:val="397"/>
        </w:trPr>
        <w:tc>
          <w:tcPr>
            <w:tcW w:w="2551" w:type="dxa"/>
            <w:shd w:val="clear" w:color="auto" w:fill="auto"/>
          </w:tcPr>
          <w:p w14:paraId="679E2071" w14:textId="7DC41941" w:rsidR="005928A6" w:rsidRPr="00310862" w:rsidRDefault="005928A6" w:rsidP="00EF0C0D">
            <w:pPr>
              <w:spacing w:before="120" w:after="120"/>
              <w:jc w:val="left"/>
              <w:rPr>
                <w:rFonts w:cs="Times New Roman"/>
              </w:rPr>
            </w:pPr>
            <w:r>
              <w:rPr>
                <w:rFonts w:cs="Times New Roman"/>
              </w:rPr>
              <w:t>YLA</w:t>
            </w:r>
          </w:p>
        </w:tc>
        <w:tc>
          <w:tcPr>
            <w:tcW w:w="5954" w:type="dxa"/>
            <w:shd w:val="clear" w:color="auto" w:fill="auto"/>
          </w:tcPr>
          <w:p w14:paraId="384F7302" w14:textId="12439867" w:rsidR="005928A6" w:rsidRPr="00310862" w:rsidRDefault="005928A6" w:rsidP="007317C5">
            <w:pPr>
              <w:spacing w:before="120" w:after="120"/>
              <w:jc w:val="left"/>
              <w:rPr>
                <w:rFonts w:cs="Times New Roman"/>
              </w:rPr>
            </w:pPr>
            <w:r>
              <w:rPr>
                <w:rFonts w:cs="Times New Roman"/>
              </w:rPr>
              <w:t>Youth Law Australia</w:t>
            </w:r>
          </w:p>
        </w:tc>
      </w:tr>
    </w:tbl>
    <w:p w14:paraId="5AE7EF4C" w14:textId="77777777" w:rsidR="00FF302D" w:rsidRPr="00113F13" w:rsidRDefault="00FF302D" w:rsidP="00FF302D">
      <w:pPr>
        <w:rPr>
          <w:rFonts w:cs="Times New Roman"/>
        </w:rPr>
        <w:sectPr w:rsidR="00FF302D" w:rsidRPr="00113F13" w:rsidSect="00BC08AB">
          <w:headerReference w:type="even" r:id="rId22"/>
          <w:headerReference w:type="default" r:id="rId23"/>
          <w:type w:val="continuous"/>
          <w:pgSz w:w="11906" w:h="16838" w:code="9"/>
          <w:pgMar w:top="1440" w:right="1440" w:bottom="1440" w:left="1440" w:header="708" w:footer="708" w:gutter="0"/>
          <w:pgNumType w:fmt="lowerRoman"/>
          <w:cols w:space="708"/>
          <w:docGrid w:linePitch="360"/>
        </w:sectPr>
      </w:pPr>
    </w:p>
    <w:bookmarkEnd w:id="6"/>
    <w:p w14:paraId="0ED41F23" w14:textId="77777777" w:rsidR="00FF302D" w:rsidRPr="00113F13" w:rsidRDefault="00FF302D" w:rsidP="00FF302D">
      <w:pPr>
        <w:pStyle w:val="Heading1"/>
        <w:spacing w:before="0"/>
        <w:rPr>
          <w:rFonts w:ascii="Times New Roman" w:hAnsi="Times New Roman" w:cs="Times New Roman"/>
        </w:rPr>
      </w:pPr>
    </w:p>
    <w:p w14:paraId="7ABB4419" w14:textId="77777777" w:rsidR="00FF302D" w:rsidRPr="00113F13" w:rsidRDefault="00FF302D" w:rsidP="00502A61">
      <w:pPr>
        <w:pStyle w:val="PartNoTLRI"/>
        <w:numPr>
          <w:ilvl w:val="0"/>
          <w:numId w:val="49"/>
        </w:numPr>
        <w:spacing w:after="160" w:line="259" w:lineRule="auto"/>
      </w:pPr>
    </w:p>
    <w:p w14:paraId="7D3070BC" w14:textId="77777777" w:rsidR="00FF302D" w:rsidRPr="00113F13" w:rsidRDefault="00FF302D" w:rsidP="00FF302D">
      <w:pPr>
        <w:pStyle w:val="PartHeadingTLRI"/>
      </w:pPr>
      <w:bookmarkStart w:id="23" w:name="_Toc164606492"/>
      <w:r w:rsidRPr="00113F13">
        <w:t>About this Final Report</w:t>
      </w:r>
      <w:bookmarkEnd w:id="23"/>
    </w:p>
    <w:p w14:paraId="4661CDAA" w14:textId="77777777" w:rsidR="00FF302D" w:rsidRPr="00113F13" w:rsidRDefault="10DD744B" w:rsidP="00BF1FE7">
      <w:pPr>
        <w:pStyle w:val="NumberedHeadingTLRI"/>
        <w:numPr>
          <w:ilvl w:val="1"/>
          <w:numId w:val="55"/>
        </w:numPr>
      </w:pPr>
      <w:bookmarkStart w:id="24" w:name="_Toc164606493"/>
      <w:r>
        <w:t>Background</w:t>
      </w:r>
      <w:bookmarkEnd w:id="24"/>
    </w:p>
    <w:p w14:paraId="311BC5DB" w14:textId="77777777" w:rsidR="00FF302D" w:rsidRPr="00113F13" w:rsidRDefault="10DD744B" w:rsidP="00502A61">
      <w:pPr>
        <w:pStyle w:val="NormalNumberedTextTLRI"/>
        <w:numPr>
          <w:ilvl w:val="2"/>
          <w:numId w:val="56"/>
        </w:numPr>
        <w:tabs>
          <w:tab w:val="clear" w:pos="720"/>
        </w:tabs>
        <w:spacing w:line="259" w:lineRule="auto"/>
      </w:pPr>
      <w:r>
        <w:t xml:space="preserve">This Final Report consolidates the Tasmania Law Reform Institute’s research and consideration of community and stakeholder consultation on the regulation of privacy in Tasmania. The Report follows the release of an Issues Paper by the Institute in March 2023. </w:t>
      </w:r>
    </w:p>
    <w:p w14:paraId="118226E5" w14:textId="77777777" w:rsidR="00FF302D" w:rsidRPr="00113F13" w:rsidRDefault="10DD744B" w:rsidP="00B63604">
      <w:pPr>
        <w:pStyle w:val="NormalNumberedTextTLRI"/>
        <w:numPr>
          <w:ilvl w:val="2"/>
          <w:numId w:val="31"/>
        </w:numPr>
        <w:tabs>
          <w:tab w:val="clear" w:pos="720"/>
        </w:tabs>
        <w:spacing w:line="259" w:lineRule="auto"/>
      </w:pPr>
      <w:r>
        <w:t>The Inquiry into Privacy Laws in Tasmania was initiated by the Honourable Meg Webb, Independent member of the Tasmanian Legislative Council. The Reference was accepted by the Tasmanian Law Reform Institute (‘TLRI’) Board in December 2019. The TLRI applied for a grant from the Solicitors Guarantee Fund to undertake the Inquiry. In May 2020, the TLRI received advice that its application had been partially successful, with a lesser amount granted than requested.</w:t>
      </w:r>
    </w:p>
    <w:p w14:paraId="491AEBD8" w14:textId="77777777" w:rsidR="00FF302D" w:rsidRPr="00113F13" w:rsidRDefault="10DD744B" w:rsidP="00B63604">
      <w:pPr>
        <w:pStyle w:val="NormalNumberedTextTLRI"/>
        <w:numPr>
          <w:ilvl w:val="2"/>
          <w:numId w:val="31"/>
        </w:numPr>
        <w:tabs>
          <w:tab w:val="clear" w:pos="720"/>
        </w:tabs>
        <w:spacing w:line="259" w:lineRule="auto"/>
        <w:rPr>
          <w:rFonts w:eastAsia="Calibri"/>
        </w:rPr>
      </w:pPr>
      <w:r w:rsidRPr="10DD744B">
        <w:rPr>
          <w:rFonts w:eastAsia="Calibri"/>
        </w:rPr>
        <w:t xml:space="preserve">The issue of privacy protection is topical in view of the matters raised in the Terms of Reference below, as well as other developments, such as several high-profile, national data breaches relating to organisations such as Medicare and Optus, and the Commonwealth’s comprehensive Review of the </w:t>
      </w:r>
      <w:r w:rsidRPr="10DD744B">
        <w:rPr>
          <w:rFonts w:eastAsia="Calibri"/>
          <w:i/>
          <w:iCs/>
        </w:rPr>
        <w:t>Privacy Act 1988</w:t>
      </w:r>
      <w:r w:rsidRPr="10DD744B">
        <w:rPr>
          <w:rFonts w:eastAsia="Calibri"/>
        </w:rPr>
        <w:t xml:space="preserve"> (Cth), which concluded with the publication its final report in February 2023.</w:t>
      </w:r>
    </w:p>
    <w:p w14:paraId="28D69057" w14:textId="77777777" w:rsidR="00FF302D" w:rsidRPr="00113F13" w:rsidRDefault="10DD744B" w:rsidP="00B63604">
      <w:pPr>
        <w:pStyle w:val="NormalNumberedTextTLRI"/>
        <w:numPr>
          <w:ilvl w:val="2"/>
          <w:numId w:val="31"/>
        </w:numPr>
        <w:tabs>
          <w:tab w:val="clear" w:pos="720"/>
        </w:tabs>
        <w:spacing w:line="259" w:lineRule="auto"/>
      </w:pPr>
      <w:r w:rsidRPr="10DD744B">
        <w:rPr>
          <w:rFonts w:eastAsia="Calibri"/>
        </w:rPr>
        <w:t xml:space="preserve">The Terms of Reference were referred to the TLRI in view of: </w:t>
      </w:r>
    </w:p>
    <w:p w14:paraId="4A6C2F66" w14:textId="77777777" w:rsidR="00FF302D" w:rsidRPr="00113F13" w:rsidRDefault="00FF302D" w:rsidP="00B63604">
      <w:pPr>
        <w:pStyle w:val="Dotpointlist"/>
        <w:numPr>
          <w:ilvl w:val="0"/>
          <w:numId w:val="12"/>
        </w:numPr>
        <w:rPr>
          <w:rFonts w:ascii="Times New Roman" w:hAnsi="Times New Roman" w:cs="Times New Roman"/>
        </w:rPr>
      </w:pPr>
      <w:r w:rsidRPr="00113F13">
        <w:rPr>
          <w:rFonts w:ascii="Times New Roman" w:hAnsi="Times New Roman" w:cs="Times New Roman"/>
        </w:rPr>
        <w:t>the rapid and extensive advances in information, communication, storage, surveillance and other relevant technologies;</w:t>
      </w:r>
    </w:p>
    <w:p w14:paraId="33633512" w14:textId="77777777" w:rsidR="00FF302D" w:rsidRPr="00113F13" w:rsidRDefault="00FF302D" w:rsidP="00B63604">
      <w:pPr>
        <w:pStyle w:val="Dotpointlist"/>
        <w:numPr>
          <w:ilvl w:val="0"/>
          <w:numId w:val="12"/>
        </w:numPr>
        <w:rPr>
          <w:rFonts w:ascii="Times New Roman" w:hAnsi="Times New Roman" w:cs="Times New Roman"/>
        </w:rPr>
      </w:pPr>
      <w:r w:rsidRPr="00113F13">
        <w:rPr>
          <w:rFonts w:ascii="Times New Roman" w:hAnsi="Times New Roman" w:cs="Times New Roman"/>
        </w:rPr>
        <w:t>possible changing community perceptions of privacy and the extent to which it should be protected by legislation;</w:t>
      </w:r>
    </w:p>
    <w:p w14:paraId="7FF7C548" w14:textId="77777777" w:rsidR="00FF302D" w:rsidRPr="00113F13" w:rsidRDefault="00FF302D" w:rsidP="00B63604">
      <w:pPr>
        <w:pStyle w:val="Dotpointlist"/>
        <w:numPr>
          <w:ilvl w:val="0"/>
          <w:numId w:val="12"/>
        </w:numPr>
        <w:rPr>
          <w:rFonts w:ascii="Times New Roman" w:hAnsi="Times New Roman" w:cs="Times New Roman"/>
        </w:rPr>
      </w:pPr>
      <w:r w:rsidRPr="00113F13">
        <w:rPr>
          <w:rFonts w:ascii="Times New Roman" w:hAnsi="Times New Roman" w:cs="Times New Roman"/>
        </w:rPr>
        <w:t>the expansion of state and territory legislative activity in relevant areas; and </w:t>
      </w:r>
    </w:p>
    <w:p w14:paraId="5F5861E0" w14:textId="77777777" w:rsidR="00FF302D" w:rsidRPr="00113F13" w:rsidRDefault="00FF302D" w:rsidP="00B63604">
      <w:pPr>
        <w:pStyle w:val="Dotpointlist"/>
        <w:numPr>
          <w:ilvl w:val="0"/>
          <w:numId w:val="12"/>
        </w:numPr>
        <w:rPr>
          <w:rFonts w:ascii="Times New Roman" w:hAnsi="Times New Roman" w:cs="Times New Roman"/>
        </w:rPr>
      </w:pPr>
      <w:r w:rsidRPr="00113F13">
        <w:rPr>
          <w:rFonts w:ascii="Times New Roman" w:hAnsi="Times New Roman" w:cs="Times New Roman"/>
        </w:rPr>
        <w:t>emerging areas that may require privacy protection. </w:t>
      </w:r>
    </w:p>
    <w:p w14:paraId="5CAFBEFE" w14:textId="5750A1BD" w:rsidR="00FF302D" w:rsidRPr="002F15C2" w:rsidRDefault="00FF302D" w:rsidP="00B63604">
      <w:pPr>
        <w:pStyle w:val="NormalNumberedTextTLRI"/>
        <w:numPr>
          <w:ilvl w:val="2"/>
          <w:numId w:val="31"/>
        </w:numPr>
        <w:tabs>
          <w:tab w:val="clear" w:pos="720"/>
        </w:tabs>
        <w:spacing w:line="259" w:lineRule="auto"/>
      </w:pPr>
      <w:r w:rsidRPr="002F15C2">
        <w:t>The TLRI acknowledges that defining the scope of privacy has proved an ‘elusive task’,</w:t>
      </w:r>
      <w:bookmarkStart w:id="25" w:name="_Ref91746375"/>
      <w:r w:rsidRPr="002F15C2">
        <w:rPr>
          <w:rStyle w:val="FootnoteReference"/>
          <w:rFonts w:ascii="Times New Roman" w:hAnsi="Times New Roman"/>
        </w:rPr>
        <w:footnoteReference w:id="7"/>
      </w:r>
      <w:bookmarkEnd w:id="25"/>
      <w:r w:rsidRPr="002F15C2">
        <w:t xml:space="preserve"> and it has been described through several typologies or categories. In responding to the Terms of Reference, the TLRI has adopted a definition of privacy that is consistent with definitions adopted in other jurisdictions and other recent law reform reviews (discussed at [2</w:t>
      </w:r>
      <w:r w:rsidR="10DD744B" w:rsidRPr="002F15C2">
        <w:t>.2</w:t>
      </w:r>
      <w:r w:rsidRPr="002F15C2">
        <w:t xml:space="preserve">]). </w:t>
      </w:r>
    </w:p>
    <w:p w14:paraId="5D3EF056" w14:textId="77777777" w:rsidR="00FF302D" w:rsidRPr="00113F13" w:rsidRDefault="10DD744B" w:rsidP="00BF1FE7">
      <w:pPr>
        <w:pStyle w:val="NumberedHeadingTLRI"/>
      </w:pPr>
      <w:bookmarkStart w:id="26" w:name="_Toc164606494"/>
      <w:r>
        <w:t>Terms of Reference</w:t>
      </w:r>
      <w:bookmarkEnd w:id="26"/>
    </w:p>
    <w:p w14:paraId="5296F9D1" w14:textId="77777777" w:rsidR="00FF302D" w:rsidRPr="00113F13" w:rsidRDefault="10DD744B" w:rsidP="00B63604">
      <w:pPr>
        <w:pStyle w:val="NormalNumberedTextTLRI"/>
        <w:numPr>
          <w:ilvl w:val="2"/>
          <w:numId w:val="31"/>
        </w:numPr>
        <w:tabs>
          <w:tab w:val="clear" w:pos="720"/>
        </w:tabs>
        <w:spacing w:line="259" w:lineRule="auto"/>
      </w:pPr>
      <w:r>
        <w:t>The Terms of Reference for this project were:</w:t>
      </w:r>
    </w:p>
    <w:p w14:paraId="04FABA52" w14:textId="77777777" w:rsidR="00FF302D" w:rsidRPr="00113F13" w:rsidRDefault="00FF302D" w:rsidP="00FF302D">
      <w:pPr>
        <w:pStyle w:val="Dotpointlist"/>
        <w:numPr>
          <w:ilvl w:val="0"/>
          <w:numId w:val="0"/>
        </w:numPr>
        <w:rPr>
          <w:rFonts w:ascii="Times New Roman" w:hAnsi="Times New Roman" w:cs="Times New Roman"/>
          <w:i/>
          <w:iCs/>
        </w:rPr>
      </w:pPr>
      <w:r w:rsidRPr="00113F13">
        <w:rPr>
          <w:rFonts w:ascii="Times New Roman" w:hAnsi="Times New Roman" w:cs="Times New Roman"/>
        </w:rPr>
        <w:t>for the TLRI to inquire into, review and report on: </w:t>
      </w:r>
    </w:p>
    <w:p w14:paraId="21CA84C7" w14:textId="77777777" w:rsidR="00FF302D" w:rsidRPr="00113F13" w:rsidRDefault="00FF302D" w:rsidP="00E7516E">
      <w:pPr>
        <w:pStyle w:val="DotPointTLRI"/>
        <w:numPr>
          <w:ilvl w:val="0"/>
          <w:numId w:val="52"/>
        </w:numPr>
      </w:pPr>
      <w:r w:rsidRPr="00113F13">
        <w:lastRenderedPageBreak/>
        <w:t>the current protections of privacy and of the right to privacy in Tasmania and any need to enhance or extend protections for privacy in Tasmania; </w:t>
      </w:r>
    </w:p>
    <w:p w14:paraId="7154877A" w14:textId="77777777" w:rsidR="00FF302D" w:rsidRPr="00113F13" w:rsidRDefault="00FF302D" w:rsidP="00E7516E">
      <w:pPr>
        <w:pStyle w:val="DotPointTLRI"/>
        <w:numPr>
          <w:ilvl w:val="0"/>
          <w:numId w:val="52"/>
        </w:numPr>
      </w:pPr>
      <w:r w:rsidRPr="00113F13">
        <w:t xml:space="preserve">the extent to which the </w:t>
      </w:r>
      <w:r w:rsidRPr="00113F13">
        <w:rPr>
          <w:i/>
          <w:iCs/>
        </w:rPr>
        <w:t>Personal Information Protection Act 2004</w:t>
      </w:r>
      <w:r w:rsidRPr="00113F13">
        <w:t xml:space="preserve"> (Tas) and related laws continue to provide an effective framework for the protection of privacy in Tasmania and the need for any reform to that Act; and  </w:t>
      </w:r>
    </w:p>
    <w:p w14:paraId="52DE5492" w14:textId="77777777" w:rsidR="00FF302D" w:rsidRPr="00113F13" w:rsidRDefault="00FF302D" w:rsidP="00E7516E">
      <w:pPr>
        <w:pStyle w:val="DotPointTLRI"/>
        <w:numPr>
          <w:ilvl w:val="0"/>
          <w:numId w:val="52"/>
        </w:numPr>
      </w:pPr>
      <w:r w:rsidRPr="00113F13">
        <w:t>models that enhance and protect privacy in other jurisdictions (in Australia and overseas).</w:t>
      </w:r>
    </w:p>
    <w:p w14:paraId="365F4B9E" w14:textId="77777777" w:rsidR="00FF302D" w:rsidRPr="00113F13" w:rsidRDefault="00FF302D" w:rsidP="00FF302D">
      <w:pPr>
        <w:pStyle w:val="Dotpointlist"/>
        <w:numPr>
          <w:ilvl w:val="0"/>
          <w:numId w:val="0"/>
        </w:numPr>
        <w:rPr>
          <w:rFonts w:ascii="Times New Roman" w:hAnsi="Times New Roman" w:cs="Times New Roman"/>
        </w:rPr>
      </w:pPr>
      <w:r w:rsidRPr="00113F13">
        <w:rPr>
          <w:rFonts w:ascii="Times New Roman" w:hAnsi="Times New Roman" w:cs="Times New Roman"/>
        </w:rPr>
        <w:t>in undertaking this reference, for the TLRI to consider and have regard to: </w:t>
      </w:r>
    </w:p>
    <w:p w14:paraId="00E4B96E" w14:textId="77777777" w:rsidR="00FF302D" w:rsidRPr="00113F13" w:rsidRDefault="00FF302D" w:rsidP="00E7516E">
      <w:pPr>
        <w:pStyle w:val="DotPointTLRI"/>
        <w:numPr>
          <w:ilvl w:val="0"/>
          <w:numId w:val="53"/>
        </w:numPr>
      </w:pPr>
      <w:r w:rsidRPr="00113F13">
        <w:t xml:space="preserve">the United Nations </w:t>
      </w:r>
      <w:r w:rsidRPr="00113F13">
        <w:rPr>
          <w:i/>
          <w:iCs/>
        </w:rPr>
        <w:t xml:space="preserve">International Convention on Civil and Political Rights </w:t>
      </w:r>
      <w:r w:rsidRPr="00113F13">
        <w:t>and other relevant international instruments that protect the right to privacy;</w:t>
      </w:r>
    </w:p>
    <w:p w14:paraId="61AA59F2" w14:textId="77777777" w:rsidR="00FF302D" w:rsidRPr="00113F13" w:rsidRDefault="00FF302D" w:rsidP="00E7516E">
      <w:pPr>
        <w:pStyle w:val="DotPointTLRI"/>
        <w:numPr>
          <w:ilvl w:val="0"/>
          <w:numId w:val="53"/>
        </w:numPr>
      </w:pPr>
      <w:r w:rsidRPr="00113F13">
        <w:t>relevant existing and proposed Commonwealth, state and territory laws and practices;</w:t>
      </w:r>
    </w:p>
    <w:p w14:paraId="5F498077" w14:textId="77777777" w:rsidR="00FF302D" w:rsidRPr="00113F13" w:rsidRDefault="00FF302D" w:rsidP="00E7516E">
      <w:pPr>
        <w:pStyle w:val="DotPointTLRI"/>
        <w:numPr>
          <w:ilvl w:val="0"/>
          <w:numId w:val="53"/>
        </w:numPr>
      </w:pPr>
      <w:r w:rsidRPr="00113F13">
        <w:t>any recent reviews of the privacy laws in other jurisdictions; </w:t>
      </w:r>
    </w:p>
    <w:p w14:paraId="21D23B96" w14:textId="77777777" w:rsidR="00FF302D" w:rsidRPr="00113F13" w:rsidRDefault="00FF302D" w:rsidP="00E7516E">
      <w:pPr>
        <w:pStyle w:val="DotPointTLRI"/>
        <w:numPr>
          <w:ilvl w:val="0"/>
          <w:numId w:val="53"/>
        </w:numPr>
      </w:pPr>
      <w:r w:rsidRPr="00113F13">
        <w:t>current and emerging international law and obligations in this area;</w:t>
      </w:r>
    </w:p>
    <w:p w14:paraId="1944A19E" w14:textId="77777777" w:rsidR="00FF302D" w:rsidRPr="00113F13" w:rsidRDefault="00FF302D" w:rsidP="00E7516E">
      <w:pPr>
        <w:pStyle w:val="DotPointTLRI"/>
        <w:numPr>
          <w:ilvl w:val="0"/>
          <w:numId w:val="53"/>
        </w:numPr>
      </w:pPr>
      <w:r w:rsidRPr="00113F13">
        <w:t>privacy regimes, developments and trends in other jurisdictions;</w:t>
      </w:r>
    </w:p>
    <w:p w14:paraId="78F8DFBF" w14:textId="77777777" w:rsidR="00FF302D" w:rsidRPr="00113F13" w:rsidRDefault="00FF302D" w:rsidP="00E7516E">
      <w:pPr>
        <w:pStyle w:val="DotPointTLRI"/>
        <w:numPr>
          <w:ilvl w:val="0"/>
          <w:numId w:val="53"/>
        </w:numPr>
      </w:pPr>
      <w:r w:rsidRPr="00113F13">
        <w:t>the need of individuals for privacy protection in an evolving technological environment; and </w:t>
      </w:r>
    </w:p>
    <w:p w14:paraId="7EAC88CF" w14:textId="77777777" w:rsidR="00FF302D" w:rsidRPr="00113F13" w:rsidRDefault="00FF302D" w:rsidP="00E7516E">
      <w:pPr>
        <w:pStyle w:val="DotPointTLRI"/>
        <w:numPr>
          <w:ilvl w:val="0"/>
          <w:numId w:val="53"/>
        </w:numPr>
        <w:rPr>
          <w:rFonts w:eastAsia="Calibri"/>
        </w:rPr>
      </w:pPr>
      <w:r w:rsidRPr="00113F13">
        <w:t>any other related matter.</w:t>
      </w:r>
    </w:p>
    <w:p w14:paraId="3C097917" w14:textId="77777777" w:rsidR="00FF302D" w:rsidRPr="00113F13" w:rsidRDefault="00FF302D" w:rsidP="00FF302D">
      <w:pPr>
        <w:pStyle w:val="Dotpointlist"/>
        <w:numPr>
          <w:ilvl w:val="0"/>
          <w:numId w:val="0"/>
        </w:numPr>
        <w:rPr>
          <w:rFonts w:ascii="Times New Roman" w:hAnsi="Times New Roman" w:cs="Times New Roman"/>
          <w:i/>
          <w:iCs/>
        </w:rPr>
      </w:pPr>
      <w:r w:rsidRPr="00113F13">
        <w:rPr>
          <w:rFonts w:ascii="Times New Roman" w:hAnsi="Times New Roman" w:cs="Times New Roman"/>
        </w:rPr>
        <w:t>for the TLRI to identify and consult with relevant stakeholders and ensure widespread public consultation on how privacy and obligations relating to protecting privacy can best be promoted and protected in Tasmania and provide recommendations as to an appropriate model for Tasmania to protect and enhance privacy rights and protections.</w:t>
      </w:r>
    </w:p>
    <w:p w14:paraId="527745FD" w14:textId="77777777" w:rsidR="00FF302D" w:rsidRPr="00113F13" w:rsidRDefault="10DD744B" w:rsidP="00BF1FE7">
      <w:pPr>
        <w:pStyle w:val="NumberedHeadingTLRI"/>
      </w:pPr>
      <w:bookmarkStart w:id="27" w:name="_Toc164606495"/>
      <w:bookmarkStart w:id="28" w:name="_Toc130540414"/>
      <w:r>
        <w:t>Conduct of Inquiry</w:t>
      </w:r>
      <w:bookmarkEnd w:id="27"/>
    </w:p>
    <w:p w14:paraId="44C4E48F" w14:textId="77777777" w:rsidR="00FF302D" w:rsidRPr="00113F13" w:rsidRDefault="10DD744B" w:rsidP="00B63604">
      <w:pPr>
        <w:pStyle w:val="NormalNumberedTextTLRI"/>
        <w:numPr>
          <w:ilvl w:val="2"/>
          <w:numId w:val="31"/>
        </w:numPr>
        <w:tabs>
          <w:tab w:val="clear" w:pos="720"/>
        </w:tabs>
        <w:spacing w:line="259" w:lineRule="auto"/>
      </w:pPr>
      <w:r>
        <w:t xml:space="preserve">Following the acceptance of the reference by the TLRI Board, Institute and external researchers worked throughout 2021 and 2022 to prepare an Issues Paper for community consultation. The Issues Paper was reviewed by the TLRI Board and approved in early 2023 for public release. </w:t>
      </w:r>
    </w:p>
    <w:p w14:paraId="50812022" w14:textId="3D411A7E" w:rsidR="00FF302D" w:rsidRPr="00113F13" w:rsidRDefault="10DD744B" w:rsidP="00B63604">
      <w:pPr>
        <w:pStyle w:val="NormalNumberedTextTLRI"/>
        <w:numPr>
          <w:ilvl w:val="2"/>
          <w:numId w:val="31"/>
        </w:numPr>
        <w:tabs>
          <w:tab w:val="clear" w:pos="720"/>
        </w:tabs>
        <w:spacing w:line="259" w:lineRule="auto"/>
      </w:pPr>
      <w:bookmarkStart w:id="29" w:name="_Ref157610341"/>
      <w:r>
        <w:t>Finalisation of the Issues Paper in January 2023 preceded the public release of a report, on 16</w:t>
      </w:r>
      <w:r w:rsidR="00AD0E39">
        <w:t> </w:t>
      </w:r>
      <w:r>
        <w:t xml:space="preserve">February 2023, by the Commonwealth Attorney-General’s Department on its review of the </w:t>
      </w:r>
      <w:r w:rsidRPr="10DD744B">
        <w:rPr>
          <w:i/>
          <w:iCs/>
        </w:rPr>
        <w:t>Privacy Act 1988</w:t>
      </w:r>
      <w:r>
        <w:t xml:space="preserve"> (Cth) (‘Privacy Act Review’). Accordingly, the Issues Paper did not consider the findings of the report as to options for reforming the </w:t>
      </w:r>
      <w:r w:rsidRPr="10DD744B">
        <w:rPr>
          <w:i/>
          <w:iCs/>
        </w:rPr>
        <w:t>Privacy Act</w:t>
      </w:r>
      <w:r>
        <w:t xml:space="preserve"> </w:t>
      </w:r>
      <w:r w:rsidRPr="10DD744B">
        <w:rPr>
          <w:i/>
          <w:iCs/>
        </w:rPr>
        <w:t xml:space="preserve">1988 </w:t>
      </w:r>
      <w:r>
        <w:t>(Cth) (‘Privacy Act’) or its implications, if any, for reforming Tasmanian legislation. The proposals in the Privacy Act Review</w:t>
      </w:r>
      <w:r w:rsidDel="00C664C5">
        <w:t xml:space="preserve"> </w:t>
      </w:r>
      <w:r>
        <w:t>Report, and the Federal Government’s response to it (published in September 2023), were considered in the preparation of this Final Report and the formulation of recommendations. In addition, on 26 September 2023, the final report of the Commission of Inquiry examining the Tasmanian Government Responses to Child Sexual Abuse in Institutional Settings was tabled in Parliament and publicly released.</w:t>
      </w:r>
      <w:r w:rsidR="00C3096B">
        <w:t xml:space="preserve"> </w:t>
      </w:r>
      <w:r>
        <w:t xml:space="preserve">That report also contained recommendations relevant to the matters raised in this reference. Those recommendations are discussed at relevant points in this </w:t>
      </w:r>
      <w:r w:rsidR="00916A47">
        <w:t>R</w:t>
      </w:r>
      <w:r>
        <w:t>eport.</w:t>
      </w:r>
      <w:bookmarkEnd w:id="29"/>
      <w:r>
        <w:t xml:space="preserve"> </w:t>
      </w:r>
    </w:p>
    <w:p w14:paraId="04BA9E8F" w14:textId="77777777" w:rsidR="00FF302D" w:rsidRPr="00113F13" w:rsidRDefault="10DD744B" w:rsidP="00B63604">
      <w:pPr>
        <w:pStyle w:val="NormalNumberedTextTLRI"/>
        <w:numPr>
          <w:ilvl w:val="2"/>
          <w:numId w:val="31"/>
        </w:numPr>
        <w:tabs>
          <w:tab w:val="clear" w:pos="720"/>
        </w:tabs>
        <w:spacing w:line="259" w:lineRule="auto"/>
      </w:pPr>
      <w:r>
        <w:t>The TLRI Issues Paper:</w:t>
      </w:r>
    </w:p>
    <w:p w14:paraId="06617E23" w14:textId="77777777" w:rsidR="00FF302D" w:rsidRPr="00113F13" w:rsidRDefault="00FF302D" w:rsidP="00E7516E">
      <w:pPr>
        <w:pStyle w:val="DotPointTLRI"/>
      </w:pPr>
      <w:r w:rsidRPr="00113F13">
        <w:t>explained the concept of privacy protection and gave an overview of existing legal frameworks for privacy protection in Tasmania, Australia, and internationally;</w:t>
      </w:r>
    </w:p>
    <w:p w14:paraId="6530C24E" w14:textId="77777777" w:rsidR="00FF302D" w:rsidRPr="00113F13" w:rsidRDefault="00FF302D" w:rsidP="00E7516E">
      <w:pPr>
        <w:pStyle w:val="DotPointTLRI"/>
      </w:pPr>
      <w:r w:rsidRPr="00113F13">
        <w:t>discussed the scope, operation, and enforcement of privacy protection under these privacy frameworks, focusing on information held by government agencies;</w:t>
      </w:r>
    </w:p>
    <w:p w14:paraId="1A9B1004" w14:textId="77777777" w:rsidR="00FF302D" w:rsidRPr="00113F13" w:rsidRDefault="00FF302D" w:rsidP="00E7516E">
      <w:pPr>
        <w:pStyle w:val="DotPointTLRI"/>
      </w:pPr>
      <w:r w:rsidRPr="00113F13">
        <w:lastRenderedPageBreak/>
        <w:t xml:space="preserve">compared the protections in Tasmania under the </w:t>
      </w:r>
      <w:r w:rsidRPr="00113F13">
        <w:rPr>
          <w:i/>
          <w:iCs/>
        </w:rPr>
        <w:t xml:space="preserve">Personal Information Protection Act 2004 </w:t>
      </w:r>
      <w:r w:rsidRPr="00113F13">
        <w:t>(Tas) (‘PIPA’) with those in other Australian jurisdictions, particularly under the Privacy Act;</w:t>
      </w:r>
    </w:p>
    <w:p w14:paraId="49C22F96" w14:textId="77777777" w:rsidR="00FF302D" w:rsidRPr="00113F13" w:rsidRDefault="00FF302D" w:rsidP="00E7516E">
      <w:pPr>
        <w:pStyle w:val="DotPointTLRI"/>
      </w:pPr>
      <w:r w:rsidRPr="00113F13">
        <w:t xml:space="preserve">considered possible future reforms of these frameworks and examines international developments, including the European Union’s </w:t>
      </w:r>
      <w:r w:rsidRPr="00113F13">
        <w:rPr>
          <w:i/>
          <w:iCs/>
        </w:rPr>
        <w:t>General Data Protection Regulation</w:t>
      </w:r>
      <w:r w:rsidRPr="00113F13">
        <w:t xml:space="preserve"> </w:t>
      </w:r>
      <w:r w:rsidRPr="00113F13">
        <w:rPr>
          <w:i/>
          <w:iCs/>
        </w:rPr>
        <w:t>2016/679</w:t>
      </w:r>
      <w:r w:rsidRPr="00113F13">
        <w:t xml:space="preserve"> (‘GDPR’);</w:t>
      </w:r>
    </w:p>
    <w:p w14:paraId="39A867EE" w14:textId="77777777" w:rsidR="00FF302D" w:rsidRPr="00113F13" w:rsidRDefault="00FF302D" w:rsidP="00E7516E">
      <w:pPr>
        <w:pStyle w:val="DotPointTLRI"/>
      </w:pPr>
      <w:r w:rsidRPr="00113F13">
        <w:t>explored different provisions in legislation other than the PIPA that affect how government-held information can be used and shared. It analysed how these provisions affect information privacy and draws comparisons with similar laws in other jurisdictions;</w:t>
      </w:r>
    </w:p>
    <w:p w14:paraId="0CA7F885" w14:textId="77777777" w:rsidR="00FF302D" w:rsidRPr="00113F13" w:rsidRDefault="00FF302D" w:rsidP="00E7516E">
      <w:pPr>
        <w:pStyle w:val="DotPointTLRI"/>
      </w:pPr>
      <w:r w:rsidRPr="00113F13">
        <w:t>considered various types of privacy protections for information other than government-held information, under legislation and case law, such as legislation regulating information in the context of health services, legislation regulating surveillance (by government or otherwise), criminal laws which create offences relating to stalking and harassment and to the sharing of intimate images, and non-legislative protections in the general law; and</w:t>
      </w:r>
    </w:p>
    <w:p w14:paraId="22F5BEBD" w14:textId="77777777" w:rsidR="00FF302D" w:rsidRPr="00113F13" w:rsidRDefault="00FF302D" w:rsidP="00E7516E">
      <w:pPr>
        <w:pStyle w:val="DotPointTLRI"/>
      </w:pPr>
      <w:r w:rsidRPr="00113F13">
        <w:t>considered the introduction of a comprehensive civil remedy for interference with privacy and the appropriate model for such a reform.</w:t>
      </w:r>
    </w:p>
    <w:bookmarkEnd w:id="28"/>
    <w:p w14:paraId="48A329E2" w14:textId="77777777" w:rsidR="00FF302D" w:rsidRPr="00113F13" w:rsidRDefault="10DD744B" w:rsidP="00B63604">
      <w:pPr>
        <w:pStyle w:val="NormalNumberedTextTLRI"/>
        <w:numPr>
          <w:ilvl w:val="2"/>
          <w:numId w:val="31"/>
        </w:numPr>
        <w:tabs>
          <w:tab w:val="clear" w:pos="720"/>
        </w:tabs>
        <w:spacing w:line="259" w:lineRule="auto"/>
      </w:pPr>
      <w:r>
        <w:t xml:space="preserve">In discussing the strengths and weaknesses of the PIPA and privacy laws more generally, the Issues Paper sought input from the community on several issues, including whether: </w:t>
      </w:r>
    </w:p>
    <w:p w14:paraId="368A990C" w14:textId="77777777" w:rsidR="00FF302D" w:rsidRPr="00113F13" w:rsidRDefault="00FF302D" w:rsidP="00E7516E">
      <w:pPr>
        <w:pStyle w:val="DotPointTLRI"/>
      </w:pPr>
      <w:r w:rsidRPr="00113F13">
        <w:t>certain entities should be covered by the PIPA</w:t>
      </w:r>
    </w:p>
    <w:p w14:paraId="7E1E21F2" w14:textId="77777777" w:rsidR="00FF302D" w:rsidRPr="00113F13" w:rsidRDefault="00FF302D" w:rsidP="00E7516E">
      <w:pPr>
        <w:pStyle w:val="DotPointTLRI"/>
      </w:pPr>
      <w:r w:rsidRPr="00113F13">
        <w:t>a greater range of remedies should be available for those affected by a breach of the PIPA</w:t>
      </w:r>
    </w:p>
    <w:p w14:paraId="650930C8" w14:textId="77777777" w:rsidR="00FF302D" w:rsidRPr="00113F13" w:rsidRDefault="00FF302D" w:rsidP="00E7516E">
      <w:pPr>
        <w:pStyle w:val="DotPointTLRI"/>
      </w:pPr>
      <w:r w:rsidRPr="00113F13">
        <w:t>a data breach notification requirement should be introduced</w:t>
      </w:r>
    </w:p>
    <w:p w14:paraId="2CA149D7" w14:textId="77777777" w:rsidR="00FF302D" w:rsidRPr="00113F13" w:rsidRDefault="00FF302D" w:rsidP="00E7516E">
      <w:pPr>
        <w:pStyle w:val="DotPointTLRI"/>
      </w:pPr>
      <w:r w:rsidRPr="00113F13">
        <w:t>new rights to object and to erasure should be introduced</w:t>
      </w:r>
    </w:p>
    <w:p w14:paraId="429A8723" w14:textId="77777777" w:rsidR="00FF302D" w:rsidRPr="00113F13" w:rsidRDefault="00FF302D" w:rsidP="00E7516E">
      <w:pPr>
        <w:pStyle w:val="DotPointTLRI"/>
      </w:pPr>
      <w:r w:rsidRPr="00113F13">
        <w:t xml:space="preserve">there should be privacy regulation on specific technology such as drones </w:t>
      </w:r>
    </w:p>
    <w:p w14:paraId="3D3F0EE0" w14:textId="77777777" w:rsidR="00FF302D" w:rsidRPr="00113F13" w:rsidRDefault="00FF302D" w:rsidP="00E7516E">
      <w:pPr>
        <w:pStyle w:val="DotPointTLRI"/>
      </w:pPr>
      <w:r w:rsidRPr="00113F13">
        <w:t xml:space="preserve">existing judicial recognition of privacy affords adequate protection, and </w:t>
      </w:r>
    </w:p>
    <w:p w14:paraId="372A73F4" w14:textId="77777777" w:rsidR="00FF302D" w:rsidRPr="00113F13" w:rsidRDefault="00FF302D" w:rsidP="00E7516E">
      <w:pPr>
        <w:pStyle w:val="DotPointTLRI"/>
      </w:pPr>
      <w:r w:rsidRPr="00113F13">
        <w:t>there should be a civil cause of action for privacy and, if so, what its scope should be.</w:t>
      </w:r>
    </w:p>
    <w:p w14:paraId="72AF238A" w14:textId="77777777" w:rsidR="00FF302D" w:rsidRPr="00113F13" w:rsidRDefault="10DD744B" w:rsidP="00B63604">
      <w:pPr>
        <w:pStyle w:val="NormalNumberedTextTLRI"/>
        <w:numPr>
          <w:ilvl w:val="2"/>
          <w:numId w:val="31"/>
        </w:numPr>
        <w:tabs>
          <w:tab w:val="clear" w:pos="720"/>
        </w:tabs>
        <w:spacing w:line="259" w:lineRule="auto"/>
      </w:pPr>
      <w:r>
        <w:t>A copy of the Issues Paper can be found on the Institute’s website.</w:t>
      </w:r>
    </w:p>
    <w:p w14:paraId="43F36569" w14:textId="77777777" w:rsidR="00FF302D" w:rsidRPr="00113F13" w:rsidRDefault="10DD744B" w:rsidP="00B63604">
      <w:pPr>
        <w:pStyle w:val="NormalNumberedTextTLRI"/>
        <w:numPr>
          <w:ilvl w:val="2"/>
          <w:numId w:val="31"/>
        </w:numPr>
        <w:tabs>
          <w:tab w:val="clear" w:pos="720"/>
        </w:tabs>
        <w:spacing w:line="259" w:lineRule="auto"/>
      </w:pPr>
      <w:r>
        <w:t>The TLRI invited responses to the Issues Paper, either in writing (by completing the submission template provided on the TLRI website or through a more detailed written response), requesting a meeting, or attending one of several consultation roundtables arranged by the TLRI in July 2023.</w:t>
      </w:r>
    </w:p>
    <w:p w14:paraId="6B8645C8" w14:textId="77777777" w:rsidR="00FF302D" w:rsidRPr="00113F13" w:rsidRDefault="10DD744B" w:rsidP="00B63604">
      <w:pPr>
        <w:pStyle w:val="NormalNumberedTextTLRI"/>
        <w:numPr>
          <w:ilvl w:val="2"/>
          <w:numId w:val="31"/>
        </w:numPr>
        <w:tabs>
          <w:tab w:val="clear" w:pos="720"/>
        </w:tabs>
        <w:spacing w:line="259" w:lineRule="auto"/>
      </w:pPr>
      <w:r>
        <w:t>The community consultation period took place between 2 May and 11 July 2023.</w:t>
      </w:r>
    </w:p>
    <w:p w14:paraId="1930054A" w14:textId="77777777" w:rsidR="00FF302D" w:rsidRPr="00113F13" w:rsidRDefault="10DD744B" w:rsidP="00B63604">
      <w:pPr>
        <w:pStyle w:val="NormalNumberedTextTLRI"/>
        <w:numPr>
          <w:ilvl w:val="2"/>
          <w:numId w:val="31"/>
        </w:numPr>
        <w:tabs>
          <w:tab w:val="clear" w:pos="720"/>
        </w:tabs>
        <w:spacing w:line="259" w:lineRule="auto"/>
      </w:pPr>
      <w:r>
        <w:t>After the community consultation closed, Institute researchers reviewed and analysed all submissions and began preparing this Final Report. The TLRI Board provided final approval of this report and its recommendations in April 2024</w:t>
      </w:r>
    </w:p>
    <w:p w14:paraId="6247B6A1" w14:textId="77777777" w:rsidR="00FF302D" w:rsidRPr="00113F13" w:rsidRDefault="10DD744B" w:rsidP="00BF1FE7">
      <w:pPr>
        <w:pStyle w:val="NumberedHeadingTLRI"/>
      </w:pPr>
      <w:bookmarkStart w:id="30" w:name="_Toc164606496"/>
      <w:r>
        <w:t>Submissions to the Inquiry</w:t>
      </w:r>
      <w:bookmarkEnd w:id="30"/>
    </w:p>
    <w:p w14:paraId="74363B04" w14:textId="43C4E39F" w:rsidR="00FF302D" w:rsidRPr="00113F13" w:rsidRDefault="10DD744B" w:rsidP="00B63604">
      <w:pPr>
        <w:pStyle w:val="NormalNumberedTextTLRI"/>
        <w:numPr>
          <w:ilvl w:val="2"/>
          <w:numId w:val="31"/>
        </w:numPr>
        <w:tabs>
          <w:tab w:val="clear" w:pos="720"/>
        </w:tabs>
        <w:spacing w:line="259" w:lineRule="auto"/>
      </w:pPr>
      <w:r>
        <w:t>The Institute received 21 submissions (most in writing and a small number provided verbally during meetings with Institute researchers). Of these</w:t>
      </w:r>
      <w:r w:rsidR="003824BD">
        <w:t>,</w:t>
      </w:r>
    </w:p>
    <w:p w14:paraId="5F83044F" w14:textId="77777777" w:rsidR="00FF302D" w:rsidRPr="00113F13" w:rsidRDefault="00FF302D" w:rsidP="00E7516E">
      <w:pPr>
        <w:pStyle w:val="DotPointTLRI"/>
      </w:pPr>
      <w:r w:rsidRPr="00113F13">
        <w:t>18 were public;</w:t>
      </w:r>
    </w:p>
    <w:p w14:paraId="40492E47" w14:textId="77777777" w:rsidR="00FF302D" w:rsidRPr="00113F13" w:rsidRDefault="00FF302D" w:rsidP="00E7516E">
      <w:pPr>
        <w:pStyle w:val="DotPointTLRI"/>
      </w:pPr>
      <w:r w:rsidRPr="00113F13">
        <w:lastRenderedPageBreak/>
        <w:t>2 were anonymous; and</w:t>
      </w:r>
    </w:p>
    <w:p w14:paraId="528142FE" w14:textId="77777777" w:rsidR="00FF302D" w:rsidRPr="00113F13" w:rsidRDefault="00FF302D" w:rsidP="00E7516E">
      <w:pPr>
        <w:pStyle w:val="DotPointTLRI"/>
      </w:pPr>
      <w:r w:rsidRPr="00113F13">
        <w:t>1 was confidentially made.</w:t>
      </w:r>
    </w:p>
    <w:p w14:paraId="43F3E503" w14:textId="77777777" w:rsidR="00FF302D" w:rsidRPr="00113F13" w:rsidRDefault="00FF302D" w:rsidP="00B63604">
      <w:pPr>
        <w:pStyle w:val="NormalNumberedTextTLRI"/>
        <w:numPr>
          <w:ilvl w:val="2"/>
          <w:numId w:val="31"/>
        </w:numPr>
        <w:tabs>
          <w:tab w:val="clear" w:pos="720"/>
        </w:tabs>
        <w:spacing w:line="259" w:lineRule="auto"/>
        <w:rPr>
          <w:w w:val="105"/>
        </w:rPr>
      </w:pPr>
      <w:r w:rsidRPr="00113F13">
        <w:rPr>
          <w:w w:val="105"/>
        </w:rPr>
        <w:t>Public submissions are listed on the TLRI website. All submissions were reviewed by at least two TLRI researchers. The Institute thanks all respondents who took the time to consider the Issues Paper and respond to its questions.</w:t>
      </w:r>
    </w:p>
    <w:p w14:paraId="7EA57CA7" w14:textId="3B661E91" w:rsidR="00FF302D" w:rsidRPr="00113F13" w:rsidRDefault="10DD744B" w:rsidP="00B63604">
      <w:pPr>
        <w:pStyle w:val="NormalNumberedTextTLRI"/>
        <w:numPr>
          <w:ilvl w:val="2"/>
          <w:numId w:val="31"/>
        </w:numPr>
        <w:tabs>
          <w:tab w:val="clear" w:pos="720"/>
        </w:tabs>
        <w:spacing w:line="259" w:lineRule="auto"/>
      </w:pPr>
      <w:r>
        <w:t>Consistent with the options outlined in the Issues Paper, in this Final Report, public submissions may be directly quoted or referred to and the source named. Anonymous submissions may be directly quoted or referred to but without identifying the source. Confidential submissions are not directly referred to or quoted from but are for general background and/or aggregated statistical data.</w:t>
      </w:r>
      <w:bookmarkEnd w:id="1"/>
      <w:r>
        <w:t xml:space="preserve"> Public and anonymous submissions are referenced in this </w:t>
      </w:r>
      <w:r w:rsidR="00916A47">
        <w:t>R</w:t>
      </w:r>
      <w:r>
        <w:t>eport by submission number, ordinarily in a footnote reference.</w:t>
      </w:r>
    </w:p>
    <w:p w14:paraId="2DAC0755" w14:textId="77777777" w:rsidR="00FF302D" w:rsidRPr="00113F13" w:rsidRDefault="10DD744B" w:rsidP="00BF1FE7">
      <w:pPr>
        <w:pStyle w:val="NumberedHeadingTLRI"/>
      </w:pPr>
      <w:bookmarkStart w:id="31" w:name="_Toc164606497"/>
      <w:r>
        <w:t>Approach of the TLRI in the Final Report</w:t>
      </w:r>
      <w:bookmarkEnd w:id="31"/>
    </w:p>
    <w:p w14:paraId="3BA21AAD" w14:textId="06E89382" w:rsidR="00FF302D" w:rsidRPr="00113F13" w:rsidRDefault="00FF302D" w:rsidP="00B63604">
      <w:pPr>
        <w:pStyle w:val="NormalNumberedTextTLRI"/>
        <w:numPr>
          <w:ilvl w:val="2"/>
          <w:numId w:val="31"/>
        </w:numPr>
        <w:tabs>
          <w:tab w:val="clear" w:pos="720"/>
        </w:tabs>
        <w:spacing w:line="259" w:lineRule="auto"/>
        <w:rPr>
          <w:color w:val="000000" w:themeColor="text1"/>
        </w:rPr>
      </w:pPr>
      <w:r w:rsidRPr="00113F13">
        <w:t xml:space="preserve">As noted above at </w:t>
      </w:r>
      <w:r w:rsidRPr="003824BD">
        <w:t>[</w:t>
      </w:r>
      <w:r w:rsidRPr="003824BD">
        <w:fldChar w:fldCharType="begin"/>
      </w:r>
      <w:r w:rsidRPr="003824BD">
        <w:instrText xml:space="preserve"> REF _Ref157610341 \r \h  \* MERGEFORMAT </w:instrText>
      </w:r>
      <w:r w:rsidRPr="003824BD">
        <w:fldChar w:fldCharType="separate"/>
      </w:r>
      <w:r w:rsidR="00462C30">
        <w:rPr>
          <w:cs/>
        </w:rPr>
        <w:t>‎</w:t>
      </w:r>
      <w:r w:rsidR="00462C30">
        <w:t>1.3.2</w:t>
      </w:r>
      <w:r w:rsidRPr="003824BD">
        <w:fldChar w:fldCharType="end"/>
      </w:r>
      <w:r w:rsidRPr="003824BD">
        <w:t>],</w:t>
      </w:r>
      <w:r w:rsidRPr="00113F13">
        <w:t xml:space="preserve"> since the preparation of the Issues Paper, a significant review of privacy laws in Australia has been released. This has required flexibility in the approach taken by the TLRI in this Final Report. </w:t>
      </w:r>
      <w:r w:rsidRPr="00113F13">
        <w:rPr>
          <w:rFonts w:eastAsia="Times New Roman"/>
          <w:color w:val="000000" w:themeColor="text1"/>
        </w:rPr>
        <w:t>In the Issues paper, in accordance with the Terms of Reference, the TLRI examined the current scope of privacy protections in Tasmania and considered the need for any reforms that would enhance or extend those protections. The focus of the research set out in the Issues Paper and the questions asked was to obtain a high-level or broad understanding of areas of concern about gaps and shortcomings in existing privacy protections in Tasmania with a view to making recommendations for reform.</w:t>
      </w:r>
      <w:r w:rsidRPr="00113F13">
        <w:rPr>
          <w:color w:val="000000" w:themeColor="text1"/>
        </w:rPr>
        <w:t xml:space="preserve"> The Commonwealth Privacy Act Review examined broader issues such as the need for a tort of invasion of privacy, but also provided an in-depth examination of the specific aspects of the Privacy Act and the Australian Privacy Principles (APPs) that have considerable relevance to reform to the Tasmanian PIPA and Personal Information Protection Principles (‘PIPPs’).</w:t>
      </w:r>
      <w:r w:rsidRPr="00113F13">
        <w:rPr>
          <w:rStyle w:val="FootnoteReference"/>
          <w:rFonts w:ascii="Times New Roman" w:hAnsi="Times New Roman"/>
          <w:color w:val="000000" w:themeColor="text1"/>
        </w:rPr>
        <w:t xml:space="preserve"> </w:t>
      </w:r>
      <w:r w:rsidRPr="00113F13">
        <w:rPr>
          <w:color w:val="000000" w:themeColor="text1"/>
        </w:rPr>
        <w:t>That analysis is incorporated into this Final Report and, in instances where the matter was addressed in the Issue Paper and the subject of consultation, the TLRI makes recommendations for reform. For issues where the level of detail and proposals for reform set out in Privacy Act Review were not the subject of consultation in Tasmania, and the TLRI’s view is that it is not appropriate to make a recommendation for a specific reform, the issue has instead been flagged as an area for further consideration and consultation.</w:t>
      </w:r>
    </w:p>
    <w:p w14:paraId="54E62DAC" w14:textId="6534C7F8" w:rsidR="00FF302D" w:rsidRPr="00113F13" w:rsidRDefault="10DD744B" w:rsidP="7ED82E9D">
      <w:pPr>
        <w:pStyle w:val="NormalNumberedTextTLRI"/>
        <w:numPr>
          <w:ilvl w:val="2"/>
          <w:numId w:val="31"/>
        </w:numPr>
        <w:tabs>
          <w:tab w:val="clear" w:pos="720"/>
        </w:tabs>
        <w:spacing w:line="259" w:lineRule="auto"/>
      </w:pPr>
      <w:r>
        <w:t xml:space="preserve">Further, in light of widespread consensus on the need for consistency in privacy regulation across Australian jurisdictions </w:t>
      </w:r>
      <w:r w:rsidRPr="00AD0E39">
        <w:t>(discussed at [</w:t>
      </w:r>
      <w:r>
        <w:t>2.6]</w:t>
      </w:r>
      <w:r w:rsidR="00AD0E39">
        <w:t>–</w:t>
      </w:r>
      <w:r>
        <w:t>[2.8]), and the significant review of the Commonwealth Privacy Act and reform proposals arising from it, the approach under the Privacy Act and proposals set out in the Commonwealth Privacy Act Review are the focus of the TLRI’s discussion of the approach in other jurisdictions throughout this Final Report. The TLRI also outlines the position in other Australian jurisdictions, where appropriate.</w:t>
      </w:r>
    </w:p>
    <w:p w14:paraId="1D72FC9F" w14:textId="77777777" w:rsidR="00FF302D" w:rsidRPr="00113F13" w:rsidRDefault="10DD744B" w:rsidP="00B63604">
      <w:pPr>
        <w:pStyle w:val="NormalNumberedTextTLRI"/>
        <w:numPr>
          <w:ilvl w:val="2"/>
          <w:numId w:val="31"/>
        </w:numPr>
        <w:tabs>
          <w:tab w:val="clear" w:pos="720"/>
        </w:tabs>
        <w:spacing w:line="259" w:lineRule="auto"/>
      </w:pPr>
      <w:r>
        <w:t>This Report sets out the law until 31 January 2024. This Report is divided into Parts.</w:t>
      </w:r>
    </w:p>
    <w:p w14:paraId="5F523122" w14:textId="77777777" w:rsidR="00FF302D" w:rsidRPr="00113F13" w:rsidRDefault="00FF302D" w:rsidP="00E7516E">
      <w:pPr>
        <w:pStyle w:val="DotPointTLRI"/>
      </w:pPr>
      <w:r w:rsidRPr="00113F13">
        <w:t>Part 2 sets out the nature and scope of existing privacy laws in Tasmania, community attitudes to privacy, and privacy protections. It also explains the approach taken to analysing existing privacy-related laws and proposed reforms.</w:t>
      </w:r>
    </w:p>
    <w:p w14:paraId="6F33C93A" w14:textId="77777777" w:rsidR="00FF302D" w:rsidRPr="00113F13" w:rsidRDefault="00FF302D" w:rsidP="00E7516E">
      <w:pPr>
        <w:pStyle w:val="DotPointTLRI"/>
      </w:pPr>
      <w:r w:rsidRPr="00113F13">
        <w:t>Part 3 examines the scope and application of the PIPA and considers whether the PIPA, which applies broadly to Tasmanian public authorities and some government contractors, should apply to other bodies.</w:t>
      </w:r>
    </w:p>
    <w:p w14:paraId="30BBBB25" w14:textId="77777777" w:rsidR="00FF302D" w:rsidRPr="00113F13" w:rsidRDefault="00FF302D" w:rsidP="00E7516E">
      <w:pPr>
        <w:pStyle w:val="DotPointTLRI"/>
      </w:pPr>
      <w:r w:rsidRPr="00113F13">
        <w:lastRenderedPageBreak/>
        <w:t>Part 4 examines the scope of the PIPA in terms of the information for which it provides protection.</w:t>
      </w:r>
    </w:p>
    <w:p w14:paraId="2D0744B2" w14:textId="77777777" w:rsidR="00FF302D" w:rsidRPr="00113F13" w:rsidRDefault="00FF302D" w:rsidP="00E7516E">
      <w:pPr>
        <w:pStyle w:val="DotPointTLRI"/>
      </w:pPr>
      <w:r w:rsidRPr="00113F13">
        <w:t>Parts 5–8 address the issue of aligning the PIPPs with the Commonwealth Act in key areas such as: collection, use, and disclosure (Part 5); data quality, data security and access and correction (Part 6); openness, unique identifiers, and the option of anonymity (Part 7); and complaints, monitoring, and enforcement (Part 8). The Parts consider the similarities and differences between each of the PIPPs and the Commonwealth APPs (as they apply to government agencies) and whether reform is necessary.</w:t>
      </w:r>
    </w:p>
    <w:p w14:paraId="0AE33ABB" w14:textId="77777777" w:rsidR="00FF302D" w:rsidRPr="00113F13" w:rsidRDefault="00FF302D" w:rsidP="00E7516E">
      <w:pPr>
        <w:pStyle w:val="DotPointTLRI"/>
      </w:pPr>
      <w:r w:rsidRPr="00113F13">
        <w:t>Part 9 considers necessary reforms to other legislation impacting the privacy of government-held information.</w:t>
      </w:r>
    </w:p>
    <w:p w14:paraId="4A50D826" w14:textId="77777777" w:rsidR="00FF302D" w:rsidRPr="00113F13" w:rsidRDefault="00FF302D" w:rsidP="00E7516E">
      <w:pPr>
        <w:pStyle w:val="DotPointTLRI"/>
      </w:pPr>
      <w:r w:rsidRPr="00113F13">
        <w:t>Part 10 makes recommendations in relation to reforms in other legislation that affects privacy, such as in relation to surveillance, stalking, and image-based abuse.</w:t>
      </w:r>
    </w:p>
    <w:p w14:paraId="1A80F6D5" w14:textId="77777777" w:rsidR="00FF302D" w:rsidRPr="00113F13" w:rsidRDefault="00FF302D" w:rsidP="00E7516E">
      <w:pPr>
        <w:pStyle w:val="DotPointTLRI"/>
      </w:pPr>
      <w:r w:rsidRPr="00113F13">
        <w:t>Part 11 discusses the development of the common law in Australia relating to a potential tort of interference with privacy and makes recommendation for the introduction of a statutory tort of privacy.</w:t>
      </w:r>
    </w:p>
    <w:p w14:paraId="2CE37F1F" w14:textId="77777777" w:rsidR="00FF302D" w:rsidRPr="00113F13" w:rsidRDefault="00FF302D" w:rsidP="00FF302D">
      <w:pPr>
        <w:rPr>
          <w:rFonts w:cs="Times New Roman"/>
        </w:rPr>
      </w:pPr>
    </w:p>
    <w:p w14:paraId="2E90A327" w14:textId="6D5C315B" w:rsidR="000F489A" w:rsidRDefault="000F489A">
      <w:pPr>
        <w:spacing w:after="200" w:line="276" w:lineRule="auto"/>
        <w:jc w:val="left"/>
        <w:rPr>
          <w:rFonts w:eastAsiaTheme="majorEastAsia" w:cs="Times New Roman"/>
          <w:color w:val="0F4761" w:themeColor="accent1" w:themeShade="BF"/>
          <w:sz w:val="32"/>
          <w:szCs w:val="32"/>
        </w:rPr>
      </w:pPr>
      <w:r>
        <w:rPr>
          <w:rFonts w:cs="Times New Roman"/>
        </w:rPr>
        <w:br w:type="page"/>
      </w:r>
    </w:p>
    <w:p w14:paraId="04DE54FE" w14:textId="77777777" w:rsidR="00FF302D" w:rsidRPr="00113F13" w:rsidRDefault="00FF302D" w:rsidP="00FF302D">
      <w:pPr>
        <w:pStyle w:val="Heading1"/>
        <w:pBdr>
          <w:bottom w:val="single" w:sz="4" w:space="1" w:color="auto"/>
        </w:pBdr>
        <w:ind w:left="432" w:hanging="432"/>
        <w:rPr>
          <w:rFonts w:ascii="Times New Roman" w:hAnsi="Times New Roman" w:cs="Times New Roman"/>
        </w:rPr>
        <w:sectPr w:rsidR="00FF302D" w:rsidRPr="00113F13" w:rsidSect="00BC08AB">
          <w:headerReference w:type="even" r:id="rId24"/>
          <w:headerReference w:type="default" r:id="rId25"/>
          <w:footerReference w:type="default" r:id="rId26"/>
          <w:type w:val="continuous"/>
          <w:pgSz w:w="11906" w:h="16838" w:code="9"/>
          <w:pgMar w:top="1440" w:right="1440" w:bottom="1440" w:left="1440" w:header="708" w:footer="708" w:gutter="0"/>
          <w:pgNumType w:start="1"/>
          <w:cols w:space="708"/>
          <w:docGrid w:linePitch="360"/>
        </w:sectPr>
      </w:pPr>
    </w:p>
    <w:p w14:paraId="7DCFCF4E" w14:textId="77777777" w:rsidR="00FF302D" w:rsidRPr="00113F13" w:rsidRDefault="00FF302D" w:rsidP="00B63604">
      <w:pPr>
        <w:pStyle w:val="PartNoTLRI"/>
        <w:numPr>
          <w:ilvl w:val="0"/>
          <w:numId w:val="31"/>
        </w:numPr>
        <w:spacing w:after="160" w:line="259" w:lineRule="auto"/>
      </w:pPr>
    </w:p>
    <w:p w14:paraId="2850CFC2" w14:textId="77777777" w:rsidR="00FF302D" w:rsidRPr="00113F13" w:rsidRDefault="00FF302D" w:rsidP="00FF302D">
      <w:pPr>
        <w:pStyle w:val="PartHeadingTLRI"/>
      </w:pPr>
      <w:bookmarkStart w:id="32" w:name="_Toc164606498"/>
      <w:r w:rsidRPr="00113F13">
        <w:t>Privacy Protections in Tasmania</w:t>
      </w:r>
      <w:bookmarkEnd w:id="32"/>
    </w:p>
    <w:p w14:paraId="3F3F1906" w14:textId="77777777" w:rsidR="00FF302D" w:rsidRPr="00113F13" w:rsidRDefault="00FF302D" w:rsidP="00BF1FE7">
      <w:pPr>
        <w:pStyle w:val="NumberedHeadingTLRI"/>
      </w:pPr>
      <w:bookmarkStart w:id="33" w:name="_Toc164606499"/>
      <w:r w:rsidRPr="00113F13">
        <w:t>Introduction</w:t>
      </w:r>
      <w:bookmarkEnd w:id="33"/>
    </w:p>
    <w:p w14:paraId="72AFC2F5" w14:textId="77777777" w:rsidR="00FF302D" w:rsidRPr="00113F13" w:rsidRDefault="00FF302D" w:rsidP="00B63604">
      <w:pPr>
        <w:pStyle w:val="NormalNumberedTextTLRI"/>
        <w:numPr>
          <w:ilvl w:val="2"/>
          <w:numId w:val="31"/>
        </w:numPr>
        <w:tabs>
          <w:tab w:val="clear" w:pos="720"/>
        </w:tabs>
        <w:spacing w:line="259" w:lineRule="auto"/>
      </w:pPr>
      <w:r w:rsidRPr="00113F13">
        <w:t>The overarching question guiding this project is whether existing privacy laws in Tasmania are adequately protective. This Part describes the nature and scope of those laws and community attitudes to privacy and privacy protections. It also explains the approach taken in this Report to analysing existing privacy-related laws and proposing reform.</w:t>
      </w:r>
    </w:p>
    <w:p w14:paraId="5BD731A8" w14:textId="77777777" w:rsidR="00FF302D" w:rsidRPr="00113F13" w:rsidRDefault="00FF302D" w:rsidP="00BF1FE7">
      <w:pPr>
        <w:pStyle w:val="NumberedHeadingTLRI"/>
      </w:pPr>
      <w:bookmarkStart w:id="34" w:name="_Toc164606500"/>
      <w:r w:rsidRPr="00113F13">
        <w:t>Defining privacy and its importance</w:t>
      </w:r>
      <w:bookmarkEnd w:id="34"/>
    </w:p>
    <w:p w14:paraId="6998CF39" w14:textId="5FE50C5F" w:rsidR="00FF302D" w:rsidRPr="00113F13" w:rsidRDefault="00FF302D" w:rsidP="00B63604">
      <w:pPr>
        <w:pStyle w:val="NormalNumberedTextTLRI"/>
        <w:numPr>
          <w:ilvl w:val="2"/>
          <w:numId w:val="31"/>
        </w:numPr>
        <w:tabs>
          <w:tab w:val="clear" w:pos="720"/>
        </w:tabs>
        <w:spacing w:line="259" w:lineRule="auto"/>
      </w:pPr>
      <w:r w:rsidRPr="00113F13">
        <w:t>Defining t</w:t>
      </w:r>
      <w:r w:rsidRPr="00113F13">
        <w:rPr>
          <w:rStyle w:val="NormalNumberedTextTLRIChar"/>
        </w:rPr>
        <w:t>he scope of privacy has proved an ‘elusive task’;</w:t>
      </w:r>
      <w:r w:rsidRPr="00DE700E">
        <w:rPr>
          <w:rStyle w:val="NormalNumberedTextTLRIChar"/>
          <w:vertAlign w:val="superscript"/>
        </w:rPr>
        <w:footnoteReference w:id="8"/>
      </w:r>
      <w:r w:rsidRPr="00113F13">
        <w:rPr>
          <w:rStyle w:val="NormalNumberedTextTLRIChar"/>
        </w:rPr>
        <w:t xml:space="preserve"> privacy is generally described using one of several typologies or categories.</w:t>
      </w:r>
      <w:bookmarkStart w:id="35" w:name="_Ref91775585"/>
      <w:r w:rsidRPr="00113F13">
        <w:rPr>
          <w:rStyle w:val="NormalNumberedTextTLRIChar"/>
        </w:rPr>
        <w:t xml:space="preserve"> In its 2008 report on </w:t>
      </w:r>
      <w:r w:rsidRPr="00392A15">
        <w:rPr>
          <w:rStyle w:val="NormalNumberedTextTLRIChar"/>
          <w:i/>
          <w:iCs/>
        </w:rPr>
        <w:t>Australian Privacy Law and Practice</w:t>
      </w:r>
      <w:r w:rsidRPr="00113F13">
        <w:rPr>
          <w:rStyle w:val="NormalNumberedTextTLRIChar"/>
        </w:rPr>
        <w:t>, the Australian Law Reform Commission (‘ALRC’) referred to four overlapping categories of privacy protecti</w:t>
      </w:r>
      <w:r w:rsidRPr="00113F13">
        <w:t>on, which have also been adopted as working definitions in this TLRI Review:</w:t>
      </w:r>
      <w:bookmarkEnd w:id="35"/>
    </w:p>
    <w:p w14:paraId="2652ABB4" w14:textId="77777777" w:rsidR="00FF302D" w:rsidRPr="00113F13" w:rsidRDefault="00FF302D" w:rsidP="00950408">
      <w:pPr>
        <w:pStyle w:val="Dotpointlist"/>
        <w:numPr>
          <w:ilvl w:val="0"/>
          <w:numId w:val="0"/>
        </w:numPr>
        <w:jc w:val="both"/>
        <w:rPr>
          <w:rFonts w:ascii="Times New Roman" w:hAnsi="Times New Roman" w:cs="Times New Roman"/>
        </w:rPr>
      </w:pPr>
      <w:r w:rsidRPr="00113F13">
        <w:rPr>
          <w:rFonts w:ascii="Times New Roman" w:hAnsi="Times New Roman" w:cs="Times New Roman"/>
          <w:i/>
          <w:iCs/>
        </w:rPr>
        <w:t>Information privacy</w:t>
      </w:r>
      <w:r w:rsidRPr="00113F13">
        <w:rPr>
          <w:rFonts w:ascii="Times New Roman" w:hAnsi="Times New Roman" w:cs="Times New Roman"/>
        </w:rPr>
        <w:t>, which involves the establishment of rules governing the collection and handling of personal data, such as credit information, medical records, and government records. It is also known as ‘data protection’.</w:t>
      </w:r>
    </w:p>
    <w:p w14:paraId="4C91E4BE" w14:textId="77777777" w:rsidR="00FF302D" w:rsidRPr="00113F13" w:rsidRDefault="00FF302D" w:rsidP="00950408">
      <w:pPr>
        <w:pStyle w:val="Dotpointlist"/>
        <w:numPr>
          <w:ilvl w:val="0"/>
          <w:numId w:val="0"/>
        </w:numPr>
        <w:jc w:val="both"/>
        <w:rPr>
          <w:rFonts w:ascii="Times New Roman" w:hAnsi="Times New Roman" w:cs="Times New Roman"/>
        </w:rPr>
      </w:pPr>
      <w:r w:rsidRPr="00113F13">
        <w:rPr>
          <w:rFonts w:ascii="Times New Roman" w:hAnsi="Times New Roman" w:cs="Times New Roman"/>
          <w:i/>
          <w:iCs/>
        </w:rPr>
        <w:t>Bodily privacy</w:t>
      </w:r>
      <w:r w:rsidRPr="00113F13">
        <w:rPr>
          <w:rFonts w:ascii="Times New Roman" w:hAnsi="Times New Roman" w:cs="Times New Roman"/>
        </w:rPr>
        <w:t>, which concerns the protection of people’s physical selves against invasive procedures, such as genetic tests, drug testing, and cavity searches.</w:t>
      </w:r>
    </w:p>
    <w:p w14:paraId="14012A63" w14:textId="77777777" w:rsidR="00FF302D" w:rsidRPr="00113F13" w:rsidRDefault="00FF302D" w:rsidP="00950408">
      <w:pPr>
        <w:pStyle w:val="Dotpointlist"/>
        <w:numPr>
          <w:ilvl w:val="0"/>
          <w:numId w:val="0"/>
        </w:numPr>
        <w:jc w:val="both"/>
        <w:rPr>
          <w:rFonts w:ascii="Times New Roman" w:hAnsi="Times New Roman" w:cs="Times New Roman"/>
        </w:rPr>
      </w:pPr>
      <w:r w:rsidRPr="00113F13">
        <w:rPr>
          <w:rFonts w:ascii="Times New Roman" w:hAnsi="Times New Roman" w:cs="Times New Roman"/>
          <w:i/>
          <w:iCs/>
        </w:rPr>
        <w:t>Privacy of communications</w:t>
      </w:r>
      <w:r w:rsidRPr="00113F13">
        <w:rPr>
          <w:rFonts w:ascii="Times New Roman" w:hAnsi="Times New Roman" w:cs="Times New Roman"/>
        </w:rPr>
        <w:t>, which covers the security and privacy of mail, telephones, email, and other forms of communication.</w:t>
      </w:r>
    </w:p>
    <w:p w14:paraId="0BC3D7E2" w14:textId="77777777" w:rsidR="00FF302D" w:rsidRPr="00113F13" w:rsidRDefault="00FF302D" w:rsidP="00950408">
      <w:pPr>
        <w:pStyle w:val="NormalNumberedTextTLRI"/>
        <w:numPr>
          <w:ilvl w:val="2"/>
          <w:numId w:val="0"/>
        </w:numPr>
        <w:spacing w:line="259" w:lineRule="auto"/>
      </w:pPr>
      <w:r w:rsidRPr="00113F13">
        <w:rPr>
          <w:i/>
          <w:iCs/>
        </w:rPr>
        <w:t>Territorial privacy</w:t>
      </w:r>
      <w:r w:rsidRPr="00113F13">
        <w:t>, which concerns the setting of limits on intrusion into the domestic and other environments, such as the workplace or public space. This includes searches, video surveillance, and ID checks.</w:t>
      </w:r>
      <w:bookmarkStart w:id="36" w:name="_Ref91746363"/>
      <w:r w:rsidRPr="00113F13">
        <w:rPr>
          <w:rStyle w:val="FootnoteReference"/>
          <w:rFonts w:ascii="Times New Roman" w:hAnsi="Times New Roman"/>
        </w:rPr>
        <w:footnoteReference w:id="9"/>
      </w:r>
      <w:bookmarkEnd w:id="36"/>
    </w:p>
    <w:p w14:paraId="733DAA40" w14:textId="77777777" w:rsidR="00FF302D" w:rsidRPr="00113F13" w:rsidRDefault="00FF302D" w:rsidP="00B63604">
      <w:pPr>
        <w:pStyle w:val="NormalNumberedTextTLRI"/>
        <w:numPr>
          <w:ilvl w:val="2"/>
          <w:numId w:val="31"/>
        </w:numPr>
        <w:tabs>
          <w:tab w:val="clear" w:pos="720"/>
        </w:tabs>
        <w:spacing w:line="259" w:lineRule="auto"/>
      </w:pPr>
      <w:r w:rsidRPr="00113F13">
        <w:t>Rights to bodily and territorial privacy are also known as ‘rights to seclusion’. Intrusions on seclusion include watching, listening to, or recording what a person does in private.</w:t>
      </w:r>
      <w:r w:rsidRPr="00113F13">
        <w:rPr>
          <w:rStyle w:val="FootnoteReference"/>
          <w:rFonts w:ascii="Times New Roman" w:hAnsi="Times New Roman"/>
        </w:rPr>
        <w:footnoteReference w:id="10"/>
      </w:r>
      <w:r w:rsidRPr="00113F13">
        <w:t xml:space="preserve"> </w:t>
      </w:r>
    </w:p>
    <w:p w14:paraId="1FB95F73" w14:textId="77777777" w:rsidR="00FF302D" w:rsidRPr="00113F13" w:rsidRDefault="00FF302D" w:rsidP="00B63604">
      <w:pPr>
        <w:pStyle w:val="NormalNumberedTextTLRI"/>
        <w:numPr>
          <w:ilvl w:val="2"/>
          <w:numId w:val="31"/>
        </w:numPr>
        <w:tabs>
          <w:tab w:val="clear" w:pos="720"/>
        </w:tabs>
        <w:spacing w:line="259" w:lineRule="auto"/>
      </w:pPr>
      <w:r w:rsidRPr="00113F13">
        <w:t>The protection of privacy is important to individuals and society for a range of reasons, including:</w:t>
      </w:r>
    </w:p>
    <w:p w14:paraId="258F7E8B" w14:textId="77777777" w:rsidR="00FF302D" w:rsidRPr="00113F13" w:rsidRDefault="00FF302D" w:rsidP="00B63604">
      <w:pPr>
        <w:pStyle w:val="Dotpointlist"/>
        <w:numPr>
          <w:ilvl w:val="0"/>
          <w:numId w:val="10"/>
        </w:numPr>
        <w:rPr>
          <w:rFonts w:ascii="Times New Roman" w:hAnsi="Times New Roman" w:cs="Times New Roman"/>
        </w:rPr>
      </w:pPr>
      <w:r w:rsidRPr="00113F13">
        <w:rPr>
          <w:rFonts w:ascii="Times New Roman" w:hAnsi="Times New Roman" w:cs="Times New Roman"/>
        </w:rPr>
        <w:lastRenderedPageBreak/>
        <w:t>its role in safeguarding human dignity</w:t>
      </w:r>
      <w:r w:rsidRPr="00113F13">
        <w:rPr>
          <w:rStyle w:val="FootnoteReference"/>
          <w:rFonts w:ascii="Times New Roman" w:hAnsi="Times New Roman" w:cs="Times New Roman"/>
        </w:rPr>
        <w:footnoteReference w:id="11"/>
      </w:r>
      <w:r w:rsidRPr="00113F13">
        <w:rPr>
          <w:rFonts w:ascii="Times New Roman" w:hAnsi="Times New Roman" w:cs="Times New Roman"/>
        </w:rPr>
        <w:t xml:space="preserve"> and autonomy,</w:t>
      </w:r>
      <w:r w:rsidRPr="00113F13">
        <w:rPr>
          <w:rStyle w:val="FootnoteReference"/>
          <w:rFonts w:ascii="Times New Roman" w:hAnsi="Times New Roman" w:cs="Times New Roman"/>
        </w:rPr>
        <w:footnoteReference w:id="12"/>
      </w:r>
      <w:r w:rsidRPr="00113F13">
        <w:rPr>
          <w:rFonts w:ascii="Times New Roman" w:hAnsi="Times New Roman" w:cs="Times New Roman"/>
        </w:rPr>
        <w:t xml:space="preserve"> because the ability to control and choose how information about oneself is provided to others can be a precondition for individual liberty;</w:t>
      </w:r>
      <w:r w:rsidRPr="00113F13">
        <w:rPr>
          <w:rStyle w:val="FootnoteReference"/>
          <w:rFonts w:ascii="Times New Roman" w:hAnsi="Times New Roman" w:cs="Times New Roman"/>
        </w:rPr>
        <w:footnoteReference w:id="13"/>
      </w:r>
      <w:r w:rsidRPr="00113F13">
        <w:rPr>
          <w:rFonts w:ascii="Times New Roman" w:hAnsi="Times New Roman" w:cs="Times New Roman"/>
        </w:rPr>
        <w:t xml:space="preserve"> </w:t>
      </w:r>
    </w:p>
    <w:p w14:paraId="0CF66414" w14:textId="77777777" w:rsidR="00FF302D" w:rsidRPr="00113F13" w:rsidRDefault="00FF302D" w:rsidP="00B63604">
      <w:pPr>
        <w:pStyle w:val="Dotpointlist"/>
        <w:numPr>
          <w:ilvl w:val="0"/>
          <w:numId w:val="10"/>
        </w:numPr>
        <w:rPr>
          <w:rFonts w:ascii="Times New Roman" w:hAnsi="Times New Roman" w:cs="Times New Roman"/>
        </w:rPr>
      </w:pPr>
      <w:r w:rsidRPr="00113F13">
        <w:rPr>
          <w:rFonts w:ascii="Times New Roman" w:hAnsi="Times New Roman" w:cs="Times New Roman"/>
        </w:rPr>
        <w:t>its role in protecting psychological well-being and security, fostering intimacy, and promoting intellectual development</w:t>
      </w:r>
      <w:bookmarkStart w:id="37" w:name="_Ref91831673"/>
      <w:r w:rsidRPr="00113F13">
        <w:rPr>
          <w:rFonts w:ascii="Times New Roman" w:hAnsi="Times New Roman" w:cs="Times New Roman"/>
        </w:rPr>
        <w:t>;</w:t>
      </w:r>
      <w:r w:rsidRPr="00113F13">
        <w:rPr>
          <w:rStyle w:val="FootnoteReference"/>
          <w:rFonts w:ascii="Times New Roman" w:hAnsi="Times New Roman" w:cs="Times New Roman"/>
        </w:rPr>
        <w:footnoteReference w:id="14"/>
      </w:r>
      <w:bookmarkEnd w:id="37"/>
      <w:r w:rsidRPr="00113F13">
        <w:rPr>
          <w:rFonts w:ascii="Times New Roman" w:hAnsi="Times New Roman" w:cs="Times New Roman"/>
        </w:rPr>
        <w:t xml:space="preserve"> and</w:t>
      </w:r>
    </w:p>
    <w:p w14:paraId="636A14FA" w14:textId="77777777" w:rsidR="00FF302D" w:rsidRPr="00113F13" w:rsidRDefault="00FF302D" w:rsidP="00B63604">
      <w:pPr>
        <w:pStyle w:val="Dotpointlist"/>
        <w:numPr>
          <w:ilvl w:val="0"/>
          <w:numId w:val="10"/>
        </w:numPr>
        <w:rPr>
          <w:rFonts w:ascii="Times New Roman" w:hAnsi="Times New Roman" w:cs="Times New Roman"/>
        </w:rPr>
      </w:pPr>
      <w:r w:rsidRPr="00113F13">
        <w:rPr>
          <w:rFonts w:ascii="Times New Roman" w:hAnsi="Times New Roman" w:cs="Times New Roman"/>
        </w:rPr>
        <w:t>its social benefits, which include enabling social interaction, encouraging participation in democratic processes, encouraging cultural and critical innovation, and assisting cohesion in pluralistic communities.</w:t>
      </w:r>
      <w:r w:rsidRPr="00113F13">
        <w:rPr>
          <w:rStyle w:val="FootnoteReference"/>
          <w:rFonts w:ascii="Times New Roman" w:hAnsi="Times New Roman" w:cs="Times New Roman"/>
        </w:rPr>
        <w:footnoteReference w:id="15"/>
      </w:r>
    </w:p>
    <w:p w14:paraId="77B3A01F" w14:textId="77777777" w:rsidR="00FF302D" w:rsidRPr="00113F13" w:rsidRDefault="00FF302D" w:rsidP="00BF1FE7">
      <w:pPr>
        <w:pStyle w:val="NumberedHeadingTLRI"/>
      </w:pPr>
      <w:bookmarkStart w:id="38" w:name="_Toc164606501"/>
      <w:r w:rsidRPr="00113F13">
        <w:t>Community attitudes to privacy and privacy protections</w:t>
      </w:r>
      <w:bookmarkEnd w:id="38"/>
    </w:p>
    <w:p w14:paraId="4112B548" w14:textId="77777777" w:rsidR="00FF302D" w:rsidRPr="00113F13" w:rsidRDefault="00FF302D" w:rsidP="00B63604">
      <w:pPr>
        <w:pStyle w:val="NormalNumberedTextTLRI"/>
        <w:numPr>
          <w:ilvl w:val="2"/>
          <w:numId w:val="31"/>
        </w:numPr>
        <w:tabs>
          <w:tab w:val="clear" w:pos="720"/>
        </w:tabs>
        <w:spacing w:line="259" w:lineRule="auto"/>
      </w:pPr>
      <w:r w:rsidRPr="00113F13">
        <w:t>Recent survey data indicate that Australians have a relatively low level of knowledge about what current privacy protections exist, but also a belief that government should pass more laws to protect privacy.</w:t>
      </w:r>
    </w:p>
    <w:p w14:paraId="05C153EA" w14:textId="77777777" w:rsidR="00FF302D" w:rsidRPr="00113F13" w:rsidRDefault="00FF302D" w:rsidP="00B63604">
      <w:pPr>
        <w:pStyle w:val="NormalNumberedTextTLRI"/>
        <w:numPr>
          <w:ilvl w:val="2"/>
          <w:numId w:val="31"/>
        </w:numPr>
        <w:tabs>
          <w:tab w:val="clear" w:pos="720"/>
        </w:tabs>
        <w:spacing w:line="259" w:lineRule="auto"/>
      </w:pPr>
      <w:r w:rsidRPr="00113F13">
        <w:t>In August 2023, the Office of the Australian Information Commissioner (‘OAIC’) released the results of a survey examining Australian Community Attitudes to Privacy.</w:t>
      </w:r>
      <w:r w:rsidRPr="00113F13">
        <w:rPr>
          <w:rStyle w:val="FootnoteReference"/>
          <w:rFonts w:ascii="Times New Roman" w:eastAsia="Times New Roman" w:hAnsi="Times New Roman"/>
        </w:rPr>
        <w:footnoteReference w:id="16"/>
      </w:r>
      <w:r w:rsidRPr="00113F13">
        <w:rPr>
          <w:sz w:val="20"/>
        </w:rPr>
        <w:t xml:space="preserve"> </w:t>
      </w:r>
      <w:r w:rsidRPr="00113F13">
        <w:t>The OAIC reported that, ‘Australians have low awareness of privacy legislation, notably around their rights to access information organisations hold about them and organisation types that are exempt from the Australian Privacy Act’.</w:t>
      </w:r>
      <w:r w:rsidRPr="00113F13">
        <w:rPr>
          <w:rStyle w:val="FootnoteReference"/>
          <w:rFonts w:ascii="Times New Roman" w:eastAsia="Times New Roman" w:hAnsi="Times New Roman"/>
        </w:rPr>
        <w:footnoteReference w:id="17"/>
      </w:r>
      <w:r w:rsidRPr="00113F13">
        <w:t xml:space="preserve"> Other key findings from the survey indicate that:</w:t>
      </w:r>
    </w:p>
    <w:p w14:paraId="64BCF9CB" w14:textId="77777777" w:rsidR="00FF302D" w:rsidRPr="00E7516E" w:rsidRDefault="00FF302D" w:rsidP="00E7516E">
      <w:pPr>
        <w:pStyle w:val="DotPointTLRI"/>
      </w:pPr>
      <w:r w:rsidRPr="00E7516E">
        <w:t>62% of respondents see the protection of their personal information as a major concern in their life;</w:t>
      </w:r>
      <w:r w:rsidRPr="082BF74E">
        <w:rPr>
          <w:rStyle w:val="FootnoteReference"/>
          <w:rFonts w:ascii="Times New Roman" w:hAnsi="Times New Roman"/>
          <w:sz w:val="22"/>
          <w:szCs w:val="22"/>
        </w:rPr>
        <w:footnoteReference w:id="18"/>
      </w:r>
    </w:p>
    <w:p w14:paraId="40C7CD05" w14:textId="77777777" w:rsidR="00FF302D" w:rsidRPr="00E7516E" w:rsidRDefault="00FF302D" w:rsidP="00E7516E">
      <w:pPr>
        <w:pStyle w:val="DotPointTLRI"/>
      </w:pPr>
      <w:r w:rsidRPr="00E7516E">
        <w:t>90% of respondents say they have a clear understanding of why they should protect their personal information, but only 50% of respondents have clear understanding of how to protect personal information;</w:t>
      </w:r>
      <w:r w:rsidRPr="082BF74E">
        <w:rPr>
          <w:rStyle w:val="FootnoteReference"/>
          <w:rFonts w:ascii="Times New Roman" w:hAnsi="Times New Roman"/>
          <w:sz w:val="22"/>
          <w:szCs w:val="22"/>
        </w:rPr>
        <w:footnoteReference w:id="19"/>
      </w:r>
    </w:p>
    <w:p w14:paraId="4C10FE59" w14:textId="77777777" w:rsidR="00FF302D" w:rsidRPr="00E7516E" w:rsidRDefault="00FF302D" w:rsidP="00E7516E">
      <w:pPr>
        <w:pStyle w:val="DotPointTLRI"/>
      </w:pPr>
      <w:r w:rsidRPr="00E7516E">
        <w:t>69% of respondents are aware of Australian privacy law that promotes and protects the privacy of individuals,</w:t>
      </w:r>
      <w:r w:rsidRPr="082BF74E">
        <w:rPr>
          <w:rStyle w:val="FootnoteReference"/>
          <w:rFonts w:ascii="Times New Roman" w:hAnsi="Times New Roman"/>
          <w:sz w:val="22"/>
          <w:szCs w:val="22"/>
          <w:vertAlign w:val="baseline"/>
        </w:rPr>
        <w:footnoteReference w:id="20"/>
      </w:r>
      <w:r w:rsidRPr="00E7516E">
        <w:t xml:space="preserve"> but only 2% of respondents correctly named the Privacy Act or Australian Privacy Principles;</w:t>
      </w:r>
      <w:r w:rsidRPr="082BF74E">
        <w:rPr>
          <w:rStyle w:val="FootnoteReference"/>
          <w:rFonts w:ascii="Times New Roman" w:hAnsi="Times New Roman"/>
          <w:sz w:val="22"/>
          <w:szCs w:val="22"/>
        </w:rPr>
        <w:footnoteReference w:id="21"/>
      </w:r>
    </w:p>
    <w:p w14:paraId="42FA8BC0" w14:textId="6C8C7418" w:rsidR="00FF302D" w:rsidRPr="00E7516E" w:rsidRDefault="00FF302D" w:rsidP="00E7516E">
      <w:pPr>
        <w:pStyle w:val="DotPointTLRI"/>
      </w:pPr>
      <w:r w:rsidRPr="00E7516E">
        <w:t>79% of respondents believe they should have the right to ask a government agency to delete their personal information;</w:t>
      </w:r>
      <w:r w:rsidRPr="082BF74E">
        <w:rPr>
          <w:rStyle w:val="FootnoteReference"/>
          <w:rFonts w:ascii="Times New Roman" w:hAnsi="Times New Roman"/>
          <w:sz w:val="22"/>
          <w:szCs w:val="22"/>
        </w:rPr>
        <w:footnoteReference w:id="22"/>
      </w:r>
    </w:p>
    <w:p w14:paraId="20D0226A" w14:textId="77777777" w:rsidR="00FF302D" w:rsidRPr="00E7516E" w:rsidRDefault="00FF302D" w:rsidP="00E7516E">
      <w:pPr>
        <w:pStyle w:val="DotPointTLRI"/>
      </w:pPr>
      <w:r w:rsidRPr="00E7516E">
        <w:lastRenderedPageBreak/>
        <w:t>89% of respondents believe they should be able to seek compensation in the courts for a breach of privacy;</w:t>
      </w:r>
      <w:r w:rsidRPr="082BF74E">
        <w:rPr>
          <w:rStyle w:val="FootnoteReference"/>
          <w:rFonts w:ascii="Times New Roman" w:hAnsi="Times New Roman"/>
          <w:sz w:val="22"/>
          <w:szCs w:val="22"/>
        </w:rPr>
        <w:footnoteReference w:id="23"/>
      </w:r>
    </w:p>
    <w:p w14:paraId="6BC4F1EE" w14:textId="77777777" w:rsidR="00FF302D" w:rsidRPr="00E7516E" w:rsidRDefault="00FF302D" w:rsidP="00E7516E">
      <w:pPr>
        <w:pStyle w:val="DotPointTLRI"/>
      </w:pPr>
      <w:r w:rsidRPr="00E7516E">
        <w:t>89% of respondents believe that government agencies should do more to protect personal information;</w:t>
      </w:r>
      <w:r w:rsidRPr="082BF74E">
        <w:rPr>
          <w:rStyle w:val="FootnoteReference"/>
          <w:rFonts w:ascii="Times New Roman" w:hAnsi="Times New Roman"/>
          <w:sz w:val="22"/>
          <w:szCs w:val="22"/>
        </w:rPr>
        <w:footnoteReference w:id="24"/>
      </w:r>
      <w:r w:rsidRPr="082BF74E">
        <w:rPr>
          <w:rStyle w:val="FootnoteReference"/>
          <w:rFonts w:ascii="Times New Roman" w:hAnsi="Times New Roman"/>
          <w:sz w:val="22"/>
          <w:szCs w:val="22"/>
          <w:vertAlign w:val="baseline"/>
        </w:rPr>
        <w:t xml:space="preserve"> and</w:t>
      </w:r>
    </w:p>
    <w:p w14:paraId="7D8224DA" w14:textId="77777777" w:rsidR="00FF302D" w:rsidRPr="00E7516E" w:rsidRDefault="00FF302D" w:rsidP="00E7516E">
      <w:pPr>
        <w:pStyle w:val="DotPointTLRI"/>
      </w:pPr>
      <w:r w:rsidRPr="00E7516E">
        <w:t>89% of respondents say they would like the government to pass more legislation that protects their personal information.</w:t>
      </w:r>
      <w:r w:rsidRPr="082BF74E">
        <w:rPr>
          <w:rStyle w:val="FootnoteReference"/>
          <w:rFonts w:ascii="Times New Roman" w:hAnsi="Times New Roman"/>
          <w:sz w:val="22"/>
          <w:szCs w:val="22"/>
        </w:rPr>
        <w:footnoteReference w:id="25"/>
      </w:r>
    </w:p>
    <w:p w14:paraId="04CCC6E5" w14:textId="77777777" w:rsidR="00FF302D" w:rsidRPr="00113F13" w:rsidRDefault="00FF302D" w:rsidP="00B63604">
      <w:pPr>
        <w:pStyle w:val="NormalNumberedTextTLRI"/>
        <w:numPr>
          <w:ilvl w:val="2"/>
          <w:numId w:val="31"/>
        </w:numPr>
        <w:tabs>
          <w:tab w:val="clear" w:pos="720"/>
        </w:tabs>
        <w:spacing w:line="259" w:lineRule="auto"/>
      </w:pPr>
      <w:r w:rsidRPr="00113F13">
        <w:t>Changes in community perceptions of the importance of privacy were also identified in the survey, which observed that there had been ‘some notable shifts in Australians’ awareness and attitudes towards privacy’ and these were attributed to significant events such as the COVID19 pandemic, high-profile data breaches, and technical innovations in the areas of artificial intelligence and facial recognition.</w:t>
      </w:r>
      <w:r w:rsidRPr="00113F13">
        <w:rPr>
          <w:rStyle w:val="FootnoteReference"/>
          <w:rFonts w:ascii="Times New Roman" w:eastAsia="Times New Roman" w:hAnsi="Times New Roman"/>
        </w:rPr>
        <w:footnoteReference w:id="26"/>
      </w:r>
      <w:r w:rsidRPr="00113F13">
        <w:t xml:space="preserve"> Changes in attitudes identified in the 2023 survey, as compared to the 2020 survey, included:</w:t>
      </w:r>
    </w:p>
    <w:p w14:paraId="3EF6F0DF" w14:textId="47490847" w:rsidR="00FF302D" w:rsidRPr="00E7516E" w:rsidRDefault="00FF302D" w:rsidP="00E7516E">
      <w:pPr>
        <w:pStyle w:val="DotPointTLRI"/>
      </w:pPr>
      <w:r w:rsidRPr="00E7516E">
        <w:t xml:space="preserve">a slight increase in the number of </w:t>
      </w:r>
      <w:r w:rsidRPr="003F56E3">
        <w:t>respondents (to 21%)</w:t>
      </w:r>
      <w:r w:rsidRPr="00E7516E">
        <w:t xml:space="preserve"> who claim to have ‘very good or excellent’ knowledge of data protection and privacy rights;</w:t>
      </w:r>
      <w:r w:rsidRPr="082BF74E">
        <w:rPr>
          <w:rStyle w:val="FootnoteReference"/>
          <w:rFonts w:ascii="Times New Roman" w:hAnsi="Times New Roman"/>
          <w:sz w:val="22"/>
          <w:szCs w:val="22"/>
        </w:rPr>
        <w:footnoteReference w:id="27"/>
      </w:r>
    </w:p>
    <w:p w14:paraId="22835EE6" w14:textId="77777777" w:rsidR="00FF302D" w:rsidRPr="00E7516E" w:rsidRDefault="00FF302D" w:rsidP="00E7516E">
      <w:pPr>
        <w:pStyle w:val="DotPointTLRI"/>
      </w:pPr>
      <w:r w:rsidRPr="00E7516E">
        <w:t>a slight increase in the number of people who say they were aware of the Australian privacy law;</w:t>
      </w:r>
      <w:r w:rsidRPr="082BF74E">
        <w:rPr>
          <w:rStyle w:val="FootnoteReference"/>
          <w:rFonts w:ascii="Times New Roman" w:hAnsi="Times New Roman"/>
          <w:sz w:val="22"/>
          <w:szCs w:val="22"/>
        </w:rPr>
        <w:footnoteReference w:id="28"/>
      </w:r>
    </w:p>
    <w:p w14:paraId="24DC66C3" w14:textId="77777777" w:rsidR="00FF302D" w:rsidRPr="00E7516E" w:rsidRDefault="00FF302D" w:rsidP="00E7516E">
      <w:pPr>
        <w:pStyle w:val="DotPointTLRI"/>
      </w:pPr>
      <w:r w:rsidRPr="00E7516E">
        <w:t>a decrease in awareness of exempt organisation types;</w:t>
      </w:r>
      <w:r w:rsidRPr="082BF74E">
        <w:rPr>
          <w:rStyle w:val="FootnoteReference"/>
          <w:rFonts w:ascii="Times New Roman" w:hAnsi="Times New Roman"/>
          <w:sz w:val="22"/>
          <w:szCs w:val="22"/>
        </w:rPr>
        <w:footnoteReference w:id="29"/>
      </w:r>
    </w:p>
    <w:p w14:paraId="365F0C13" w14:textId="77777777" w:rsidR="00FF302D" w:rsidRPr="00E7516E" w:rsidRDefault="00FF302D" w:rsidP="00E7516E">
      <w:pPr>
        <w:pStyle w:val="DotPointTLRI"/>
      </w:pPr>
      <w:r w:rsidRPr="00E7516E">
        <w:t>an increase in the number of respondents who think that businesses collecting work-related information should be held to the same standard as federal government agencies and larger businesses;</w:t>
      </w:r>
      <w:r w:rsidRPr="082BF74E">
        <w:rPr>
          <w:rStyle w:val="FootnoteReference"/>
          <w:rFonts w:ascii="Times New Roman" w:hAnsi="Times New Roman"/>
          <w:sz w:val="22"/>
          <w:szCs w:val="22"/>
        </w:rPr>
        <w:footnoteReference w:id="30"/>
      </w:r>
    </w:p>
    <w:p w14:paraId="775F0872" w14:textId="77777777" w:rsidR="00FF302D" w:rsidRPr="00E7516E" w:rsidRDefault="00FF302D" w:rsidP="00E7516E">
      <w:pPr>
        <w:pStyle w:val="DotPointTLRI"/>
      </w:pPr>
      <w:r w:rsidRPr="00E7516E">
        <w:t>an increase in the ‘level of comfort with the government using personal information for research and service and policy development’;</w:t>
      </w:r>
      <w:r w:rsidRPr="082BF74E">
        <w:rPr>
          <w:rStyle w:val="FootnoteReference"/>
          <w:rFonts w:ascii="Times New Roman" w:hAnsi="Times New Roman"/>
          <w:sz w:val="22"/>
          <w:szCs w:val="22"/>
        </w:rPr>
        <w:footnoteReference w:id="31"/>
      </w:r>
    </w:p>
    <w:p w14:paraId="13D3EB90" w14:textId="77777777" w:rsidR="00FF302D" w:rsidRPr="00E7516E" w:rsidRDefault="00FF302D" w:rsidP="00E7516E">
      <w:pPr>
        <w:pStyle w:val="DotPointTLRI"/>
      </w:pPr>
      <w:r w:rsidRPr="00E7516E">
        <w:t>an increase in the proportion of parents who believe that ‘children have the right to grow up without being profiled and targeted’;</w:t>
      </w:r>
      <w:r w:rsidRPr="082BF74E">
        <w:rPr>
          <w:rStyle w:val="FootnoteReference"/>
          <w:rFonts w:ascii="Times New Roman" w:hAnsi="Times New Roman"/>
          <w:sz w:val="22"/>
          <w:szCs w:val="22"/>
        </w:rPr>
        <w:footnoteReference w:id="32"/>
      </w:r>
      <w:r w:rsidRPr="082BF74E">
        <w:rPr>
          <w:rStyle w:val="FootnoteReference"/>
          <w:rFonts w:ascii="Times New Roman" w:hAnsi="Times New Roman"/>
          <w:sz w:val="22"/>
          <w:szCs w:val="22"/>
          <w:vertAlign w:val="baseline"/>
        </w:rPr>
        <w:t xml:space="preserve"> and</w:t>
      </w:r>
    </w:p>
    <w:p w14:paraId="4400A763" w14:textId="77777777" w:rsidR="00FF302D" w:rsidRPr="00E7516E" w:rsidRDefault="00FF302D" w:rsidP="00E7516E">
      <w:pPr>
        <w:pStyle w:val="DotPointTLRI"/>
      </w:pPr>
      <w:r w:rsidRPr="00E7516E">
        <w:t>an increase in the strength of respondents’ concern about the privacy of their children.</w:t>
      </w:r>
      <w:r w:rsidRPr="082BF74E">
        <w:rPr>
          <w:rStyle w:val="FootnoteReference"/>
          <w:rFonts w:ascii="Times New Roman" w:hAnsi="Times New Roman"/>
          <w:sz w:val="22"/>
          <w:szCs w:val="22"/>
        </w:rPr>
        <w:footnoteReference w:id="33"/>
      </w:r>
    </w:p>
    <w:p w14:paraId="68226405" w14:textId="77777777" w:rsidR="00FF302D" w:rsidRPr="00113F13" w:rsidRDefault="00FF302D" w:rsidP="00BF1FE7">
      <w:pPr>
        <w:pStyle w:val="NumberedHeadingTLRI"/>
      </w:pPr>
      <w:bookmarkStart w:id="39" w:name="_Toc164606502"/>
      <w:r w:rsidRPr="00113F13">
        <w:t>Do Tasmanians enjoy a fundamental right to privacy?</w:t>
      </w:r>
      <w:bookmarkEnd w:id="39"/>
    </w:p>
    <w:p w14:paraId="0A63F29B" w14:textId="77777777" w:rsidR="00FF302D" w:rsidRPr="00113F13" w:rsidRDefault="00FF302D" w:rsidP="00B63604">
      <w:pPr>
        <w:pStyle w:val="NormalNumberedTextTLRI"/>
        <w:numPr>
          <w:ilvl w:val="2"/>
          <w:numId w:val="31"/>
        </w:numPr>
        <w:tabs>
          <w:tab w:val="clear" w:pos="720"/>
        </w:tabs>
        <w:spacing w:line="259" w:lineRule="auto"/>
      </w:pPr>
      <w:bookmarkStart w:id="40" w:name="_Ref146532230"/>
      <w:r w:rsidRPr="00113F13">
        <w:t xml:space="preserve">The </w:t>
      </w:r>
      <w:r w:rsidRPr="00113F13">
        <w:rPr>
          <w:i/>
          <w:iCs/>
        </w:rPr>
        <w:t>International Covenant on Civil and Political Rights</w:t>
      </w:r>
      <w:r w:rsidRPr="00113F13">
        <w:rPr>
          <w:rStyle w:val="FootnoteReference"/>
          <w:rFonts w:ascii="Times New Roman" w:hAnsi="Times New Roman"/>
        </w:rPr>
        <w:footnoteReference w:id="34"/>
      </w:r>
      <w:r w:rsidRPr="00113F13">
        <w:t xml:space="preserve"> (‘ICCPR’) declares that the right to privacy is one of the human rights held by all people worldwide. Specifically, Article 17 of the ICCPR </w:t>
      </w:r>
      <w:r w:rsidRPr="00113F13">
        <w:lastRenderedPageBreak/>
        <w:t>prohibits governments from interfering with a person’s privacy and obliges governments to take positive steps to protect against interference by others.</w:t>
      </w:r>
      <w:r w:rsidRPr="00113F13">
        <w:rPr>
          <w:rStyle w:val="FootnoteReference"/>
          <w:rFonts w:ascii="Times New Roman" w:hAnsi="Times New Roman"/>
        </w:rPr>
        <w:footnoteReference w:id="35"/>
      </w:r>
      <w:r w:rsidRPr="00113F13">
        <w:t xml:space="preserve"> It states:</w:t>
      </w:r>
      <w:bookmarkEnd w:id="40"/>
    </w:p>
    <w:p w14:paraId="375ECF2B" w14:textId="77777777" w:rsidR="00FF302D" w:rsidRPr="00113F13" w:rsidRDefault="00FF302D" w:rsidP="00B63604">
      <w:pPr>
        <w:pStyle w:val="Indentedquote"/>
      </w:pPr>
      <w:r w:rsidRPr="00113F13">
        <w:t>(1) No one shall be subjected to arbitrary or unlawful interference with [their] privacy, family, home or correspondence, nor to unlawful attacks on [their] honour and reputation.</w:t>
      </w:r>
    </w:p>
    <w:p w14:paraId="4B3E7A90" w14:textId="77777777" w:rsidR="00FF302D" w:rsidRPr="00113F13" w:rsidRDefault="00FF302D" w:rsidP="00B63604">
      <w:pPr>
        <w:pStyle w:val="Indentedquote"/>
      </w:pPr>
      <w:r w:rsidRPr="00113F13">
        <w:t>(2) Everyone has the right to the protection of the law against such interference or attacks.</w:t>
      </w:r>
      <w:r w:rsidRPr="00113F13">
        <w:rPr>
          <w:rStyle w:val="FootnoteReference"/>
          <w:rFonts w:ascii="Times New Roman" w:hAnsi="Times New Roman" w:cs="Times New Roman"/>
        </w:rPr>
        <w:footnoteReference w:id="36"/>
      </w:r>
    </w:p>
    <w:p w14:paraId="36F0CD44" w14:textId="77777777" w:rsidR="00FF302D" w:rsidRPr="00113F13" w:rsidRDefault="00FF302D" w:rsidP="00B63604">
      <w:pPr>
        <w:pStyle w:val="NormalNumberedTextTLRI"/>
        <w:numPr>
          <w:ilvl w:val="2"/>
          <w:numId w:val="31"/>
        </w:numPr>
        <w:tabs>
          <w:tab w:val="clear" w:pos="720"/>
        </w:tabs>
        <w:spacing w:line="259" w:lineRule="auto"/>
      </w:pPr>
      <w:r w:rsidRPr="00113F13">
        <w:t>The right in Article 17 is not absolute and protects only against unlawful or arbitrary interference—lawful and non-arbitrary interferences are permissible. For government interference with privacy to be lawful, it must generally be authorised by legislation that details the circumstances when such government action is permitted and facilitates some form of review or accountability.</w:t>
      </w:r>
      <w:r w:rsidRPr="00113F13">
        <w:rPr>
          <w:rStyle w:val="FootnoteReference"/>
          <w:rFonts w:ascii="Times New Roman" w:hAnsi="Times New Roman"/>
        </w:rPr>
        <w:footnoteReference w:id="37"/>
      </w:r>
      <w:r w:rsidRPr="00113F13">
        <w:t xml:space="preserve"> To be non-arbitrary, the interference must be reasonable in the circumstances. Reasonableness generally implies a test of proportionality and necessity. The interference must be proportional to the purpose of the authorising provision, and it must be necessary in the circumstances of any given case.</w:t>
      </w:r>
      <w:r w:rsidRPr="00113F13">
        <w:rPr>
          <w:rStyle w:val="FootnoteReference"/>
          <w:rFonts w:ascii="Times New Roman" w:hAnsi="Times New Roman"/>
        </w:rPr>
        <w:footnoteReference w:id="38"/>
      </w:r>
    </w:p>
    <w:p w14:paraId="4EFF7335" w14:textId="77777777" w:rsidR="00FF302D" w:rsidRPr="00113F13" w:rsidRDefault="00FF302D" w:rsidP="00B63604">
      <w:pPr>
        <w:pStyle w:val="NormalNumberedTextTLRI"/>
        <w:numPr>
          <w:ilvl w:val="2"/>
          <w:numId w:val="31"/>
        </w:numPr>
        <w:tabs>
          <w:tab w:val="clear" w:pos="720"/>
        </w:tabs>
        <w:spacing w:line="259" w:lineRule="auto"/>
      </w:pPr>
      <w:r w:rsidRPr="00113F13">
        <w:t>Australia has signed and ratified the ICCPR, which means that it has consented to be bound to it; however, for a right under international law to be enforceable domestically, it must be introduced under Australian law.</w:t>
      </w:r>
    </w:p>
    <w:p w14:paraId="38F3995D" w14:textId="7B08CAA6" w:rsidR="00FF302D" w:rsidRPr="00113F13" w:rsidRDefault="00FF302D" w:rsidP="00B63604">
      <w:pPr>
        <w:pStyle w:val="NormalNumberedTextTLRI"/>
        <w:numPr>
          <w:ilvl w:val="2"/>
          <w:numId w:val="31"/>
        </w:numPr>
        <w:tabs>
          <w:tab w:val="clear" w:pos="720"/>
        </w:tabs>
        <w:spacing w:line="259" w:lineRule="auto"/>
      </w:pPr>
      <w:r w:rsidRPr="00113F13">
        <w:t>As discussed further below (</w:t>
      </w:r>
      <w:r w:rsidRPr="007570DC">
        <w:t xml:space="preserve">see </w:t>
      </w:r>
      <w:r w:rsidR="007570DC">
        <w:t>[</w:t>
      </w:r>
      <w:r w:rsidRPr="00113F13">
        <w:fldChar w:fldCharType="begin"/>
      </w:r>
      <w:r w:rsidRPr="00113F13">
        <w:instrText xml:space="preserve"> REF _Ref146531571 \r \h  \* MERGEFORMAT </w:instrText>
      </w:r>
      <w:r w:rsidRPr="00113F13">
        <w:fldChar w:fldCharType="separate"/>
      </w:r>
      <w:r w:rsidR="00462C30">
        <w:rPr>
          <w:cs/>
        </w:rPr>
        <w:t>‎</w:t>
      </w:r>
      <w:r w:rsidR="00462C30">
        <w:t>2.5.5</w:t>
      </w:r>
      <w:r w:rsidRPr="00113F13">
        <w:fldChar w:fldCharType="end"/>
      </w:r>
      <w:r w:rsidR="007570DC">
        <w:t>]</w:t>
      </w:r>
      <w:r w:rsidRPr="00113F13">
        <w:t xml:space="preserve">), privacy-specific legislation has been enacted by the Commonwealth in partial implementation of Australian’s obligations under Article17. Human rights legislation in Queensland, Victoria, and the ACT has also explicitly recognised a right to ‘privacy and reputation’. For example, the Victorian </w:t>
      </w:r>
      <w:r w:rsidRPr="00113F13">
        <w:rPr>
          <w:i/>
          <w:iCs/>
        </w:rPr>
        <w:t xml:space="preserve">Charter of Human Rights and Responsibilities Act 2006 </w:t>
      </w:r>
      <w:r w:rsidRPr="00113F13">
        <w:t>states that:</w:t>
      </w:r>
    </w:p>
    <w:p w14:paraId="744F47D8" w14:textId="77777777" w:rsidR="00FF302D" w:rsidRPr="00113F13" w:rsidRDefault="00FF302D" w:rsidP="00B63604">
      <w:pPr>
        <w:pStyle w:val="Indentedquote"/>
      </w:pPr>
      <w:r w:rsidRPr="00113F13">
        <w:t xml:space="preserve">A person has the right— </w:t>
      </w:r>
    </w:p>
    <w:p w14:paraId="2084191D" w14:textId="77777777" w:rsidR="00FF302D" w:rsidRPr="00113F13" w:rsidRDefault="00FF302D" w:rsidP="00B63604">
      <w:pPr>
        <w:pStyle w:val="Indentedquote"/>
      </w:pPr>
      <w:r w:rsidRPr="00113F13">
        <w:t xml:space="preserve">(a) not to have that person’s privacy, family, home or correspondence unlawfully or arbitrarily interfered with; and </w:t>
      </w:r>
    </w:p>
    <w:p w14:paraId="06C439E4" w14:textId="77777777" w:rsidR="00FF302D" w:rsidRPr="00113F13" w:rsidRDefault="00FF302D" w:rsidP="00B63604">
      <w:pPr>
        <w:pStyle w:val="Indentedquote"/>
      </w:pPr>
      <w:r w:rsidRPr="00113F13">
        <w:t>(b) not to have that person’s reputation unlawfully attacked.</w:t>
      </w:r>
      <w:r w:rsidRPr="00113F13">
        <w:rPr>
          <w:rStyle w:val="FootnoteReference"/>
          <w:rFonts w:ascii="Times New Roman" w:hAnsi="Times New Roman" w:cs="Times New Roman"/>
        </w:rPr>
        <w:footnoteReference w:id="39"/>
      </w:r>
    </w:p>
    <w:p w14:paraId="30ED96D4" w14:textId="3170E223" w:rsidR="00FF302D" w:rsidRPr="00113F13" w:rsidRDefault="00FF302D" w:rsidP="007377EA">
      <w:pPr>
        <w:pStyle w:val="NormalNumberedTextTLRI"/>
        <w:numPr>
          <w:ilvl w:val="2"/>
          <w:numId w:val="51"/>
        </w:numPr>
      </w:pPr>
      <w:r w:rsidRPr="00113F13">
        <w:t xml:space="preserve">Several Australian inquiries and reports have recommended the </w:t>
      </w:r>
      <w:r w:rsidRPr="00A80BDE">
        <w:t>introduction</w:t>
      </w:r>
      <w:r w:rsidRPr="00113F13">
        <w:t xml:space="preserve"> of similar human rights legislation in </w:t>
      </w:r>
      <w:r w:rsidRPr="00A80BDE">
        <w:t>other</w:t>
      </w:r>
      <w:r w:rsidRPr="00113F13">
        <w:t xml:space="preserve"> </w:t>
      </w:r>
      <w:r w:rsidRPr="00600080">
        <w:t>Australian</w:t>
      </w:r>
      <w:r w:rsidRPr="00113F13">
        <w:t xml:space="preserve"> jurisdictions, including the Commonwealth and Tasmania. These include the Australian Human Rights Commission’s 2022 Position Paper on a Human Rights Act for Australia and the TLRI’s 2007 Final Report, A Charter of Rights for Tasmania. In the 2007 Final Report, the TLRI recommended that a Charter of Rights be enacted in Tasmania, which should protect </w:t>
      </w:r>
      <w:r w:rsidRPr="00113F13">
        <w:lastRenderedPageBreak/>
        <w:t xml:space="preserve">a comprehensive range of civil, political, economic, social, and cultural rights. The TLRI considered that a primary purpose of a Charter was to ‘engender a human rights conscious culture within the Tasmanian community and across the three branches of government’ (the legislature, the executive, and the </w:t>
      </w:r>
      <w:r w:rsidRPr="00747C2E">
        <w:t>judiciary).</w:t>
      </w:r>
      <w:r w:rsidRPr="00747C2E">
        <w:rPr>
          <w:rStyle w:val="FootnoteReference"/>
          <w:rFonts w:ascii="Times New Roman" w:hAnsi="Times New Roman"/>
          <w:sz w:val="22"/>
          <w:szCs w:val="22"/>
        </w:rPr>
        <w:footnoteReference w:id="40"/>
      </w:r>
      <w:r w:rsidRPr="007377EA">
        <w:rPr>
          <w:rStyle w:val="FootnoteReference"/>
          <w:rFonts w:ascii="Times New Roman" w:hAnsi="Times New Roman"/>
          <w:sz w:val="22"/>
          <w:szCs w:val="22"/>
          <w:vertAlign w:val="baseline"/>
        </w:rPr>
        <w:t xml:space="preserve"> </w:t>
      </w:r>
      <w:r w:rsidRPr="00EA22F8">
        <w:t>This remains</w:t>
      </w:r>
      <w:r w:rsidR="32E5EAA2" w:rsidRPr="00EA22F8">
        <w:t xml:space="preserve"> </w:t>
      </w:r>
      <w:r w:rsidR="0E05AF65" w:rsidRPr="00EA22F8">
        <w:t>the view of the Tasmania Law Reform Institute</w:t>
      </w:r>
      <w:r w:rsidR="00C771CC">
        <w:t>.</w:t>
      </w:r>
      <w:r w:rsidRPr="00747C2E">
        <w:rPr>
          <w:rStyle w:val="FootnoteReference"/>
          <w:rFonts w:ascii="Times New Roman" w:hAnsi="Times New Roman"/>
          <w:sz w:val="22"/>
          <w:szCs w:val="22"/>
        </w:rPr>
        <w:footnoteReference w:id="41"/>
      </w:r>
    </w:p>
    <w:p w14:paraId="25C002EE" w14:textId="77777777" w:rsidR="00FF302D" w:rsidRPr="00113F13" w:rsidRDefault="10DD744B" w:rsidP="00B63604">
      <w:pPr>
        <w:pStyle w:val="NormalNumberedTextTLRI"/>
        <w:numPr>
          <w:ilvl w:val="2"/>
          <w:numId w:val="31"/>
        </w:numPr>
        <w:tabs>
          <w:tab w:val="clear" w:pos="720"/>
        </w:tabs>
        <w:spacing w:line="259" w:lineRule="auto"/>
      </w:pPr>
      <w:r>
        <w:t>The Issues Paper to the present project invited submissions in response to the question:</w:t>
      </w:r>
    </w:p>
    <w:p w14:paraId="523D3BFA" w14:textId="77777777" w:rsidR="00FF302D" w:rsidRPr="00B63604" w:rsidRDefault="00FF302D" w:rsidP="00FF302D">
      <w:pPr>
        <w:pStyle w:val="Indentedquote"/>
        <w:rPr>
          <w:rFonts w:cs="Times New Roman"/>
        </w:rPr>
      </w:pPr>
      <w:r w:rsidRPr="00B63604">
        <w:rPr>
          <w:rFonts w:cs="Times New Roman"/>
        </w:rPr>
        <w:t>Should Tasmania codify a fundamental right to privacy, which can be set aside by other legislation that authorises activities that may interfere with privacy, and which is qualified by justified limitations?</w:t>
      </w:r>
      <w:r w:rsidRPr="00B63604">
        <w:rPr>
          <w:rStyle w:val="FootnoteReference"/>
          <w:rFonts w:ascii="Times New Roman" w:hAnsi="Times New Roman" w:cs="Times New Roman"/>
        </w:rPr>
        <w:footnoteReference w:id="42"/>
      </w:r>
    </w:p>
    <w:p w14:paraId="1232C5A8" w14:textId="1F0614D6" w:rsidR="00FF302D" w:rsidRPr="00113F13" w:rsidRDefault="00FF302D" w:rsidP="00B63604">
      <w:pPr>
        <w:pStyle w:val="NormalNumberedTextTLRI"/>
        <w:numPr>
          <w:ilvl w:val="2"/>
          <w:numId w:val="31"/>
        </w:numPr>
        <w:tabs>
          <w:tab w:val="clear" w:pos="720"/>
        </w:tabs>
        <w:spacing w:line="259" w:lineRule="auto"/>
      </w:pPr>
      <w:r w:rsidRPr="00113F13">
        <w:t>Four submitters offered brief responses to this question, with all of them supporting the legislative recognition of a right to privacy.</w:t>
      </w:r>
      <w:r w:rsidRPr="00113F13">
        <w:rPr>
          <w:rStyle w:val="FootnoteReference"/>
          <w:rFonts w:ascii="Times New Roman" w:hAnsi="Times New Roman"/>
        </w:rPr>
        <w:footnoteReference w:id="43"/>
      </w:r>
      <w:r w:rsidRPr="00113F13">
        <w:t xml:space="preserve"> Two did not specify a view on the appropriate mechanism for this; the two others submitted that a right to privacy should be protected in a Human Rights Act or Charter, such as that proposed in the TLRI’s 2007 Final Report. Meg Webb MLC submitted that this would ‘provide a coherent and comprehensive framework in which our privacy statutes are derived and embedded’; the Tasmanian Council of Social Service (‘TasCOSS’) suggested that legislation in other jurisdictions provides an example of a charter containing a statutory right to privacy.</w:t>
      </w:r>
    </w:p>
    <w:p w14:paraId="40D57DB8" w14:textId="77777777" w:rsidR="00FF302D" w:rsidRPr="00113F13" w:rsidRDefault="10DD744B" w:rsidP="00B63604">
      <w:pPr>
        <w:pStyle w:val="NormalNumberedTextTLRI"/>
        <w:numPr>
          <w:ilvl w:val="2"/>
          <w:numId w:val="31"/>
        </w:numPr>
        <w:tabs>
          <w:tab w:val="clear" w:pos="720"/>
        </w:tabs>
        <w:spacing w:line="259" w:lineRule="auto"/>
      </w:pPr>
      <w:r>
        <w:t xml:space="preserve">This Report does not seek to replicate or re-examine the case for human rights legislation which includes a right to privacy. As noted, the TLRI remains of the view that a human rights enactment should be introduced in Tasmania, which should include a right to privacy. The TLRI considers that protections created by such legislation would complement the protections of privacy that already exist in Tasmania, and the enhanced protections proposed in the Report. </w:t>
      </w:r>
    </w:p>
    <w:p w14:paraId="5944E4D1" w14:textId="64B8208F" w:rsidR="00FF302D" w:rsidRPr="00113F13" w:rsidRDefault="00FF302D" w:rsidP="00B63604">
      <w:pPr>
        <w:pStyle w:val="NormalNumberedTextTLRI"/>
        <w:numPr>
          <w:ilvl w:val="2"/>
          <w:numId w:val="31"/>
        </w:numPr>
        <w:tabs>
          <w:tab w:val="clear" w:pos="720"/>
        </w:tabs>
        <w:spacing w:line="259" w:lineRule="auto"/>
      </w:pPr>
      <w:r w:rsidRPr="00113F13">
        <w:t xml:space="preserve">The TLRI considers that a broad right to privacy would best be established in Tasmanian human rights legislation, rather than in privacy-specific Tasmanian legislation, such as the PIPA </w:t>
      </w:r>
      <w:r w:rsidRPr="009E55DA">
        <w:t>(discussed in Part 2 of this Report).</w:t>
      </w:r>
      <w:r w:rsidRPr="009E55DA">
        <w:rPr>
          <w:rStyle w:val="FootnoteReference"/>
          <w:rFonts w:ascii="Times New Roman" w:hAnsi="Times New Roman"/>
        </w:rPr>
        <w:footnoteReference w:id="44"/>
      </w:r>
      <w:r w:rsidRPr="009E55DA">
        <w:t xml:space="preserve"> This is because, as noted at </w:t>
      </w:r>
      <w:r w:rsidR="009E55DA" w:rsidRPr="009E55DA">
        <w:t>[</w:t>
      </w:r>
      <w:r w:rsidRPr="009E55DA">
        <w:fldChar w:fldCharType="begin"/>
      </w:r>
      <w:r w:rsidRPr="009E55DA">
        <w:instrText xml:space="preserve"> REF _Ref146531830 \r \h  \* MERGEFORMAT </w:instrText>
      </w:r>
      <w:r w:rsidRPr="009E55DA">
        <w:fldChar w:fldCharType="separate"/>
      </w:r>
      <w:r w:rsidR="00462C30">
        <w:rPr>
          <w:cs/>
        </w:rPr>
        <w:t>‎</w:t>
      </w:r>
      <w:r w:rsidR="00462C30">
        <w:t>2.5.1</w:t>
      </w:r>
      <w:r w:rsidRPr="009E55DA">
        <w:fldChar w:fldCharType="end"/>
      </w:r>
      <w:r w:rsidR="009E55DA" w:rsidRPr="009E55DA">
        <w:t>]</w:t>
      </w:r>
      <w:r w:rsidRPr="009E55DA">
        <w:t xml:space="preserve"> below, neither the PIPA nor</w:t>
      </w:r>
      <w:r w:rsidRPr="00113F13">
        <w:t xml:space="preserve"> any other Tasmanian legislation provides broad privacy protection. Rather, Tasmanian legislation deals with a specific type of privacy (such as information privacy in the PIPA) or with privacy in a specific circumstance (such as protections against surveillance in the </w:t>
      </w:r>
      <w:r w:rsidRPr="10DD744B">
        <w:rPr>
          <w:i/>
          <w:iCs/>
        </w:rPr>
        <w:t xml:space="preserve">Listening Devices Act 1991 </w:t>
      </w:r>
      <w:r w:rsidRPr="00113F13">
        <w:t xml:space="preserve">(Tas) and the </w:t>
      </w:r>
      <w:r w:rsidRPr="10DD744B">
        <w:rPr>
          <w:i/>
          <w:iCs/>
        </w:rPr>
        <w:t xml:space="preserve">Police Offences Act 1935 </w:t>
      </w:r>
      <w:r w:rsidRPr="00113F13">
        <w:t>(Tas), respectively).</w:t>
      </w:r>
    </w:p>
    <w:p w14:paraId="430B121F" w14:textId="37F2BA30" w:rsidR="00FF302D" w:rsidRPr="00113F13" w:rsidRDefault="00FF302D" w:rsidP="00B63604">
      <w:pPr>
        <w:pStyle w:val="NormalNumberedTextTLRI"/>
        <w:numPr>
          <w:ilvl w:val="2"/>
          <w:numId w:val="31"/>
        </w:numPr>
        <w:tabs>
          <w:tab w:val="clear" w:pos="720"/>
        </w:tabs>
        <w:spacing w:line="259" w:lineRule="auto"/>
      </w:pPr>
      <w:r w:rsidRPr="00113F13">
        <w:t>Other Parts of this Report include recommendations for reforms that would have a bearing on Tasmanians’ rights in a more confined sense. These include proposals for the introduction of a right to erasure of personal information (also known as ‘the right to be forgotten’) and a right to object to the collection, use, or disclosure of personal information (</w:t>
      </w:r>
      <w:r w:rsidRPr="009E55DA">
        <w:t>see Part 5). This Report also assesses (in Part 11)</w:t>
      </w:r>
      <w:r w:rsidRPr="00113F13">
        <w:t xml:space="preserve"> the appropriateness of creating a statutory tort for serious invasions of privacy, which, the ALRC has suggested, would ‘carr[y] the provisions of art 17(2) [of the ICCPR] into effect’.</w:t>
      </w:r>
      <w:r w:rsidRPr="00113F13">
        <w:rPr>
          <w:rStyle w:val="FootnoteReference"/>
          <w:rFonts w:ascii="Times New Roman" w:hAnsi="Times New Roman"/>
        </w:rPr>
        <w:footnoteReference w:id="45"/>
      </w:r>
      <w:r w:rsidRPr="00113F13">
        <w:t xml:space="preserve"> </w:t>
      </w:r>
    </w:p>
    <w:p w14:paraId="1AC31431" w14:textId="77777777" w:rsidR="00FF302D" w:rsidRPr="00113F13" w:rsidRDefault="00FF302D" w:rsidP="00BF1FE7">
      <w:pPr>
        <w:pStyle w:val="NumberedHeadingTLRI"/>
      </w:pPr>
      <w:bookmarkStart w:id="41" w:name="_Toc164606503"/>
      <w:bookmarkStart w:id="42" w:name="_Ref164780999"/>
      <w:r w:rsidRPr="00113F13">
        <w:lastRenderedPageBreak/>
        <w:t>Existing privacy protections in Tasmania</w:t>
      </w:r>
      <w:bookmarkEnd w:id="41"/>
      <w:bookmarkEnd w:id="42"/>
    </w:p>
    <w:p w14:paraId="48EA68FA" w14:textId="77777777" w:rsidR="00FF302D" w:rsidRPr="00113F13" w:rsidRDefault="10DD744B" w:rsidP="00B63604">
      <w:pPr>
        <w:pStyle w:val="NormalNumberedTextTLRI"/>
        <w:numPr>
          <w:ilvl w:val="2"/>
          <w:numId w:val="31"/>
        </w:numPr>
        <w:tabs>
          <w:tab w:val="clear" w:pos="720"/>
        </w:tabs>
        <w:spacing w:line="259" w:lineRule="auto"/>
      </w:pPr>
      <w:bookmarkStart w:id="43" w:name="_Ref146531830"/>
      <w:r>
        <w:t>There is no comprehensive privacy legislation in, or applying to, Tasmania. Rather, different (although sometimes overlapping) categories of privacy are protected under various laws that apply in a range of contexts.</w:t>
      </w:r>
      <w:bookmarkEnd w:id="43"/>
      <w:r>
        <w:t xml:space="preserve"> </w:t>
      </w:r>
    </w:p>
    <w:p w14:paraId="63CA1C1B" w14:textId="77777777" w:rsidR="00FF302D" w:rsidRPr="00113F13" w:rsidRDefault="10DD744B" w:rsidP="00B63604">
      <w:pPr>
        <w:pStyle w:val="NormalNumberedTextTLRI"/>
        <w:numPr>
          <w:ilvl w:val="2"/>
          <w:numId w:val="31"/>
        </w:numPr>
        <w:tabs>
          <w:tab w:val="clear" w:pos="720"/>
        </w:tabs>
        <w:spacing w:line="259" w:lineRule="auto"/>
      </w:pPr>
      <w:r>
        <w:t>These include:</w:t>
      </w:r>
    </w:p>
    <w:p w14:paraId="5BA5171E" w14:textId="77777777" w:rsidR="00FF302D" w:rsidRPr="00113F13" w:rsidRDefault="00FF302D" w:rsidP="00FF302D">
      <w:pPr>
        <w:pStyle w:val="DotPointTLRI"/>
      </w:pPr>
      <w:r w:rsidRPr="00113F13">
        <w:t xml:space="preserve">the Commonwealth </w:t>
      </w:r>
      <w:r w:rsidRPr="00113F13">
        <w:rPr>
          <w:i/>
          <w:iCs/>
        </w:rPr>
        <w:t>Privacy Act 1988</w:t>
      </w:r>
      <w:r w:rsidRPr="00113F13">
        <w:t xml:space="preserve"> (Cth) (‘Privacy Act’), which applies to the handling of personal information by Commonwealth government agencies and some private sector organisations around the country;</w:t>
      </w:r>
    </w:p>
    <w:p w14:paraId="6774B589" w14:textId="77777777" w:rsidR="00FF302D" w:rsidRPr="00113F13" w:rsidRDefault="00FF302D" w:rsidP="00FF302D">
      <w:pPr>
        <w:pStyle w:val="DotPointTLRI"/>
      </w:pPr>
      <w:r w:rsidRPr="00113F13">
        <w:t xml:space="preserve">Tasmania’s </w:t>
      </w:r>
      <w:r w:rsidRPr="00113F13">
        <w:rPr>
          <w:i/>
          <w:iCs/>
        </w:rPr>
        <w:t>Personal Information Protection Act 2004</w:t>
      </w:r>
      <w:r w:rsidRPr="00113F13">
        <w:t xml:space="preserve"> (Tas) (‘PIPA’), which applies to information handling by Tasmanian government agencies; and </w:t>
      </w:r>
    </w:p>
    <w:p w14:paraId="0365283B" w14:textId="77777777" w:rsidR="00FF302D" w:rsidRPr="00113F13" w:rsidRDefault="00FF302D" w:rsidP="00FF302D">
      <w:pPr>
        <w:pStyle w:val="DotPointTLRI"/>
      </w:pPr>
      <w:r w:rsidRPr="00113F13">
        <w:t xml:space="preserve">a range of other statutes that provide some protections relating to information privacy, bodily privacy, territorial privacy, and/or communication privacy. </w:t>
      </w:r>
    </w:p>
    <w:p w14:paraId="5AC522A5" w14:textId="77777777" w:rsidR="00FF302D" w:rsidRPr="00113F13" w:rsidRDefault="10DD744B" w:rsidP="00B63604">
      <w:pPr>
        <w:pStyle w:val="NormalNumberedTextTLRI"/>
        <w:numPr>
          <w:ilvl w:val="2"/>
          <w:numId w:val="31"/>
        </w:numPr>
        <w:tabs>
          <w:tab w:val="clear" w:pos="720"/>
        </w:tabs>
        <w:spacing w:line="259" w:lineRule="auto"/>
      </w:pPr>
      <w:r>
        <w:t xml:space="preserve">Tasmanian courts have also considered privacy protections in particular contexts. </w:t>
      </w:r>
    </w:p>
    <w:p w14:paraId="57CEEB28" w14:textId="77777777" w:rsidR="00FF302D" w:rsidRPr="00113F13" w:rsidRDefault="10DD744B" w:rsidP="00B63604">
      <w:pPr>
        <w:pStyle w:val="NormalNumberedTextTLRI"/>
        <w:numPr>
          <w:ilvl w:val="2"/>
          <w:numId w:val="31"/>
        </w:numPr>
        <w:tabs>
          <w:tab w:val="clear" w:pos="720"/>
        </w:tabs>
        <w:spacing w:line="259" w:lineRule="auto"/>
      </w:pPr>
      <w:r>
        <w:t>This section briefly describes each of these existing privacy protections and explains where they are addressed in the substantive Parts of this Final Report.</w:t>
      </w:r>
    </w:p>
    <w:p w14:paraId="382047DB" w14:textId="77777777" w:rsidR="00FF302D" w:rsidRPr="00113F13" w:rsidRDefault="00FF302D" w:rsidP="00FF302D">
      <w:pPr>
        <w:pStyle w:val="Sub-HeadingTLRI"/>
      </w:pPr>
      <w:bookmarkStart w:id="44" w:name="_Toc164606504"/>
      <w:r w:rsidRPr="00113F13">
        <w:t>The Privacy Act</w:t>
      </w:r>
      <w:bookmarkEnd w:id="44"/>
    </w:p>
    <w:p w14:paraId="49716CBB" w14:textId="252F6148" w:rsidR="00FF302D" w:rsidRPr="00113F13" w:rsidRDefault="00FF302D" w:rsidP="00B63604">
      <w:pPr>
        <w:pStyle w:val="NormalNumberedTextTLRI"/>
        <w:numPr>
          <w:ilvl w:val="2"/>
          <w:numId w:val="31"/>
        </w:numPr>
        <w:tabs>
          <w:tab w:val="clear" w:pos="720"/>
        </w:tabs>
        <w:spacing w:line="259" w:lineRule="auto"/>
      </w:pPr>
      <w:bookmarkStart w:id="45" w:name="_Toc91536369"/>
      <w:bookmarkStart w:id="46" w:name="_Toc91536875"/>
      <w:bookmarkStart w:id="47" w:name="_Toc91685197"/>
      <w:bookmarkStart w:id="48" w:name="_Toc91691954"/>
      <w:bookmarkStart w:id="49" w:name="_Toc91769135"/>
      <w:bookmarkStart w:id="50" w:name="_Toc91770047"/>
      <w:bookmarkStart w:id="51" w:name="_Toc91830005"/>
      <w:bookmarkStart w:id="52" w:name="_Toc91536370"/>
      <w:bookmarkStart w:id="53" w:name="_Toc91536876"/>
      <w:bookmarkStart w:id="54" w:name="_Toc91685198"/>
      <w:bookmarkStart w:id="55" w:name="_Toc91691955"/>
      <w:bookmarkStart w:id="56" w:name="_Toc91769136"/>
      <w:bookmarkStart w:id="57" w:name="_Toc91770048"/>
      <w:bookmarkStart w:id="58" w:name="_Toc91830006"/>
      <w:bookmarkStart w:id="59" w:name="_Toc85381214"/>
      <w:bookmarkStart w:id="60" w:name="_Toc85537733"/>
      <w:bookmarkStart w:id="61" w:name="_Toc85537867"/>
      <w:bookmarkStart w:id="62" w:name="_Toc91536377"/>
      <w:bookmarkStart w:id="63" w:name="_Toc77846271"/>
      <w:bookmarkStart w:id="64" w:name="_Toc77846323"/>
      <w:bookmarkStart w:id="65" w:name="_Toc77846375"/>
      <w:bookmarkStart w:id="66" w:name="_Toc77846535"/>
      <w:bookmarkStart w:id="67" w:name="_Toc77933326"/>
      <w:bookmarkStart w:id="68" w:name="_Ref14653157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113F13">
        <w:t xml:space="preserve">The </w:t>
      </w:r>
      <w:r w:rsidRPr="10DD744B">
        <w:rPr>
          <w:i/>
          <w:iCs/>
        </w:rPr>
        <w:t>Privacy Act 1988</w:t>
      </w:r>
      <w:r w:rsidRPr="00113F13">
        <w:t xml:space="preserve"> (Cth) (‘Privacy Act’) is the primary piece of privacy legislation operating at the federal level in Australia. The Act was intended to</w:t>
      </w:r>
      <w:r w:rsidRPr="10DD744B">
        <w:rPr>
          <w:i/>
          <w:iCs/>
        </w:rPr>
        <w:t xml:space="preserve"> </w:t>
      </w:r>
      <w:r w:rsidRPr="00113F13">
        <w:t>partially implement Australia’s privacy obligations under the ICCPR (</w:t>
      </w:r>
      <w:r w:rsidRPr="00621A8F">
        <w:t>described above at</w:t>
      </w:r>
      <w:r w:rsidR="00223B6E">
        <w:t xml:space="preserve"> </w:t>
      </w:r>
      <w:r w:rsidR="008B7E12">
        <w:t>[</w:t>
      </w:r>
      <w:r w:rsidR="008B7E12">
        <w:fldChar w:fldCharType="begin"/>
      </w:r>
      <w:r w:rsidR="008B7E12">
        <w:instrText xml:space="preserve"> REF _Ref146532230 \r \h </w:instrText>
      </w:r>
      <w:r w:rsidR="008B7E12">
        <w:fldChar w:fldCharType="separate"/>
      </w:r>
      <w:r w:rsidR="00462C30">
        <w:rPr>
          <w:cs/>
        </w:rPr>
        <w:t>‎</w:t>
      </w:r>
      <w:r w:rsidR="00462C30">
        <w:t>2.4.1</w:t>
      </w:r>
      <w:r w:rsidR="008B7E12">
        <w:fldChar w:fldCharType="end"/>
      </w:r>
      <w:r w:rsidR="008B7E12">
        <w:t>]</w:t>
      </w:r>
      <w:r w:rsidR="4CF8826A">
        <w:t xml:space="preserve"> and following</w:t>
      </w:r>
      <w:r w:rsidRPr="00113F13">
        <w:t>).</w:t>
      </w:r>
      <w:r w:rsidRPr="00113F13">
        <w:rPr>
          <w:rStyle w:val="FootnoteReference"/>
          <w:rFonts w:ascii="Times New Roman" w:hAnsi="Times New Roman"/>
        </w:rPr>
        <w:footnoteReference w:id="46"/>
      </w:r>
      <w:bookmarkEnd w:id="68"/>
    </w:p>
    <w:p w14:paraId="1F652969" w14:textId="495474B8" w:rsidR="00FF302D" w:rsidRPr="00113F13" w:rsidRDefault="00FF302D" w:rsidP="00B63604">
      <w:pPr>
        <w:pStyle w:val="NormalNumberedTextTLRI"/>
        <w:numPr>
          <w:ilvl w:val="2"/>
          <w:numId w:val="31"/>
        </w:numPr>
        <w:tabs>
          <w:tab w:val="clear" w:pos="720"/>
        </w:tabs>
        <w:spacing w:line="259" w:lineRule="auto"/>
      </w:pPr>
      <w:bookmarkStart w:id="69" w:name="_Ref147318203"/>
      <w:r w:rsidRPr="00113F13">
        <w:t>The Privacy Act, which enacted recommendations of a 1983 ALRC inquiry,</w:t>
      </w:r>
      <w:r w:rsidRPr="00113F13">
        <w:rPr>
          <w:rStyle w:val="FootnoteReference"/>
          <w:rFonts w:ascii="Times New Roman" w:hAnsi="Times New Roman"/>
        </w:rPr>
        <w:footnoteReference w:id="47"/>
      </w:r>
      <w:r w:rsidRPr="00113F13">
        <w:t xml:space="preserve"> introduced 11</w:t>
      </w:r>
      <w:r w:rsidR="007900B4">
        <w:t> </w:t>
      </w:r>
      <w:r w:rsidRPr="00113F13">
        <w:t>privacy principles applicable to the handling of personal information by Commonwealth government agencies and established a Privacy Commissioner to investigate complaints against mishandling.</w:t>
      </w:r>
      <w:r w:rsidRPr="00113F13">
        <w:rPr>
          <w:rStyle w:val="FootnoteReference"/>
          <w:rFonts w:ascii="Times New Roman" w:hAnsi="Times New Roman"/>
        </w:rPr>
        <w:footnoteReference w:id="48"/>
      </w:r>
      <w:r w:rsidRPr="00113F13">
        <w:t xml:space="preserve"> In 2000, the Act was amended to establish a separate set of principles applicable to some private sector organisations.</w:t>
      </w:r>
      <w:r w:rsidRPr="00113F13">
        <w:rPr>
          <w:rStyle w:val="FootnoteReference"/>
          <w:rFonts w:ascii="Times New Roman" w:hAnsi="Times New Roman"/>
        </w:rPr>
        <w:footnoteReference w:id="49"/>
      </w:r>
      <w:bookmarkEnd w:id="69"/>
    </w:p>
    <w:p w14:paraId="06F27511" w14:textId="00F8F7D9" w:rsidR="00FF302D" w:rsidRPr="00113F13" w:rsidRDefault="00FF302D" w:rsidP="00B63604">
      <w:pPr>
        <w:pStyle w:val="NormalNumberedTextTLRI"/>
        <w:numPr>
          <w:ilvl w:val="2"/>
          <w:numId w:val="31"/>
        </w:numPr>
        <w:tabs>
          <w:tab w:val="clear" w:pos="720"/>
        </w:tabs>
        <w:spacing w:line="259" w:lineRule="auto"/>
      </w:pPr>
      <w:bookmarkStart w:id="70" w:name="_Ref164764984"/>
      <w:r w:rsidRPr="00113F13">
        <w:t>In 2012, following another ALRC inquiry,</w:t>
      </w:r>
      <w:r w:rsidRPr="00113F13">
        <w:rPr>
          <w:rStyle w:val="FootnoteReference"/>
          <w:rFonts w:ascii="Times New Roman" w:hAnsi="Times New Roman"/>
        </w:rPr>
        <w:footnoteReference w:id="50"/>
      </w:r>
      <w:r w:rsidRPr="00113F13">
        <w:t xml:space="preserve"> the Privacy Act was further amended to provide a common set of privacy principles applicable to both the Commonwealth public sector and private organisations.</w:t>
      </w:r>
      <w:r w:rsidRPr="00113F13">
        <w:rPr>
          <w:rStyle w:val="FootnoteReference"/>
          <w:rFonts w:ascii="Times New Roman" w:hAnsi="Times New Roman"/>
        </w:rPr>
        <w:footnoteReference w:id="51"/>
      </w:r>
      <w:r w:rsidRPr="00113F13">
        <w:t xml:space="preserve"> Known as the Australian Privacy Principles (‘APPs’), they came into force on 12 March 2014.</w:t>
      </w:r>
      <w:r w:rsidRPr="00113F13">
        <w:rPr>
          <w:rStyle w:val="FootnoteReference"/>
          <w:rFonts w:ascii="Times New Roman" w:hAnsi="Times New Roman"/>
        </w:rPr>
        <w:footnoteReference w:id="52"/>
      </w:r>
      <w:bookmarkEnd w:id="70"/>
    </w:p>
    <w:p w14:paraId="6A48F853" w14:textId="77777777" w:rsidR="00FF302D" w:rsidRPr="00113F13" w:rsidRDefault="00FF302D">
      <w:pPr>
        <w:spacing w:after="200" w:line="276" w:lineRule="auto"/>
        <w:jc w:val="left"/>
        <w:rPr>
          <w:rFonts w:eastAsia="Times" w:cs="Times New Roman"/>
          <w:szCs w:val="20"/>
        </w:rPr>
      </w:pPr>
      <w:r w:rsidRPr="00113F13">
        <w:rPr>
          <w:rFonts w:cs="Times New Roman"/>
        </w:rPr>
        <w:br w:type="page"/>
      </w:r>
    </w:p>
    <w:p w14:paraId="1E81D170" w14:textId="77777777" w:rsidR="00FF302D" w:rsidRPr="00113F13" w:rsidRDefault="10DD744B" w:rsidP="00B63604">
      <w:pPr>
        <w:pStyle w:val="NormalNumberedTextTLRI"/>
        <w:numPr>
          <w:ilvl w:val="2"/>
          <w:numId w:val="31"/>
        </w:numPr>
        <w:tabs>
          <w:tab w:val="clear" w:pos="720"/>
        </w:tabs>
        <w:spacing w:line="259" w:lineRule="auto"/>
      </w:pPr>
      <w:r>
        <w:lastRenderedPageBreak/>
        <w:t>The 13 APPs address:</w:t>
      </w:r>
    </w:p>
    <w:p w14:paraId="754C7B5E" w14:textId="6B42D8CC"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Open and transparent management of personal information</w:t>
      </w:r>
    </w:p>
    <w:p w14:paraId="1225C282" w14:textId="7E83ECDD"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Anonymity and pseudonymity</w:t>
      </w:r>
    </w:p>
    <w:p w14:paraId="4DA3A45B" w14:textId="2622C3B6"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Collection of solicited personal information</w:t>
      </w:r>
    </w:p>
    <w:p w14:paraId="19E51A91" w14:textId="1EBAE679"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Dealing with unsolicited personal information</w:t>
      </w:r>
    </w:p>
    <w:p w14:paraId="0538E88C" w14:textId="03288322"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Notification of the collection of personal information</w:t>
      </w:r>
    </w:p>
    <w:p w14:paraId="733DFB5A" w14:textId="443B544B"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Use or disclosure of personal information</w:t>
      </w:r>
    </w:p>
    <w:p w14:paraId="2BE0AA40" w14:textId="331D89C8"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Direct marketing</w:t>
      </w:r>
    </w:p>
    <w:p w14:paraId="64F02B25" w14:textId="0F3B818B"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Cross-border disclosure of personal information</w:t>
      </w:r>
    </w:p>
    <w:p w14:paraId="6CB418BC" w14:textId="78E57AB3"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Adoption, use, or disclosure of government-related identifiers</w:t>
      </w:r>
    </w:p>
    <w:p w14:paraId="5425CC85" w14:textId="16A110A1"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Quality of personal information</w:t>
      </w:r>
    </w:p>
    <w:p w14:paraId="4923FDA1" w14:textId="3C079DAC"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Security of personal information</w:t>
      </w:r>
    </w:p>
    <w:p w14:paraId="04C5F83C" w14:textId="742C308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Access to personal information</w:t>
      </w:r>
    </w:p>
    <w:p w14:paraId="39D0DB1B"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Correction of personal information.</w:t>
      </w:r>
      <w:r w:rsidRPr="00113F13">
        <w:rPr>
          <w:rStyle w:val="FootnoteReference"/>
          <w:rFonts w:ascii="Times New Roman" w:hAnsi="Times New Roman" w:cs="Times New Roman"/>
        </w:rPr>
        <w:footnoteReference w:id="53"/>
      </w:r>
    </w:p>
    <w:p w14:paraId="1C727553" w14:textId="77777777" w:rsidR="00FF302D" w:rsidRPr="00113F13" w:rsidRDefault="00FF302D" w:rsidP="00B63604">
      <w:pPr>
        <w:pStyle w:val="NormalNumberedTextTLRI"/>
        <w:numPr>
          <w:ilvl w:val="2"/>
          <w:numId w:val="31"/>
        </w:numPr>
        <w:tabs>
          <w:tab w:val="clear" w:pos="720"/>
        </w:tabs>
        <w:spacing w:line="259" w:lineRule="auto"/>
      </w:pPr>
      <w:bookmarkStart w:id="71" w:name="_Ref146532143"/>
      <w:r w:rsidRPr="00113F13">
        <w:t>The independent Office of the Australian Information Commissioner (‘OAIC’) was established to handle complaints under the Privacy Act (among other responsibilities).</w:t>
      </w:r>
      <w:r w:rsidRPr="00113F13">
        <w:rPr>
          <w:rStyle w:val="FootnoteReference"/>
          <w:rFonts w:ascii="Times New Roman" w:hAnsi="Times New Roman"/>
        </w:rPr>
        <w:footnoteReference w:id="54"/>
      </w:r>
      <w:r w:rsidRPr="00113F13">
        <w:t xml:space="preserve"> The Information Commissioner must investigate complaints about acts or practices that may be an interference with privacy. If the Information Commissioner determines that a complaint is substantiated, they may make one or more declarations, including declarations that the conduct must not be repeated or continued, or that the complainant is entitled to compensation for loss or damage.</w:t>
      </w:r>
      <w:r w:rsidRPr="00113F13">
        <w:rPr>
          <w:rStyle w:val="FootnoteReference"/>
          <w:rFonts w:ascii="Times New Roman" w:hAnsi="Times New Roman"/>
        </w:rPr>
        <w:footnoteReference w:id="55"/>
      </w:r>
    </w:p>
    <w:p w14:paraId="6E0BB4CF" w14:textId="36761650" w:rsidR="00FF302D" w:rsidRPr="00113F13" w:rsidRDefault="00FF302D" w:rsidP="00B63604">
      <w:pPr>
        <w:pStyle w:val="NormalNumberedTextTLRI"/>
        <w:numPr>
          <w:ilvl w:val="2"/>
          <w:numId w:val="31"/>
        </w:numPr>
        <w:tabs>
          <w:tab w:val="clear" w:pos="720"/>
        </w:tabs>
        <w:spacing w:line="259" w:lineRule="auto"/>
      </w:pPr>
      <w:r w:rsidRPr="00EA22F8">
        <w:t xml:space="preserve">As noted in </w:t>
      </w:r>
      <w:r w:rsidR="0088707A">
        <w:t>[</w:t>
      </w:r>
      <w:r w:rsidR="002E35F0">
        <w:fldChar w:fldCharType="begin"/>
      </w:r>
      <w:r w:rsidR="002E35F0">
        <w:instrText xml:space="preserve"> REF _Ref157610341 \r \h </w:instrText>
      </w:r>
      <w:r w:rsidR="00C664C5">
        <w:instrText xml:space="preserve"> \* MERGEFORMAT </w:instrText>
      </w:r>
      <w:r w:rsidR="002E35F0">
        <w:fldChar w:fldCharType="separate"/>
      </w:r>
      <w:r w:rsidR="00462C30">
        <w:rPr>
          <w:cs/>
        </w:rPr>
        <w:t>‎</w:t>
      </w:r>
      <w:r w:rsidR="00462C30">
        <w:t>1.3.2</w:t>
      </w:r>
      <w:r w:rsidR="002E35F0">
        <w:fldChar w:fldCharType="end"/>
      </w:r>
      <w:r w:rsidR="00C664C5" w:rsidRPr="00EA22F8">
        <w:t>]</w:t>
      </w:r>
      <w:r w:rsidRPr="00C664C5">
        <w:t xml:space="preserve"> of</w:t>
      </w:r>
      <w:r w:rsidRPr="00113F13">
        <w:t xml:space="preserve"> this Report, the Commonwealth Attorney-General’s Department commenced a review of the Privacy Act (‘Privacy Act Review’) in October 2020.</w:t>
      </w:r>
      <w:r w:rsidRPr="00113F13">
        <w:rPr>
          <w:rStyle w:val="FootnoteReference"/>
          <w:rFonts w:ascii="Times New Roman" w:hAnsi="Times New Roman"/>
        </w:rPr>
        <w:footnoteReference w:id="56"/>
      </w:r>
      <w:r w:rsidRPr="00113F13">
        <w:t xml:space="preserve"> The review considered the scope and application of the Privacy Act and its protection of personal information, powers, and practices under that Act for monitoring and enforcement, and examined whether a Commonwealth statutory civil remedy for interference with privacy should be introduced.</w:t>
      </w:r>
      <w:bookmarkEnd w:id="71"/>
      <w:r w:rsidRPr="00113F13">
        <w:t xml:space="preserve"> It also considered approaches to information privacy protection in overseas jurisdictions, including Canada and New Zealand, and the European Union’s </w:t>
      </w:r>
      <w:r w:rsidRPr="10DD744B">
        <w:rPr>
          <w:i/>
          <w:iCs/>
        </w:rPr>
        <w:t>General Data Protection Regulation</w:t>
      </w:r>
      <w:r w:rsidR="008A0B47">
        <w:rPr>
          <w:i/>
          <w:iCs/>
        </w:rPr>
        <w:t xml:space="preserve"> 2016/679</w:t>
      </w:r>
      <w:r w:rsidRPr="00113F13">
        <w:t xml:space="preserve"> (‘GDPR’).</w:t>
      </w:r>
    </w:p>
    <w:p w14:paraId="52246A3A" w14:textId="104D9057" w:rsidR="00FF302D" w:rsidRPr="00113F13" w:rsidRDefault="10DD744B" w:rsidP="00B63604">
      <w:pPr>
        <w:pStyle w:val="NormalNumberedTextTLRI"/>
        <w:numPr>
          <w:ilvl w:val="2"/>
          <w:numId w:val="31"/>
        </w:numPr>
        <w:tabs>
          <w:tab w:val="clear" w:pos="720"/>
        </w:tabs>
        <w:spacing w:line="259" w:lineRule="auto"/>
      </w:pPr>
      <w:r>
        <w:t>The Privacy Act Review’s Final Report was made public in February 2023. It contained 116</w:t>
      </w:r>
      <w:r w:rsidR="00033D7E">
        <w:t> </w:t>
      </w:r>
      <w:r>
        <w:t>proposals for reform and reform-related activities to bring about major changes to how personal information is handled, how privacy protections are enforced, and how breaches of privacy are dealt with.</w:t>
      </w:r>
    </w:p>
    <w:p w14:paraId="5A0C04D1" w14:textId="77777777" w:rsidR="00FF302D" w:rsidRPr="00113F13" w:rsidRDefault="00FF302D" w:rsidP="00B63604">
      <w:pPr>
        <w:pStyle w:val="NormalNumberedTextTLRI"/>
        <w:numPr>
          <w:ilvl w:val="2"/>
          <w:numId w:val="31"/>
        </w:numPr>
        <w:tabs>
          <w:tab w:val="clear" w:pos="720"/>
        </w:tabs>
        <w:spacing w:line="259" w:lineRule="auto"/>
      </w:pPr>
      <w:bookmarkStart w:id="72" w:name="_Ref149553067"/>
      <w:r w:rsidRPr="00113F13">
        <w:lastRenderedPageBreak/>
        <w:t>The Commonwealth Government conducted a further round of consultations to inform its response to the Report, and published its response in September 2023. The Commonwealth Government agreed, or agreed in-principle, with the majority of the Privacy Act Review proposals. It undertook to develop legislative proposals and undertake further targeted consultation in relation to ‘agreed’ proposals, and to engage with entities (stakeholders) and conduct impact analysis to explore the implementation of proposals agreed to ‘in-principle’ in a manner that balanced privacy protections with impacts on regulated entities.</w:t>
      </w:r>
      <w:r w:rsidRPr="00113F13">
        <w:rPr>
          <w:rStyle w:val="FootnoteReference"/>
          <w:rFonts w:ascii="Times New Roman" w:hAnsi="Times New Roman"/>
        </w:rPr>
        <w:footnoteReference w:id="57"/>
      </w:r>
      <w:bookmarkEnd w:id="72"/>
    </w:p>
    <w:p w14:paraId="1A21A649" w14:textId="77777777" w:rsidR="00FF302D" w:rsidRPr="00113F13" w:rsidRDefault="10DD744B" w:rsidP="00B63604">
      <w:pPr>
        <w:pStyle w:val="NormalNumberedTextTLRI"/>
        <w:numPr>
          <w:ilvl w:val="2"/>
          <w:numId w:val="31"/>
        </w:numPr>
        <w:tabs>
          <w:tab w:val="clear" w:pos="720"/>
        </w:tabs>
        <w:spacing w:line="259" w:lineRule="auto"/>
      </w:pPr>
      <w:r>
        <w:t>Consideration of the adequacy of the Privacy Act in protecting Tasmanians’ privacy was not within the scope of this pro</w:t>
      </w:r>
      <w:r w:rsidRPr="10DD744B">
        <w:rPr>
          <w:rStyle w:val="NormalNumberedTextTLRIChar"/>
        </w:rPr>
        <w:t>ject. This Report nevertheless discusses the Privacy Act provisions, and the Privacy Act Review, w</w:t>
      </w:r>
      <w:r>
        <w:t>here doing so is necessary:</w:t>
      </w:r>
    </w:p>
    <w:p w14:paraId="17F508A0" w14:textId="43E4A4DD" w:rsidR="00FF302D" w:rsidRPr="00113F13" w:rsidRDefault="288D8F58" w:rsidP="00B63604">
      <w:pPr>
        <w:pStyle w:val="ListParagraph"/>
        <w:numPr>
          <w:ilvl w:val="0"/>
          <w:numId w:val="19"/>
        </w:numPr>
        <w:spacing w:after="160" w:line="259" w:lineRule="auto"/>
        <w:jc w:val="left"/>
        <w:rPr>
          <w:rFonts w:cs="Times New Roman"/>
        </w:rPr>
      </w:pPr>
      <w:r w:rsidRPr="288D8F58">
        <w:rPr>
          <w:rFonts w:cs="Times New Roman"/>
        </w:rPr>
        <w:t xml:space="preserve">to identify, via comparative analysis, potential gaps in privacy protections in Tasmanian law and/or ways to address those gaps (consistent with the Terms of </w:t>
      </w:r>
      <w:r w:rsidRPr="00E71EB5">
        <w:rPr>
          <w:rFonts w:cs="Times New Roman"/>
        </w:rPr>
        <w:t>Reference s</w:t>
      </w:r>
      <w:r w:rsidRPr="00EA22F8">
        <w:rPr>
          <w:rFonts w:cs="Times New Roman"/>
        </w:rPr>
        <w:t>et out at [1.2</w:t>
      </w:r>
      <w:r w:rsidRPr="00E71EB5">
        <w:rPr>
          <w:rFonts w:cs="Times New Roman"/>
        </w:rPr>
        <w:t>]);</w:t>
      </w:r>
      <w:r w:rsidRPr="288D8F58">
        <w:rPr>
          <w:rFonts w:cs="Times New Roman"/>
        </w:rPr>
        <w:t xml:space="preserve"> and/or</w:t>
      </w:r>
    </w:p>
    <w:p w14:paraId="2E58AE41" w14:textId="77777777" w:rsidR="00FF302D" w:rsidRPr="00EA22F8" w:rsidRDefault="00FF302D" w:rsidP="00B63604">
      <w:pPr>
        <w:pStyle w:val="Heading3"/>
        <w:numPr>
          <w:ilvl w:val="0"/>
          <w:numId w:val="19"/>
        </w:numPr>
        <w:rPr>
          <w:rFonts w:ascii="Times New Roman" w:hAnsi="Times New Roman" w:cs="Times New Roman"/>
          <w:color w:val="auto"/>
        </w:rPr>
      </w:pPr>
      <w:bookmarkStart w:id="73" w:name="_Toc164600234"/>
      <w:r w:rsidRPr="00EA22F8">
        <w:rPr>
          <w:rFonts w:ascii="Times New Roman" w:hAnsi="Times New Roman" w:cs="Times New Roman"/>
          <w:color w:val="auto"/>
        </w:rPr>
        <w:t>to assess whether gaps in Tasmanian privacy laws are already addressed at the Commonwealth level and hence do not require a state-level response.</w:t>
      </w:r>
      <w:bookmarkEnd w:id="73"/>
    </w:p>
    <w:p w14:paraId="1B21BC12" w14:textId="77777777" w:rsidR="00FF302D" w:rsidRPr="00113F13" w:rsidRDefault="00FF302D" w:rsidP="00FF302D">
      <w:pPr>
        <w:pStyle w:val="Sub-HeadingTLRI"/>
      </w:pPr>
      <w:bookmarkStart w:id="74" w:name="_Toc164606505"/>
      <w:r w:rsidRPr="00113F13">
        <w:t>The Personal Information Protection Act 2004 (Tas) (‘PIPA’)</w:t>
      </w:r>
      <w:bookmarkEnd w:id="74"/>
    </w:p>
    <w:p w14:paraId="7838CAD0" w14:textId="7C4D4D90" w:rsidR="00FF302D" w:rsidRPr="00113F13" w:rsidRDefault="00FF302D" w:rsidP="00B63604">
      <w:pPr>
        <w:pStyle w:val="NormalNumberedTextTLRI"/>
        <w:numPr>
          <w:ilvl w:val="2"/>
          <w:numId w:val="31"/>
        </w:numPr>
        <w:tabs>
          <w:tab w:val="clear" w:pos="720"/>
        </w:tabs>
        <w:spacing w:line="259" w:lineRule="auto"/>
      </w:pPr>
      <w:r w:rsidRPr="00113F13">
        <w:t xml:space="preserve">Tasmania, as with all </w:t>
      </w:r>
      <w:r w:rsidR="00564A1B">
        <w:t>S</w:t>
      </w:r>
      <w:r w:rsidRPr="00113F13">
        <w:t xml:space="preserve">tate and </w:t>
      </w:r>
      <w:r w:rsidR="00564A1B">
        <w:t>T</w:t>
      </w:r>
      <w:r w:rsidRPr="00113F13">
        <w:t>erritory jurisdictions except Western Australia and South Australia, has general legislation regulating how the state or territory public sector can handle personal information.</w:t>
      </w:r>
      <w:r w:rsidRPr="00113F13">
        <w:rPr>
          <w:rStyle w:val="FootnoteReference"/>
          <w:rFonts w:ascii="Times New Roman" w:hAnsi="Times New Roman"/>
        </w:rPr>
        <w:footnoteReference w:id="58"/>
      </w:r>
      <w:r w:rsidRPr="00113F13">
        <w:t xml:space="preserve"> These laws generally establish privacy principles that constitute some variation on the Commonwealth APPs and establish a process for investigation of complaints by an independent body </w:t>
      </w:r>
      <w:r w:rsidRPr="00E71EB5">
        <w:t>(</w:t>
      </w:r>
      <w:r w:rsidRPr="00EA22F8">
        <w:t>see Appendix 1</w:t>
      </w:r>
      <w:r w:rsidRPr="00113F13">
        <w:t xml:space="preserve"> for a description of privacy frameworks in other states and territories).</w:t>
      </w:r>
    </w:p>
    <w:p w14:paraId="35C98A52" w14:textId="1FD17ABF" w:rsidR="00FF302D" w:rsidRPr="00113F13" w:rsidRDefault="00FF302D" w:rsidP="00B63604">
      <w:pPr>
        <w:pStyle w:val="NormalNumberedTextTLRI"/>
        <w:numPr>
          <w:ilvl w:val="2"/>
          <w:numId w:val="31"/>
        </w:numPr>
        <w:tabs>
          <w:tab w:val="clear" w:pos="720"/>
        </w:tabs>
        <w:spacing w:line="259" w:lineRule="auto"/>
      </w:pPr>
      <w:r w:rsidRPr="00113F13">
        <w:t xml:space="preserve">In Tasmania, the </w:t>
      </w:r>
      <w:r w:rsidRPr="10DD744B">
        <w:rPr>
          <w:i/>
          <w:iCs/>
        </w:rPr>
        <w:t>Personal Information Protection Act 2004</w:t>
      </w:r>
      <w:r w:rsidRPr="00113F13">
        <w:t xml:space="preserve"> (Tas) (‘PIPA’) is the primary law for the protection of information privacy regarding information held by Tasmanian government agencies. The PIPA was passed in 2004 with broad bi-partisan support.</w:t>
      </w:r>
      <w:r w:rsidRPr="00113F13">
        <w:rPr>
          <w:rStyle w:val="FootnoteReference"/>
          <w:rFonts w:ascii="Times New Roman" w:hAnsi="Times New Roman"/>
        </w:rPr>
        <w:footnoteReference w:id="59"/>
      </w:r>
      <w:r w:rsidRPr="00113F13">
        <w:t xml:space="preserve"> Its key objective was to ‘ensure that the way in which the State and local government sectors collect, use, and disclose personal information is fully transparent’.</w:t>
      </w:r>
      <w:r w:rsidRPr="00113F13">
        <w:rPr>
          <w:rStyle w:val="FootnoteReference"/>
          <w:rFonts w:ascii="Times New Roman" w:hAnsi="Times New Roman"/>
        </w:rPr>
        <w:footnoteReference w:id="60"/>
      </w:r>
      <w:r w:rsidRPr="00113F13">
        <w:t xml:space="preserve"> The PIPA was a response to community concerns about the need to ensure ‘government bodies respect and properly control the personal information they collect and hold’</w:t>
      </w:r>
      <w:r w:rsidRPr="00113F13">
        <w:rPr>
          <w:rStyle w:val="FootnoteReference"/>
          <w:rFonts w:ascii="Times New Roman" w:hAnsi="Times New Roman"/>
        </w:rPr>
        <w:footnoteReference w:id="61"/>
      </w:r>
      <w:r w:rsidRPr="00113F13">
        <w:t xml:space="preserve"> in light of the growth of the information economy and increasing use of the internet to deliver government services. The introduction of the PIPA followed the expansion of Commonwealth privacy protection from the public sector to the private sector </w:t>
      </w:r>
      <w:r w:rsidRPr="00EA22F8">
        <w:t xml:space="preserve">described </w:t>
      </w:r>
      <w:r w:rsidR="00830E24" w:rsidRPr="00EA22F8">
        <w:t>at [</w:t>
      </w:r>
      <w:r w:rsidR="00830E24">
        <w:fldChar w:fldCharType="begin"/>
      </w:r>
      <w:r w:rsidR="00830E24">
        <w:instrText xml:space="preserve"> REF _Ref164764984 \r \h </w:instrText>
      </w:r>
      <w:r w:rsidR="009F46DF">
        <w:instrText xml:space="preserve"> \* MERGEFORMAT </w:instrText>
      </w:r>
      <w:r w:rsidR="00830E24">
        <w:fldChar w:fldCharType="separate"/>
      </w:r>
      <w:r w:rsidR="00462C30">
        <w:rPr>
          <w:cs/>
        </w:rPr>
        <w:t>‎</w:t>
      </w:r>
      <w:r w:rsidR="00462C30">
        <w:t>2.5.7</w:t>
      </w:r>
      <w:r w:rsidR="00830E24">
        <w:fldChar w:fldCharType="end"/>
      </w:r>
      <w:r w:rsidR="00830E24" w:rsidRPr="00EA22F8">
        <w:t>]</w:t>
      </w:r>
      <w:r w:rsidRPr="00EA22F8">
        <w:t xml:space="preserve"> above</w:t>
      </w:r>
      <w:r w:rsidRPr="00113F13">
        <w:t xml:space="preserve"> and was similar to legislation enacted in New South Wales, Victoria, and the Northern Territory.</w:t>
      </w:r>
    </w:p>
    <w:p w14:paraId="0FCC2FE7" w14:textId="77777777" w:rsidR="00FF302D" w:rsidRPr="00113F13" w:rsidRDefault="10DD744B" w:rsidP="00B63604">
      <w:pPr>
        <w:pStyle w:val="NormalNumberedTextTLRI"/>
        <w:numPr>
          <w:ilvl w:val="2"/>
          <w:numId w:val="31"/>
        </w:numPr>
        <w:tabs>
          <w:tab w:val="clear" w:pos="720"/>
        </w:tabs>
        <w:spacing w:line="259" w:lineRule="auto"/>
      </w:pPr>
      <w:r>
        <w:t>The PIPA generally requires public authorities and their contractors to comply with 10 Personal Information Protection Principles (‘PIPPs’) when handling personal information, although there are multiple exceptions established in the PIPA and in other legislation. In summary, the PIPPs address:</w:t>
      </w:r>
    </w:p>
    <w:p w14:paraId="275668AB" w14:textId="77777777" w:rsidR="00FF302D" w:rsidRPr="00113F13" w:rsidRDefault="00FF302D" w:rsidP="00B63604">
      <w:pPr>
        <w:pStyle w:val="Numberedlist"/>
        <w:numPr>
          <w:ilvl w:val="0"/>
          <w:numId w:val="18"/>
        </w:numPr>
        <w:rPr>
          <w:rFonts w:ascii="Times New Roman" w:hAnsi="Times New Roman" w:cs="Times New Roman"/>
        </w:rPr>
      </w:pPr>
      <w:r w:rsidRPr="00113F13">
        <w:rPr>
          <w:rFonts w:ascii="Times New Roman" w:hAnsi="Times New Roman" w:cs="Times New Roman"/>
        </w:rPr>
        <w:lastRenderedPageBreak/>
        <w:t>the collection of personal information;</w:t>
      </w:r>
    </w:p>
    <w:p w14:paraId="38FA20FE"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 xml:space="preserve">the use and disclosure of personal information; </w:t>
      </w:r>
    </w:p>
    <w:p w14:paraId="6ED084F1"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the quality of personal information;</w:t>
      </w:r>
    </w:p>
    <w:p w14:paraId="5088F521"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safeguarding personal information from misuse, loss, unauthorised access, modification or disclosure;</w:t>
      </w:r>
    </w:p>
    <w:p w14:paraId="3130DC44"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openness regarding policies on the handling of personal information;</w:t>
      </w:r>
    </w:p>
    <w:p w14:paraId="3A7ED80C"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the ability of individuals to access and correct their personal information;</w:t>
      </w:r>
    </w:p>
    <w:p w14:paraId="2F3318CE"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the assignment of unique identifiers to individuals;</w:t>
      </w:r>
    </w:p>
    <w:p w14:paraId="564B6582"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allowance of anonymous dealings with agencies;</w:t>
      </w:r>
    </w:p>
    <w:p w14:paraId="258221CA"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disclosure of personal information to a body outside of Tasmania; and</w:t>
      </w:r>
    </w:p>
    <w:p w14:paraId="0C571C00" w14:textId="77777777" w:rsidR="00FF302D" w:rsidRPr="00113F13" w:rsidRDefault="00FF302D" w:rsidP="00FF302D">
      <w:pPr>
        <w:pStyle w:val="Numberedlist"/>
        <w:rPr>
          <w:rFonts w:ascii="Times New Roman" w:hAnsi="Times New Roman" w:cs="Times New Roman"/>
        </w:rPr>
      </w:pPr>
      <w:r w:rsidRPr="00113F13">
        <w:rPr>
          <w:rFonts w:ascii="Times New Roman" w:hAnsi="Times New Roman" w:cs="Times New Roman"/>
        </w:rPr>
        <w:t xml:space="preserve">the collection of sensitive information, such as information on race, ethnicity, or criminal history.  </w:t>
      </w:r>
    </w:p>
    <w:p w14:paraId="04D9E8C5" w14:textId="77777777" w:rsidR="00FF302D" w:rsidRPr="00113F13" w:rsidRDefault="00FF302D" w:rsidP="00B63604">
      <w:pPr>
        <w:pStyle w:val="NormalNumberedTextTLRI"/>
        <w:numPr>
          <w:ilvl w:val="2"/>
          <w:numId w:val="31"/>
        </w:numPr>
        <w:tabs>
          <w:tab w:val="clear" w:pos="720"/>
        </w:tabs>
        <w:spacing w:line="259" w:lineRule="auto"/>
      </w:pPr>
      <w:r w:rsidRPr="00113F13">
        <w:t>Complaints relating to a contravention of the PIPPs can be made to the Ombudsman, who may either deal with the matter or refer it to another person, body, or authority. If the Ombudsman finds a contravention, the Ombudsman must provide this advice and any recommendations to the Minister</w:t>
      </w:r>
      <w:bookmarkStart w:id="75" w:name="_Ref91831330"/>
      <w:r w:rsidRPr="00113F13">
        <w:t xml:space="preserve"> for Justice and Industrial Relations;</w:t>
      </w:r>
      <w:r w:rsidRPr="00113F13">
        <w:rPr>
          <w:rStyle w:val="FootnoteReference"/>
          <w:rFonts w:ascii="Times New Roman" w:hAnsi="Times New Roman"/>
        </w:rPr>
        <w:footnoteReference w:id="62"/>
      </w:r>
      <w:bookmarkEnd w:id="75"/>
      <w:r w:rsidRPr="00113F13">
        <w:t xml:space="preserve"> the Minister must table the advice and recommendations in both Houses of Parliament within 5 sitting days.</w:t>
      </w:r>
      <w:r w:rsidRPr="00113F13">
        <w:rPr>
          <w:rStyle w:val="FootnoteReference"/>
          <w:rFonts w:ascii="Times New Roman" w:hAnsi="Times New Roman"/>
        </w:rPr>
        <w:footnoteReference w:id="63"/>
      </w:r>
    </w:p>
    <w:p w14:paraId="36C38CF5" w14:textId="6333DCC0" w:rsidR="00FF302D" w:rsidRPr="00113F13" w:rsidRDefault="10DD744B" w:rsidP="00B63604">
      <w:pPr>
        <w:pStyle w:val="NormalNumberedTextTLRI"/>
        <w:numPr>
          <w:ilvl w:val="2"/>
          <w:numId w:val="31"/>
        </w:numPr>
        <w:tabs>
          <w:tab w:val="clear" w:pos="720"/>
        </w:tabs>
        <w:spacing w:line="259" w:lineRule="auto"/>
      </w:pPr>
      <w:r>
        <w:t>Part</w:t>
      </w:r>
      <w:r w:rsidR="00F71CD6">
        <w:t>s</w:t>
      </w:r>
      <w:r>
        <w:t xml:space="preserve"> 2</w:t>
      </w:r>
      <w:r w:rsidR="001A1551">
        <w:t>–4</w:t>
      </w:r>
      <w:r>
        <w:t xml:space="preserve"> of this Repor</w:t>
      </w:r>
      <w:r w:rsidR="00F71CD6">
        <w:t>t</w:t>
      </w:r>
      <w:r>
        <w:t xml:space="preserve"> conside</w:t>
      </w:r>
      <w:r w:rsidR="00F71CD6">
        <w:t>r</w:t>
      </w:r>
      <w:r>
        <w:t xml:space="preserve"> the adequacy of the PIPA in protecting Tasmanians’ privacy. It identifies a range of gaps or shortcomings of the existing system and recommends a range of reforms.</w:t>
      </w:r>
    </w:p>
    <w:p w14:paraId="0703601C" w14:textId="77777777" w:rsidR="00FF302D" w:rsidRPr="00113F13" w:rsidRDefault="00FF302D" w:rsidP="00FF302D">
      <w:pPr>
        <w:pStyle w:val="Sub-HeadingTLRI"/>
      </w:pPr>
      <w:bookmarkStart w:id="76" w:name="_Toc164606506"/>
      <w:r w:rsidRPr="00113F13">
        <w:t>Other Tasmanian legislation</w:t>
      </w:r>
      <w:bookmarkEnd w:id="76"/>
    </w:p>
    <w:p w14:paraId="278AC221" w14:textId="77777777" w:rsidR="00FF302D" w:rsidRPr="00113F13" w:rsidRDefault="00FF302D" w:rsidP="00B63604">
      <w:pPr>
        <w:pStyle w:val="NormalNumberedTextTLRI"/>
        <w:numPr>
          <w:ilvl w:val="2"/>
          <w:numId w:val="31"/>
        </w:numPr>
        <w:tabs>
          <w:tab w:val="clear" w:pos="720"/>
        </w:tabs>
        <w:spacing w:line="259" w:lineRule="auto"/>
      </w:pPr>
      <w:r w:rsidRPr="00113F13">
        <w:t xml:space="preserve">Other legislation affects the Tasmanian Government’s access to, and use or disclosure of, personal information. Some is general in scope, such as the </w:t>
      </w:r>
      <w:r w:rsidRPr="10DD744B">
        <w:rPr>
          <w:i/>
          <w:iCs/>
        </w:rPr>
        <w:t>Right to Information Act 2009</w:t>
      </w:r>
      <w:r w:rsidRPr="00113F13">
        <w:t xml:space="preserve"> (Tas), which creates a legally enforceable right for a person to be provided information held by a public authority or Minister.</w:t>
      </w:r>
      <w:r w:rsidRPr="00113F13">
        <w:rPr>
          <w:rStyle w:val="FootnoteReference"/>
          <w:rFonts w:ascii="Times New Roman" w:hAnsi="Times New Roman"/>
        </w:rPr>
        <w:footnoteReference w:id="64"/>
      </w:r>
      <w:r w:rsidRPr="00113F13">
        <w:t xml:space="preserve"> Other legislation only applies in specific contexts. For example, provisions of the </w:t>
      </w:r>
      <w:r w:rsidRPr="10DD744B">
        <w:rPr>
          <w:i/>
          <w:iCs/>
        </w:rPr>
        <w:t xml:space="preserve">Family Violence Act 2004 </w:t>
      </w:r>
      <w:r w:rsidRPr="00113F13">
        <w:t xml:space="preserve">(Tas), the </w:t>
      </w:r>
      <w:r w:rsidRPr="10DD744B">
        <w:rPr>
          <w:i/>
          <w:iCs/>
        </w:rPr>
        <w:t xml:space="preserve">Children, Young Person and their Families Act 1997 </w:t>
      </w:r>
      <w:r w:rsidRPr="00113F13">
        <w:t xml:space="preserve">(Tas) and the </w:t>
      </w:r>
      <w:r w:rsidRPr="10DD744B">
        <w:rPr>
          <w:i/>
          <w:iCs/>
        </w:rPr>
        <w:t xml:space="preserve">Dangerous Criminals and High Risk Offenders Act 2021 </w:t>
      </w:r>
      <w:r w:rsidRPr="00113F13">
        <w:t xml:space="preserve">(Tas) (among others) qualify or exempt personal information custodians from the operation of the PIPA in specific circumstances. </w:t>
      </w:r>
    </w:p>
    <w:p w14:paraId="1146290F" w14:textId="77777777" w:rsidR="00FF302D" w:rsidRPr="00113F13" w:rsidRDefault="10DD744B" w:rsidP="00B63604">
      <w:pPr>
        <w:pStyle w:val="NormalNumberedTextTLRI"/>
        <w:numPr>
          <w:ilvl w:val="2"/>
          <w:numId w:val="31"/>
        </w:numPr>
        <w:tabs>
          <w:tab w:val="clear" w:pos="720"/>
        </w:tabs>
        <w:spacing w:line="259" w:lineRule="auto"/>
      </w:pPr>
      <w:r w:rsidRPr="00EA22F8">
        <w:t xml:space="preserve">Part 9 of this Report </w:t>
      </w:r>
      <w:r>
        <w:t>examines the adequacy of this other legislation that bears on privacy relating to government-held information.</w:t>
      </w:r>
    </w:p>
    <w:p w14:paraId="4BA1D959" w14:textId="77777777" w:rsidR="00FF302D" w:rsidRPr="00113F13" w:rsidRDefault="10DD744B" w:rsidP="00B63604">
      <w:pPr>
        <w:pStyle w:val="NormalNumberedTextTLRI"/>
        <w:numPr>
          <w:ilvl w:val="2"/>
          <w:numId w:val="31"/>
        </w:numPr>
        <w:tabs>
          <w:tab w:val="clear" w:pos="720"/>
        </w:tabs>
        <w:spacing w:line="259" w:lineRule="auto"/>
      </w:pPr>
      <w:bookmarkStart w:id="77" w:name="_Ref147320756"/>
      <w:r>
        <w:t xml:space="preserve">Other legislative privacy protections extend beyond the protection of government-held information and information privacy rights. Information privacy rights relating to individuals’ health information are also protected by provisions of the </w:t>
      </w:r>
      <w:r w:rsidRPr="10DD744B">
        <w:rPr>
          <w:i/>
          <w:iCs/>
        </w:rPr>
        <w:t xml:space="preserve">Health Complaints Act 1995 </w:t>
      </w:r>
      <w:r>
        <w:t>(Tas)</w:t>
      </w:r>
      <w:r w:rsidRPr="10DD744B">
        <w:rPr>
          <w:i/>
          <w:iCs/>
        </w:rPr>
        <w:t xml:space="preserve"> </w:t>
      </w:r>
      <w:r>
        <w:t xml:space="preserve">and the </w:t>
      </w:r>
      <w:r w:rsidRPr="10DD744B">
        <w:rPr>
          <w:i/>
          <w:iCs/>
        </w:rPr>
        <w:t>Tasmanian Charter of Health Rights and Responsibilities</w:t>
      </w:r>
      <w:r>
        <w:t>. Bodily and territorial privacy, otherwise known as rights to seclusion, are also protected through legislation including:</w:t>
      </w:r>
      <w:bookmarkEnd w:id="77"/>
    </w:p>
    <w:p w14:paraId="1B1C0E51" w14:textId="77777777" w:rsidR="00FF302D" w:rsidRPr="00113F13" w:rsidRDefault="00FF302D" w:rsidP="00FF302D">
      <w:pPr>
        <w:pStyle w:val="DotPointTLRI"/>
      </w:pPr>
      <w:r w:rsidRPr="00113F13">
        <w:lastRenderedPageBreak/>
        <w:t xml:space="preserve">the </w:t>
      </w:r>
      <w:r w:rsidRPr="00113F13">
        <w:rPr>
          <w:i/>
          <w:iCs/>
        </w:rPr>
        <w:t>Listening Devices Act 1991</w:t>
      </w:r>
      <w:r w:rsidRPr="00113F13">
        <w:t xml:space="preserve"> (Tas),</w:t>
      </w:r>
      <w:r w:rsidRPr="00113F13">
        <w:rPr>
          <w:i/>
          <w:iCs/>
        </w:rPr>
        <w:t xml:space="preserve"> </w:t>
      </w:r>
      <w:r w:rsidRPr="00113F13">
        <w:t>which restricts the use of listening devices to record and listen to private conversations;</w:t>
      </w:r>
    </w:p>
    <w:p w14:paraId="1E5DEAE1" w14:textId="77777777" w:rsidR="00FF302D" w:rsidRPr="00113F13" w:rsidRDefault="00FF302D" w:rsidP="00FF302D">
      <w:pPr>
        <w:pStyle w:val="DotPointTLRI"/>
      </w:pPr>
      <w:r w:rsidRPr="00113F13">
        <w:t xml:space="preserve">criminal laws, such as the </w:t>
      </w:r>
      <w:r w:rsidRPr="00113F13">
        <w:rPr>
          <w:i/>
          <w:iCs/>
        </w:rPr>
        <w:t xml:space="preserve">Police Offences Act 1935 </w:t>
      </w:r>
      <w:r w:rsidRPr="00113F13">
        <w:t xml:space="preserve">(Tas), which makes it an offence to observe or visually record another person in breach of privacy, and the </w:t>
      </w:r>
      <w:r w:rsidRPr="00113F13">
        <w:rPr>
          <w:i/>
          <w:iCs/>
        </w:rPr>
        <w:t xml:space="preserve">Criminal Code </w:t>
      </w:r>
      <w:r w:rsidRPr="00113F13">
        <w:t>(Tas), which makes it a crime to engage in stalking or bullying;</w:t>
      </w:r>
    </w:p>
    <w:p w14:paraId="14088F16" w14:textId="77777777" w:rsidR="00FF302D" w:rsidRPr="00113F13" w:rsidRDefault="00FF302D" w:rsidP="00FF302D">
      <w:pPr>
        <w:pStyle w:val="DotPointTLRI"/>
      </w:pPr>
      <w:r w:rsidRPr="00113F13">
        <w:t xml:space="preserve">the </w:t>
      </w:r>
      <w:r w:rsidRPr="00113F13">
        <w:rPr>
          <w:i/>
          <w:iCs/>
        </w:rPr>
        <w:t xml:space="preserve">Evidence Act 2001 </w:t>
      </w:r>
      <w:r w:rsidRPr="00113F13">
        <w:t>(Tas), which states that inconsistency with a right recognised in the ICCPR is one matter that a court may take into consideration in determining whether evidence improperly or illegally obtained should be admitted;</w:t>
      </w:r>
      <w:r w:rsidRPr="00113F13">
        <w:rPr>
          <w:rStyle w:val="FootnoteReference"/>
          <w:rFonts w:ascii="Times New Roman" w:hAnsi="Times New Roman"/>
        </w:rPr>
        <w:footnoteReference w:id="65"/>
      </w:r>
    </w:p>
    <w:p w14:paraId="2765EE33" w14:textId="77777777" w:rsidR="00FF302D" w:rsidRPr="00113F13" w:rsidRDefault="00FF302D" w:rsidP="00FF302D">
      <w:pPr>
        <w:pStyle w:val="DotPointTLRI"/>
      </w:pPr>
      <w:r w:rsidRPr="00113F13">
        <w:t xml:space="preserve">legislation where the powers or activities regulated by the legislation may impact on a person’s privacy, such as the </w:t>
      </w:r>
      <w:r w:rsidRPr="00113F13">
        <w:rPr>
          <w:i/>
          <w:iCs/>
        </w:rPr>
        <w:t xml:space="preserve">Children, Young Persons and Their Families Act 1997 </w:t>
      </w:r>
      <w:r w:rsidRPr="00113F13">
        <w:t>(Tas)</w:t>
      </w:r>
      <w:r w:rsidRPr="00113F13">
        <w:rPr>
          <w:rStyle w:val="FootnoteReference"/>
          <w:rFonts w:ascii="Times New Roman" w:hAnsi="Times New Roman"/>
        </w:rPr>
        <w:footnoteReference w:id="66"/>
      </w:r>
      <w:r w:rsidRPr="00113F13">
        <w:t xml:space="preserve"> and the </w:t>
      </w:r>
      <w:r w:rsidRPr="00113F13">
        <w:rPr>
          <w:i/>
          <w:iCs/>
        </w:rPr>
        <w:t xml:space="preserve">Disability Services Act 2011 </w:t>
      </w:r>
      <w:r w:rsidRPr="00113F13">
        <w:t>(Tas),</w:t>
      </w:r>
      <w:r w:rsidRPr="00113F13">
        <w:rPr>
          <w:rStyle w:val="FootnoteReference"/>
          <w:rFonts w:ascii="Times New Roman" w:hAnsi="Times New Roman"/>
        </w:rPr>
        <w:footnoteReference w:id="67"/>
      </w:r>
      <w:r w:rsidRPr="00113F13">
        <w:t xml:space="preserve"> which correspondingly mandate that children and persons with disability must be treated in a manner respecting their dignity and privacy; and</w:t>
      </w:r>
    </w:p>
    <w:p w14:paraId="0C6FDEA4" w14:textId="77777777" w:rsidR="00FF302D" w:rsidRPr="00113F13" w:rsidRDefault="00FF302D" w:rsidP="00FF302D">
      <w:pPr>
        <w:pStyle w:val="DotPointTLRI"/>
      </w:pPr>
      <w:r w:rsidRPr="00113F13">
        <w:t xml:space="preserve">legislation that affords specific privacy protections in particular circumstances, such as the </w:t>
      </w:r>
      <w:r w:rsidRPr="00113F13">
        <w:rPr>
          <w:i/>
          <w:iCs/>
        </w:rPr>
        <w:t xml:space="preserve">Residential Tenancy Act 1997 </w:t>
      </w:r>
      <w:r w:rsidRPr="00113F13">
        <w:t>(Tas), which states that all non-social housing residential tenancy arrangements must include window coverings for privacy,</w:t>
      </w:r>
      <w:r w:rsidRPr="00113F13">
        <w:rPr>
          <w:rStyle w:val="FootnoteReference"/>
          <w:rFonts w:ascii="Times New Roman" w:hAnsi="Times New Roman"/>
        </w:rPr>
        <w:footnoteReference w:id="68"/>
      </w:r>
      <w:r w:rsidRPr="00113F13">
        <w:t xml:space="preserve"> and the </w:t>
      </w:r>
      <w:r w:rsidRPr="00113F13">
        <w:rPr>
          <w:i/>
          <w:iCs/>
        </w:rPr>
        <w:t xml:space="preserve">Access to Neighbouring Land Act 1992 </w:t>
      </w:r>
      <w:r w:rsidRPr="00113F13">
        <w:t>(Tas), which holds that, if a court has granted an order permitting a person to access to neighbouring land to carry out work (such as to repair drains), the order may be subject to conditions to avoid or minimise loss of privacy.</w:t>
      </w:r>
      <w:r w:rsidRPr="00113F13">
        <w:rPr>
          <w:rStyle w:val="FootnoteReference"/>
          <w:rFonts w:ascii="Times New Roman" w:hAnsi="Times New Roman"/>
        </w:rPr>
        <w:footnoteReference w:id="69"/>
      </w:r>
    </w:p>
    <w:p w14:paraId="3ABCF153" w14:textId="7F0798B8" w:rsidR="00FF302D" w:rsidRPr="00113F13" w:rsidRDefault="10DD744B" w:rsidP="00B63604">
      <w:pPr>
        <w:pStyle w:val="NormalNumberedTextTLRI"/>
        <w:numPr>
          <w:ilvl w:val="2"/>
          <w:numId w:val="31"/>
        </w:numPr>
        <w:tabs>
          <w:tab w:val="clear" w:pos="720"/>
        </w:tabs>
        <w:spacing w:line="259" w:lineRule="auto"/>
      </w:pPr>
      <w:bookmarkStart w:id="78" w:name="_Ref147320730"/>
      <w:r>
        <w:t xml:space="preserve">Part </w:t>
      </w:r>
      <w:r w:rsidR="007014A5">
        <w:t>10</w:t>
      </w:r>
      <w:r>
        <w:t xml:space="preserve"> of this Report discusses the adequacy of other Tasmanian laws in protecting individuals’ information, bodily, and territorial privacy.</w:t>
      </w:r>
      <w:bookmarkEnd w:id="78"/>
    </w:p>
    <w:p w14:paraId="7D82DC62" w14:textId="09F3A6D3" w:rsidR="00FF302D" w:rsidRPr="00113F13" w:rsidRDefault="00FF302D" w:rsidP="00FF302D">
      <w:pPr>
        <w:pStyle w:val="Sub-HeadingTLRI"/>
      </w:pPr>
      <w:bookmarkStart w:id="79" w:name="_Toc164606507"/>
      <w:r w:rsidRPr="00113F13">
        <w:t>The general law in Tasmania</w:t>
      </w:r>
      <w:bookmarkEnd w:id="79"/>
      <w:r w:rsidRPr="00113F13">
        <w:t xml:space="preserve"> </w:t>
      </w:r>
    </w:p>
    <w:p w14:paraId="204D96A3" w14:textId="617AD430" w:rsidR="00FF302D" w:rsidRPr="00113F13" w:rsidRDefault="00FF302D" w:rsidP="00B63604">
      <w:pPr>
        <w:pStyle w:val="NormalNumberedTextTLRI"/>
        <w:numPr>
          <w:ilvl w:val="2"/>
          <w:numId w:val="31"/>
        </w:numPr>
        <w:tabs>
          <w:tab w:val="clear" w:pos="720"/>
        </w:tabs>
        <w:spacing w:line="259" w:lineRule="auto"/>
      </w:pPr>
      <w:r w:rsidRPr="00113F13">
        <w:t xml:space="preserve">Tasmanian courts have acknowledged privacy, or a right to privacy, as a relevant consideration in a small number of cases. These cases have generally involved the interpretation and application of legislation that obliges decision-makers to treat privacy as a relevant consideration, or to consider Australia’s obligations under the ICCPR more generally. For example, in several cases concerning whether improperly or illegally obtained evidence should be admitted under the </w:t>
      </w:r>
      <w:r w:rsidRPr="10DD744B">
        <w:rPr>
          <w:i/>
          <w:iCs/>
        </w:rPr>
        <w:t>Evidence Act 2001</w:t>
      </w:r>
      <w:r w:rsidRPr="00113F13">
        <w:t xml:space="preserve"> (Tas) (</w:t>
      </w:r>
      <w:r w:rsidRPr="0076054E">
        <w:t>s</w:t>
      </w:r>
      <w:r w:rsidRPr="00EA22F8">
        <w:t>ee</w:t>
      </w:r>
      <w:r w:rsidR="00436348" w:rsidRPr="00EA22F8">
        <w:t xml:space="preserve"> </w:t>
      </w:r>
      <w:r w:rsidR="007014A5">
        <w:t>[</w:t>
      </w:r>
      <w:r w:rsidR="00DA0F9B">
        <w:fldChar w:fldCharType="begin"/>
      </w:r>
      <w:r w:rsidR="00DA0F9B">
        <w:instrText xml:space="preserve"> REF _Ref147320756 \r \h </w:instrText>
      </w:r>
      <w:r w:rsidR="0076054E">
        <w:instrText xml:space="preserve"> \* MERGEFORMAT </w:instrText>
      </w:r>
      <w:r w:rsidR="00DA0F9B">
        <w:fldChar w:fldCharType="separate"/>
      </w:r>
      <w:r w:rsidR="00462C30">
        <w:rPr>
          <w:cs/>
        </w:rPr>
        <w:t>‎</w:t>
      </w:r>
      <w:r w:rsidR="00462C30">
        <w:t>2.5.21</w:t>
      </w:r>
      <w:r w:rsidR="00DA0F9B">
        <w:fldChar w:fldCharType="end"/>
      </w:r>
      <w:r w:rsidR="0076054E">
        <w:t>]</w:t>
      </w:r>
      <w:r w:rsidRPr="00EA22F8">
        <w:t xml:space="preserve"> above</w:t>
      </w:r>
      <w:r w:rsidRPr="00113F13">
        <w:t>), the Tasmanian Supreme Court has determined that one factor weighing against the evidence being admitted is that the evidence was obtained in a manner that constituted an interference with the accused’s right to privacy under art 17 of the ICCPR.</w:t>
      </w:r>
      <w:r w:rsidRPr="00113F13">
        <w:rPr>
          <w:rStyle w:val="FootnoteReference"/>
          <w:rFonts w:ascii="Times New Roman" w:hAnsi="Times New Roman"/>
        </w:rPr>
        <w:footnoteReference w:id="70"/>
      </w:r>
      <w:r w:rsidRPr="00113F13">
        <w:t xml:space="preserve"> </w:t>
      </w:r>
    </w:p>
    <w:p w14:paraId="5B98A894"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the 2019 case of </w:t>
      </w:r>
      <w:r w:rsidRPr="10DD744B">
        <w:rPr>
          <w:i/>
          <w:iCs/>
        </w:rPr>
        <w:t>Clubb v Edwards; Preston v Avery</w:t>
      </w:r>
      <w:r w:rsidRPr="00113F13">
        <w:t xml:space="preserve">, the majority of the High Court of Australia also inferred a legislative purpose to ‘protect the safety, wellbeing, privacy and dignity of </w:t>
      </w:r>
      <w:r w:rsidRPr="00113F13">
        <w:lastRenderedPageBreak/>
        <w:t>persons accessing’ abortion clinics</w:t>
      </w:r>
      <w:r w:rsidRPr="00113F13">
        <w:rPr>
          <w:rStyle w:val="FootnoteReference"/>
          <w:rFonts w:ascii="Times New Roman" w:hAnsi="Times New Roman"/>
        </w:rPr>
        <w:footnoteReference w:id="71"/>
      </w:r>
      <w:r w:rsidRPr="00113F13">
        <w:t xml:space="preserve"> in the </w:t>
      </w:r>
      <w:r w:rsidRPr="10DD744B">
        <w:rPr>
          <w:i/>
          <w:iCs/>
        </w:rPr>
        <w:t xml:space="preserve">Reproductive Health (Access to Terminations) Act 2013 </w:t>
      </w:r>
      <w:r w:rsidRPr="00113F13">
        <w:t>(Tas) and considered this to be a ‘legitimate purpose’ that—in combination with other factors —constituted a justifiable interference with the implied constitutional right to freedom of political communication of anti-abortion protestors.</w:t>
      </w:r>
      <w:r w:rsidRPr="00113F13">
        <w:rPr>
          <w:rStyle w:val="FootnoteReference"/>
          <w:rFonts w:ascii="Times New Roman" w:hAnsi="Times New Roman"/>
        </w:rPr>
        <w:footnoteReference w:id="72"/>
      </w:r>
    </w:p>
    <w:p w14:paraId="0A882CE8" w14:textId="77777777" w:rsidR="00FF302D" w:rsidRPr="00113F13" w:rsidRDefault="00FF302D" w:rsidP="00B63604">
      <w:pPr>
        <w:pStyle w:val="NormalNumberedTextTLRI"/>
        <w:numPr>
          <w:ilvl w:val="2"/>
          <w:numId w:val="31"/>
        </w:numPr>
        <w:tabs>
          <w:tab w:val="clear" w:pos="720"/>
        </w:tabs>
        <w:spacing w:line="259" w:lineRule="auto"/>
      </w:pPr>
      <w:r w:rsidRPr="00113F13">
        <w:t>Neither Commonwealth nor state and territory (including Tasmanian) courts have recognised a standalone right to privacy, nor a legal avenue for people to seek compensation for serious invasions of their privacy</w:t>
      </w:r>
      <w:bookmarkStart w:id="80" w:name="_Toc91536794"/>
      <w:bookmarkStart w:id="81" w:name="_Toc91536795"/>
      <w:bookmarkEnd w:id="80"/>
      <w:bookmarkEnd w:id="81"/>
      <w:r w:rsidRPr="00113F13">
        <w:t xml:space="preserve"> in most areas of life. For example, the High Court of Australia raised the possibility of the establishment of a standalone action for interference with privacy in the 2001 case of </w:t>
      </w:r>
      <w:r w:rsidRPr="10DD744B">
        <w:rPr>
          <w:i/>
          <w:iCs/>
        </w:rPr>
        <w:t>Lenah Game Meats</w:t>
      </w:r>
      <w:r w:rsidRPr="00113F13">
        <w:t>,</w:t>
      </w:r>
      <w:r w:rsidRPr="00113F13">
        <w:rPr>
          <w:rStyle w:val="FootnoteReference"/>
          <w:rFonts w:ascii="Times New Roman" w:hAnsi="Times New Roman"/>
        </w:rPr>
        <w:footnoteReference w:id="73"/>
      </w:r>
      <w:r w:rsidRPr="00113F13">
        <w:t xml:space="preserve"> but the common law has not developed since that time. Consequently, there is no avenue for Tasmanians—or for people in other Australian jurisdictions—to seek compensation for violations of bodily privacy or territorial privacy, or for violations of information privacy by individuals or other entities not covered by legislation.</w:t>
      </w:r>
      <w:r w:rsidRPr="00113F13">
        <w:rPr>
          <w:rStyle w:val="FootnoteReference"/>
          <w:rFonts w:ascii="Times New Roman" w:hAnsi="Times New Roman"/>
        </w:rPr>
        <w:footnoteReference w:id="74"/>
      </w:r>
    </w:p>
    <w:p w14:paraId="252F6C6A" w14:textId="2FC4EE0E" w:rsidR="00CC2555" w:rsidRDefault="10DD744B" w:rsidP="00B63604">
      <w:pPr>
        <w:pStyle w:val="NormalNumberedTextTLRI"/>
        <w:numPr>
          <w:ilvl w:val="2"/>
          <w:numId w:val="31"/>
        </w:numPr>
        <w:tabs>
          <w:tab w:val="clear" w:pos="720"/>
        </w:tabs>
        <w:spacing w:line="259" w:lineRule="auto"/>
      </w:pPr>
      <w:r>
        <w:t xml:space="preserve">Part </w:t>
      </w:r>
      <w:r w:rsidR="0046082C">
        <w:t>11</w:t>
      </w:r>
      <w:r>
        <w:t xml:space="preserve"> of this Report discusses general law privacy protections and recommends the enactment of a statutory tort for serious invasions of privacy either in Tasmania or at the Commonwealth level.</w:t>
      </w:r>
    </w:p>
    <w:p w14:paraId="275EF7D3" w14:textId="77777777" w:rsidR="00FF302D" w:rsidRPr="00113F13" w:rsidRDefault="00FF302D" w:rsidP="00BF1FE7">
      <w:pPr>
        <w:pStyle w:val="NumberedHeadingTLRI"/>
      </w:pPr>
      <w:bookmarkStart w:id="82" w:name="_Toc164606508"/>
      <w:r w:rsidRPr="00113F13">
        <w:t>Consistency of information privacy regulation across jurisdictions</w:t>
      </w:r>
      <w:bookmarkEnd w:id="82"/>
    </w:p>
    <w:p w14:paraId="015620EA" w14:textId="77777777" w:rsidR="00FF302D" w:rsidRPr="00113F13" w:rsidRDefault="10DD744B" w:rsidP="00B63604">
      <w:pPr>
        <w:pStyle w:val="NormalNumberedTextTLRI"/>
        <w:numPr>
          <w:ilvl w:val="2"/>
          <w:numId w:val="31"/>
        </w:numPr>
        <w:tabs>
          <w:tab w:val="clear" w:pos="720"/>
        </w:tabs>
        <w:spacing w:line="259" w:lineRule="auto"/>
      </w:pPr>
      <w:r>
        <w:t>A key issue identified in reviews elsewhere in Australia, and in submissions to the present project, is the desirability of consistency between Tasmanian privacy legislation and legislation in other jurisdictions, especially in regard to the regulation of information privacy.</w:t>
      </w:r>
    </w:p>
    <w:p w14:paraId="60395A84" w14:textId="77777777" w:rsidR="00FF302D" w:rsidRPr="00113F13" w:rsidRDefault="10DD744B" w:rsidP="00B63604">
      <w:pPr>
        <w:pStyle w:val="NormalNumberedTextTLRI"/>
        <w:numPr>
          <w:ilvl w:val="2"/>
          <w:numId w:val="31"/>
        </w:numPr>
        <w:tabs>
          <w:tab w:val="clear" w:pos="720"/>
        </w:tabs>
        <w:spacing w:line="259" w:lineRule="auto"/>
      </w:pPr>
      <w:r>
        <w:t>Consecutive Australian inquiries have argued in favour of consistency of privacy laws around the country to minimise cost and confusion. For example, the ALRC argued in its 2008 privacy report that:</w:t>
      </w:r>
    </w:p>
    <w:p w14:paraId="13526BEC" w14:textId="77777777" w:rsidR="00FF302D" w:rsidRPr="00113F13" w:rsidRDefault="00FF302D" w:rsidP="00FF302D">
      <w:pPr>
        <w:pStyle w:val="Blockquote"/>
        <w:jc w:val="both"/>
        <w:rPr>
          <w:rFonts w:ascii="Times New Roman" w:hAnsi="Times New Roman" w:cs="Times New Roman"/>
        </w:rPr>
      </w:pPr>
      <w:r w:rsidRPr="00113F13">
        <w:rPr>
          <w:rFonts w:ascii="Times New Roman" w:hAnsi="Times New Roman" w:cs="Times New Roman"/>
        </w:rPr>
        <w:t>Inconsistency and fragmentation in privacy regulation causes a number of problems, including unjustified compliance burden and cost, impediments to information sharing and national initiatives, and confusion about who to approach to make a privacy complaint. National consistency, therefore, should be one of the goals of privacy regulation.</w:t>
      </w:r>
      <w:r w:rsidRPr="00113F13">
        <w:rPr>
          <w:rStyle w:val="FootnoteReference"/>
          <w:rFonts w:ascii="Times New Roman" w:hAnsi="Times New Roman" w:cs="Times New Roman"/>
        </w:rPr>
        <w:footnoteReference w:id="75"/>
      </w:r>
    </w:p>
    <w:p w14:paraId="5C03063D" w14:textId="7BF76412" w:rsidR="00FF302D" w:rsidRPr="00113F13" w:rsidRDefault="00FF302D" w:rsidP="00B63604">
      <w:pPr>
        <w:pStyle w:val="NormalNumberedTextTLRI"/>
        <w:numPr>
          <w:ilvl w:val="2"/>
          <w:numId w:val="31"/>
        </w:numPr>
        <w:tabs>
          <w:tab w:val="clear" w:pos="720"/>
        </w:tabs>
        <w:spacing w:line="259" w:lineRule="auto"/>
      </w:pPr>
      <w:r w:rsidRPr="00113F13">
        <w:t>The ALRC recommended that consistency could</w:t>
      </w:r>
      <w:r w:rsidR="00FA2704">
        <w:t xml:space="preserve"> </w:t>
      </w:r>
      <w:r w:rsidRPr="00113F13">
        <w:t>best be achieved if the Commonwealth legislates exclusively with respect to the handling of personal information by non-government organisations, subject to some matters reserved to states and territories, including matters regarding public health.</w:t>
      </w:r>
      <w:r w:rsidRPr="00113F13">
        <w:rPr>
          <w:rStyle w:val="FootnoteReference"/>
          <w:rFonts w:ascii="Times New Roman" w:hAnsi="Times New Roman"/>
        </w:rPr>
        <w:footnoteReference w:id="76"/>
      </w:r>
      <w:r w:rsidRPr="00113F13">
        <w:t xml:space="preserve"> It encouraged state and territory governments to promote and maintain uniformity by agreeing to implement legislation for a set of common privacy principles applicable to government agencies.</w:t>
      </w:r>
      <w:r w:rsidRPr="00113F13">
        <w:rPr>
          <w:rStyle w:val="FootnoteReference"/>
          <w:rFonts w:ascii="Times New Roman" w:hAnsi="Times New Roman"/>
        </w:rPr>
        <w:footnoteReference w:id="77"/>
      </w:r>
    </w:p>
    <w:p w14:paraId="7B133344"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More recently, the Privacy Act Review proposed in its 2022 Final Report that a Commonwealth, state, and territory working group be established to harmonise legislation, especially in relation to ‘areas of key concern’, such as the treatment of health information, the treatment of contractors</w:t>
      </w:r>
      <w:r w:rsidRPr="00113F13">
        <w:rPr>
          <w:rStyle w:val="FootnoteReference"/>
          <w:rFonts w:ascii="Times New Roman" w:hAnsi="Times New Roman"/>
        </w:rPr>
        <w:footnoteReference w:id="78"/>
      </w:r>
      <w:r w:rsidRPr="00113F13">
        <w:t xml:space="preserve"> and the scope of research exceptions.</w:t>
      </w:r>
      <w:r w:rsidRPr="00113F13">
        <w:rPr>
          <w:rStyle w:val="FootnoteReference"/>
          <w:rFonts w:ascii="Times New Roman" w:hAnsi="Times New Roman"/>
        </w:rPr>
        <w:footnoteReference w:id="79"/>
      </w:r>
      <w:r w:rsidRPr="00113F13">
        <w:t xml:space="preserve"> The Commonwealth Government agreed in-principle with this proposal.</w:t>
      </w:r>
      <w:r w:rsidRPr="00113F13">
        <w:rPr>
          <w:rStyle w:val="FootnoteReference"/>
          <w:rFonts w:ascii="Times New Roman" w:hAnsi="Times New Roman"/>
        </w:rPr>
        <w:footnoteReference w:id="80"/>
      </w:r>
    </w:p>
    <w:p w14:paraId="2AA2A121" w14:textId="77777777" w:rsidR="00FF302D" w:rsidRPr="00113F13" w:rsidRDefault="10DD744B" w:rsidP="00B63604">
      <w:pPr>
        <w:pStyle w:val="NormalNumberedTextTLRI"/>
        <w:numPr>
          <w:ilvl w:val="2"/>
          <w:numId w:val="31"/>
        </w:numPr>
        <w:tabs>
          <w:tab w:val="clear" w:pos="720"/>
        </w:tabs>
        <w:spacing w:line="259" w:lineRule="auto"/>
      </w:pPr>
      <w:r>
        <w:t>Consistency has been considered an important law reform goal in reviews of privacy legislation in other state and territory jurisdictions. For example:</w:t>
      </w:r>
    </w:p>
    <w:p w14:paraId="3C0C3858" w14:textId="77777777" w:rsidR="00FF302D" w:rsidRPr="00113F13" w:rsidRDefault="00FF302D" w:rsidP="00FF302D">
      <w:pPr>
        <w:pStyle w:val="DotPointTLRI"/>
      </w:pPr>
      <w:r w:rsidRPr="00113F13">
        <w:t>In New South Wales (‘NSW’), a 2010 review of privacy protection recommended the adoption of uniform privacy principles across Australia. The review recommended that national model privacy principles apply to private organisations as third-party contractors, and the NSW legislation be amended to apply the principles to public sector bodies.</w:t>
      </w:r>
      <w:r w:rsidRPr="00113F13">
        <w:rPr>
          <w:rStyle w:val="FootnoteReference"/>
          <w:rFonts w:ascii="Times New Roman" w:hAnsi="Times New Roman"/>
        </w:rPr>
        <w:footnoteReference w:id="81"/>
      </w:r>
    </w:p>
    <w:p w14:paraId="3BDA5B24" w14:textId="77777777" w:rsidR="00FF302D" w:rsidRPr="00113F13" w:rsidRDefault="00FF302D" w:rsidP="00FF302D">
      <w:pPr>
        <w:pStyle w:val="DotPointTLRI"/>
      </w:pPr>
      <w:r w:rsidRPr="00113F13">
        <w:t>In Western Australia, a 2019 discussion paper proposed using the APPs as the basis for establishing regulation for the collection and use of personal information.</w:t>
      </w:r>
      <w:r w:rsidRPr="00113F13">
        <w:rPr>
          <w:rStyle w:val="FootnoteReference"/>
          <w:rFonts w:ascii="Times New Roman" w:hAnsi="Times New Roman"/>
        </w:rPr>
        <w:footnoteReference w:id="82"/>
      </w:r>
    </w:p>
    <w:p w14:paraId="42E73F62" w14:textId="77777777" w:rsidR="00FF302D" w:rsidRPr="00113F13" w:rsidRDefault="00FF302D" w:rsidP="00FF302D">
      <w:pPr>
        <w:pStyle w:val="DotPointTLRI"/>
      </w:pPr>
      <w:r w:rsidRPr="00113F13">
        <w:t xml:space="preserve">In 2020, the Queensland Crime and Corruption Commission recommended that the </w:t>
      </w:r>
      <w:r w:rsidRPr="00113F13">
        <w:rPr>
          <w:i/>
          <w:iCs/>
        </w:rPr>
        <w:t>Information Privacy Act 2009</w:t>
      </w:r>
      <w:r w:rsidRPr="00113F13">
        <w:t xml:space="preserve"> (Qld) be updated to reflect a common set of privacy principles based on the APPs.</w:t>
      </w:r>
      <w:r w:rsidRPr="00113F13">
        <w:rPr>
          <w:rStyle w:val="FootnoteReference"/>
          <w:rFonts w:ascii="Times New Roman" w:hAnsi="Times New Roman"/>
        </w:rPr>
        <w:footnoteReference w:id="83"/>
      </w:r>
    </w:p>
    <w:p w14:paraId="3C775B22" w14:textId="77777777" w:rsidR="00FF302D" w:rsidRPr="00113F13" w:rsidRDefault="00FF302D" w:rsidP="00BF1FE7">
      <w:pPr>
        <w:pStyle w:val="NumberedHeadingTLRI"/>
      </w:pPr>
      <w:bookmarkStart w:id="83" w:name="_Toc164606509"/>
      <w:r w:rsidRPr="00113F13">
        <w:t>Consultation</w:t>
      </w:r>
      <w:bookmarkEnd w:id="83"/>
    </w:p>
    <w:p w14:paraId="49EFFA99" w14:textId="77777777" w:rsidR="00FF302D" w:rsidRPr="00113F13" w:rsidRDefault="10DD744B" w:rsidP="00B63604">
      <w:pPr>
        <w:pStyle w:val="NormalNumberedTextTLRI"/>
        <w:numPr>
          <w:ilvl w:val="2"/>
          <w:numId w:val="31"/>
        </w:numPr>
        <w:tabs>
          <w:tab w:val="clear" w:pos="720"/>
        </w:tabs>
        <w:spacing w:line="259" w:lineRule="auto"/>
      </w:pPr>
      <w:r>
        <w:t>The Issues Paper for this project invited submissions on the following question:</w:t>
      </w:r>
    </w:p>
    <w:p w14:paraId="166D91DB" w14:textId="77777777" w:rsidR="00FF302D" w:rsidRPr="00B63604" w:rsidRDefault="00FF302D" w:rsidP="00FF302D">
      <w:pPr>
        <w:pStyle w:val="Indentedquote"/>
        <w:rPr>
          <w:rFonts w:cs="Times New Roman"/>
        </w:rPr>
      </w:pPr>
      <w:bookmarkStart w:id="84" w:name="_Toc143872274"/>
      <w:r w:rsidRPr="00B63604">
        <w:rPr>
          <w:rFonts w:cs="Times New Roman"/>
        </w:rPr>
        <w:t>Should the PIPPs under the Tasmanian PIPA be amended to make them, as far as possible, consistent with the APPs in the Commonwealth Privacy Act as they currently exist or as amended in the future?</w:t>
      </w:r>
      <w:bookmarkEnd w:id="84"/>
      <w:r w:rsidRPr="00B63604">
        <w:rPr>
          <w:rStyle w:val="FootnoteReference"/>
          <w:rFonts w:ascii="Times New Roman" w:hAnsi="Times New Roman" w:cs="Times New Roman"/>
        </w:rPr>
        <w:footnoteReference w:id="84"/>
      </w:r>
    </w:p>
    <w:p w14:paraId="048142F9" w14:textId="77777777" w:rsidR="00FF302D" w:rsidRPr="00113F13" w:rsidRDefault="00FF302D" w:rsidP="00B63604">
      <w:pPr>
        <w:pStyle w:val="NormalNumberedTextTLRI"/>
        <w:numPr>
          <w:ilvl w:val="2"/>
          <w:numId w:val="31"/>
        </w:numPr>
        <w:tabs>
          <w:tab w:val="clear" w:pos="720"/>
        </w:tabs>
        <w:spacing w:line="259" w:lineRule="auto"/>
      </w:pPr>
      <w:r w:rsidRPr="00113F13">
        <w:t>Several submissions were supportive of greater consistency. The Tasmanian Ombudsman stated that consistency between schemes across the states and the Commonwealth, including providing similar protections and remedies, ‘makes sense’.</w:t>
      </w:r>
      <w:r w:rsidRPr="00113F13">
        <w:rPr>
          <w:rStyle w:val="FootnoteReference"/>
          <w:rFonts w:ascii="Times New Roman" w:hAnsi="Times New Roman"/>
        </w:rPr>
        <w:footnoteReference w:id="85"/>
      </w:r>
      <w:r w:rsidRPr="00113F13">
        <w:t xml:space="preserve"> Other submissions argued that consistency would offer greater clarity and certainty, both to individuals and regulated entities. For example, Youth Law Australia argued that the complexity and fragmentation of privacy law ‘makes it difficult for </w:t>
      </w:r>
      <w:r w:rsidRPr="00113F13">
        <w:lastRenderedPageBreak/>
        <w:t>organisations to understand their obligations, and for children and young people (among others) to understand their rights and access remedies’.</w:t>
      </w:r>
      <w:r w:rsidRPr="00113F13">
        <w:rPr>
          <w:rStyle w:val="FootnoteReference"/>
          <w:rFonts w:ascii="Times New Roman" w:hAnsi="Times New Roman"/>
        </w:rPr>
        <w:footnoteReference w:id="86"/>
      </w:r>
      <w:r w:rsidRPr="00113F13">
        <w:t xml:space="preserve"> </w:t>
      </w:r>
    </w:p>
    <w:p w14:paraId="6DF2F7B6" w14:textId="77EDA670" w:rsidR="00FF302D" w:rsidRPr="00007B4C" w:rsidRDefault="00FF302D" w:rsidP="00B63604">
      <w:pPr>
        <w:pStyle w:val="NormalNumberedTextTLRI"/>
        <w:numPr>
          <w:ilvl w:val="2"/>
          <w:numId w:val="31"/>
        </w:numPr>
        <w:tabs>
          <w:tab w:val="clear" w:pos="720"/>
        </w:tabs>
        <w:spacing w:line="259" w:lineRule="auto"/>
      </w:pPr>
      <w:r w:rsidRPr="00113F13">
        <w:t>The Insurance Council of Australia cautioned against unnecessary duplication of Commonwealth laws and regulations in state and territory reforms.</w:t>
      </w:r>
      <w:r w:rsidRPr="00113F13">
        <w:rPr>
          <w:rStyle w:val="FootnoteReference"/>
          <w:rFonts w:ascii="Times New Roman" w:hAnsi="Times New Roman"/>
        </w:rPr>
        <w:footnoteReference w:id="87"/>
      </w:r>
      <w:r w:rsidRPr="00113F13">
        <w:t xml:space="preserve"> It also observed that the Commonwealth Privacy Act Review was still ongoing because the Review’s Final Report recommended further consultation on several of its proposals and it is currently unclear which of the Review’s proposals will be implemented by the Commonwealth Government.</w:t>
      </w:r>
      <w:r w:rsidRPr="00113F13">
        <w:rPr>
          <w:rStyle w:val="FootnoteReference"/>
          <w:rFonts w:ascii="Times New Roman" w:hAnsi="Times New Roman"/>
        </w:rPr>
        <w:footnoteReference w:id="88"/>
      </w:r>
      <w:r w:rsidRPr="00113F13">
        <w:t xml:space="preserve"> The TLRI notes that the Commonwealth Government has since published its response to the Review’s proposals (</w:t>
      </w:r>
      <w:r w:rsidRPr="00EA22F8">
        <w:t xml:space="preserve">see </w:t>
      </w:r>
      <w:r w:rsidR="00B04BE1" w:rsidRPr="00EA22F8">
        <w:t>[</w:t>
      </w:r>
      <w:r w:rsidR="00B04BE1">
        <w:fldChar w:fldCharType="begin"/>
      </w:r>
      <w:r w:rsidR="00B04BE1">
        <w:instrText xml:space="preserve"> REF _Ref149553067 \r \h </w:instrText>
      </w:r>
      <w:r w:rsidR="00007B4C">
        <w:instrText xml:space="preserve"> \* MERGEFORMAT </w:instrText>
      </w:r>
      <w:r w:rsidR="00B04BE1">
        <w:fldChar w:fldCharType="separate"/>
      </w:r>
      <w:r w:rsidR="00462C30">
        <w:rPr>
          <w:cs/>
        </w:rPr>
        <w:t>‎</w:t>
      </w:r>
      <w:r w:rsidR="00462C30">
        <w:t>2.5.12</w:t>
      </w:r>
      <w:r w:rsidR="00B04BE1">
        <w:fldChar w:fldCharType="end"/>
      </w:r>
      <w:r w:rsidR="00007B4C" w:rsidRPr="00EA22F8">
        <w:t>]</w:t>
      </w:r>
      <w:r w:rsidRPr="00EA22F8">
        <w:t xml:space="preserve"> above</w:t>
      </w:r>
      <w:r w:rsidRPr="00007B4C">
        <w:t>) but the precise wording of legislative reforms is still to be developed.</w:t>
      </w:r>
    </w:p>
    <w:p w14:paraId="1D15F63C" w14:textId="1626EFCF" w:rsidR="00FF302D" w:rsidRPr="00113F13" w:rsidRDefault="00FF302D" w:rsidP="00B63604">
      <w:pPr>
        <w:pStyle w:val="NormalNumberedTextTLRI"/>
        <w:numPr>
          <w:ilvl w:val="2"/>
          <w:numId w:val="31"/>
        </w:numPr>
        <w:tabs>
          <w:tab w:val="clear" w:pos="720"/>
        </w:tabs>
        <w:spacing w:line="259" w:lineRule="auto"/>
      </w:pPr>
      <w:r w:rsidRPr="00113F13">
        <w:t>Several submissions also noted the importance of consistency, not only within Australia, but between Australian and international privacy protection standards.</w:t>
      </w:r>
      <w:r w:rsidRPr="00113F13">
        <w:rPr>
          <w:rStyle w:val="FootnoteReference"/>
          <w:rFonts w:ascii="Times New Roman" w:hAnsi="Times New Roman"/>
        </w:rPr>
        <w:footnoteReference w:id="89"/>
      </w:r>
      <w:r w:rsidRPr="00113F13">
        <w:t xml:space="preserve"> The Privacy Act Review similarly discussed consistency with international regimes at several points in its Final Report. It noted, for example, that multiple submitters supported reforms to the data breach notification scheme that would be consistent with international jurisdictions, although others expressed concern that ‘the pursuit of harmonisation’ might result in greater regulatory burden, or argued for single reporting agencies and mechanisms rather than dual reporting.</w:t>
      </w:r>
      <w:r w:rsidRPr="00113F13">
        <w:rPr>
          <w:rStyle w:val="FootnoteReference"/>
          <w:rFonts w:ascii="Times New Roman" w:hAnsi="Times New Roman"/>
        </w:rPr>
        <w:footnoteReference w:id="90"/>
      </w:r>
      <w:r w:rsidRPr="00113F13">
        <w:t xml:space="preserve"> </w:t>
      </w:r>
      <w:r w:rsidRPr="005B11D2">
        <w:t>This i</w:t>
      </w:r>
      <w:r w:rsidRPr="00EA22F8">
        <w:t xml:space="preserve">s discussed further </w:t>
      </w:r>
      <w:r w:rsidR="00007B4C" w:rsidRPr="00EA22F8">
        <w:t xml:space="preserve">at </w:t>
      </w:r>
      <w:r w:rsidR="10DD744B" w:rsidRPr="00EA22F8">
        <w:t>[</w:t>
      </w:r>
      <w:r w:rsidR="00AC3ED2">
        <w:fldChar w:fldCharType="begin"/>
      </w:r>
      <w:r w:rsidR="00AC3ED2">
        <w:instrText xml:space="preserve"> REF _Ref164765700 \r \h </w:instrText>
      </w:r>
      <w:r w:rsidR="00AC3ED2">
        <w:fldChar w:fldCharType="separate"/>
      </w:r>
      <w:r w:rsidR="00462C30">
        <w:rPr>
          <w:cs/>
        </w:rPr>
        <w:t>‎</w:t>
      </w:r>
      <w:r w:rsidR="00462C30">
        <w:t>8.12</w:t>
      </w:r>
      <w:r w:rsidR="00AC3ED2">
        <w:fldChar w:fldCharType="end"/>
      </w:r>
      <w:r w:rsidR="10DD744B" w:rsidRPr="00EA22F8">
        <w:t>]</w:t>
      </w:r>
      <w:r w:rsidR="00007B4C" w:rsidRPr="00EA22F8">
        <w:t>–</w:t>
      </w:r>
      <w:r w:rsidR="10DD744B" w:rsidRPr="00EA22F8">
        <w:t>[</w:t>
      </w:r>
      <w:r w:rsidR="000173C7">
        <w:fldChar w:fldCharType="begin"/>
      </w:r>
      <w:r w:rsidR="000173C7">
        <w:instrText xml:space="preserve"> REF _Ref164765723 \r \h </w:instrText>
      </w:r>
      <w:r w:rsidR="000173C7">
        <w:fldChar w:fldCharType="separate"/>
      </w:r>
      <w:r w:rsidR="00462C30">
        <w:rPr>
          <w:cs/>
        </w:rPr>
        <w:t>‎</w:t>
      </w:r>
      <w:r w:rsidR="00462C30">
        <w:t>8.15</w:t>
      </w:r>
      <w:r w:rsidR="000173C7">
        <w:fldChar w:fldCharType="end"/>
      </w:r>
      <w:r w:rsidRPr="00EA22F8">
        <w:t>]</w:t>
      </w:r>
      <w:r w:rsidRPr="005B11D2">
        <w:t>.</w:t>
      </w:r>
    </w:p>
    <w:p w14:paraId="6E940BAC" w14:textId="77777777" w:rsidR="00FF302D" w:rsidRPr="00113F13" w:rsidRDefault="00FF302D" w:rsidP="00BF1FE7">
      <w:pPr>
        <w:pStyle w:val="NumberedHeadingTLRI"/>
      </w:pPr>
      <w:bookmarkStart w:id="85" w:name="_Toc164606510"/>
      <w:bookmarkStart w:id="86" w:name="_Ref164774695"/>
      <w:r w:rsidRPr="00113F13">
        <w:t>The TLRI’s view</w:t>
      </w:r>
      <w:bookmarkEnd w:id="85"/>
      <w:bookmarkEnd w:id="86"/>
    </w:p>
    <w:p w14:paraId="4090C84F" w14:textId="77777777" w:rsidR="00FF302D" w:rsidRPr="00113F13" w:rsidRDefault="10DD744B" w:rsidP="00B63604">
      <w:pPr>
        <w:pStyle w:val="NormalNumberedTextTLRI"/>
        <w:numPr>
          <w:ilvl w:val="2"/>
          <w:numId w:val="31"/>
        </w:numPr>
        <w:tabs>
          <w:tab w:val="clear" w:pos="720"/>
        </w:tabs>
        <w:spacing w:line="259" w:lineRule="auto"/>
      </w:pPr>
      <w:r>
        <w:t>In the TLRI’s view, consistency of the Tasmanian information privacy legislation with the Commonwealth and other state and territory legislation is desirable for reasons including: reducing confusion; enabling information sharing; and enabling Tasmania to learn from the experiences and review and inquiry processes undertaken in those other jurisdictions.</w:t>
      </w:r>
    </w:p>
    <w:p w14:paraId="64897600" w14:textId="77777777" w:rsidR="00FF302D" w:rsidRDefault="00FF302D" w:rsidP="00B63604">
      <w:pPr>
        <w:pStyle w:val="NormalNumberedTextTLRI"/>
        <w:numPr>
          <w:ilvl w:val="2"/>
          <w:numId w:val="31"/>
        </w:numPr>
        <w:tabs>
          <w:tab w:val="clear" w:pos="720"/>
        </w:tabs>
        <w:spacing w:line="259" w:lineRule="auto"/>
      </w:pPr>
      <w:r w:rsidRPr="00113F13">
        <w:t xml:space="preserve">The TLRI agrees with the Privacy Act Review that a Commonwealth, </w:t>
      </w:r>
      <w:r w:rsidR="000173C7">
        <w:t>S</w:t>
      </w:r>
      <w:r w:rsidRPr="00113F13">
        <w:t xml:space="preserve">tate, and </w:t>
      </w:r>
      <w:r w:rsidR="000173C7">
        <w:t>T</w:t>
      </w:r>
      <w:r w:rsidRPr="00113F13">
        <w:t>erritory working group should be established to discuss aligning privacy legislation and working towards a model for harmonisation.</w:t>
      </w:r>
      <w:r w:rsidRPr="00113F13">
        <w:rPr>
          <w:rStyle w:val="FootnoteReference"/>
          <w:rFonts w:ascii="Times New Roman" w:hAnsi="Times New Roman"/>
        </w:rPr>
        <w:footnoteReference w:id="91"/>
      </w:r>
      <w:r w:rsidRPr="00113F13">
        <w:t xml:space="preserve"> The advantages of consistency across jurisdictions, and the implications of this for particular elements of the PIPA, are </w:t>
      </w:r>
      <w:r w:rsidRPr="003215A2">
        <w:t>d</w:t>
      </w:r>
      <w:r w:rsidRPr="00EA22F8">
        <w:t>iscussed in more detail in Parts 3, 4 and 5</w:t>
      </w:r>
      <w:r w:rsidRPr="003215A2">
        <w:t xml:space="preserve"> of this</w:t>
      </w:r>
      <w:r w:rsidRPr="00113F13">
        <w:t xml:space="preserve"> Final Report.</w:t>
      </w:r>
      <w:bookmarkStart w:id="87" w:name="_Ref89381647"/>
      <w:bookmarkStart w:id="88" w:name="_Toc91831992"/>
    </w:p>
    <w:p w14:paraId="0D615E3C" w14:textId="100BAEE0" w:rsidR="00F86462" w:rsidRDefault="00F86462">
      <w:pPr>
        <w:spacing w:after="200" w:line="276" w:lineRule="auto"/>
        <w:jc w:val="left"/>
        <w:rPr>
          <w:rFonts w:eastAsia="Times" w:cs="Times New Roman"/>
          <w:szCs w:val="20"/>
        </w:rPr>
      </w:pPr>
      <w:r>
        <w:br w:type="page"/>
      </w:r>
    </w:p>
    <w:p w14:paraId="2B407E60" w14:textId="77777777" w:rsidR="00F86462" w:rsidRPr="00113F13" w:rsidRDefault="00F86462" w:rsidP="00F86462">
      <w:pPr>
        <w:pStyle w:val="NormalNumberedTextTLRI"/>
        <w:numPr>
          <w:ilvl w:val="0"/>
          <w:numId w:val="0"/>
        </w:numPr>
        <w:spacing w:line="259" w:lineRule="auto"/>
        <w:sectPr w:rsidR="00F86462" w:rsidRPr="00113F13" w:rsidSect="00BC08AB">
          <w:headerReference w:type="default" r:id="rId27"/>
          <w:type w:val="continuous"/>
          <w:pgSz w:w="11906" w:h="16838" w:code="9"/>
          <w:pgMar w:top="1440" w:right="1440" w:bottom="1440" w:left="1440" w:header="708" w:footer="708" w:gutter="0"/>
          <w:cols w:space="708"/>
          <w:docGrid w:linePitch="360"/>
        </w:sectPr>
      </w:pPr>
    </w:p>
    <w:p w14:paraId="6B68EDF9" w14:textId="77777777" w:rsidR="00FF302D" w:rsidRPr="00113F13" w:rsidRDefault="00FF302D" w:rsidP="00B63604">
      <w:pPr>
        <w:pStyle w:val="PartNoTLRI"/>
        <w:numPr>
          <w:ilvl w:val="0"/>
          <w:numId w:val="31"/>
        </w:numPr>
        <w:spacing w:after="160" w:line="259" w:lineRule="auto"/>
      </w:pPr>
    </w:p>
    <w:p w14:paraId="337E62EB" w14:textId="77777777" w:rsidR="00FF302D" w:rsidRPr="00113F13" w:rsidRDefault="00FF302D" w:rsidP="00FF302D">
      <w:pPr>
        <w:pStyle w:val="PartHeadingTLRI"/>
      </w:pPr>
      <w:bookmarkStart w:id="89" w:name="_Toc164606511"/>
      <w:bookmarkEnd w:id="87"/>
      <w:bookmarkEnd w:id="88"/>
      <w:r w:rsidRPr="00113F13">
        <w:t xml:space="preserve">Scope and Application of the </w:t>
      </w:r>
      <w:r w:rsidRPr="00113F13">
        <w:rPr>
          <w:i/>
          <w:iCs/>
        </w:rPr>
        <w:t xml:space="preserve">Personal Information Protection Act 2004 </w:t>
      </w:r>
      <w:r w:rsidRPr="00113F13">
        <w:t>(Tas) (‘PIPA’) – Bodies Subject to the PIPA</w:t>
      </w:r>
      <w:bookmarkEnd w:id="89"/>
    </w:p>
    <w:p w14:paraId="12A595C9" w14:textId="3D1522C5" w:rsidR="00FF302D" w:rsidRPr="00113F13" w:rsidRDefault="00FF302D" w:rsidP="00BF1FE7">
      <w:pPr>
        <w:pStyle w:val="NumberedHeadingTLRI"/>
      </w:pPr>
      <w:bookmarkStart w:id="90" w:name="_Toc164606512"/>
      <w:r w:rsidRPr="00113F13">
        <w:t>Overview of this Part</w:t>
      </w:r>
      <w:bookmarkEnd w:id="90"/>
    </w:p>
    <w:p w14:paraId="756FED46" w14:textId="5E86CE1F" w:rsidR="00FF302D" w:rsidRPr="00113F13" w:rsidRDefault="00FF302D" w:rsidP="00B63604">
      <w:pPr>
        <w:pStyle w:val="NormalNumberedTextTLRI"/>
        <w:numPr>
          <w:ilvl w:val="2"/>
          <w:numId w:val="31"/>
        </w:numPr>
        <w:tabs>
          <w:tab w:val="clear" w:pos="720"/>
        </w:tabs>
        <w:spacing w:line="259" w:lineRule="auto"/>
      </w:pPr>
      <w:r w:rsidRPr="00113F13">
        <w:t>The Terms of Reference (‘ToRs’) and the Issues Paper raised a series of questions about the adequacy of the PIPA under three broad themes, which this Part address</w:t>
      </w:r>
      <w:r w:rsidR="0046082C">
        <w:t>es</w:t>
      </w:r>
      <w:r w:rsidRPr="00113F13">
        <w:t xml:space="preserve"> in turn:</w:t>
      </w:r>
    </w:p>
    <w:p w14:paraId="61EE8B8A" w14:textId="24C2CF58" w:rsidR="00FF302D" w:rsidRPr="00113F13" w:rsidRDefault="00FF302D" w:rsidP="000067D0">
      <w:pPr>
        <w:pStyle w:val="DotPointTLRI"/>
      </w:pPr>
      <w:r w:rsidRPr="00113F13">
        <w:t>whether there should be amendments to the scope and application of the PIPA (</w:t>
      </w:r>
      <w:r w:rsidR="0046082C">
        <w:t>Part</w:t>
      </w:r>
      <w:r w:rsidRPr="00113F13">
        <w:t>s 3 and 4);</w:t>
      </w:r>
    </w:p>
    <w:p w14:paraId="176C29BE" w14:textId="4E43796C" w:rsidR="00FF302D" w:rsidRPr="00113F13" w:rsidRDefault="00FF302D" w:rsidP="000067D0">
      <w:pPr>
        <w:pStyle w:val="DotPointTLRI"/>
      </w:pPr>
      <w:r w:rsidRPr="00113F13">
        <w:t>whether there should be amendments to the PIPPs (</w:t>
      </w:r>
      <w:r w:rsidR="0046082C">
        <w:t>Parts</w:t>
      </w:r>
      <w:r w:rsidRPr="00113F13">
        <w:t xml:space="preserve"> 5—7); and</w:t>
      </w:r>
    </w:p>
    <w:p w14:paraId="2B8A1420" w14:textId="25B069B3" w:rsidR="00FF302D" w:rsidRPr="00113F13" w:rsidRDefault="00FF302D" w:rsidP="000067D0">
      <w:pPr>
        <w:pStyle w:val="DotPointTLRI"/>
      </w:pPr>
      <w:r w:rsidRPr="00113F13">
        <w:t>whether there should be amendments to complaints, monitoring, and enforcement mechanisms (</w:t>
      </w:r>
      <w:r w:rsidR="0046082C">
        <w:t>Par</w:t>
      </w:r>
      <w:r w:rsidRPr="00113F13">
        <w:t>t 8).</w:t>
      </w:r>
    </w:p>
    <w:p w14:paraId="6B32C8A5" w14:textId="3C7B7F05" w:rsidR="00FF302D" w:rsidRPr="00113F13" w:rsidRDefault="00FF302D" w:rsidP="00B63604">
      <w:pPr>
        <w:pStyle w:val="NormalNumberedTextTLRI"/>
        <w:numPr>
          <w:ilvl w:val="2"/>
          <w:numId w:val="31"/>
        </w:numPr>
        <w:tabs>
          <w:tab w:val="clear" w:pos="720"/>
        </w:tabs>
        <w:spacing w:line="259" w:lineRule="auto"/>
      </w:pPr>
      <w:r w:rsidRPr="00113F13">
        <w:t xml:space="preserve">This </w:t>
      </w:r>
      <w:r w:rsidR="0046082C">
        <w:t>Part</w:t>
      </w:r>
      <w:r w:rsidRPr="00113F13">
        <w:t xml:space="preserve"> examines the scope and application of the PIPA and considers whether the PIPA, which applies broadly to Tasmanian public authorities and some government contractors, should apply to other bodies. </w:t>
      </w:r>
    </w:p>
    <w:p w14:paraId="1648448D" w14:textId="77777777" w:rsidR="00FF302D" w:rsidRPr="00113F13" w:rsidRDefault="00FF302D" w:rsidP="00BF1FE7">
      <w:pPr>
        <w:pStyle w:val="NumberedHeadingTLRI"/>
      </w:pPr>
      <w:bookmarkStart w:id="91" w:name="_Toc164606513"/>
      <w:r w:rsidRPr="00113F13">
        <w:t>The Tasmanian position</w:t>
      </w:r>
      <w:bookmarkEnd w:id="91"/>
    </w:p>
    <w:p w14:paraId="6D7A8A32" w14:textId="2C2C3D7B" w:rsidR="00FF302D" w:rsidRPr="00113F13" w:rsidRDefault="00FF302D" w:rsidP="00B63604">
      <w:pPr>
        <w:pStyle w:val="NormalNumberedTextTLRI"/>
        <w:numPr>
          <w:ilvl w:val="2"/>
          <w:numId w:val="31"/>
        </w:numPr>
        <w:tabs>
          <w:tab w:val="clear" w:pos="720"/>
        </w:tabs>
        <w:spacing w:line="259" w:lineRule="auto"/>
      </w:pPr>
      <w:bookmarkStart w:id="92" w:name="_Ref89812704"/>
      <w:bookmarkStart w:id="93" w:name="_Ref147761124"/>
      <w:r w:rsidRPr="00113F13">
        <w:t>The PIPA broadly applies to state public authorities and some government contractors. These bodies are referred to as ‘personal information custodians’.</w:t>
      </w:r>
      <w:r w:rsidRPr="00113F13">
        <w:rPr>
          <w:rStyle w:val="FootnoteReference"/>
          <w:rFonts w:ascii="Times New Roman" w:hAnsi="Times New Roman"/>
        </w:rPr>
        <w:footnoteReference w:id="92"/>
      </w:r>
      <w:bookmarkStart w:id="94" w:name="_Ref89812706"/>
      <w:bookmarkEnd w:id="92"/>
      <w:r w:rsidRPr="00113F13">
        <w:t xml:space="preserve"> The PIPA adopts the meaning of ‘public authority’ in </w:t>
      </w:r>
      <w:r w:rsidR="009E4420">
        <w:t>Section</w:t>
      </w:r>
      <w:r w:rsidRPr="00113F13">
        <w:t xml:space="preserve"> 6 of the </w:t>
      </w:r>
      <w:r w:rsidRPr="00113F13">
        <w:rPr>
          <w:i/>
          <w:iCs/>
        </w:rPr>
        <w:t>Right to Information Act 2009</w:t>
      </w:r>
      <w:r w:rsidRPr="00113F13">
        <w:t xml:space="preserve"> (Tas), which holds that a public authority is:</w:t>
      </w:r>
      <w:bookmarkEnd w:id="93"/>
      <w:bookmarkEnd w:id="94"/>
    </w:p>
    <w:p w14:paraId="11148A1E" w14:textId="77777777" w:rsidR="00FF302D" w:rsidRPr="00113F13" w:rsidRDefault="00FF302D" w:rsidP="000067D0">
      <w:pPr>
        <w:pStyle w:val="DotPointTLRI"/>
      </w:pPr>
      <w:r w:rsidRPr="00113F13">
        <w:t>an Agency (comprising government departments and state authorities);</w:t>
      </w:r>
      <w:r w:rsidRPr="00113F13">
        <w:rPr>
          <w:rStyle w:val="FootnoteReference"/>
          <w:rFonts w:ascii="Times New Roman" w:hAnsi="Times New Roman"/>
        </w:rPr>
        <w:footnoteReference w:id="93"/>
      </w:r>
    </w:p>
    <w:p w14:paraId="5C034E61" w14:textId="77777777" w:rsidR="00FF302D" w:rsidRPr="00113F13" w:rsidRDefault="00FF302D" w:rsidP="000067D0">
      <w:pPr>
        <w:pStyle w:val="DotPointTLRI"/>
      </w:pPr>
      <w:r w:rsidRPr="00113F13">
        <w:t>the University of Tasmania;</w:t>
      </w:r>
    </w:p>
    <w:p w14:paraId="05E2C2E6" w14:textId="77777777" w:rsidR="00FF302D" w:rsidRPr="00113F13" w:rsidRDefault="00FF302D" w:rsidP="000067D0">
      <w:pPr>
        <w:pStyle w:val="DotPointTLRI"/>
      </w:pPr>
      <w:r w:rsidRPr="00113F13">
        <w:t>the Police Service;</w:t>
      </w:r>
    </w:p>
    <w:p w14:paraId="675B94FE" w14:textId="77777777" w:rsidR="00FF302D" w:rsidRPr="00113F13" w:rsidRDefault="00FF302D" w:rsidP="000067D0">
      <w:pPr>
        <w:pStyle w:val="DotPointTLRI"/>
      </w:pPr>
      <w:r w:rsidRPr="00113F13">
        <w:t>a council;</w:t>
      </w:r>
    </w:p>
    <w:p w14:paraId="3F6FD141" w14:textId="77777777" w:rsidR="00FF302D" w:rsidRPr="00113F13" w:rsidRDefault="00FF302D" w:rsidP="000067D0">
      <w:pPr>
        <w:pStyle w:val="DotPointTLRI"/>
      </w:pPr>
      <w:r w:rsidRPr="00113F13">
        <w:t>a statutory authority;</w:t>
      </w:r>
    </w:p>
    <w:p w14:paraId="3FBB838E" w14:textId="77777777" w:rsidR="00FF302D" w:rsidRPr="00113F13" w:rsidRDefault="00FF302D" w:rsidP="000067D0">
      <w:pPr>
        <w:pStyle w:val="DotPointTLRI"/>
      </w:pPr>
      <w:r w:rsidRPr="00113F13">
        <w:t>a body (corporate or unincorporate) established under legislation for a public purpose;</w:t>
      </w:r>
    </w:p>
    <w:p w14:paraId="17B2A95E" w14:textId="77777777" w:rsidR="00FF302D" w:rsidRPr="00113F13" w:rsidRDefault="00FF302D" w:rsidP="000067D0">
      <w:pPr>
        <w:pStyle w:val="DotPointTLRI"/>
      </w:pPr>
      <w:r w:rsidRPr="00113F13">
        <w:t>a body whose members (or a majority of members) are appointed by the Governor or a Minister of the Crown;</w:t>
      </w:r>
    </w:p>
    <w:p w14:paraId="3C183944" w14:textId="77777777" w:rsidR="00FF302D" w:rsidRPr="00113F13" w:rsidRDefault="00FF302D" w:rsidP="000067D0">
      <w:pPr>
        <w:pStyle w:val="DotPointTLRI"/>
      </w:pPr>
      <w:r w:rsidRPr="00113F13">
        <w:lastRenderedPageBreak/>
        <w:t>a Government Business Enterprise;</w:t>
      </w:r>
      <w:r w:rsidRPr="00113F13">
        <w:rPr>
          <w:rStyle w:val="FootnoteReference"/>
          <w:rFonts w:ascii="Times New Roman" w:hAnsi="Times New Roman"/>
        </w:rPr>
        <w:footnoteReference w:id="94"/>
      </w:r>
    </w:p>
    <w:p w14:paraId="0859AF70" w14:textId="77777777" w:rsidR="00FF302D" w:rsidRPr="00113F13" w:rsidRDefault="00FF302D" w:rsidP="000067D0">
      <w:pPr>
        <w:pStyle w:val="DotPointTLRI"/>
      </w:pPr>
      <w:r w:rsidRPr="00113F13">
        <w:t xml:space="preserve">a Council-owned company; or </w:t>
      </w:r>
    </w:p>
    <w:p w14:paraId="73AC04F8" w14:textId="77777777" w:rsidR="00FF302D" w:rsidRPr="00113F13" w:rsidRDefault="00FF302D" w:rsidP="000067D0">
      <w:pPr>
        <w:pStyle w:val="DotPointTLRI"/>
      </w:pPr>
      <w:r w:rsidRPr="00113F13">
        <w:t>a State-owned company.</w:t>
      </w:r>
      <w:r w:rsidRPr="00113F13">
        <w:rPr>
          <w:rStyle w:val="FootnoteReference"/>
          <w:rFonts w:ascii="Times New Roman" w:hAnsi="Times New Roman"/>
        </w:rPr>
        <w:footnoteReference w:id="95"/>
      </w:r>
      <w:r w:rsidRPr="00113F13">
        <w:t xml:space="preserve"> </w:t>
      </w:r>
    </w:p>
    <w:p w14:paraId="2947A185" w14:textId="77777777" w:rsidR="00FF302D" w:rsidRPr="00113F13" w:rsidRDefault="00FF302D" w:rsidP="00B63604">
      <w:pPr>
        <w:pStyle w:val="NormalNumberedTextTLRI"/>
        <w:numPr>
          <w:ilvl w:val="2"/>
          <w:numId w:val="31"/>
        </w:numPr>
        <w:tabs>
          <w:tab w:val="clear" w:pos="720"/>
        </w:tabs>
        <w:spacing w:line="259" w:lineRule="auto"/>
      </w:pPr>
      <w:bookmarkStart w:id="95" w:name="_Ref89812818"/>
      <w:bookmarkStart w:id="96" w:name="_Ref89851954"/>
      <w:r w:rsidRPr="00113F13">
        <w:t>Certain public bodies are exempt from the provisions of the PIPA, either generally or when exercising their official functions. Courts and tribunals and registries or other offices of such courts and tribunals are exempt in relation to the performance or exercise of judicial or quasi-judicial functions or powers, while holders of a judicial or quasi-judicial office pertaining to a court or tribunal are exempt in the capacity of the holder of that office.</w:t>
      </w:r>
      <w:r w:rsidRPr="00113F13">
        <w:rPr>
          <w:rStyle w:val="FootnoteReference"/>
          <w:rFonts w:ascii="Times New Roman" w:hAnsi="Times New Roman"/>
        </w:rPr>
        <w:footnoteReference w:id="96"/>
      </w:r>
      <w:r w:rsidRPr="00113F13">
        <w:t xml:space="preserve"> Other exempt bodies include the Solicitor-General and employees, the Director of Public Prosecutions and employees, and the Integrity Commission.</w:t>
      </w:r>
      <w:r w:rsidRPr="00113F13">
        <w:rPr>
          <w:rStyle w:val="FootnoteReference"/>
          <w:rFonts w:ascii="Times New Roman" w:hAnsi="Times New Roman"/>
        </w:rPr>
        <w:footnoteReference w:id="97"/>
      </w:r>
      <w:bookmarkEnd w:id="95"/>
      <w:r w:rsidRPr="00113F13">
        <w:t xml:space="preserve"> </w:t>
      </w:r>
    </w:p>
    <w:p w14:paraId="3C0C35DF" w14:textId="77777777" w:rsidR="00FF302D" w:rsidRPr="00113F13" w:rsidRDefault="00FF302D" w:rsidP="00B63604">
      <w:pPr>
        <w:pStyle w:val="NormalNumberedTextTLRI"/>
        <w:numPr>
          <w:ilvl w:val="2"/>
          <w:numId w:val="31"/>
        </w:numPr>
        <w:tabs>
          <w:tab w:val="clear" w:pos="720"/>
        </w:tabs>
        <w:spacing w:line="259" w:lineRule="auto"/>
      </w:pPr>
      <w:r w:rsidRPr="00113F13">
        <w:t>The PIPA creates another exemption in relation to disclosure of personal information for the purpose of obtaining legal advice. Such disclosure is permitted to the Solicitor-General, Director of Public Prosecutions or Crown Solicitor, or to people employed in relation to those offices’ functions or duties.</w:t>
      </w:r>
      <w:r w:rsidRPr="00113F13">
        <w:rPr>
          <w:rStyle w:val="FootnoteReference"/>
          <w:rFonts w:ascii="Times New Roman" w:hAnsi="Times New Roman"/>
        </w:rPr>
        <w:footnoteReference w:id="98"/>
      </w:r>
      <w:bookmarkEnd w:id="96"/>
    </w:p>
    <w:p w14:paraId="3B7B7B96" w14:textId="77777777" w:rsidR="00FF302D" w:rsidRPr="00113F13" w:rsidRDefault="00FF302D" w:rsidP="00B63604">
      <w:pPr>
        <w:pStyle w:val="NormalNumberedTextTLRI"/>
        <w:numPr>
          <w:ilvl w:val="2"/>
          <w:numId w:val="31"/>
        </w:numPr>
        <w:tabs>
          <w:tab w:val="clear" w:pos="720"/>
        </w:tabs>
        <w:spacing w:line="259" w:lineRule="auto"/>
      </w:pPr>
      <w:bookmarkStart w:id="97" w:name="_Ref91826897"/>
      <w:r w:rsidRPr="00113F13">
        <w:t>The PIPA only applies to private or non-government bodies in a limited range of circumstances; namely, where such a body has entered a contract with a public authority and the contract involves the collection, use, or storage of personal information.</w:t>
      </w:r>
      <w:r w:rsidRPr="00113F13">
        <w:rPr>
          <w:rStyle w:val="FootnoteReference"/>
          <w:rFonts w:ascii="Times New Roman" w:hAnsi="Times New Roman"/>
        </w:rPr>
        <w:footnoteReference w:id="99"/>
      </w:r>
      <w:r w:rsidRPr="00113F13">
        <w:t xml:space="preserve"> In these circumstances, such bodies are deemed ‘personal information custodians’ and must comply with the Personal Information Protection Principles (‘PIPPs’). The PIPPs consequently apply to all that body’s dealings with personal information—not only those dealings that relate to personal information collected, used, or stored under the contract in question.</w:t>
      </w:r>
      <w:bookmarkEnd w:id="97"/>
    </w:p>
    <w:p w14:paraId="0B40FF97" w14:textId="77777777" w:rsidR="00FF302D" w:rsidRPr="00113F13" w:rsidRDefault="00FF302D" w:rsidP="00B63604">
      <w:pPr>
        <w:pStyle w:val="NormalNumberedTextTLRI"/>
        <w:numPr>
          <w:ilvl w:val="2"/>
          <w:numId w:val="31"/>
        </w:numPr>
        <w:tabs>
          <w:tab w:val="clear" w:pos="720"/>
        </w:tabs>
        <w:spacing w:line="259" w:lineRule="auto"/>
      </w:pPr>
      <w:r w:rsidRPr="00113F13">
        <w:t>Examples of circumstances in which a contracted body will be bound by the PIPPs include:</w:t>
      </w:r>
    </w:p>
    <w:p w14:paraId="5799EC04" w14:textId="77777777" w:rsidR="00FF302D" w:rsidRPr="00113F13" w:rsidRDefault="00FF302D" w:rsidP="000067D0">
      <w:pPr>
        <w:pStyle w:val="DotPointTLRI"/>
      </w:pPr>
      <w:r w:rsidRPr="00113F13">
        <w:t>where a public authority has outsourced some aspect of personal information management to a private organisation that provides cloud computing services;</w:t>
      </w:r>
      <w:r w:rsidRPr="00113F13">
        <w:rPr>
          <w:rStyle w:val="FootnoteReference"/>
          <w:rFonts w:ascii="Times New Roman" w:hAnsi="Times New Roman"/>
        </w:rPr>
        <w:footnoteReference w:id="100"/>
      </w:r>
      <w:r w:rsidRPr="00113F13">
        <w:t xml:space="preserve"> and </w:t>
      </w:r>
    </w:p>
    <w:p w14:paraId="47003D14" w14:textId="77777777" w:rsidR="00FF302D" w:rsidRPr="00113F13" w:rsidRDefault="00FF302D" w:rsidP="000067D0">
      <w:pPr>
        <w:pStyle w:val="DotPointTLRI"/>
      </w:pPr>
      <w:r w:rsidRPr="00113F13">
        <w:t>where a public authority has contracted a non-government organisation to provide a service to the public and delivery of the service involves the collection, use, or storage of personal information.</w:t>
      </w:r>
    </w:p>
    <w:p w14:paraId="6F340A1F" w14:textId="740F61C5" w:rsidR="00FF302D" w:rsidRPr="00113F13" w:rsidRDefault="288D8F58" w:rsidP="00B63604">
      <w:pPr>
        <w:pStyle w:val="NormalNumberedTextTLRI"/>
        <w:numPr>
          <w:ilvl w:val="2"/>
          <w:numId w:val="31"/>
        </w:numPr>
        <w:tabs>
          <w:tab w:val="clear" w:pos="720"/>
        </w:tabs>
        <w:spacing w:line="259" w:lineRule="auto"/>
      </w:pPr>
      <w:r>
        <w:t xml:space="preserve">Private bodies may also be bound by legislative privacy protections if they are a health service provider. Health services that are </w:t>
      </w:r>
      <w:r w:rsidR="00644B0F">
        <w:t>provided by</w:t>
      </w:r>
      <w:r>
        <w:t xml:space="preserve"> personal information custodians are bound by the PIPA </w:t>
      </w:r>
      <w:r w:rsidRPr="00EA22F8">
        <w:t>(discussed below in [</w:t>
      </w:r>
      <w:r w:rsidR="00AB7891" w:rsidRPr="00EA22F8">
        <w:t>Parts 5–8</w:t>
      </w:r>
      <w:r w:rsidRPr="00EA22F8">
        <w:t>])</w:t>
      </w:r>
      <w:r w:rsidRPr="00D62561">
        <w:t>,</w:t>
      </w:r>
      <w:r>
        <w:t xml:space="preserve"> while public and private health service providers have some privacy-related obligations under the </w:t>
      </w:r>
      <w:r w:rsidRPr="288D8F58">
        <w:rPr>
          <w:i/>
          <w:iCs/>
        </w:rPr>
        <w:t xml:space="preserve">Tasmanian Charter of Health Rights and Responsibilities </w:t>
      </w:r>
      <w:r>
        <w:t xml:space="preserve">and the </w:t>
      </w:r>
      <w:r w:rsidRPr="288D8F58">
        <w:rPr>
          <w:i/>
          <w:iCs/>
        </w:rPr>
        <w:t>Health Complaints Act 1995</w:t>
      </w:r>
      <w:r>
        <w:t xml:space="preserve"> (Tas</w:t>
      </w:r>
      <w:r w:rsidRPr="002E661A">
        <w:t>) (</w:t>
      </w:r>
      <w:r w:rsidRPr="00EA22F8">
        <w:t xml:space="preserve">discussed </w:t>
      </w:r>
      <w:r w:rsidR="002E661A">
        <w:t>at</w:t>
      </w:r>
      <w:r w:rsidRPr="00EA22F8">
        <w:t xml:space="preserve"> [10.17]</w:t>
      </w:r>
      <w:r w:rsidRPr="002E661A">
        <w:t>).</w:t>
      </w:r>
      <w:r>
        <w:t xml:space="preserve"> </w:t>
      </w:r>
    </w:p>
    <w:p w14:paraId="3A7529A5" w14:textId="77777777" w:rsidR="00FF302D" w:rsidRPr="00113F13" w:rsidRDefault="00FF302D" w:rsidP="000067D0">
      <w:pPr>
        <w:pStyle w:val="Sub-HeadingTLRI"/>
      </w:pPr>
      <w:bookmarkStart w:id="98" w:name="_Toc164606514"/>
      <w:r w:rsidRPr="00113F13">
        <w:lastRenderedPageBreak/>
        <w:t>Obligations under Commonwealth privacy laws for Tasmanian bodies</w:t>
      </w:r>
      <w:bookmarkEnd w:id="98"/>
    </w:p>
    <w:p w14:paraId="3BCB6573" w14:textId="77777777" w:rsidR="00FF302D" w:rsidRPr="00113F13" w:rsidRDefault="00FF302D" w:rsidP="00B63604">
      <w:pPr>
        <w:pStyle w:val="NormalNumberedTextTLRI"/>
        <w:numPr>
          <w:ilvl w:val="2"/>
          <w:numId w:val="31"/>
        </w:numPr>
        <w:tabs>
          <w:tab w:val="clear" w:pos="720"/>
        </w:tabs>
        <w:spacing w:line="259" w:lineRule="auto"/>
      </w:pPr>
      <w:bookmarkStart w:id="99" w:name="_Ref129289679"/>
      <w:r w:rsidRPr="00113F13">
        <w:t xml:space="preserve">Tasmanian bodies may also be subject to information privacy obligations under the Commonwealth </w:t>
      </w:r>
      <w:r w:rsidRPr="00113F13">
        <w:rPr>
          <w:i/>
          <w:iCs/>
        </w:rPr>
        <w:t>Privacy Act 1988</w:t>
      </w:r>
      <w:r w:rsidRPr="00113F13">
        <w:t xml:space="preserve"> (Cth) (‘Privacy Act’). While the intention of the federal law is not to affect state or territory laws that regulate personal information in a way that can operate concurrently with the federal law,</w:t>
      </w:r>
      <w:r w:rsidRPr="00113F13">
        <w:rPr>
          <w:rStyle w:val="FootnoteReference"/>
          <w:rFonts w:ascii="Times New Roman" w:hAnsi="Times New Roman"/>
        </w:rPr>
        <w:footnoteReference w:id="101"/>
      </w:r>
      <w:r w:rsidRPr="00113F13">
        <w:t xml:space="preserve"> there are some areas of potential overlap.</w:t>
      </w:r>
      <w:bookmarkEnd w:id="99"/>
    </w:p>
    <w:p w14:paraId="04FFC3B3" w14:textId="77777777" w:rsidR="00FF302D" w:rsidRPr="00113F13" w:rsidRDefault="00FF302D" w:rsidP="00B63604">
      <w:pPr>
        <w:pStyle w:val="NormalNumberedTextTLRI"/>
        <w:numPr>
          <w:ilvl w:val="2"/>
          <w:numId w:val="31"/>
        </w:numPr>
        <w:tabs>
          <w:tab w:val="clear" w:pos="720"/>
        </w:tabs>
        <w:spacing w:line="259" w:lineRule="auto"/>
      </w:pPr>
      <w:bookmarkStart w:id="100" w:name="_Ref164777427"/>
      <w:r w:rsidRPr="00113F13">
        <w:t>The Australian Privacy Principles (‘APPs’) apply to ‘APP entities’; namely, agencies and organisations as defined in the Privacy Act.</w:t>
      </w:r>
      <w:bookmarkStart w:id="101" w:name="_Ref91831259"/>
      <w:r w:rsidRPr="00113F13">
        <w:rPr>
          <w:rStyle w:val="FootnoteReference"/>
          <w:rFonts w:ascii="Times New Roman" w:hAnsi="Times New Roman"/>
        </w:rPr>
        <w:footnoteReference w:id="102"/>
      </w:r>
      <w:bookmarkEnd w:id="100"/>
      <w:bookmarkEnd w:id="101"/>
      <w:r w:rsidRPr="00113F13">
        <w:t xml:space="preserve"> </w:t>
      </w:r>
    </w:p>
    <w:p w14:paraId="6303521D" w14:textId="77777777" w:rsidR="00FF302D" w:rsidRPr="00113F13" w:rsidRDefault="00FF302D" w:rsidP="000067D0">
      <w:pPr>
        <w:pStyle w:val="DotPointTLRI"/>
      </w:pPr>
      <w:r w:rsidRPr="00113F13">
        <w:t>‘Agencies’ include Ministers, Departments, bodies, tribunals and offices made under Commonwealth law (or under State and Territory law where in force in an external Territory), appointees of the Governor-General, federal courts, the Australian Federal Police and others;</w:t>
      </w:r>
      <w:r w:rsidRPr="00113F13">
        <w:rPr>
          <w:rStyle w:val="FootnoteReference"/>
          <w:rFonts w:ascii="Times New Roman" w:hAnsi="Times New Roman"/>
        </w:rPr>
        <w:footnoteReference w:id="103"/>
      </w:r>
    </w:p>
    <w:p w14:paraId="11720332" w14:textId="77777777" w:rsidR="00FF302D" w:rsidRPr="00113F13" w:rsidRDefault="00FF302D" w:rsidP="000067D0">
      <w:pPr>
        <w:pStyle w:val="DotPointTLRI"/>
      </w:pPr>
      <w:r w:rsidRPr="00113F13">
        <w:t>‘Organisations’ comprise individuals, corporations, partnerships, unincorporated associations, and trusts, where they provide a health service, deal with personal information on a commercial basis, are contractors with the Commonwealth government to provide services to the public, or have an annual turnover of more than $3 million.</w:t>
      </w:r>
      <w:r w:rsidRPr="00113F13">
        <w:rPr>
          <w:rStyle w:val="FootnoteReference"/>
          <w:rFonts w:ascii="Times New Roman" w:hAnsi="Times New Roman"/>
        </w:rPr>
        <w:footnoteReference w:id="104"/>
      </w:r>
      <w:r w:rsidRPr="00113F13">
        <w:t xml:space="preserve"> </w:t>
      </w:r>
    </w:p>
    <w:p w14:paraId="5DF154C7" w14:textId="77777777" w:rsidR="00FF302D" w:rsidRPr="00113F13" w:rsidRDefault="00FF302D" w:rsidP="00B63604">
      <w:pPr>
        <w:pStyle w:val="NormalNumberedTextTLRI"/>
        <w:numPr>
          <w:ilvl w:val="2"/>
          <w:numId w:val="31"/>
        </w:numPr>
        <w:tabs>
          <w:tab w:val="clear" w:pos="720"/>
        </w:tabs>
        <w:spacing w:line="259" w:lineRule="auto"/>
      </w:pPr>
      <w:bookmarkStart w:id="102" w:name="_Ref147409913"/>
      <w:r w:rsidRPr="00113F13">
        <w:t>Some bodies that would meet the Privacy Act definition of an organisation are exempt from the operation of the Privacy Act. These include:</w:t>
      </w:r>
      <w:bookmarkEnd w:id="102"/>
    </w:p>
    <w:p w14:paraId="0E4E384D" w14:textId="77777777" w:rsidR="00FF302D" w:rsidRPr="00113F13" w:rsidRDefault="00FF302D" w:rsidP="000067D0">
      <w:pPr>
        <w:pStyle w:val="DotPointTLRI"/>
      </w:pPr>
      <w:r w:rsidRPr="00113F13">
        <w:t>a general exemption from the application of the Act to small business operators (operators of a small business with an annual turnover of $3 million or less);</w:t>
      </w:r>
      <w:r w:rsidRPr="00113F13">
        <w:rPr>
          <w:rStyle w:val="FootnoteReference"/>
          <w:rFonts w:ascii="Times New Roman" w:hAnsi="Times New Roman"/>
        </w:rPr>
        <w:footnoteReference w:id="105"/>
      </w:r>
      <w:r w:rsidRPr="00113F13">
        <w:t xml:space="preserve"> </w:t>
      </w:r>
    </w:p>
    <w:p w14:paraId="69D2ABED" w14:textId="77777777" w:rsidR="00FF302D" w:rsidRPr="00113F13" w:rsidRDefault="00FF302D" w:rsidP="000067D0">
      <w:pPr>
        <w:pStyle w:val="DotPointTLRI"/>
      </w:pPr>
      <w:r w:rsidRPr="00113F13">
        <w:t xml:space="preserve">a general exemption from the application of the Act for political parties registered under the </w:t>
      </w:r>
      <w:r w:rsidRPr="00113F13">
        <w:rPr>
          <w:i/>
          <w:iCs/>
        </w:rPr>
        <w:t>Commonwealth Electoral Act 1918</w:t>
      </w:r>
      <w:r w:rsidRPr="00113F13">
        <w:t xml:space="preserve"> (Cth);</w:t>
      </w:r>
      <w:r w:rsidRPr="00113F13">
        <w:rPr>
          <w:rStyle w:val="FootnoteReference"/>
          <w:rFonts w:ascii="Times New Roman" w:hAnsi="Times New Roman"/>
        </w:rPr>
        <w:footnoteReference w:id="106"/>
      </w:r>
      <w:r w:rsidRPr="00113F13">
        <w:t xml:space="preserve"> and </w:t>
      </w:r>
    </w:p>
    <w:p w14:paraId="521A87A7" w14:textId="77777777" w:rsidR="00FF302D" w:rsidRPr="00113F13" w:rsidRDefault="00FF302D" w:rsidP="000067D0">
      <w:pPr>
        <w:pStyle w:val="DotPointTLRI"/>
      </w:pPr>
      <w:r w:rsidRPr="00113F13">
        <w:t>exemption of political representatives and their affiliates (contractors and sub-contractors), and affiliates of registered political parties (contractors, sub-contractors, and volunteers) from the Act in a narrower set of circumstances in connection with elections, a referendum, or participation in another aspect of the political process.</w:t>
      </w:r>
      <w:r w:rsidRPr="00113F13">
        <w:rPr>
          <w:rStyle w:val="FootnoteReference"/>
          <w:rFonts w:ascii="Times New Roman" w:hAnsi="Times New Roman"/>
        </w:rPr>
        <w:footnoteReference w:id="107"/>
      </w:r>
    </w:p>
    <w:p w14:paraId="5ED2E25D" w14:textId="77777777" w:rsidR="00FF302D" w:rsidRPr="00113F13" w:rsidRDefault="00FF302D" w:rsidP="00B63604">
      <w:pPr>
        <w:pStyle w:val="NormalNumberedTextTLRI"/>
        <w:numPr>
          <w:ilvl w:val="2"/>
          <w:numId w:val="31"/>
        </w:numPr>
        <w:tabs>
          <w:tab w:val="clear" w:pos="720"/>
        </w:tabs>
        <w:spacing w:line="259" w:lineRule="auto"/>
      </w:pPr>
      <w:bookmarkStart w:id="103" w:name="_Ref147411864"/>
      <w:r w:rsidRPr="00113F13">
        <w:t>Small businesses that trade in personal information—that is, disclose personal information for a benefit, service, or advantage—are outside the scope of this exemption,</w:t>
      </w:r>
      <w:r w:rsidRPr="00113F13">
        <w:rPr>
          <w:rStyle w:val="FootnoteReference"/>
          <w:rFonts w:ascii="Times New Roman" w:hAnsi="Times New Roman"/>
        </w:rPr>
        <w:footnoteReference w:id="108"/>
      </w:r>
      <w:r w:rsidRPr="00113F13">
        <w:t xml:space="preserve"> unless they obtain the consent of individuals to collect or disclose their personal information.</w:t>
      </w:r>
      <w:r w:rsidRPr="00113F13">
        <w:rPr>
          <w:rStyle w:val="FootnoteReference"/>
          <w:rFonts w:ascii="Times New Roman" w:hAnsi="Times New Roman"/>
        </w:rPr>
        <w:footnoteReference w:id="109"/>
      </w:r>
      <w:bookmarkEnd w:id="103"/>
      <w:r w:rsidRPr="00113F13">
        <w:t xml:space="preserve"> </w:t>
      </w:r>
    </w:p>
    <w:p w14:paraId="5B42FBAD" w14:textId="77777777" w:rsidR="00FF302D" w:rsidRPr="00113F13" w:rsidRDefault="00FF302D" w:rsidP="00B63604">
      <w:pPr>
        <w:pStyle w:val="NormalNumberedTextTLRI"/>
        <w:numPr>
          <w:ilvl w:val="2"/>
          <w:numId w:val="31"/>
        </w:numPr>
        <w:tabs>
          <w:tab w:val="clear" w:pos="720"/>
        </w:tabs>
        <w:spacing w:line="259" w:lineRule="auto"/>
      </w:pPr>
      <w:r w:rsidRPr="00113F13">
        <w:t>State or Territory public authorities are also generally exempt from the operation of the Privacy Act.</w:t>
      </w:r>
      <w:r w:rsidRPr="00113F13">
        <w:rPr>
          <w:rStyle w:val="FootnoteReference"/>
          <w:rFonts w:ascii="Times New Roman" w:hAnsi="Times New Roman"/>
        </w:rPr>
        <w:footnoteReference w:id="110"/>
      </w:r>
      <w:r w:rsidRPr="00113F13">
        <w:t xml:space="preserve"> Contractors engaged by State public authorities to provide services are also exempted </w:t>
      </w:r>
      <w:r w:rsidRPr="00113F13">
        <w:lastRenderedPageBreak/>
        <w:t>from the Privacy Act, but only in relation to acts or practices for the purposes of meeting obligations under the contract.</w:t>
      </w:r>
      <w:r w:rsidRPr="00113F13">
        <w:rPr>
          <w:rStyle w:val="FootnoteReference"/>
          <w:rFonts w:ascii="Times New Roman" w:hAnsi="Times New Roman"/>
        </w:rPr>
        <w:footnoteReference w:id="111"/>
      </w:r>
      <w:r w:rsidRPr="00113F13">
        <w:t xml:space="preserve"> </w:t>
      </w:r>
    </w:p>
    <w:p w14:paraId="33BDF949" w14:textId="77777777" w:rsidR="00FF302D" w:rsidRPr="00113F13" w:rsidRDefault="00FF302D" w:rsidP="00B63604">
      <w:pPr>
        <w:pStyle w:val="NormalNumberedTextTLRI"/>
        <w:numPr>
          <w:ilvl w:val="2"/>
          <w:numId w:val="31"/>
        </w:numPr>
        <w:tabs>
          <w:tab w:val="clear" w:pos="720"/>
        </w:tabs>
        <w:spacing w:line="259" w:lineRule="auto"/>
      </w:pPr>
      <w:r w:rsidRPr="00113F13">
        <w:t>Organisations may be subject to both the Commonwealth Privacy Act and the Tasmanian PIPA. For example, a private body might have an annual turnover of greater than $3 million and hence be subject to the Commonwealth APPs, while also being party to a personal information contract with the Tasmanian Government and hence subject to the Tasmanian PIPPs (and not the APPs) in relation to that contract.</w:t>
      </w:r>
    </w:p>
    <w:p w14:paraId="1A112C68" w14:textId="77777777" w:rsidR="00FF302D" w:rsidRPr="00113F13" w:rsidRDefault="00FF302D" w:rsidP="00BF1FE7">
      <w:pPr>
        <w:pStyle w:val="NumberedHeadingTLRI"/>
      </w:pPr>
      <w:bookmarkStart w:id="104" w:name="_Toc164606515"/>
      <w:r w:rsidRPr="00113F13">
        <w:t>The position in other jurisdictions</w:t>
      </w:r>
      <w:bookmarkEnd w:id="104"/>
    </w:p>
    <w:p w14:paraId="1FE13ED1" w14:textId="77777777" w:rsidR="00FF302D" w:rsidRPr="00113F13" w:rsidRDefault="00FF302D" w:rsidP="00B63604">
      <w:pPr>
        <w:pStyle w:val="NormalNumberedTextTLRI"/>
        <w:numPr>
          <w:ilvl w:val="2"/>
          <w:numId w:val="31"/>
        </w:numPr>
        <w:tabs>
          <w:tab w:val="clear" w:pos="720"/>
        </w:tabs>
        <w:spacing w:line="259" w:lineRule="auto"/>
      </w:pPr>
      <w:r w:rsidRPr="00113F13">
        <w:t>As noted in Part 2, information privacy legislation exists in all other State and Territory jurisdictions except Western Australia and South Australia. Statutes in these other jurisdictions have similarly broad application to State or Territory public authorities, with courts and tribunals being treated differently such that they are not bound in their judicial functions but are bound in their administrative functions.</w:t>
      </w:r>
      <w:r w:rsidRPr="00113F13">
        <w:rPr>
          <w:rStyle w:val="FootnoteReference"/>
          <w:rFonts w:ascii="Times New Roman" w:hAnsi="Times New Roman"/>
        </w:rPr>
        <w:footnoteReference w:id="112"/>
      </w:r>
      <w:r w:rsidRPr="00113F13">
        <w:t xml:space="preserve"> Royal Commissions and Commissions of Inquiry are also typically exempted.</w:t>
      </w:r>
      <w:r w:rsidRPr="00113F13">
        <w:rPr>
          <w:rStyle w:val="FootnoteReference"/>
          <w:rFonts w:ascii="Times New Roman" w:hAnsi="Times New Roman"/>
        </w:rPr>
        <w:footnoteReference w:id="113"/>
      </w:r>
      <w:r w:rsidRPr="00113F13">
        <w:t xml:space="preserve"> </w:t>
      </w:r>
    </w:p>
    <w:p w14:paraId="1F3391C6" w14:textId="77777777" w:rsidR="00FF302D" w:rsidRPr="00113F13" w:rsidRDefault="00FF302D" w:rsidP="00B63604">
      <w:pPr>
        <w:pStyle w:val="NormalNumberedTextTLRI"/>
        <w:numPr>
          <w:ilvl w:val="2"/>
          <w:numId w:val="31"/>
        </w:numPr>
        <w:tabs>
          <w:tab w:val="clear" w:pos="720"/>
        </w:tabs>
        <w:spacing w:line="259" w:lineRule="auto"/>
      </w:pPr>
      <w:r w:rsidRPr="00113F13">
        <w:t>The legislation in other jurisdictions generally limits the extent to which protections apply beyond the public sector in similar ways to the PIPA.</w:t>
      </w:r>
      <w:r w:rsidRPr="00113F13">
        <w:rPr>
          <w:rStyle w:val="FootnoteReference"/>
          <w:rFonts w:ascii="Times New Roman" w:hAnsi="Times New Roman"/>
        </w:rPr>
        <w:footnoteReference w:id="114"/>
      </w:r>
      <w:r w:rsidRPr="00113F13">
        <w:t xml:space="preserve"> As in Tasmania, private bodies in these other jurisdictions that must typically comply with the legislative obligations are government contractors and private health service providers.</w:t>
      </w:r>
      <w:r w:rsidRPr="00113F13">
        <w:rPr>
          <w:rStyle w:val="FootnoteReference"/>
          <w:rFonts w:ascii="Times New Roman" w:hAnsi="Times New Roman"/>
        </w:rPr>
        <w:footnoteReference w:id="115"/>
      </w:r>
      <w:r w:rsidRPr="00113F13">
        <w:t xml:space="preserve"> The latter must comply with both Commonwealth and State/Territory privacy laws when handling health information.</w:t>
      </w:r>
      <w:r w:rsidRPr="00113F13">
        <w:rPr>
          <w:rStyle w:val="FootnoteReference"/>
          <w:rFonts w:ascii="Times New Roman" w:hAnsi="Times New Roman"/>
        </w:rPr>
        <w:footnoteReference w:id="116"/>
      </w:r>
      <w:r w:rsidRPr="00113F13">
        <w:rPr>
          <w:rStyle w:val="FootnoteReference"/>
          <w:rFonts w:ascii="Times New Roman" w:hAnsi="Times New Roman"/>
        </w:rPr>
        <w:t xml:space="preserve"> </w:t>
      </w:r>
    </w:p>
    <w:p w14:paraId="186C151A" w14:textId="77777777" w:rsidR="00FF302D" w:rsidRPr="00113F13" w:rsidRDefault="00FF302D" w:rsidP="00B63604">
      <w:pPr>
        <w:pStyle w:val="NormalNumberedTextTLRI"/>
        <w:numPr>
          <w:ilvl w:val="2"/>
          <w:numId w:val="31"/>
        </w:numPr>
        <w:tabs>
          <w:tab w:val="clear" w:pos="720"/>
        </w:tabs>
        <w:spacing w:line="259" w:lineRule="auto"/>
      </w:pPr>
      <w:bookmarkStart w:id="105" w:name="_Ref149297633"/>
      <w:r w:rsidRPr="00113F13">
        <w:t>Unlike in Tasmania, where protections apply automatically when a contractor enters an outsourcing arrangement with a government agency, Victorian and Queensland agencies must take positive steps to bind a contractor to the state privacy principles.</w:t>
      </w:r>
      <w:r w:rsidRPr="00113F13">
        <w:rPr>
          <w:rStyle w:val="FootnoteReference"/>
          <w:rFonts w:ascii="Times New Roman" w:hAnsi="Times New Roman"/>
        </w:rPr>
        <w:footnoteReference w:id="117"/>
      </w:r>
      <w:r w:rsidRPr="00113F13">
        <w:t xml:space="preserve"> Further:</w:t>
      </w:r>
      <w:bookmarkEnd w:id="105"/>
    </w:p>
    <w:p w14:paraId="05723475" w14:textId="77777777" w:rsidR="00FF302D" w:rsidRPr="00113F13" w:rsidRDefault="00FF302D" w:rsidP="000067D0">
      <w:pPr>
        <w:pStyle w:val="DotPointTLRI"/>
      </w:pPr>
      <w:r w:rsidRPr="00113F13">
        <w:lastRenderedPageBreak/>
        <w:t>In Victoria, a government contractor is bound only where the contract contains a term providing for this restriction.</w:t>
      </w:r>
      <w:r w:rsidRPr="00113F13">
        <w:rPr>
          <w:rStyle w:val="FootnoteReference"/>
          <w:rFonts w:ascii="Times New Roman" w:hAnsi="Times New Roman"/>
        </w:rPr>
        <w:footnoteReference w:id="118"/>
      </w:r>
      <w:r w:rsidRPr="00113F13">
        <w:t xml:space="preserve"> This contractual term also affects who is held responsible for interferences with privacy. Unless the term was both included in the contract and capable of being enforced against the contractor, any interference with privacy is taken to be engaged in by both the government agency and the contractor.</w:t>
      </w:r>
      <w:r w:rsidRPr="00113F13">
        <w:rPr>
          <w:rStyle w:val="FootnoteReference"/>
          <w:rFonts w:ascii="Times New Roman" w:hAnsi="Times New Roman"/>
        </w:rPr>
        <w:footnoteReference w:id="119"/>
      </w:r>
      <w:r w:rsidRPr="00113F13">
        <w:t xml:space="preserve"> </w:t>
      </w:r>
    </w:p>
    <w:p w14:paraId="09530DDA" w14:textId="77777777" w:rsidR="00FF302D" w:rsidRPr="00113F13" w:rsidRDefault="00FF302D" w:rsidP="000067D0">
      <w:pPr>
        <w:pStyle w:val="DotPointTLRI"/>
      </w:pPr>
      <w:r w:rsidRPr="00113F13">
        <w:t>In Queensland, a government contractor is bound only where the government agency has taken all reasonable steps to ensure this.</w:t>
      </w:r>
      <w:r w:rsidRPr="00113F13">
        <w:rPr>
          <w:rStyle w:val="FootnoteReference"/>
          <w:rFonts w:ascii="Times New Roman" w:hAnsi="Times New Roman"/>
        </w:rPr>
        <w:footnoteReference w:id="120"/>
      </w:r>
      <w:r w:rsidRPr="00113F13">
        <w:t xml:space="preserve"> If such reasonable steps have not been taken, the government agency remains responsible for breaches of privacy.</w:t>
      </w:r>
    </w:p>
    <w:p w14:paraId="52471127" w14:textId="77777777" w:rsidR="00FF302D" w:rsidRPr="00113F13" w:rsidRDefault="00FF302D" w:rsidP="00BF1FE7">
      <w:pPr>
        <w:pStyle w:val="NumberedHeadingTLRI"/>
      </w:pPr>
      <w:bookmarkStart w:id="106" w:name="_Toc164606516"/>
      <w:bookmarkStart w:id="107" w:name="_Ref164780229"/>
      <w:r w:rsidRPr="00113F13">
        <w:t>The Commonwealth Privacy Act Review</w:t>
      </w:r>
      <w:bookmarkEnd w:id="106"/>
      <w:bookmarkEnd w:id="107"/>
    </w:p>
    <w:p w14:paraId="0B69DE69" w14:textId="6D17E99A" w:rsidR="00FF302D" w:rsidRPr="00113F13" w:rsidRDefault="00FF302D" w:rsidP="00B63604">
      <w:pPr>
        <w:pStyle w:val="NormalNumberedTextTLRI"/>
        <w:numPr>
          <w:ilvl w:val="2"/>
          <w:numId w:val="31"/>
        </w:numPr>
        <w:tabs>
          <w:tab w:val="clear" w:pos="720"/>
        </w:tabs>
        <w:spacing w:line="259" w:lineRule="auto"/>
      </w:pPr>
      <w:bookmarkStart w:id="108" w:name="_Ref152250752"/>
      <w:r w:rsidRPr="00113F13">
        <w:t xml:space="preserve">The Privacy Act Review considered the appropriateness of the Privacy Act exemptions for private bodies (small businesses) and political parties, representatives, and affiliates </w:t>
      </w:r>
      <w:r w:rsidRPr="00EA22F8">
        <w:t xml:space="preserve">(discussed </w:t>
      </w:r>
      <w:r w:rsidR="003E27AA" w:rsidRPr="00EA22F8">
        <w:t>at [</w:t>
      </w:r>
      <w:r w:rsidR="003E27AA" w:rsidRPr="00EA22F8">
        <w:fldChar w:fldCharType="begin"/>
      </w:r>
      <w:r w:rsidR="003E27AA" w:rsidRPr="00EA22F8">
        <w:instrText xml:space="preserve"> REF _Ref147409913 \r \h </w:instrText>
      </w:r>
      <w:r w:rsidR="003E27AA">
        <w:instrText xml:space="preserve"> \* MERGEFORMAT </w:instrText>
      </w:r>
      <w:r w:rsidR="003E27AA" w:rsidRPr="00EA22F8">
        <w:fldChar w:fldCharType="separate"/>
      </w:r>
      <w:r w:rsidR="00462C30">
        <w:rPr>
          <w:cs/>
        </w:rPr>
        <w:t>‎</w:t>
      </w:r>
      <w:r w:rsidR="00462C30">
        <w:t>3.2.9</w:t>
      </w:r>
      <w:r w:rsidR="003E27AA" w:rsidRPr="00EA22F8">
        <w:fldChar w:fldCharType="end"/>
      </w:r>
      <w:r w:rsidR="003E27AA" w:rsidRPr="00EA22F8">
        <w:t>]</w:t>
      </w:r>
      <w:r w:rsidRPr="00EA22F8">
        <w:t xml:space="preserve"> above)</w:t>
      </w:r>
      <w:r w:rsidRPr="003E27AA">
        <w:t>.</w:t>
      </w:r>
      <w:r w:rsidRPr="00113F13">
        <w:t xml:space="preserve"> These proposals concerned matters that are not dealt with in Tasmanian legislation, but may have impacts on Tasmanian businesses and political entities.</w:t>
      </w:r>
      <w:bookmarkEnd w:id="108"/>
    </w:p>
    <w:p w14:paraId="7786226E" w14:textId="77777777" w:rsidR="00FF302D" w:rsidRPr="00113F13" w:rsidRDefault="00FF302D" w:rsidP="00B63604">
      <w:pPr>
        <w:pStyle w:val="NormalNumberedTextTLRI"/>
        <w:numPr>
          <w:ilvl w:val="2"/>
          <w:numId w:val="31"/>
        </w:numPr>
        <w:tabs>
          <w:tab w:val="clear" w:pos="720"/>
        </w:tabs>
        <w:spacing w:line="259" w:lineRule="auto"/>
      </w:pPr>
      <w:r w:rsidRPr="00113F13">
        <w:t>The Review examined whether small business exemptions which limit the Privacy Act’s application to the private sector should be removed or amended.</w:t>
      </w:r>
      <w:r w:rsidRPr="00113F13">
        <w:rPr>
          <w:rStyle w:val="FootnoteReference"/>
          <w:rFonts w:ascii="Times New Roman" w:hAnsi="Times New Roman"/>
        </w:rPr>
        <w:footnoteReference w:id="121"/>
      </w:r>
      <w:r w:rsidRPr="00113F13">
        <w:t xml:space="preserve"> In its Final Report, the Review proposed that the small business exemption be removed on the basis that the growing use of digital technology by businesses was creating greater privacy risks and the application of privacy protections in relation to small businesses’ handling of personal information would benefit individuals.</w:t>
      </w:r>
      <w:r w:rsidRPr="00113F13">
        <w:rPr>
          <w:rStyle w:val="FootnoteReference"/>
          <w:rFonts w:ascii="Times New Roman" w:hAnsi="Times New Roman"/>
        </w:rPr>
        <w:footnoteReference w:id="122"/>
      </w:r>
    </w:p>
    <w:p w14:paraId="6FE3D051" w14:textId="77777777" w:rsidR="00FF302D" w:rsidRPr="00113F13" w:rsidRDefault="00FF302D" w:rsidP="00B63604">
      <w:pPr>
        <w:pStyle w:val="NormalNumberedTextTLRI"/>
        <w:numPr>
          <w:ilvl w:val="2"/>
          <w:numId w:val="31"/>
        </w:numPr>
        <w:tabs>
          <w:tab w:val="clear" w:pos="720"/>
        </w:tabs>
        <w:spacing w:line="259" w:lineRule="auto"/>
      </w:pPr>
      <w:r w:rsidRPr="00113F13">
        <w:t>The Review recommended that the exemption only be removed after several steps are taken, including: analysing the impacts of such reform on small business; developing support for small business; and identifying (in consultation with small business) of the most appropriate way for small business to meet obligations proportionate to risk is determined (in consultation with small business).</w:t>
      </w:r>
      <w:r w:rsidRPr="00113F13">
        <w:rPr>
          <w:rStyle w:val="FootnoteReference"/>
          <w:rFonts w:ascii="Times New Roman" w:hAnsi="Times New Roman"/>
        </w:rPr>
        <w:footnoteReference w:id="123"/>
      </w:r>
      <w:r w:rsidRPr="00113F13">
        <w:t xml:space="preserve"> In its response, the Commonwealth Government agreed in-principle with these reforms and undertook to consult further to understand the potential impacts of such reforms on small businesses and identify appropriate privacy protections and supports.</w:t>
      </w:r>
      <w:r w:rsidRPr="00113F13">
        <w:rPr>
          <w:rStyle w:val="FootnoteReference"/>
          <w:rFonts w:ascii="Times New Roman" w:hAnsi="Times New Roman"/>
        </w:rPr>
        <w:footnoteReference w:id="124"/>
      </w:r>
    </w:p>
    <w:p w14:paraId="11BBA518" w14:textId="1990BEF5" w:rsidR="00FF302D" w:rsidRPr="00113F13" w:rsidRDefault="00FF302D" w:rsidP="00B63604">
      <w:pPr>
        <w:pStyle w:val="NormalNumberedTextTLRI"/>
        <w:numPr>
          <w:ilvl w:val="2"/>
          <w:numId w:val="31"/>
        </w:numPr>
        <w:tabs>
          <w:tab w:val="clear" w:pos="720"/>
        </w:tabs>
        <w:spacing w:line="259" w:lineRule="auto"/>
      </w:pPr>
      <w:bookmarkStart w:id="109" w:name="_Ref164769401"/>
      <w:r w:rsidRPr="00113F13">
        <w:t>The Review proposed that, in the shorter term, the small business exemption be removed in relation to the collection of biometric information for use in facial recognition technology (</w:t>
      </w:r>
      <w:r w:rsidRPr="00EA22F8">
        <w:t>discussed in detail at [</w:t>
      </w:r>
      <w:r w:rsidR="00175172">
        <w:fldChar w:fldCharType="begin"/>
      </w:r>
      <w:r w:rsidR="00175172" w:rsidRPr="00EA22F8">
        <w:instrText xml:space="preserve"> REF _Ref164769792 \r \h </w:instrText>
      </w:r>
      <w:r w:rsidR="00175172">
        <w:instrText xml:space="preserve"> \* MERGEFORMAT </w:instrText>
      </w:r>
      <w:r w:rsidR="00175172">
        <w:fldChar w:fldCharType="separate"/>
      </w:r>
      <w:r w:rsidR="00462C30">
        <w:rPr>
          <w:cs/>
        </w:rPr>
        <w:t>‎</w:t>
      </w:r>
      <w:r w:rsidR="00462C30">
        <w:t>3.6.2</w:t>
      </w:r>
      <w:r w:rsidR="00175172">
        <w:fldChar w:fldCharType="end"/>
      </w:r>
      <w:r w:rsidRPr="00EA22F8">
        <w:t xml:space="preserve">] </w:t>
      </w:r>
      <w:r w:rsidRPr="00175172">
        <w:t>) and in relation to small businesses that trade in personal information, which is presently</w:t>
      </w:r>
      <w:r w:rsidRPr="00113F13">
        <w:t xml:space="preserve"> permitted where individuals’ consent is </w:t>
      </w:r>
      <w:r w:rsidRPr="00767C27">
        <w:t xml:space="preserve">obtained </w:t>
      </w:r>
      <w:r w:rsidRPr="00EA22F8">
        <w:t>(see</w:t>
      </w:r>
      <w:r w:rsidR="008E6EED">
        <w:t xml:space="preserve"> </w:t>
      </w:r>
      <w:r w:rsidR="008E6EED">
        <w:fldChar w:fldCharType="begin"/>
      </w:r>
      <w:r w:rsidR="008E6EED">
        <w:instrText xml:space="preserve"> REF _Ref147411864 \r \h </w:instrText>
      </w:r>
      <w:r w:rsidR="008E6EED">
        <w:fldChar w:fldCharType="separate"/>
      </w:r>
      <w:r w:rsidR="00462C30">
        <w:rPr>
          <w:cs/>
        </w:rPr>
        <w:t>‎</w:t>
      </w:r>
      <w:r w:rsidR="00C01894">
        <w:t>[</w:t>
      </w:r>
      <w:r w:rsidR="00462C30">
        <w:t>3.2.10</w:t>
      </w:r>
      <w:r w:rsidR="008E6EED">
        <w:fldChar w:fldCharType="end"/>
      </w:r>
      <w:r w:rsidR="00FD6429">
        <w:t>]</w:t>
      </w:r>
      <w:r w:rsidRPr="00767C27">
        <w:t>).</w:t>
      </w:r>
      <w:r w:rsidRPr="00767C27">
        <w:rPr>
          <w:rStyle w:val="FootnoteReference"/>
          <w:rFonts w:ascii="Times New Roman" w:hAnsi="Times New Roman"/>
        </w:rPr>
        <w:footnoteReference w:id="125"/>
      </w:r>
      <w:r w:rsidRPr="00113F13">
        <w:t xml:space="preserve"> These proposals reflect the high privacy risks associated with these activities.</w:t>
      </w:r>
      <w:r w:rsidRPr="00113F13">
        <w:rPr>
          <w:rStyle w:val="FootnoteReference"/>
          <w:rFonts w:ascii="Times New Roman" w:hAnsi="Times New Roman"/>
        </w:rPr>
        <w:footnoteReference w:id="126"/>
      </w:r>
      <w:r w:rsidRPr="00113F13">
        <w:t xml:space="preserve"> The Commonwealth Government also agreed in-principle with this proposal.</w:t>
      </w:r>
      <w:bookmarkEnd w:id="109"/>
    </w:p>
    <w:p w14:paraId="66B95252" w14:textId="77777777" w:rsidR="00FF302D" w:rsidRPr="00113F13" w:rsidRDefault="00FF302D" w:rsidP="00B63604">
      <w:pPr>
        <w:pStyle w:val="NormalNumberedTextTLRI"/>
        <w:numPr>
          <w:ilvl w:val="2"/>
          <w:numId w:val="31"/>
        </w:numPr>
        <w:tabs>
          <w:tab w:val="clear" w:pos="720"/>
        </w:tabs>
        <w:spacing w:line="259" w:lineRule="auto"/>
      </w:pPr>
      <w:r w:rsidRPr="00113F13">
        <w:t>The Review also considered the Privacy Act exemptions relating to registered political parties, political representatives and their affiliates, and affiliates of registered political parties.</w:t>
      </w:r>
      <w:r w:rsidRPr="00113F13">
        <w:rPr>
          <w:rStyle w:val="FootnoteReference"/>
          <w:rFonts w:ascii="Times New Roman" w:hAnsi="Times New Roman"/>
        </w:rPr>
        <w:footnoteReference w:id="127"/>
      </w:r>
      <w:r w:rsidRPr="00113F13">
        <w:t xml:space="preserve"> The Final </w:t>
      </w:r>
      <w:r w:rsidRPr="00113F13">
        <w:lastRenderedPageBreak/>
        <w:t>Report stated that the political exemption ‘was introduced to encourage freedom of political communication and enhance the operation of the electoral and political process’,</w:t>
      </w:r>
      <w:r w:rsidRPr="00113F13">
        <w:rPr>
          <w:rStyle w:val="FootnoteReference"/>
          <w:rFonts w:ascii="Times New Roman" w:hAnsi="Times New Roman"/>
        </w:rPr>
        <w:footnoteReference w:id="128"/>
      </w:r>
      <w:r w:rsidRPr="00113F13">
        <w:t xml:space="preserve"> and observed that technological advances mean greater volumes of data about voters can be collected and utilised for political influence, raising concerns about privacy and the adequacy of the exemption. According to the Review, most of the submissions that addressed this exemption expressed the view that the exemption was not justifiable and should be narrowed or removed.</w:t>
      </w:r>
      <w:r w:rsidRPr="00113F13">
        <w:rPr>
          <w:rStyle w:val="FootnoteReference"/>
          <w:rFonts w:ascii="Times New Roman" w:hAnsi="Times New Roman"/>
        </w:rPr>
        <w:footnoteReference w:id="129"/>
      </w:r>
    </w:p>
    <w:p w14:paraId="6E98145D" w14:textId="158446A2" w:rsidR="00FF302D" w:rsidRPr="00432F56" w:rsidRDefault="00FF302D" w:rsidP="00B63604">
      <w:pPr>
        <w:pStyle w:val="NormalNumberedTextTLRI"/>
        <w:numPr>
          <w:ilvl w:val="2"/>
          <w:numId w:val="31"/>
        </w:numPr>
        <w:tabs>
          <w:tab w:val="clear" w:pos="720"/>
        </w:tabs>
        <w:spacing w:line="259" w:lineRule="auto"/>
      </w:pPr>
      <w:r w:rsidRPr="00113F13">
        <w:t>The Review proposed that the political parties exemption be narrowed to match the exemption currently available to political representatives and affiliates (</w:t>
      </w:r>
      <w:r w:rsidRPr="00EA22F8">
        <w:t xml:space="preserve">described </w:t>
      </w:r>
      <w:r w:rsidR="00420D8F" w:rsidRPr="00EA22F8">
        <w:t>at [</w:t>
      </w:r>
      <w:r w:rsidR="00420D8F">
        <w:fldChar w:fldCharType="begin"/>
      </w:r>
      <w:r w:rsidR="00420D8F" w:rsidRPr="00EA22F8">
        <w:instrText xml:space="preserve"> REF _Ref147409913 \r \h </w:instrText>
      </w:r>
      <w:r w:rsidR="00420D8F">
        <w:instrText xml:space="preserve"> \* MERGEFORMAT </w:instrText>
      </w:r>
      <w:r w:rsidR="00420D8F">
        <w:fldChar w:fldCharType="separate"/>
      </w:r>
      <w:r w:rsidR="00462C30">
        <w:rPr>
          <w:cs/>
        </w:rPr>
        <w:t>‎</w:t>
      </w:r>
      <w:r w:rsidR="00462C30">
        <w:t>3.2.9</w:t>
      </w:r>
      <w:r w:rsidR="00420D8F">
        <w:fldChar w:fldCharType="end"/>
      </w:r>
      <w:r w:rsidR="00420D8F" w:rsidRPr="00EA22F8">
        <w:t>]</w:t>
      </w:r>
      <w:r w:rsidRPr="00113F13">
        <w:t xml:space="preserve"> above), meaning they would be subject to the APPs except where handling information for purposes connected to the political process.</w:t>
      </w:r>
      <w:r w:rsidRPr="00113F13">
        <w:rPr>
          <w:rStyle w:val="FootnoteReference"/>
          <w:rFonts w:ascii="Times New Roman" w:hAnsi="Times New Roman"/>
        </w:rPr>
        <w:footnoteReference w:id="130"/>
      </w:r>
      <w:r w:rsidRPr="00113F13">
        <w:t xml:space="preserve"> The Review asserted that this would be more closely aligned with the purpose of the exemption.</w:t>
      </w:r>
      <w:r w:rsidRPr="00113F13">
        <w:rPr>
          <w:rStyle w:val="FootnoteReference"/>
          <w:rFonts w:ascii="Times New Roman" w:hAnsi="Times New Roman"/>
        </w:rPr>
        <w:footnoteReference w:id="131"/>
      </w:r>
      <w:r w:rsidRPr="00113F13">
        <w:t xml:space="preserve"> It also proposed that political entities covered by the political exemption should be required under the Privacy Act to have a privacy policy, on the basis that this would provide greater transparency.</w:t>
      </w:r>
      <w:r w:rsidRPr="00113F13">
        <w:rPr>
          <w:rStyle w:val="FootnoteReference"/>
          <w:rFonts w:ascii="Times New Roman" w:hAnsi="Times New Roman"/>
        </w:rPr>
        <w:footnoteReference w:id="132"/>
      </w:r>
      <w:r w:rsidRPr="00113F13">
        <w:t xml:space="preserve"> Privacy policies </w:t>
      </w:r>
      <w:r w:rsidRPr="00432F56">
        <w:t>a</w:t>
      </w:r>
      <w:r w:rsidRPr="00EA22F8">
        <w:t>re discussed further in [</w:t>
      </w:r>
      <w:r w:rsidR="00432F56">
        <w:fldChar w:fldCharType="begin"/>
      </w:r>
      <w:r w:rsidR="00432F56" w:rsidRPr="00EA22F8">
        <w:instrText xml:space="preserve"> REF _Ref164768716 \r \h </w:instrText>
      </w:r>
      <w:r w:rsidR="00432F56">
        <w:instrText xml:space="preserve"> \* MERGEFORMAT </w:instrText>
      </w:r>
      <w:r w:rsidR="00432F56">
        <w:fldChar w:fldCharType="separate"/>
      </w:r>
      <w:r w:rsidR="00462C30">
        <w:rPr>
          <w:cs/>
        </w:rPr>
        <w:t>‎</w:t>
      </w:r>
      <w:r w:rsidR="00462C30">
        <w:t>7.2</w:t>
      </w:r>
      <w:r w:rsidR="00432F56">
        <w:fldChar w:fldCharType="end"/>
      </w:r>
      <w:r w:rsidRPr="00EA22F8">
        <w:t>]</w:t>
      </w:r>
      <w:r w:rsidRPr="00432F56">
        <w:t xml:space="preserve"> of this Report. </w:t>
      </w:r>
    </w:p>
    <w:p w14:paraId="5B52284C" w14:textId="77777777" w:rsidR="00FF302D" w:rsidRPr="00113F13" w:rsidRDefault="00FF302D" w:rsidP="00B63604">
      <w:pPr>
        <w:pStyle w:val="NormalNumberedTextTLRI"/>
        <w:numPr>
          <w:ilvl w:val="2"/>
          <w:numId w:val="31"/>
        </w:numPr>
        <w:tabs>
          <w:tab w:val="clear" w:pos="720"/>
        </w:tabs>
        <w:spacing w:line="259" w:lineRule="auto"/>
      </w:pPr>
      <w:r w:rsidRPr="00113F13">
        <w:t>The Review further proposed a range of new qualifications or limitations on the political exemption. These included:</w:t>
      </w:r>
    </w:p>
    <w:p w14:paraId="79E0D6D4" w14:textId="3D2159AF" w:rsidR="00FF302D" w:rsidRPr="00113F13" w:rsidRDefault="288D8F58" w:rsidP="000067D0">
      <w:pPr>
        <w:pStyle w:val="DotPointTLRI"/>
      </w:pPr>
      <w:r>
        <w:t xml:space="preserve">introducing a ‘fair and reasonable’ test to determine when the exemption applies to political acts and practices </w:t>
      </w:r>
      <w:r w:rsidRPr="00A67D36">
        <w:t>(dis</w:t>
      </w:r>
      <w:r w:rsidRPr="00EA22F8">
        <w:t>cussed further in [</w:t>
      </w:r>
      <w:r w:rsidR="009F4FCC" w:rsidRPr="00EA22F8">
        <w:fldChar w:fldCharType="begin"/>
      </w:r>
      <w:r w:rsidR="009F4FCC" w:rsidRPr="00EA22F8">
        <w:instrText xml:space="preserve"> REF _Ref164768767 \r \h </w:instrText>
      </w:r>
      <w:r w:rsidR="00A67D36">
        <w:instrText xml:space="preserve"> \* MERGEFORMAT </w:instrText>
      </w:r>
      <w:r w:rsidR="009F4FCC" w:rsidRPr="00EA22F8">
        <w:fldChar w:fldCharType="separate"/>
      </w:r>
      <w:r w:rsidR="00462C30">
        <w:rPr>
          <w:cs/>
        </w:rPr>
        <w:t>‎</w:t>
      </w:r>
      <w:r w:rsidR="00462C30">
        <w:t>3.6.3</w:t>
      </w:r>
      <w:r w:rsidR="009F4FCC" w:rsidRPr="00EA22F8">
        <w:fldChar w:fldCharType="end"/>
      </w:r>
      <w:r w:rsidRPr="00EA22F8">
        <w:t>] of this Report</w:t>
      </w:r>
      <w:r>
        <w:t xml:space="preserve">); </w:t>
      </w:r>
    </w:p>
    <w:p w14:paraId="419E8072" w14:textId="77777777" w:rsidR="00FF302D" w:rsidRPr="00113F13" w:rsidRDefault="00FF302D" w:rsidP="000067D0">
      <w:pPr>
        <w:pStyle w:val="DotPointTLRI"/>
      </w:pPr>
      <w:r w:rsidRPr="00113F13">
        <w:t>prohibiting political entities from engaging in targeting based on sensitive information or traits relating to an individual (with some exceptions in relation to political opinions and membership of a political association or trade union);</w:t>
      </w:r>
      <w:r w:rsidRPr="00113F13">
        <w:rPr>
          <w:rStyle w:val="FootnoteReference"/>
          <w:rFonts w:ascii="Times New Roman" w:hAnsi="Times New Roman"/>
        </w:rPr>
        <w:footnoteReference w:id="133"/>
      </w:r>
      <w:r w:rsidRPr="00113F13">
        <w:t xml:space="preserve"> </w:t>
      </w:r>
    </w:p>
    <w:p w14:paraId="78B271F3" w14:textId="77777777" w:rsidR="00FF302D" w:rsidRPr="00113F13" w:rsidRDefault="00FF302D" w:rsidP="000067D0">
      <w:pPr>
        <w:pStyle w:val="DotPointTLRI"/>
      </w:pPr>
      <w:r w:rsidRPr="00113F13">
        <w:t>requiring entities to give individuals the means to opt-out of their personal information being used or disclosed for direct marketing or targeted advertising;</w:t>
      </w:r>
      <w:r w:rsidRPr="00113F13">
        <w:rPr>
          <w:rStyle w:val="FootnoteReference"/>
          <w:rFonts w:ascii="Times New Roman" w:hAnsi="Times New Roman"/>
        </w:rPr>
        <w:footnoteReference w:id="134"/>
      </w:r>
      <w:r w:rsidRPr="00113F13">
        <w:t xml:space="preserve"> </w:t>
      </w:r>
    </w:p>
    <w:p w14:paraId="70CA5DA0" w14:textId="77777777" w:rsidR="00FF302D" w:rsidRPr="00113F13" w:rsidRDefault="00FF302D" w:rsidP="000067D0">
      <w:pPr>
        <w:pStyle w:val="DotPointTLRI"/>
      </w:pPr>
      <w:r w:rsidRPr="00113F13">
        <w:t>requiring political entities to take reasonable steps to protect the personal information and destroy or de-identify it once it is no longer needed for the purpose covered by the exemption;</w:t>
      </w:r>
      <w:r w:rsidRPr="00113F13">
        <w:rPr>
          <w:rStyle w:val="FootnoteReference"/>
          <w:rFonts w:ascii="Times New Roman" w:hAnsi="Times New Roman"/>
        </w:rPr>
        <w:footnoteReference w:id="135"/>
      </w:r>
      <w:r w:rsidRPr="00113F13">
        <w:t xml:space="preserve"> and </w:t>
      </w:r>
    </w:p>
    <w:p w14:paraId="1E76C820" w14:textId="4BB96886" w:rsidR="00FF302D" w:rsidRPr="00EF05BC" w:rsidRDefault="00FF302D" w:rsidP="000067D0">
      <w:pPr>
        <w:pStyle w:val="DotPointTLRI"/>
      </w:pPr>
      <w:r w:rsidRPr="00113F13">
        <w:t>requiring political entities to comply with the notifiable data breaches scheme (</w:t>
      </w:r>
      <w:r w:rsidRPr="00EA22F8">
        <w:t xml:space="preserve">discussed at </w:t>
      </w:r>
      <w:r w:rsidR="00EF05BC" w:rsidRPr="00EA22F8">
        <w:t>[</w:t>
      </w:r>
      <w:r w:rsidR="00EF05BC">
        <w:fldChar w:fldCharType="begin"/>
      </w:r>
      <w:r w:rsidR="00EF05BC" w:rsidRPr="00EA22F8">
        <w:instrText xml:space="preserve"> REF _Ref164768983 \r \h </w:instrText>
      </w:r>
      <w:r w:rsidR="00EF05BC">
        <w:instrText xml:space="preserve"> \* MERGEFORMAT </w:instrText>
      </w:r>
      <w:r w:rsidR="00EF05BC">
        <w:fldChar w:fldCharType="separate"/>
      </w:r>
      <w:r w:rsidR="00462C30">
        <w:rPr>
          <w:cs/>
        </w:rPr>
        <w:t>‎</w:t>
      </w:r>
      <w:r w:rsidR="00462C30">
        <w:t>8.12</w:t>
      </w:r>
      <w:r w:rsidR="00EF05BC">
        <w:fldChar w:fldCharType="end"/>
      </w:r>
      <w:r w:rsidRPr="00EA22F8">
        <w:t>] of this Report)</w:t>
      </w:r>
      <w:r w:rsidRPr="00EF05BC">
        <w:t>.</w:t>
      </w:r>
      <w:r w:rsidRPr="00EF05BC">
        <w:rPr>
          <w:rStyle w:val="FootnoteReference"/>
          <w:rFonts w:ascii="Times New Roman" w:hAnsi="Times New Roman"/>
        </w:rPr>
        <w:footnoteReference w:id="136"/>
      </w:r>
    </w:p>
    <w:p w14:paraId="4DE836FC" w14:textId="77777777" w:rsidR="00FF302D" w:rsidRPr="00113F13" w:rsidRDefault="00FF302D" w:rsidP="00B63604">
      <w:pPr>
        <w:pStyle w:val="NormalNumberedTextTLRI"/>
        <w:numPr>
          <w:ilvl w:val="2"/>
          <w:numId w:val="31"/>
        </w:numPr>
        <w:tabs>
          <w:tab w:val="clear" w:pos="720"/>
        </w:tabs>
        <w:spacing w:line="259" w:lineRule="auto"/>
      </w:pPr>
      <w:r w:rsidRPr="00113F13">
        <w:t>In its response to the Privacy Act Review Final Report, the Commonwealth Government noted the Review’s proposals regarding narrowing the political exemption and did not indicate an intention to pursue reforms in this regard.</w:t>
      </w:r>
    </w:p>
    <w:p w14:paraId="609246B3"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Privacy Act Review also acknowledged multiple areas of complexity in the interaction of Commonwealth and State and Territory legislation, several of which related to the types of entities subject to Commonwealth and/or State and Territory legislation. It recommended the establishment of </w:t>
      </w:r>
      <w:r w:rsidRPr="00113F13">
        <w:lastRenderedPageBreak/>
        <w:t>a Commonwealth, State, and Territory working group to ‘provide a forum to focus on aligning privacy legislation in areas of key concern’, including:</w:t>
      </w:r>
    </w:p>
    <w:p w14:paraId="66AF231B" w14:textId="77777777" w:rsidR="00FF302D" w:rsidRPr="00113F13" w:rsidRDefault="00FF302D" w:rsidP="000067D0">
      <w:pPr>
        <w:pStyle w:val="DotPointTLRI"/>
      </w:pPr>
      <w:r w:rsidRPr="00113F13">
        <w:t>pursuing the harmonisation of health privacy legislation in light of its complexity and a need for clarification in relation to issues, such as the growth of telehealth services and the treatment of genomic information and coverage of deceased persons;</w:t>
      </w:r>
      <w:r w:rsidRPr="00113F13">
        <w:rPr>
          <w:rStyle w:val="FootnoteReference"/>
          <w:rFonts w:ascii="Times New Roman" w:hAnsi="Times New Roman"/>
        </w:rPr>
        <w:footnoteReference w:id="137"/>
      </w:r>
      <w:r w:rsidRPr="00113F13">
        <w:t xml:space="preserve"> and </w:t>
      </w:r>
    </w:p>
    <w:p w14:paraId="67E2BA18" w14:textId="45D1B47E" w:rsidR="00FF302D" w:rsidRPr="00113F13" w:rsidRDefault="00FF302D" w:rsidP="000067D0">
      <w:pPr>
        <w:pStyle w:val="DotPointTLRI"/>
      </w:pPr>
      <w:r w:rsidRPr="00113F13">
        <w:t>addressing concerns about gaps in coverage of privacy protections where contractors under State or Territory contracts are exempt from the APPs to the extent of that contract, regardless of whether State or Territory legislation applies to acts and practices performed under the contract</w:t>
      </w:r>
      <w:r w:rsidRPr="00ED16BF">
        <w:t xml:space="preserve">; </w:t>
      </w:r>
      <w:r w:rsidRPr="00EA22F8">
        <w:t xml:space="preserve">as discussed at </w:t>
      </w:r>
      <w:r w:rsidR="00ED16BF" w:rsidRPr="00ED16BF">
        <w:t>[</w:t>
      </w:r>
      <w:r w:rsidR="00ED16BF" w:rsidRPr="00ED16BF">
        <w:fldChar w:fldCharType="begin"/>
      </w:r>
      <w:r w:rsidR="00ED16BF" w:rsidRPr="00ED16BF">
        <w:instrText xml:space="preserve"> REF _Ref91826897 \r \h </w:instrText>
      </w:r>
      <w:r w:rsidR="00ED16BF">
        <w:instrText xml:space="preserve"> \* MERGEFORMAT </w:instrText>
      </w:r>
      <w:r w:rsidR="00ED16BF" w:rsidRPr="00ED16BF">
        <w:fldChar w:fldCharType="separate"/>
      </w:r>
      <w:r w:rsidR="00462C30">
        <w:rPr>
          <w:cs/>
        </w:rPr>
        <w:t>‎</w:t>
      </w:r>
      <w:r w:rsidR="00462C30">
        <w:t>3.2.4</w:t>
      </w:r>
      <w:r w:rsidR="00ED16BF" w:rsidRPr="00ED16BF">
        <w:fldChar w:fldCharType="end"/>
      </w:r>
      <w:r w:rsidR="00ED16BF" w:rsidRPr="00ED16BF">
        <w:t>]</w:t>
      </w:r>
      <w:r w:rsidR="00F877A5">
        <w:t xml:space="preserve"> </w:t>
      </w:r>
      <w:r w:rsidRPr="00EA22F8">
        <w:t>above</w:t>
      </w:r>
      <w:r w:rsidRPr="00113F13">
        <w:t>, the PIPA does apply in these circumstances in Tasmania.</w:t>
      </w:r>
      <w:r w:rsidRPr="00113F13">
        <w:rPr>
          <w:rStyle w:val="FootnoteReference"/>
          <w:rFonts w:ascii="Times New Roman" w:hAnsi="Times New Roman"/>
        </w:rPr>
        <w:footnoteReference w:id="138"/>
      </w:r>
    </w:p>
    <w:p w14:paraId="000A0B28" w14:textId="77777777" w:rsidR="00FF302D" w:rsidRPr="00113F13" w:rsidRDefault="00FF302D" w:rsidP="00BF1FE7">
      <w:pPr>
        <w:pStyle w:val="NumberedHeadingTLRI"/>
      </w:pPr>
      <w:bookmarkStart w:id="110" w:name="_Toc164606517"/>
      <w:r w:rsidRPr="00113F13">
        <w:t>Consultation</w:t>
      </w:r>
      <w:bookmarkEnd w:id="110"/>
      <w:r w:rsidRPr="00113F13">
        <w:t xml:space="preserve"> </w:t>
      </w:r>
    </w:p>
    <w:p w14:paraId="1C5AA83E" w14:textId="77777777" w:rsidR="00FF302D" w:rsidRPr="00113F13" w:rsidRDefault="00FF302D" w:rsidP="00B63604">
      <w:pPr>
        <w:pStyle w:val="NormalNumberedTextTLRI"/>
        <w:numPr>
          <w:ilvl w:val="2"/>
          <w:numId w:val="31"/>
        </w:numPr>
        <w:tabs>
          <w:tab w:val="clear" w:pos="720"/>
        </w:tabs>
        <w:spacing w:line="259" w:lineRule="auto"/>
      </w:pPr>
      <w:r w:rsidRPr="00113F13">
        <w:t>In the Issues Paper, the following questions were posed about the scope of bodies subject to the PIPA:</w:t>
      </w:r>
    </w:p>
    <w:p w14:paraId="5CF51A88" w14:textId="77777777" w:rsidR="00FF302D" w:rsidRPr="00113F13" w:rsidRDefault="00FF302D" w:rsidP="000067D0">
      <w:pPr>
        <w:pStyle w:val="Indentedquote"/>
        <w:rPr>
          <w:rFonts w:cs="Times New Roman"/>
        </w:rPr>
      </w:pPr>
      <w:r w:rsidRPr="00113F13">
        <w:rPr>
          <w:rFonts w:cs="Times New Roman"/>
        </w:rPr>
        <w:t>Are there Tasmanian public sector agencies or organisations not sufficiently covered by the PIPA, or which should otherwise be included in the definition of ‘personal information custodian’?</w:t>
      </w:r>
      <w:r w:rsidRPr="00113F13">
        <w:rPr>
          <w:rStyle w:val="FootnoteReference"/>
          <w:rFonts w:ascii="Times New Roman" w:hAnsi="Times New Roman" w:cs="Times New Roman"/>
        </w:rPr>
        <w:footnoteReference w:id="139"/>
      </w:r>
    </w:p>
    <w:p w14:paraId="4207A9E0" w14:textId="77777777" w:rsidR="00FF302D" w:rsidRPr="00113F13" w:rsidRDefault="00FF302D" w:rsidP="000067D0">
      <w:pPr>
        <w:pStyle w:val="Indentedquote"/>
        <w:rPr>
          <w:rFonts w:cs="Times New Roman"/>
        </w:rPr>
      </w:pPr>
      <w:r w:rsidRPr="00113F13">
        <w:rPr>
          <w:rFonts w:cs="Times New Roman"/>
        </w:rPr>
        <w:t>Should non-government organisations, such as for-profit businesses, charities, or political parties registered in Tasmania, be subject to privacy regulation in addition to any obligations under the Privacy Act?</w:t>
      </w:r>
      <w:r w:rsidRPr="00113F13">
        <w:rPr>
          <w:rStyle w:val="FootnoteReference"/>
          <w:rFonts w:ascii="Times New Roman" w:hAnsi="Times New Roman" w:cs="Times New Roman"/>
        </w:rPr>
        <w:footnoteReference w:id="140"/>
      </w:r>
    </w:p>
    <w:p w14:paraId="3B0CC161" w14:textId="77777777" w:rsidR="00FF302D" w:rsidRPr="00113F13" w:rsidRDefault="00FF302D" w:rsidP="000067D0">
      <w:pPr>
        <w:pStyle w:val="Indentedquote"/>
        <w:rPr>
          <w:rFonts w:cs="Times New Roman"/>
        </w:rPr>
      </w:pPr>
      <w:r w:rsidRPr="00113F13">
        <w:rPr>
          <w:rFonts w:cs="Times New Roman"/>
        </w:rPr>
        <w:t>To what extent are government contractors appropriately subject to obligations under the PIPA? Should there be additional obligations on Tasmanian government agencies entering into contracts with private bodies to ensure that privacy obligations are able to be enforced against the contractor?</w:t>
      </w:r>
      <w:r w:rsidRPr="00113F13">
        <w:rPr>
          <w:rStyle w:val="FootnoteReference"/>
          <w:rFonts w:ascii="Times New Roman" w:hAnsi="Times New Roman" w:cs="Times New Roman"/>
        </w:rPr>
        <w:footnoteReference w:id="141"/>
      </w:r>
    </w:p>
    <w:p w14:paraId="73637942" w14:textId="77777777" w:rsidR="00FF302D" w:rsidRPr="00113F13" w:rsidRDefault="00FF302D" w:rsidP="00B63604">
      <w:pPr>
        <w:pStyle w:val="NormalNumberedTextTLRI"/>
        <w:numPr>
          <w:ilvl w:val="2"/>
          <w:numId w:val="31"/>
        </w:numPr>
        <w:tabs>
          <w:tab w:val="clear" w:pos="720"/>
        </w:tabs>
        <w:spacing w:line="259" w:lineRule="auto"/>
      </w:pPr>
      <w:r w:rsidRPr="00113F13">
        <w:t xml:space="preserve">A small number of submissions to this project expressed views in response to these questions. In </w:t>
      </w:r>
      <w:r w:rsidRPr="00D55F6D">
        <w:t xml:space="preserve">relation </w:t>
      </w:r>
      <w:r w:rsidRPr="00EA22F8">
        <w:t>to Question 2.1</w:t>
      </w:r>
      <w:r w:rsidRPr="00113F13">
        <w:t>, Meg Webb MLC submitted that all public sector agencies, including those currently exempt, should be subject to the PIPA and defined as ‘personal information custodians’.</w:t>
      </w:r>
      <w:r w:rsidRPr="00113F13">
        <w:rPr>
          <w:rStyle w:val="FootnoteReference"/>
          <w:rFonts w:ascii="Times New Roman" w:hAnsi="Times New Roman"/>
        </w:rPr>
        <w:footnoteReference w:id="142"/>
      </w:r>
      <w:r w:rsidRPr="00113F13">
        <w:t xml:space="preserve"> </w:t>
      </w:r>
      <w:r w:rsidRPr="00EA22F8">
        <w:t>Ms Webb</w:t>
      </w:r>
      <w:r w:rsidRPr="00113F13">
        <w:t xml:space="preserve"> proposed that the PIPA could provide access to exemptions for courts and tribunals and other public legal officers and employees ‘when supported by a public interest test’.</w:t>
      </w:r>
      <w:r w:rsidRPr="00113F13">
        <w:rPr>
          <w:rStyle w:val="FootnoteReference"/>
          <w:rFonts w:ascii="Times New Roman" w:hAnsi="Times New Roman"/>
        </w:rPr>
        <w:footnoteReference w:id="143"/>
      </w:r>
    </w:p>
    <w:p w14:paraId="4A2FBCB5"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response to </w:t>
      </w:r>
      <w:r w:rsidRPr="00D55F6D">
        <w:t>Q</w:t>
      </w:r>
      <w:r w:rsidRPr="00EA22F8">
        <w:t>uestion 2.2</w:t>
      </w:r>
      <w:r w:rsidRPr="00D55F6D">
        <w:t>,</w:t>
      </w:r>
      <w:r w:rsidRPr="00113F13">
        <w:t xml:space="preserve"> several submitters expressed the view that non-government organisations should be subject to the same privacy regulation as other entities where they are in a position to obtain basic information or sensitive information, although none expressed a view about whether this necessitated amendment of the PIPA or was more appropriately dealt with elsewhere, such as in the Commonwealth Privacy Act.</w:t>
      </w:r>
      <w:r w:rsidRPr="00113F13">
        <w:rPr>
          <w:rStyle w:val="FootnoteReference"/>
          <w:rFonts w:ascii="Times New Roman" w:hAnsi="Times New Roman"/>
        </w:rPr>
        <w:footnoteReference w:id="144"/>
      </w:r>
    </w:p>
    <w:p w14:paraId="24673C9B" w14:textId="69822069" w:rsidR="00FF302D" w:rsidRPr="00113F13" w:rsidRDefault="00FF302D" w:rsidP="288D8F58">
      <w:pPr>
        <w:pStyle w:val="NormalNumberedTextTLRI"/>
        <w:numPr>
          <w:ilvl w:val="2"/>
          <w:numId w:val="31"/>
        </w:numPr>
        <w:tabs>
          <w:tab w:val="clear" w:pos="720"/>
        </w:tabs>
        <w:spacing w:line="259" w:lineRule="auto"/>
        <w:rPr>
          <w:rStyle w:val="Emphasis"/>
          <w:rFonts w:eastAsiaTheme="minorEastAsia"/>
          <w:i w:val="0"/>
          <w:iCs w:val="0"/>
          <w:kern w:val="2"/>
          <w14:ligatures w14:val="standardContextual"/>
        </w:rPr>
      </w:pPr>
      <w:r w:rsidRPr="288D8F58">
        <w:rPr>
          <w:rStyle w:val="Emphasis"/>
          <w:i w:val="0"/>
          <w:iCs w:val="0"/>
        </w:rPr>
        <w:lastRenderedPageBreak/>
        <w:t>Tasmania Legal Aid (‘TLA’) suggested that ‘questions around the inability to “guarantee” regulated information-handling in NGOs’ were inhibiting information sharing by government bodies in circumstances where government and non-government organisations have mutual clients but not contractual arrangements. TLA called for facilitation of information sharing between organisations, including government organisations and NGOs</w:t>
      </w:r>
      <w:r w:rsidRPr="00FE2F95">
        <w:rPr>
          <w:rStyle w:val="Emphasis"/>
          <w:i w:val="0"/>
          <w:iCs w:val="0"/>
        </w:rPr>
        <w:t>.</w:t>
      </w:r>
      <w:r w:rsidRPr="00FE2F95">
        <w:rPr>
          <w:rStyle w:val="FootnoteReference"/>
          <w:rFonts w:ascii="Times New Roman" w:hAnsi="Times New Roman"/>
        </w:rPr>
        <w:footnoteReference w:id="145"/>
      </w:r>
      <w:r w:rsidR="00A956E8">
        <w:rPr>
          <w:rStyle w:val="Emphasis"/>
          <w:i w:val="0"/>
          <w:iCs w:val="0"/>
        </w:rPr>
        <w:t xml:space="preserve"> </w:t>
      </w:r>
      <w:r w:rsidRPr="288D8F58">
        <w:rPr>
          <w:rStyle w:val="Emphasis"/>
          <w:i w:val="0"/>
          <w:iCs w:val="0"/>
        </w:rPr>
        <w:t xml:space="preserve">Information sharing between government bodies is discussed in </w:t>
      </w:r>
      <w:r w:rsidRPr="00385E7A">
        <w:rPr>
          <w:rStyle w:val="Emphasis"/>
          <w:i w:val="0"/>
          <w:iCs w:val="0"/>
        </w:rPr>
        <w:t>deta</w:t>
      </w:r>
      <w:r w:rsidRPr="00EA22F8">
        <w:rPr>
          <w:rStyle w:val="Emphasis"/>
          <w:i w:val="0"/>
          <w:iCs w:val="0"/>
        </w:rPr>
        <w:t xml:space="preserve">il at </w:t>
      </w:r>
      <w:r w:rsidR="00A956E8" w:rsidRPr="00EA22F8">
        <w:rPr>
          <w:rStyle w:val="Emphasis"/>
          <w:i w:val="0"/>
          <w:iCs w:val="0"/>
        </w:rPr>
        <w:t xml:space="preserve"> </w:t>
      </w:r>
      <w:r w:rsidR="00991C37" w:rsidRPr="00385E7A">
        <w:rPr>
          <w:rStyle w:val="Emphasis"/>
          <w:i w:val="0"/>
          <w:iCs w:val="0"/>
        </w:rPr>
        <w:t>[</w:t>
      </w:r>
      <w:r w:rsidR="00A956E8" w:rsidRPr="00385E7A">
        <w:rPr>
          <w:rStyle w:val="Emphasis"/>
          <w:i w:val="0"/>
          <w:iCs w:val="0"/>
        </w:rPr>
        <w:fldChar w:fldCharType="begin"/>
      </w:r>
      <w:r w:rsidR="00A956E8" w:rsidRPr="00385E7A">
        <w:rPr>
          <w:rStyle w:val="Emphasis"/>
          <w:i w:val="0"/>
          <w:iCs w:val="0"/>
        </w:rPr>
        <w:instrText xml:space="preserve"> REF _Ref91685494 \r \h </w:instrText>
      </w:r>
      <w:r w:rsidR="00385E7A">
        <w:rPr>
          <w:rStyle w:val="Emphasis"/>
          <w:i w:val="0"/>
          <w:iCs w:val="0"/>
        </w:rPr>
        <w:instrText xml:space="preserve"> \* MERGEFORMAT </w:instrText>
      </w:r>
      <w:r w:rsidR="00A956E8" w:rsidRPr="00385E7A">
        <w:rPr>
          <w:rStyle w:val="Emphasis"/>
          <w:i w:val="0"/>
          <w:iCs w:val="0"/>
        </w:rPr>
      </w:r>
      <w:r w:rsidR="00A956E8" w:rsidRPr="00385E7A">
        <w:rPr>
          <w:rStyle w:val="Emphasis"/>
          <w:i w:val="0"/>
          <w:iCs w:val="0"/>
        </w:rPr>
        <w:fldChar w:fldCharType="separate"/>
      </w:r>
      <w:r w:rsidR="00462C30">
        <w:rPr>
          <w:rStyle w:val="Emphasis"/>
          <w:i w:val="0"/>
          <w:iCs w:val="0"/>
          <w:cs/>
        </w:rPr>
        <w:t>‎</w:t>
      </w:r>
      <w:r w:rsidR="00462C30">
        <w:rPr>
          <w:rStyle w:val="Emphasis"/>
          <w:i w:val="0"/>
          <w:iCs w:val="0"/>
        </w:rPr>
        <w:t>9.10</w:t>
      </w:r>
      <w:r w:rsidR="00A956E8" w:rsidRPr="00385E7A">
        <w:rPr>
          <w:rStyle w:val="Emphasis"/>
          <w:i w:val="0"/>
          <w:iCs w:val="0"/>
        </w:rPr>
        <w:fldChar w:fldCharType="end"/>
      </w:r>
      <w:r w:rsidR="00A956E8" w:rsidRPr="00385E7A">
        <w:rPr>
          <w:rStyle w:val="Emphasis"/>
          <w:i w:val="0"/>
          <w:iCs w:val="0"/>
        </w:rPr>
        <w:t>]</w:t>
      </w:r>
      <w:r w:rsidR="00991C37" w:rsidRPr="00EA22F8">
        <w:rPr>
          <w:rStyle w:val="Emphasis"/>
          <w:i w:val="0"/>
          <w:iCs w:val="0"/>
        </w:rPr>
        <w:t>–</w:t>
      </w:r>
      <w:r w:rsidR="00991C37" w:rsidRPr="00385E7A">
        <w:rPr>
          <w:rStyle w:val="Emphasis"/>
          <w:i w:val="0"/>
          <w:iCs w:val="0"/>
        </w:rPr>
        <w:t>[</w:t>
      </w:r>
      <w:r w:rsidR="00385E7A" w:rsidRPr="00385E7A">
        <w:rPr>
          <w:rStyle w:val="Emphasis"/>
          <w:i w:val="0"/>
          <w:iCs w:val="0"/>
        </w:rPr>
        <w:fldChar w:fldCharType="begin"/>
      </w:r>
      <w:r w:rsidR="00385E7A" w:rsidRPr="00385E7A">
        <w:rPr>
          <w:rStyle w:val="Emphasis"/>
          <w:i w:val="0"/>
          <w:iCs w:val="0"/>
        </w:rPr>
        <w:instrText xml:space="preserve"> REF _Ref164769249 \r \h </w:instrText>
      </w:r>
      <w:r w:rsidR="00385E7A">
        <w:rPr>
          <w:rStyle w:val="Emphasis"/>
          <w:i w:val="0"/>
          <w:iCs w:val="0"/>
        </w:rPr>
        <w:instrText xml:space="preserve"> \* MERGEFORMAT </w:instrText>
      </w:r>
      <w:r w:rsidR="00385E7A" w:rsidRPr="00385E7A">
        <w:rPr>
          <w:rStyle w:val="Emphasis"/>
          <w:i w:val="0"/>
          <w:iCs w:val="0"/>
        </w:rPr>
      </w:r>
      <w:r w:rsidR="00385E7A" w:rsidRPr="00385E7A">
        <w:rPr>
          <w:rStyle w:val="Emphasis"/>
          <w:i w:val="0"/>
          <w:iCs w:val="0"/>
        </w:rPr>
        <w:fldChar w:fldCharType="separate"/>
      </w:r>
      <w:r w:rsidR="00462C30">
        <w:rPr>
          <w:rStyle w:val="Emphasis"/>
          <w:i w:val="0"/>
          <w:iCs w:val="0"/>
          <w:cs/>
        </w:rPr>
        <w:t>‎</w:t>
      </w:r>
      <w:r w:rsidR="00462C30">
        <w:rPr>
          <w:rStyle w:val="Emphasis"/>
          <w:i w:val="0"/>
          <w:iCs w:val="0"/>
        </w:rPr>
        <w:t>9.13</w:t>
      </w:r>
      <w:r w:rsidR="00385E7A" w:rsidRPr="00385E7A">
        <w:rPr>
          <w:rStyle w:val="Emphasis"/>
          <w:i w:val="0"/>
          <w:iCs w:val="0"/>
        </w:rPr>
        <w:fldChar w:fldCharType="end"/>
      </w:r>
      <w:r w:rsidR="00385E7A" w:rsidRPr="00385E7A">
        <w:rPr>
          <w:rStyle w:val="Emphasis"/>
          <w:i w:val="0"/>
          <w:iCs w:val="0"/>
        </w:rPr>
        <w:t>]</w:t>
      </w:r>
      <w:r w:rsidR="00385E7A" w:rsidRPr="00EA22F8">
        <w:rPr>
          <w:rStyle w:val="Emphasis"/>
          <w:i w:val="0"/>
          <w:iCs w:val="0"/>
        </w:rPr>
        <w:t xml:space="preserve"> o</w:t>
      </w:r>
      <w:r w:rsidR="00385E7A" w:rsidRPr="00385E7A">
        <w:rPr>
          <w:rStyle w:val="Emphasis"/>
          <w:i w:val="0"/>
          <w:iCs w:val="0"/>
        </w:rPr>
        <w:t>f this</w:t>
      </w:r>
      <w:r w:rsidR="00385E7A" w:rsidRPr="288D8F58">
        <w:rPr>
          <w:rStyle w:val="Emphasis"/>
          <w:i w:val="0"/>
          <w:iCs w:val="0"/>
        </w:rPr>
        <w:t xml:space="preserve"> Report</w:t>
      </w:r>
      <w:r w:rsidR="00385E7A">
        <w:rPr>
          <w:rStyle w:val="Emphasis"/>
          <w:i w:val="0"/>
          <w:iCs w:val="0"/>
        </w:rPr>
        <w:t>.</w:t>
      </w:r>
    </w:p>
    <w:p w14:paraId="278CB969" w14:textId="560211C8" w:rsidR="00B7010B" w:rsidRDefault="00FF302D" w:rsidP="00B63604">
      <w:pPr>
        <w:pStyle w:val="NormalNumberedTextTLRI"/>
        <w:numPr>
          <w:ilvl w:val="2"/>
          <w:numId w:val="31"/>
        </w:numPr>
        <w:tabs>
          <w:tab w:val="clear" w:pos="720"/>
        </w:tabs>
        <w:spacing w:line="259" w:lineRule="auto"/>
      </w:pPr>
      <w:r w:rsidRPr="00113F13">
        <w:t xml:space="preserve">In response to Question 2.3, Meg Webb MLC submitted that government contractors ‘can be a potential “loop-hole” in [the] context of consistent and rigorous application of privacy protections’. </w:t>
      </w:r>
      <w:r w:rsidRPr="00EA22F8">
        <w:t>Ms Webb</w:t>
      </w:r>
      <w:r w:rsidRPr="00113F13">
        <w:t xml:space="preserve"> called for ‘clear and reportable additional obligations on Tasmanian government agencies entering into contracts with private bodies’ to ensure privacy obligations can be enforced against those contractors.</w:t>
      </w:r>
      <w:r w:rsidRPr="00113F13">
        <w:rPr>
          <w:rStyle w:val="FootnoteReference"/>
          <w:rFonts w:ascii="Times New Roman" w:hAnsi="Times New Roman"/>
        </w:rPr>
        <w:footnoteReference w:id="146"/>
      </w:r>
    </w:p>
    <w:p w14:paraId="5CB1C656" w14:textId="77777777" w:rsidR="00FF302D" w:rsidRPr="00113F13" w:rsidRDefault="00FF302D" w:rsidP="00BF1FE7">
      <w:pPr>
        <w:pStyle w:val="NumberedHeadingTLRI"/>
      </w:pPr>
      <w:bookmarkStart w:id="111" w:name="_Toc164606518"/>
      <w:r w:rsidRPr="00113F13">
        <w:t>The TLRI’s view</w:t>
      </w:r>
      <w:bookmarkEnd w:id="111"/>
    </w:p>
    <w:p w14:paraId="2B12BF3D" w14:textId="53560009" w:rsidR="00FF302D" w:rsidRPr="00113F13" w:rsidRDefault="00FF302D" w:rsidP="00B63604">
      <w:pPr>
        <w:pStyle w:val="NormalNumberedTextTLRI"/>
        <w:numPr>
          <w:ilvl w:val="2"/>
          <w:numId w:val="31"/>
        </w:numPr>
        <w:tabs>
          <w:tab w:val="clear" w:pos="720"/>
        </w:tabs>
        <w:spacing w:line="259" w:lineRule="auto"/>
      </w:pPr>
      <w:r w:rsidRPr="00113F13">
        <w:t xml:space="preserve">The TLRI is of the view that there is not a strong argument for the extension of the scope of the PIPA to apply to additional Tasmanian public sector agencies or organisations, such as courts and tribunals. The TLRI notes that such reforms would be inconsistent with the scope of legislation in other state jurisdictions with information privacy legislation, such </w:t>
      </w:r>
      <w:r w:rsidRPr="00FE2F95">
        <w:t xml:space="preserve">as </w:t>
      </w:r>
      <w:r w:rsidRPr="00EA22F8">
        <w:t>N</w:t>
      </w:r>
      <w:r w:rsidR="00FE2F95" w:rsidRPr="00EA22F8">
        <w:t xml:space="preserve">ew </w:t>
      </w:r>
      <w:r w:rsidRPr="00EA22F8">
        <w:t>S</w:t>
      </w:r>
      <w:r w:rsidR="00FE2F95" w:rsidRPr="00EA22F8">
        <w:t xml:space="preserve">outh </w:t>
      </w:r>
      <w:r w:rsidRPr="00EA22F8">
        <w:t>W</w:t>
      </w:r>
      <w:r w:rsidR="00FE2F95" w:rsidRPr="00FE2F95">
        <w:t>ales</w:t>
      </w:r>
      <w:r w:rsidRPr="00113F13">
        <w:t>, Victoria</w:t>
      </w:r>
      <w:r w:rsidR="00FE2F95">
        <w:t>,</w:t>
      </w:r>
      <w:r w:rsidRPr="00113F13">
        <w:t xml:space="preserve"> and Queensland, and also the position under the </w:t>
      </w:r>
      <w:r w:rsidRPr="00113F13">
        <w:rPr>
          <w:i/>
          <w:iCs/>
        </w:rPr>
        <w:t>Privacy Act</w:t>
      </w:r>
      <w:r w:rsidR="0092298D">
        <w:rPr>
          <w:i/>
          <w:iCs/>
        </w:rPr>
        <w:t xml:space="preserve"> 1988</w:t>
      </w:r>
      <w:r w:rsidRPr="00113F13">
        <w:rPr>
          <w:i/>
          <w:iCs/>
        </w:rPr>
        <w:t xml:space="preserve"> </w:t>
      </w:r>
      <w:r w:rsidRPr="00113F13">
        <w:t>(Cth). An amendment to remove the exemption for courts and tribunals acting in a judicial capacity would be contrary to longstanding principles of open justice.</w:t>
      </w:r>
      <w:r w:rsidRPr="00113F13">
        <w:rPr>
          <w:rStyle w:val="FootnoteReference"/>
          <w:rFonts w:ascii="Times New Roman" w:hAnsi="Times New Roman"/>
        </w:rPr>
        <w:footnoteReference w:id="147"/>
      </w:r>
    </w:p>
    <w:p w14:paraId="093F5384" w14:textId="7F71BFB2" w:rsidR="00FF302D" w:rsidRPr="00113F13" w:rsidRDefault="00FF302D" w:rsidP="00B63604">
      <w:pPr>
        <w:pStyle w:val="NormalNumberedTextTLRI"/>
        <w:numPr>
          <w:ilvl w:val="2"/>
          <w:numId w:val="31"/>
        </w:numPr>
        <w:tabs>
          <w:tab w:val="clear" w:pos="720"/>
        </w:tabs>
        <w:spacing w:line="259" w:lineRule="auto"/>
      </w:pPr>
      <w:bookmarkStart w:id="112" w:name="_Ref164769792"/>
      <w:r w:rsidRPr="00113F13">
        <w:t xml:space="preserve">Similarly, the TLRI is of the view that there is not a clear argument for extending the scope of the PIPA to apply to non-government organisations. The TLRI’s view is that this is, instead, a matter more appropriately addressed under the Commonwealth Privacy Act framework. As observed in the Issues Paper, the imposition of broad obligations on private organisations, in the absence of a sufficient connection to the Tasmanian public sector, would generally be restricted by the fact that the Commonwealth Privacy Act already applies to those organisations. </w:t>
      </w:r>
      <w:r w:rsidRPr="00EA22F8">
        <w:t xml:space="preserve">As discussed at </w:t>
      </w:r>
      <w:r w:rsidR="00CD66F1" w:rsidRPr="00EA22F8">
        <w:t>[</w:t>
      </w:r>
      <w:r w:rsidR="00952C7A" w:rsidRPr="00EA22F8">
        <w:fldChar w:fldCharType="begin"/>
      </w:r>
      <w:r w:rsidR="00952C7A" w:rsidRPr="00EA22F8">
        <w:instrText xml:space="preserve"> REF _Ref164769401 \r \h </w:instrText>
      </w:r>
      <w:r w:rsidR="00CD66F1">
        <w:instrText xml:space="preserve"> \* MERGEFORMAT </w:instrText>
      </w:r>
      <w:r w:rsidR="00952C7A" w:rsidRPr="00EA22F8">
        <w:fldChar w:fldCharType="separate"/>
      </w:r>
      <w:r w:rsidR="00462C30">
        <w:rPr>
          <w:cs/>
        </w:rPr>
        <w:t>‎</w:t>
      </w:r>
      <w:r w:rsidR="00462C30">
        <w:t>3.4.4</w:t>
      </w:r>
      <w:r w:rsidR="00952C7A" w:rsidRPr="00EA22F8">
        <w:fldChar w:fldCharType="end"/>
      </w:r>
      <w:r w:rsidRPr="00EA22F8">
        <w:t>] and following above</w:t>
      </w:r>
      <w:r w:rsidRPr="00113F13">
        <w:t>, the Privacy Act Review and the Commonwealth Government’s in-principle agreement suggests that the small business exemption may be removed in relation to the collection of biometric information for use in facial recognition technology and small businesses trading in personal information in the shorter term. Further, the TLRI notes the Commonwealth’s in-principle agreement with the broader proposal to remove the small business exemption from the Privacy Act, the adoption of which would extend privacy protections in relation to these bodies’ handling of personal information.</w:t>
      </w:r>
      <w:bookmarkEnd w:id="112"/>
    </w:p>
    <w:p w14:paraId="5D73A5F3" w14:textId="77777777" w:rsidR="00FF302D" w:rsidRPr="00113F13" w:rsidRDefault="00FF302D" w:rsidP="00B63604">
      <w:pPr>
        <w:pStyle w:val="NormalNumberedTextTLRI"/>
        <w:numPr>
          <w:ilvl w:val="2"/>
          <w:numId w:val="31"/>
        </w:numPr>
        <w:tabs>
          <w:tab w:val="clear" w:pos="720"/>
        </w:tabs>
        <w:spacing w:line="259" w:lineRule="auto"/>
      </w:pPr>
      <w:bookmarkStart w:id="113" w:name="_Ref164768767"/>
      <w:r w:rsidRPr="00113F13">
        <w:t>The TLRI notes that the Commonwealth Government has not expressed an intention to alter the political party exemptions from the Privacy Act. This is contrary to the weight of submissions to the Privacy Act Review, and the view expressed in the Review’s Final Report, which indicated that the blanket exclusion of political parties from information privacy obligations was inconsistent with community expectations and unnecessary to uphold rights to freedom of political expression and political communication. The basis for the exemption of political parties traditionally rested on freedom of political communication and was introduced to ‘enhance the operation of the electoral and political process in Australia’.</w:t>
      </w:r>
      <w:r w:rsidRPr="00113F13">
        <w:rPr>
          <w:rStyle w:val="FootnoteReference"/>
          <w:rFonts w:ascii="Times New Roman" w:hAnsi="Times New Roman"/>
        </w:rPr>
        <w:footnoteReference w:id="148"/>
      </w:r>
      <w:r w:rsidRPr="00113F13">
        <w:rPr>
          <w:rStyle w:val="FootnoteReference"/>
          <w:rFonts w:ascii="Times New Roman" w:hAnsi="Times New Roman"/>
        </w:rPr>
        <w:t xml:space="preserve"> </w:t>
      </w:r>
      <w:r w:rsidRPr="00113F13">
        <w:t xml:space="preserve">However, the Privacy Review reported that those who made submissions </w:t>
      </w:r>
      <w:r w:rsidRPr="00113F13">
        <w:lastRenderedPageBreak/>
        <w:t>considered that the political exemption was not achieving its purpose and was serving to undermine the integrity of the democratic electoral process’.</w:t>
      </w:r>
      <w:r w:rsidRPr="00113F13">
        <w:rPr>
          <w:rStyle w:val="FootnoteReference"/>
          <w:rFonts w:ascii="Times New Roman" w:hAnsi="Times New Roman"/>
        </w:rPr>
        <w:footnoteReference w:id="149"/>
      </w:r>
      <w:r w:rsidRPr="00113F13">
        <w:t xml:space="preserve"> As a result, the Review proposed a more qualified exemption. Such an exemption would be confined to acts and activities relating to political processes, would apply only when a ‘fair and reasonable’ test is met </w:t>
      </w:r>
      <w:r w:rsidRPr="00514F1B">
        <w:t>(</w:t>
      </w:r>
      <w:r w:rsidRPr="00EA22F8">
        <w:t>discussed further in Part 5 of this Report)</w:t>
      </w:r>
      <w:r w:rsidRPr="00113F13">
        <w:t xml:space="preserve"> and would impose obligations on political entities in terms of information handling, disclosure and opt-out mechanisms, and notification of data breach. It is also noted that the political party exemption is also contrary to the views of the Australian Law Reform Commission from 2008 that, ‘There are compelling policy reasons – as well as strong stakeholder support – for applying privacy obligations to registered political parties and political acts and practices’.</w:t>
      </w:r>
      <w:r w:rsidRPr="00113F13">
        <w:rPr>
          <w:rStyle w:val="FootnoteReference"/>
          <w:rFonts w:ascii="Times New Roman" w:hAnsi="Times New Roman"/>
        </w:rPr>
        <w:footnoteReference w:id="150"/>
      </w:r>
      <w:bookmarkEnd w:id="113"/>
    </w:p>
    <w:p w14:paraId="38B2418E" w14:textId="254C3549" w:rsidR="00FF302D" w:rsidRPr="00113F13" w:rsidRDefault="00FF302D" w:rsidP="00B63604">
      <w:pPr>
        <w:pStyle w:val="NormalNumberedTextTLRI"/>
        <w:numPr>
          <w:ilvl w:val="2"/>
          <w:numId w:val="31"/>
        </w:numPr>
        <w:tabs>
          <w:tab w:val="clear" w:pos="720"/>
        </w:tabs>
        <w:spacing w:line="259" w:lineRule="auto"/>
      </w:pPr>
      <w:r w:rsidRPr="00113F13">
        <w:t>The TLRI notes the concern raised in the submission of Meg Webb MLC about the adequacy of privacy protections applying to government contractors. The TLRI observes that government contractors are bound by the PIPA as ‘personal information custodians’ where they have entered a contract with a public authority and the contract involves the collection, use or storage of personal information (</w:t>
      </w:r>
      <w:r w:rsidRPr="00EA22F8">
        <w:t xml:space="preserve">see </w:t>
      </w:r>
      <w:r w:rsidR="00AB1351">
        <w:fldChar w:fldCharType="begin"/>
      </w:r>
      <w:r w:rsidR="00AB1351" w:rsidRPr="00EA22F8">
        <w:instrText xml:space="preserve"> REF _Ref91826897 \r \h </w:instrText>
      </w:r>
      <w:r w:rsidR="00B61974">
        <w:instrText xml:space="preserve"> \* MERGEFORMAT </w:instrText>
      </w:r>
      <w:r w:rsidR="00AB1351">
        <w:fldChar w:fldCharType="separate"/>
      </w:r>
      <w:r w:rsidR="00462C30">
        <w:rPr>
          <w:cs/>
        </w:rPr>
        <w:t>‎</w:t>
      </w:r>
      <w:r w:rsidR="0092298D">
        <w:t>[</w:t>
      </w:r>
      <w:r w:rsidR="00462C30">
        <w:t>3.2.4</w:t>
      </w:r>
      <w:r w:rsidR="00AB1351">
        <w:fldChar w:fldCharType="end"/>
      </w:r>
      <w:r w:rsidRPr="00EA22F8">
        <w:t>] above</w:t>
      </w:r>
      <w:r w:rsidRPr="00113F13">
        <w:t>).</w:t>
      </w:r>
      <w:r w:rsidRPr="00113F13">
        <w:rPr>
          <w:rStyle w:val="FootnoteReference"/>
          <w:rFonts w:ascii="Times New Roman" w:hAnsi="Times New Roman"/>
        </w:rPr>
        <w:footnoteReference w:id="151"/>
      </w:r>
      <w:r w:rsidRPr="00113F13">
        <w:t xml:space="preserve"> This means avenues for complaints against contractors in relation to breaches of PIPPs are available in these circumstances (although these could be strengthened further, as </w:t>
      </w:r>
      <w:r w:rsidRPr="00B61974">
        <w:t>o</w:t>
      </w:r>
      <w:r w:rsidRPr="00EA22F8">
        <w:t xml:space="preserve">utlined in </w:t>
      </w:r>
      <w:r w:rsidR="00CB2B89">
        <w:t>Part</w:t>
      </w:r>
      <w:r w:rsidRPr="00EA22F8">
        <w:t xml:space="preserve"> 8 of this Report</w:t>
      </w:r>
      <w:r w:rsidRPr="00B61974">
        <w:t>). The PIPA provisions relating to government contractors’ obligations are similar to, and in some ways stronger than, those found in other State and Territory jurisdictions (</w:t>
      </w:r>
      <w:r w:rsidRPr="00EA22F8">
        <w:t xml:space="preserve">see </w:t>
      </w:r>
      <w:r w:rsidR="00B61974" w:rsidRPr="00EA22F8">
        <w:t>[</w:t>
      </w:r>
      <w:r w:rsidR="00B61974">
        <w:fldChar w:fldCharType="begin"/>
      </w:r>
      <w:r w:rsidR="00B61974" w:rsidRPr="00EA22F8">
        <w:instrText xml:space="preserve"> REF _Ref149297633 \r \h </w:instrText>
      </w:r>
      <w:r w:rsidR="00B61974">
        <w:instrText xml:space="preserve"> \* MERGEFORMAT </w:instrText>
      </w:r>
      <w:r w:rsidR="00B61974">
        <w:fldChar w:fldCharType="separate"/>
      </w:r>
      <w:r w:rsidR="00462C30">
        <w:rPr>
          <w:cs/>
        </w:rPr>
        <w:t>‎</w:t>
      </w:r>
      <w:r w:rsidR="00462C30">
        <w:t>3.3.3</w:t>
      </w:r>
      <w:r w:rsidR="00B61974">
        <w:fldChar w:fldCharType="end"/>
      </w:r>
      <w:r w:rsidRPr="00EA22F8">
        <w:t>] above)</w:t>
      </w:r>
      <w:r w:rsidRPr="00B61974">
        <w:t>.</w:t>
      </w:r>
      <w:r w:rsidRPr="00113F13">
        <w:t xml:space="preserve"> On this basis, the TLRI does not recommend changes to the obligations of government contractors, or agencies contracting with them, but notes that further consideration of the guidance that government agencies provide to contractors may be appropriate.</w:t>
      </w:r>
    </w:p>
    <w:p w14:paraId="2989BC1B" w14:textId="77777777" w:rsidR="00FF302D" w:rsidRPr="00113F13" w:rsidRDefault="00FF302D" w:rsidP="00BF1FE7">
      <w:pPr>
        <w:pStyle w:val="NumberedHeadingTLRI"/>
      </w:pPr>
      <w:bookmarkStart w:id="114" w:name="_Toc164606519"/>
      <w:r w:rsidRPr="00113F13">
        <w:t>Recommendations</w:t>
      </w:r>
      <w:bookmarkEnd w:id="114"/>
    </w:p>
    <w:p w14:paraId="24021148" w14:textId="77777777" w:rsidR="00FF302D" w:rsidRPr="00113F13" w:rsidRDefault="00FF302D" w:rsidP="00B63604">
      <w:pPr>
        <w:pStyle w:val="NormalNumberedTextTLRI"/>
        <w:numPr>
          <w:ilvl w:val="2"/>
          <w:numId w:val="31"/>
        </w:numPr>
        <w:tabs>
          <w:tab w:val="clear" w:pos="720"/>
        </w:tabs>
        <w:spacing w:line="259" w:lineRule="auto"/>
      </w:pPr>
      <w:r w:rsidRPr="00113F13">
        <w:t>The TLRI makes no recommendations regarding the bodies subject to the PIPA.</w:t>
      </w:r>
      <w:bookmarkStart w:id="115" w:name="_Toc85537740"/>
      <w:bookmarkStart w:id="116" w:name="_Toc85537874"/>
      <w:bookmarkStart w:id="117" w:name="_Toc85381222"/>
      <w:bookmarkStart w:id="118" w:name="_Toc85537741"/>
      <w:bookmarkStart w:id="119" w:name="_Toc85537875"/>
      <w:bookmarkStart w:id="120" w:name="_Toc85381223"/>
      <w:bookmarkStart w:id="121" w:name="_Toc85537742"/>
      <w:bookmarkStart w:id="122" w:name="_Toc85537876"/>
      <w:bookmarkStart w:id="123" w:name="_Toc85381224"/>
      <w:bookmarkStart w:id="124" w:name="_Toc85537743"/>
      <w:bookmarkStart w:id="125" w:name="_Toc85537877"/>
      <w:bookmarkStart w:id="126" w:name="_Toc85381225"/>
      <w:bookmarkStart w:id="127" w:name="_Toc85537744"/>
      <w:bookmarkStart w:id="128" w:name="_Toc85537878"/>
      <w:bookmarkStart w:id="129" w:name="_Toc85381226"/>
      <w:bookmarkStart w:id="130" w:name="_Toc85537745"/>
      <w:bookmarkStart w:id="131" w:name="_Toc85537879"/>
      <w:bookmarkStart w:id="132" w:name="_Toc77846277"/>
      <w:bookmarkStart w:id="133" w:name="_Toc77846329"/>
      <w:bookmarkStart w:id="134" w:name="_Toc77846381"/>
      <w:bookmarkStart w:id="135" w:name="_Toc77846541"/>
      <w:bookmarkStart w:id="136" w:name="_Toc77933332"/>
      <w:bookmarkStart w:id="137" w:name="_Toc77846278"/>
      <w:bookmarkStart w:id="138" w:name="_Toc77846330"/>
      <w:bookmarkStart w:id="139" w:name="_Toc77846382"/>
      <w:bookmarkStart w:id="140" w:name="_Toc77846542"/>
      <w:bookmarkStart w:id="141" w:name="_Toc77933333"/>
      <w:bookmarkStart w:id="142" w:name="_Toc77846279"/>
      <w:bookmarkStart w:id="143" w:name="_Toc77846331"/>
      <w:bookmarkStart w:id="144" w:name="_Toc77846383"/>
      <w:bookmarkStart w:id="145" w:name="_Toc77846543"/>
      <w:bookmarkStart w:id="146" w:name="_Toc77933334"/>
      <w:bookmarkStart w:id="147" w:name="_Toc77846280"/>
      <w:bookmarkStart w:id="148" w:name="_Toc77846332"/>
      <w:bookmarkStart w:id="149" w:name="_Toc77846384"/>
      <w:bookmarkStart w:id="150" w:name="_Toc77846544"/>
      <w:bookmarkStart w:id="151" w:name="_Toc77933335"/>
      <w:bookmarkStart w:id="152" w:name="_Toc77846281"/>
      <w:bookmarkStart w:id="153" w:name="_Toc77846333"/>
      <w:bookmarkStart w:id="154" w:name="_Toc77846385"/>
      <w:bookmarkStart w:id="155" w:name="_Toc77846545"/>
      <w:bookmarkStart w:id="156" w:name="_Toc77933336"/>
      <w:bookmarkStart w:id="157" w:name="_Toc77846282"/>
      <w:bookmarkStart w:id="158" w:name="_Toc77846334"/>
      <w:bookmarkStart w:id="159" w:name="_Toc77846386"/>
      <w:bookmarkStart w:id="160" w:name="_Toc77846546"/>
      <w:bookmarkStart w:id="161" w:name="_Toc77933337"/>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7E5DB6D8" w14:textId="77777777" w:rsidR="00FF302D" w:rsidRPr="00113F13" w:rsidRDefault="00FF302D" w:rsidP="00FF302D">
      <w:pPr>
        <w:rPr>
          <w:rFonts w:cs="Times New Roman"/>
        </w:rPr>
      </w:pPr>
    </w:p>
    <w:p w14:paraId="6C3C6571" w14:textId="5EB73D64" w:rsidR="006376AF" w:rsidRDefault="006376AF">
      <w:pPr>
        <w:spacing w:after="200" w:line="276" w:lineRule="auto"/>
        <w:jc w:val="left"/>
        <w:rPr>
          <w:rFonts w:cs="Times New Roman"/>
        </w:rPr>
      </w:pPr>
      <w:r>
        <w:rPr>
          <w:rFonts w:cs="Times New Roman"/>
        </w:rPr>
        <w:br w:type="page"/>
      </w:r>
    </w:p>
    <w:p w14:paraId="36BB1F16" w14:textId="77777777" w:rsidR="00FF302D" w:rsidRPr="00113F13" w:rsidRDefault="00FF302D" w:rsidP="00FF302D">
      <w:pPr>
        <w:rPr>
          <w:rFonts w:cs="Times New Roman"/>
        </w:rPr>
        <w:sectPr w:rsidR="00FF302D" w:rsidRPr="00113F13" w:rsidSect="00BC08AB">
          <w:headerReference w:type="default" r:id="rId28"/>
          <w:type w:val="continuous"/>
          <w:pgSz w:w="11906" w:h="16838" w:code="9"/>
          <w:pgMar w:top="1440" w:right="1440" w:bottom="1440" w:left="1440" w:header="708" w:footer="708" w:gutter="0"/>
          <w:cols w:space="708"/>
          <w:docGrid w:linePitch="360"/>
        </w:sectPr>
      </w:pPr>
    </w:p>
    <w:p w14:paraId="640C8C52" w14:textId="77777777" w:rsidR="00FF302D" w:rsidRPr="00113F13" w:rsidRDefault="00FF302D" w:rsidP="00B63604">
      <w:pPr>
        <w:pStyle w:val="PartNoTLRI"/>
        <w:numPr>
          <w:ilvl w:val="0"/>
          <w:numId w:val="31"/>
        </w:numPr>
        <w:spacing w:after="160" w:line="259" w:lineRule="auto"/>
      </w:pPr>
    </w:p>
    <w:p w14:paraId="507011C3" w14:textId="77777777" w:rsidR="00FF302D" w:rsidRPr="00113F13" w:rsidRDefault="00FF302D" w:rsidP="00FF302D">
      <w:pPr>
        <w:pStyle w:val="PartHeadingTLRI"/>
      </w:pPr>
      <w:bookmarkStart w:id="162" w:name="_Toc164606520"/>
      <w:r w:rsidRPr="00113F13">
        <w:t>Scope and Application of the PIPA – Information Protected by the PIPA</w:t>
      </w:r>
      <w:bookmarkEnd w:id="162"/>
    </w:p>
    <w:p w14:paraId="766635DC" w14:textId="66514236" w:rsidR="00FF302D" w:rsidRPr="00113F13" w:rsidRDefault="00FF302D" w:rsidP="00BF1FE7">
      <w:pPr>
        <w:pStyle w:val="NumberedHeadingTLRI"/>
      </w:pPr>
      <w:bookmarkStart w:id="163" w:name="_Toc164606521"/>
      <w:r w:rsidRPr="00113F13">
        <w:t xml:space="preserve">Overview of this </w:t>
      </w:r>
      <w:r w:rsidR="000851C6">
        <w:t>Part</w:t>
      </w:r>
      <w:bookmarkEnd w:id="163"/>
    </w:p>
    <w:p w14:paraId="4A2D38D3" w14:textId="2E5D7C84" w:rsidR="00FF302D" w:rsidRPr="00113F13" w:rsidRDefault="00FF302D" w:rsidP="00B63604">
      <w:pPr>
        <w:pStyle w:val="NormalNumberedTextTLRI"/>
        <w:numPr>
          <w:ilvl w:val="2"/>
          <w:numId w:val="31"/>
        </w:numPr>
        <w:tabs>
          <w:tab w:val="clear" w:pos="720"/>
        </w:tabs>
        <w:spacing w:line="259" w:lineRule="auto"/>
      </w:pPr>
      <w:r w:rsidRPr="00113F13">
        <w:t xml:space="preserve">This </w:t>
      </w:r>
      <w:r w:rsidR="00CB2B89">
        <w:t>Part</w:t>
      </w:r>
      <w:r w:rsidRPr="00113F13">
        <w:t xml:space="preserve"> examines the scope of the </w:t>
      </w:r>
      <w:r w:rsidRPr="00113F13">
        <w:rPr>
          <w:i/>
          <w:iCs/>
        </w:rPr>
        <w:t xml:space="preserve">Personal Information Protection Act 2004 </w:t>
      </w:r>
      <w:r w:rsidRPr="00113F13">
        <w:t>(Tas) (‘PIPA’) in terms of the information to which it provides protection. It considers:</w:t>
      </w:r>
    </w:p>
    <w:p w14:paraId="43E9D2E4" w14:textId="4636C489" w:rsidR="00FF302D" w:rsidRPr="00EA22F8" w:rsidRDefault="00FF302D" w:rsidP="000067D0">
      <w:pPr>
        <w:pStyle w:val="DotPointTLRI"/>
      </w:pPr>
      <w:r w:rsidRPr="00F26735">
        <w:t xml:space="preserve">whether the definition of ‘personal information’, which dictates what information is subject to the Personal Information Protection Principles (‘PIPPs’) protections, requires amendment </w:t>
      </w:r>
      <w:r w:rsidR="00F26735" w:rsidRPr="00EA22F8">
        <w:t>[</w:t>
      </w:r>
      <w:r w:rsidRPr="00EA22F8">
        <w:t>4.2</w:t>
      </w:r>
      <w:r w:rsidR="00F26735" w:rsidRPr="00EA22F8">
        <w:t>]</w:t>
      </w:r>
      <w:r w:rsidRPr="00EA22F8">
        <w:t>;</w:t>
      </w:r>
    </w:p>
    <w:p w14:paraId="7C4C3F4E" w14:textId="1AFAF88B" w:rsidR="00FF302D" w:rsidRPr="00F26735" w:rsidRDefault="00FF302D" w:rsidP="000067D0">
      <w:pPr>
        <w:pStyle w:val="DotPointTLRI"/>
      </w:pPr>
      <w:r w:rsidRPr="00F26735">
        <w:t xml:space="preserve">whether any changes are required in relation to the types of personal information that receive greater protection than general personal information under the PIPA (such as sensitive information) </w:t>
      </w:r>
      <w:r w:rsidR="00F26735" w:rsidRPr="00F26735">
        <w:t>[</w:t>
      </w:r>
      <w:r w:rsidRPr="00EA22F8">
        <w:t>4.3</w:t>
      </w:r>
      <w:r w:rsidR="00F877A5">
        <w:t>])</w:t>
      </w:r>
      <w:r w:rsidRPr="00F26735">
        <w:t>; and</w:t>
      </w:r>
    </w:p>
    <w:p w14:paraId="1425824F" w14:textId="46745846" w:rsidR="00FF302D" w:rsidRPr="00F26735" w:rsidRDefault="00FF302D" w:rsidP="000067D0">
      <w:pPr>
        <w:pStyle w:val="DotPointTLRI"/>
      </w:pPr>
      <w:r w:rsidRPr="00F26735">
        <w:t xml:space="preserve">whether the gaps or exceptions in the PIPA, which provide some information with a lower level of protection, are appropriate </w:t>
      </w:r>
      <w:r w:rsidR="00F26735" w:rsidRPr="00F26735">
        <w:t>[</w:t>
      </w:r>
      <w:r w:rsidRPr="00EA22F8">
        <w:t>4.4</w:t>
      </w:r>
      <w:r w:rsidR="00F26735" w:rsidRPr="00EA22F8">
        <w:t>]</w:t>
      </w:r>
      <w:r w:rsidRPr="00F26735">
        <w:t>.</w:t>
      </w:r>
    </w:p>
    <w:p w14:paraId="7E04C49F" w14:textId="77777777" w:rsidR="00FF302D" w:rsidRPr="00113F13" w:rsidRDefault="00FF302D" w:rsidP="00BF1FE7">
      <w:pPr>
        <w:pStyle w:val="NumberedHeadingTLRI"/>
      </w:pPr>
      <w:bookmarkStart w:id="164" w:name="_Toc91831997"/>
      <w:bookmarkStart w:id="165" w:name="_Toc130540431"/>
      <w:bookmarkStart w:id="166" w:name="_Toc164606522"/>
      <w:r w:rsidRPr="00113F13">
        <w:t>Protection of ‘personal information’</w:t>
      </w:r>
      <w:bookmarkEnd w:id="164"/>
      <w:bookmarkEnd w:id="165"/>
      <w:r w:rsidRPr="00113F13">
        <w:t xml:space="preserve"> in the PIPA</w:t>
      </w:r>
      <w:bookmarkEnd w:id="166"/>
    </w:p>
    <w:p w14:paraId="17F8033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 The Tasmanian PIPPs established in the PIPA generally apply to the protection of ‘personal information’.</w:t>
      </w:r>
      <w:r w:rsidRPr="00113F13">
        <w:rPr>
          <w:rStyle w:val="FootnoteReference"/>
          <w:rFonts w:ascii="Times New Roman" w:hAnsi="Times New Roman"/>
        </w:rPr>
        <w:footnoteReference w:id="152"/>
      </w:r>
      <w:r w:rsidRPr="00113F13">
        <w:t xml:space="preserve"> This sub-section discusses the definition of personal information and related matters.</w:t>
      </w:r>
    </w:p>
    <w:p w14:paraId="20A1488D" w14:textId="17B44BBC" w:rsidR="00FF302D" w:rsidRPr="00113F13" w:rsidRDefault="00FF302D" w:rsidP="00BF1FE7">
      <w:pPr>
        <w:pStyle w:val="NumberedHeadingTLRI"/>
        <w:numPr>
          <w:ilvl w:val="0"/>
          <w:numId w:val="0"/>
        </w:numPr>
      </w:pPr>
      <w:bookmarkStart w:id="167" w:name="_Toc164606523"/>
      <w:r w:rsidRPr="00113F13">
        <w:t>The Tasmanian position</w:t>
      </w:r>
      <w:bookmarkEnd w:id="167"/>
    </w:p>
    <w:p w14:paraId="666919B2" w14:textId="77777777" w:rsidR="00FF302D" w:rsidRPr="00113F13" w:rsidRDefault="00FF302D" w:rsidP="00B63604">
      <w:pPr>
        <w:pStyle w:val="NormalNumberedTextTLRI"/>
        <w:numPr>
          <w:ilvl w:val="2"/>
          <w:numId w:val="31"/>
        </w:numPr>
        <w:tabs>
          <w:tab w:val="clear" w:pos="720"/>
        </w:tabs>
        <w:spacing w:line="259" w:lineRule="auto"/>
      </w:pPr>
      <w:r w:rsidRPr="00113F13">
        <w:t>The PIPA defines ‘personal information’ as:</w:t>
      </w:r>
      <w:r w:rsidRPr="00113F13">
        <w:rPr>
          <w:rStyle w:val="FootnoteReference"/>
          <w:rFonts w:ascii="Times New Roman" w:hAnsi="Times New Roman"/>
        </w:rPr>
        <w:footnoteReference w:id="153"/>
      </w:r>
      <w:r w:rsidRPr="00113F13">
        <w:t xml:space="preserve"> </w:t>
      </w:r>
    </w:p>
    <w:p w14:paraId="690B9EA6" w14:textId="77777777" w:rsidR="00FF302D" w:rsidRPr="00113F13" w:rsidRDefault="00FF302D" w:rsidP="000067D0">
      <w:pPr>
        <w:pStyle w:val="Indentedquote"/>
        <w:rPr>
          <w:rFonts w:cs="Times New Roman"/>
        </w:rPr>
      </w:pPr>
      <w:r w:rsidRPr="00113F13">
        <w:rPr>
          <w:rFonts w:cs="Times New Roman"/>
        </w:rPr>
        <w:t>any information or opinion in any recorded format about an individual –</w:t>
      </w:r>
    </w:p>
    <w:p w14:paraId="7DD2301A" w14:textId="77777777" w:rsidR="00FF302D" w:rsidRPr="00113F13" w:rsidRDefault="00FF302D" w:rsidP="000067D0">
      <w:pPr>
        <w:pStyle w:val="Indentedquote"/>
        <w:rPr>
          <w:rFonts w:cs="Times New Roman"/>
        </w:rPr>
      </w:pPr>
      <w:r w:rsidRPr="00113F13">
        <w:rPr>
          <w:rFonts w:cs="Times New Roman"/>
        </w:rPr>
        <w:t>(a) whose identity is apparent or is reasonably ascertainable from the information or opinion; and</w:t>
      </w:r>
    </w:p>
    <w:p w14:paraId="038C4192" w14:textId="77777777" w:rsidR="00FF302D" w:rsidRPr="00113F13" w:rsidRDefault="00FF302D" w:rsidP="000067D0">
      <w:pPr>
        <w:pStyle w:val="Indentedquote"/>
        <w:rPr>
          <w:rFonts w:cs="Times New Roman"/>
        </w:rPr>
      </w:pPr>
      <w:r w:rsidRPr="00113F13">
        <w:rPr>
          <w:rFonts w:cs="Times New Roman"/>
        </w:rPr>
        <w:t>(b) who is alive or has not been dead for more than 25 years.</w:t>
      </w:r>
    </w:p>
    <w:p w14:paraId="04C9B747" w14:textId="77777777" w:rsidR="006376AF" w:rsidRDefault="006376AF" w:rsidP="000067D0">
      <w:pPr>
        <w:pStyle w:val="Sub-HeadingTLRI"/>
      </w:pPr>
      <w:bookmarkStart w:id="168" w:name="_Toc164606524"/>
    </w:p>
    <w:p w14:paraId="36BC35B6" w14:textId="167AEC58" w:rsidR="00FF302D" w:rsidRPr="00113F13" w:rsidRDefault="00FF302D" w:rsidP="000067D0">
      <w:pPr>
        <w:pStyle w:val="Sub-HeadingTLRI"/>
      </w:pPr>
      <w:r w:rsidRPr="00113F13">
        <w:lastRenderedPageBreak/>
        <w:t>Information or opinion ‘about an individual’</w:t>
      </w:r>
      <w:bookmarkEnd w:id="168"/>
    </w:p>
    <w:p w14:paraId="6D655F61" w14:textId="77777777" w:rsidR="00FF302D" w:rsidRPr="00113F13" w:rsidRDefault="00FF302D" w:rsidP="00B63604">
      <w:pPr>
        <w:pStyle w:val="NormalNumberedTextTLRI"/>
        <w:numPr>
          <w:ilvl w:val="2"/>
          <w:numId w:val="31"/>
        </w:numPr>
        <w:tabs>
          <w:tab w:val="clear" w:pos="720"/>
        </w:tabs>
        <w:spacing w:line="259" w:lineRule="auto"/>
      </w:pPr>
      <w:r w:rsidRPr="00113F13">
        <w:t>The requirement that information be ‘about an individual’ has been interpreted as requiring that the individual in question is ‘a subject matter of the information or opinion’.</w:t>
      </w:r>
      <w:r w:rsidRPr="00113F13">
        <w:rPr>
          <w:rStyle w:val="FootnoteReference"/>
          <w:rFonts w:ascii="Times New Roman" w:hAnsi="Times New Roman"/>
        </w:rPr>
        <w:footnoteReference w:id="154"/>
      </w:r>
      <w:r w:rsidRPr="00113F13">
        <w:t xml:space="preserve"> It is unclear whether this includes technical information about an individual’s use of devices or networks and whether it includes information about inferences and predictions regarding individuals as members of a class or group.</w:t>
      </w:r>
      <w:r w:rsidRPr="00113F13">
        <w:rPr>
          <w:rStyle w:val="FootnoteReference"/>
          <w:rFonts w:ascii="Times New Roman" w:hAnsi="Times New Roman"/>
        </w:rPr>
        <w:footnoteReference w:id="155"/>
      </w:r>
    </w:p>
    <w:p w14:paraId="65090B64" w14:textId="77777777" w:rsidR="00FF302D" w:rsidRPr="00113F13" w:rsidRDefault="00FF302D" w:rsidP="000067D0">
      <w:pPr>
        <w:pStyle w:val="Sub-HeadingTLRI"/>
      </w:pPr>
      <w:bookmarkStart w:id="169" w:name="_Toc164606525"/>
      <w:r w:rsidRPr="00113F13">
        <w:t>Identity is ‘reasonably ascertainable’</w:t>
      </w:r>
      <w:bookmarkEnd w:id="169"/>
    </w:p>
    <w:p w14:paraId="2706DE9C" w14:textId="77777777" w:rsidR="00FF302D" w:rsidRPr="00113F13" w:rsidRDefault="00FF302D" w:rsidP="00B63604">
      <w:pPr>
        <w:pStyle w:val="NormalNumberedTextTLRI"/>
        <w:numPr>
          <w:ilvl w:val="2"/>
          <w:numId w:val="31"/>
        </w:numPr>
        <w:tabs>
          <w:tab w:val="clear" w:pos="720"/>
        </w:tabs>
        <w:spacing w:line="259" w:lineRule="auto"/>
      </w:pPr>
      <w:r w:rsidRPr="00113F13">
        <w:t>While the PIPA specifies that personal information can include information which does not name or identify the person directly, but where the information makes the person’s identity ‘reasonably ascertainable’,</w:t>
      </w:r>
      <w:r w:rsidRPr="00113F13">
        <w:rPr>
          <w:rStyle w:val="FootnoteReference"/>
          <w:rFonts w:ascii="Times New Roman" w:hAnsi="Times New Roman"/>
        </w:rPr>
        <w:footnoteReference w:id="156"/>
      </w:r>
      <w:r w:rsidRPr="00113F13">
        <w:t xml:space="preserve"> ‘reasonably ascertainable’ is not defined in the PIPA, judicial interpretations, or guidance published by the Tasmanian Ombudsman.</w:t>
      </w:r>
    </w:p>
    <w:p w14:paraId="4D96D3FF" w14:textId="77777777" w:rsidR="00FF302D" w:rsidRPr="00113F13" w:rsidRDefault="00FF302D" w:rsidP="000067D0">
      <w:pPr>
        <w:pStyle w:val="Sub-HeadingTLRI"/>
      </w:pPr>
      <w:bookmarkStart w:id="170" w:name="_Toc91536443"/>
      <w:bookmarkStart w:id="171" w:name="_Toc91536444"/>
      <w:bookmarkStart w:id="172" w:name="_Toc164606526"/>
      <w:bookmarkEnd w:id="170"/>
      <w:bookmarkEnd w:id="171"/>
      <w:r w:rsidRPr="00113F13">
        <w:t>De-identification and pseudonymisation</w:t>
      </w:r>
      <w:bookmarkEnd w:id="172"/>
    </w:p>
    <w:p w14:paraId="2E4FC8DC" w14:textId="56222BA2" w:rsidR="00FF302D" w:rsidRPr="00113F13" w:rsidRDefault="288D8F58" w:rsidP="00B63604">
      <w:pPr>
        <w:pStyle w:val="NormalNumberedTextTLRI"/>
        <w:numPr>
          <w:ilvl w:val="2"/>
          <w:numId w:val="31"/>
        </w:numPr>
        <w:tabs>
          <w:tab w:val="clear" w:pos="720"/>
        </w:tabs>
        <w:spacing w:line="259" w:lineRule="auto"/>
      </w:pPr>
      <w:bookmarkStart w:id="173" w:name="_Ref91829188"/>
      <w:r>
        <w:t>The PIPA addresses the possibility of the de-identification of personal information in several places. For example, the PIPPs place obligations on personal information custodians to take reasonable steps to permanently de-identify personal information if it is no longer needed for any purpose (PIPP</w:t>
      </w:r>
      <w:r w:rsidR="003233EE">
        <w:t> </w:t>
      </w:r>
      <w:r>
        <w:t xml:space="preserve">4(2)) and to take reasonable steps to permanently de-identify certain types of health information before it is disclosed (PIPP 10(5)). Both obligations are discussed further in this </w:t>
      </w:r>
      <w:r w:rsidR="00B715E7">
        <w:t>p</w:t>
      </w:r>
      <w:r>
        <w:t xml:space="preserve">art of the Final Report. </w:t>
      </w:r>
    </w:p>
    <w:p w14:paraId="45D976FD" w14:textId="77777777" w:rsidR="00FF302D" w:rsidRPr="00113F13" w:rsidRDefault="00FF302D" w:rsidP="00B63604">
      <w:pPr>
        <w:pStyle w:val="NormalNumberedTextTLRI"/>
        <w:numPr>
          <w:ilvl w:val="2"/>
          <w:numId w:val="31"/>
        </w:numPr>
        <w:tabs>
          <w:tab w:val="clear" w:pos="720"/>
        </w:tabs>
        <w:spacing w:line="259" w:lineRule="auto"/>
      </w:pPr>
      <w:r w:rsidRPr="00113F13">
        <w:t>De-identification is not defined in the PIPA, and the extent of de-identification required to meet these obligations is unclear. For instance, it is not clear whether it must no longer be technically possible to identify the person at all, or whether it only requires that the identity of the person no longer be ‘reasonably ascertainable’.</w:t>
      </w:r>
      <w:bookmarkEnd w:id="173"/>
    </w:p>
    <w:p w14:paraId="42B6A44C" w14:textId="77777777" w:rsidR="00FF302D" w:rsidRPr="00113F13" w:rsidRDefault="00FF302D" w:rsidP="000067D0">
      <w:pPr>
        <w:pStyle w:val="Sub-HeadingTLRI"/>
      </w:pPr>
      <w:bookmarkStart w:id="174" w:name="_Toc164606527"/>
      <w:r w:rsidRPr="00113F13">
        <w:t>Deceased persons</w:t>
      </w:r>
      <w:bookmarkEnd w:id="174"/>
    </w:p>
    <w:p w14:paraId="73C9D006" w14:textId="77777777" w:rsidR="00FF302D" w:rsidRPr="00113F13" w:rsidRDefault="00FF302D" w:rsidP="00B63604">
      <w:pPr>
        <w:pStyle w:val="NormalNumberedTextTLRI"/>
        <w:numPr>
          <w:ilvl w:val="2"/>
          <w:numId w:val="31"/>
        </w:numPr>
        <w:tabs>
          <w:tab w:val="clear" w:pos="720"/>
        </w:tabs>
        <w:spacing w:line="259" w:lineRule="auto"/>
      </w:pPr>
      <w:r w:rsidRPr="00113F13">
        <w:t>The PIPA protects the personal information of persons for up to 25 years after their death.</w:t>
      </w:r>
      <w:r w:rsidRPr="00113F13">
        <w:rPr>
          <w:rStyle w:val="FootnoteReference"/>
          <w:rFonts w:ascii="Times New Roman" w:hAnsi="Times New Roman"/>
        </w:rPr>
        <w:footnoteReference w:id="157"/>
      </w:r>
      <w:r w:rsidRPr="00113F13">
        <w:t xml:space="preserve"> A deceased person’s next of kin can exercise the deceased person’s personal information rights, including amending and correcting the personal information in question. This aligns with rights provided by the </w:t>
      </w:r>
      <w:r w:rsidRPr="00113F13">
        <w:rPr>
          <w:i/>
          <w:iCs/>
        </w:rPr>
        <w:t>Right to Information Act 2009</w:t>
      </w:r>
      <w:r w:rsidRPr="00113F13">
        <w:t xml:space="preserve"> (Tas).</w:t>
      </w:r>
      <w:r w:rsidRPr="00113F13">
        <w:rPr>
          <w:rStyle w:val="FootnoteReference"/>
          <w:rFonts w:ascii="Times New Roman" w:hAnsi="Times New Roman"/>
        </w:rPr>
        <w:footnoteReference w:id="158"/>
      </w:r>
    </w:p>
    <w:p w14:paraId="3B21E01C" w14:textId="1D9F65CB" w:rsidR="006376AF" w:rsidRDefault="006376AF">
      <w:pPr>
        <w:spacing w:after="200" w:line="276" w:lineRule="auto"/>
        <w:jc w:val="left"/>
        <w:rPr>
          <w:rFonts w:cs="Times New Roman"/>
          <w:b/>
          <w:bCs/>
          <w:sz w:val="32"/>
          <w:szCs w:val="36"/>
        </w:rPr>
      </w:pPr>
      <w:bookmarkStart w:id="175" w:name="_Toc164606528"/>
      <w:r>
        <w:rPr>
          <w:rFonts w:cs="Times New Roman"/>
        </w:rPr>
        <w:br w:type="page"/>
      </w:r>
    </w:p>
    <w:p w14:paraId="203E5CE9" w14:textId="4E70094E" w:rsidR="00FF302D" w:rsidRPr="00113F13" w:rsidRDefault="00FF302D" w:rsidP="000067D0">
      <w:pPr>
        <w:pStyle w:val="Headingunnumbered"/>
        <w:rPr>
          <w:rFonts w:cs="Times New Roman"/>
        </w:rPr>
      </w:pPr>
      <w:r w:rsidRPr="00113F13">
        <w:rPr>
          <w:rFonts w:cs="Times New Roman"/>
        </w:rPr>
        <w:lastRenderedPageBreak/>
        <w:t>The position in other jurisdictions</w:t>
      </w:r>
      <w:bookmarkEnd w:id="175"/>
    </w:p>
    <w:p w14:paraId="137F0B52" w14:textId="77777777" w:rsidR="00FF302D" w:rsidRPr="00113F13" w:rsidRDefault="00FF302D" w:rsidP="000067D0">
      <w:pPr>
        <w:pStyle w:val="Sub-HeadingTLRI"/>
      </w:pPr>
      <w:bookmarkStart w:id="176" w:name="_Toc164606529"/>
      <w:r w:rsidRPr="00113F13">
        <w:t>Information or opinion ‘about an individual’</w:t>
      </w:r>
      <w:bookmarkEnd w:id="176"/>
    </w:p>
    <w:p w14:paraId="0BE216D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Commonwealth </w:t>
      </w:r>
      <w:r w:rsidRPr="00113F13">
        <w:rPr>
          <w:i/>
          <w:iCs/>
        </w:rPr>
        <w:t>Privacy Act 1988</w:t>
      </w:r>
      <w:r w:rsidRPr="00113F13">
        <w:t xml:space="preserve"> (Cth) (‘Privacy Act’) adopts a related, but not identical, definition of ‘personal information’ to that found in the PIPA. The Privacy Act defines ‘personal information’ as:</w:t>
      </w:r>
    </w:p>
    <w:p w14:paraId="7B940076" w14:textId="77777777" w:rsidR="00FF302D" w:rsidRPr="00113F13" w:rsidRDefault="00FF302D" w:rsidP="000067D0">
      <w:pPr>
        <w:pStyle w:val="Indentedquote"/>
        <w:rPr>
          <w:rFonts w:cs="Times New Roman"/>
        </w:rPr>
      </w:pPr>
      <w:r w:rsidRPr="00113F13">
        <w:rPr>
          <w:rFonts w:cs="Times New Roman"/>
        </w:rPr>
        <w:t>information or an opinion about an identified individual, or an individual who is reasonably identifiable:</w:t>
      </w:r>
    </w:p>
    <w:p w14:paraId="77E2A972" w14:textId="77777777" w:rsidR="00FF302D" w:rsidRPr="00113F13" w:rsidRDefault="00FF302D" w:rsidP="000067D0">
      <w:pPr>
        <w:pStyle w:val="Indentedquote"/>
        <w:rPr>
          <w:rFonts w:cs="Times New Roman"/>
        </w:rPr>
      </w:pPr>
      <w:r w:rsidRPr="00113F13">
        <w:rPr>
          <w:rFonts w:cs="Times New Roman"/>
        </w:rPr>
        <w:t>(a)  whether the information or opinion is true or not; and</w:t>
      </w:r>
    </w:p>
    <w:p w14:paraId="4D8B80E9" w14:textId="77777777" w:rsidR="00FF302D" w:rsidRPr="00113F13" w:rsidRDefault="00FF302D" w:rsidP="000067D0">
      <w:pPr>
        <w:pStyle w:val="Indentedquote"/>
        <w:rPr>
          <w:rFonts w:cs="Times New Roman"/>
        </w:rPr>
      </w:pPr>
      <w:r w:rsidRPr="00113F13">
        <w:rPr>
          <w:rFonts w:cs="Times New Roman"/>
        </w:rPr>
        <w:t>(b)  whether the information or opinion is recorded in a material form or not.</w:t>
      </w:r>
      <w:r w:rsidRPr="00113F13">
        <w:rPr>
          <w:rStyle w:val="FootnoteReference"/>
          <w:rFonts w:ascii="Times New Roman" w:hAnsi="Times New Roman" w:cs="Times New Roman"/>
        </w:rPr>
        <w:footnoteReference w:id="159"/>
      </w:r>
    </w:p>
    <w:p w14:paraId="7BDD4647" w14:textId="77777777" w:rsidR="00FF302D" w:rsidRPr="00113F13" w:rsidRDefault="00FF302D" w:rsidP="00B63604">
      <w:pPr>
        <w:pStyle w:val="NormalNumberedTextTLRI"/>
        <w:numPr>
          <w:ilvl w:val="2"/>
          <w:numId w:val="31"/>
        </w:numPr>
        <w:tabs>
          <w:tab w:val="clear" w:pos="720"/>
        </w:tabs>
        <w:spacing w:line="259" w:lineRule="auto"/>
      </w:pPr>
      <w:r w:rsidRPr="00113F13">
        <w:t>Hence, the Privacy Act, like the PIPA, specifies that personal information is information or an opinion ‘about an … individual’. This reflects the definition used in other jurisdictions.</w:t>
      </w:r>
      <w:bookmarkStart w:id="177" w:name="_Ref157683368"/>
      <w:r w:rsidRPr="00113F13">
        <w:rPr>
          <w:rStyle w:val="FootnoteReference"/>
          <w:rFonts w:ascii="Times New Roman" w:hAnsi="Times New Roman"/>
        </w:rPr>
        <w:footnoteReference w:id="160"/>
      </w:r>
      <w:bookmarkEnd w:id="177"/>
      <w:r w:rsidRPr="00113F13">
        <w:t xml:space="preserve"> However, unlike the PIPA, the Privacy Act and the relevant legislation in Victoria, Queensland, and the ACT specifies that it does not matter if the information or opinion is true,</w:t>
      </w:r>
      <w:r w:rsidRPr="00113F13">
        <w:rPr>
          <w:vertAlign w:val="superscript"/>
        </w:rPr>
        <w:footnoteReference w:id="161"/>
      </w:r>
      <w:r w:rsidRPr="00113F13">
        <w:t xml:space="preserve"> and specifies that it does not matter whether the information is recorded in a material form.</w:t>
      </w:r>
      <w:r w:rsidRPr="00113F13">
        <w:rPr>
          <w:vertAlign w:val="superscript"/>
        </w:rPr>
        <w:footnoteReference w:id="162"/>
      </w:r>
      <w:r w:rsidRPr="00113F13">
        <w:rPr>
          <w:vertAlign w:val="superscript"/>
        </w:rPr>
        <w:t xml:space="preserve"> </w:t>
      </w:r>
      <w:r w:rsidRPr="00113F13">
        <w:t>The Office of the Australian Information Commissioner (‘OAIC’) provides some common examples of ‘personal information’, such as ‘an individual’s name, signature, address, telephone number, date of birth, medical records, bank account details, employment details and commentary or opinion about a person’.</w:t>
      </w:r>
      <w:r w:rsidRPr="00113F13">
        <w:rPr>
          <w:rStyle w:val="FootnoteReference"/>
          <w:rFonts w:ascii="Times New Roman" w:hAnsi="Times New Roman"/>
        </w:rPr>
        <w:footnoteReference w:id="163"/>
      </w:r>
    </w:p>
    <w:p w14:paraId="72DE179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It is notable that the European Union’s </w:t>
      </w:r>
      <w:r w:rsidRPr="00113F13">
        <w:rPr>
          <w:i/>
          <w:iCs/>
        </w:rPr>
        <w:t>General Data Protection Regulation 2106/679</w:t>
      </w:r>
      <w:r w:rsidRPr="00113F13">
        <w:t xml:space="preserve"> (‘GDPR’) defines personal information (which it terms ‘personal data’) more broadly than either the PIPA or the Privacy Act, stating that personal data are ‘any information</w:t>
      </w:r>
      <w:r w:rsidRPr="00113F13">
        <w:rPr>
          <w:i/>
          <w:iCs/>
        </w:rPr>
        <w:t xml:space="preserve"> relating to</w:t>
      </w:r>
      <w:r w:rsidRPr="00113F13">
        <w:t xml:space="preserve"> an identified or identifiable natural person’.</w:t>
      </w:r>
      <w:r w:rsidRPr="00113F13">
        <w:rPr>
          <w:rStyle w:val="FootnoteReference"/>
          <w:rFonts w:ascii="Times New Roman" w:hAnsi="Times New Roman"/>
        </w:rPr>
        <w:footnoteReference w:id="164"/>
      </w:r>
      <w:r w:rsidRPr="00113F13">
        <w:t xml:space="preserve"> The Court of Justice of the European Union has clarified that ‘relating </w:t>
      </w:r>
      <w:r w:rsidRPr="00113F13">
        <w:lastRenderedPageBreak/>
        <w:t>to’ encompasses information that relates to an individual in terms of the content, purpose, or result/effect of the information.</w:t>
      </w:r>
      <w:r w:rsidRPr="00113F13">
        <w:rPr>
          <w:rStyle w:val="FootnoteReference"/>
          <w:rFonts w:ascii="Times New Roman" w:hAnsi="Times New Roman"/>
        </w:rPr>
        <w:footnoteReference w:id="165"/>
      </w:r>
    </w:p>
    <w:p w14:paraId="4D3CCBC2" w14:textId="77777777" w:rsidR="00FF302D" w:rsidRPr="00113F13" w:rsidRDefault="00FF302D" w:rsidP="000067D0">
      <w:pPr>
        <w:pStyle w:val="Sub-HeadingTLRI"/>
      </w:pPr>
      <w:bookmarkStart w:id="178" w:name="_Toc164606530"/>
      <w:r w:rsidRPr="00113F13">
        <w:t>Identity is ‘reasonably ascertainable’</w:t>
      </w:r>
      <w:bookmarkEnd w:id="178"/>
      <w:r w:rsidRPr="00113F13">
        <w:t xml:space="preserve"> </w:t>
      </w:r>
    </w:p>
    <w:p w14:paraId="3061B6B5" w14:textId="77777777" w:rsidR="00FF302D" w:rsidRPr="00113F13" w:rsidRDefault="00FF302D" w:rsidP="00B63604">
      <w:pPr>
        <w:pStyle w:val="NormalNumberedTextTLRI"/>
        <w:numPr>
          <w:ilvl w:val="2"/>
          <w:numId w:val="31"/>
        </w:numPr>
        <w:tabs>
          <w:tab w:val="clear" w:pos="720"/>
        </w:tabs>
        <w:spacing w:line="259" w:lineRule="auto"/>
      </w:pPr>
      <w:r w:rsidRPr="00113F13">
        <w:t>The Commonwealth Privacy Act definition of personal information uses the term ‘reasonably identifiable’, rather than the PIPA term ‘reasonably ascertainable’. ‘Reasonably identifiable’ is also used in the ACT;</w:t>
      </w:r>
      <w:r w:rsidRPr="00113F13">
        <w:rPr>
          <w:rStyle w:val="FootnoteReference"/>
          <w:rFonts w:ascii="Times New Roman" w:hAnsi="Times New Roman"/>
        </w:rPr>
        <w:footnoteReference w:id="166"/>
      </w:r>
      <w:r w:rsidRPr="00113F13">
        <w:t xml:space="preserve"> ‘reasonably ascertainable’ is used in New South Wales (‘NSW’),</w:t>
      </w:r>
      <w:r w:rsidRPr="00113F13">
        <w:rPr>
          <w:rStyle w:val="FootnoteReference"/>
          <w:rFonts w:ascii="Times New Roman" w:hAnsi="Times New Roman"/>
        </w:rPr>
        <w:footnoteReference w:id="167"/>
      </w:r>
      <w:r w:rsidRPr="00113F13">
        <w:t xml:space="preserve"> Queensland,</w:t>
      </w:r>
      <w:r w:rsidRPr="00113F13">
        <w:rPr>
          <w:rStyle w:val="FootnoteReference"/>
          <w:rFonts w:ascii="Times New Roman" w:hAnsi="Times New Roman"/>
        </w:rPr>
        <w:footnoteReference w:id="168"/>
      </w:r>
      <w:r w:rsidRPr="00113F13">
        <w:t xml:space="preserve"> Victoria,</w:t>
      </w:r>
      <w:r w:rsidRPr="00113F13">
        <w:rPr>
          <w:rStyle w:val="FootnoteReference"/>
          <w:rFonts w:ascii="Times New Roman" w:hAnsi="Times New Roman"/>
        </w:rPr>
        <w:footnoteReference w:id="169"/>
      </w:r>
      <w:r w:rsidRPr="00113F13">
        <w:t xml:space="preserve"> and the Northern Territory.</w:t>
      </w:r>
      <w:r w:rsidRPr="00113F13">
        <w:rPr>
          <w:rStyle w:val="FootnoteReference"/>
          <w:rFonts w:ascii="Times New Roman" w:hAnsi="Times New Roman"/>
        </w:rPr>
        <w:footnoteReference w:id="170"/>
      </w:r>
      <w:r w:rsidRPr="00113F13">
        <w:t xml:space="preserve"> Guidance on the interpretation of the Privacy Act published by the OAIC states that the term ‘reasonably’ requires a consideration of ‘whether, objectively speaking, it is reasonable to expect that the subject of the information could be identified’.</w:t>
      </w:r>
      <w:r w:rsidRPr="00113F13">
        <w:rPr>
          <w:rStyle w:val="FootnoteReference"/>
          <w:rFonts w:ascii="Times New Roman" w:hAnsi="Times New Roman"/>
        </w:rPr>
        <w:footnoteReference w:id="171"/>
      </w:r>
      <w:r w:rsidRPr="00113F13">
        <w:t xml:space="preserve"> This assessment requires ‘a contextual consideration of the particular circumstances’, which includes:</w:t>
      </w:r>
    </w:p>
    <w:p w14:paraId="2FAB0071" w14:textId="77777777" w:rsidR="00FF302D" w:rsidRPr="00113F13" w:rsidRDefault="00FF302D" w:rsidP="000067D0">
      <w:pPr>
        <w:pStyle w:val="DotPointTLRI"/>
      </w:pPr>
      <w:r w:rsidRPr="00113F13">
        <w:t>‘the nature and amount of information’;</w:t>
      </w:r>
    </w:p>
    <w:p w14:paraId="4E3CBBDA" w14:textId="77777777" w:rsidR="00FF302D" w:rsidRPr="00113F13" w:rsidRDefault="00FF302D" w:rsidP="000067D0">
      <w:pPr>
        <w:pStyle w:val="DotPointTLRI"/>
      </w:pPr>
      <w:r w:rsidRPr="00113F13">
        <w:t xml:space="preserve">‘who might have access to the information’; and </w:t>
      </w:r>
    </w:p>
    <w:p w14:paraId="0AFF7B02" w14:textId="77777777" w:rsidR="00FF302D" w:rsidRPr="00113F13" w:rsidRDefault="00FF302D" w:rsidP="000067D0">
      <w:pPr>
        <w:pStyle w:val="DotPointTLRI"/>
      </w:pPr>
      <w:r w:rsidRPr="00113F13">
        <w:t>‘the other information that is available, and the practicability of using that information to identify an individual’.</w:t>
      </w:r>
      <w:r w:rsidRPr="00113F13">
        <w:rPr>
          <w:rStyle w:val="FootnoteReference"/>
          <w:rFonts w:ascii="Times New Roman" w:hAnsi="Times New Roman"/>
        </w:rPr>
        <w:footnoteReference w:id="172"/>
      </w:r>
      <w:r w:rsidRPr="00113F13">
        <w:t xml:space="preserve"> </w:t>
      </w:r>
    </w:p>
    <w:p w14:paraId="061EA2EB" w14:textId="1DA0B806" w:rsidR="00FF302D" w:rsidRPr="00113F13" w:rsidRDefault="00FF302D" w:rsidP="000067D0">
      <w:pPr>
        <w:pStyle w:val="Sub-HeadingTLRI"/>
      </w:pPr>
      <w:bookmarkStart w:id="179" w:name="_Toc164606531"/>
      <w:r w:rsidRPr="00113F13">
        <w:t>De-identification and pseudonymisation</w:t>
      </w:r>
      <w:bookmarkEnd w:id="179"/>
    </w:p>
    <w:p w14:paraId="605CC4C5" w14:textId="77777777" w:rsidR="00FF302D" w:rsidRPr="00113F13" w:rsidRDefault="00FF302D" w:rsidP="00B63604">
      <w:pPr>
        <w:pStyle w:val="NormalNumberedTextTLRI"/>
        <w:numPr>
          <w:ilvl w:val="2"/>
          <w:numId w:val="31"/>
        </w:numPr>
        <w:tabs>
          <w:tab w:val="clear" w:pos="720"/>
        </w:tabs>
        <w:spacing w:line="259" w:lineRule="auto"/>
      </w:pPr>
      <w:bookmarkStart w:id="180" w:name="_Ref165021470"/>
      <w:r w:rsidRPr="00113F13">
        <w:t>Like the PIPA, the Privacy Act obliges regulated entities to take reasonable steps to ‘de-identify’ personal information in certain circumstances.</w:t>
      </w:r>
      <w:r w:rsidRPr="00113F13">
        <w:rPr>
          <w:rStyle w:val="FootnoteReference"/>
          <w:rFonts w:ascii="Times New Roman" w:hAnsi="Times New Roman"/>
        </w:rPr>
        <w:footnoteReference w:id="173"/>
      </w:r>
      <w:r w:rsidRPr="00113F13">
        <w:t xml:space="preserve"> There are provisions that address de-identification in other Australian jurisdictions.</w:t>
      </w:r>
      <w:r w:rsidRPr="00113F13">
        <w:rPr>
          <w:rStyle w:val="FootnoteReference"/>
          <w:rFonts w:ascii="Times New Roman" w:hAnsi="Times New Roman"/>
        </w:rPr>
        <w:footnoteReference w:id="174"/>
      </w:r>
      <w:r w:rsidRPr="00113F13">
        <w:t xml:space="preserve"> Unlike the PIPA and the Victorian and ACT legislation, the Privacy Act provides some explanation of what constitutes ‘de-identified’ personal information, holding that personal information is de‑identified ‘if the information is no longer about an identifiable individual or an individual who is reasonably identifiable’.</w:t>
      </w:r>
      <w:r w:rsidRPr="00113F13">
        <w:rPr>
          <w:rStyle w:val="FootnoteReference"/>
          <w:rFonts w:ascii="Times New Roman" w:hAnsi="Times New Roman"/>
        </w:rPr>
        <w:footnoteReference w:id="175"/>
      </w:r>
      <w:r w:rsidRPr="00113F13">
        <w:t xml:space="preserve"> This is also the definition contained in the equivalent Victorian and ACT legislation.</w:t>
      </w:r>
      <w:r w:rsidRPr="00113F13">
        <w:rPr>
          <w:rStyle w:val="FootnoteReference"/>
          <w:rFonts w:ascii="Times New Roman" w:hAnsi="Times New Roman"/>
        </w:rPr>
        <w:footnoteReference w:id="176"/>
      </w:r>
      <w:r w:rsidRPr="00113F13">
        <w:t xml:space="preserve"> Under the Privacy Act, de-identified </w:t>
      </w:r>
      <w:r w:rsidRPr="00113F13">
        <w:lastRenderedPageBreak/>
        <w:t>information is not ‘personal information’.</w:t>
      </w:r>
      <w:r w:rsidRPr="00113F13">
        <w:rPr>
          <w:rStyle w:val="FootnoteReference"/>
          <w:rFonts w:ascii="Times New Roman" w:hAnsi="Times New Roman"/>
        </w:rPr>
        <w:footnoteReference w:id="177"/>
      </w:r>
      <w:r w:rsidRPr="00113F13">
        <w:t xml:space="preserve"> In NSW, Queensland, and the Northern Territory (‘NT’), the term ‘de-identification’ is not defined.</w:t>
      </w:r>
      <w:r w:rsidRPr="00113F13">
        <w:rPr>
          <w:rStyle w:val="FootnoteReference"/>
          <w:rFonts w:ascii="Times New Roman" w:hAnsi="Times New Roman"/>
        </w:rPr>
        <w:footnoteReference w:id="178"/>
      </w:r>
      <w:bookmarkEnd w:id="180"/>
    </w:p>
    <w:p w14:paraId="61F5AAA2" w14:textId="77777777" w:rsidR="00FF302D" w:rsidRPr="00113F13" w:rsidRDefault="00FF302D" w:rsidP="00B63604">
      <w:pPr>
        <w:pStyle w:val="NormalNumberedTextTLRI"/>
        <w:numPr>
          <w:ilvl w:val="2"/>
          <w:numId w:val="31"/>
        </w:numPr>
        <w:tabs>
          <w:tab w:val="clear" w:pos="720"/>
        </w:tabs>
        <w:spacing w:line="259" w:lineRule="auto"/>
      </w:pPr>
      <w:bookmarkStart w:id="181" w:name="_Ref164771064"/>
      <w:r w:rsidRPr="00113F13">
        <w:t>The European Union’s GDPR does not use the term ‘de-identification’ and instead uses terms such as ‘anonymisation’ and ‘pseudonymisation’ on the basis that these promote clarity in legal standards.</w:t>
      </w:r>
      <w:r w:rsidRPr="00113F13">
        <w:rPr>
          <w:rStyle w:val="FootnoteReference"/>
          <w:rFonts w:ascii="Times New Roman" w:hAnsi="Times New Roman"/>
        </w:rPr>
        <w:footnoteReference w:id="179"/>
      </w:r>
      <w:bookmarkStart w:id="182" w:name="_Ref89684688"/>
      <w:r w:rsidRPr="00113F13">
        <w:t xml:space="preserve"> </w:t>
      </w:r>
      <w:bookmarkStart w:id="183" w:name="_Ref90035133"/>
      <w:bookmarkEnd w:id="182"/>
      <w:r w:rsidRPr="00113F13">
        <w:t xml:space="preserve">Relevantly, the GDPR’s protective scope covers information which has been subject to ‘pseudonymisation’; that is ‘the processing of personal data in such a manner that the personal data can no longer be attributed to a specific data subject </w:t>
      </w:r>
      <w:r w:rsidRPr="00113F13">
        <w:rPr>
          <w:i/>
          <w:iCs/>
        </w:rPr>
        <w:t>without the use of additional information</w:t>
      </w:r>
      <w:r w:rsidRPr="00113F13">
        <w:t>’.</w:t>
      </w:r>
      <w:r w:rsidRPr="00113F13">
        <w:rPr>
          <w:rStyle w:val="FootnoteReference"/>
          <w:rFonts w:ascii="Times New Roman" w:hAnsi="Times New Roman"/>
        </w:rPr>
        <w:footnoteReference w:id="180"/>
      </w:r>
      <w:r w:rsidRPr="00113F13">
        <w:t xml:space="preserve"> Pseudonymisation is distinguished from complete anonymity in the sense that pseudonymised data could still be attributed to a person and is therefore protected. However, if personal data is processed in such a way that the individual is not, or is no longer, identifiable at all—not even with the help of additional information—then it becomes anonymous data and is not protected by the GDPR.</w:t>
      </w:r>
      <w:r w:rsidRPr="00113F13">
        <w:rPr>
          <w:rStyle w:val="FootnoteReference"/>
          <w:rFonts w:ascii="Times New Roman" w:hAnsi="Times New Roman"/>
        </w:rPr>
        <w:footnoteReference w:id="181"/>
      </w:r>
      <w:bookmarkEnd w:id="181"/>
      <w:bookmarkEnd w:id="183"/>
    </w:p>
    <w:p w14:paraId="289FE65D" w14:textId="77777777" w:rsidR="00FF302D" w:rsidRPr="00113F13" w:rsidRDefault="00FF302D" w:rsidP="00FF302D">
      <w:pPr>
        <w:pStyle w:val="Sub-HeadingTLRI"/>
      </w:pPr>
      <w:bookmarkStart w:id="184" w:name="_Toc91536452"/>
      <w:bookmarkStart w:id="185" w:name="_Toc164606532"/>
      <w:bookmarkEnd w:id="184"/>
      <w:r w:rsidRPr="00113F13">
        <w:t>Deceased persons</w:t>
      </w:r>
      <w:bookmarkEnd w:id="185"/>
    </w:p>
    <w:p w14:paraId="19554BA3" w14:textId="6E8FDEB6" w:rsidR="00FF302D" w:rsidRPr="00113F13" w:rsidRDefault="00FF302D" w:rsidP="00B63604">
      <w:pPr>
        <w:pStyle w:val="NormalNumberedTextTLRI"/>
        <w:numPr>
          <w:ilvl w:val="2"/>
          <w:numId w:val="31"/>
        </w:numPr>
        <w:tabs>
          <w:tab w:val="clear" w:pos="720"/>
        </w:tabs>
        <w:spacing w:line="259" w:lineRule="auto"/>
      </w:pPr>
      <w:r w:rsidRPr="00113F13">
        <w:t>Unlike the PIPA, the Privacy Act does not apply to personal information about deceased persons, unless the information is also about a living person.</w:t>
      </w:r>
      <w:r w:rsidRPr="00113F13">
        <w:rPr>
          <w:rStyle w:val="FootnoteReference"/>
          <w:rFonts w:ascii="Times New Roman" w:hAnsi="Times New Roman"/>
        </w:rPr>
        <w:footnoteReference w:id="182"/>
      </w:r>
      <w:r w:rsidRPr="00113F13">
        <w:t xml:space="preserve"> In contrast, privacy legislation in NSW, Victoria, and the NT protects the personal information of deceased individuals. The legislation in NSW and Victoria protects that information for a longer period, of not more than 30 years after the individual’s death,</w:t>
      </w:r>
      <w:r w:rsidRPr="00113F13">
        <w:rPr>
          <w:rStyle w:val="FootnoteReference"/>
          <w:rFonts w:ascii="Times New Roman" w:hAnsi="Times New Roman"/>
        </w:rPr>
        <w:footnoteReference w:id="183"/>
      </w:r>
      <w:r w:rsidRPr="00113F13">
        <w:t xml:space="preserve"> while the legislation in the NT applies to ‘a deceased individual within the first 5</w:t>
      </w:r>
      <w:r w:rsidR="00B32F4C">
        <w:t> </w:t>
      </w:r>
      <w:r w:rsidRPr="00113F13">
        <w:t>years after death’.</w:t>
      </w:r>
      <w:r w:rsidRPr="00113F13">
        <w:rPr>
          <w:rStyle w:val="FootnoteReference"/>
          <w:rFonts w:ascii="Times New Roman" w:hAnsi="Times New Roman"/>
        </w:rPr>
        <w:footnoteReference w:id="184"/>
      </w:r>
    </w:p>
    <w:p w14:paraId="78437B7C" w14:textId="77777777" w:rsidR="00FF302D" w:rsidRPr="00113F13" w:rsidRDefault="00FF302D" w:rsidP="00BF1FE7">
      <w:pPr>
        <w:pStyle w:val="NumberedHeadingTLRI"/>
      </w:pPr>
      <w:bookmarkStart w:id="186" w:name="_Toc164606533"/>
      <w:r w:rsidRPr="00113F13">
        <w:t>The Commonwealth Privacy Act Review</w:t>
      </w:r>
      <w:bookmarkEnd w:id="186"/>
    </w:p>
    <w:p w14:paraId="4FE54AFE" w14:textId="77777777" w:rsidR="00FF302D" w:rsidRPr="00113F13" w:rsidRDefault="00FF302D" w:rsidP="00B63604">
      <w:pPr>
        <w:pStyle w:val="NormalNumberedTextTLRI"/>
        <w:numPr>
          <w:ilvl w:val="2"/>
          <w:numId w:val="31"/>
        </w:numPr>
        <w:tabs>
          <w:tab w:val="clear" w:pos="720"/>
        </w:tabs>
        <w:spacing w:line="259" w:lineRule="auto"/>
      </w:pPr>
      <w:r w:rsidRPr="00113F13">
        <w:t>The Commonwealth Privacy Act Review Report</w:t>
      </w:r>
      <w:r w:rsidRPr="00113F13">
        <w:rPr>
          <w:i/>
          <w:iCs/>
        </w:rPr>
        <w:t xml:space="preserve"> </w:t>
      </w:r>
      <w:r w:rsidRPr="00113F13">
        <w:t>proposed a number of changes to the definition of ‘personal information’ in the Privacy Act that are relevant to this review of Tasmanian privacy protection.</w:t>
      </w:r>
    </w:p>
    <w:p w14:paraId="2A7AD15C" w14:textId="77777777" w:rsidR="00FF302D" w:rsidRPr="00113F13" w:rsidRDefault="00FF302D" w:rsidP="00FF302D">
      <w:pPr>
        <w:pStyle w:val="Sub-HeadingTLRI"/>
      </w:pPr>
      <w:bookmarkStart w:id="187" w:name="_Toc164606534"/>
      <w:r w:rsidRPr="00113F13">
        <w:t>Information or opinion ‘about an individual’</w:t>
      </w:r>
      <w:bookmarkEnd w:id="187"/>
    </w:p>
    <w:p w14:paraId="44BE7D27" w14:textId="77777777" w:rsidR="00FF302D" w:rsidRPr="00113F13" w:rsidRDefault="00FF302D" w:rsidP="00B63604">
      <w:pPr>
        <w:pStyle w:val="NormalNumberedTextTLRI"/>
        <w:numPr>
          <w:ilvl w:val="2"/>
          <w:numId w:val="31"/>
        </w:numPr>
        <w:tabs>
          <w:tab w:val="clear" w:pos="720"/>
        </w:tabs>
        <w:spacing w:line="259" w:lineRule="auto"/>
      </w:pPr>
      <w:bookmarkStart w:id="188" w:name="_Ref147750987"/>
      <w:r w:rsidRPr="00113F13">
        <w:t>In its Final Report, the Review proposed that the phrase ‘about an individual’ in the definition of personal information in the Privacy Act—which is also found in the PIPA—be changed to the phrase ‘relates to an individual’.</w:t>
      </w:r>
      <w:r w:rsidRPr="00113F13">
        <w:rPr>
          <w:rStyle w:val="FootnoteReference"/>
          <w:rFonts w:ascii="Times New Roman" w:hAnsi="Times New Roman"/>
        </w:rPr>
        <w:footnoteReference w:id="185"/>
      </w:r>
      <w:bookmarkEnd w:id="188"/>
    </w:p>
    <w:p w14:paraId="5AD42CFD" w14:textId="77777777" w:rsidR="00FF302D" w:rsidRPr="00113F13" w:rsidRDefault="00FF302D" w:rsidP="00B63604">
      <w:pPr>
        <w:pStyle w:val="NormalNumberedTextTLRI"/>
        <w:numPr>
          <w:ilvl w:val="2"/>
          <w:numId w:val="31"/>
        </w:numPr>
        <w:tabs>
          <w:tab w:val="clear" w:pos="720"/>
        </w:tabs>
        <w:spacing w:line="259" w:lineRule="auto"/>
      </w:pPr>
      <w:bookmarkStart w:id="189" w:name="_Ref147504395"/>
      <w:r w:rsidRPr="00113F13">
        <w:t xml:space="preserve">This proposal drew on the Australian Competition and Consumer Commission’s (‘ACCC’) </w:t>
      </w:r>
      <w:r w:rsidRPr="00113F13">
        <w:rPr>
          <w:i/>
          <w:iCs/>
        </w:rPr>
        <w:t>Digital Platforms Inquiry</w:t>
      </w:r>
      <w:r w:rsidRPr="00113F13">
        <w:t xml:space="preserve"> (‘DPI’) report, which recommended that the definition of ‘personal </w:t>
      </w:r>
      <w:r w:rsidRPr="00113F13">
        <w:lastRenderedPageBreak/>
        <w:t>information’ in the Privacy Act be amended in order to clarify that it applies to technical data, such as ‘IP addresses, device identifiers, location data, and any other online identifiers that relate to an identified individual’.</w:t>
      </w:r>
      <w:r w:rsidRPr="00113F13">
        <w:rPr>
          <w:rStyle w:val="FootnoteReference"/>
          <w:rFonts w:ascii="Times New Roman" w:hAnsi="Times New Roman"/>
        </w:rPr>
        <w:footnoteReference w:id="186"/>
      </w:r>
      <w:r w:rsidRPr="00113F13">
        <w:t xml:space="preserve"> Such a change was considered necessary due to legal uncertainty following the</w:t>
      </w:r>
      <w:r w:rsidRPr="00113F13">
        <w:rPr>
          <w:i/>
          <w:iCs/>
        </w:rPr>
        <w:t xml:space="preserve"> </w:t>
      </w:r>
      <w:r w:rsidRPr="00113F13">
        <w:t>Federal Court of Australia’s decision in</w:t>
      </w:r>
      <w:r w:rsidRPr="00113F13">
        <w:rPr>
          <w:i/>
          <w:iCs/>
        </w:rPr>
        <w:t xml:space="preserve"> Privacy Commissioner v Telstra Corporation Ltd </w:t>
      </w:r>
      <w:r w:rsidRPr="00113F13">
        <w:t>(‘the Grubb case’).</w:t>
      </w:r>
      <w:r w:rsidRPr="00113F13">
        <w:rPr>
          <w:rStyle w:val="FootnoteReference"/>
          <w:rFonts w:ascii="Times New Roman" w:hAnsi="Times New Roman"/>
        </w:rPr>
        <w:footnoteReference w:id="187"/>
      </w:r>
      <w:bookmarkEnd w:id="189"/>
      <w:r w:rsidRPr="00113F13">
        <w:t xml:space="preserve"> </w:t>
      </w:r>
    </w:p>
    <w:p w14:paraId="18CECE5D" w14:textId="77777777" w:rsidR="00FF302D" w:rsidRPr="00113F13" w:rsidRDefault="00FF302D" w:rsidP="00B63604">
      <w:pPr>
        <w:pStyle w:val="NormalNumberedTextTLRI"/>
        <w:numPr>
          <w:ilvl w:val="2"/>
          <w:numId w:val="31"/>
        </w:numPr>
        <w:tabs>
          <w:tab w:val="clear" w:pos="720"/>
        </w:tabs>
        <w:spacing w:line="259" w:lineRule="auto"/>
      </w:pPr>
      <w:r w:rsidRPr="00113F13">
        <w:t>In its Final Report, the Privacy Act Review asserted that substituting ‘about’ with ‘relates to’ was not intended to significantly expand the already expansive scope of the definition of personal information, but rather to clarify—in conjunction with its other proposals about amending the definition of personal information—that ‘personal information’ includes ‘technical information, inferred information and any other information where that information relates to the individual, in the sense that it can be seen to provide details about their activities or their identity and the connection is not too tenuous or remote’.</w:t>
      </w:r>
      <w:r w:rsidRPr="00113F13">
        <w:rPr>
          <w:rStyle w:val="FootnoteReference"/>
          <w:rFonts w:ascii="Times New Roman" w:hAnsi="Times New Roman"/>
        </w:rPr>
        <w:footnoteReference w:id="188"/>
      </w:r>
      <w:r w:rsidRPr="00113F13">
        <w:t xml:space="preserve"> The Review also observed that this change would bring the Privacy Act into alignment with international data protection regimes, such as the GDPR, and other Commonwealth legislation, such as Consumer Data Right (‘CDR’).</w:t>
      </w:r>
      <w:r w:rsidRPr="00113F13">
        <w:rPr>
          <w:rStyle w:val="FootnoteReference"/>
          <w:rFonts w:ascii="Times New Roman" w:hAnsi="Times New Roman"/>
        </w:rPr>
        <w:footnoteReference w:id="189"/>
      </w:r>
    </w:p>
    <w:p w14:paraId="50CF8134" w14:textId="77777777" w:rsidR="00FF302D" w:rsidRPr="00113F13" w:rsidRDefault="00FF302D" w:rsidP="00B63604">
      <w:pPr>
        <w:pStyle w:val="NormalNumberedTextTLRI"/>
        <w:numPr>
          <w:ilvl w:val="2"/>
          <w:numId w:val="31"/>
        </w:numPr>
        <w:tabs>
          <w:tab w:val="clear" w:pos="720"/>
        </w:tabs>
        <w:spacing w:line="259" w:lineRule="auto"/>
      </w:pPr>
      <w:bookmarkStart w:id="190" w:name="_Ref147750998"/>
      <w:r w:rsidRPr="00113F13">
        <w:t>This proposal was supported by a wide range of respondents to the Privacy Act Review’s Discussion Paper, with a smaller number of submitters raising concerns about the breadth of the phrase ‘relates to’ or the potential compliance costs or regulatory burden of an expanded definition.</w:t>
      </w:r>
      <w:r w:rsidRPr="00113F13">
        <w:rPr>
          <w:rStyle w:val="FootnoteReference"/>
          <w:rFonts w:ascii="Times New Roman" w:hAnsi="Times New Roman"/>
        </w:rPr>
        <w:footnoteReference w:id="190"/>
      </w:r>
      <w:r w:rsidRPr="00113F13">
        <w:t xml:space="preserve"> In its report, the Review expressed the view that these concerns should be addressed when the reform was enacted. This could be achieved by ensuring, through the drafting of the provision, explanatory materials and OAIC guidance, that the definition of ‘personal information’ is ‘appropriately confined to where the connection between the information and the individual is not too tenuous or remote’.</w:t>
      </w:r>
      <w:r w:rsidRPr="00113F13">
        <w:rPr>
          <w:rStyle w:val="FootnoteReference"/>
          <w:rFonts w:ascii="Times New Roman" w:hAnsi="Times New Roman"/>
        </w:rPr>
        <w:footnoteReference w:id="191"/>
      </w:r>
      <w:bookmarkEnd w:id="190"/>
    </w:p>
    <w:p w14:paraId="439C834E" w14:textId="77777777" w:rsidR="00FF302D" w:rsidRPr="00113F13" w:rsidRDefault="00FF302D" w:rsidP="00B63604">
      <w:pPr>
        <w:pStyle w:val="NormalNumberedTextTLRI"/>
        <w:numPr>
          <w:ilvl w:val="2"/>
          <w:numId w:val="31"/>
        </w:numPr>
        <w:tabs>
          <w:tab w:val="clear" w:pos="720"/>
        </w:tabs>
        <w:spacing w:line="259" w:lineRule="auto"/>
      </w:pPr>
      <w:r w:rsidRPr="00113F13">
        <w:t>In response to stakeholder feedback that there was ‘continued confusion about the scope and content of the definition’ of personal information,</w:t>
      </w:r>
      <w:r w:rsidRPr="00113F13">
        <w:rPr>
          <w:rStyle w:val="FootnoteReference"/>
          <w:rFonts w:ascii="Times New Roman" w:hAnsi="Times New Roman"/>
        </w:rPr>
        <w:footnoteReference w:id="192"/>
      </w:r>
      <w:r w:rsidRPr="00113F13">
        <w:t xml:space="preserve"> the Review also proposed the inclusion in the Privacy Act of a non-exhaustive list of information which may constitute ‘personal information’. The purpose of the list would be to assist Australian Privacy Principles (‘APPs’) entities to identify the types of information that could fall within the definition, which could then be supplemented with more specific examples in the explanatory materials and OAIC guidance.</w:t>
      </w:r>
      <w:r w:rsidRPr="00113F13">
        <w:rPr>
          <w:rStyle w:val="FootnoteReference"/>
          <w:rFonts w:ascii="Times New Roman" w:hAnsi="Times New Roman"/>
        </w:rPr>
        <w:footnoteReference w:id="193"/>
      </w:r>
      <w:r w:rsidRPr="00113F13">
        <w:t xml:space="preserve"> According to the Review, appropriate inclusions for the list were:</w:t>
      </w:r>
    </w:p>
    <w:p w14:paraId="666611E3" w14:textId="77777777" w:rsidR="00FF302D" w:rsidRPr="00113F13" w:rsidRDefault="00FF302D" w:rsidP="000067D0">
      <w:pPr>
        <w:pStyle w:val="DotPointTLRI"/>
      </w:pPr>
      <w:r w:rsidRPr="00113F13">
        <w:t xml:space="preserve">‘name, date of birth or address’; </w:t>
      </w:r>
    </w:p>
    <w:p w14:paraId="74C92766" w14:textId="77777777" w:rsidR="00FF302D" w:rsidRPr="00113F13" w:rsidRDefault="00FF302D" w:rsidP="000067D0">
      <w:pPr>
        <w:pStyle w:val="DotPointTLRI"/>
      </w:pPr>
      <w:r w:rsidRPr="00113F13">
        <w:t>‘an identification number, online identifier or pseudonym’;</w:t>
      </w:r>
    </w:p>
    <w:p w14:paraId="63F97082" w14:textId="77777777" w:rsidR="00FF302D" w:rsidRPr="00113F13" w:rsidRDefault="00FF302D" w:rsidP="000067D0">
      <w:pPr>
        <w:pStyle w:val="DotPointTLRI"/>
      </w:pPr>
      <w:r w:rsidRPr="00113F13">
        <w:t>‘contact information’;</w:t>
      </w:r>
    </w:p>
    <w:p w14:paraId="735E2030" w14:textId="77777777" w:rsidR="00FF302D" w:rsidRPr="00113F13" w:rsidRDefault="00FF302D" w:rsidP="000067D0">
      <w:pPr>
        <w:pStyle w:val="DotPointTLRI"/>
      </w:pPr>
      <w:r w:rsidRPr="00113F13">
        <w:t>‘location data’;</w:t>
      </w:r>
    </w:p>
    <w:p w14:paraId="7D05C007" w14:textId="77777777" w:rsidR="00FF302D" w:rsidRPr="00113F13" w:rsidRDefault="00FF302D" w:rsidP="000067D0">
      <w:pPr>
        <w:pStyle w:val="DotPointTLRI"/>
      </w:pPr>
      <w:r w:rsidRPr="00113F13">
        <w:t xml:space="preserve">‘technical or behavioural data relating to an individual’s activities, preferences, or identity’; </w:t>
      </w:r>
    </w:p>
    <w:p w14:paraId="60A4D0A4" w14:textId="77777777" w:rsidR="00FF302D" w:rsidRPr="00113F13" w:rsidRDefault="00FF302D" w:rsidP="000067D0">
      <w:pPr>
        <w:pStyle w:val="DotPointTLRI"/>
      </w:pPr>
      <w:r w:rsidRPr="00113F13">
        <w:t>‘inferred information, including predictions of behaviour or preferences, and profiles generated from aggregated information’; and</w:t>
      </w:r>
    </w:p>
    <w:p w14:paraId="2DE50669" w14:textId="77777777" w:rsidR="00FF302D" w:rsidRPr="00113F13" w:rsidRDefault="00FF302D" w:rsidP="000067D0">
      <w:pPr>
        <w:pStyle w:val="DotPointTLRI"/>
      </w:pPr>
      <w:r w:rsidRPr="00113F13">
        <w:t>‘one or more features specific to the physical, genetic, mental, behavioural, economic, cultural or social identity or characteristics of a person’.</w:t>
      </w:r>
      <w:r w:rsidRPr="00113F13">
        <w:rPr>
          <w:rStyle w:val="FootnoteReference"/>
          <w:rFonts w:ascii="Times New Roman" w:hAnsi="Times New Roman"/>
        </w:rPr>
        <w:footnoteReference w:id="194"/>
      </w:r>
      <w:r w:rsidRPr="00113F13">
        <w:t xml:space="preserve"> </w:t>
      </w:r>
    </w:p>
    <w:p w14:paraId="4633B406" w14:textId="77777777" w:rsidR="00FF302D" w:rsidRPr="00113F13" w:rsidRDefault="00FF302D" w:rsidP="00FF302D">
      <w:pPr>
        <w:rPr>
          <w:rFonts w:cs="Times New Roman"/>
          <w:b/>
          <w:bCs/>
          <w:iCs/>
        </w:rPr>
      </w:pPr>
      <w:r w:rsidRPr="00113F13">
        <w:rPr>
          <w:rFonts w:cs="Times New Roman"/>
          <w:b/>
          <w:bCs/>
          <w:i/>
          <w:iCs/>
        </w:rPr>
        <w:lastRenderedPageBreak/>
        <w:t>Identity is ‘reasonably identifiable’</w:t>
      </w:r>
    </w:p>
    <w:p w14:paraId="488E27C4" w14:textId="77777777" w:rsidR="00FF302D" w:rsidRPr="00113F13" w:rsidRDefault="00FF302D" w:rsidP="00B63604">
      <w:pPr>
        <w:pStyle w:val="NormalNumberedTextTLRI"/>
        <w:numPr>
          <w:ilvl w:val="2"/>
          <w:numId w:val="31"/>
        </w:numPr>
        <w:tabs>
          <w:tab w:val="clear" w:pos="720"/>
        </w:tabs>
        <w:spacing w:line="259" w:lineRule="auto"/>
      </w:pPr>
      <w:r w:rsidRPr="00113F13">
        <w:t>The Privacy Act Review considered whether there was a need for clarification of the second limb of the definition of personal information; namely, that an individual must be ‘identified or reasonably identifiable’. It noted that submitters had reported difficulty in determining the point at which an individual becomes identifiable and in understanding the standard that should be used to satisfy the ‘reasonably identifiable’ requirement.</w:t>
      </w:r>
      <w:r w:rsidRPr="00113F13">
        <w:rPr>
          <w:rStyle w:val="FootnoteReference"/>
          <w:rFonts w:ascii="Times New Roman" w:hAnsi="Times New Roman"/>
        </w:rPr>
        <w:footnoteReference w:id="195"/>
      </w:r>
      <w:r w:rsidRPr="00113F13">
        <w:t xml:space="preserve"> The Review also noted that the growth in large datasets about individuals has increased the risk that unidentified information will become identified when it is linked to other information.</w:t>
      </w:r>
      <w:r w:rsidRPr="00113F13">
        <w:rPr>
          <w:rStyle w:val="FootnoteReference"/>
          <w:rFonts w:ascii="Times New Roman" w:hAnsi="Times New Roman"/>
        </w:rPr>
        <w:footnoteReference w:id="196"/>
      </w:r>
    </w:p>
    <w:p w14:paraId="10985F06" w14:textId="1CD48FF6" w:rsidR="00FF302D" w:rsidRPr="00113F13" w:rsidRDefault="00FF302D" w:rsidP="00B63604">
      <w:pPr>
        <w:pStyle w:val="NormalNumberedTextTLRI"/>
        <w:numPr>
          <w:ilvl w:val="2"/>
          <w:numId w:val="31"/>
        </w:numPr>
        <w:tabs>
          <w:tab w:val="clear" w:pos="720"/>
        </w:tabs>
        <w:spacing w:line="259" w:lineRule="auto"/>
      </w:pPr>
      <w:r w:rsidRPr="00113F13">
        <w:t>The Review proposed that the Privacy Act should be amended to insert a non-exhaustive list of circumstances to which APP entities will be expected to have regard in assessing whether identity is ‘reasonably identifiable’.</w:t>
      </w:r>
      <w:r w:rsidRPr="00113F13">
        <w:rPr>
          <w:rStyle w:val="FootnoteReference"/>
          <w:rFonts w:ascii="Times New Roman" w:hAnsi="Times New Roman"/>
        </w:rPr>
        <w:footnoteReference w:id="197"/>
      </w:r>
      <w:r w:rsidRPr="00113F13">
        <w:t xml:space="preserve"> It noted that whether a person is reasonably identifiable will depend on a number of factors, including the context in which the information exists, the means reasonably likely to be used to identify someone, and current data processing practices, among others.</w:t>
      </w:r>
      <w:r w:rsidRPr="00113F13">
        <w:rPr>
          <w:rStyle w:val="FootnoteReference"/>
          <w:rFonts w:ascii="Times New Roman" w:hAnsi="Times New Roman"/>
        </w:rPr>
        <w:footnoteReference w:id="198"/>
      </w:r>
      <w:r w:rsidRPr="00113F13">
        <w:t xml:space="preserve"> </w:t>
      </w:r>
    </w:p>
    <w:p w14:paraId="40823455" w14:textId="77777777" w:rsidR="00FF302D" w:rsidRPr="00113F13" w:rsidRDefault="00FF302D" w:rsidP="00B63604">
      <w:pPr>
        <w:pStyle w:val="NormalNumberedTextTLRI"/>
        <w:numPr>
          <w:ilvl w:val="2"/>
          <w:numId w:val="31"/>
        </w:numPr>
        <w:tabs>
          <w:tab w:val="clear" w:pos="720"/>
        </w:tabs>
        <w:spacing w:line="259" w:lineRule="auto"/>
      </w:pPr>
      <w:bookmarkStart w:id="191" w:name="_Ref147503921"/>
      <w:r w:rsidRPr="00113F13">
        <w:t>The Review proposed a list of five ‘circumstances’ that could assist APP entities to assess reasonable identifiability:</w:t>
      </w:r>
      <w:bookmarkEnd w:id="191"/>
    </w:p>
    <w:p w14:paraId="5E1E81D6" w14:textId="77777777" w:rsidR="00FF302D" w:rsidRPr="00113F13" w:rsidRDefault="00FF302D" w:rsidP="000067D0">
      <w:pPr>
        <w:pStyle w:val="DotPointTLRI"/>
      </w:pPr>
      <w:r w:rsidRPr="00113F13">
        <w:t>‘the nature and volume of the information’;</w:t>
      </w:r>
    </w:p>
    <w:p w14:paraId="5367CA3B" w14:textId="77777777" w:rsidR="00FF302D" w:rsidRPr="00113F13" w:rsidRDefault="00FF302D" w:rsidP="000067D0">
      <w:pPr>
        <w:pStyle w:val="DotPointTLRI"/>
      </w:pPr>
      <w:r w:rsidRPr="00113F13">
        <w:t>‘who holds or has access to the information’;</w:t>
      </w:r>
    </w:p>
    <w:p w14:paraId="4FC60AF4" w14:textId="77777777" w:rsidR="00FF302D" w:rsidRPr="00113F13" w:rsidRDefault="00FF302D" w:rsidP="000067D0">
      <w:pPr>
        <w:pStyle w:val="DotPointTLRI"/>
      </w:pPr>
      <w:r w:rsidRPr="00113F13">
        <w:t xml:space="preserve">‘how and why the information is collected, used, stored and disclosed’; </w:t>
      </w:r>
    </w:p>
    <w:p w14:paraId="7B9F2474" w14:textId="77777777" w:rsidR="00FF302D" w:rsidRPr="00113F13" w:rsidRDefault="00FF302D" w:rsidP="000067D0">
      <w:pPr>
        <w:pStyle w:val="DotPointTLRI"/>
      </w:pPr>
      <w:r w:rsidRPr="00113F13">
        <w:t xml:space="preserve">‘the other information that is available (or known) to the recipient, and the practicability of using that information to identify the individual’; and </w:t>
      </w:r>
    </w:p>
    <w:p w14:paraId="234672F9" w14:textId="77777777" w:rsidR="00FF302D" w:rsidRPr="00113F13" w:rsidRDefault="00FF302D" w:rsidP="000067D0">
      <w:pPr>
        <w:pStyle w:val="DotPointTLRI"/>
      </w:pPr>
      <w:r w:rsidRPr="00113F13">
        <w:t>‘the context in which information is handled, including the context into which information will be disclosed’.</w:t>
      </w:r>
      <w:r w:rsidRPr="00113F13">
        <w:rPr>
          <w:rStyle w:val="FootnoteReference"/>
          <w:rFonts w:ascii="Times New Roman" w:hAnsi="Times New Roman"/>
        </w:rPr>
        <w:footnoteReference w:id="199"/>
      </w:r>
    </w:p>
    <w:p w14:paraId="60B5859C" w14:textId="77777777" w:rsidR="00FF302D" w:rsidRPr="00113F13" w:rsidRDefault="00FF302D" w:rsidP="00B63604">
      <w:pPr>
        <w:pStyle w:val="NormalNumberedTextTLRI"/>
        <w:numPr>
          <w:ilvl w:val="2"/>
          <w:numId w:val="31"/>
        </w:numPr>
        <w:tabs>
          <w:tab w:val="clear" w:pos="720"/>
        </w:tabs>
        <w:spacing w:line="259" w:lineRule="auto"/>
      </w:pPr>
      <w:r w:rsidRPr="00113F13">
        <w:t>In its response to the Privacy Act Review Final Report, the Commonwealth Government agreed in-principle with the proposals to change ‘about’ to ‘relates to’ and to introduce non-exhaustive lists of the types of information that may be personal information and of circumstances to which APP entities are expected to have regard when assessing reasonable identifiability. The Commonwealth Government expressed an intention to ‘consult further on how the definition of personal information may improve understanding of when information relates to an individual who is identified or reasonably identifiable’.</w:t>
      </w:r>
      <w:r w:rsidRPr="00113F13">
        <w:rPr>
          <w:rStyle w:val="FootnoteReference"/>
          <w:rFonts w:ascii="Times New Roman" w:hAnsi="Times New Roman"/>
        </w:rPr>
        <w:footnoteReference w:id="200"/>
      </w:r>
    </w:p>
    <w:p w14:paraId="2ED392A1" w14:textId="77777777" w:rsidR="00FF302D" w:rsidRPr="00113F13" w:rsidRDefault="00FF302D" w:rsidP="000067D0">
      <w:pPr>
        <w:pStyle w:val="Sub-HeadingTLRI"/>
      </w:pPr>
      <w:bookmarkStart w:id="192" w:name="_Toc164606535"/>
      <w:r w:rsidRPr="00113F13">
        <w:t>De-identification and pseudonymisation</w:t>
      </w:r>
      <w:bookmarkEnd w:id="192"/>
    </w:p>
    <w:p w14:paraId="05AD05FB" w14:textId="77777777" w:rsidR="00FF302D" w:rsidRPr="00113F13" w:rsidRDefault="00FF302D" w:rsidP="00B63604">
      <w:pPr>
        <w:pStyle w:val="NormalNumberedTextTLRI"/>
        <w:numPr>
          <w:ilvl w:val="2"/>
          <w:numId w:val="31"/>
        </w:numPr>
        <w:tabs>
          <w:tab w:val="clear" w:pos="720"/>
        </w:tabs>
        <w:spacing w:line="259" w:lineRule="auto"/>
      </w:pPr>
      <w:r w:rsidRPr="00113F13">
        <w:t>In the Privacy Act Review Final Report, the Review observed that APP entities have difficulty meeting the de-identification requirements in the APPs because they may not understand the standard of de-identification required.</w:t>
      </w:r>
      <w:r w:rsidRPr="00113F13">
        <w:rPr>
          <w:rStyle w:val="FootnoteReference"/>
          <w:rFonts w:ascii="Times New Roman" w:hAnsi="Times New Roman"/>
        </w:rPr>
        <w:footnoteReference w:id="201"/>
      </w:r>
      <w:r w:rsidRPr="00113F13">
        <w:t xml:space="preserve"> Citing the ACCC’s DPI Report, the Review emphasised ‘the importance </w:t>
      </w:r>
      <w:r w:rsidRPr="00113F13">
        <w:lastRenderedPageBreak/>
        <w:t>of robust deidentification standards’ in the context of growing availability of identification due to ongoing technological advances and the increasing volumes of data in circulation.</w:t>
      </w:r>
      <w:r w:rsidRPr="00113F13">
        <w:rPr>
          <w:rStyle w:val="FootnoteReference"/>
          <w:rFonts w:ascii="Times New Roman" w:hAnsi="Times New Roman"/>
        </w:rPr>
        <w:footnoteReference w:id="202"/>
      </w:r>
    </w:p>
    <w:p w14:paraId="59CB1957" w14:textId="77777777" w:rsidR="00FF302D" w:rsidRPr="00113F13" w:rsidRDefault="00FF302D" w:rsidP="00B63604">
      <w:pPr>
        <w:pStyle w:val="NormalNumberedTextTLRI"/>
        <w:numPr>
          <w:ilvl w:val="2"/>
          <w:numId w:val="31"/>
        </w:numPr>
        <w:tabs>
          <w:tab w:val="clear" w:pos="720"/>
        </w:tabs>
        <w:spacing w:line="259" w:lineRule="auto"/>
      </w:pPr>
      <w:bookmarkStart w:id="193" w:name="_Ref147503877"/>
      <w:bookmarkStart w:id="194" w:name="_Ref164771012"/>
      <w:r w:rsidRPr="00113F13">
        <w:t>Based on the submissions it had received, the Review concluded that replacing ‘de-identification’ with an irreversible standard of anonymisation, which had been discussed in its Discussion Paper,</w:t>
      </w:r>
      <w:r w:rsidRPr="00113F13">
        <w:rPr>
          <w:rStyle w:val="FootnoteReference"/>
          <w:rFonts w:ascii="Times New Roman" w:hAnsi="Times New Roman"/>
        </w:rPr>
        <w:footnoteReference w:id="203"/>
      </w:r>
      <w:r w:rsidRPr="00113F13">
        <w:t xml:space="preserve"> was not practically achievable. The Review proposed instead that the definition of ‘de-identified’ in the Privacy Act be amended ‘to make it clear that de-identification is a process, informed by best available practice, applied to personal information which involves treating it in such a way such that no individual is identified or reasonably identifiable in the current context’.</w:t>
      </w:r>
      <w:r w:rsidRPr="00113F13">
        <w:rPr>
          <w:rStyle w:val="FootnoteReference"/>
          <w:rFonts w:ascii="Times New Roman" w:hAnsi="Times New Roman"/>
        </w:rPr>
        <w:footnoteReference w:id="204"/>
      </w:r>
      <w:r w:rsidRPr="00113F13">
        <w:t xml:space="preserve"> This involves acknowledging that de-identification is subject to circumstances and context, and that past de-identification may not be adequate to ensure continued de-identification when circumstances change (such as where new linkable information is added).</w:t>
      </w:r>
      <w:r w:rsidRPr="00113F13">
        <w:rPr>
          <w:rStyle w:val="FootnoteReference"/>
          <w:rFonts w:ascii="Times New Roman" w:hAnsi="Times New Roman"/>
        </w:rPr>
        <w:footnoteReference w:id="205"/>
      </w:r>
      <w:bookmarkEnd w:id="193"/>
      <w:r w:rsidRPr="00113F13">
        <w:t xml:space="preserve"> The Government agreed in-principle with this proposal, meaning it intended to further examine whether and how it could be implemented in consultation with APP entities.</w:t>
      </w:r>
      <w:r w:rsidRPr="00113F13">
        <w:rPr>
          <w:rStyle w:val="FootnoteReference"/>
          <w:rFonts w:ascii="Times New Roman" w:hAnsi="Times New Roman"/>
        </w:rPr>
        <w:footnoteReference w:id="206"/>
      </w:r>
      <w:bookmarkEnd w:id="194"/>
    </w:p>
    <w:p w14:paraId="5F98106C" w14:textId="4718340E" w:rsidR="00FF302D" w:rsidRPr="00113F13" w:rsidRDefault="288D8F58" w:rsidP="00B63604">
      <w:pPr>
        <w:pStyle w:val="NormalNumberedTextTLRI"/>
        <w:numPr>
          <w:ilvl w:val="2"/>
          <w:numId w:val="31"/>
        </w:numPr>
        <w:tabs>
          <w:tab w:val="clear" w:pos="720"/>
        </w:tabs>
        <w:spacing w:line="259" w:lineRule="auto"/>
      </w:pPr>
      <w:bookmarkStart w:id="195" w:name="_Ref147503954"/>
      <w:r>
        <w:t xml:space="preserve">The Review also recommended that protections under several APPs be extended to de-identified information, in line with developments in overseas jurisdictions. These recommendations are </w:t>
      </w:r>
      <w:r w:rsidRPr="00660F39">
        <w:t xml:space="preserve">discussed in </w:t>
      </w:r>
      <w:r w:rsidRPr="00EA22F8">
        <w:t>Part 7</w:t>
      </w:r>
      <w:r w:rsidR="00660F39">
        <w:t>,</w:t>
      </w:r>
      <w:r>
        <w:t xml:space="preserve"> below.</w:t>
      </w:r>
      <w:bookmarkEnd w:id="195"/>
    </w:p>
    <w:p w14:paraId="67BAD5B3" w14:textId="77777777" w:rsidR="00FF302D" w:rsidRPr="00113F13" w:rsidRDefault="00FF302D" w:rsidP="00B63604">
      <w:pPr>
        <w:pStyle w:val="NormalNumberedTextTLRI"/>
        <w:numPr>
          <w:ilvl w:val="2"/>
          <w:numId w:val="31"/>
        </w:numPr>
        <w:tabs>
          <w:tab w:val="clear" w:pos="720"/>
        </w:tabs>
        <w:spacing w:line="259" w:lineRule="auto"/>
      </w:pPr>
      <w:r w:rsidRPr="00113F13">
        <w:t>The Review recommended that there be further consultation on the introduction of a criminal offence (with appropriate exceptions) for ‘malicious re-identification’ of de-identified information in circumstances where there is an intention to harm another or obtain an illegitimate benefit, either by an external person or by an APP entity acting maliciously.</w:t>
      </w:r>
      <w:r w:rsidRPr="00113F13">
        <w:rPr>
          <w:rStyle w:val="FootnoteReference"/>
          <w:rFonts w:ascii="Times New Roman" w:hAnsi="Times New Roman"/>
        </w:rPr>
        <w:footnoteReference w:id="207"/>
      </w:r>
      <w:r w:rsidRPr="00113F13">
        <w:t xml:space="preserve"> The Commonwealth Government agreed with this proposal.</w:t>
      </w:r>
      <w:r w:rsidRPr="00113F13">
        <w:rPr>
          <w:rStyle w:val="FootnoteReference"/>
          <w:rFonts w:ascii="Times New Roman" w:hAnsi="Times New Roman"/>
        </w:rPr>
        <w:footnoteReference w:id="208"/>
      </w:r>
    </w:p>
    <w:p w14:paraId="05A52566" w14:textId="77777777" w:rsidR="00FF302D" w:rsidRPr="00113F13" w:rsidRDefault="00FF302D" w:rsidP="00B63604">
      <w:pPr>
        <w:pStyle w:val="NormalNumberedTextTLRI"/>
        <w:numPr>
          <w:ilvl w:val="2"/>
          <w:numId w:val="31"/>
        </w:numPr>
        <w:tabs>
          <w:tab w:val="clear" w:pos="720"/>
        </w:tabs>
        <w:spacing w:line="259" w:lineRule="auto"/>
      </w:pPr>
      <w:r w:rsidRPr="00113F13">
        <w:t>Finally, the Review recommended the introduction of a prohibition on APP entities from re-identifying information that it obtained from a source other than the individual to whom the information relates, with some limited exceptions (such as where the re-identified information was de-identified by the APP entity itself, in which case the entity should simply comply with the APPs).</w:t>
      </w:r>
      <w:r w:rsidRPr="00113F13">
        <w:rPr>
          <w:rStyle w:val="FootnoteReference"/>
          <w:rFonts w:ascii="Times New Roman" w:hAnsi="Times New Roman"/>
        </w:rPr>
        <w:footnoteReference w:id="209"/>
      </w:r>
      <w:r w:rsidRPr="00113F13">
        <w:t xml:space="preserve"> In responding to this proposal, the Commonwealth Government said it ‘generally agrees with the policy intent of protecting de identified [sic] information from unauthorised re-identification’ and would further consider how this objective may be achieved.</w:t>
      </w:r>
      <w:r w:rsidRPr="00113F13">
        <w:rPr>
          <w:rStyle w:val="FootnoteReference"/>
          <w:rFonts w:ascii="Times New Roman" w:hAnsi="Times New Roman"/>
        </w:rPr>
        <w:footnoteReference w:id="210"/>
      </w:r>
    </w:p>
    <w:p w14:paraId="2B9866B7" w14:textId="77777777" w:rsidR="00FF302D" w:rsidRPr="00113F13" w:rsidRDefault="00FF302D" w:rsidP="000067D0">
      <w:pPr>
        <w:pStyle w:val="Sub-HeadingTLRI"/>
      </w:pPr>
      <w:bookmarkStart w:id="196" w:name="_Toc164606536"/>
      <w:r w:rsidRPr="00113F13">
        <w:t>Deceased persons</w:t>
      </w:r>
      <w:bookmarkEnd w:id="196"/>
    </w:p>
    <w:p w14:paraId="10A937DA"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Privacy Act Review considered the inconsistency between Commonwealth and State and Territory rules regarding deceased persons, noting that the Australian Law Reform Commission (‘ALRC’) recommended in 2008 that the Privacy Act ‘be extended to cover information about deceased </w:t>
      </w:r>
      <w:r w:rsidRPr="00113F13">
        <w:lastRenderedPageBreak/>
        <w:t>persons’.</w:t>
      </w:r>
      <w:r w:rsidRPr="00113F13">
        <w:rPr>
          <w:rStyle w:val="FootnoteReference"/>
          <w:rFonts w:ascii="Times New Roman" w:hAnsi="Times New Roman"/>
        </w:rPr>
        <w:footnoteReference w:id="211"/>
      </w:r>
      <w:r w:rsidRPr="00113F13">
        <w:t xml:space="preserve"> In its Final Report, the Review declined to propose amendments to the Privacy Act on this issue, instead noting that the Standing Council of Attorneys-General agreed in December 2022 to ‘provide drafting instructions to the Parliamentary Counsel’s Committee for the development of uniform model legislation for a national access scheme for digital records after death or incapacity’.</w:t>
      </w:r>
      <w:r w:rsidRPr="00113F13">
        <w:rPr>
          <w:rStyle w:val="FootnoteReference"/>
          <w:rFonts w:ascii="Times New Roman" w:hAnsi="Times New Roman"/>
        </w:rPr>
        <w:footnoteReference w:id="212"/>
      </w:r>
      <w:r w:rsidRPr="00113F13">
        <w:t xml:space="preserve"> This is consistent with prior recommendations</w:t>
      </w:r>
      <w:r w:rsidRPr="00113F13">
        <w:rPr>
          <w:rStyle w:val="FootnoteReference"/>
          <w:rFonts w:ascii="Times New Roman" w:hAnsi="Times New Roman"/>
        </w:rPr>
        <w:footnoteReference w:id="213"/>
      </w:r>
      <w:r w:rsidRPr="00113F13">
        <w:t xml:space="preserve"> and efforts made towards developing a nationally consistent approach to accessing digital records upon death or incapacity.</w:t>
      </w:r>
      <w:r w:rsidRPr="00113F13">
        <w:rPr>
          <w:rStyle w:val="FootnoteReference"/>
          <w:rFonts w:ascii="Times New Roman" w:hAnsi="Times New Roman"/>
        </w:rPr>
        <w:footnoteReference w:id="214"/>
      </w:r>
      <w:r w:rsidRPr="00113F13">
        <w:t xml:space="preserve"> The TLRI notes that this project was discontinued in late-2023, on the basis of the view that uniform legislation would not be appropriate in light of the complex interaction of legal frameworks and the variety of digital record holders. The Standing Council of Attorney-General agreed that ‘there is merit in allowing for digital record holders to respond to these issues in a way that is tailored to their services’.</w:t>
      </w:r>
      <w:r w:rsidRPr="00113F13">
        <w:rPr>
          <w:rStyle w:val="FootnoteReference"/>
          <w:rFonts w:ascii="Times New Roman" w:hAnsi="Times New Roman"/>
        </w:rPr>
        <w:footnoteReference w:id="215"/>
      </w:r>
    </w:p>
    <w:p w14:paraId="46D0509B" w14:textId="77777777" w:rsidR="00FF302D" w:rsidRPr="00113F13" w:rsidRDefault="00FF302D" w:rsidP="00BF1FE7">
      <w:pPr>
        <w:pStyle w:val="NumberedHeadingTLRI"/>
      </w:pPr>
      <w:bookmarkStart w:id="197" w:name="_Toc164606537"/>
      <w:r w:rsidRPr="00113F13">
        <w:t>Consultation</w:t>
      </w:r>
      <w:bookmarkEnd w:id="197"/>
    </w:p>
    <w:p w14:paraId="40B11CCE"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invited submissions on the scope of the definition of ‘personal information’ in the PIPA in the following terms:</w:t>
      </w:r>
    </w:p>
    <w:p w14:paraId="65AAE426" w14:textId="77777777" w:rsidR="00FF302D" w:rsidRPr="00113F13" w:rsidRDefault="00FF302D" w:rsidP="000067D0">
      <w:pPr>
        <w:pStyle w:val="Indentedquote"/>
        <w:rPr>
          <w:rFonts w:cs="Times New Roman"/>
        </w:rPr>
      </w:pPr>
      <w:r w:rsidRPr="00113F13">
        <w:rPr>
          <w:rFonts w:cs="Times New Roman"/>
        </w:rPr>
        <w:t>Should the definition of ‘personal information’ be changed? Should it be consistent with the definition in the Privacy Act, or with the definition of personal data in the European Union’s GDPR?</w:t>
      </w:r>
      <w:r w:rsidRPr="0034748C">
        <w:rPr>
          <w:rStyle w:val="FootnoteReference"/>
          <w:rFonts w:ascii="Times New Roman" w:hAnsi="Times New Roman" w:cs="Times New Roman"/>
        </w:rPr>
        <w:footnoteReference w:id="216"/>
      </w:r>
    </w:p>
    <w:p w14:paraId="67FF736C" w14:textId="77777777" w:rsidR="00FF302D" w:rsidRPr="00113F13" w:rsidRDefault="00FF302D" w:rsidP="000067D0">
      <w:pPr>
        <w:pStyle w:val="Sub-HeadingTLRI"/>
      </w:pPr>
      <w:bookmarkStart w:id="198" w:name="_Toc164606538"/>
      <w:r w:rsidRPr="00113F13">
        <w:t>Information or opinion ‘about an individual’</w:t>
      </w:r>
      <w:bookmarkEnd w:id="198"/>
    </w:p>
    <w:p w14:paraId="4DFBEC78" w14:textId="77777777" w:rsidR="00FF302D" w:rsidRPr="00113F13" w:rsidRDefault="00FF302D" w:rsidP="00B63604">
      <w:pPr>
        <w:pStyle w:val="NormalNumberedTextTLRI"/>
        <w:numPr>
          <w:ilvl w:val="2"/>
          <w:numId w:val="31"/>
        </w:numPr>
        <w:tabs>
          <w:tab w:val="clear" w:pos="720"/>
        </w:tabs>
        <w:spacing w:line="259" w:lineRule="auto"/>
      </w:pPr>
      <w:r w:rsidRPr="00113F13">
        <w:t>The Ombudsman expressed the view that a ‘wholesale review of the legislation would be beneficial’, including reconsideration of the definition of personal information.</w:t>
      </w:r>
      <w:r w:rsidRPr="00113F13">
        <w:rPr>
          <w:rStyle w:val="FootnoteReference"/>
          <w:rFonts w:ascii="Times New Roman" w:hAnsi="Times New Roman"/>
        </w:rPr>
        <w:footnoteReference w:id="217"/>
      </w:r>
    </w:p>
    <w:p w14:paraId="7806E39E" w14:textId="49CACD3E" w:rsidR="0034748C" w:rsidRDefault="00FF302D" w:rsidP="007C45BD">
      <w:pPr>
        <w:pStyle w:val="NormalNumberedTextTLRI"/>
        <w:numPr>
          <w:ilvl w:val="2"/>
          <w:numId w:val="31"/>
        </w:numPr>
        <w:tabs>
          <w:tab w:val="clear" w:pos="720"/>
        </w:tabs>
        <w:spacing w:line="259" w:lineRule="auto"/>
      </w:pPr>
      <w:r w:rsidRPr="00113F13">
        <w:t xml:space="preserve">Academics in the Centre for Law and Genetics at the University of Tasmania, Professor Margaret Otlowski, Emeritus Distinguished Professor Dianne Nicol, and Dr Lisa Eckstein, submitted that they saw merit in making the definition of ‘personal information’ in the PIPA ‘as consistent as possible’ with the Privacy Act. They noted the proposal in the Privacy Act Review Final Report to replace the word ‘about’ with the words ‘relates to’ and agreed that this would address uncertainty arising from the Grubb case </w:t>
      </w:r>
      <w:r w:rsidRPr="00484F79">
        <w:t>(</w:t>
      </w:r>
      <w:r w:rsidRPr="00EA22F8">
        <w:t>see</w:t>
      </w:r>
      <w:r w:rsidR="00484F79" w:rsidRPr="00EA22F8">
        <w:t xml:space="preserve"> [</w:t>
      </w:r>
      <w:r w:rsidR="00484F79">
        <w:fldChar w:fldCharType="begin"/>
      </w:r>
      <w:r w:rsidR="00484F79" w:rsidRPr="00EA22F8">
        <w:instrText xml:space="preserve"> REF _Ref147504395 \r \h </w:instrText>
      </w:r>
      <w:r w:rsidR="00484F79">
        <w:instrText xml:space="preserve"> \* MERGEFORMAT </w:instrText>
      </w:r>
      <w:r w:rsidR="00484F79">
        <w:fldChar w:fldCharType="separate"/>
      </w:r>
      <w:r w:rsidR="00462C30">
        <w:rPr>
          <w:cs/>
        </w:rPr>
        <w:t>‎</w:t>
      </w:r>
      <w:r w:rsidR="00462C30">
        <w:t>4.3.3</w:t>
      </w:r>
      <w:r w:rsidR="00484F79">
        <w:fldChar w:fldCharType="end"/>
      </w:r>
      <w:r w:rsidR="00484F79" w:rsidRPr="00EA22F8">
        <w:t>]</w:t>
      </w:r>
      <w:r w:rsidRPr="00EA22F8">
        <w:t>)</w:t>
      </w:r>
      <w:r w:rsidRPr="00484F79">
        <w:t>,</w:t>
      </w:r>
      <w:r w:rsidRPr="00113F13">
        <w:t xml:space="preserve"> align the definition more closely with the GDPR definition, and better highlight the need for there to be a relationship between the information and the individual in order for it to constitute ‘personal information’.</w:t>
      </w:r>
      <w:r w:rsidRPr="00113F13">
        <w:rPr>
          <w:rStyle w:val="FootnoteReference"/>
          <w:rFonts w:ascii="Times New Roman" w:hAnsi="Times New Roman"/>
        </w:rPr>
        <w:footnoteReference w:id="218"/>
      </w:r>
    </w:p>
    <w:p w14:paraId="237DA39D" w14:textId="77777777" w:rsidR="0037620D" w:rsidRDefault="0037620D" w:rsidP="000067D0">
      <w:pPr>
        <w:pStyle w:val="Sub-HeadingTLRI"/>
      </w:pPr>
      <w:bookmarkStart w:id="199" w:name="_Toc164606539"/>
    </w:p>
    <w:p w14:paraId="5894B75A" w14:textId="055EDE2A" w:rsidR="00FF302D" w:rsidRPr="00113F13" w:rsidRDefault="00FF302D" w:rsidP="000067D0">
      <w:pPr>
        <w:pStyle w:val="Sub-HeadingTLRI"/>
      </w:pPr>
      <w:r w:rsidRPr="00113F13">
        <w:lastRenderedPageBreak/>
        <w:t>Identity is ‘reasonably ascertainable’, de-identification, and pseudonymisation</w:t>
      </w:r>
      <w:bookmarkEnd w:id="199"/>
    </w:p>
    <w:p w14:paraId="5C4AE0D1" w14:textId="77777777" w:rsidR="00FF302D" w:rsidRPr="00113F13" w:rsidRDefault="00FF302D" w:rsidP="00B63604">
      <w:pPr>
        <w:pStyle w:val="NormalNumberedTextTLRI"/>
        <w:numPr>
          <w:ilvl w:val="2"/>
          <w:numId w:val="31"/>
        </w:numPr>
        <w:tabs>
          <w:tab w:val="clear" w:pos="720"/>
        </w:tabs>
        <w:spacing w:line="259" w:lineRule="auto"/>
      </w:pPr>
      <w:r w:rsidRPr="00113F13">
        <w:t>The Centre for Law and Genetics team also supported the Privacy Act Review’s proposals relating to de-identification and pseudonymisation. They recommended that Tasmania follow the lead of the Commonwealth Review in seeking to address uncertainties in the operation of the ‘reasonable identifiability’ test in relation to the Review’s proposals to:</w:t>
      </w:r>
    </w:p>
    <w:p w14:paraId="3F9FAC0F" w14:textId="597BFA29" w:rsidR="00FF302D" w:rsidRPr="00113F13" w:rsidRDefault="00FF302D" w:rsidP="000067D0">
      <w:pPr>
        <w:pStyle w:val="DotPointTLRI"/>
      </w:pPr>
      <w:r w:rsidRPr="00113F13">
        <w:t xml:space="preserve">introduce a list of factors for APP entities to consider when determining whether an individual is reasonably identifiable </w:t>
      </w:r>
      <w:r w:rsidRPr="00864995">
        <w:t>(</w:t>
      </w:r>
      <w:r w:rsidRPr="00EA22F8">
        <w:t xml:space="preserve">see above </w:t>
      </w:r>
      <w:r w:rsidR="00864995" w:rsidRPr="00EA22F8">
        <w:t>[</w:t>
      </w:r>
      <w:r w:rsidR="00864995" w:rsidRPr="00EA22F8">
        <w:fldChar w:fldCharType="begin"/>
      </w:r>
      <w:r w:rsidR="00864995" w:rsidRPr="00EA22F8">
        <w:instrText xml:space="preserve"> REF _Ref147503921 \r \h </w:instrText>
      </w:r>
      <w:r w:rsidR="00864995">
        <w:instrText xml:space="preserve"> \* MERGEFORMAT </w:instrText>
      </w:r>
      <w:r w:rsidR="00864995" w:rsidRPr="00EA22F8">
        <w:fldChar w:fldCharType="separate"/>
      </w:r>
      <w:r w:rsidR="00462C30">
        <w:rPr>
          <w:cs/>
        </w:rPr>
        <w:t>‎</w:t>
      </w:r>
      <w:r w:rsidR="00462C30">
        <w:t>4.3.9</w:t>
      </w:r>
      <w:r w:rsidR="00864995" w:rsidRPr="00EA22F8">
        <w:fldChar w:fldCharType="end"/>
      </w:r>
      <w:r w:rsidR="00864995">
        <w:t>])</w:t>
      </w:r>
      <w:r w:rsidRPr="00113F13">
        <w:t>;</w:t>
      </w:r>
    </w:p>
    <w:p w14:paraId="6B989822" w14:textId="0CF5779D" w:rsidR="00FF302D" w:rsidRPr="00113F13" w:rsidRDefault="00FF302D" w:rsidP="000067D0">
      <w:pPr>
        <w:pStyle w:val="DotPointTLRI"/>
      </w:pPr>
      <w:r w:rsidRPr="00113F13">
        <w:t xml:space="preserve">amend the definition of ‘de-identify’ to clarify that whether or not de-identified information remains de-identified depends on </w:t>
      </w:r>
      <w:r w:rsidRPr="00864995">
        <w:t>context (</w:t>
      </w:r>
      <w:r w:rsidRPr="00EA22F8">
        <w:t xml:space="preserve">see above </w:t>
      </w:r>
      <w:r w:rsidR="00864995" w:rsidRPr="00EA22F8">
        <w:fldChar w:fldCharType="begin"/>
      </w:r>
      <w:r w:rsidR="00864995" w:rsidRPr="00EA22F8">
        <w:instrText xml:space="preserve"> REF _Ref164771012 \r \h </w:instrText>
      </w:r>
      <w:r w:rsidR="00864995">
        <w:instrText xml:space="preserve"> \* MERGEFORMAT </w:instrText>
      </w:r>
      <w:r w:rsidR="00864995" w:rsidRPr="00EA22F8">
        <w:fldChar w:fldCharType="separate"/>
      </w:r>
      <w:r w:rsidR="00462C30">
        <w:rPr>
          <w:cs/>
        </w:rPr>
        <w:t>‎</w:t>
      </w:r>
      <w:r w:rsidR="00193F67">
        <w:t>[</w:t>
      </w:r>
      <w:r w:rsidR="00462C30">
        <w:t>4.3.12</w:t>
      </w:r>
      <w:r w:rsidR="00864995" w:rsidRPr="00EA22F8">
        <w:fldChar w:fldCharType="end"/>
      </w:r>
      <w:r w:rsidR="00864995" w:rsidRPr="00864995">
        <w:t>])</w:t>
      </w:r>
      <w:r w:rsidRPr="00864995">
        <w:t>;</w:t>
      </w:r>
      <w:r w:rsidRPr="00113F13">
        <w:t xml:space="preserve"> and </w:t>
      </w:r>
    </w:p>
    <w:p w14:paraId="581144A4" w14:textId="4DC5215A" w:rsidR="00FF302D" w:rsidRPr="00113F13" w:rsidRDefault="00FF302D" w:rsidP="000067D0">
      <w:pPr>
        <w:pStyle w:val="DotPointTLRI"/>
      </w:pPr>
      <w:r w:rsidRPr="00113F13">
        <w:t xml:space="preserve">extend protections to de-identified information that are proportionate to the risk of the information being re-identified </w:t>
      </w:r>
      <w:r w:rsidRPr="001A71C2">
        <w:t>(</w:t>
      </w:r>
      <w:r w:rsidRPr="00EA22F8">
        <w:t>see above</w:t>
      </w:r>
      <w:r w:rsidR="001A71C2" w:rsidRPr="00EA22F8">
        <w:t xml:space="preserve"> [</w:t>
      </w:r>
      <w:r w:rsidR="001A71C2" w:rsidRPr="00EA22F8">
        <w:fldChar w:fldCharType="begin"/>
      </w:r>
      <w:r w:rsidR="001A71C2" w:rsidRPr="00EA22F8">
        <w:instrText xml:space="preserve"> REF _Ref164771064 \r \h </w:instrText>
      </w:r>
      <w:r w:rsidR="001A71C2">
        <w:instrText xml:space="preserve"> \* MERGEFORMAT </w:instrText>
      </w:r>
      <w:r w:rsidR="001A71C2" w:rsidRPr="00EA22F8">
        <w:fldChar w:fldCharType="separate"/>
      </w:r>
      <w:r w:rsidR="00462C30">
        <w:rPr>
          <w:cs/>
        </w:rPr>
        <w:t>‎</w:t>
      </w:r>
      <w:r w:rsidR="00462C30">
        <w:t>4.2.13</w:t>
      </w:r>
      <w:r w:rsidR="001A71C2" w:rsidRPr="00EA22F8">
        <w:fldChar w:fldCharType="end"/>
      </w:r>
      <w:r w:rsidR="001A71C2" w:rsidRPr="00EA22F8">
        <w:t>]</w:t>
      </w:r>
      <w:r w:rsidRPr="001A71C2">
        <w:fldChar w:fldCharType="begin"/>
      </w:r>
      <w:r w:rsidRPr="001A71C2">
        <w:instrText xml:space="preserve"> REF _Ref147503954 \r \h  \* MERGEFORMAT </w:instrText>
      </w:r>
      <w:r w:rsidRPr="001A71C2">
        <w:fldChar w:fldCharType="separate"/>
      </w:r>
      <w:r w:rsidR="00462C30">
        <w:rPr>
          <w:cs/>
        </w:rPr>
        <w:t>‎</w:t>
      </w:r>
      <w:r w:rsidR="00193F67">
        <w:t>–[</w:t>
      </w:r>
      <w:r w:rsidR="00462C30">
        <w:t>4.3.13</w:t>
      </w:r>
      <w:r w:rsidRPr="001A71C2">
        <w:fldChar w:fldCharType="end"/>
      </w:r>
      <w:r w:rsidR="00193F67">
        <w:t>]</w:t>
      </w:r>
      <w:r w:rsidRPr="00113F13">
        <w:t>).</w:t>
      </w:r>
    </w:p>
    <w:p w14:paraId="261BDDC1" w14:textId="77777777" w:rsidR="00FF302D" w:rsidRPr="00113F13" w:rsidRDefault="00FF302D" w:rsidP="000067D0">
      <w:pPr>
        <w:pStyle w:val="Sub-HeadingTLRI"/>
      </w:pPr>
      <w:bookmarkStart w:id="200" w:name="_Toc164606540"/>
      <w:r w:rsidRPr="00113F13">
        <w:t>Deceased persons</w:t>
      </w:r>
      <w:bookmarkEnd w:id="200"/>
    </w:p>
    <w:p w14:paraId="1616EE23" w14:textId="77777777" w:rsidR="00FF302D" w:rsidRPr="00113F13" w:rsidRDefault="00FF302D" w:rsidP="00B63604">
      <w:pPr>
        <w:pStyle w:val="NormalNumberedTextTLRI"/>
        <w:numPr>
          <w:ilvl w:val="2"/>
          <w:numId w:val="31"/>
        </w:numPr>
        <w:tabs>
          <w:tab w:val="clear" w:pos="720"/>
        </w:tabs>
        <w:spacing w:line="259" w:lineRule="auto"/>
      </w:pPr>
      <w:r w:rsidRPr="00113F13">
        <w:t>No submissions to this project addressed the inclusion of deceased persons, or the duration of protection of personal information about deceased persons, in the PIPA.</w:t>
      </w:r>
    </w:p>
    <w:p w14:paraId="08BA70F6" w14:textId="77777777" w:rsidR="00FF302D" w:rsidRPr="00113F13" w:rsidRDefault="00FF302D" w:rsidP="00BF1FE7">
      <w:pPr>
        <w:pStyle w:val="NumberedHeadingTLRI"/>
      </w:pPr>
      <w:bookmarkStart w:id="201" w:name="_Toc164606541"/>
      <w:r w:rsidRPr="00113F13">
        <w:t>The TLRI’s view</w:t>
      </w:r>
      <w:bookmarkEnd w:id="201"/>
    </w:p>
    <w:p w14:paraId="738C4257" w14:textId="77777777" w:rsidR="00FF302D" w:rsidRPr="00113F13" w:rsidRDefault="00FF302D" w:rsidP="000067D0">
      <w:pPr>
        <w:pStyle w:val="Sub-HeadingTLRI"/>
      </w:pPr>
      <w:bookmarkStart w:id="202" w:name="_Toc164606542"/>
      <w:r w:rsidRPr="00113F13">
        <w:t>Information or opinion ‘about an individual’</w:t>
      </w:r>
      <w:bookmarkEnd w:id="202"/>
    </w:p>
    <w:p w14:paraId="66D9ED8D"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the proposed changes to the Privacy Act definition of personal information in the Privacy Act Review Report, such as changing ‘about’ to ‘relates to’ in the definition of ‘personal information’ and introducing a non-exhaustive list of information that may fall within the definition of personal information, would also be appropriate amendments to the PIPA. Such changes would not significantly expand the scope of the legislation but would clarify that privacy protections are limited to personal information that has a genuine connection to an individual and affirm the inclusion of technical data in the definition. These reforms would also promote consistency with overseas jurisdictions (notably the European Union) and, if enacted at the Commonwealth level, within Australia.</w:t>
      </w:r>
    </w:p>
    <w:p w14:paraId="517B346E" w14:textId="77777777" w:rsidR="00FF302D" w:rsidRPr="00113F13" w:rsidRDefault="00FF302D" w:rsidP="000067D0">
      <w:pPr>
        <w:pStyle w:val="Sub-HeadingTLRI"/>
      </w:pPr>
      <w:bookmarkStart w:id="203" w:name="_Toc164606543"/>
      <w:r w:rsidRPr="00113F13">
        <w:t>Identity is ‘reasonably identifiable’</w:t>
      </w:r>
      <w:bookmarkEnd w:id="203"/>
    </w:p>
    <w:p w14:paraId="7E97439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also considers that it may be appropriate to change the words ‘reasonably ascertainable’ to ‘reasonably identifiable’ in the definition of ‘personal information’ in the PIPA. This would promote consistency between the Tasmanian and Commonwealth legislation. It is also the approach that will be implemented in Queensland, once the </w:t>
      </w:r>
      <w:r w:rsidRPr="00113F13">
        <w:rPr>
          <w:i/>
          <w:iCs/>
        </w:rPr>
        <w:t>Information Privacy and Other Legislation Amendment Act 2023</w:t>
      </w:r>
      <w:r w:rsidRPr="00113F13">
        <w:t xml:space="preserve"> (Qld) comes into force. If the Privacy Act Review Report’s proposals are implemented, it would also pave the way for the insertion into the PIPA of a non-exhaustive list of circumstances to which PIPA personal information custodians will be expected to have regard in assessing whether identity is ‘reasonably identifiable’.</w:t>
      </w:r>
      <w:r w:rsidRPr="00113F13">
        <w:rPr>
          <w:rStyle w:val="FootnoteReference"/>
          <w:rFonts w:ascii="Times New Roman" w:hAnsi="Times New Roman"/>
        </w:rPr>
        <w:footnoteReference w:id="219"/>
      </w:r>
      <w:r w:rsidRPr="00113F13">
        <w:t xml:space="preserve"> This list could mirror the list inserted in the </w:t>
      </w:r>
      <w:r w:rsidRPr="00113F13">
        <w:lastRenderedPageBreak/>
        <w:t>Privacy Act, and would provide valuable but flexible guidance for PIPA personal information custodians.</w:t>
      </w:r>
    </w:p>
    <w:p w14:paraId="0C09CE35"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observes that adopting the term ‘reasonably identifiable’ in the PIPA would make the terminology used in relation to personal information in PIPA inconsistent with the </w:t>
      </w:r>
      <w:r w:rsidRPr="00113F13">
        <w:rPr>
          <w:i/>
          <w:iCs/>
        </w:rPr>
        <w:t>Right to Information Act 2009</w:t>
      </w:r>
      <w:r w:rsidRPr="00113F13">
        <w:t xml:space="preserve"> (Tas), so this issue would need to be considered in the reform process.</w:t>
      </w:r>
    </w:p>
    <w:p w14:paraId="6F387795" w14:textId="77777777" w:rsidR="00FF302D" w:rsidRPr="00113F13" w:rsidRDefault="00FF302D" w:rsidP="000067D0">
      <w:pPr>
        <w:pStyle w:val="Sub-HeadingTLRI"/>
      </w:pPr>
      <w:bookmarkStart w:id="204" w:name="_Toc164606544"/>
      <w:r w:rsidRPr="00113F13">
        <w:t>De-identification and pseudonymisation</w:t>
      </w:r>
      <w:bookmarkEnd w:id="204"/>
    </w:p>
    <w:p w14:paraId="64506F09" w14:textId="77777777" w:rsidR="00FF302D" w:rsidRPr="00113F13" w:rsidRDefault="00FF302D" w:rsidP="00B63604">
      <w:pPr>
        <w:pStyle w:val="NormalNumberedTextTLRI"/>
        <w:numPr>
          <w:ilvl w:val="2"/>
          <w:numId w:val="31"/>
        </w:numPr>
        <w:tabs>
          <w:tab w:val="clear" w:pos="720"/>
        </w:tabs>
        <w:spacing w:line="259" w:lineRule="auto"/>
      </w:pPr>
      <w:r w:rsidRPr="00113F13">
        <w:t>The TLRI shares the view of other reform and review bodies that modern technology can make it easier to draw links that identify and re-identify de-identified information, due to increasingly sophisticated forms of analysis and increased access to other sources of personal information. The TLRI is also of the view that bodies subject to the PIPPs, and the individuals whose personal information is held by those bodies, would benefit from further guidance in the PIPA on the meaning and practice of de-identification.</w:t>
      </w:r>
    </w:p>
    <w:p w14:paraId="7CC09949" w14:textId="77777777" w:rsidR="00FF302D" w:rsidRPr="00113F13" w:rsidRDefault="00FF302D" w:rsidP="00B63604">
      <w:pPr>
        <w:pStyle w:val="NormalNumberedTextTLRI"/>
        <w:numPr>
          <w:ilvl w:val="2"/>
          <w:numId w:val="31"/>
        </w:numPr>
        <w:tabs>
          <w:tab w:val="clear" w:pos="720"/>
        </w:tabs>
        <w:spacing w:line="259" w:lineRule="auto"/>
      </w:pPr>
      <w:r w:rsidRPr="00113F13">
        <w:t>On this basis, the TLRI is of the view that the PIPA should be amended to insert a definition of ‘de-identified’ that aligns with the definition of ‘de-identified’ set out in the Privacy Act Review Report. The purpose of the proposed amendments was to clarify that de-identification is not a one-off process, that it should be informed by best practice, and that de-identification is subject to circumstances and context.</w:t>
      </w:r>
      <w:r w:rsidRPr="00113F13">
        <w:rPr>
          <w:rStyle w:val="FootnoteReference"/>
          <w:rFonts w:ascii="Times New Roman" w:hAnsi="Times New Roman"/>
        </w:rPr>
        <w:footnoteReference w:id="220"/>
      </w:r>
      <w:r w:rsidRPr="00113F13">
        <w:t xml:space="preserve"> The TLRI considers that this definition would be most appropriate in light of the growing capacity for entities to identify and re-identify information. As noted, the Commonwealth Government has also agreed in-principle with this proposal.</w:t>
      </w:r>
    </w:p>
    <w:p w14:paraId="03C590BE" w14:textId="77777777" w:rsidR="00FF302D" w:rsidRPr="00113F13" w:rsidRDefault="00FF302D" w:rsidP="00B63604">
      <w:pPr>
        <w:pStyle w:val="NormalNumberedTextTLRI"/>
        <w:numPr>
          <w:ilvl w:val="2"/>
          <w:numId w:val="31"/>
        </w:numPr>
        <w:tabs>
          <w:tab w:val="clear" w:pos="720"/>
        </w:tabs>
        <w:spacing w:line="259" w:lineRule="auto"/>
      </w:pPr>
      <w:r w:rsidRPr="00113F13">
        <w:t>The TLRI also notes the proposed amendments to the Privacy Act to:</w:t>
      </w:r>
    </w:p>
    <w:p w14:paraId="4D4E6904" w14:textId="77777777" w:rsidR="00FF302D" w:rsidRPr="00113F13" w:rsidRDefault="00FF302D" w:rsidP="000067D0">
      <w:pPr>
        <w:pStyle w:val="DotPointTLRI"/>
      </w:pPr>
      <w:r w:rsidRPr="00113F13">
        <w:t>introduce a criminal offence for ‘malicious re-identification’ of de-identified information where there is an intention to harm or obtain an illegitimate benefit may also be appropriate in future;</w:t>
      </w:r>
      <w:r w:rsidRPr="00113F13">
        <w:rPr>
          <w:rStyle w:val="FootnoteReference"/>
          <w:rFonts w:ascii="Times New Roman" w:hAnsi="Times New Roman"/>
        </w:rPr>
        <w:footnoteReference w:id="221"/>
      </w:r>
      <w:r w:rsidRPr="00113F13">
        <w:t xml:space="preserve"> and/or</w:t>
      </w:r>
    </w:p>
    <w:p w14:paraId="541FADCC" w14:textId="77777777" w:rsidR="00FF302D" w:rsidRPr="00113F13" w:rsidRDefault="00FF302D" w:rsidP="000067D0">
      <w:pPr>
        <w:pStyle w:val="DotPointTLRI"/>
      </w:pPr>
      <w:r w:rsidRPr="00113F13">
        <w:t>introduce a prohibition on PIPA personal information custodians from re-identifying information obtained from a source other than the individual to whom the information relates.</w:t>
      </w:r>
      <w:r w:rsidRPr="00113F13">
        <w:rPr>
          <w:rStyle w:val="FootnoteReference"/>
          <w:rFonts w:ascii="Times New Roman" w:hAnsi="Times New Roman"/>
        </w:rPr>
        <w:footnoteReference w:id="222"/>
      </w:r>
    </w:p>
    <w:p w14:paraId="5E5B41CD" w14:textId="77777777" w:rsidR="00FF302D" w:rsidRPr="00113F13" w:rsidRDefault="00FF302D" w:rsidP="00B63604">
      <w:pPr>
        <w:pStyle w:val="NormalNumberedTextTLRI"/>
        <w:numPr>
          <w:ilvl w:val="2"/>
          <w:numId w:val="31"/>
        </w:numPr>
        <w:tabs>
          <w:tab w:val="clear" w:pos="720"/>
        </w:tabs>
        <w:spacing w:line="259" w:lineRule="auto"/>
      </w:pPr>
      <w:r w:rsidRPr="00113F13">
        <w:t>Aligned with the TLRI’s view about the importance of consistency with other jurisdictions, and the fact that these matters were not raised in the Issues Paper, nor were they the subject of submissions on their significance in the Tasmanian context, further consideration and consultation on the need and appropriateness of introducing comparable provisions in the PIPA may be appropriate.</w:t>
      </w:r>
    </w:p>
    <w:p w14:paraId="6DF83561" w14:textId="483B34C3" w:rsidR="00FF302D" w:rsidRPr="00113F13" w:rsidRDefault="00FF302D" w:rsidP="00B63604">
      <w:pPr>
        <w:pStyle w:val="NormalNumberedTextTLRI"/>
        <w:numPr>
          <w:ilvl w:val="2"/>
          <w:numId w:val="31"/>
        </w:numPr>
        <w:tabs>
          <w:tab w:val="clear" w:pos="720"/>
        </w:tabs>
        <w:spacing w:line="259" w:lineRule="auto"/>
      </w:pPr>
      <w:r w:rsidRPr="00113F13">
        <w:t>The Issues Paper for this project observed that the requirement in PIPP 10 for personal information custodians to take reasonable steps to permanently de-identify health information before disclosing it for research or statistical analysis on public health or safety or running a health service</w:t>
      </w:r>
      <w:r w:rsidRPr="00113F13">
        <w:rPr>
          <w:rStyle w:val="FootnoteReference"/>
          <w:rFonts w:ascii="Times New Roman" w:hAnsi="Times New Roman"/>
        </w:rPr>
        <w:footnoteReference w:id="223"/>
      </w:r>
      <w:r w:rsidRPr="00113F13">
        <w:t xml:space="preserve"> may impact the development and use of pseudonymous datasets for health research which involves </w:t>
      </w:r>
      <w:r w:rsidRPr="00113F13">
        <w:lastRenderedPageBreak/>
        <w:t>comparing the characteristics within a selected sample population.</w:t>
      </w:r>
      <w:r w:rsidRPr="00113F13">
        <w:rPr>
          <w:rStyle w:val="FootnoteReference"/>
          <w:rFonts w:ascii="Times New Roman" w:hAnsi="Times New Roman"/>
        </w:rPr>
        <w:footnoteReference w:id="224"/>
      </w:r>
      <w:r w:rsidRPr="00113F13">
        <w:t xml:space="preserve"> Submissions in response to the Issues Paper did not express a similar concern.</w:t>
      </w:r>
    </w:p>
    <w:p w14:paraId="6624B742" w14:textId="77777777" w:rsidR="00FF302D" w:rsidRPr="00113F13" w:rsidRDefault="00FF302D" w:rsidP="00FF302D">
      <w:pPr>
        <w:rPr>
          <w:rFonts w:cs="Times New Roman"/>
          <w:b/>
          <w:bCs/>
          <w:i/>
          <w:iCs/>
        </w:rPr>
      </w:pPr>
      <w:r w:rsidRPr="00113F13">
        <w:rPr>
          <w:rFonts w:cs="Times New Roman"/>
          <w:b/>
          <w:bCs/>
          <w:i/>
          <w:iCs/>
        </w:rPr>
        <w:t>Deceased persons</w:t>
      </w:r>
    </w:p>
    <w:p w14:paraId="299743E8" w14:textId="77777777" w:rsidR="00FF302D" w:rsidRPr="00113F13" w:rsidRDefault="00FF302D" w:rsidP="00B63604">
      <w:pPr>
        <w:pStyle w:val="NormalNumberedTextTLRI"/>
        <w:numPr>
          <w:ilvl w:val="2"/>
          <w:numId w:val="31"/>
        </w:numPr>
        <w:tabs>
          <w:tab w:val="clear" w:pos="720"/>
        </w:tabs>
        <w:spacing w:line="259" w:lineRule="auto"/>
        <w:rPr>
          <w:rStyle w:val="FootnoteReference"/>
          <w:rFonts w:ascii="Times New Roman" w:eastAsiaTheme="minorHAnsi" w:hAnsi="Times New Roman"/>
          <w:kern w:val="2"/>
          <w:szCs w:val="22"/>
          <w14:ligatures w14:val="standardContextual"/>
        </w:rPr>
      </w:pPr>
      <w:r w:rsidRPr="00113F13">
        <w:t>The TLRI observes that there currently exist only minor differences in the treatment of the personal information of deceased persons in State and Territory information privacy legislation, and the recent agreement of the Standing Council of Attorneys-General that uniform legislation would not be an appropriate solution to concerns about access to digital records after death.</w:t>
      </w:r>
      <w:r w:rsidRPr="00113F13">
        <w:rPr>
          <w:rStyle w:val="FootnoteReference"/>
          <w:rFonts w:ascii="Times New Roman" w:hAnsi="Times New Roman"/>
        </w:rPr>
        <w:footnoteReference w:id="225"/>
      </w:r>
      <w:r w:rsidRPr="00113F13">
        <w:t xml:space="preserve"> The jurisdictional differences relate to the duration of preservation of the privacy of that information, and the TLRI does not consider that these inconsistencies necessitate any changes to the PIPA. </w:t>
      </w:r>
    </w:p>
    <w:p w14:paraId="2B14E876" w14:textId="77777777" w:rsidR="00FF302D" w:rsidRPr="00113F13" w:rsidRDefault="00FF302D" w:rsidP="00BF1FE7">
      <w:pPr>
        <w:pStyle w:val="NumberedHeadingTLRI"/>
      </w:pPr>
      <w:bookmarkStart w:id="205" w:name="_Toc164606545"/>
      <w:r w:rsidRPr="00113F13">
        <w:t>Recommendations</w:t>
      </w:r>
      <w:bookmarkEnd w:id="2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0067D0" w:rsidRPr="00113F13" w14:paraId="06468196" w14:textId="77777777" w:rsidTr="000067D0">
        <w:tc>
          <w:tcPr>
            <w:tcW w:w="9016" w:type="dxa"/>
            <w:shd w:val="clear" w:color="auto" w:fill="E8E8E8" w:themeFill="background2"/>
          </w:tcPr>
          <w:p w14:paraId="71B7E026" w14:textId="77777777" w:rsidR="000067D0" w:rsidRPr="00113F13" w:rsidRDefault="000067D0" w:rsidP="000067D0">
            <w:pPr>
              <w:spacing w:before="120"/>
              <w:rPr>
                <w:rFonts w:cs="Times New Roman"/>
              </w:rPr>
            </w:pPr>
            <w:r w:rsidRPr="00113F13">
              <w:rPr>
                <w:rFonts w:cs="Times New Roman"/>
                <w:b/>
                <w:bCs/>
              </w:rPr>
              <w:t xml:space="preserve">Recommendation 1: </w:t>
            </w:r>
            <w:r w:rsidRPr="00113F13">
              <w:rPr>
                <w:rFonts w:cs="Times New Roman"/>
              </w:rPr>
              <w:t>The definition of ‘personal information’ in the PIPA should be amended to:</w:t>
            </w:r>
          </w:p>
          <w:p w14:paraId="361EF6E2" w14:textId="77777777" w:rsidR="000067D0" w:rsidRPr="00113F13" w:rsidRDefault="000067D0" w:rsidP="00B63604">
            <w:pPr>
              <w:pStyle w:val="Dotpointlist"/>
              <w:numPr>
                <w:ilvl w:val="0"/>
                <w:numId w:val="45"/>
              </w:numPr>
              <w:spacing w:before="120" w:after="0" w:line="240" w:lineRule="auto"/>
              <w:jc w:val="both"/>
              <w:rPr>
                <w:rFonts w:ascii="Times New Roman" w:hAnsi="Times New Roman" w:cs="Times New Roman"/>
              </w:rPr>
            </w:pPr>
            <w:r w:rsidRPr="00113F13">
              <w:rPr>
                <w:rFonts w:ascii="Times New Roman" w:hAnsi="Times New Roman" w:cs="Times New Roman"/>
              </w:rPr>
              <w:t>replace ‘about’ with ‘relating to’; and</w:t>
            </w:r>
          </w:p>
          <w:p w14:paraId="5CF2174A" w14:textId="77777777" w:rsidR="000067D0" w:rsidRPr="00113F13" w:rsidRDefault="000067D0" w:rsidP="00B63604">
            <w:pPr>
              <w:pStyle w:val="Dotpointlist"/>
              <w:numPr>
                <w:ilvl w:val="0"/>
                <w:numId w:val="45"/>
              </w:numPr>
              <w:spacing w:before="120" w:after="0" w:line="240" w:lineRule="auto"/>
              <w:jc w:val="both"/>
              <w:rPr>
                <w:rFonts w:ascii="Times New Roman" w:hAnsi="Times New Roman" w:cs="Times New Roman"/>
              </w:rPr>
            </w:pPr>
            <w:r w:rsidRPr="00113F13">
              <w:rPr>
                <w:rFonts w:ascii="Times New Roman" w:hAnsi="Times New Roman" w:cs="Times New Roman"/>
              </w:rPr>
              <w:t>introduce a non-exhaustive list of information that may fall within the definition of personal information.</w:t>
            </w:r>
          </w:p>
          <w:p w14:paraId="4E744DE5" w14:textId="77777777" w:rsidR="000067D0" w:rsidRPr="00113F13" w:rsidRDefault="000067D0" w:rsidP="000067D0">
            <w:pPr>
              <w:spacing w:before="120"/>
              <w:rPr>
                <w:rFonts w:cs="Times New Roman"/>
              </w:rPr>
            </w:pPr>
            <w:r w:rsidRPr="00113F13">
              <w:rPr>
                <w:rFonts w:cs="Times New Roman"/>
                <w:b/>
                <w:bCs/>
              </w:rPr>
              <w:t xml:space="preserve">Recommendation 2: </w:t>
            </w:r>
            <w:r w:rsidRPr="00113F13">
              <w:rPr>
                <w:rFonts w:cs="Times New Roman"/>
              </w:rPr>
              <w:t>Further consideration should be given to:</w:t>
            </w:r>
          </w:p>
          <w:p w14:paraId="5EDD2620" w14:textId="77777777" w:rsidR="000067D0" w:rsidRPr="00113F13" w:rsidRDefault="000067D0" w:rsidP="00B63604">
            <w:pPr>
              <w:pStyle w:val="Dotpointlist"/>
              <w:numPr>
                <w:ilvl w:val="0"/>
                <w:numId w:val="9"/>
              </w:numPr>
              <w:spacing w:before="120" w:after="0" w:line="240" w:lineRule="auto"/>
              <w:jc w:val="both"/>
              <w:rPr>
                <w:rFonts w:ascii="Times New Roman" w:hAnsi="Times New Roman" w:cs="Times New Roman"/>
              </w:rPr>
            </w:pPr>
            <w:r w:rsidRPr="00113F13">
              <w:rPr>
                <w:rFonts w:ascii="Times New Roman" w:hAnsi="Times New Roman" w:cs="Times New Roman"/>
              </w:rPr>
              <w:t>amending the definition of ‘personal information’ by replacing ‘reasonably ascertainable’ with ‘reasonably identifiable’; and</w:t>
            </w:r>
          </w:p>
          <w:p w14:paraId="650C94F4" w14:textId="77777777" w:rsidR="000067D0" w:rsidRPr="00113F13" w:rsidRDefault="000067D0" w:rsidP="00B63604">
            <w:pPr>
              <w:pStyle w:val="Dotpointlist"/>
              <w:numPr>
                <w:ilvl w:val="0"/>
                <w:numId w:val="9"/>
              </w:numPr>
              <w:spacing w:before="120" w:after="0" w:line="240" w:lineRule="auto"/>
              <w:jc w:val="both"/>
              <w:rPr>
                <w:rFonts w:ascii="Times New Roman" w:hAnsi="Times New Roman" w:cs="Times New Roman"/>
              </w:rPr>
            </w:pPr>
            <w:r w:rsidRPr="00113F13">
              <w:rPr>
                <w:rFonts w:ascii="Times New Roman" w:hAnsi="Times New Roman" w:cs="Times New Roman"/>
              </w:rPr>
              <w:t>providing further guidance for personal information custodians by inserting a non-exhaustive list of circumstances to which PIPA personal information custodians will be expected to have regard in assessing whether identity is ‘reasonably identifiable’.</w:t>
            </w:r>
          </w:p>
          <w:p w14:paraId="2EBB5418" w14:textId="77777777" w:rsidR="000067D0" w:rsidRPr="00113F13" w:rsidRDefault="000067D0" w:rsidP="000067D0">
            <w:pPr>
              <w:pStyle w:val="Dotpointlist"/>
              <w:numPr>
                <w:ilvl w:val="0"/>
                <w:numId w:val="0"/>
              </w:numPr>
              <w:spacing w:before="120" w:after="0"/>
              <w:jc w:val="both"/>
              <w:rPr>
                <w:rFonts w:ascii="Times New Roman" w:hAnsi="Times New Roman" w:cs="Times New Roman"/>
              </w:rPr>
            </w:pPr>
            <w:r w:rsidRPr="00113F13">
              <w:rPr>
                <w:rFonts w:ascii="Times New Roman" w:hAnsi="Times New Roman" w:cs="Times New Roman"/>
                <w:b/>
                <w:bCs/>
              </w:rPr>
              <w:t xml:space="preserve">Recommendation 3: </w:t>
            </w:r>
            <w:r w:rsidRPr="00113F13">
              <w:rPr>
                <w:rFonts w:ascii="Times New Roman" w:hAnsi="Times New Roman" w:cs="Times New Roman"/>
              </w:rPr>
              <w:t xml:space="preserve">The PIPA should be amended to insert a definition of ‘de-identified’ that is consistent with the definition in the </w:t>
            </w:r>
            <w:r w:rsidRPr="00113F13">
              <w:rPr>
                <w:rFonts w:ascii="Times New Roman" w:hAnsi="Times New Roman" w:cs="Times New Roman"/>
                <w:i/>
                <w:iCs/>
              </w:rPr>
              <w:t xml:space="preserve">Privacy Act 1988 </w:t>
            </w:r>
            <w:r w:rsidRPr="00113F13">
              <w:rPr>
                <w:rFonts w:ascii="Times New Roman" w:hAnsi="Times New Roman" w:cs="Times New Roman"/>
              </w:rPr>
              <w:t>(Cth) and that clarifies that ‘de-identification is a process, informed by best available practice, applied to personal information which involves treating it in such a way such that no individual is identified or reasonably identifiable in the current context’.</w:t>
            </w:r>
            <w:r w:rsidRPr="00113F13">
              <w:rPr>
                <w:rStyle w:val="FootnoteReference"/>
                <w:rFonts w:ascii="Times New Roman" w:hAnsi="Times New Roman" w:cs="Times New Roman"/>
              </w:rPr>
              <w:footnoteReference w:id="226"/>
            </w:r>
          </w:p>
          <w:p w14:paraId="6395F56F" w14:textId="77777777" w:rsidR="000067D0" w:rsidRPr="00113F13" w:rsidRDefault="000067D0" w:rsidP="000067D0">
            <w:pPr>
              <w:pStyle w:val="Dotpointlist"/>
              <w:numPr>
                <w:ilvl w:val="0"/>
                <w:numId w:val="0"/>
              </w:numPr>
              <w:spacing w:before="120" w:after="0"/>
              <w:jc w:val="both"/>
              <w:rPr>
                <w:rFonts w:ascii="Times New Roman" w:hAnsi="Times New Roman" w:cs="Times New Roman"/>
              </w:rPr>
            </w:pPr>
            <w:r w:rsidRPr="00113F13">
              <w:rPr>
                <w:rFonts w:ascii="Times New Roman" w:hAnsi="Times New Roman" w:cs="Times New Roman"/>
                <w:b/>
                <w:bCs/>
              </w:rPr>
              <w:t>Recommendation 4:</w:t>
            </w:r>
            <w:r w:rsidRPr="00113F13">
              <w:rPr>
                <w:rFonts w:ascii="Times New Roman" w:hAnsi="Times New Roman" w:cs="Times New Roman"/>
              </w:rPr>
              <w:t xml:space="preserve"> Further consideration should be given to whether the PIPA should be amended to:</w:t>
            </w:r>
          </w:p>
          <w:p w14:paraId="0AF57F91" w14:textId="77777777" w:rsidR="000067D0" w:rsidRPr="00113F13" w:rsidRDefault="000067D0" w:rsidP="00B63604">
            <w:pPr>
              <w:pStyle w:val="Dotpointlist"/>
              <w:numPr>
                <w:ilvl w:val="0"/>
                <w:numId w:val="8"/>
              </w:numPr>
              <w:spacing w:before="120" w:after="0" w:line="240" w:lineRule="auto"/>
              <w:jc w:val="both"/>
              <w:rPr>
                <w:rFonts w:ascii="Times New Roman" w:hAnsi="Times New Roman" w:cs="Times New Roman"/>
              </w:rPr>
            </w:pPr>
            <w:r w:rsidRPr="00113F13">
              <w:rPr>
                <w:rFonts w:ascii="Times New Roman" w:hAnsi="Times New Roman" w:cs="Times New Roman"/>
              </w:rPr>
              <w:t>introduce a criminal offence for ‘malicious re-identification’ of de-identified information where there is an intention to harm or obtain an illegitimate benefit;</w:t>
            </w:r>
            <w:r w:rsidRPr="00113F13">
              <w:rPr>
                <w:rStyle w:val="FootnoteReference"/>
                <w:rFonts w:ascii="Times New Roman" w:hAnsi="Times New Roman" w:cs="Times New Roman"/>
              </w:rPr>
              <w:footnoteReference w:id="227"/>
            </w:r>
            <w:r w:rsidRPr="00113F13">
              <w:rPr>
                <w:rFonts w:ascii="Times New Roman" w:hAnsi="Times New Roman" w:cs="Times New Roman"/>
              </w:rPr>
              <w:t xml:space="preserve"> and/or</w:t>
            </w:r>
          </w:p>
          <w:p w14:paraId="799E060E" w14:textId="77777777" w:rsidR="000067D0" w:rsidRPr="00113F13" w:rsidRDefault="000067D0" w:rsidP="00B63604">
            <w:pPr>
              <w:pStyle w:val="Dotpointlist"/>
              <w:numPr>
                <w:ilvl w:val="0"/>
                <w:numId w:val="8"/>
              </w:numPr>
              <w:spacing w:before="120" w:after="0" w:line="240" w:lineRule="auto"/>
              <w:jc w:val="both"/>
              <w:rPr>
                <w:rFonts w:ascii="Times New Roman" w:hAnsi="Times New Roman" w:cs="Times New Roman"/>
              </w:rPr>
            </w:pPr>
            <w:r w:rsidRPr="00113F13">
              <w:rPr>
                <w:rFonts w:ascii="Times New Roman" w:hAnsi="Times New Roman" w:cs="Times New Roman"/>
              </w:rPr>
              <w:t>introduce a prohibition on PIPA personal information custodians from re-identifying information obtained from a source other than the individual to whom the information relates.</w:t>
            </w:r>
            <w:r w:rsidRPr="00113F13">
              <w:rPr>
                <w:rStyle w:val="FootnoteReference"/>
                <w:rFonts w:ascii="Times New Roman" w:hAnsi="Times New Roman" w:cs="Times New Roman"/>
              </w:rPr>
              <w:footnoteReference w:id="228"/>
            </w:r>
          </w:p>
          <w:p w14:paraId="634C6EE0" w14:textId="54539293" w:rsidR="000067D0" w:rsidRPr="00113F13" w:rsidRDefault="000067D0" w:rsidP="000067D0">
            <w:pPr>
              <w:pStyle w:val="Dotpointlist"/>
              <w:numPr>
                <w:ilvl w:val="0"/>
                <w:numId w:val="0"/>
              </w:numPr>
              <w:spacing w:before="120" w:after="0" w:line="240" w:lineRule="auto"/>
              <w:ind w:left="720"/>
              <w:jc w:val="both"/>
              <w:rPr>
                <w:rFonts w:ascii="Times New Roman" w:hAnsi="Times New Roman" w:cs="Times New Roman"/>
              </w:rPr>
            </w:pPr>
          </w:p>
        </w:tc>
      </w:tr>
    </w:tbl>
    <w:p w14:paraId="58B5921A" w14:textId="77777777" w:rsidR="00BB54FB" w:rsidRDefault="00BB54FB" w:rsidP="00BB54FB">
      <w:pPr>
        <w:pStyle w:val="NumberedHeadingTLRI"/>
        <w:numPr>
          <w:ilvl w:val="0"/>
          <w:numId w:val="0"/>
        </w:numPr>
        <w:ind w:left="720" w:hanging="720"/>
      </w:pPr>
      <w:bookmarkStart w:id="206" w:name="_Types_of_information"/>
      <w:bookmarkStart w:id="207" w:name="_Ref90071142"/>
      <w:bookmarkStart w:id="208" w:name="_Toc91831998"/>
      <w:bookmarkStart w:id="209" w:name="_Toc130540432"/>
      <w:bookmarkStart w:id="210" w:name="_Toc164606546"/>
      <w:bookmarkEnd w:id="206"/>
    </w:p>
    <w:p w14:paraId="40807BAC" w14:textId="48B2E741" w:rsidR="00FF302D" w:rsidRPr="00113F13" w:rsidRDefault="00FF302D" w:rsidP="00BF1FE7">
      <w:pPr>
        <w:pStyle w:val="NumberedHeadingTLRI"/>
      </w:pPr>
      <w:r w:rsidRPr="00113F13">
        <w:lastRenderedPageBreak/>
        <w:t>Types of information given additional protection</w:t>
      </w:r>
      <w:bookmarkEnd w:id="207"/>
      <w:bookmarkEnd w:id="208"/>
      <w:bookmarkEnd w:id="209"/>
      <w:r w:rsidRPr="00113F13">
        <w:t xml:space="preserve"> in the PIPA</w:t>
      </w:r>
      <w:bookmarkEnd w:id="210"/>
    </w:p>
    <w:p w14:paraId="1C15571E" w14:textId="77777777" w:rsidR="00FF302D" w:rsidRPr="00113F13" w:rsidRDefault="00FF302D" w:rsidP="000067D0">
      <w:pPr>
        <w:pStyle w:val="Headingunnumbered"/>
        <w:rPr>
          <w:rFonts w:cs="Times New Roman"/>
        </w:rPr>
      </w:pPr>
      <w:bookmarkStart w:id="211" w:name="_Toc164606547"/>
      <w:r w:rsidRPr="00113F13">
        <w:rPr>
          <w:rFonts w:cs="Times New Roman"/>
        </w:rPr>
        <w:t>The Tasmanian position</w:t>
      </w:r>
      <w:bookmarkEnd w:id="211"/>
    </w:p>
    <w:p w14:paraId="79BBE75F" w14:textId="77777777" w:rsidR="00FF302D" w:rsidRPr="00113F13" w:rsidRDefault="00FF302D" w:rsidP="00B63604">
      <w:pPr>
        <w:pStyle w:val="NormalNumberedTextTLRI"/>
        <w:numPr>
          <w:ilvl w:val="2"/>
          <w:numId w:val="31"/>
        </w:numPr>
        <w:tabs>
          <w:tab w:val="clear" w:pos="720"/>
        </w:tabs>
        <w:spacing w:line="259" w:lineRule="auto"/>
      </w:pPr>
      <w:bookmarkStart w:id="212" w:name="_Ref129292460"/>
      <w:r w:rsidRPr="00113F13">
        <w:t>The PIPA distinguishes several categories of information that are subject to greater or lesser protection than personal information generally. These include basic information, health information, sensitive information, employee information, and law enforcement information. This sub-section discusses information that is subject to greater or additional protection</w:t>
      </w:r>
      <w:bookmarkEnd w:id="212"/>
      <w:r w:rsidRPr="00113F13">
        <w:t>.</w:t>
      </w:r>
    </w:p>
    <w:p w14:paraId="38A820AC" w14:textId="77777777" w:rsidR="00FF302D" w:rsidRPr="00113F13" w:rsidRDefault="00FF302D" w:rsidP="000067D0">
      <w:pPr>
        <w:pStyle w:val="Sub-HeadingTLRI"/>
      </w:pPr>
      <w:bookmarkStart w:id="213" w:name="_Toc164606548"/>
      <w:r w:rsidRPr="00113F13">
        <w:t>Sensitive information</w:t>
      </w:r>
      <w:bookmarkEnd w:id="213"/>
    </w:p>
    <w:p w14:paraId="24FA3563" w14:textId="77777777" w:rsidR="00FF302D" w:rsidRPr="00113F13" w:rsidRDefault="00FF302D" w:rsidP="00B63604">
      <w:pPr>
        <w:pStyle w:val="NormalNumberedTextTLRI"/>
        <w:numPr>
          <w:ilvl w:val="2"/>
          <w:numId w:val="31"/>
        </w:numPr>
        <w:tabs>
          <w:tab w:val="clear" w:pos="720"/>
        </w:tabs>
        <w:spacing w:line="259" w:lineRule="auto"/>
      </w:pPr>
      <w:bookmarkStart w:id="214" w:name="_Ref164771792"/>
      <w:r w:rsidRPr="00113F13">
        <w:t>Under the PIPA, certain types of personal information are classed as ‘sensitive information’; namely,</w:t>
      </w:r>
      <w:r w:rsidRPr="00113F13">
        <w:rPr>
          <w:rStyle w:val="FootnoteReference"/>
          <w:rFonts w:ascii="Times New Roman" w:hAnsi="Times New Roman"/>
        </w:rPr>
        <w:footnoteReference w:id="229"/>
      </w:r>
      <w:bookmarkEnd w:id="214"/>
    </w:p>
    <w:p w14:paraId="2DDED4B5" w14:textId="77777777" w:rsidR="00FF302D" w:rsidRPr="00113F13" w:rsidRDefault="00FF302D" w:rsidP="00FF302D">
      <w:pPr>
        <w:pStyle w:val="Blockquote"/>
        <w:rPr>
          <w:rFonts w:ascii="Times New Roman" w:hAnsi="Times New Roman" w:cs="Times New Roman"/>
        </w:rPr>
      </w:pPr>
      <w:r w:rsidRPr="00113F13">
        <w:rPr>
          <w:rFonts w:ascii="Times New Roman" w:hAnsi="Times New Roman" w:cs="Times New Roman"/>
        </w:rPr>
        <w:t>(a) personal information or an opinion relating to personal information about an individual’s –</w:t>
      </w:r>
    </w:p>
    <w:p w14:paraId="5892F101"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(i) racial or ethnic origin; or</w:t>
      </w:r>
    </w:p>
    <w:p w14:paraId="1834979F"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(ii) political opinions; or</w:t>
      </w:r>
    </w:p>
    <w:p w14:paraId="34A96396"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(iii) membership of a political association; or</w:t>
      </w:r>
    </w:p>
    <w:p w14:paraId="615E4D81"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(iv) religious beliefs or affiliations; or</w:t>
      </w:r>
    </w:p>
    <w:p w14:paraId="79D029CC"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(v) philosophical beliefs; or</w:t>
      </w:r>
    </w:p>
    <w:p w14:paraId="41E07271"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(vi) membership of a professional or trade association; or</w:t>
      </w:r>
    </w:p>
    <w:p w14:paraId="5A93324A"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(vii) membership of a trade union; or</w:t>
      </w:r>
    </w:p>
    <w:p w14:paraId="5BFD2788"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(viii) sexual preferences or practices; or</w:t>
      </w:r>
    </w:p>
    <w:p w14:paraId="19E286C4" w14:textId="77777777" w:rsidR="00FF302D" w:rsidRPr="00113F13" w:rsidRDefault="00FF302D" w:rsidP="00FF302D">
      <w:pPr>
        <w:pStyle w:val="Blockquote"/>
        <w:ind w:left="1440"/>
        <w:rPr>
          <w:rFonts w:ascii="Times New Roman" w:hAnsi="Times New Roman" w:cs="Times New Roman"/>
        </w:rPr>
      </w:pPr>
      <w:r w:rsidRPr="00113F13">
        <w:rPr>
          <w:rFonts w:ascii="Times New Roman" w:hAnsi="Times New Roman" w:cs="Times New Roman"/>
        </w:rPr>
        <w:t>(ix) criminal record; and</w:t>
      </w:r>
    </w:p>
    <w:p w14:paraId="2258D86F" w14:textId="77777777" w:rsidR="00FF302D" w:rsidRPr="00113F13" w:rsidRDefault="00FF302D" w:rsidP="00FF302D">
      <w:pPr>
        <w:pStyle w:val="Blockquote"/>
        <w:rPr>
          <w:rFonts w:ascii="Times New Roman" w:hAnsi="Times New Roman" w:cs="Times New Roman"/>
        </w:rPr>
      </w:pPr>
      <w:r w:rsidRPr="00113F13">
        <w:rPr>
          <w:rFonts w:ascii="Times New Roman" w:hAnsi="Times New Roman" w:cs="Times New Roman"/>
        </w:rPr>
        <w:t>(b) health information about an individual.</w:t>
      </w:r>
    </w:p>
    <w:p w14:paraId="4573DBE3" w14:textId="0CEF1ADE" w:rsidR="000067D0" w:rsidRPr="00113F13" w:rsidRDefault="00FF302D" w:rsidP="00B63604">
      <w:pPr>
        <w:pStyle w:val="NormalNumberedTextTLRI"/>
        <w:numPr>
          <w:ilvl w:val="2"/>
          <w:numId w:val="31"/>
        </w:numPr>
        <w:tabs>
          <w:tab w:val="clear" w:pos="720"/>
        </w:tabs>
        <w:spacing w:line="259" w:lineRule="auto"/>
      </w:pPr>
      <w:bookmarkStart w:id="215" w:name="_Ref147747008"/>
      <w:r w:rsidRPr="00113F13">
        <w:t>The handling of personal information that is ‘sensitive information’ is generally subject to more, or more stringent, requirements under the PIPPs. First, use or disclosure of sensitive information by a personal information custodian is only permitted where the use or disclosure is</w:t>
      </w:r>
      <w:r w:rsidRPr="288D8F58">
        <w:rPr>
          <w:rStyle w:val="CommentReference"/>
          <w:rFonts w:eastAsiaTheme="minorEastAsia"/>
        </w:rPr>
        <w:t xml:space="preserve"> </w:t>
      </w:r>
      <w:r w:rsidRPr="288D8F58">
        <w:rPr>
          <w:i/>
          <w:iCs/>
        </w:rPr>
        <w:t>directly</w:t>
      </w:r>
      <w:r w:rsidRPr="00113F13">
        <w:t xml:space="preserve"> related—rather than related, </w:t>
      </w:r>
      <w:r w:rsidRPr="288D8F58">
        <w:rPr>
          <w:i/>
          <w:iCs/>
        </w:rPr>
        <w:t>simpliciter</w:t>
      </w:r>
      <w:r w:rsidRPr="00113F13">
        <w:t>—to the primary purpose for which the information was collected.</w:t>
      </w:r>
      <w:r w:rsidRPr="00113F13">
        <w:rPr>
          <w:rStyle w:val="FootnoteReference"/>
          <w:rFonts w:ascii="Times New Roman" w:hAnsi="Times New Roman"/>
        </w:rPr>
        <w:footnoteReference w:id="230"/>
      </w:r>
      <w:r w:rsidRPr="00113F13">
        <w:t xml:space="preserve"> Secondly, the collection of sensitive information generally requires the consent of the individual concerned, except where the PIPA specifies otherwise. For example, the Act provides exceptions where collection is required or permitted by law, or where it is necessary to prevent or lessen serious and imminent threat to life or health. The treatment of sensitive information in the PIPPs is discussed in more detail </w:t>
      </w:r>
      <w:r w:rsidRPr="00E51CFF">
        <w:t xml:space="preserve">in </w:t>
      </w:r>
      <w:r w:rsidRPr="00EA22F8">
        <w:t>Part 5</w:t>
      </w:r>
      <w:r w:rsidRPr="00113F13">
        <w:t xml:space="preserve"> of this Report.</w:t>
      </w:r>
      <w:r w:rsidRPr="00113F13">
        <w:rPr>
          <w:rStyle w:val="FootnoteReference"/>
          <w:rFonts w:ascii="Times New Roman" w:hAnsi="Times New Roman"/>
        </w:rPr>
        <w:footnoteReference w:id="231"/>
      </w:r>
      <w:bookmarkEnd w:id="215"/>
    </w:p>
    <w:p w14:paraId="6F187429" w14:textId="77777777" w:rsidR="00BB54FB" w:rsidRDefault="00BB54FB" w:rsidP="000067D0">
      <w:pPr>
        <w:pStyle w:val="Sub-HeadingTLRI"/>
      </w:pPr>
      <w:bookmarkStart w:id="216" w:name="_Toc164606549"/>
    </w:p>
    <w:p w14:paraId="08C76AD6" w14:textId="6A3785E4" w:rsidR="00FF302D" w:rsidRPr="00113F13" w:rsidRDefault="00FF302D" w:rsidP="000067D0">
      <w:pPr>
        <w:pStyle w:val="Sub-HeadingTLRI"/>
      </w:pPr>
      <w:r w:rsidRPr="00113F13">
        <w:lastRenderedPageBreak/>
        <w:t>Health information</w:t>
      </w:r>
      <w:bookmarkEnd w:id="216"/>
    </w:p>
    <w:p w14:paraId="655A3F46" w14:textId="77777777" w:rsidR="00FF302D" w:rsidRPr="001A1B7C" w:rsidRDefault="00FF302D" w:rsidP="00B63604">
      <w:pPr>
        <w:pStyle w:val="NormalNumberedTextTLRI"/>
        <w:numPr>
          <w:ilvl w:val="2"/>
          <w:numId w:val="31"/>
        </w:numPr>
        <w:tabs>
          <w:tab w:val="clear" w:pos="720"/>
        </w:tabs>
        <w:spacing w:line="259" w:lineRule="auto"/>
      </w:pPr>
      <w:bookmarkStart w:id="217" w:name="_Health_information_is"/>
      <w:bookmarkStart w:id="218" w:name="_Toc164600278"/>
      <w:bookmarkStart w:id="219" w:name="_Ref164770204"/>
      <w:bookmarkEnd w:id="217"/>
      <w:r w:rsidRPr="00EA22F8">
        <w:rPr>
          <w:rStyle w:val="Heading3Char"/>
          <w:rFonts w:ascii="Times New Roman" w:hAnsi="Times New Roman" w:cs="Times New Roman"/>
          <w:color w:val="auto"/>
        </w:rPr>
        <w:t>As noted above, health information is one category of personal information that the PIPA characterises as ‘sensitive information’.</w:t>
      </w:r>
      <w:bookmarkEnd w:id="218"/>
      <w:r w:rsidRPr="001A1B7C">
        <w:rPr>
          <w:rStyle w:val="FootnoteReference"/>
          <w:rFonts w:ascii="Times New Roman" w:hAnsi="Times New Roman"/>
        </w:rPr>
        <w:footnoteReference w:id="232"/>
      </w:r>
      <w:r w:rsidRPr="00EA22F8">
        <w:rPr>
          <w:rStyle w:val="Heading3Char"/>
          <w:rFonts w:ascii="Times New Roman" w:hAnsi="Times New Roman" w:cs="Times New Roman"/>
          <w:color w:val="auto"/>
        </w:rPr>
        <w:t xml:space="preserve"> The PIPA defines health information by reference to two categories: (i) the nature of the information; and (ii) where the information has</w:t>
      </w:r>
      <w:r w:rsidRPr="001A1B7C">
        <w:t xml:space="preserve"> been collected.</w:t>
      </w:r>
      <w:bookmarkEnd w:id="219"/>
      <w:r w:rsidRPr="001A1B7C">
        <w:t xml:space="preserve"> </w:t>
      </w:r>
    </w:p>
    <w:p w14:paraId="523A4EB9" w14:textId="77777777" w:rsidR="00FF302D" w:rsidRPr="00113F13" w:rsidRDefault="00FF302D" w:rsidP="00B63604">
      <w:pPr>
        <w:pStyle w:val="NormalNumberedTextTLRI"/>
        <w:numPr>
          <w:ilvl w:val="2"/>
          <w:numId w:val="31"/>
        </w:numPr>
        <w:tabs>
          <w:tab w:val="clear" w:pos="720"/>
        </w:tabs>
        <w:spacing w:line="259" w:lineRule="auto"/>
      </w:pPr>
      <w:r w:rsidRPr="00113F13">
        <w:t>In relation to the first category, the PIPA defines health information to mean ‘personal information or opinion about’:</w:t>
      </w:r>
    </w:p>
    <w:p w14:paraId="21EAF76F" w14:textId="77777777" w:rsidR="00FF302D" w:rsidRPr="00113F13" w:rsidRDefault="00FF302D" w:rsidP="000067D0">
      <w:pPr>
        <w:pStyle w:val="DotPointTLRI"/>
      </w:pPr>
      <w:bookmarkStart w:id="220" w:name="GS3@Nd37335358865741@Hpa@Hqi@EN"/>
      <w:bookmarkStart w:id="221" w:name="GS3@Nd37335358865741@Hpa@Hqii@EN"/>
      <w:bookmarkStart w:id="222" w:name="GS3@Nd37335358865741@Hpa@Hqiii@EN"/>
      <w:bookmarkStart w:id="223" w:name="GS3@Nd37335358865741@Hpa@Hqiv@EN"/>
      <w:bookmarkEnd w:id="220"/>
      <w:bookmarkEnd w:id="221"/>
      <w:bookmarkEnd w:id="222"/>
      <w:bookmarkEnd w:id="223"/>
      <w:r w:rsidRPr="00113F13">
        <w:t>the physical, mental, or psychological health at any time of an individual;</w:t>
      </w:r>
    </w:p>
    <w:p w14:paraId="4E232A33" w14:textId="77777777" w:rsidR="00FF302D" w:rsidRPr="00113F13" w:rsidRDefault="00FF302D" w:rsidP="000067D0">
      <w:pPr>
        <w:pStyle w:val="DotPointTLRI"/>
      </w:pPr>
      <w:r w:rsidRPr="00113F13">
        <w:t>a disability at any time of the individual;</w:t>
      </w:r>
    </w:p>
    <w:p w14:paraId="3616CE4E" w14:textId="77777777" w:rsidR="00FF302D" w:rsidRPr="00113F13" w:rsidRDefault="00FF302D" w:rsidP="000067D0">
      <w:pPr>
        <w:pStyle w:val="DotPointTLRI"/>
      </w:pPr>
      <w:r w:rsidRPr="00113F13">
        <w:t xml:space="preserve">an individual’s expressed wishes about the future provision of health services to them; and </w:t>
      </w:r>
    </w:p>
    <w:p w14:paraId="23F54FC5" w14:textId="77777777" w:rsidR="00FF302D" w:rsidRPr="00113F13" w:rsidRDefault="00FF302D" w:rsidP="000067D0">
      <w:pPr>
        <w:pStyle w:val="DotPointTLRI"/>
      </w:pPr>
      <w:r w:rsidRPr="00113F13">
        <w:t>a health services provided, or to be provided, to an individual.</w:t>
      </w:r>
      <w:r w:rsidRPr="00113F13">
        <w:rPr>
          <w:rStyle w:val="FootnoteReference"/>
          <w:rFonts w:ascii="Times New Roman" w:hAnsi="Times New Roman"/>
        </w:rPr>
        <w:footnoteReference w:id="233"/>
      </w:r>
      <w:r w:rsidRPr="00113F13">
        <w:t xml:space="preserve"> </w:t>
      </w:r>
    </w:p>
    <w:p w14:paraId="1501EC58" w14:textId="77777777" w:rsidR="00FF302D" w:rsidRPr="00113F13" w:rsidRDefault="00FF302D" w:rsidP="00B63604">
      <w:pPr>
        <w:pStyle w:val="NormalNumberedTextTLRI"/>
        <w:numPr>
          <w:ilvl w:val="2"/>
          <w:numId w:val="31"/>
        </w:numPr>
        <w:tabs>
          <w:tab w:val="clear" w:pos="720"/>
        </w:tabs>
        <w:spacing w:line="259" w:lineRule="auto"/>
      </w:pPr>
      <w:bookmarkStart w:id="224" w:name="_Ref149740797"/>
      <w:bookmarkStart w:id="225" w:name="_Hlk149740653"/>
      <w:r w:rsidRPr="00113F13">
        <w:t>It is unclear why this definition refers to ‘personal information or opinion’ about a person’s health, given that the definition of ‘personal information’ encompasses an opinion about an individual.</w:t>
      </w:r>
      <w:r w:rsidRPr="00113F13">
        <w:rPr>
          <w:rStyle w:val="FootnoteReference"/>
          <w:rFonts w:ascii="Times New Roman" w:hAnsi="Times New Roman"/>
        </w:rPr>
        <w:footnoteReference w:id="234"/>
      </w:r>
      <w:bookmarkEnd w:id="224"/>
    </w:p>
    <w:p w14:paraId="05D4B328" w14:textId="77777777" w:rsidR="00FF302D" w:rsidRPr="00113F13" w:rsidRDefault="00FF302D" w:rsidP="00B63604">
      <w:pPr>
        <w:pStyle w:val="NormalNumberedTextTLRI"/>
        <w:numPr>
          <w:ilvl w:val="2"/>
          <w:numId w:val="31"/>
        </w:numPr>
        <w:tabs>
          <w:tab w:val="clear" w:pos="720"/>
        </w:tabs>
        <w:spacing w:line="259" w:lineRule="auto"/>
      </w:pPr>
      <w:bookmarkStart w:id="226" w:name="_Toc91536465"/>
      <w:bookmarkStart w:id="227" w:name="_Toc91536466"/>
      <w:bookmarkStart w:id="228" w:name="_Toc91536467"/>
      <w:bookmarkStart w:id="229" w:name="_Ref91765428"/>
      <w:bookmarkEnd w:id="225"/>
      <w:bookmarkEnd w:id="226"/>
      <w:bookmarkEnd w:id="227"/>
      <w:bookmarkEnd w:id="228"/>
      <w:r w:rsidRPr="00113F13">
        <w:t>In relation to the second category, the definition of ‘health information’ encompasses:</w:t>
      </w:r>
      <w:r w:rsidRPr="00113F13">
        <w:rPr>
          <w:rStyle w:val="FootnoteReference"/>
          <w:rFonts w:ascii="Times New Roman" w:hAnsi="Times New Roman"/>
        </w:rPr>
        <w:footnoteReference w:id="235"/>
      </w:r>
      <w:bookmarkEnd w:id="229"/>
      <w:r w:rsidRPr="00113F13">
        <w:t xml:space="preserve"> </w:t>
      </w:r>
    </w:p>
    <w:p w14:paraId="4BE9A813" w14:textId="2263FA5A" w:rsidR="00FF302D" w:rsidRPr="00113F13" w:rsidRDefault="00FF302D" w:rsidP="000067D0">
      <w:pPr>
        <w:pStyle w:val="DotPointTLRI"/>
      </w:pPr>
      <w:bookmarkStart w:id="230" w:name="GS3@Nd37335358865741@Hpc@EN"/>
      <w:bookmarkStart w:id="231" w:name="GS3@Nd37335358865741@Hpd@EN"/>
      <w:bookmarkEnd w:id="230"/>
      <w:bookmarkEnd w:id="231"/>
      <w:r w:rsidRPr="00113F13">
        <w:t>other personal information collected in providing a health service;</w:t>
      </w:r>
      <w:r w:rsidRPr="00113F13">
        <w:rPr>
          <w:rStyle w:val="FootnoteReference"/>
          <w:rFonts w:ascii="Times New Roman" w:hAnsi="Times New Roman"/>
        </w:rPr>
        <w:footnoteReference w:id="236"/>
      </w:r>
      <w:r w:rsidRPr="00113F13">
        <w:t xml:space="preserve"> </w:t>
      </w:r>
    </w:p>
    <w:p w14:paraId="5DE1B0A0" w14:textId="77777777" w:rsidR="00FF302D" w:rsidRPr="00113F13" w:rsidRDefault="00FF302D" w:rsidP="000067D0">
      <w:pPr>
        <w:pStyle w:val="DotPointTLRI"/>
      </w:pPr>
      <w:r w:rsidRPr="00113F13">
        <w:t>other personal information collected in connection with body part, organ, or body substance donation; and</w:t>
      </w:r>
    </w:p>
    <w:p w14:paraId="3641CE28" w14:textId="77777777" w:rsidR="00FF302D" w:rsidRPr="00113F13" w:rsidRDefault="00FF302D" w:rsidP="000067D0">
      <w:pPr>
        <w:pStyle w:val="DotPointTLRI"/>
      </w:pPr>
      <w:r w:rsidRPr="00113F13">
        <w:t>genetic information about an individual that is or may be predictive of the individual’s or their descendants’ health.</w:t>
      </w:r>
      <w:r w:rsidRPr="00113F13">
        <w:rPr>
          <w:rStyle w:val="FootnoteReference"/>
          <w:rFonts w:ascii="Times New Roman" w:hAnsi="Times New Roman"/>
        </w:rPr>
        <w:footnoteReference w:id="237"/>
      </w:r>
    </w:p>
    <w:p w14:paraId="158E9AD1" w14:textId="77777777" w:rsidR="00FF302D" w:rsidRPr="00113F13" w:rsidRDefault="00FF302D" w:rsidP="00B63604">
      <w:pPr>
        <w:pStyle w:val="NormalNumberedTextTLRI"/>
        <w:numPr>
          <w:ilvl w:val="2"/>
          <w:numId w:val="31"/>
        </w:numPr>
        <w:tabs>
          <w:tab w:val="clear" w:pos="720"/>
        </w:tabs>
        <w:spacing w:line="259" w:lineRule="auto"/>
      </w:pPr>
      <w:bookmarkStart w:id="232" w:name="_Ref164770333"/>
      <w:r w:rsidRPr="00113F13">
        <w:t>The description of genetic information is the only form of health information defined in the PIPA that does not use the term ‘personal information’.</w:t>
      </w:r>
      <w:r w:rsidRPr="00113F13">
        <w:rPr>
          <w:rStyle w:val="FootnoteReference"/>
          <w:rFonts w:ascii="Times New Roman" w:hAnsi="Times New Roman"/>
        </w:rPr>
        <w:footnoteReference w:id="238"/>
      </w:r>
      <w:r w:rsidRPr="00113F13">
        <w:t xml:space="preserve"> </w:t>
      </w:r>
      <w:bookmarkStart w:id="233" w:name="_Toc91536470"/>
      <w:bookmarkStart w:id="234" w:name="_Toc91536471"/>
      <w:bookmarkStart w:id="235" w:name="_Toc91536472"/>
      <w:bookmarkStart w:id="236" w:name="_Toc91536473"/>
      <w:bookmarkStart w:id="237" w:name="_Ref91749316"/>
      <w:bookmarkEnd w:id="233"/>
      <w:bookmarkEnd w:id="234"/>
      <w:bookmarkEnd w:id="235"/>
      <w:bookmarkEnd w:id="236"/>
      <w:r w:rsidRPr="00113F13">
        <w:t xml:space="preserve">It is therefore unclear whether that aspect of the definition is broader, in the sense that it may include information which is not personal information. </w:t>
      </w:r>
      <w:r w:rsidRPr="00113F13">
        <w:lastRenderedPageBreak/>
        <w:t>It is also unclear whether it is confined to information that only relates to an individual that is predictive of the individual’s or their descendants’ health or whether it also includes information about that individual’s genetic relatives, which may be predictive of that individual’s own health.</w:t>
      </w:r>
      <w:bookmarkEnd w:id="232"/>
      <w:bookmarkEnd w:id="237"/>
    </w:p>
    <w:p w14:paraId="1AD605F1" w14:textId="3B3806FD" w:rsidR="00FF302D" w:rsidRPr="00113F13" w:rsidRDefault="00FF302D" w:rsidP="00B63604">
      <w:pPr>
        <w:pStyle w:val="NormalNumberedTextTLRI"/>
        <w:numPr>
          <w:ilvl w:val="2"/>
          <w:numId w:val="31"/>
        </w:numPr>
        <w:tabs>
          <w:tab w:val="clear" w:pos="720"/>
        </w:tabs>
        <w:spacing w:line="259" w:lineRule="auto"/>
      </w:pPr>
      <w:r w:rsidRPr="00113F13">
        <w:t xml:space="preserve">As a category of sensitive information, health information is subject to the additional protections under the </w:t>
      </w:r>
      <w:r w:rsidRPr="007178AE">
        <w:t xml:space="preserve">PIPPs </w:t>
      </w:r>
      <w:r w:rsidRPr="00EA22F8">
        <w:t>described at [</w:t>
      </w:r>
      <w:r w:rsidR="007178AE" w:rsidRPr="00EA22F8">
        <w:fldChar w:fldCharType="begin"/>
      </w:r>
      <w:r w:rsidR="007178AE" w:rsidRPr="00EA22F8">
        <w:instrText xml:space="preserve"> REF _Ref147747008 \r \h </w:instrText>
      </w:r>
      <w:r w:rsidR="007178AE">
        <w:instrText xml:space="preserve"> \* MERGEFORMAT </w:instrText>
      </w:r>
      <w:r w:rsidR="007178AE" w:rsidRPr="00EA22F8">
        <w:fldChar w:fldCharType="separate"/>
      </w:r>
      <w:r w:rsidR="00462C30">
        <w:rPr>
          <w:cs/>
        </w:rPr>
        <w:t>‎</w:t>
      </w:r>
      <w:r w:rsidR="00462C30">
        <w:t>4.7.3</w:t>
      </w:r>
      <w:r w:rsidR="007178AE" w:rsidRPr="00EA22F8">
        <w:fldChar w:fldCharType="end"/>
      </w:r>
      <w:r w:rsidRPr="00EA22F8">
        <w:t>] abov</w:t>
      </w:r>
      <w:r w:rsidRPr="007178AE">
        <w:t>e</w:t>
      </w:r>
      <w:r w:rsidRPr="00113F13">
        <w:t>. However, certain exceptions to PIPA restrictions are available in relation to health information that do not apply to other types of sensitive information.</w:t>
      </w:r>
    </w:p>
    <w:p w14:paraId="1FAEA301" w14:textId="77777777" w:rsidR="00FF302D" w:rsidRPr="00113F13" w:rsidRDefault="00FF302D" w:rsidP="00B63604">
      <w:pPr>
        <w:pStyle w:val="NormalNumberedTextTLRI"/>
        <w:numPr>
          <w:ilvl w:val="2"/>
          <w:numId w:val="31"/>
        </w:numPr>
        <w:tabs>
          <w:tab w:val="clear" w:pos="720"/>
        </w:tabs>
        <w:spacing w:line="259" w:lineRule="auto"/>
      </w:pPr>
      <w:r w:rsidRPr="00113F13">
        <w:t>For example, under PIPP 2, a health service can disclose health information about an individual to a relative or responsible person for certain specified purposes where the individual is unable to give or communicate consent.</w:t>
      </w:r>
      <w:r w:rsidRPr="00113F13">
        <w:rPr>
          <w:rStyle w:val="FootnoteReference"/>
          <w:rFonts w:ascii="Times New Roman" w:hAnsi="Times New Roman"/>
        </w:rPr>
        <w:footnoteReference w:id="239"/>
      </w:r>
      <w:r w:rsidRPr="00113F13">
        <w:t xml:space="preserve"> </w:t>
      </w:r>
    </w:p>
    <w:p w14:paraId="09B0168A" w14:textId="77777777" w:rsidR="00FF302D" w:rsidRPr="00113F13" w:rsidRDefault="00FF302D" w:rsidP="00B63604">
      <w:pPr>
        <w:pStyle w:val="NormalNumberedTextTLRI"/>
        <w:numPr>
          <w:ilvl w:val="2"/>
          <w:numId w:val="31"/>
        </w:numPr>
        <w:tabs>
          <w:tab w:val="clear" w:pos="720"/>
        </w:tabs>
        <w:spacing w:line="259" w:lineRule="auto"/>
      </w:pPr>
      <w:bookmarkStart w:id="238" w:name="_Ref164770228"/>
      <w:r w:rsidRPr="00113F13">
        <w:t>PIPP 10 also permits the collection of health information without the individual’s consent for several reasons, including where:</w:t>
      </w:r>
      <w:bookmarkEnd w:id="238"/>
    </w:p>
    <w:p w14:paraId="435D4FF3" w14:textId="77777777" w:rsidR="00FF302D" w:rsidRPr="00113F13" w:rsidRDefault="00FF302D" w:rsidP="00B63604">
      <w:pPr>
        <w:pStyle w:val="Dotpointlist"/>
        <w:numPr>
          <w:ilvl w:val="0"/>
          <w:numId w:val="7"/>
        </w:numPr>
        <w:rPr>
          <w:rFonts w:ascii="Times New Roman" w:hAnsi="Times New Roman" w:cs="Times New Roman"/>
        </w:rPr>
      </w:pPr>
      <w:r w:rsidRPr="00113F13">
        <w:rPr>
          <w:rFonts w:ascii="Times New Roman" w:hAnsi="Times New Roman" w:cs="Times New Roman"/>
        </w:rPr>
        <w:t>the collection is necessary to provide a health service to the individual;</w:t>
      </w:r>
      <w:r w:rsidRPr="00113F13">
        <w:rPr>
          <w:rStyle w:val="FootnoteReference"/>
          <w:rFonts w:ascii="Times New Roman" w:hAnsi="Times New Roman" w:cs="Times New Roman"/>
        </w:rPr>
        <w:footnoteReference w:id="240"/>
      </w:r>
      <w:r w:rsidRPr="00113F13">
        <w:rPr>
          <w:rFonts w:ascii="Times New Roman" w:hAnsi="Times New Roman" w:cs="Times New Roman"/>
        </w:rPr>
        <w:t xml:space="preserve"> </w:t>
      </w:r>
    </w:p>
    <w:p w14:paraId="6DD0F05F" w14:textId="77777777" w:rsidR="00FF302D" w:rsidRPr="00113F13" w:rsidRDefault="00FF302D" w:rsidP="00B63604">
      <w:pPr>
        <w:pStyle w:val="Dotpointlist"/>
        <w:numPr>
          <w:ilvl w:val="0"/>
          <w:numId w:val="7"/>
        </w:numPr>
        <w:rPr>
          <w:rFonts w:ascii="Times New Roman" w:hAnsi="Times New Roman" w:cs="Times New Roman"/>
        </w:rPr>
      </w:pPr>
      <w:r w:rsidRPr="00113F13">
        <w:rPr>
          <w:rFonts w:ascii="Times New Roman" w:hAnsi="Times New Roman" w:cs="Times New Roman"/>
        </w:rPr>
        <w:t>it is impracticable to seek such consent and the collection is for the purpose of research relevant to public health or public safety, compiling or analysing statistics relevant to public health or public safety, or managing, funding or monitoring a health service;</w:t>
      </w:r>
      <w:r w:rsidRPr="00113F13">
        <w:rPr>
          <w:rStyle w:val="FootnoteReference"/>
          <w:rFonts w:ascii="Times New Roman" w:hAnsi="Times New Roman" w:cs="Times New Roman"/>
        </w:rPr>
        <w:footnoteReference w:id="241"/>
      </w:r>
      <w:r w:rsidRPr="00113F13">
        <w:rPr>
          <w:rFonts w:ascii="Times New Roman" w:hAnsi="Times New Roman" w:cs="Times New Roman"/>
        </w:rPr>
        <w:t xml:space="preserve"> or</w:t>
      </w:r>
    </w:p>
    <w:p w14:paraId="03A25737" w14:textId="77777777" w:rsidR="00FF302D" w:rsidRPr="00113F13" w:rsidRDefault="00FF302D" w:rsidP="00B63604">
      <w:pPr>
        <w:pStyle w:val="Dotpointlist"/>
        <w:numPr>
          <w:ilvl w:val="0"/>
          <w:numId w:val="7"/>
        </w:numPr>
        <w:rPr>
          <w:rFonts w:ascii="Times New Roman" w:hAnsi="Times New Roman" w:cs="Times New Roman"/>
        </w:rPr>
      </w:pPr>
      <w:r w:rsidRPr="00113F13">
        <w:rPr>
          <w:rFonts w:ascii="Times New Roman" w:hAnsi="Times New Roman" w:cs="Times New Roman"/>
        </w:rPr>
        <w:t>the collection is from an individual about another person without the person’s consent</w:t>
      </w:r>
      <w:r w:rsidRPr="00113F13">
        <w:rPr>
          <w:rStyle w:val="FootnoteReference"/>
          <w:rFonts w:ascii="Times New Roman" w:hAnsi="Times New Roman" w:cs="Times New Roman"/>
        </w:rPr>
        <w:footnoteReference w:id="242"/>
      </w:r>
      <w:r w:rsidRPr="00113F13">
        <w:rPr>
          <w:rFonts w:ascii="Times New Roman" w:hAnsi="Times New Roman" w:cs="Times New Roman"/>
        </w:rPr>
        <w:t xml:space="preserve"> and the collection is necessary to provide a health service to the individual and the information is relevant to the individual’s social or family history.</w:t>
      </w:r>
      <w:r w:rsidRPr="00113F13">
        <w:rPr>
          <w:rStyle w:val="FootnoteReference"/>
          <w:rFonts w:ascii="Times New Roman" w:hAnsi="Times New Roman" w:cs="Times New Roman"/>
        </w:rPr>
        <w:footnoteReference w:id="243"/>
      </w:r>
    </w:p>
    <w:p w14:paraId="05F87F46" w14:textId="5261732C" w:rsidR="00FF302D" w:rsidRPr="00113F13" w:rsidRDefault="288D8F58" w:rsidP="00B63604">
      <w:pPr>
        <w:pStyle w:val="NormalNumberedTextTLRI"/>
        <w:numPr>
          <w:ilvl w:val="2"/>
          <w:numId w:val="31"/>
        </w:numPr>
        <w:tabs>
          <w:tab w:val="clear" w:pos="720"/>
        </w:tabs>
        <w:spacing w:line="259" w:lineRule="auto"/>
      </w:pPr>
      <w:r>
        <w:t xml:space="preserve">These exceptions are discussed in detail </w:t>
      </w:r>
      <w:r w:rsidRPr="00EA22F8">
        <w:t>in Part 5</w:t>
      </w:r>
      <w:r>
        <w:t xml:space="preserve"> of this Report.</w:t>
      </w:r>
    </w:p>
    <w:p w14:paraId="48358F2D" w14:textId="77777777" w:rsidR="00666B07" w:rsidRDefault="00666B07" w:rsidP="000067D0">
      <w:pPr>
        <w:pStyle w:val="Headingunnumbered"/>
        <w:rPr>
          <w:rFonts w:cs="Times New Roman"/>
        </w:rPr>
      </w:pPr>
      <w:bookmarkStart w:id="239" w:name="_Toc164606550"/>
    </w:p>
    <w:p w14:paraId="29374CF0" w14:textId="0E5E06BF" w:rsidR="00FF302D" w:rsidRPr="00113F13" w:rsidRDefault="00FF302D" w:rsidP="000067D0">
      <w:pPr>
        <w:pStyle w:val="Headingunnumbered"/>
        <w:rPr>
          <w:rFonts w:cs="Times New Roman"/>
        </w:rPr>
      </w:pPr>
      <w:r w:rsidRPr="00113F13">
        <w:rPr>
          <w:rFonts w:cs="Times New Roman"/>
        </w:rPr>
        <w:t>The position in other jurisdictions</w:t>
      </w:r>
      <w:bookmarkEnd w:id="239"/>
    </w:p>
    <w:p w14:paraId="498F68FB" w14:textId="77777777" w:rsidR="00FF302D" w:rsidRPr="00EA22F8" w:rsidRDefault="00FF302D" w:rsidP="00B63604">
      <w:pPr>
        <w:pStyle w:val="NormalNumberedTextTLRI"/>
        <w:numPr>
          <w:ilvl w:val="2"/>
          <w:numId w:val="31"/>
        </w:numPr>
        <w:tabs>
          <w:tab w:val="clear" w:pos="720"/>
        </w:tabs>
        <w:spacing w:line="259" w:lineRule="auto"/>
      </w:pPr>
      <w:r w:rsidRPr="003215A2">
        <w:t>The PIPA definition of sensitive information is similar to the definition in the Commonwealth Privacy Act, as well as the definition in Victoria, Queensland, the ACT and the NT.</w:t>
      </w:r>
      <w:r w:rsidRPr="003215A2">
        <w:rPr>
          <w:rStyle w:val="FootnoteReference"/>
          <w:rFonts w:ascii="Times New Roman" w:hAnsi="Times New Roman"/>
        </w:rPr>
        <w:footnoteReference w:id="244"/>
      </w:r>
      <w:r w:rsidRPr="003215A2">
        <w:t xml:space="preserve"> One point of difference is that </w:t>
      </w:r>
      <w:r w:rsidRPr="00EA22F8">
        <w:t>the Privacy Act and the ACT legislation use the term ‘sexual orientation or practices’</w:t>
      </w:r>
      <w:r w:rsidRPr="003215A2">
        <w:t xml:space="preserve"> </w:t>
      </w:r>
      <w:r w:rsidRPr="003215A2">
        <w:lastRenderedPageBreak/>
        <w:t>to refer to sensitive information about individuals’ sexuality, while the PIPA and other State and Territory legislation use more outdated language of ‘sexual preferences or practices’.</w:t>
      </w:r>
      <w:r w:rsidRPr="00EA22F8">
        <w:rPr>
          <w:rStyle w:val="FootnoteReference"/>
          <w:rFonts w:ascii="Times New Roman" w:hAnsi="Times New Roman"/>
        </w:rPr>
        <w:footnoteReference w:id="245"/>
      </w:r>
    </w:p>
    <w:p w14:paraId="1DBB3E33" w14:textId="77777777" w:rsidR="00FF302D" w:rsidRPr="00113F13" w:rsidRDefault="00FF302D" w:rsidP="00B63604">
      <w:pPr>
        <w:pStyle w:val="NormalNumberedTextTLRI"/>
        <w:numPr>
          <w:ilvl w:val="2"/>
          <w:numId w:val="31"/>
        </w:numPr>
        <w:tabs>
          <w:tab w:val="clear" w:pos="720"/>
        </w:tabs>
        <w:spacing w:line="259" w:lineRule="auto"/>
      </w:pPr>
      <w:bookmarkStart w:id="240" w:name="_Ref164777746"/>
      <w:r w:rsidRPr="00113F13">
        <w:t>Further, the Privacy Act and the legislation in the ACT identify three additional forms of sensitive information relating to genetics and biometrics:</w:t>
      </w:r>
      <w:r w:rsidRPr="00113F13">
        <w:rPr>
          <w:rStyle w:val="FootnoteReference"/>
          <w:rFonts w:ascii="Times New Roman" w:hAnsi="Times New Roman"/>
        </w:rPr>
        <w:footnoteReference w:id="246"/>
      </w:r>
      <w:bookmarkEnd w:id="240"/>
    </w:p>
    <w:p w14:paraId="334DFC46" w14:textId="77777777" w:rsidR="00FF302D" w:rsidRPr="00113F13" w:rsidRDefault="00FF302D" w:rsidP="000067D0">
      <w:pPr>
        <w:pStyle w:val="DotPointTLRI"/>
      </w:pPr>
      <w:r w:rsidRPr="00113F13">
        <w:t>genetic information about an individual that is not otherwise health information;</w:t>
      </w:r>
    </w:p>
    <w:p w14:paraId="51D3E9C9" w14:textId="77777777" w:rsidR="00FF302D" w:rsidRPr="00113F13" w:rsidRDefault="00FF302D" w:rsidP="000067D0">
      <w:pPr>
        <w:pStyle w:val="DotPointTLRI"/>
      </w:pPr>
      <w:r w:rsidRPr="00113F13">
        <w:t>biometric information used for the purpose of automated biometric verification or biometric identification; and biometric templates.</w:t>
      </w:r>
      <w:r w:rsidRPr="00113F13">
        <w:rPr>
          <w:rStyle w:val="FootnoteReference"/>
          <w:rFonts w:ascii="Times New Roman" w:hAnsi="Times New Roman"/>
        </w:rPr>
        <w:footnoteReference w:id="247"/>
      </w:r>
    </w:p>
    <w:p w14:paraId="49BCB47D" w14:textId="77777777" w:rsidR="00FF302D" w:rsidRPr="00113F13" w:rsidRDefault="00FF302D" w:rsidP="00B63604">
      <w:pPr>
        <w:pStyle w:val="NormalNumberedTextTLRI"/>
        <w:numPr>
          <w:ilvl w:val="2"/>
          <w:numId w:val="31"/>
        </w:numPr>
        <w:tabs>
          <w:tab w:val="clear" w:pos="720"/>
        </w:tabs>
        <w:spacing w:line="259" w:lineRule="auto"/>
      </w:pPr>
      <w:bookmarkStart w:id="241" w:name="_Ref91828812"/>
      <w:r w:rsidRPr="00113F13">
        <w:t>Biometric information is information relating to the physical attributes of an individual, such as their face, gait, fingerprints, signature, or voice. Biometrics are commonly used in technological applications to verify identity, such as through facial recognition or fingerprint sensors on Smartphones.</w:t>
      </w:r>
      <w:r w:rsidRPr="00113F13">
        <w:rPr>
          <w:rStyle w:val="FootnoteReference"/>
          <w:rFonts w:ascii="Times New Roman" w:hAnsi="Times New Roman"/>
        </w:rPr>
        <w:footnoteReference w:id="248"/>
      </w:r>
      <w:r w:rsidRPr="00113F13">
        <w:t xml:space="preserve"> </w:t>
      </w:r>
      <w:bookmarkEnd w:id="241"/>
    </w:p>
    <w:p w14:paraId="6764EB89" w14:textId="3C3FAB00" w:rsidR="00FF302D" w:rsidRPr="00113F13" w:rsidRDefault="00FF302D" w:rsidP="00B63604">
      <w:pPr>
        <w:pStyle w:val="NormalNumberedTextTLRI"/>
        <w:numPr>
          <w:ilvl w:val="2"/>
          <w:numId w:val="31"/>
        </w:numPr>
        <w:tabs>
          <w:tab w:val="clear" w:pos="720"/>
        </w:tabs>
        <w:spacing w:line="259" w:lineRule="auto"/>
      </w:pPr>
      <w:r w:rsidRPr="00113F13">
        <w:t>The Privacy Act definition of ‘health information’,</w:t>
      </w:r>
      <w:r w:rsidRPr="00113F13">
        <w:rPr>
          <w:rStyle w:val="FootnoteReference"/>
          <w:rFonts w:ascii="Times New Roman" w:hAnsi="Times New Roman"/>
        </w:rPr>
        <w:footnoteReference w:id="249"/>
      </w:r>
      <w:r w:rsidRPr="00113F13">
        <w:t xml:space="preserve"> and exceptions to the general prohibition on the collection of health information where a person is unable to give or communicate consent, where necessary for research and related activities, or where the information is about another person, are similar to those in the PIPA.</w:t>
      </w:r>
      <w:r w:rsidRPr="00113F13">
        <w:rPr>
          <w:rStyle w:val="FootnoteReference"/>
          <w:rFonts w:ascii="Times New Roman" w:hAnsi="Times New Roman"/>
        </w:rPr>
        <w:footnoteReference w:id="250"/>
      </w:r>
      <w:r w:rsidRPr="00113F13">
        <w:t xml:space="preserve"> These are discussed </w:t>
      </w:r>
      <w:r w:rsidRPr="007A6E31">
        <w:t>in de</w:t>
      </w:r>
      <w:r w:rsidRPr="00EA22F8">
        <w:t xml:space="preserve">tail </w:t>
      </w:r>
      <w:r w:rsidR="007A6E31" w:rsidRPr="00EA22F8">
        <w:t>at [</w:t>
      </w:r>
      <w:r w:rsidRPr="007A6E31">
        <w:t>5</w:t>
      </w:r>
      <w:r w:rsidRPr="00113F13">
        <w:t>.4</w:t>
      </w:r>
      <w:r w:rsidR="007A6E31">
        <w:t>]</w:t>
      </w:r>
      <w:r w:rsidRPr="00113F13">
        <w:t xml:space="preserve"> of this Report.</w:t>
      </w:r>
    </w:p>
    <w:p w14:paraId="25ACD597" w14:textId="0BE578A6" w:rsidR="00FF302D" w:rsidRPr="00113F13" w:rsidRDefault="00FF302D" w:rsidP="00B63604">
      <w:pPr>
        <w:pStyle w:val="NormalNumberedTextTLRI"/>
        <w:numPr>
          <w:ilvl w:val="2"/>
          <w:numId w:val="31"/>
        </w:numPr>
        <w:tabs>
          <w:tab w:val="clear" w:pos="720"/>
        </w:tabs>
        <w:spacing w:line="259" w:lineRule="auto"/>
      </w:pPr>
      <w:r w:rsidRPr="00113F13">
        <w:t xml:space="preserve">In the New South Wales </w:t>
      </w:r>
      <w:r w:rsidRPr="00113F13">
        <w:rPr>
          <w:i/>
          <w:iCs/>
        </w:rPr>
        <w:t xml:space="preserve">Privacy and Personal Information Protection Act 1998 </w:t>
      </w:r>
      <w:r w:rsidRPr="00113F13">
        <w:t xml:space="preserve">(NSW), as noted, ‘personal information’ does not include health information, which is defined in </w:t>
      </w:r>
      <w:r w:rsidR="009E4420">
        <w:t>Section</w:t>
      </w:r>
      <w:r w:rsidRPr="00113F13">
        <w:t xml:space="preserve"> 6 of the </w:t>
      </w:r>
      <w:r w:rsidRPr="00113F13">
        <w:rPr>
          <w:i/>
          <w:iCs/>
        </w:rPr>
        <w:t xml:space="preserve">Health Records and Information Privacy Act 2002 </w:t>
      </w:r>
      <w:r w:rsidRPr="00113F13">
        <w:t>(NSW).</w:t>
      </w:r>
      <w:r w:rsidRPr="00113F13">
        <w:rPr>
          <w:rStyle w:val="FootnoteReference"/>
          <w:rFonts w:ascii="Times New Roman" w:hAnsi="Times New Roman"/>
        </w:rPr>
        <w:footnoteReference w:id="251"/>
      </w:r>
      <w:r w:rsidRPr="00113F13">
        <w:t xml:space="preserve"> However, in relation to data breaches in Part</w:t>
      </w:r>
      <w:r w:rsidR="00927808">
        <w:t xml:space="preserve"> </w:t>
      </w:r>
      <w:r w:rsidRPr="00113F13">
        <w:t>6A of the former, ‘personal information’ does include ‘health information’.</w:t>
      </w:r>
      <w:r w:rsidRPr="00113F13">
        <w:rPr>
          <w:rStyle w:val="FootnoteReference"/>
          <w:rFonts w:ascii="Times New Roman" w:hAnsi="Times New Roman"/>
        </w:rPr>
        <w:footnoteReference w:id="252"/>
      </w:r>
      <w:r w:rsidRPr="00113F13">
        <w:t xml:space="preserve"> The definition of health information is consistent with the Tasmanian definition.</w:t>
      </w:r>
      <w:r w:rsidRPr="00113F13">
        <w:rPr>
          <w:rStyle w:val="FootnoteReference"/>
          <w:rFonts w:ascii="Times New Roman" w:hAnsi="Times New Roman"/>
        </w:rPr>
        <w:footnoteReference w:id="253"/>
      </w:r>
      <w:r w:rsidRPr="00113F13">
        <w:t xml:space="preserve"> ‘Sensitive information’ is also not defined in the NSW legislation.</w:t>
      </w:r>
    </w:p>
    <w:p w14:paraId="728ACE21" w14:textId="77777777" w:rsidR="00FF302D" w:rsidRPr="00113F13" w:rsidRDefault="00FF302D" w:rsidP="00BF1FE7">
      <w:pPr>
        <w:pStyle w:val="NumberedHeadingTLRI"/>
      </w:pPr>
      <w:bookmarkStart w:id="242" w:name="_Toc164606551"/>
      <w:r w:rsidRPr="00113F13">
        <w:t>Proposals in the Commonwealth Privacy Act Review</w:t>
      </w:r>
      <w:bookmarkEnd w:id="242"/>
    </w:p>
    <w:p w14:paraId="5212C4BE" w14:textId="77777777" w:rsidR="00FF302D" w:rsidRPr="00113F13" w:rsidRDefault="00FF302D" w:rsidP="00B63604">
      <w:pPr>
        <w:pStyle w:val="NormalNumberedTextTLRI"/>
        <w:numPr>
          <w:ilvl w:val="2"/>
          <w:numId w:val="31"/>
        </w:numPr>
        <w:tabs>
          <w:tab w:val="clear" w:pos="720"/>
        </w:tabs>
        <w:spacing w:line="259" w:lineRule="auto"/>
      </w:pPr>
      <w:r w:rsidRPr="00113F13">
        <w:t>The Privacy Act Review Report</w:t>
      </w:r>
      <w:r w:rsidRPr="00113F13">
        <w:rPr>
          <w:i/>
          <w:iCs/>
        </w:rPr>
        <w:t xml:space="preserve"> </w:t>
      </w:r>
      <w:r w:rsidRPr="00113F13">
        <w:t>proposed amendments to the definition of ‘sensitive information’ in the Commonwealth legislation to:</w:t>
      </w:r>
    </w:p>
    <w:p w14:paraId="3512977F" w14:textId="77777777" w:rsidR="00FF302D" w:rsidRPr="00113F13" w:rsidRDefault="00FF302D" w:rsidP="000067D0">
      <w:pPr>
        <w:pStyle w:val="DotPointTLRI"/>
      </w:pPr>
      <w:r w:rsidRPr="00113F13">
        <w:lastRenderedPageBreak/>
        <w:t>include genomic information (which is related to, but distinct from, genetic information and about which submitters to the Review indicated there was some confusion);</w:t>
      </w:r>
    </w:p>
    <w:p w14:paraId="254AC140" w14:textId="79ACA3DE" w:rsidR="00FF302D" w:rsidRPr="00113F13" w:rsidRDefault="00FF302D" w:rsidP="000067D0">
      <w:pPr>
        <w:pStyle w:val="DotPointTLRI"/>
      </w:pPr>
      <w:r w:rsidRPr="00113F13">
        <w:t xml:space="preserve">replace the word ‘about’ with the words ‘relates to’ for consistency with the proposed amended definition of ‘personal </w:t>
      </w:r>
      <w:r w:rsidRPr="005E5E9A">
        <w:t xml:space="preserve">information’ </w:t>
      </w:r>
      <w:r w:rsidRPr="00EA22F8">
        <w:t>discussed at</w:t>
      </w:r>
      <w:r w:rsidR="00FE4943" w:rsidRPr="00EA22F8">
        <w:t xml:space="preserve"> [</w:t>
      </w:r>
      <w:r w:rsidR="00FE4943" w:rsidRPr="00EA22F8">
        <w:fldChar w:fldCharType="begin"/>
      </w:r>
      <w:r w:rsidR="00FE4943" w:rsidRPr="00EA22F8">
        <w:instrText xml:space="preserve"> REF _Ref147750987 \r \h </w:instrText>
      </w:r>
      <w:r w:rsidR="005E5E9A">
        <w:instrText xml:space="preserve"> \* MERGEFORMAT </w:instrText>
      </w:r>
      <w:r w:rsidR="00FE4943" w:rsidRPr="00EA22F8">
        <w:fldChar w:fldCharType="separate"/>
      </w:r>
      <w:r w:rsidR="00462C30">
        <w:rPr>
          <w:cs/>
        </w:rPr>
        <w:t>‎</w:t>
      </w:r>
      <w:r w:rsidR="00462C30">
        <w:t>4.3.2</w:t>
      </w:r>
      <w:r w:rsidR="00FE4943" w:rsidRPr="00EA22F8">
        <w:fldChar w:fldCharType="end"/>
      </w:r>
      <w:r w:rsidR="00FE4943" w:rsidRPr="00EA22F8">
        <w:t>]</w:t>
      </w:r>
      <w:r w:rsidR="005E5E9A" w:rsidRPr="00EA22F8">
        <w:t>–</w:t>
      </w:r>
      <w:r w:rsidR="00FE4943" w:rsidRPr="00EA22F8">
        <w:t>[</w:t>
      </w:r>
      <w:r w:rsidR="005E5E9A" w:rsidRPr="00EA22F8">
        <w:fldChar w:fldCharType="begin"/>
      </w:r>
      <w:r w:rsidR="005E5E9A" w:rsidRPr="00EA22F8">
        <w:instrText xml:space="preserve"> REF _Ref147750998 \r \h </w:instrText>
      </w:r>
      <w:r w:rsidR="005E5E9A">
        <w:instrText xml:space="preserve"> \* MERGEFORMAT </w:instrText>
      </w:r>
      <w:r w:rsidR="005E5E9A" w:rsidRPr="00EA22F8">
        <w:fldChar w:fldCharType="separate"/>
      </w:r>
      <w:r w:rsidR="00462C30">
        <w:rPr>
          <w:cs/>
        </w:rPr>
        <w:t>‎</w:t>
      </w:r>
      <w:r w:rsidR="00462C30">
        <w:t>4.3.5</w:t>
      </w:r>
      <w:r w:rsidR="005E5E9A" w:rsidRPr="00EA22F8">
        <w:fldChar w:fldCharType="end"/>
      </w:r>
      <w:r w:rsidR="005E5E9A" w:rsidRPr="00EA22F8">
        <w:t>]</w:t>
      </w:r>
      <w:r w:rsidRPr="005E5E9A">
        <w:t>)</w:t>
      </w:r>
      <w:r w:rsidRPr="00113F13">
        <w:t xml:space="preserve"> above; and</w:t>
      </w:r>
    </w:p>
    <w:p w14:paraId="3FE46D1F" w14:textId="77777777" w:rsidR="00FF302D" w:rsidRPr="00113F13" w:rsidRDefault="00FF302D" w:rsidP="000067D0">
      <w:pPr>
        <w:pStyle w:val="DotPointTLRI"/>
      </w:pPr>
      <w:r w:rsidRPr="00113F13">
        <w:t>clarify that inferences about sensitive information (including inferences based on non-sensitive information) constitute sensitive information; for instance, where information that an individual downloaded a gay dating app to their phone is non-sensitive information, but if a marketer treats that as information about the individual’s sexual orientation and uses it to market to the individual, it will constitute sensitive information.</w:t>
      </w:r>
      <w:r w:rsidRPr="00113F13">
        <w:rPr>
          <w:rStyle w:val="FootnoteReference"/>
          <w:rFonts w:ascii="Times New Roman" w:hAnsi="Times New Roman"/>
        </w:rPr>
        <w:footnoteReference w:id="254"/>
      </w:r>
    </w:p>
    <w:p w14:paraId="393B12EE" w14:textId="77777777" w:rsidR="00FF302D" w:rsidRPr="00113F13" w:rsidRDefault="00FF302D" w:rsidP="00B63604">
      <w:pPr>
        <w:pStyle w:val="NormalNumberedTextTLRI"/>
        <w:numPr>
          <w:ilvl w:val="2"/>
          <w:numId w:val="31"/>
        </w:numPr>
        <w:tabs>
          <w:tab w:val="clear" w:pos="720"/>
        </w:tabs>
        <w:spacing w:line="259" w:lineRule="auto"/>
      </w:pPr>
      <w:r w:rsidRPr="00113F13">
        <w:t>In its response to the Privacy Act Review Final Report, the Commonwealth Government stated that it agreed in-principle with these proposals, and this would include ‘consideration of additional OAIC guidance’ to ‘assist with clarifying when an inference is made and the practical implications of how the APPs may apply to inferred’ information.</w:t>
      </w:r>
      <w:r w:rsidRPr="00113F13">
        <w:rPr>
          <w:rStyle w:val="FootnoteReference"/>
          <w:rFonts w:ascii="Times New Roman" w:hAnsi="Times New Roman"/>
        </w:rPr>
        <w:footnoteReference w:id="255"/>
      </w:r>
    </w:p>
    <w:p w14:paraId="2A52180B" w14:textId="77777777" w:rsidR="00FF302D" w:rsidRPr="00113F13" w:rsidRDefault="00FF302D" w:rsidP="00B63604">
      <w:pPr>
        <w:pStyle w:val="NormalNumberedTextTLRI"/>
        <w:numPr>
          <w:ilvl w:val="2"/>
          <w:numId w:val="31"/>
        </w:numPr>
        <w:tabs>
          <w:tab w:val="clear" w:pos="720"/>
        </w:tabs>
        <w:spacing w:line="259" w:lineRule="auto"/>
      </w:pPr>
      <w:r w:rsidRPr="00113F13">
        <w:t>The Review also referred to the Final Report of the Australian Human Rights Commission’s (‘AHRC’) Human Rights and Technology project, which had highlighted the significant privacy risks associated with some uses of biometric technology, including facial recognition technology in surveillance.</w:t>
      </w:r>
      <w:r w:rsidRPr="00113F13">
        <w:rPr>
          <w:rStyle w:val="FootnoteReference"/>
          <w:rFonts w:ascii="Times New Roman" w:hAnsi="Times New Roman"/>
        </w:rPr>
        <w:footnoteReference w:id="256"/>
      </w:r>
      <w:r w:rsidRPr="00113F13">
        <w:t xml:space="preserve"> Drawing from examples in other jurisdictions, including the EU, the AHRC recommended numerous reforms, including:</w:t>
      </w:r>
      <w:r w:rsidRPr="00113F13">
        <w:rPr>
          <w:rStyle w:val="FootnoteReference"/>
          <w:rFonts w:ascii="Times New Roman" w:hAnsi="Times New Roman"/>
        </w:rPr>
        <w:footnoteReference w:id="257"/>
      </w:r>
    </w:p>
    <w:p w14:paraId="2A7120D5" w14:textId="2DBFAD93" w:rsidR="00FF302D" w:rsidRPr="00113F13" w:rsidRDefault="00FF302D" w:rsidP="000067D0">
      <w:pPr>
        <w:pStyle w:val="DotPointTLRI"/>
      </w:pPr>
      <w:r w:rsidRPr="00113F13">
        <w:t>creating express protections for human rights when facial recognition technology is used in certain types of decision-making (namely, in decision-making that impacts a person’s legal or similarly significant rights and in circumstances where use of the technology poses a high risk to human rights, such as in policing and law enforcement). In this context, there is particular concern that errors in recognition can result in mis-identification of suspects, victims, or witnesses, and thereby infringe on the right to procedural fairness, among other rights. This can be distinguished from low-risk contexts, such as where the technology is used in a payment system at a café.</w:t>
      </w:r>
      <w:r w:rsidRPr="00113F13">
        <w:rPr>
          <w:rStyle w:val="FootnoteReference"/>
          <w:rFonts w:ascii="Times New Roman" w:hAnsi="Times New Roman"/>
        </w:rPr>
        <w:footnoteReference w:id="258"/>
      </w:r>
    </w:p>
    <w:p w14:paraId="5105661E" w14:textId="77777777" w:rsidR="00FF302D" w:rsidRPr="00113F13" w:rsidRDefault="00FF302D" w:rsidP="000067D0">
      <w:pPr>
        <w:pStyle w:val="DotPointTLRI"/>
      </w:pPr>
      <w:r w:rsidRPr="00113F13">
        <w:t>introducing a moratorium on the use of facial recognition technology until the kind of protections discussed in the above recommendation are in place;</w:t>
      </w:r>
      <w:r w:rsidRPr="00113F13">
        <w:rPr>
          <w:rStyle w:val="FootnoteReference"/>
          <w:rFonts w:ascii="Times New Roman" w:hAnsi="Times New Roman"/>
        </w:rPr>
        <w:footnoteReference w:id="259"/>
      </w:r>
      <w:r w:rsidRPr="00113F13">
        <w:t xml:space="preserve"> and</w:t>
      </w:r>
    </w:p>
    <w:p w14:paraId="572B6576" w14:textId="72024605" w:rsidR="00FF302D" w:rsidRPr="00113F13" w:rsidRDefault="00FF302D" w:rsidP="000067D0">
      <w:pPr>
        <w:pStyle w:val="DotPointTLRI"/>
      </w:pPr>
      <w:r w:rsidRPr="00113F13">
        <w:t xml:space="preserve">introducing a statutory cause of action for invasion of privacy (discussed in detail further below </w:t>
      </w:r>
      <w:r w:rsidR="00241274">
        <w:t>Part 11</w:t>
      </w:r>
      <w:r w:rsidRPr="00EA22F8">
        <w:t>).</w:t>
      </w:r>
      <w:r w:rsidRPr="00241274">
        <w:rPr>
          <w:rStyle w:val="FootnoteReference"/>
          <w:rFonts w:ascii="Times New Roman" w:hAnsi="Times New Roman"/>
        </w:rPr>
        <w:footnoteReference w:id="260"/>
      </w:r>
    </w:p>
    <w:p w14:paraId="36E05488" w14:textId="71987BB8" w:rsidR="00FF302D" w:rsidRPr="00113F13" w:rsidRDefault="00FF302D" w:rsidP="00B63604">
      <w:pPr>
        <w:pStyle w:val="NormalNumberedTextTLRI"/>
        <w:numPr>
          <w:ilvl w:val="2"/>
          <w:numId w:val="31"/>
        </w:numPr>
        <w:tabs>
          <w:tab w:val="clear" w:pos="720"/>
        </w:tabs>
        <w:spacing w:line="259" w:lineRule="auto"/>
      </w:pPr>
      <w:r w:rsidRPr="00113F13">
        <w:t>The Privacy Act Review recommended that the Privacy Act be amended to require all APP entities to undertake ‘Privacy Impact Assessments’ for activities with high privacy risks prior to the commencement of the high-risk activity (or upon request by the OAIC).</w:t>
      </w:r>
      <w:r w:rsidRPr="00113F13">
        <w:rPr>
          <w:rStyle w:val="FootnoteReference"/>
          <w:rFonts w:ascii="Times New Roman" w:hAnsi="Times New Roman"/>
        </w:rPr>
        <w:footnoteReference w:id="261"/>
      </w:r>
      <w:r w:rsidRPr="00113F13">
        <w:t xml:space="preserve"> This proposal is discussed further </w:t>
      </w:r>
      <w:r w:rsidRPr="00BE68D8">
        <w:t xml:space="preserve">in </w:t>
      </w:r>
      <w:r w:rsidRPr="00EA22F8">
        <w:t>[</w:t>
      </w:r>
      <w:r w:rsidR="003D1524">
        <w:fldChar w:fldCharType="begin"/>
      </w:r>
      <w:r w:rsidR="003D1524" w:rsidRPr="00EA22F8">
        <w:instrText xml:space="preserve"> REF _Ref164772324 \r \h </w:instrText>
      </w:r>
      <w:r w:rsidR="00BE68D8">
        <w:instrText xml:space="preserve"> \* MERGEFORMAT </w:instrText>
      </w:r>
      <w:r w:rsidR="003D1524">
        <w:fldChar w:fldCharType="separate"/>
      </w:r>
      <w:r w:rsidR="00462C30">
        <w:rPr>
          <w:cs/>
        </w:rPr>
        <w:t>‎</w:t>
      </w:r>
      <w:r w:rsidR="00462C30">
        <w:t>8.7.6</w:t>
      </w:r>
      <w:r w:rsidR="003D1524">
        <w:fldChar w:fldCharType="end"/>
      </w:r>
      <w:r w:rsidRPr="00EA22F8">
        <w:t>]</w:t>
      </w:r>
      <w:r w:rsidRPr="00BE68D8">
        <w:t>.</w:t>
      </w:r>
      <w:r w:rsidRPr="00113F13">
        <w:t xml:space="preserve"> Related to this, the Review recommended a coordinated approach across Government to consider the regulation of biometric technologies, including through ‘enhanced risk assessment requirements’ for facial recognition and other biometric technologies, including in relation to </w:t>
      </w:r>
      <w:r w:rsidRPr="00113F13">
        <w:lastRenderedPageBreak/>
        <w:t>information that may not constitute personal information but nevertheless poses a risk to individuals.</w:t>
      </w:r>
      <w:r w:rsidRPr="00113F13">
        <w:rPr>
          <w:rStyle w:val="FootnoteReference"/>
          <w:rFonts w:ascii="Times New Roman" w:hAnsi="Times New Roman"/>
        </w:rPr>
        <w:footnoteReference w:id="262"/>
      </w:r>
      <w:r w:rsidRPr="00113F13">
        <w:t xml:space="preserve"> The Commonwealth Government agreed with this proposal in its response to the Final Report.</w:t>
      </w:r>
      <w:r w:rsidRPr="00113F13">
        <w:rPr>
          <w:rStyle w:val="FootnoteReference"/>
          <w:rFonts w:ascii="Times New Roman" w:hAnsi="Times New Roman"/>
        </w:rPr>
        <w:footnoteReference w:id="263"/>
      </w:r>
    </w:p>
    <w:p w14:paraId="5717B820" w14:textId="77777777" w:rsidR="00FF302D" w:rsidRPr="00113F13" w:rsidRDefault="00FF302D" w:rsidP="00B63604">
      <w:pPr>
        <w:pStyle w:val="NormalNumberedTextTLRI"/>
        <w:numPr>
          <w:ilvl w:val="2"/>
          <w:numId w:val="31"/>
        </w:numPr>
        <w:tabs>
          <w:tab w:val="clear" w:pos="720"/>
        </w:tabs>
        <w:spacing w:line="259" w:lineRule="auto"/>
      </w:pPr>
      <w:r w:rsidRPr="00113F13">
        <w:t>The Review also examined whether additional regulation of the handling of geolocation tracking data was required. It defined geolocation tracking data as ‘personal information which shows an individual’s precise geolocation which is collected and stored by reference to a particular individual at a particular place and time, and tracked over time’.</w:t>
      </w:r>
      <w:r w:rsidRPr="00113F13">
        <w:rPr>
          <w:rStyle w:val="FootnoteReference"/>
          <w:rFonts w:ascii="Times New Roman" w:hAnsi="Times New Roman"/>
        </w:rPr>
        <w:footnoteReference w:id="264"/>
      </w:r>
      <w:r w:rsidRPr="00113F13">
        <w:t xml:space="preserve"> The Review cited evidence of public concern about the widespread collection of location data, especially precise geolocation data, and its potential implications in terms of revealing sensitive information or creating risks to personal safety.</w:t>
      </w:r>
      <w:r w:rsidRPr="00113F13">
        <w:rPr>
          <w:rStyle w:val="FootnoteReference"/>
          <w:rFonts w:ascii="Times New Roman" w:hAnsi="Times New Roman"/>
        </w:rPr>
        <w:footnoteReference w:id="265"/>
      </w:r>
      <w:r w:rsidRPr="00113F13">
        <w:t xml:space="preserve"> On this basis, it proposed amendments to the Privacy Act to define geolocation tracking data and to recognise that the collection, use, disclosure, and storage of precise geolocation tracking data requires valid and informed consent. The proposal was confined to precise data and to tracking data; that is, ‘data collected repeatedly over time to record movements or activity’.</w:t>
      </w:r>
      <w:r w:rsidRPr="00113F13">
        <w:rPr>
          <w:rStyle w:val="FootnoteReference"/>
          <w:rFonts w:ascii="Times New Roman" w:hAnsi="Times New Roman"/>
        </w:rPr>
        <w:footnoteReference w:id="266"/>
      </w:r>
      <w:r w:rsidRPr="00113F13">
        <w:t xml:space="preserve"> </w:t>
      </w:r>
    </w:p>
    <w:p w14:paraId="43FF91D8" w14:textId="77777777" w:rsidR="00FF302D" w:rsidRPr="00113F13" w:rsidRDefault="00FF302D" w:rsidP="00B63604">
      <w:pPr>
        <w:pStyle w:val="NormalNumberedTextTLRI"/>
        <w:numPr>
          <w:ilvl w:val="2"/>
          <w:numId w:val="31"/>
        </w:numPr>
        <w:tabs>
          <w:tab w:val="clear" w:pos="720"/>
        </w:tabs>
        <w:spacing w:line="259" w:lineRule="auto"/>
      </w:pPr>
      <w:r w:rsidRPr="00113F13">
        <w:t>In its response to the Report, the Government agreed in-principle with this proposal and committed to further considering ‘whether this should be included as a new sub-category of sensitive information’.</w:t>
      </w:r>
      <w:r w:rsidRPr="00113F13">
        <w:rPr>
          <w:rStyle w:val="FootnoteReference"/>
          <w:rFonts w:ascii="Times New Roman" w:hAnsi="Times New Roman"/>
        </w:rPr>
        <w:footnoteReference w:id="267"/>
      </w:r>
    </w:p>
    <w:p w14:paraId="3E8AECBA" w14:textId="77777777" w:rsidR="00FF302D" w:rsidRPr="00113F13" w:rsidRDefault="00FF302D" w:rsidP="00BF1FE7">
      <w:pPr>
        <w:pStyle w:val="NumberedHeadingTLRI"/>
      </w:pPr>
      <w:bookmarkStart w:id="243" w:name="_Toc164606552"/>
      <w:bookmarkStart w:id="244" w:name="_Ref164779933"/>
      <w:r w:rsidRPr="00113F13">
        <w:t>Consultation</w:t>
      </w:r>
      <w:bookmarkEnd w:id="243"/>
      <w:bookmarkEnd w:id="244"/>
    </w:p>
    <w:p w14:paraId="72A86C91"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posed one question about sensitive information:</w:t>
      </w:r>
    </w:p>
    <w:p w14:paraId="4259DE14" w14:textId="77777777" w:rsidR="00FF302D" w:rsidRPr="00113F13" w:rsidRDefault="00FF302D" w:rsidP="000067D0">
      <w:pPr>
        <w:pStyle w:val="Indentedquote"/>
        <w:rPr>
          <w:rFonts w:cs="Times New Roman"/>
        </w:rPr>
      </w:pPr>
      <w:r w:rsidRPr="00113F13">
        <w:rPr>
          <w:rFonts w:cs="Times New Roman"/>
        </w:rPr>
        <w:t>Are the other categories of information, including health and other forms of sensitive information, suitable?</w:t>
      </w:r>
      <w:r w:rsidRPr="00113F13">
        <w:rPr>
          <w:rStyle w:val="FootnoteReference"/>
          <w:rFonts w:ascii="Times New Roman" w:hAnsi="Times New Roman" w:cs="Times New Roman"/>
        </w:rPr>
        <w:footnoteReference w:id="268"/>
      </w:r>
    </w:p>
    <w:p w14:paraId="0CA97238" w14:textId="77777777" w:rsidR="00FF302D" w:rsidRPr="00113F13" w:rsidRDefault="00FF302D" w:rsidP="00B63604">
      <w:pPr>
        <w:pStyle w:val="NormalNumberedTextTLRI"/>
        <w:numPr>
          <w:ilvl w:val="2"/>
          <w:numId w:val="31"/>
        </w:numPr>
        <w:tabs>
          <w:tab w:val="clear" w:pos="720"/>
        </w:tabs>
        <w:spacing w:line="259" w:lineRule="auto"/>
      </w:pPr>
      <w:r w:rsidRPr="00113F13">
        <w:t>Several submissions in reply to the Issues Paper expressed concern about the collection, use, and disclosure of biometric information by public and private entities, and, more specifically, about the limitations of existing legal mechanisms for protecting individuals’ privacy in these situations. Meg Webb MLC submitted that the PIPA should be amended to recognise biometric information as a form of ‘sensitive information’. Ms Webb identified several recent instances of the use, or proposed use, of biometric data in Tasmania. These included:</w:t>
      </w:r>
    </w:p>
    <w:p w14:paraId="5B8F96B9" w14:textId="77777777" w:rsidR="00FF302D" w:rsidRPr="00113F13" w:rsidRDefault="00FF302D" w:rsidP="000067D0">
      <w:pPr>
        <w:pStyle w:val="DotPointTLRI"/>
      </w:pPr>
      <w:r w:rsidRPr="00113F13">
        <w:t>the Tasmanian Government’s transmission of drivers licence photographs to the Commonwealth’s National Driver Licence Facial Recognition Solution (‘NDLFRS’) in the absence of legislated privacy protections under Commonwealth law;</w:t>
      </w:r>
      <w:r w:rsidRPr="00113F13">
        <w:rPr>
          <w:rStyle w:val="FootnoteReference"/>
          <w:rFonts w:ascii="Times New Roman" w:hAnsi="Times New Roman"/>
        </w:rPr>
        <w:footnoteReference w:id="269"/>
      </w:r>
    </w:p>
    <w:p w14:paraId="2E9622E1" w14:textId="77777777" w:rsidR="00FF302D" w:rsidRPr="00113F13" w:rsidRDefault="00FF302D" w:rsidP="000067D0">
      <w:pPr>
        <w:pStyle w:val="DotPointTLRI"/>
      </w:pPr>
      <w:r w:rsidRPr="00113F13">
        <w:t>a Ministerial Directive to the Tasmanian Liquor and Gaming Commission (‘TLGC’) to investigate the use of facial recognition technology to minimise gambling harm;</w:t>
      </w:r>
      <w:r w:rsidRPr="00113F13">
        <w:rPr>
          <w:rStyle w:val="FootnoteReference"/>
          <w:rFonts w:ascii="Times New Roman" w:hAnsi="Times New Roman"/>
        </w:rPr>
        <w:footnoteReference w:id="270"/>
      </w:r>
    </w:p>
    <w:p w14:paraId="50C4EC40" w14:textId="77777777" w:rsidR="00FF302D" w:rsidRPr="00113F13" w:rsidRDefault="00FF302D" w:rsidP="000067D0">
      <w:pPr>
        <w:pStyle w:val="DotPointTLRI"/>
      </w:pPr>
      <w:r w:rsidRPr="00113F13">
        <w:lastRenderedPageBreak/>
        <w:t>reports of national retailers and operators of stadia collecting patrons’ biometric data, either without consent, or where consent is a condition of entry.</w:t>
      </w:r>
      <w:r w:rsidRPr="00113F13">
        <w:rPr>
          <w:rStyle w:val="FootnoteReference"/>
          <w:rFonts w:ascii="Times New Roman" w:hAnsi="Times New Roman"/>
        </w:rPr>
        <w:footnoteReference w:id="271"/>
      </w:r>
    </w:p>
    <w:p w14:paraId="2DA83D46" w14:textId="77777777" w:rsidR="00FF302D" w:rsidRPr="00113F13" w:rsidRDefault="00FF302D" w:rsidP="00B63604">
      <w:pPr>
        <w:pStyle w:val="NormalNumberedTextTLRI"/>
        <w:numPr>
          <w:ilvl w:val="2"/>
          <w:numId w:val="31"/>
        </w:numPr>
        <w:tabs>
          <w:tab w:val="clear" w:pos="720"/>
        </w:tabs>
        <w:spacing w:line="259" w:lineRule="auto"/>
      </w:pPr>
      <w:r w:rsidRPr="00113F13">
        <w:t>The Tasmanian Council of Social Service (‘TasCOSS’) raised other concerns about biometrics, including the growth of surveillance in public places, use of data in police profiling, and concerns about bias in biometric technologies leading to unjust or discriminatory outcomes.</w:t>
      </w:r>
      <w:r w:rsidRPr="00113F13">
        <w:rPr>
          <w:rStyle w:val="FootnoteReference"/>
          <w:rFonts w:ascii="Times New Roman" w:hAnsi="Times New Roman"/>
        </w:rPr>
        <w:footnoteReference w:id="272"/>
      </w:r>
    </w:p>
    <w:p w14:paraId="2A438118" w14:textId="28BF0851" w:rsidR="00FF302D" w:rsidRPr="00113F13" w:rsidRDefault="00FF302D" w:rsidP="00B63604">
      <w:pPr>
        <w:pStyle w:val="NormalNumberedTextTLRI"/>
        <w:numPr>
          <w:ilvl w:val="2"/>
          <w:numId w:val="31"/>
        </w:numPr>
        <w:tabs>
          <w:tab w:val="clear" w:pos="720"/>
        </w:tabs>
        <w:spacing w:line="259" w:lineRule="auto"/>
      </w:pPr>
      <w:r w:rsidRPr="00113F13">
        <w:t>Dr Sarah Moulds submitted that the use of facial recognition technology (‘FRT’)</w:t>
      </w:r>
      <w:r w:rsidR="00B750FC">
        <w:t xml:space="preserve"> </w:t>
      </w:r>
      <w:r w:rsidRPr="00113F13">
        <w:t>‘must be subject to strict safeguards and limitations in order to constitute a justifiable limitation of the right to privacy’. Dr Moulds argued that FRT can be a rights-enhancing tool if certain conditions are met (including assurance of the accuracy of the technology, the security of data, and the security of data storage), if there is informed consent for obtaining, using, and sharing facial images, and if legal safeguards and protections are in place.</w:t>
      </w:r>
      <w:r w:rsidRPr="00113F13">
        <w:rPr>
          <w:rStyle w:val="FootnoteReference"/>
          <w:rFonts w:ascii="Times New Roman" w:hAnsi="Times New Roman"/>
        </w:rPr>
        <w:footnoteReference w:id="273"/>
      </w:r>
    </w:p>
    <w:p w14:paraId="7ABC4750" w14:textId="77777777" w:rsidR="00FF302D" w:rsidRPr="00113F13" w:rsidRDefault="00FF302D" w:rsidP="00B63604">
      <w:pPr>
        <w:pStyle w:val="NormalNumberedTextTLRI"/>
        <w:numPr>
          <w:ilvl w:val="2"/>
          <w:numId w:val="31"/>
        </w:numPr>
        <w:tabs>
          <w:tab w:val="clear" w:pos="720"/>
        </w:tabs>
        <w:spacing w:line="259" w:lineRule="auto"/>
      </w:pPr>
      <w:r w:rsidRPr="00113F13">
        <w:t>Two submissions  (the submission of  Professor Margaret Otlowski, Emeritus Distinguished Professor Dianne Nicol, and Dr Lisa Eckstein of the Centre for Law and Genetics at the University of Tasmania, and the submission of Meg Webb MLC) argued that the PIPA should be amended to align the definition of ‘sensitive information’ with that in the Privacy Act by identifying genetic information about an individual that is not otherwise health information as a form of ‘sensitive information’.</w:t>
      </w:r>
      <w:r w:rsidRPr="00113F13">
        <w:rPr>
          <w:rStyle w:val="FootnoteReference"/>
          <w:rFonts w:ascii="Times New Roman" w:hAnsi="Times New Roman"/>
        </w:rPr>
        <w:footnoteReference w:id="274"/>
      </w:r>
      <w:r w:rsidRPr="00113F13">
        <w:t xml:space="preserve"> </w:t>
      </w:r>
    </w:p>
    <w:p w14:paraId="2408C0D9" w14:textId="77777777" w:rsidR="00FF302D" w:rsidRPr="00113F13" w:rsidRDefault="00FF302D" w:rsidP="00B63604">
      <w:pPr>
        <w:pStyle w:val="NormalNumberedTextTLRI"/>
        <w:numPr>
          <w:ilvl w:val="2"/>
          <w:numId w:val="31"/>
        </w:numPr>
        <w:tabs>
          <w:tab w:val="clear" w:pos="720"/>
        </w:tabs>
        <w:spacing w:line="259" w:lineRule="auto"/>
      </w:pPr>
      <w:r w:rsidRPr="00113F13">
        <w:t>The Centre for Law and Genetics team further submitted that, if the Privacy Act Review proposals are adopted, the definition of ‘sensitive information’ should be further amended to replace ‘about’ with ‘relates to’ (for the sake of consistency) and to identify genomic information as a form of ‘sensitive information’.</w:t>
      </w:r>
      <w:r w:rsidRPr="00113F13">
        <w:rPr>
          <w:rStyle w:val="FootnoteReference"/>
          <w:rFonts w:ascii="Times New Roman" w:hAnsi="Times New Roman"/>
        </w:rPr>
        <w:footnoteReference w:id="275"/>
      </w:r>
    </w:p>
    <w:p w14:paraId="7EDB172D" w14:textId="77777777" w:rsidR="00FF302D" w:rsidRPr="00113F13" w:rsidRDefault="00FF302D" w:rsidP="00BF1FE7">
      <w:pPr>
        <w:pStyle w:val="NumberedHeadingTLRI"/>
      </w:pPr>
      <w:bookmarkStart w:id="245" w:name="_Toc164606553"/>
      <w:r w:rsidRPr="00113F13">
        <w:t>The TLRI’s view</w:t>
      </w:r>
      <w:bookmarkEnd w:id="245"/>
    </w:p>
    <w:p w14:paraId="36150B17" w14:textId="77777777" w:rsidR="00FF302D" w:rsidRPr="00113F13" w:rsidRDefault="00FF302D" w:rsidP="00B63604">
      <w:pPr>
        <w:pStyle w:val="NormalNumberedTextTLRI"/>
        <w:numPr>
          <w:ilvl w:val="2"/>
          <w:numId w:val="31"/>
        </w:numPr>
        <w:tabs>
          <w:tab w:val="clear" w:pos="720"/>
        </w:tabs>
        <w:spacing w:line="259" w:lineRule="auto"/>
      </w:pPr>
      <w:r w:rsidRPr="00113F13">
        <w:t>The TLRI acknowledges the concerns raised in the submissions about the increased privacy challenges created by developments in technology. In the TLRI’s view, it would be appropriate to align the definition of ‘sensitive information’ in the PIPA with that in the Privacy Act by adding biometric information and genetic information about an individual that is not otherwise health information to the PIPA definition.</w:t>
      </w:r>
    </w:p>
    <w:p w14:paraId="60574101" w14:textId="02FE07F6" w:rsidR="00FF302D" w:rsidRPr="00113F13" w:rsidRDefault="00FF302D" w:rsidP="00B63604">
      <w:pPr>
        <w:pStyle w:val="NormalNumberedTextTLRI"/>
        <w:numPr>
          <w:ilvl w:val="2"/>
          <w:numId w:val="31"/>
        </w:numPr>
        <w:tabs>
          <w:tab w:val="clear" w:pos="720"/>
        </w:tabs>
        <w:spacing w:line="259" w:lineRule="auto"/>
      </w:pPr>
      <w:r w:rsidRPr="00113F13">
        <w:t>The TLRI also recommends that the definition of ‘health information’ be amended to align with the definition of ‘personal information’ (</w:t>
      </w:r>
      <w:r w:rsidRPr="00EA22F8">
        <w:t>see [</w:t>
      </w:r>
      <w:r w:rsidR="00647CB1" w:rsidRPr="00EA22F8">
        <w:fldChar w:fldCharType="begin"/>
      </w:r>
      <w:r w:rsidR="00647CB1" w:rsidRPr="00EA22F8">
        <w:instrText xml:space="preserve"> REF _Ref149740797 \r \h </w:instrText>
      </w:r>
      <w:r w:rsidR="00647CB1">
        <w:instrText xml:space="preserve"> \* MERGEFORMAT </w:instrText>
      </w:r>
      <w:r w:rsidR="00647CB1" w:rsidRPr="00EA22F8">
        <w:fldChar w:fldCharType="separate"/>
      </w:r>
      <w:r w:rsidR="00462C30">
        <w:rPr>
          <w:cs/>
        </w:rPr>
        <w:t>‎</w:t>
      </w:r>
      <w:r w:rsidR="00462C30">
        <w:t>4.7.6</w:t>
      </w:r>
      <w:r w:rsidR="00647CB1" w:rsidRPr="00EA22F8">
        <w:fldChar w:fldCharType="end"/>
      </w:r>
      <w:r w:rsidRPr="00113F13">
        <w:t>]) for clarity and consistency.</w:t>
      </w:r>
    </w:p>
    <w:p w14:paraId="0E65A06D" w14:textId="77777777" w:rsidR="00FF302D" w:rsidRPr="00113F13" w:rsidRDefault="00FF302D" w:rsidP="000067D0">
      <w:pPr>
        <w:pStyle w:val="NormalNumberedTextTLRI"/>
      </w:pPr>
      <w:r w:rsidRPr="00113F13">
        <w:t>Additional reforms to the PIPA to align with proposals in the Privacy Act Review Report should also be considered, if those proposals are enacted at the Commonwealth level; namely,</w:t>
      </w:r>
    </w:p>
    <w:p w14:paraId="6BC84000" w14:textId="1368DDFC" w:rsidR="00FF302D" w:rsidRPr="00113F13" w:rsidRDefault="00FF302D" w:rsidP="000067D0">
      <w:pPr>
        <w:pStyle w:val="DotPointTLRI"/>
      </w:pPr>
      <w:r w:rsidRPr="00113F13">
        <w:t>amending the definition of ‘sensitive information’ to replace ‘about’ with ‘relat</w:t>
      </w:r>
      <w:r w:rsidR="009C7C57">
        <w:t>ing</w:t>
      </w:r>
      <w:r w:rsidRPr="00113F13">
        <w:t xml:space="preserve"> to’ (to align with the same proposed change to the definition of ‘personal information’);</w:t>
      </w:r>
    </w:p>
    <w:p w14:paraId="7C4C27FF" w14:textId="77777777" w:rsidR="00FF302D" w:rsidRPr="00113F13" w:rsidRDefault="00FF302D" w:rsidP="000067D0">
      <w:pPr>
        <w:pStyle w:val="DotPointTLRI"/>
      </w:pPr>
      <w:r w:rsidRPr="00113F13">
        <w:t>amending the definition of ‘sensitive information’ to include genomic information;</w:t>
      </w:r>
    </w:p>
    <w:p w14:paraId="10A76657" w14:textId="77777777" w:rsidR="00FF302D" w:rsidRPr="00113F13" w:rsidRDefault="00FF302D" w:rsidP="000067D0">
      <w:pPr>
        <w:pStyle w:val="DotPointTLRI"/>
      </w:pPr>
      <w:r w:rsidRPr="00113F13">
        <w:t>amending the definition of ‘sensitive information’ to include inferences about sensitive information; and</w:t>
      </w:r>
    </w:p>
    <w:p w14:paraId="010DBF19" w14:textId="77777777" w:rsidR="00FF302D" w:rsidRPr="00113F13" w:rsidRDefault="00FF302D" w:rsidP="000067D0">
      <w:pPr>
        <w:pStyle w:val="DotPointTLRI"/>
      </w:pPr>
      <w:r w:rsidRPr="00113F13">
        <w:lastRenderedPageBreak/>
        <w:t>defining geolocation tracking data and specifying that such data can only be collected, used, disclosed, and stored with consent.</w:t>
      </w:r>
    </w:p>
    <w:p w14:paraId="0768CAFF" w14:textId="77777777" w:rsidR="00FF302D" w:rsidRPr="00113F13" w:rsidRDefault="00FF302D" w:rsidP="00B63604">
      <w:pPr>
        <w:pStyle w:val="NormalNumberedTextTLRI"/>
        <w:numPr>
          <w:ilvl w:val="2"/>
          <w:numId w:val="31"/>
        </w:numPr>
        <w:tabs>
          <w:tab w:val="clear" w:pos="720"/>
        </w:tabs>
        <w:spacing w:line="259" w:lineRule="auto"/>
      </w:pPr>
      <w:r w:rsidRPr="00113F13">
        <w:t>The TLRI also notes that the Privacy Act Review discussed concerns that exist in relation to high privacy risk activities involving facial recognition and other biometric technologies. This was identified as a matter for a coordinated approach across government. The TLRI agrees that this is a matter of concern and similarly that a coordinated response both at a State and Commonwealth level should be adopted.</w:t>
      </w:r>
    </w:p>
    <w:p w14:paraId="5A4052DB" w14:textId="77777777" w:rsidR="00FF302D" w:rsidRPr="00113F13" w:rsidRDefault="00FF302D" w:rsidP="00BF1FE7">
      <w:pPr>
        <w:pStyle w:val="NumberedHeadingTLRI"/>
      </w:pPr>
      <w:bookmarkStart w:id="246" w:name="_Toc164606554"/>
      <w:r w:rsidRPr="00113F13">
        <w:t>Recommendations</w:t>
      </w:r>
      <w:bookmarkEnd w:id="2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76699DB6" w14:textId="77777777" w:rsidTr="00E81612">
        <w:tc>
          <w:tcPr>
            <w:tcW w:w="9016" w:type="dxa"/>
            <w:shd w:val="clear" w:color="auto" w:fill="E8E8E8" w:themeFill="background2"/>
          </w:tcPr>
          <w:p w14:paraId="70B78611" w14:textId="71FBF921" w:rsidR="00FF302D" w:rsidRPr="00113F13" w:rsidRDefault="00FF302D" w:rsidP="00E81612">
            <w:pPr>
              <w:spacing w:before="120"/>
              <w:rPr>
                <w:rFonts w:cs="Times New Roman"/>
              </w:rPr>
            </w:pPr>
            <w:r w:rsidRPr="00113F13">
              <w:rPr>
                <w:rFonts w:cs="Times New Roman"/>
                <w:b/>
                <w:bCs/>
              </w:rPr>
              <w:t>Recommendation 5:</w:t>
            </w:r>
            <w:r w:rsidRPr="00316F02">
              <w:rPr>
                <w:rFonts w:cs="Times New Roman"/>
              </w:rPr>
              <w:t xml:space="preserve"> </w:t>
            </w:r>
            <w:r w:rsidR="00316F02" w:rsidRPr="00316F02">
              <w:rPr>
                <w:rFonts w:cs="Times New Roman"/>
              </w:rPr>
              <w:t xml:space="preserve">The </w:t>
            </w:r>
            <w:r w:rsidRPr="00113F13">
              <w:rPr>
                <w:rFonts w:cs="Times New Roman"/>
              </w:rPr>
              <w:t xml:space="preserve">definition of ‘sensitive information’ in the PIPA </w:t>
            </w:r>
            <w:r w:rsidR="00316F02">
              <w:rPr>
                <w:rFonts w:cs="Times New Roman"/>
              </w:rPr>
              <w:t xml:space="preserve">should be amended </w:t>
            </w:r>
            <w:r w:rsidRPr="00113F13">
              <w:rPr>
                <w:rFonts w:cs="Times New Roman"/>
              </w:rPr>
              <w:t>to include:</w:t>
            </w:r>
          </w:p>
          <w:p w14:paraId="4B9F2EEA" w14:textId="77777777" w:rsidR="00FF302D" w:rsidRPr="00113F13" w:rsidRDefault="00FF302D" w:rsidP="00E81612">
            <w:pPr>
              <w:pStyle w:val="Dotpointlist"/>
              <w:numPr>
                <w:ilvl w:val="0"/>
                <w:numId w:val="6"/>
              </w:numPr>
              <w:spacing w:before="120" w:after="0" w:line="240" w:lineRule="auto"/>
              <w:jc w:val="both"/>
              <w:rPr>
                <w:rFonts w:ascii="Times New Roman" w:hAnsi="Times New Roman" w:cs="Times New Roman"/>
                <w:sz w:val="22"/>
              </w:rPr>
            </w:pPr>
            <w:r w:rsidRPr="00113F13">
              <w:rPr>
                <w:rFonts w:ascii="Times New Roman" w:hAnsi="Times New Roman" w:cs="Times New Roman"/>
              </w:rPr>
              <w:t xml:space="preserve">biometric information used for the purpose of automated biometric verification or biometric identification; </w:t>
            </w:r>
          </w:p>
          <w:p w14:paraId="34D7A0D9" w14:textId="77777777" w:rsidR="00FF302D" w:rsidRPr="00113F13" w:rsidRDefault="00FF302D" w:rsidP="00E81612">
            <w:pPr>
              <w:pStyle w:val="Dotpointlist"/>
              <w:numPr>
                <w:ilvl w:val="0"/>
                <w:numId w:val="6"/>
              </w:numPr>
              <w:spacing w:before="120" w:after="0" w:line="240" w:lineRule="auto"/>
              <w:jc w:val="both"/>
              <w:rPr>
                <w:rFonts w:ascii="Times New Roman" w:hAnsi="Times New Roman" w:cs="Times New Roman"/>
                <w:sz w:val="22"/>
              </w:rPr>
            </w:pPr>
            <w:r w:rsidRPr="00113F13">
              <w:rPr>
                <w:rFonts w:ascii="Times New Roman" w:hAnsi="Times New Roman" w:cs="Times New Roman"/>
              </w:rPr>
              <w:t>biometric templates; and</w:t>
            </w:r>
          </w:p>
          <w:p w14:paraId="4F427681" w14:textId="77777777" w:rsidR="00FF302D" w:rsidRPr="00113F13" w:rsidRDefault="00FF302D" w:rsidP="00E81612">
            <w:pPr>
              <w:pStyle w:val="Dotpointlist"/>
              <w:numPr>
                <w:ilvl w:val="0"/>
                <w:numId w:val="6"/>
              </w:numPr>
              <w:spacing w:before="120" w:after="0" w:line="240" w:lineRule="auto"/>
              <w:jc w:val="both"/>
              <w:rPr>
                <w:rFonts w:ascii="Times New Roman" w:hAnsi="Times New Roman" w:cs="Times New Roman"/>
                <w:sz w:val="22"/>
              </w:rPr>
            </w:pPr>
            <w:r w:rsidRPr="00113F13">
              <w:rPr>
                <w:rFonts w:ascii="Times New Roman" w:hAnsi="Times New Roman" w:cs="Times New Roman"/>
              </w:rPr>
              <w:t>genetic information about an individual that is not otherwise health information.</w:t>
            </w:r>
          </w:p>
          <w:p w14:paraId="43C90C41" w14:textId="35C0527E" w:rsidR="00FF302D" w:rsidRPr="00113F13" w:rsidRDefault="00FF302D" w:rsidP="00E81612">
            <w:pPr>
              <w:pStyle w:val="Dotpointlist"/>
              <w:numPr>
                <w:ilvl w:val="0"/>
                <w:numId w:val="0"/>
              </w:numPr>
              <w:spacing w:before="120" w:after="0"/>
              <w:jc w:val="both"/>
              <w:rPr>
                <w:rFonts w:ascii="Times New Roman" w:hAnsi="Times New Roman" w:cs="Times New Roman"/>
                <w:sz w:val="22"/>
              </w:rPr>
            </w:pPr>
            <w:r w:rsidRPr="00113F13">
              <w:rPr>
                <w:rFonts w:ascii="Times New Roman" w:hAnsi="Times New Roman" w:cs="Times New Roman"/>
                <w:b/>
                <w:bCs/>
              </w:rPr>
              <w:t>Recommendation 6</w:t>
            </w:r>
            <w:r w:rsidRPr="00113F13">
              <w:rPr>
                <w:rFonts w:ascii="Times New Roman" w:hAnsi="Times New Roman" w:cs="Times New Roman"/>
              </w:rPr>
              <w:t>: If recommendation 1 is implemented, the definition of ‘sensitive information’ should also be amended to replace ‘about’ with ‘relat</w:t>
            </w:r>
            <w:r w:rsidR="00693303">
              <w:rPr>
                <w:rFonts w:ascii="Times New Roman" w:hAnsi="Times New Roman" w:cs="Times New Roman"/>
              </w:rPr>
              <w:t>ing</w:t>
            </w:r>
            <w:r w:rsidRPr="00113F13">
              <w:rPr>
                <w:rFonts w:ascii="Times New Roman" w:hAnsi="Times New Roman" w:cs="Times New Roman"/>
              </w:rPr>
              <w:t xml:space="preserve"> to’.</w:t>
            </w:r>
          </w:p>
          <w:p w14:paraId="12E7E7D7" w14:textId="77777777" w:rsidR="00FF302D" w:rsidRPr="00FD47C5" w:rsidRDefault="00FF302D" w:rsidP="00E81612">
            <w:pPr>
              <w:pStyle w:val="Heading3"/>
              <w:numPr>
                <w:ilvl w:val="2"/>
                <w:numId w:val="0"/>
              </w:numPr>
              <w:spacing w:before="120" w:after="0"/>
              <w:rPr>
                <w:rFonts w:ascii="Times New Roman" w:hAnsi="Times New Roman" w:cs="Times New Roman"/>
                <w:color w:val="auto"/>
                <w:sz w:val="22"/>
                <w:szCs w:val="22"/>
              </w:rPr>
            </w:pPr>
            <w:bookmarkStart w:id="247" w:name="_Toc164600284"/>
            <w:r w:rsidRPr="00FD47C5">
              <w:rPr>
                <w:rFonts w:ascii="Times New Roman" w:hAnsi="Times New Roman" w:cs="Times New Roman"/>
                <w:b/>
                <w:color w:val="auto"/>
              </w:rPr>
              <w:t xml:space="preserve">Recommendation 7: </w:t>
            </w:r>
            <w:r w:rsidRPr="00FD47C5">
              <w:rPr>
                <w:rFonts w:ascii="Times New Roman" w:hAnsi="Times New Roman" w:cs="Times New Roman"/>
                <w:color w:val="auto"/>
              </w:rPr>
              <w:t>The definition of ‘health information’ in the PIPA should be amended to align with the definition of ‘personal information’.</w:t>
            </w:r>
            <w:bookmarkEnd w:id="247"/>
          </w:p>
          <w:p w14:paraId="65B5EEDB" w14:textId="77777777" w:rsidR="00FF302D" w:rsidRPr="00113F13" w:rsidRDefault="00FF302D" w:rsidP="00E81612">
            <w:pPr>
              <w:pStyle w:val="Dotpointlist"/>
              <w:numPr>
                <w:ilvl w:val="0"/>
                <w:numId w:val="0"/>
              </w:numPr>
              <w:spacing w:before="120" w:after="0"/>
              <w:jc w:val="both"/>
              <w:rPr>
                <w:rFonts w:ascii="Times New Roman" w:hAnsi="Times New Roman" w:cs="Times New Roman"/>
                <w:sz w:val="22"/>
              </w:rPr>
            </w:pPr>
            <w:r w:rsidRPr="00113F13">
              <w:rPr>
                <w:rFonts w:ascii="Times New Roman" w:hAnsi="Times New Roman" w:cs="Times New Roman"/>
                <w:b/>
                <w:bCs/>
              </w:rPr>
              <w:t>Recommendation 8</w:t>
            </w:r>
            <w:r w:rsidRPr="00113F13">
              <w:rPr>
                <w:rFonts w:ascii="Times New Roman" w:hAnsi="Times New Roman" w:cs="Times New Roman"/>
              </w:rPr>
              <w:t>: In line with developments at the Commonwealth level and the desirability of consistency with the approach in other jurisdictions, further consideration should be given to amending the PIPA to expand the definition of ‘sensitive information’ to:</w:t>
            </w:r>
          </w:p>
          <w:p w14:paraId="0F9939E7" w14:textId="3549BB30" w:rsidR="00FF302D" w:rsidRPr="00113F13" w:rsidRDefault="00FF302D" w:rsidP="00E81612">
            <w:pPr>
              <w:pStyle w:val="Dotpointlist"/>
              <w:numPr>
                <w:ilvl w:val="0"/>
                <w:numId w:val="5"/>
              </w:numPr>
              <w:spacing w:before="120" w:after="0" w:line="240" w:lineRule="auto"/>
              <w:jc w:val="both"/>
              <w:rPr>
                <w:rFonts w:ascii="Times New Roman" w:hAnsi="Times New Roman" w:cs="Times New Roman"/>
                <w:sz w:val="22"/>
              </w:rPr>
            </w:pPr>
            <w:r w:rsidRPr="00113F13">
              <w:rPr>
                <w:rFonts w:ascii="Times New Roman" w:hAnsi="Times New Roman" w:cs="Times New Roman"/>
              </w:rPr>
              <w:t>include genomic information;</w:t>
            </w:r>
            <w:r w:rsidR="00AA64C8">
              <w:rPr>
                <w:rFonts w:ascii="Times New Roman" w:hAnsi="Times New Roman" w:cs="Times New Roman"/>
              </w:rPr>
              <w:t xml:space="preserve"> and</w:t>
            </w:r>
          </w:p>
          <w:p w14:paraId="044F0D71" w14:textId="77777777" w:rsidR="00FF302D" w:rsidRPr="00113F13" w:rsidRDefault="00FF302D" w:rsidP="00E81612">
            <w:pPr>
              <w:pStyle w:val="Dotpointlist"/>
              <w:numPr>
                <w:ilvl w:val="0"/>
                <w:numId w:val="5"/>
              </w:numPr>
              <w:spacing w:before="120" w:after="0" w:line="240" w:lineRule="auto"/>
              <w:jc w:val="both"/>
              <w:rPr>
                <w:rFonts w:ascii="Times New Roman" w:hAnsi="Times New Roman" w:cs="Times New Roman"/>
                <w:sz w:val="22"/>
              </w:rPr>
            </w:pPr>
            <w:r w:rsidRPr="00113F13">
              <w:rPr>
                <w:rFonts w:ascii="Times New Roman" w:hAnsi="Times New Roman" w:cs="Times New Roman"/>
              </w:rPr>
              <w:t>include inferences about sensitive information.</w:t>
            </w:r>
          </w:p>
          <w:p w14:paraId="67C35634" w14:textId="77777777" w:rsidR="00FF302D" w:rsidRPr="00113F13" w:rsidRDefault="00FF302D" w:rsidP="00E81612">
            <w:pPr>
              <w:pStyle w:val="Dotpointlist"/>
              <w:numPr>
                <w:ilvl w:val="0"/>
                <w:numId w:val="0"/>
              </w:numPr>
              <w:spacing w:before="120" w:after="0"/>
              <w:jc w:val="both"/>
              <w:rPr>
                <w:rFonts w:ascii="Times New Roman" w:hAnsi="Times New Roman" w:cs="Times New Roman"/>
                <w:sz w:val="22"/>
              </w:rPr>
            </w:pPr>
            <w:r w:rsidRPr="00113F13">
              <w:rPr>
                <w:rFonts w:ascii="Times New Roman" w:hAnsi="Times New Roman" w:cs="Times New Roman"/>
                <w:b/>
                <w:bCs/>
              </w:rPr>
              <w:t>Recommendation 9:</w:t>
            </w:r>
            <w:r w:rsidRPr="00113F13">
              <w:rPr>
                <w:rFonts w:ascii="Times New Roman" w:hAnsi="Times New Roman" w:cs="Times New Roman"/>
              </w:rPr>
              <w:t xml:space="preserve"> Pending the outcome of the Commonwealth Privacy Act Review, further consideration be given to amending the PIPA to:</w:t>
            </w:r>
          </w:p>
          <w:p w14:paraId="4BCF04E6" w14:textId="77777777" w:rsidR="00FF302D" w:rsidRPr="00113F13" w:rsidRDefault="00FF302D" w:rsidP="00E81612">
            <w:pPr>
              <w:pStyle w:val="Dotpointlist"/>
              <w:numPr>
                <w:ilvl w:val="0"/>
                <w:numId w:val="4"/>
              </w:numPr>
              <w:spacing w:before="120" w:after="0" w:line="240" w:lineRule="auto"/>
              <w:jc w:val="both"/>
              <w:rPr>
                <w:rFonts w:ascii="Times New Roman" w:hAnsi="Times New Roman" w:cs="Times New Roman"/>
                <w:sz w:val="22"/>
              </w:rPr>
            </w:pPr>
            <w:r w:rsidRPr="00113F13">
              <w:rPr>
                <w:rFonts w:ascii="Times New Roman" w:hAnsi="Times New Roman" w:cs="Times New Roman"/>
              </w:rPr>
              <w:t xml:space="preserve">insert a definition of geolocation tracking data; and </w:t>
            </w:r>
          </w:p>
          <w:p w14:paraId="5FFBB6A2" w14:textId="77777777" w:rsidR="00FF302D" w:rsidRPr="00113F13" w:rsidRDefault="00FF302D" w:rsidP="00E81612">
            <w:pPr>
              <w:pStyle w:val="Dotpointlist"/>
              <w:numPr>
                <w:ilvl w:val="0"/>
                <w:numId w:val="4"/>
              </w:numPr>
              <w:spacing w:before="120" w:after="0" w:line="240" w:lineRule="auto"/>
              <w:jc w:val="both"/>
              <w:rPr>
                <w:rFonts w:ascii="Times New Roman" w:hAnsi="Times New Roman" w:cs="Times New Roman"/>
                <w:sz w:val="22"/>
              </w:rPr>
            </w:pPr>
            <w:r w:rsidRPr="00113F13">
              <w:rPr>
                <w:rFonts w:ascii="Times New Roman" w:hAnsi="Times New Roman" w:cs="Times New Roman"/>
              </w:rPr>
              <w:t>specify that such geolocation tracking data can only be collected, used, disclosed, and stored with consent</w:t>
            </w:r>
            <w:r w:rsidRPr="00113F13">
              <w:rPr>
                <w:rFonts w:ascii="Times New Roman" w:hAnsi="Times New Roman" w:cs="Times New Roman"/>
                <w:sz w:val="22"/>
              </w:rPr>
              <w:t>.</w:t>
            </w:r>
          </w:p>
          <w:p w14:paraId="569A3ED7" w14:textId="77777777" w:rsidR="00FF302D" w:rsidRPr="00113F13" w:rsidRDefault="00FF302D" w:rsidP="00754A3F">
            <w:pPr>
              <w:pStyle w:val="Dotpointlist"/>
              <w:numPr>
                <w:ilvl w:val="0"/>
                <w:numId w:val="0"/>
              </w:numPr>
              <w:spacing w:before="120" w:after="0"/>
              <w:ind w:left="720"/>
              <w:rPr>
                <w:rFonts w:ascii="Times New Roman" w:hAnsi="Times New Roman" w:cs="Times New Roman"/>
                <w:b/>
                <w:bCs/>
              </w:rPr>
            </w:pPr>
          </w:p>
        </w:tc>
      </w:tr>
    </w:tbl>
    <w:p w14:paraId="78C5097A" w14:textId="6A3FBA0E" w:rsidR="000067D0" w:rsidRPr="00113F13" w:rsidRDefault="000067D0" w:rsidP="00BF1FE7">
      <w:pPr>
        <w:pStyle w:val="NumberedHeadingTLRI"/>
        <w:numPr>
          <w:ilvl w:val="0"/>
          <w:numId w:val="0"/>
        </w:numPr>
      </w:pPr>
      <w:bookmarkStart w:id="248" w:name="_Toc85381229"/>
      <w:bookmarkStart w:id="249" w:name="_Toc85537748"/>
      <w:bookmarkStart w:id="250" w:name="_Toc85537882"/>
      <w:bookmarkStart w:id="251" w:name="_Toc77846284"/>
      <w:bookmarkStart w:id="252" w:name="_Toc77846336"/>
      <w:bookmarkStart w:id="253" w:name="_Toc77846388"/>
      <w:bookmarkStart w:id="254" w:name="_Toc77846548"/>
      <w:bookmarkStart w:id="255" w:name="_Toc77933339"/>
      <w:bookmarkStart w:id="256" w:name="_Toc77846285"/>
      <w:bookmarkStart w:id="257" w:name="_Toc77846337"/>
      <w:bookmarkStart w:id="258" w:name="_Toc77846389"/>
      <w:bookmarkStart w:id="259" w:name="_Toc77846549"/>
      <w:bookmarkStart w:id="260" w:name="_Toc77933340"/>
      <w:bookmarkStart w:id="261" w:name="_Toc91831999"/>
      <w:bookmarkStart w:id="262" w:name="_Toc130540433"/>
      <w:bookmarkStart w:id="263" w:name="_Ref140224397"/>
      <w:bookmarkEnd w:id="248"/>
      <w:bookmarkEnd w:id="249"/>
      <w:bookmarkEnd w:id="250"/>
      <w:bookmarkEnd w:id="251"/>
      <w:bookmarkEnd w:id="252"/>
      <w:bookmarkEnd w:id="253"/>
      <w:bookmarkEnd w:id="254"/>
      <w:bookmarkEnd w:id="255"/>
      <w:bookmarkEnd w:id="256"/>
      <w:bookmarkEnd w:id="257"/>
      <w:bookmarkEnd w:id="258"/>
      <w:bookmarkEnd w:id="259"/>
      <w:bookmarkEnd w:id="260"/>
    </w:p>
    <w:p w14:paraId="29D1ADB0" w14:textId="77777777" w:rsidR="000067D0" w:rsidRPr="00113F13" w:rsidRDefault="000067D0">
      <w:pPr>
        <w:spacing w:after="200" w:line="276" w:lineRule="auto"/>
        <w:jc w:val="left"/>
        <w:rPr>
          <w:rFonts w:eastAsia="Times" w:cs="Times New Roman"/>
          <w:b/>
          <w:sz w:val="32"/>
          <w:szCs w:val="20"/>
        </w:rPr>
      </w:pPr>
      <w:r w:rsidRPr="00113F13">
        <w:rPr>
          <w:rFonts w:cs="Times New Roman"/>
        </w:rPr>
        <w:br w:type="page"/>
      </w:r>
    </w:p>
    <w:p w14:paraId="4CD446A1" w14:textId="3A099085" w:rsidR="00FF302D" w:rsidRPr="00113F13" w:rsidRDefault="00FF302D" w:rsidP="00BF1FE7">
      <w:pPr>
        <w:pStyle w:val="NumberedHeadingTLRI"/>
      </w:pPr>
      <w:bookmarkStart w:id="264" w:name="_Toc164606555"/>
      <w:r w:rsidRPr="00113F13">
        <w:lastRenderedPageBreak/>
        <w:t xml:space="preserve">Information that receives a lower level of </w:t>
      </w:r>
      <w:bookmarkEnd w:id="261"/>
      <w:bookmarkEnd w:id="262"/>
      <w:r w:rsidRPr="00113F13">
        <w:t>protection under the PIPA or other privacy legislation</w:t>
      </w:r>
      <w:bookmarkEnd w:id="264"/>
      <w:r w:rsidRPr="00113F13">
        <w:t xml:space="preserve"> </w:t>
      </w:r>
    </w:p>
    <w:p w14:paraId="06A65D8B" w14:textId="77777777" w:rsidR="00FF302D" w:rsidRPr="00113F13" w:rsidRDefault="00FF302D" w:rsidP="000067D0">
      <w:pPr>
        <w:pStyle w:val="Headingunnumbered"/>
        <w:rPr>
          <w:rFonts w:cs="Times New Roman"/>
        </w:rPr>
      </w:pPr>
      <w:bookmarkStart w:id="265" w:name="_Toc164606556"/>
      <w:r w:rsidRPr="00113F13">
        <w:rPr>
          <w:rFonts w:cs="Times New Roman"/>
        </w:rPr>
        <w:t>The Tasmanian position</w:t>
      </w:r>
      <w:bookmarkEnd w:id="263"/>
      <w:bookmarkEnd w:id="265"/>
    </w:p>
    <w:p w14:paraId="375F42D0" w14:textId="77777777" w:rsidR="00FF302D" w:rsidRPr="00113F13" w:rsidRDefault="00FF302D" w:rsidP="00B63604">
      <w:pPr>
        <w:pStyle w:val="NormalNumberedTextTLRI"/>
        <w:numPr>
          <w:ilvl w:val="2"/>
          <w:numId w:val="31"/>
        </w:numPr>
        <w:tabs>
          <w:tab w:val="clear" w:pos="720"/>
        </w:tabs>
        <w:spacing w:line="259" w:lineRule="auto"/>
      </w:pPr>
      <w:r w:rsidRPr="00113F13">
        <w:t>In Tasmania, some types of information receive less than the general level of legislative privacy protection due to exceptions or exemptions created by the PIPA or other legislation. These are based on either the nature of the information or the context in which the information is used.</w:t>
      </w:r>
    </w:p>
    <w:p w14:paraId="5C92EA92" w14:textId="77777777" w:rsidR="00FF302D" w:rsidRPr="00113F13" w:rsidRDefault="00FF302D" w:rsidP="00B63604">
      <w:pPr>
        <w:pStyle w:val="NormalNumberedTextTLRI"/>
        <w:numPr>
          <w:ilvl w:val="2"/>
          <w:numId w:val="31"/>
        </w:numPr>
        <w:tabs>
          <w:tab w:val="clear" w:pos="720"/>
        </w:tabs>
        <w:spacing w:line="259" w:lineRule="auto"/>
      </w:pPr>
      <w:r w:rsidRPr="00113F13">
        <w:t>This sub-section discusses most instances of partial or complete exemptions from the PIPA. It does not discuss:</w:t>
      </w:r>
    </w:p>
    <w:p w14:paraId="0B3DC80C" w14:textId="557AD0CC" w:rsidR="00FF302D" w:rsidRPr="006B7E22" w:rsidRDefault="288D8F58" w:rsidP="000067D0">
      <w:pPr>
        <w:pStyle w:val="DotPointTLRI"/>
      </w:pPr>
      <w:r>
        <w:t xml:space="preserve">exceptions applying to certain bodies such as courts and tribunals and various public legal officers, which are addressed </w:t>
      </w:r>
      <w:r w:rsidRPr="006B7E22">
        <w:t>in</w:t>
      </w:r>
      <w:r w:rsidR="006B7E22" w:rsidRPr="006B7E22">
        <w:t xml:space="preserve"> </w:t>
      </w:r>
      <w:r w:rsidRPr="00EA22F8">
        <w:t>Part 3</w:t>
      </w:r>
      <w:r w:rsidRPr="006B7E22">
        <w:t xml:space="preserve"> above; or</w:t>
      </w:r>
    </w:p>
    <w:p w14:paraId="5C302224" w14:textId="77777777" w:rsidR="00FF302D" w:rsidRPr="00113F13" w:rsidRDefault="00FF302D" w:rsidP="000067D0">
      <w:pPr>
        <w:pStyle w:val="DotPointTLRI"/>
      </w:pPr>
      <w:r w:rsidRPr="006B7E22">
        <w:t xml:space="preserve">exceptions relating to the handling of information in a way authorised by law, including by other legislation ancillary to the PIPA, which are discussed in </w:t>
      </w:r>
      <w:r w:rsidRPr="00EA22F8">
        <w:t>Parts 4 and 6,</w:t>
      </w:r>
      <w:r w:rsidRPr="00113F13">
        <w:t xml:space="preserve"> below.</w:t>
      </w:r>
    </w:p>
    <w:p w14:paraId="3D9A983E" w14:textId="77777777" w:rsidR="00FF302D" w:rsidRPr="00113F13" w:rsidRDefault="00FF302D" w:rsidP="000067D0">
      <w:pPr>
        <w:pStyle w:val="Sub-HeadingTLRI"/>
      </w:pPr>
      <w:bookmarkStart w:id="266" w:name="_Toc164606557"/>
      <w:r w:rsidRPr="00113F13">
        <w:t>Basic personal information</w:t>
      </w:r>
      <w:bookmarkEnd w:id="266"/>
    </w:p>
    <w:p w14:paraId="6ECF6234" w14:textId="77777777" w:rsidR="00FF302D" w:rsidRPr="00113F13" w:rsidRDefault="00FF302D" w:rsidP="00B63604">
      <w:pPr>
        <w:pStyle w:val="NormalNumberedTextTLRI"/>
        <w:numPr>
          <w:ilvl w:val="2"/>
          <w:numId w:val="31"/>
        </w:numPr>
        <w:tabs>
          <w:tab w:val="clear" w:pos="720"/>
        </w:tabs>
        <w:spacing w:line="259" w:lineRule="auto"/>
      </w:pPr>
      <w:bookmarkStart w:id="267" w:name="_‘Basic_personal_information’"/>
      <w:bookmarkStart w:id="268" w:name="_Ref91322283"/>
      <w:bookmarkEnd w:id="267"/>
      <w:r w:rsidRPr="00113F13">
        <w:t>In the PIPA, ‘basic personal information’ is defined to mean the name, residential address, postal address, date of birth, and gender of an individual.</w:t>
      </w:r>
      <w:r w:rsidRPr="00113F13">
        <w:rPr>
          <w:rStyle w:val="FootnoteReference"/>
          <w:rFonts w:ascii="Times New Roman" w:hAnsi="Times New Roman"/>
        </w:rPr>
        <w:footnoteReference w:id="276"/>
      </w:r>
      <w:bookmarkEnd w:id="268"/>
      <w:r w:rsidRPr="00113F13">
        <w:t xml:space="preserve"> </w:t>
      </w:r>
    </w:p>
    <w:p w14:paraId="24F7635F" w14:textId="6691CE4B" w:rsidR="00FF302D" w:rsidRPr="00113F13" w:rsidRDefault="00FF302D" w:rsidP="00B63604">
      <w:pPr>
        <w:pStyle w:val="NormalNumberedTextTLRI"/>
        <w:numPr>
          <w:ilvl w:val="2"/>
          <w:numId w:val="31"/>
        </w:numPr>
        <w:tabs>
          <w:tab w:val="clear" w:pos="720"/>
        </w:tabs>
        <w:spacing w:line="259" w:lineRule="auto"/>
      </w:pPr>
      <w:bookmarkStart w:id="269" w:name="_Ref89964595"/>
      <w:bookmarkStart w:id="270" w:name="_Ref129298885"/>
      <w:bookmarkStart w:id="271" w:name="_Ref164776813"/>
      <w:r w:rsidRPr="00113F13">
        <w:t>Section 12 of the PIPA permits personal information custodians that are public authorities</w:t>
      </w:r>
      <w:r w:rsidRPr="00113F13">
        <w:rPr>
          <w:rStyle w:val="FootnoteReference"/>
          <w:rFonts w:ascii="Times New Roman" w:hAnsi="Times New Roman"/>
        </w:rPr>
        <w:footnoteReference w:id="277"/>
      </w:r>
      <w:r w:rsidRPr="00113F13">
        <w:t xml:space="preserve"> to use or disclose basic personal information for a purpose other than the primary purpose of collection without the individual’s consent in a narrow set of circumstances. These are: (</w:t>
      </w:r>
      <w:r w:rsidR="00FF5B00">
        <w:t>1</w:t>
      </w:r>
      <w:r w:rsidRPr="00113F13">
        <w:t>) where the use or disclosure is reasonably necessary for the efficient storage and use of the information; and (</w:t>
      </w:r>
      <w:r w:rsidR="00FF5B00">
        <w:t>2</w:t>
      </w:r>
      <w:r w:rsidRPr="00113F13">
        <w:t>) where the information is only used by, or disclosed to, ‘another public sector body’</w:t>
      </w:r>
      <w:bookmarkEnd w:id="269"/>
      <w:bookmarkEnd w:id="270"/>
      <w:r w:rsidRPr="00113F13">
        <w:t>.</w:t>
      </w:r>
      <w:bookmarkEnd w:id="271"/>
    </w:p>
    <w:p w14:paraId="41ABFE5E" w14:textId="77777777" w:rsidR="00FF302D" w:rsidRPr="00113F13" w:rsidRDefault="00FF302D" w:rsidP="000067D0">
      <w:pPr>
        <w:pStyle w:val="Sub-HeadingTLRI"/>
      </w:pPr>
      <w:bookmarkStart w:id="272" w:name="_Toc164606558"/>
      <w:r w:rsidRPr="00113F13">
        <w:t>Employee information</w:t>
      </w:r>
      <w:bookmarkEnd w:id="272"/>
    </w:p>
    <w:p w14:paraId="7E4A213B" w14:textId="77777777" w:rsidR="00FF302D" w:rsidRPr="00113F13" w:rsidRDefault="00FF302D" w:rsidP="00B63604">
      <w:pPr>
        <w:pStyle w:val="NormalNumberedTextTLRI"/>
        <w:numPr>
          <w:ilvl w:val="2"/>
          <w:numId w:val="31"/>
        </w:numPr>
        <w:tabs>
          <w:tab w:val="clear" w:pos="720"/>
        </w:tabs>
        <w:spacing w:line="259" w:lineRule="auto"/>
      </w:pPr>
      <w:bookmarkStart w:id="273" w:name="_Ref164775093"/>
      <w:r w:rsidRPr="00113F13">
        <w:t>The PIPA defines ‘employee information’ non-exhaustively as personal information about an individual relating to their current, past, or prospective employment in relation to a range of matters such as the individual’s selection, employment, training, discipline or resignation, their termination, or the terms and conditions of their employment.</w:t>
      </w:r>
      <w:r w:rsidRPr="00113F13">
        <w:rPr>
          <w:rStyle w:val="FootnoteReference"/>
          <w:rFonts w:ascii="Times New Roman" w:hAnsi="Times New Roman"/>
        </w:rPr>
        <w:footnoteReference w:id="278"/>
      </w:r>
      <w:bookmarkEnd w:id="273"/>
      <w:r w:rsidRPr="00113F13">
        <w:t xml:space="preserve"> </w:t>
      </w:r>
    </w:p>
    <w:p w14:paraId="7CE9C067" w14:textId="77777777" w:rsidR="00FF302D" w:rsidRPr="00113F13" w:rsidRDefault="00FF302D" w:rsidP="00B63604">
      <w:pPr>
        <w:pStyle w:val="NormalNumberedTextTLRI"/>
        <w:numPr>
          <w:ilvl w:val="2"/>
          <w:numId w:val="31"/>
        </w:numPr>
        <w:tabs>
          <w:tab w:val="clear" w:pos="720"/>
        </w:tabs>
        <w:spacing w:line="259" w:lineRule="auto"/>
      </w:pPr>
      <w:r w:rsidRPr="00113F13">
        <w:t>While employee information is characterised as a form of personal information,</w:t>
      </w:r>
      <w:r w:rsidRPr="00113F13">
        <w:rPr>
          <w:rStyle w:val="FootnoteReference"/>
          <w:rFonts w:ascii="Times New Roman" w:hAnsi="Times New Roman"/>
        </w:rPr>
        <w:footnoteReference w:id="279"/>
      </w:r>
      <w:r w:rsidRPr="00113F13">
        <w:t xml:space="preserve"> it is accorded distinct treatment under the PIPA in the sense that certain PIPP requirements do not apply to employee information. These include requirements relating to:</w:t>
      </w:r>
    </w:p>
    <w:p w14:paraId="2E8725E2" w14:textId="40D8BCAF" w:rsidR="00FF302D" w:rsidRPr="003215A2" w:rsidRDefault="00FF302D" w:rsidP="000067D0">
      <w:pPr>
        <w:pStyle w:val="DotPointTLRI"/>
      </w:pPr>
      <w:r w:rsidRPr="00113F13">
        <w:t xml:space="preserve">collection—the requirements in PIPP 1(4) and (5) that personal information about an individual be collected from that individual where it is reasonable and practicable, and the </w:t>
      </w:r>
      <w:r w:rsidRPr="003215A2">
        <w:t xml:space="preserve">requirement </w:t>
      </w:r>
      <w:r w:rsidRPr="003215A2">
        <w:lastRenderedPageBreak/>
        <w:t>that the individual be informed of the collection and related matters (discussed further in</w:t>
      </w:r>
      <w:r w:rsidRPr="00EA22F8">
        <w:t xml:space="preserve"> Part 5</w:t>
      </w:r>
      <w:r w:rsidRPr="003215A2">
        <w:t>, do not apply to employee information;</w:t>
      </w:r>
    </w:p>
    <w:p w14:paraId="11C50953" w14:textId="0865F22C" w:rsidR="00FF302D" w:rsidRPr="003215A2" w:rsidRDefault="00FF302D" w:rsidP="000067D0">
      <w:pPr>
        <w:pStyle w:val="DotPointTLRI"/>
      </w:pPr>
      <w:r w:rsidRPr="003215A2">
        <w:t>use of unique identifiers—the limitations on the assignment, adoption, use, disclosure, or requirement of unique identifiers in PIPP 7 (discusse</w:t>
      </w:r>
      <w:r w:rsidRPr="00EA22F8">
        <w:t>d further in Part 7</w:t>
      </w:r>
      <w:r w:rsidR="00F07A06">
        <w:t>)</w:t>
      </w:r>
      <w:r w:rsidRPr="003215A2">
        <w:t xml:space="preserve"> do not apply in relation to employee information; and</w:t>
      </w:r>
    </w:p>
    <w:p w14:paraId="4F036DCC" w14:textId="5A4FEDA6" w:rsidR="00FF302D" w:rsidRPr="003215A2" w:rsidRDefault="00FF302D" w:rsidP="000067D0">
      <w:pPr>
        <w:pStyle w:val="DotPointTLRI"/>
      </w:pPr>
      <w:r w:rsidRPr="003215A2">
        <w:t xml:space="preserve">sensitive information—to the extent that the employee information includes sensitive information that would otherwise be subject to additional protections under PIPP 10 (discussed further </w:t>
      </w:r>
      <w:r w:rsidRPr="00EA22F8">
        <w:softHyphen/>
        <w:t>in Part 5</w:t>
      </w:r>
      <w:r w:rsidRPr="003215A2">
        <w:t>), these additional protections do not apply.</w:t>
      </w:r>
      <w:r w:rsidRPr="003215A2">
        <w:rPr>
          <w:rStyle w:val="FootnoteReference"/>
          <w:rFonts w:ascii="Times New Roman" w:hAnsi="Times New Roman"/>
        </w:rPr>
        <w:footnoteReference w:id="280"/>
      </w:r>
    </w:p>
    <w:p w14:paraId="5198113C" w14:textId="5A5F8E5F" w:rsidR="00FF302D" w:rsidRPr="00113F13" w:rsidRDefault="00FF302D" w:rsidP="00B63604">
      <w:pPr>
        <w:pStyle w:val="NormalNumberedTextTLRI"/>
        <w:numPr>
          <w:ilvl w:val="2"/>
          <w:numId w:val="31"/>
        </w:numPr>
        <w:tabs>
          <w:tab w:val="clear" w:pos="720"/>
        </w:tabs>
        <w:spacing w:line="259" w:lineRule="auto"/>
      </w:pPr>
      <w:r w:rsidRPr="003215A2">
        <w:t>Employee information is also treated differently in PIPP 2, which concerns the use and disclosure of personal information. PIPP 2 holds that personal information can generally only be used and disclosed for the purpose for which it was collected (see</w:t>
      </w:r>
      <w:r w:rsidRPr="00EA22F8">
        <w:t xml:space="preserve"> Part 5)</w:t>
      </w:r>
      <w:r w:rsidRPr="003215A2">
        <w:t>, but express exceptions</w:t>
      </w:r>
      <w:r w:rsidRPr="00113F13">
        <w:t xml:space="preserve"> allow other use or disclosure of employee information, if:</w:t>
      </w:r>
    </w:p>
    <w:p w14:paraId="51DA1ABD" w14:textId="77777777" w:rsidR="00FF302D" w:rsidRPr="00113F13" w:rsidRDefault="00FF302D" w:rsidP="000067D0">
      <w:pPr>
        <w:pStyle w:val="DotPointTLRI"/>
      </w:pPr>
      <w:r w:rsidRPr="00113F13">
        <w:t>it is to be used to assess a person’s suitability for appointment or for employment they already hold;</w:t>
      </w:r>
      <w:r w:rsidRPr="00113F13">
        <w:rPr>
          <w:rStyle w:val="FootnoteReference"/>
          <w:rFonts w:ascii="Times New Roman" w:hAnsi="Times New Roman"/>
        </w:rPr>
        <w:footnoteReference w:id="281"/>
      </w:r>
      <w:r w:rsidRPr="00113F13">
        <w:t xml:space="preserve"> or</w:t>
      </w:r>
    </w:p>
    <w:p w14:paraId="3740ACBD" w14:textId="77777777" w:rsidR="00FF302D" w:rsidRPr="00113F13" w:rsidRDefault="00FF302D" w:rsidP="000067D0">
      <w:pPr>
        <w:pStyle w:val="DotPointTLRI"/>
      </w:pPr>
      <w:r w:rsidRPr="00113F13">
        <w:t>it is being transferred to another personal information custodian for use as employee information.</w:t>
      </w:r>
      <w:r w:rsidRPr="00113F13">
        <w:rPr>
          <w:rStyle w:val="FootnoteReference"/>
          <w:rFonts w:ascii="Times New Roman" w:hAnsi="Times New Roman"/>
        </w:rPr>
        <w:footnoteReference w:id="282"/>
      </w:r>
    </w:p>
    <w:p w14:paraId="472F8D9A" w14:textId="77777777" w:rsidR="00FF302D" w:rsidRPr="00113F13" w:rsidRDefault="00FF302D" w:rsidP="000067D0">
      <w:pPr>
        <w:pStyle w:val="Sub-HeadingTLRI"/>
      </w:pPr>
      <w:bookmarkStart w:id="274" w:name="_Toc164606559"/>
      <w:r w:rsidRPr="00113F13">
        <w:t>Public information</w:t>
      </w:r>
      <w:bookmarkEnd w:id="274"/>
    </w:p>
    <w:p w14:paraId="0658169B" w14:textId="77777777" w:rsidR="00FF302D" w:rsidRPr="00113F13" w:rsidRDefault="00FF302D" w:rsidP="00B63604">
      <w:pPr>
        <w:pStyle w:val="NormalNumberedTextTLRI"/>
        <w:numPr>
          <w:ilvl w:val="2"/>
          <w:numId w:val="31"/>
        </w:numPr>
        <w:tabs>
          <w:tab w:val="clear" w:pos="720"/>
        </w:tabs>
        <w:spacing w:line="259" w:lineRule="auto"/>
      </w:pPr>
      <w:r w:rsidRPr="00113F13">
        <w:t>The PIPA does not apply to public information,</w:t>
      </w:r>
      <w:r w:rsidRPr="00113F13">
        <w:rPr>
          <w:rStyle w:val="FootnoteReference"/>
          <w:rFonts w:ascii="Times New Roman" w:hAnsi="Times New Roman"/>
        </w:rPr>
        <w:footnoteReference w:id="283"/>
      </w:r>
      <w:r w:rsidRPr="00113F13">
        <w:t xml:space="preserve"> meaning: </w:t>
      </w:r>
    </w:p>
    <w:p w14:paraId="7C67DA9F" w14:textId="77777777" w:rsidR="00FF302D" w:rsidRPr="00113F13" w:rsidRDefault="00FF302D" w:rsidP="000067D0">
      <w:pPr>
        <w:pStyle w:val="Indentedquote"/>
        <w:rPr>
          <w:rFonts w:cs="Times New Roman"/>
        </w:rPr>
      </w:pPr>
      <w:r w:rsidRPr="00113F13">
        <w:rPr>
          <w:rFonts w:cs="Times New Roman"/>
        </w:rPr>
        <w:t xml:space="preserve">‘any personal information that is: </w:t>
      </w:r>
    </w:p>
    <w:p w14:paraId="373B0D4F" w14:textId="77777777" w:rsidR="00FF302D" w:rsidRPr="00113F13" w:rsidRDefault="00FF302D" w:rsidP="000067D0">
      <w:pPr>
        <w:pStyle w:val="Indentedquote"/>
        <w:rPr>
          <w:rFonts w:cs="Times New Roman"/>
        </w:rPr>
      </w:pPr>
      <w:r w:rsidRPr="00113F13">
        <w:rPr>
          <w:rFonts w:cs="Times New Roman"/>
        </w:rPr>
        <w:t xml:space="preserve">(a) contained in a publicly available record or publication; or </w:t>
      </w:r>
    </w:p>
    <w:p w14:paraId="6F7A59CD" w14:textId="77777777" w:rsidR="00FF302D" w:rsidRPr="00113F13" w:rsidRDefault="00FF302D" w:rsidP="000067D0">
      <w:pPr>
        <w:pStyle w:val="Indentedquote"/>
        <w:rPr>
          <w:rFonts w:cs="Times New Roman"/>
        </w:rPr>
      </w:pPr>
      <w:r w:rsidRPr="00113F13">
        <w:rPr>
          <w:rFonts w:cs="Times New Roman"/>
        </w:rPr>
        <w:t>(b) taken to be public information under any Act’.</w:t>
      </w:r>
      <w:r w:rsidRPr="00113F13">
        <w:rPr>
          <w:rStyle w:val="FootnoteReference"/>
          <w:rFonts w:ascii="Times New Roman" w:hAnsi="Times New Roman" w:cs="Times New Roman"/>
        </w:rPr>
        <w:footnoteReference w:id="284"/>
      </w:r>
      <w:r w:rsidRPr="00113F13">
        <w:rPr>
          <w:rFonts w:cs="Times New Roman"/>
        </w:rPr>
        <w:t xml:space="preserve"> </w:t>
      </w:r>
    </w:p>
    <w:p w14:paraId="43D3FFF7" w14:textId="77777777" w:rsidR="00FF302D" w:rsidRPr="00113F13" w:rsidRDefault="00FF302D" w:rsidP="000067D0">
      <w:pPr>
        <w:pStyle w:val="Sub-HeadingTLRI"/>
      </w:pPr>
      <w:bookmarkStart w:id="275" w:name="_Toc164606560"/>
      <w:r w:rsidRPr="00113F13">
        <w:t>Law enforcement information</w:t>
      </w:r>
      <w:bookmarkEnd w:id="275"/>
      <w:r w:rsidRPr="00113F13">
        <w:t xml:space="preserve"> </w:t>
      </w:r>
    </w:p>
    <w:p w14:paraId="370F6F30" w14:textId="77777777" w:rsidR="00FF302D" w:rsidRPr="00113F13" w:rsidRDefault="00FF302D" w:rsidP="00B63604">
      <w:pPr>
        <w:pStyle w:val="NormalNumberedTextTLRI"/>
        <w:numPr>
          <w:ilvl w:val="2"/>
          <w:numId w:val="31"/>
        </w:numPr>
        <w:tabs>
          <w:tab w:val="clear" w:pos="720"/>
        </w:tabs>
        <w:spacing w:line="259" w:lineRule="auto"/>
      </w:pPr>
      <w:r w:rsidRPr="00113F13">
        <w:t>In the PIPA, personal information custodians that are a law enforcement agency may be exempt from one or more PIPP requirements in certain circumstances. The PIPA definition of ‘law enforcement agency’ encompasses a range of bodies, including police forces (of the Commonwealth, Tasmania, other States or Territories, and foreign countries), Tasmanian entities responsible for protecting public revenue (for example, levies, taxes, rates, and royalties), and Tasmanian entities responsible for administering or performing functions that impose a penalty or sanction.</w:t>
      </w:r>
      <w:r w:rsidRPr="00113F13">
        <w:rPr>
          <w:rStyle w:val="FootnoteReference"/>
          <w:rFonts w:ascii="Times New Roman" w:hAnsi="Times New Roman"/>
        </w:rPr>
        <w:footnoteReference w:id="285"/>
      </w:r>
    </w:p>
    <w:p w14:paraId="662950B6" w14:textId="1EE5C694" w:rsidR="00FF302D" w:rsidRPr="00EA22F8" w:rsidRDefault="00FF302D" w:rsidP="00B63604">
      <w:pPr>
        <w:pStyle w:val="NormalNumberedTextTLRI"/>
        <w:numPr>
          <w:ilvl w:val="2"/>
          <w:numId w:val="31"/>
        </w:numPr>
        <w:tabs>
          <w:tab w:val="clear" w:pos="720"/>
        </w:tabs>
        <w:spacing w:line="259" w:lineRule="auto"/>
      </w:pPr>
      <w:bookmarkStart w:id="276" w:name="_Ref164776333"/>
      <w:r w:rsidRPr="00113F13">
        <w:t xml:space="preserve">Under the PIPA, several obligations or limitations on personal information custodians’ information handling under PIPPs 1, 2, 5, 7, 9 and 10 do not apply to ‘law enforcement information’ </w:t>
      </w:r>
      <w:r w:rsidRPr="00113F13">
        <w:lastRenderedPageBreak/>
        <w:t>collected or held by one of these law enforcement agencies.</w:t>
      </w:r>
      <w:r w:rsidRPr="00113F13">
        <w:rPr>
          <w:rStyle w:val="FootnoteReference"/>
          <w:rFonts w:ascii="Times New Roman" w:hAnsi="Times New Roman"/>
        </w:rPr>
        <w:footnoteReference w:id="286"/>
      </w:r>
      <w:r w:rsidRPr="00113F13">
        <w:t xml:space="preserve"> These include, among others: the requirement to take reasonable steps to notify an individual of certain details before, during, or after the collection of personal information;</w:t>
      </w:r>
      <w:r w:rsidRPr="00113F13">
        <w:rPr>
          <w:rStyle w:val="FootnoteReference"/>
          <w:rFonts w:ascii="Times New Roman" w:hAnsi="Times New Roman"/>
        </w:rPr>
        <w:footnoteReference w:id="287"/>
      </w:r>
      <w:r w:rsidRPr="00113F13">
        <w:t xml:space="preserve"> the prohibition on use or disclosure of personal information except in the circumstances specified in PIPP 2;</w:t>
      </w:r>
      <w:r w:rsidRPr="00113F13">
        <w:rPr>
          <w:rStyle w:val="FootnoteReference"/>
          <w:rFonts w:ascii="Times New Roman" w:hAnsi="Times New Roman"/>
        </w:rPr>
        <w:footnoteReference w:id="288"/>
      </w:r>
      <w:r w:rsidRPr="00113F13">
        <w:t xml:space="preserve"> and the prohibition on the collection of sensitive information except in the circumstances </w:t>
      </w:r>
      <w:r w:rsidRPr="003215A2">
        <w:t>specified in PIPP 10</w:t>
      </w:r>
      <w:r w:rsidRPr="003215A2">
        <w:rPr>
          <w:rStyle w:val="FootnoteReference"/>
          <w:rFonts w:ascii="Times New Roman" w:hAnsi="Times New Roman"/>
        </w:rPr>
        <w:footnoteReference w:id="289"/>
      </w:r>
      <w:r w:rsidRPr="003215A2">
        <w:t xml:space="preserve"> (which are discussed i</w:t>
      </w:r>
      <w:r w:rsidRPr="00EA22F8">
        <w:t xml:space="preserve">n detail in Part </w:t>
      </w:r>
      <w:r w:rsidR="00C50AE6" w:rsidRPr="00EA22F8">
        <w:t>5</w:t>
      </w:r>
      <w:r w:rsidRPr="00EA22F8">
        <w:t xml:space="preserve"> of this Report).</w:t>
      </w:r>
      <w:bookmarkEnd w:id="276"/>
    </w:p>
    <w:p w14:paraId="5A0A52DF" w14:textId="77777777" w:rsidR="00FF302D" w:rsidRPr="00113F13" w:rsidRDefault="00FF302D" w:rsidP="00B63604">
      <w:pPr>
        <w:pStyle w:val="NormalNumberedTextTLRI"/>
        <w:numPr>
          <w:ilvl w:val="2"/>
          <w:numId w:val="31"/>
        </w:numPr>
        <w:tabs>
          <w:tab w:val="clear" w:pos="720"/>
        </w:tabs>
        <w:spacing w:line="259" w:lineRule="auto"/>
      </w:pPr>
      <w:bookmarkStart w:id="277" w:name="_Ref164776956"/>
      <w:r w:rsidRPr="003215A2">
        <w:t>The law enforcement exemption applies where the law enforcement agency considers that</w:t>
      </w:r>
      <w:r w:rsidRPr="00113F13">
        <w:t xml:space="preserve"> non-compliance with the PIPP is reasonably necessary:</w:t>
      </w:r>
      <w:bookmarkEnd w:id="277"/>
    </w:p>
    <w:p w14:paraId="591A1F69" w14:textId="77777777" w:rsidR="00FF302D" w:rsidRPr="00113F13" w:rsidRDefault="00FF302D" w:rsidP="00A142A1">
      <w:pPr>
        <w:pStyle w:val="DotPointTLRI"/>
      </w:pPr>
      <w:r w:rsidRPr="00113F13">
        <w:t xml:space="preserve">for the purpose of any of its functions or activities; </w:t>
      </w:r>
    </w:p>
    <w:p w14:paraId="5A33D649" w14:textId="77777777" w:rsidR="00FF302D" w:rsidRPr="00113F13" w:rsidRDefault="00FF302D" w:rsidP="00A142A1">
      <w:pPr>
        <w:pStyle w:val="DotPointTLRI"/>
      </w:pPr>
      <w:r w:rsidRPr="00113F13">
        <w:t>for the enforcement of laws relating to confiscating proceeds of crime; or</w:t>
      </w:r>
    </w:p>
    <w:p w14:paraId="11B091E1" w14:textId="77777777" w:rsidR="00FF302D" w:rsidRPr="00113F13" w:rsidRDefault="00FF302D" w:rsidP="00A142A1">
      <w:pPr>
        <w:pStyle w:val="DotPointTLRI"/>
      </w:pPr>
      <w:r w:rsidRPr="00113F13">
        <w:t>in connection with the conduct of proceedings in any court or tribunal.</w:t>
      </w:r>
      <w:r w:rsidRPr="00113F13">
        <w:rPr>
          <w:rStyle w:val="FootnoteReference"/>
          <w:rFonts w:ascii="Times New Roman" w:hAnsi="Times New Roman"/>
        </w:rPr>
        <w:footnoteReference w:id="290"/>
      </w:r>
      <w:r w:rsidRPr="00113F13">
        <w:t xml:space="preserve"> </w:t>
      </w:r>
    </w:p>
    <w:p w14:paraId="3DD912AB"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Information may also be subject to exceptions where it could be </w:t>
      </w:r>
      <w:r w:rsidRPr="00113F13">
        <w:rPr>
          <w:i/>
          <w:iCs/>
        </w:rPr>
        <w:t xml:space="preserve">useful to </w:t>
      </w:r>
      <w:r w:rsidRPr="00113F13">
        <w:t>law enforcement agencies. PIPP 2 generally requires that personal information be used and disclosed only for the purpose for which it was collected. However, an exception exists where the information custodian reasonably believes that its use and disclosure is reasonably necessary for various purposes by a law enforcement agency or on its behalf.</w:t>
      </w:r>
      <w:r w:rsidRPr="00113F13">
        <w:rPr>
          <w:rStyle w:val="FootnoteReference"/>
          <w:rFonts w:ascii="Times New Roman" w:hAnsi="Times New Roman"/>
        </w:rPr>
        <w:footnoteReference w:id="291"/>
      </w:r>
    </w:p>
    <w:p w14:paraId="4BAE1139" w14:textId="5941557B" w:rsidR="00FF302D" w:rsidRPr="00113F13" w:rsidRDefault="00FF302D" w:rsidP="00B63604">
      <w:pPr>
        <w:pStyle w:val="NormalNumberedTextTLRI"/>
        <w:numPr>
          <w:ilvl w:val="2"/>
          <w:numId w:val="31"/>
        </w:numPr>
        <w:tabs>
          <w:tab w:val="clear" w:pos="720"/>
        </w:tabs>
        <w:spacing w:line="259" w:lineRule="auto"/>
      </w:pPr>
      <w:r w:rsidRPr="00113F13">
        <w:t>The term ‘law enforcement information’ is defined in the PIPA by reference to ‘information referred to in s 30 of the Right to Information Act 2009’.</w:t>
      </w:r>
      <w:r w:rsidRPr="00113F13">
        <w:rPr>
          <w:rStyle w:val="FootnoteReference"/>
          <w:rFonts w:ascii="Times New Roman" w:hAnsi="Times New Roman"/>
        </w:rPr>
        <w:footnoteReference w:id="292"/>
      </w:r>
      <w:r w:rsidRPr="00113F13">
        <w:t xml:space="preserve"> That section of the </w:t>
      </w:r>
      <w:r w:rsidRPr="00113F13">
        <w:rPr>
          <w:i/>
          <w:iCs/>
        </w:rPr>
        <w:t>Right to Information Act 2009</w:t>
      </w:r>
      <w:r w:rsidRPr="00113F13">
        <w:t xml:space="preserve"> (Tas) (</w:t>
      </w:r>
      <w:r w:rsidR="00C04E8D">
        <w:t>‘</w:t>
      </w:r>
      <w:r w:rsidRPr="00113F13">
        <w:t>RTI Act’) states that information is law enforcement information, if its disclosure would or would be reasonably likely to:</w:t>
      </w:r>
    </w:p>
    <w:p w14:paraId="6FD78F25" w14:textId="77777777" w:rsidR="00FF302D" w:rsidRPr="00113F13" w:rsidRDefault="00FF302D" w:rsidP="00A142A1">
      <w:pPr>
        <w:pStyle w:val="DotPointTLRI"/>
      </w:pPr>
      <w:r w:rsidRPr="00113F13">
        <w:t>prejudice the investigation of a breach or enforcement or proper administration of the law;</w:t>
      </w:r>
    </w:p>
    <w:p w14:paraId="3B9B7DAC" w14:textId="77777777" w:rsidR="00FF302D" w:rsidRPr="00113F13" w:rsidRDefault="00FF302D" w:rsidP="00A142A1">
      <w:pPr>
        <w:pStyle w:val="DotPointTLRI"/>
      </w:pPr>
      <w:r w:rsidRPr="00113F13">
        <w:t xml:space="preserve">prejudice the fair trial of a person or the impartial adjudication of a particular case; </w:t>
      </w:r>
    </w:p>
    <w:p w14:paraId="5730F371" w14:textId="77777777" w:rsidR="00FF302D" w:rsidRPr="00113F13" w:rsidRDefault="00FF302D" w:rsidP="00A142A1">
      <w:pPr>
        <w:pStyle w:val="DotPointTLRI"/>
      </w:pPr>
      <w:r w:rsidRPr="00113F13">
        <w:t>disclose or enable a person to ascertain the identify of a confidential source;</w:t>
      </w:r>
    </w:p>
    <w:p w14:paraId="0BF82C97" w14:textId="77777777" w:rsidR="00FF302D" w:rsidRPr="00113F13" w:rsidRDefault="00FF302D" w:rsidP="00A142A1">
      <w:pPr>
        <w:pStyle w:val="DotPointTLRI"/>
      </w:pPr>
      <w:r w:rsidRPr="00113F13">
        <w:t>prejudice the effectiveness of methods or procedures relating to breaches of the law;</w:t>
      </w:r>
    </w:p>
    <w:p w14:paraId="4AD35DF8" w14:textId="77777777" w:rsidR="00FF302D" w:rsidRPr="00113F13" w:rsidRDefault="00FF302D" w:rsidP="00A142A1">
      <w:pPr>
        <w:pStyle w:val="DotPointTLRI"/>
      </w:pPr>
      <w:r w:rsidRPr="00113F13">
        <w:t>endanger a person’s life or safety or increase the likelihood of harassment or discrimination of a person;</w:t>
      </w:r>
    </w:p>
    <w:p w14:paraId="29C8C704" w14:textId="77777777" w:rsidR="00FF302D" w:rsidRPr="00113F13" w:rsidRDefault="00FF302D" w:rsidP="00A142A1">
      <w:pPr>
        <w:pStyle w:val="DotPointTLRI"/>
      </w:pPr>
      <w:r w:rsidRPr="00113F13">
        <w:t>disclose information collected for intelligence including criminal databases; or</w:t>
      </w:r>
    </w:p>
    <w:p w14:paraId="1687A8B7" w14:textId="77777777" w:rsidR="00FF302D" w:rsidRPr="00113F13" w:rsidRDefault="00FF302D" w:rsidP="00A142A1">
      <w:pPr>
        <w:pStyle w:val="DotPointTLRI"/>
      </w:pPr>
      <w:r w:rsidRPr="00113F13">
        <w:t>hinder, delay or prejudice an investigation of a breach or possible breach of the law which is not yet complete.</w:t>
      </w:r>
      <w:r w:rsidRPr="00113F13">
        <w:rPr>
          <w:rStyle w:val="FootnoteReference"/>
          <w:rFonts w:ascii="Times New Roman" w:hAnsi="Times New Roman"/>
        </w:rPr>
        <w:footnoteReference w:id="293"/>
      </w:r>
    </w:p>
    <w:p w14:paraId="6D603A29" w14:textId="77777777" w:rsidR="00FF302D" w:rsidRPr="00113F13" w:rsidRDefault="00FF302D" w:rsidP="00B63604">
      <w:pPr>
        <w:pStyle w:val="NormalNumberedTextTLRI"/>
        <w:numPr>
          <w:ilvl w:val="2"/>
          <w:numId w:val="31"/>
        </w:numPr>
        <w:tabs>
          <w:tab w:val="clear" w:pos="720"/>
        </w:tabs>
        <w:spacing w:line="259" w:lineRule="auto"/>
      </w:pPr>
      <w:bookmarkStart w:id="278" w:name="_Ref164776159"/>
      <w:r w:rsidRPr="00113F13">
        <w:t xml:space="preserve">Under the RTI Act, the above-listed information will constitute ‘law enforcement information’ (and so be exempt from disclosure under that Act), even where it reveals unlawful behaviour by law enforcement bodies, such as information that reveals the use of illegal methods to </w:t>
      </w:r>
      <w:r w:rsidRPr="00113F13">
        <w:lastRenderedPageBreak/>
        <w:t>investigate a crime, or general information or reporting of a public authority’s approach to investigating breaches or enforcing or administering the law, but only if disclosure of the information is contrary to the public interest.</w:t>
      </w:r>
      <w:r w:rsidRPr="00113F13">
        <w:rPr>
          <w:rStyle w:val="FootnoteReference"/>
          <w:rFonts w:ascii="Times New Roman" w:hAnsi="Times New Roman"/>
        </w:rPr>
        <w:footnoteReference w:id="294"/>
      </w:r>
      <w:bookmarkEnd w:id="278"/>
    </w:p>
    <w:p w14:paraId="1FA43440" w14:textId="77777777" w:rsidR="00FF302D" w:rsidRPr="00113F13" w:rsidRDefault="00FF302D" w:rsidP="00B63604">
      <w:pPr>
        <w:pStyle w:val="NormalNumberedTextTLRI"/>
        <w:numPr>
          <w:ilvl w:val="2"/>
          <w:numId w:val="31"/>
        </w:numPr>
        <w:tabs>
          <w:tab w:val="clear" w:pos="720"/>
        </w:tabs>
        <w:spacing w:line="259" w:lineRule="auto"/>
      </w:pPr>
      <w:r w:rsidRPr="00113F13">
        <w:t>Whether disclosure of information is in the public interest is to be determined by reference to a non-exhaustive list of 25 matters set out in the RTI Act. These include, for example, whether disclosure would enhance scrutiny of government action and whether it would promote or harm the administration of justice.</w:t>
      </w:r>
      <w:r w:rsidRPr="00113F13">
        <w:rPr>
          <w:rStyle w:val="FootnoteReference"/>
          <w:rFonts w:ascii="Times New Roman" w:hAnsi="Times New Roman"/>
        </w:rPr>
        <w:footnoteReference w:id="295"/>
      </w:r>
    </w:p>
    <w:p w14:paraId="797550BD" w14:textId="77777777" w:rsidR="00FF302D" w:rsidRPr="00113F13" w:rsidRDefault="00FF302D" w:rsidP="00A142A1">
      <w:pPr>
        <w:pStyle w:val="Sub-HeadingTLRI"/>
      </w:pPr>
      <w:bookmarkStart w:id="279" w:name="_Toc164606561"/>
      <w:r w:rsidRPr="00113F13">
        <w:t>Public benefit exemptions</w:t>
      </w:r>
      <w:bookmarkEnd w:id="279"/>
    </w:p>
    <w:p w14:paraId="24A76C88" w14:textId="77777777" w:rsidR="00FF302D" w:rsidRPr="00113F13" w:rsidRDefault="00FF302D" w:rsidP="00B63604">
      <w:pPr>
        <w:pStyle w:val="NormalNumberedTextTLRI"/>
        <w:numPr>
          <w:ilvl w:val="2"/>
          <w:numId w:val="31"/>
        </w:numPr>
        <w:tabs>
          <w:tab w:val="clear" w:pos="720"/>
        </w:tabs>
        <w:spacing w:line="259" w:lineRule="auto"/>
      </w:pPr>
      <w:bookmarkStart w:id="280" w:name="_Ref149137369"/>
      <w:r w:rsidRPr="00113F13">
        <w:t>A personal information custodian can apply to the Minister for an exemption relating to any or all provisions of the PIPA.</w:t>
      </w:r>
      <w:r w:rsidRPr="00113F13">
        <w:rPr>
          <w:rStyle w:val="FootnoteReference"/>
          <w:rFonts w:ascii="Times New Roman" w:hAnsi="Times New Roman"/>
        </w:rPr>
        <w:footnoteReference w:id="296"/>
      </w:r>
      <w:r w:rsidRPr="00113F13">
        <w:t xml:space="preserve"> An application for exemption must address a range of matters, including specifying the provisions of the PIPA to which the application relates, the information and personal information custodians to which the application relates, the reasons for seeking an exemption, any public benefit involved, and any law, code or other instrument under which it proposes to operate.</w:t>
      </w:r>
      <w:r w:rsidRPr="00113F13">
        <w:rPr>
          <w:rStyle w:val="FootnoteReference"/>
          <w:rFonts w:ascii="Times New Roman" w:hAnsi="Times New Roman"/>
        </w:rPr>
        <w:footnoteReference w:id="297"/>
      </w:r>
      <w:bookmarkEnd w:id="280"/>
    </w:p>
    <w:p w14:paraId="45FB5946" w14:textId="77777777" w:rsidR="00FF302D" w:rsidRPr="00113F13" w:rsidRDefault="00FF302D" w:rsidP="00B63604">
      <w:pPr>
        <w:pStyle w:val="NormalNumberedTextTLRI"/>
        <w:numPr>
          <w:ilvl w:val="2"/>
          <w:numId w:val="31"/>
        </w:numPr>
        <w:tabs>
          <w:tab w:val="clear" w:pos="720"/>
        </w:tabs>
        <w:spacing w:line="259" w:lineRule="auto"/>
      </w:pPr>
      <w:r w:rsidRPr="00113F13">
        <w:t>The Minister may ‘approve an application if satisfied that the public benefit of the exemption outweighs to a substantial degree the public benefit from compliance with the [PIPPs]’, with or without conditions.</w:t>
      </w:r>
      <w:r w:rsidRPr="00113F13">
        <w:rPr>
          <w:rStyle w:val="FootnoteReference"/>
          <w:rFonts w:ascii="Times New Roman" w:hAnsi="Times New Roman"/>
        </w:rPr>
        <w:footnoteReference w:id="298"/>
      </w:r>
      <w:r w:rsidRPr="00113F13">
        <w:t xml:space="preserve"> The exemption may be subject to conditions if the Minister considers it appropriate.</w:t>
      </w:r>
      <w:r w:rsidRPr="00113F13">
        <w:rPr>
          <w:rStyle w:val="FootnoteReference"/>
          <w:rFonts w:ascii="Times New Roman" w:hAnsi="Times New Roman"/>
        </w:rPr>
        <w:footnoteReference w:id="299"/>
      </w:r>
      <w:r w:rsidRPr="00113F13">
        <w:t xml:space="preserve"> If the Minister is not satisfied about the balance of public benefit, they may refuse to grant the exemption.</w:t>
      </w:r>
      <w:r w:rsidRPr="00113F13">
        <w:rPr>
          <w:rStyle w:val="FootnoteReference"/>
          <w:rFonts w:ascii="Times New Roman" w:hAnsi="Times New Roman"/>
        </w:rPr>
        <w:footnoteReference w:id="300"/>
      </w:r>
    </w:p>
    <w:p w14:paraId="569CB14A" w14:textId="77777777" w:rsidR="00FF302D" w:rsidRPr="00113F13" w:rsidRDefault="00FF302D" w:rsidP="00B63604">
      <w:pPr>
        <w:pStyle w:val="NormalNumberedTextTLRI"/>
        <w:numPr>
          <w:ilvl w:val="2"/>
          <w:numId w:val="31"/>
        </w:numPr>
        <w:tabs>
          <w:tab w:val="clear" w:pos="720"/>
        </w:tabs>
        <w:spacing w:line="259" w:lineRule="auto"/>
      </w:pPr>
      <w:r w:rsidRPr="00113F13">
        <w:t>The Minister may also revoke an application, if satisfied that the reasons for granting the exemption no longer apply or that the balance of public benefit no longer substantially weighs in favour of the exemption. The applicant may also themselves request an exemption be revoked.</w:t>
      </w:r>
      <w:r w:rsidRPr="00113F13">
        <w:rPr>
          <w:rStyle w:val="FootnoteReference"/>
          <w:rFonts w:ascii="Times New Roman" w:hAnsi="Times New Roman"/>
        </w:rPr>
        <w:footnoteReference w:id="301"/>
      </w:r>
      <w:r w:rsidRPr="00113F13">
        <w:t xml:space="preserve"> However, these are merely permissive provisions and do not place obligations on the Minister. The PIPA also does not provide for any application process for revocation. </w:t>
      </w:r>
    </w:p>
    <w:p w14:paraId="544A3C13" w14:textId="77777777" w:rsidR="00FF302D" w:rsidRPr="00113F13" w:rsidRDefault="00FF302D" w:rsidP="00B63604">
      <w:pPr>
        <w:pStyle w:val="NormalNumberedTextTLRI"/>
        <w:numPr>
          <w:ilvl w:val="2"/>
          <w:numId w:val="31"/>
        </w:numPr>
        <w:tabs>
          <w:tab w:val="clear" w:pos="720"/>
        </w:tabs>
        <w:spacing w:line="259" w:lineRule="auto"/>
      </w:pPr>
      <w:bookmarkStart w:id="281" w:name="_Ref164773573"/>
      <w:bookmarkStart w:id="282" w:name="_Ref149137377"/>
      <w:r w:rsidRPr="00113F13">
        <w:t>Any determination (whether an approval or a refusal) or revocation must be published in the Gazette.</w:t>
      </w:r>
      <w:r w:rsidRPr="00113F13">
        <w:rPr>
          <w:rStyle w:val="FootnoteReference"/>
          <w:rFonts w:ascii="Times New Roman" w:hAnsi="Times New Roman"/>
        </w:rPr>
        <w:footnoteReference w:id="302"/>
      </w:r>
      <w:r w:rsidRPr="00113F13">
        <w:t xml:space="preserve"> There is no easily accessible list of exemptions currently in operation. An examination of the Gazette suggests there were 11 public benefit exemptions published between 2008 and 2020 as follows: two in April 2011; one in February 2019; and eight in November 2020.</w:t>
      </w:r>
      <w:r w:rsidRPr="00113F13">
        <w:rPr>
          <w:rStyle w:val="FootnoteReference"/>
          <w:rFonts w:ascii="Times New Roman" w:hAnsi="Times New Roman"/>
        </w:rPr>
        <w:footnoteReference w:id="303"/>
      </w:r>
      <w:r w:rsidRPr="00113F13">
        <w:t xml:space="preserve"> As an example, on 25 November 2020, exemptions were gazetted for information relevant to a civil claim against the State of Tasmania that was held by nine government departments.</w:t>
      </w:r>
      <w:r w:rsidRPr="00113F13">
        <w:rPr>
          <w:rStyle w:val="FootnoteReference"/>
          <w:rFonts w:ascii="Times New Roman" w:hAnsi="Times New Roman"/>
        </w:rPr>
        <w:footnoteReference w:id="304"/>
      </w:r>
      <w:bookmarkEnd w:id="281"/>
      <w:r w:rsidRPr="00113F13">
        <w:t xml:space="preserve"> </w:t>
      </w:r>
      <w:bookmarkEnd w:id="282"/>
    </w:p>
    <w:p w14:paraId="461F20B2" w14:textId="77777777" w:rsidR="00666B07" w:rsidRDefault="00666B07" w:rsidP="00A142A1">
      <w:pPr>
        <w:pStyle w:val="Sub-HeadingTLRI"/>
      </w:pPr>
      <w:bookmarkStart w:id="283" w:name="_Toc164606562"/>
    </w:p>
    <w:p w14:paraId="03AA7E8A" w14:textId="49C282C2" w:rsidR="00FF302D" w:rsidRPr="00113F13" w:rsidRDefault="00FF302D" w:rsidP="00A142A1">
      <w:pPr>
        <w:pStyle w:val="Sub-HeadingTLRI"/>
      </w:pPr>
      <w:r w:rsidRPr="00113F13">
        <w:lastRenderedPageBreak/>
        <w:t>Emergency declarations</w:t>
      </w:r>
      <w:bookmarkEnd w:id="283"/>
    </w:p>
    <w:p w14:paraId="3EC513C1" w14:textId="77777777" w:rsidR="00FF302D" w:rsidRPr="00113F13" w:rsidRDefault="00FF302D" w:rsidP="00B63604">
      <w:pPr>
        <w:pStyle w:val="NormalNumberedTextTLRI"/>
        <w:numPr>
          <w:ilvl w:val="2"/>
          <w:numId w:val="31"/>
        </w:numPr>
        <w:tabs>
          <w:tab w:val="clear" w:pos="720"/>
        </w:tabs>
        <w:spacing w:line="259" w:lineRule="auto"/>
      </w:pPr>
      <w:r w:rsidRPr="00113F13">
        <w:t>The PIPA does not provide any general exceptions or exemptions relating to responding to emergency situations.</w:t>
      </w:r>
    </w:p>
    <w:p w14:paraId="640EBEE7" w14:textId="77777777" w:rsidR="00A142A1" w:rsidRPr="00113F13" w:rsidRDefault="00A142A1" w:rsidP="00A142A1">
      <w:pPr>
        <w:pStyle w:val="NormalNumberedTextTLRI"/>
        <w:numPr>
          <w:ilvl w:val="0"/>
          <w:numId w:val="0"/>
        </w:numPr>
        <w:spacing w:line="259" w:lineRule="auto"/>
      </w:pPr>
    </w:p>
    <w:p w14:paraId="29939F9E" w14:textId="77777777" w:rsidR="00FF302D" w:rsidRPr="00113F13" w:rsidRDefault="00FF302D" w:rsidP="00A142A1">
      <w:pPr>
        <w:pStyle w:val="Headingunnumbered"/>
        <w:rPr>
          <w:rFonts w:cs="Times New Roman"/>
        </w:rPr>
      </w:pPr>
      <w:bookmarkStart w:id="284" w:name="_Toc164606563"/>
      <w:r w:rsidRPr="00113F13">
        <w:rPr>
          <w:rFonts w:cs="Times New Roman"/>
        </w:rPr>
        <w:t>The position in other jurisdictions</w:t>
      </w:r>
      <w:bookmarkEnd w:id="284"/>
    </w:p>
    <w:p w14:paraId="1F5F3556" w14:textId="77777777" w:rsidR="00FF302D" w:rsidRPr="00113F13" w:rsidRDefault="00FF302D" w:rsidP="00A142A1">
      <w:pPr>
        <w:pStyle w:val="Sub-HeadingTLRI"/>
      </w:pPr>
      <w:bookmarkStart w:id="285" w:name="_Toc164606564"/>
      <w:r w:rsidRPr="00113F13">
        <w:t>Basic information</w:t>
      </w:r>
      <w:bookmarkEnd w:id="285"/>
    </w:p>
    <w:p w14:paraId="228DDBEB" w14:textId="77777777" w:rsidR="00FF302D" w:rsidRPr="00113F13" w:rsidRDefault="00FF302D" w:rsidP="00B63604">
      <w:pPr>
        <w:pStyle w:val="NormalNumberedTextTLRI"/>
        <w:numPr>
          <w:ilvl w:val="2"/>
          <w:numId w:val="31"/>
        </w:numPr>
        <w:tabs>
          <w:tab w:val="clear" w:pos="720"/>
        </w:tabs>
        <w:spacing w:line="259" w:lineRule="auto"/>
      </w:pPr>
      <w:bookmarkStart w:id="286" w:name="_Ref165024493"/>
      <w:r w:rsidRPr="00113F13">
        <w:t>No other State and Territory privacy legislation, or the Commonwealth Privacy Act, distinguishes ‘basic personal information’ from other personal information in order to facilitate use or disclosure between public authorities for the efficient storage and use of the information.</w:t>
      </w:r>
      <w:r w:rsidRPr="00113F13">
        <w:rPr>
          <w:rStyle w:val="FootnoteReference"/>
          <w:rFonts w:ascii="Times New Roman" w:hAnsi="Times New Roman"/>
        </w:rPr>
        <w:footnoteReference w:id="305"/>
      </w:r>
      <w:bookmarkEnd w:id="286"/>
    </w:p>
    <w:p w14:paraId="373A7846" w14:textId="77777777" w:rsidR="00FF302D" w:rsidRPr="00113F13" w:rsidRDefault="00FF302D" w:rsidP="00A142A1">
      <w:pPr>
        <w:pStyle w:val="Sub-HeadingTLRI"/>
      </w:pPr>
      <w:bookmarkStart w:id="287" w:name="_Toc164606565"/>
      <w:r w:rsidRPr="00113F13">
        <w:t>Employee information</w:t>
      </w:r>
      <w:bookmarkEnd w:id="287"/>
    </w:p>
    <w:p w14:paraId="5924EE38" w14:textId="77777777" w:rsidR="00FF302D" w:rsidRPr="00113F13" w:rsidRDefault="00FF302D" w:rsidP="00B63604">
      <w:pPr>
        <w:pStyle w:val="NormalNumberedTextTLRI"/>
        <w:numPr>
          <w:ilvl w:val="2"/>
          <w:numId w:val="31"/>
        </w:numPr>
        <w:tabs>
          <w:tab w:val="clear" w:pos="720"/>
        </w:tabs>
        <w:spacing w:line="259" w:lineRule="auto"/>
      </w:pPr>
      <w:r w:rsidRPr="00113F13">
        <w:t>Privacy legislation in other States and Territories does not create exemptions in relation to the handling of employee information.</w:t>
      </w:r>
    </w:p>
    <w:p w14:paraId="78D3BD8C" w14:textId="77777777" w:rsidR="00FF302D" w:rsidRPr="00113F13" w:rsidRDefault="00FF302D" w:rsidP="00B63604">
      <w:pPr>
        <w:pStyle w:val="NormalNumberedTextTLRI"/>
        <w:numPr>
          <w:ilvl w:val="2"/>
          <w:numId w:val="31"/>
        </w:numPr>
        <w:tabs>
          <w:tab w:val="clear" w:pos="720"/>
        </w:tabs>
        <w:spacing w:line="259" w:lineRule="auto"/>
      </w:pPr>
      <w:bookmarkStart w:id="288" w:name="_Ref164857903"/>
      <w:r w:rsidRPr="00113F13">
        <w:t>The Commonwealth Privacy Act generally exempts employers’ handling of employee records</w:t>
      </w:r>
      <w:r w:rsidRPr="00113F13">
        <w:rPr>
          <w:rStyle w:val="FootnoteReference"/>
          <w:rFonts w:ascii="Times New Roman" w:hAnsi="Times New Roman"/>
        </w:rPr>
        <w:footnoteReference w:id="306"/>
      </w:r>
      <w:r w:rsidRPr="00113F13">
        <w:t xml:space="preserve"> and information relating to the employment relationship from the Act’s privacy requirements.</w:t>
      </w:r>
      <w:r w:rsidRPr="00113F13">
        <w:rPr>
          <w:rStyle w:val="FootnoteReference"/>
          <w:rFonts w:ascii="Times New Roman" w:hAnsi="Times New Roman"/>
        </w:rPr>
        <w:footnoteReference w:id="307"/>
      </w:r>
      <w:r w:rsidRPr="00113F13">
        <w:t xml:space="preserve"> This exemption applies to organisations—meaning non-public sector entities—but not to agencies such as Commonwealth Departments and other bodies established under Commonwealth statutes.</w:t>
      </w:r>
      <w:r w:rsidRPr="00113F13">
        <w:rPr>
          <w:rStyle w:val="FootnoteReference"/>
          <w:rFonts w:ascii="Times New Roman" w:hAnsi="Times New Roman"/>
        </w:rPr>
        <w:footnoteReference w:id="308"/>
      </w:r>
      <w:r w:rsidRPr="00113F13">
        <w:t xml:space="preserve"> It only extends to personal information in an employee record that is used or disclosed for a purpose directly related to the employment relationship.</w:t>
      </w:r>
      <w:r w:rsidRPr="00113F13">
        <w:rPr>
          <w:rStyle w:val="FootnoteReference"/>
          <w:rFonts w:ascii="Times New Roman" w:hAnsi="Times New Roman"/>
        </w:rPr>
        <w:footnoteReference w:id="309"/>
      </w:r>
      <w:bookmarkEnd w:id="288"/>
    </w:p>
    <w:p w14:paraId="6E1B9094" w14:textId="77777777" w:rsidR="00FF302D" w:rsidRPr="00113F13" w:rsidRDefault="00FF302D" w:rsidP="00A142A1">
      <w:pPr>
        <w:pStyle w:val="Sub-HeadingTLRI"/>
      </w:pPr>
      <w:bookmarkStart w:id="289" w:name="_Toc164606566"/>
      <w:r w:rsidRPr="00113F13">
        <w:t>Public information</w:t>
      </w:r>
      <w:bookmarkEnd w:id="289"/>
    </w:p>
    <w:p w14:paraId="32866D2F" w14:textId="77777777" w:rsidR="00FF302D" w:rsidRPr="00113F13" w:rsidRDefault="00FF302D" w:rsidP="00B63604">
      <w:pPr>
        <w:pStyle w:val="NormalNumberedTextTLRI"/>
        <w:numPr>
          <w:ilvl w:val="2"/>
          <w:numId w:val="31"/>
        </w:numPr>
        <w:tabs>
          <w:tab w:val="clear" w:pos="720"/>
        </w:tabs>
        <w:spacing w:line="259" w:lineRule="auto"/>
      </w:pPr>
      <w:r w:rsidRPr="00113F13">
        <w:t>By not protecting publicly available information, the PIPA operates in a similar way to privacy legislation in some other jurisdictions including NSW,</w:t>
      </w:r>
      <w:r w:rsidRPr="00113F13">
        <w:rPr>
          <w:rStyle w:val="FootnoteReference"/>
          <w:rFonts w:ascii="Times New Roman" w:hAnsi="Times New Roman"/>
        </w:rPr>
        <w:footnoteReference w:id="310"/>
      </w:r>
      <w:r w:rsidRPr="00113F13">
        <w:t xml:space="preserve"> Victoria,</w:t>
      </w:r>
      <w:r w:rsidRPr="00113F13">
        <w:rPr>
          <w:rStyle w:val="FootnoteReference"/>
          <w:rFonts w:ascii="Times New Roman" w:hAnsi="Times New Roman"/>
        </w:rPr>
        <w:footnoteReference w:id="311"/>
      </w:r>
      <w:r w:rsidRPr="00113F13">
        <w:t xml:space="preserve"> Queensland,</w:t>
      </w:r>
      <w:r w:rsidRPr="00113F13">
        <w:rPr>
          <w:rStyle w:val="FootnoteReference"/>
          <w:rFonts w:ascii="Times New Roman" w:hAnsi="Times New Roman"/>
        </w:rPr>
        <w:footnoteReference w:id="312"/>
      </w:r>
      <w:r w:rsidRPr="00113F13">
        <w:t xml:space="preserve"> and the NT.</w:t>
      </w:r>
      <w:r w:rsidRPr="00113F13">
        <w:rPr>
          <w:rStyle w:val="FootnoteReference"/>
          <w:rFonts w:ascii="Times New Roman" w:hAnsi="Times New Roman"/>
        </w:rPr>
        <w:footnoteReference w:id="313"/>
      </w:r>
      <w:r w:rsidRPr="00113F13">
        <w:t xml:space="preserve"> </w:t>
      </w:r>
    </w:p>
    <w:p w14:paraId="6A1781CF" w14:textId="77777777" w:rsidR="00FF302D" w:rsidRPr="00113F13" w:rsidRDefault="00FF302D" w:rsidP="00B63604">
      <w:pPr>
        <w:pStyle w:val="NormalNumberedTextTLRI"/>
        <w:numPr>
          <w:ilvl w:val="2"/>
          <w:numId w:val="31"/>
        </w:numPr>
        <w:tabs>
          <w:tab w:val="clear" w:pos="720"/>
        </w:tabs>
        <w:spacing w:line="259" w:lineRule="auto"/>
      </w:pPr>
      <w:r w:rsidRPr="00113F13">
        <w:t>In contrast, the Commonwealth Privacy Act does not have a general exemption that removes protections for publicly available information.</w:t>
      </w:r>
    </w:p>
    <w:p w14:paraId="2E5FCBB7" w14:textId="77777777" w:rsidR="00FF302D" w:rsidRPr="00113F13" w:rsidRDefault="00FF302D" w:rsidP="00A142A1">
      <w:pPr>
        <w:pStyle w:val="Sub-HeadingTLRI"/>
      </w:pPr>
      <w:bookmarkStart w:id="290" w:name="_Toc164606567"/>
      <w:r w:rsidRPr="00113F13">
        <w:lastRenderedPageBreak/>
        <w:t>Law enforcement information</w:t>
      </w:r>
      <w:bookmarkEnd w:id="290"/>
      <w:r w:rsidRPr="00113F13">
        <w:t xml:space="preserve"> </w:t>
      </w:r>
    </w:p>
    <w:p w14:paraId="2C16FFED" w14:textId="77777777" w:rsidR="00FF302D" w:rsidRPr="00113F13" w:rsidRDefault="00FF302D" w:rsidP="00B63604">
      <w:pPr>
        <w:pStyle w:val="NormalNumberedTextTLRI"/>
        <w:numPr>
          <w:ilvl w:val="2"/>
          <w:numId w:val="31"/>
        </w:numPr>
        <w:tabs>
          <w:tab w:val="clear" w:pos="720"/>
        </w:tabs>
        <w:spacing w:line="259" w:lineRule="auto"/>
      </w:pPr>
      <w:r w:rsidRPr="00113F13">
        <w:t>Other jurisdictions, such as NSW, Victoria, Queensland, and the NT prescribe exemptions to requirements under some privacy principle requirements for law enforcement agencies (and, in some cases, other bodies) in relation to law enforcement activities.</w:t>
      </w:r>
      <w:r w:rsidRPr="00113F13">
        <w:rPr>
          <w:rStyle w:val="FootnoteReference"/>
          <w:rFonts w:ascii="Times New Roman" w:hAnsi="Times New Roman"/>
        </w:rPr>
        <w:footnoteReference w:id="314"/>
      </w:r>
      <w:r w:rsidRPr="00113F13">
        <w:t xml:space="preserve"> </w:t>
      </w:r>
    </w:p>
    <w:p w14:paraId="0964F5C7" w14:textId="77777777" w:rsidR="00FF302D" w:rsidRPr="00113F13" w:rsidRDefault="00FF302D" w:rsidP="00B63604">
      <w:pPr>
        <w:pStyle w:val="NormalNumberedTextTLRI"/>
        <w:numPr>
          <w:ilvl w:val="2"/>
          <w:numId w:val="31"/>
        </w:numPr>
        <w:tabs>
          <w:tab w:val="clear" w:pos="720"/>
        </w:tabs>
        <w:spacing w:line="259" w:lineRule="auto"/>
      </w:pPr>
      <w:r w:rsidRPr="00113F13">
        <w:t>The Commonwealth Privacy Act also specifies several exemptions or limitations on the application of the APPs to an ‘enforcement body’, or to an APP agency</w:t>
      </w:r>
      <w:r w:rsidRPr="00113F13">
        <w:rPr>
          <w:rStyle w:val="FootnoteReference"/>
          <w:rFonts w:ascii="Times New Roman" w:hAnsi="Times New Roman"/>
        </w:rPr>
        <w:footnoteReference w:id="315"/>
      </w:r>
      <w:r w:rsidRPr="00113F13">
        <w:t xml:space="preserve"> or organisation</w:t>
      </w:r>
      <w:r w:rsidRPr="00113F13">
        <w:rPr>
          <w:rStyle w:val="FootnoteReference"/>
          <w:rFonts w:ascii="Times New Roman" w:hAnsi="Times New Roman"/>
        </w:rPr>
        <w:footnoteReference w:id="316"/>
      </w:r>
      <w:r w:rsidRPr="00113F13">
        <w:t xml:space="preserve"> in relation to specified uses or disclosures to an enforcement body or relating to the activities of an enforcement body. For example, elements of the APPs do not apply if collection, use, or disclosure of certain information is reasonably necessary for an ‘enforcement body’ to carry out its functions.</w:t>
      </w:r>
      <w:r w:rsidRPr="00113F13">
        <w:rPr>
          <w:rStyle w:val="FootnoteReference"/>
          <w:rFonts w:ascii="Times New Roman" w:hAnsi="Times New Roman"/>
        </w:rPr>
        <w:footnoteReference w:id="317"/>
      </w:r>
      <w:r w:rsidRPr="00113F13">
        <w:t xml:space="preserve"> There is also a limit on individuals’ right of access to personal information about themselves, where any APP entity suspects unlawful activity or serious misconduct has been, is being, or may be, engaged in, and giving access would prejudice the taking of appropriate action or enforcement by enforcement bodies.</w:t>
      </w:r>
      <w:r w:rsidRPr="00113F13">
        <w:rPr>
          <w:rStyle w:val="FootnoteReference"/>
          <w:rFonts w:ascii="Times New Roman" w:hAnsi="Times New Roman"/>
        </w:rPr>
        <w:footnoteReference w:id="318"/>
      </w:r>
    </w:p>
    <w:p w14:paraId="01357C22" w14:textId="77777777" w:rsidR="00FF302D" w:rsidRPr="00113F13" w:rsidRDefault="00FF302D" w:rsidP="00B63604">
      <w:pPr>
        <w:pStyle w:val="NormalNumberedTextTLRI"/>
        <w:numPr>
          <w:ilvl w:val="2"/>
          <w:numId w:val="31"/>
        </w:numPr>
        <w:tabs>
          <w:tab w:val="clear" w:pos="720"/>
        </w:tabs>
        <w:spacing w:line="259" w:lineRule="auto"/>
      </w:pPr>
      <w:r w:rsidRPr="00113F13">
        <w:t>The Privacy Act definition of ‘enforcement body’ is broad and includes the Australian Federal Police, the Immigration Department, the Office of the Director of Public Prosecutions, Commonwealth and State anti-corruption bodies, and authorities and bodies established to conduct criminal investigations or inquiries under State and Territory law.</w:t>
      </w:r>
      <w:r w:rsidRPr="00113F13">
        <w:rPr>
          <w:rStyle w:val="FootnoteReference"/>
          <w:rFonts w:ascii="Times New Roman" w:hAnsi="Times New Roman"/>
        </w:rPr>
        <w:footnoteReference w:id="319"/>
      </w:r>
    </w:p>
    <w:p w14:paraId="7BE7D799" w14:textId="77777777" w:rsidR="00FF302D" w:rsidRPr="00113F13" w:rsidRDefault="00FF302D" w:rsidP="00B63604">
      <w:pPr>
        <w:pStyle w:val="NormalNumberedTextTLRI"/>
        <w:numPr>
          <w:ilvl w:val="2"/>
          <w:numId w:val="31"/>
        </w:numPr>
        <w:tabs>
          <w:tab w:val="clear" w:pos="720"/>
        </w:tabs>
        <w:spacing w:line="259" w:lineRule="auto"/>
      </w:pPr>
      <w:r w:rsidRPr="00113F13">
        <w:t>Rather than defining ‘law enforcement information’ or ‘enforcement information’, the Privacy Act defines ‘enforcement related activity’ as follows: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B23489" w:rsidRPr="00172A29" w14:paraId="12B8235A" w14:textId="77777777" w:rsidTr="00877B30">
        <w:tc>
          <w:tcPr>
            <w:tcW w:w="1560" w:type="dxa"/>
          </w:tcPr>
          <w:p w14:paraId="67DAA3E5" w14:textId="77777777" w:rsidR="00B23489" w:rsidRPr="00172A29" w:rsidRDefault="00B23489" w:rsidP="00B23489">
            <w:pPr>
              <w:spacing w:after="0"/>
              <w:jc w:val="right"/>
              <w:rPr>
                <w:rFonts w:asciiTheme="majorBidi" w:hAnsiTheme="majorBidi" w:cstheme="majorBidi"/>
                <w:sz w:val="22"/>
                <w:szCs w:val="22"/>
              </w:rPr>
            </w:pPr>
            <w:r w:rsidRPr="00172A29">
              <w:rPr>
                <w:rFonts w:asciiTheme="majorBidi" w:hAnsiTheme="majorBidi" w:cstheme="majorBidi"/>
                <w:sz w:val="22"/>
                <w:szCs w:val="22"/>
              </w:rPr>
              <w:t>(a)</w:t>
            </w:r>
          </w:p>
        </w:tc>
        <w:tc>
          <w:tcPr>
            <w:tcW w:w="7512" w:type="dxa"/>
          </w:tcPr>
          <w:p w14:paraId="49CE8459" w14:textId="77777777" w:rsidR="00B23489" w:rsidRPr="00172A29" w:rsidRDefault="00B23489" w:rsidP="00B23489">
            <w:pPr>
              <w:spacing w:after="0"/>
              <w:rPr>
                <w:rFonts w:asciiTheme="majorBidi" w:hAnsiTheme="majorBidi" w:cstheme="majorBidi"/>
                <w:sz w:val="22"/>
                <w:szCs w:val="22"/>
              </w:rPr>
            </w:pPr>
            <w:r w:rsidRPr="00172A29">
              <w:rPr>
                <w:rFonts w:asciiTheme="majorBidi" w:hAnsiTheme="majorBidi" w:cstheme="majorBidi"/>
                <w:color w:val="000000"/>
                <w:sz w:val="22"/>
                <w:szCs w:val="22"/>
              </w:rPr>
              <w:t>the prevention, detection, investigation, prosecution or punishment of:</w:t>
            </w:r>
          </w:p>
        </w:tc>
      </w:tr>
      <w:tr w:rsidR="00B23489" w:rsidRPr="00172A29" w14:paraId="4C04DE3B" w14:textId="77777777" w:rsidTr="00877B30">
        <w:tc>
          <w:tcPr>
            <w:tcW w:w="1560" w:type="dxa"/>
          </w:tcPr>
          <w:p w14:paraId="3D30DF14" w14:textId="77777777" w:rsidR="00B23489" w:rsidRPr="00172A29" w:rsidRDefault="00B23489" w:rsidP="00B23489">
            <w:pPr>
              <w:spacing w:after="0"/>
              <w:jc w:val="right"/>
              <w:rPr>
                <w:rFonts w:asciiTheme="majorBidi" w:hAnsiTheme="majorBidi" w:cstheme="majorBidi"/>
                <w:sz w:val="22"/>
                <w:szCs w:val="22"/>
              </w:rPr>
            </w:pPr>
          </w:p>
        </w:tc>
        <w:tc>
          <w:tcPr>
            <w:tcW w:w="7512" w:type="dxa"/>
          </w:tcPr>
          <w:p w14:paraId="16EAE2A0" w14:textId="77777777" w:rsidR="00B23489" w:rsidRPr="00172A29" w:rsidRDefault="00B23489" w:rsidP="00B23489">
            <w:pPr>
              <w:spacing w:after="0"/>
              <w:rPr>
                <w:rFonts w:asciiTheme="majorBidi" w:hAnsiTheme="majorBidi" w:cstheme="majorBidi"/>
                <w:sz w:val="22"/>
                <w:szCs w:val="22"/>
              </w:rPr>
            </w:pPr>
            <w:r>
              <w:rPr>
                <w:rFonts w:asciiTheme="majorBidi" w:hAnsiTheme="majorBidi" w:cstheme="majorBidi"/>
                <w:color w:val="000000"/>
                <w:sz w:val="22"/>
                <w:szCs w:val="22"/>
              </w:rPr>
              <w:t xml:space="preserve">(i) </w:t>
            </w:r>
            <w:r w:rsidRPr="00172A29">
              <w:rPr>
                <w:rFonts w:asciiTheme="majorBidi" w:hAnsiTheme="majorBidi" w:cstheme="majorBidi"/>
                <w:color w:val="000000"/>
                <w:sz w:val="22"/>
                <w:szCs w:val="22"/>
              </w:rPr>
              <w:t>criminal offences; or</w:t>
            </w:r>
          </w:p>
        </w:tc>
      </w:tr>
      <w:tr w:rsidR="00B23489" w:rsidRPr="00172A29" w14:paraId="2E2A0EEB" w14:textId="77777777" w:rsidTr="00877B30">
        <w:tc>
          <w:tcPr>
            <w:tcW w:w="1560" w:type="dxa"/>
          </w:tcPr>
          <w:p w14:paraId="71CE498F" w14:textId="77777777" w:rsidR="00B23489" w:rsidRPr="00172A29" w:rsidRDefault="00B23489" w:rsidP="00B23489">
            <w:pPr>
              <w:spacing w:after="0"/>
              <w:jc w:val="right"/>
              <w:rPr>
                <w:rFonts w:asciiTheme="majorBidi" w:hAnsiTheme="majorBidi" w:cstheme="majorBidi"/>
                <w:sz w:val="22"/>
                <w:szCs w:val="22"/>
              </w:rPr>
            </w:pPr>
          </w:p>
        </w:tc>
        <w:tc>
          <w:tcPr>
            <w:tcW w:w="7512" w:type="dxa"/>
          </w:tcPr>
          <w:p w14:paraId="11E8E1C5" w14:textId="77777777" w:rsidR="00B23489" w:rsidRPr="00172A29" w:rsidRDefault="00B23489" w:rsidP="00B23489">
            <w:pPr>
              <w:spacing w:after="0"/>
              <w:rPr>
                <w:rFonts w:asciiTheme="majorBidi" w:hAnsiTheme="majorBidi" w:cstheme="majorBidi"/>
                <w:sz w:val="22"/>
                <w:szCs w:val="22"/>
              </w:rPr>
            </w:pPr>
            <w:r>
              <w:rPr>
                <w:rFonts w:asciiTheme="majorBidi" w:hAnsiTheme="majorBidi" w:cstheme="majorBidi"/>
                <w:color w:val="000000"/>
                <w:sz w:val="22"/>
                <w:szCs w:val="22"/>
              </w:rPr>
              <w:t xml:space="preserve">(ii) </w:t>
            </w:r>
            <w:r w:rsidRPr="00172A29">
              <w:rPr>
                <w:rFonts w:asciiTheme="majorBidi" w:hAnsiTheme="majorBidi" w:cstheme="majorBidi"/>
                <w:color w:val="000000"/>
                <w:sz w:val="22"/>
                <w:szCs w:val="22"/>
              </w:rPr>
              <w:t>breaches of a law imposing a penalty or sanction; or</w:t>
            </w:r>
          </w:p>
        </w:tc>
      </w:tr>
      <w:tr w:rsidR="00B23489" w:rsidRPr="00172A29" w14:paraId="1B40A523" w14:textId="77777777" w:rsidTr="00877B30">
        <w:tc>
          <w:tcPr>
            <w:tcW w:w="1560" w:type="dxa"/>
          </w:tcPr>
          <w:p w14:paraId="1E8B2ABC" w14:textId="77777777" w:rsidR="00B23489" w:rsidRPr="00172A29" w:rsidRDefault="00B23489" w:rsidP="00B23489">
            <w:pPr>
              <w:spacing w:after="0"/>
              <w:jc w:val="right"/>
              <w:rPr>
                <w:rFonts w:asciiTheme="majorBidi" w:hAnsiTheme="majorBidi" w:cstheme="majorBidi"/>
                <w:sz w:val="22"/>
                <w:szCs w:val="22"/>
              </w:rPr>
            </w:pPr>
            <w:r w:rsidRPr="00172A29">
              <w:rPr>
                <w:rFonts w:asciiTheme="majorBidi" w:hAnsiTheme="majorBidi" w:cstheme="majorBidi"/>
                <w:sz w:val="22"/>
                <w:szCs w:val="22"/>
              </w:rPr>
              <w:t>(b)</w:t>
            </w:r>
          </w:p>
        </w:tc>
        <w:tc>
          <w:tcPr>
            <w:tcW w:w="7512" w:type="dxa"/>
          </w:tcPr>
          <w:p w14:paraId="5BF32E36" w14:textId="5E43055E" w:rsidR="00B23489" w:rsidRPr="00172A29" w:rsidRDefault="00B23489" w:rsidP="00B23489">
            <w:pPr>
              <w:spacing w:after="0"/>
              <w:rPr>
                <w:rFonts w:asciiTheme="majorBidi" w:hAnsiTheme="majorBidi" w:cstheme="majorBidi"/>
                <w:sz w:val="22"/>
                <w:szCs w:val="22"/>
              </w:rPr>
            </w:pPr>
            <w:r w:rsidRPr="00172A29">
              <w:rPr>
                <w:rFonts w:asciiTheme="majorBidi" w:hAnsiTheme="majorBidi" w:cstheme="majorBidi"/>
                <w:color w:val="000000"/>
                <w:sz w:val="22"/>
                <w:szCs w:val="22"/>
              </w:rPr>
              <w:t>the conduct of surveillance activities, intelligence gathering  activities or monitoring activities; or</w:t>
            </w:r>
          </w:p>
        </w:tc>
      </w:tr>
      <w:tr w:rsidR="00B23489" w:rsidRPr="00172A29" w14:paraId="7C753299" w14:textId="77777777" w:rsidTr="00877B30">
        <w:tc>
          <w:tcPr>
            <w:tcW w:w="1560" w:type="dxa"/>
          </w:tcPr>
          <w:p w14:paraId="1A0BE930" w14:textId="77777777" w:rsidR="00B23489" w:rsidRPr="00172A29" w:rsidRDefault="00B23489" w:rsidP="00B23489">
            <w:pPr>
              <w:spacing w:after="0"/>
              <w:jc w:val="right"/>
              <w:rPr>
                <w:rFonts w:asciiTheme="majorBidi" w:hAnsiTheme="majorBidi" w:cstheme="majorBidi"/>
                <w:sz w:val="22"/>
                <w:szCs w:val="22"/>
              </w:rPr>
            </w:pPr>
            <w:r w:rsidRPr="00172A29">
              <w:rPr>
                <w:rFonts w:asciiTheme="majorBidi" w:hAnsiTheme="majorBidi" w:cstheme="majorBidi"/>
                <w:sz w:val="22"/>
                <w:szCs w:val="22"/>
              </w:rPr>
              <w:t>(c)</w:t>
            </w:r>
          </w:p>
        </w:tc>
        <w:tc>
          <w:tcPr>
            <w:tcW w:w="7512" w:type="dxa"/>
          </w:tcPr>
          <w:p w14:paraId="55FD9620" w14:textId="77777777" w:rsidR="00B23489" w:rsidRPr="00172A29" w:rsidRDefault="00B23489" w:rsidP="00B23489">
            <w:pPr>
              <w:spacing w:after="0"/>
              <w:rPr>
                <w:rFonts w:asciiTheme="majorBidi" w:hAnsiTheme="majorBidi" w:cstheme="majorBidi"/>
                <w:sz w:val="22"/>
                <w:szCs w:val="22"/>
              </w:rPr>
            </w:pPr>
            <w:r w:rsidRPr="00172A29">
              <w:rPr>
                <w:rFonts w:asciiTheme="majorBidi" w:hAnsiTheme="majorBidi" w:cstheme="majorBidi"/>
                <w:color w:val="000000"/>
                <w:sz w:val="22"/>
                <w:szCs w:val="22"/>
              </w:rPr>
              <w:t>the conduct of protective or custodial activities; or</w:t>
            </w:r>
          </w:p>
        </w:tc>
      </w:tr>
      <w:tr w:rsidR="00B23489" w:rsidRPr="00172A29" w14:paraId="31782DE2" w14:textId="77777777" w:rsidTr="00877B30">
        <w:tc>
          <w:tcPr>
            <w:tcW w:w="1560" w:type="dxa"/>
          </w:tcPr>
          <w:p w14:paraId="372303C8" w14:textId="77777777" w:rsidR="00B23489" w:rsidRPr="00172A29" w:rsidRDefault="00B23489" w:rsidP="00B23489">
            <w:pPr>
              <w:spacing w:after="0"/>
              <w:jc w:val="right"/>
              <w:rPr>
                <w:rFonts w:asciiTheme="majorBidi" w:hAnsiTheme="majorBidi" w:cstheme="majorBidi"/>
                <w:sz w:val="22"/>
                <w:szCs w:val="22"/>
              </w:rPr>
            </w:pPr>
            <w:r w:rsidRPr="00172A29">
              <w:rPr>
                <w:rFonts w:asciiTheme="majorBidi" w:hAnsiTheme="majorBidi" w:cstheme="majorBidi"/>
                <w:sz w:val="22"/>
                <w:szCs w:val="22"/>
              </w:rPr>
              <w:t>(d)</w:t>
            </w:r>
          </w:p>
        </w:tc>
        <w:tc>
          <w:tcPr>
            <w:tcW w:w="7512" w:type="dxa"/>
          </w:tcPr>
          <w:p w14:paraId="5554CE38" w14:textId="77777777" w:rsidR="00B23489" w:rsidRPr="00172A29" w:rsidRDefault="00B23489" w:rsidP="00B23489">
            <w:pPr>
              <w:spacing w:after="0"/>
              <w:rPr>
                <w:rFonts w:asciiTheme="majorBidi" w:hAnsiTheme="majorBidi" w:cstheme="majorBidi"/>
                <w:sz w:val="22"/>
                <w:szCs w:val="22"/>
              </w:rPr>
            </w:pPr>
            <w:r w:rsidRPr="00172A29">
              <w:rPr>
                <w:rFonts w:asciiTheme="majorBidi" w:hAnsiTheme="majorBidi" w:cstheme="majorBidi"/>
                <w:color w:val="000000"/>
                <w:sz w:val="22"/>
                <w:szCs w:val="22"/>
              </w:rPr>
              <w:t>the enforcement of laws relating to the confiscation of the proceeds of crime; or</w:t>
            </w:r>
          </w:p>
        </w:tc>
      </w:tr>
      <w:tr w:rsidR="00B23489" w:rsidRPr="00172A29" w14:paraId="5F46CE11" w14:textId="77777777" w:rsidTr="00877B30">
        <w:tc>
          <w:tcPr>
            <w:tcW w:w="1560" w:type="dxa"/>
          </w:tcPr>
          <w:p w14:paraId="6A851463" w14:textId="77777777" w:rsidR="00B23489" w:rsidRPr="00172A29" w:rsidRDefault="00B23489" w:rsidP="00B23489">
            <w:pPr>
              <w:spacing w:after="0"/>
              <w:jc w:val="right"/>
              <w:rPr>
                <w:rFonts w:asciiTheme="majorBidi" w:hAnsiTheme="majorBidi" w:cstheme="majorBidi"/>
                <w:sz w:val="22"/>
                <w:szCs w:val="22"/>
              </w:rPr>
            </w:pPr>
            <w:r w:rsidRPr="00172A29">
              <w:rPr>
                <w:rFonts w:asciiTheme="majorBidi" w:hAnsiTheme="majorBidi" w:cstheme="majorBidi"/>
                <w:sz w:val="22"/>
                <w:szCs w:val="22"/>
              </w:rPr>
              <w:t>(e)</w:t>
            </w:r>
          </w:p>
        </w:tc>
        <w:tc>
          <w:tcPr>
            <w:tcW w:w="7512" w:type="dxa"/>
          </w:tcPr>
          <w:p w14:paraId="0E6BF947" w14:textId="77777777" w:rsidR="00B23489" w:rsidRPr="00172A29" w:rsidRDefault="00B23489" w:rsidP="00B23489">
            <w:pPr>
              <w:spacing w:after="0"/>
              <w:rPr>
                <w:rFonts w:asciiTheme="majorBidi" w:hAnsiTheme="majorBidi" w:cstheme="majorBidi"/>
                <w:sz w:val="22"/>
                <w:szCs w:val="22"/>
              </w:rPr>
            </w:pPr>
            <w:r w:rsidRPr="00172A29">
              <w:rPr>
                <w:rFonts w:asciiTheme="majorBidi" w:hAnsiTheme="majorBidi" w:cstheme="majorBidi"/>
                <w:color w:val="000000"/>
                <w:sz w:val="22"/>
                <w:szCs w:val="22"/>
              </w:rPr>
              <w:t>the protection of the public revenue; or</w:t>
            </w:r>
          </w:p>
        </w:tc>
      </w:tr>
      <w:tr w:rsidR="00B23489" w:rsidRPr="00172A29" w14:paraId="6A2BA5D0" w14:textId="77777777" w:rsidTr="00877B30">
        <w:tc>
          <w:tcPr>
            <w:tcW w:w="1560" w:type="dxa"/>
          </w:tcPr>
          <w:p w14:paraId="3A5C41A3" w14:textId="77777777" w:rsidR="00B23489" w:rsidRPr="00172A29" w:rsidRDefault="00B23489" w:rsidP="00B23489">
            <w:pPr>
              <w:spacing w:after="0"/>
              <w:jc w:val="right"/>
              <w:rPr>
                <w:rFonts w:asciiTheme="majorBidi" w:hAnsiTheme="majorBidi" w:cstheme="majorBidi"/>
                <w:sz w:val="22"/>
                <w:szCs w:val="22"/>
              </w:rPr>
            </w:pPr>
            <w:r w:rsidRPr="00172A29">
              <w:rPr>
                <w:rFonts w:asciiTheme="majorBidi" w:hAnsiTheme="majorBidi" w:cstheme="majorBidi"/>
                <w:sz w:val="22"/>
                <w:szCs w:val="22"/>
              </w:rPr>
              <w:t>(f)</w:t>
            </w:r>
          </w:p>
        </w:tc>
        <w:tc>
          <w:tcPr>
            <w:tcW w:w="7512" w:type="dxa"/>
          </w:tcPr>
          <w:p w14:paraId="004ECD6E" w14:textId="77777777" w:rsidR="00B23489" w:rsidRPr="00172A29" w:rsidRDefault="00B23489" w:rsidP="00B23489">
            <w:pPr>
              <w:spacing w:after="0"/>
              <w:rPr>
                <w:rFonts w:asciiTheme="majorBidi" w:hAnsiTheme="majorBidi" w:cstheme="majorBidi"/>
                <w:sz w:val="22"/>
                <w:szCs w:val="22"/>
              </w:rPr>
            </w:pPr>
            <w:r w:rsidRPr="00172A29">
              <w:rPr>
                <w:rFonts w:asciiTheme="majorBidi" w:hAnsiTheme="majorBidi" w:cstheme="majorBidi"/>
                <w:color w:val="000000"/>
                <w:sz w:val="22"/>
                <w:szCs w:val="22"/>
              </w:rPr>
              <w:t>the prevention, detection, investigation or remedying of misconduct of a serious nature, or other conduct prescribed by the regulations; or</w:t>
            </w:r>
          </w:p>
        </w:tc>
      </w:tr>
      <w:tr w:rsidR="00B23489" w:rsidRPr="00172A29" w14:paraId="27A7F5DD" w14:textId="77777777" w:rsidTr="00877B30">
        <w:tc>
          <w:tcPr>
            <w:tcW w:w="1560" w:type="dxa"/>
          </w:tcPr>
          <w:p w14:paraId="278506E4" w14:textId="77777777" w:rsidR="00B23489" w:rsidRPr="00172A29" w:rsidRDefault="00B23489" w:rsidP="00B23489">
            <w:pPr>
              <w:spacing w:after="0"/>
              <w:jc w:val="right"/>
              <w:rPr>
                <w:rFonts w:asciiTheme="majorBidi" w:hAnsiTheme="majorBidi" w:cstheme="majorBidi"/>
                <w:sz w:val="22"/>
                <w:szCs w:val="22"/>
              </w:rPr>
            </w:pPr>
            <w:r w:rsidRPr="00172A29">
              <w:rPr>
                <w:rFonts w:asciiTheme="majorBidi" w:hAnsiTheme="majorBidi" w:cstheme="majorBidi"/>
                <w:sz w:val="22"/>
                <w:szCs w:val="22"/>
              </w:rPr>
              <w:t>(g)</w:t>
            </w:r>
          </w:p>
        </w:tc>
        <w:tc>
          <w:tcPr>
            <w:tcW w:w="7512" w:type="dxa"/>
          </w:tcPr>
          <w:p w14:paraId="35661106" w14:textId="77777777" w:rsidR="00B23489" w:rsidRPr="00172A29" w:rsidRDefault="00B23489" w:rsidP="00B23489">
            <w:pPr>
              <w:spacing w:after="0"/>
              <w:rPr>
                <w:rFonts w:asciiTheme="majorBidi" w:hAnsiTheme="majorBidi" w:cstheme="majorBidi"/>
                <w:sz w:val="22"/>
                <w:szCs w:val="22"/>
              </w:rPr>
            </w:pPr>
            <w:r w:rsidRPr="00172A29">
              <w:rPr>
                <w:rFonts w:asciiTheme="majorBidi" w:hAnsiTheme="majorBidi" w:cstheme="majorBidi"/>
                <w:color w:val="000000"/>
                <w:sz w:val="22"/>
                <w:szCs w:val="22"/>
              </w:rPr>
              <w:t>the preparation for, or conduct of, proceedings before any court or tribunal, or the implementation of court/tribunal orders.</w:t>
            </w:r>
          </w:p>
        </w:tc>
      </w:tr>
    </w:tbl>
    <w:p w14:paraId="410489C0" w14:textId="21F37F19" w:rsidR="00FF302D" w:rsidRPr="00113F13" w:rsidRDefault="00FF302D" w:rsidP="00A142A1">
      <w:pPr>
        <w:pStyle w:val="Sub-HeadingTLRI"/>
        <w:rPr>
          <w:bCs/>
        </w:rPr>
      </w:pPr>
      <w:bookmarkStart w:id="291" w:name="_Toc164606568"/>
      <w:r w:rsidRPr="00113F13">
        <w:t>Public benefit or public interest exemptions</w:t>
      </w:r>
      <w:bookmarkEnd w:id="291"/>
    </w:p>
    <w:p w14:paraId="66257226" w14:textId="77777777" w:rsidR="00FF302D" w:rsidRPr="00113F13" w:rsidRDefault="00FF302D" w:rsidP="00B63604">
      <w:pPr>
        <w:pStyle w:val="NormalNumberedTextTLRI"/>
        <w:numPr>
          <w:ilvl w:val="2"/>
          <w:numId w:val="31"/>
        </w:numPr>
        <w:tabs>
          <w:tab w:val="clear" w:pos="720"/>
        </w:tabs>
        <w:spacing w:line="259" w:lineRule="auto"/>
      </w:pPr>
      <w:bookmarkStart w:id="292" w:name="_Ref157614076"/>
      <w:r w:rsidRPr="00113F13">
        <w:t xml:space="preserve">Other Australian jurisdictions, such as NSW, Victoria, and Queensland, provide for similar exemptions on the basis of the public interest to those found in the PIPA. These states, however, give the power to make exemptions to an independent office-holder appointed under the privacy legislation, </w:t>
      </w:r>
      <w:r w:rsidRPr="00113F13">
        <w:lastRenderedPageBreak/>
        <w:t>such as the Information Commissioner in Victoria</w:t>
      </w:r>
      <w:r w:rsidRPr="00113F13">
        <w:rPr>
          <w:rStyle w:val="FootnoteReference"/>
          <w:rFonts w:ascii="Times New Roman" w:hAnsi="Times New Roman"/>
        </w:rPr>
        <w:footnoteReference w:id="320"/>
      </w:r>
      <w:r w:rsidRPr="00113F13">
        <w:t xml:space="preserve"> and Queensland</w:t>
      </w:r>
      <w:r w:rsidRPr="00113F13">
        <w:rPr>
          <w:rStyle w:val="FootnoteReference"/>
          <w:rFonts w:ascii="Times New Roman" w:hAnsi="Times New Roman"/>
        </w:rPr>
        <w:footnoteReference w:id="321"/>
      </w:r>
      <w:r w:rsidRPr="00113F13">
        <w:t xml:space="preserve"> and the Privacy Commissioner (with the approval of the Minister) in NSW.</w:t>
      </w:r>
      <w:r w:rsidRPr="00113F13">
        <w:rPr>
          <w:rStyle w:val="FootnoteReference"/>
          <w:rFonts w:ascii="Times New Roman" w:hAnsi="Times New Roman"/>
        </w:rPr>
        <w:footnoteReference w:id="322"/>
      </w:r>
      <w:r w:rsidRPr="00113F13">
        <w:t xml:space="preserve"> In Victoria and Queensland, State Parliament also has the power to disallow a public interest exemption.</w:t>
      </w:r>
      <w:r w:rsidRPr="00113F13">
        <w:rPr>
          <w:rStyle w:val="FootnoteReference"/>
          <w:rFonts w:ascii="Times New Roman" w:hAnsi="Times New Roman"/>
        </w:rPr>
        <w:footnoteReference w:id="323"/>
      </w:r>
      <w:bookmarkEnd w:id="292"/>
    </w:p>
    <w:p w14:paraId="45990F1F" w14:textId="22320276" w:rsidR="00FF302D" w:rsidRPr="00113F13" w:rsidRDefault="00FF302D" w:rsidP="00B63604">
      <w:pPr>
        <w:pStyle w:val="NormalNumberedTextTLRI"/>
        <w:numPr>
          <w:ilvl w:val="2"/>
          <w:numId w:val="31"/>
        </w:numPr>
        <w:tabs>
          <w:tab w:val="clear" w:pos="720"/>
        </w:tabs>
        <w:spacing w:line="259" w:lineRule="auto"/>
      </w:pPr>
      <w:r w:rsidRPr="00113F13">
        <w:t>The Commonwealth Privacy Act also provides for the making of public interest determinations which excuse breaches of privacy, either where they may occur in the future or after they have occurred. Where an entity’s acts or practices may breach, or have breached, a privacy obligation, the Australian Information Commissioner (</w:t>
      </w:r>
      <w:r w:rsidRPr="003215A2">
        <w:t xml:space="preserve">described in </w:t>
      </w:r>
      <w:r w:rsidRPr="00EA22F8">
        <w:t>Part 2</w:t>
      </w:r>
      <w:r w:rsidRPr="003215A2">
        <w:t>) may</w:t>
      </w:r>
      <w:r w:rsidRPr="00113F13">
        <w:t xml:space="preserve"> make a public interest determination if satisfied that the public interest in the act or practice substantially outweighs the public interest in adhering to the privacy obligation.</w:t>
      </w:r>
      <w:r w:rsidRPr="00113F13">
        <w:rPr>
          <w:rStyle w:val="FootnoteReference"/>
          <w:rFonts w:ascii="Times New Roman" w:hAnsi="Times New Roman"/>
        </w:rPr>
        <w:footnoteReference w:id="324"/>
      </w:r>
      <w:r w:rsidRPr="00113F13">
        <w:t xml:space="preserve"> For as long as the determination is in force, acts or practices that would otherwise contravene privacy obligations are not taken to be breaches of the Privacy Act.</w:t>
      </w:r>
      <w:r w:rsidRPr="00113F13">
        <w:rPr>
          <w:rStyle w:val="FootnoteReference"/>
          <w:rFonts w:ascii="Times New Roman" w:hAnsi="Times New Roman"/>
        </w:rPr>
        <w:footnoteReference w:id="325"/>
      </w:r>
    </w:p>
    <w:p w14:paraId="1BE5E0A5" w14:textId="77777777" w:rsidR="00FF302D" w:rsidRPr="00113F13" w:rsidRDefault="00FF302D" w:rsidP="00B63604">
      <w:pPr>
        <w:pStyle w:val="NormalNumberedTextTLRI"/>
        <w:numPr>
          <w:ilvl w:val="2"/>
          <w:numId w:val="31"/>
        </w:numPr>
        <w:tabs>
          <w:tab w:val="clear" w:pos="720"/>
        </w:tabs>
        <w:spacing w:line="259" w:lineRule="auto"/>
      </w:pPr>
      <w:r w:rsidRPr="00113F13">
        <w:t>Where an urgent decision is needed, the Privacy Act also allows the Information Commissioner to make a temporary determination,</w:t>
      </w:r>
      <w:r w:rsidRPr="00113F13">
        <w:rPr>
          <w:rStyle w:val="FootnoteReference"/>
          <w:rFonts w:ascii="Times New Roman" w:hAnsi="Times New Roman"/>
        </w:rPr>
        <w:footnoteReference w:id="326"/>
      </w:r>
      <w:r w:rsidRPr="00113F13">
        <w:t xml:space="preserve"> including on the Commissioner’s own initiative (without an application).</w:t>
      </w:r>
      <w:r w:rsidRPr="00113F13">
        <w:rPr>
          <w:rStyle w:val="FootnoteReference"/>
          <w:rFonts w:ascii="Times New Roman" w:hAnsi="Times New Roman"/>
        </w:rPr>
        <w:footnoteReference w:id="327"/>
      </w:r>
      <w:r w:rsidRPr="00113F13">
        <w:t xml:space="preserve"> The OAIC maintains a register of public interest determinations.</w:t>
      </w:r>
      <w:r w:rsidRPr="00113F13">
        <w:rPr>
          <w:rStyle w:val="FootnoteReference"/>
          <w:rFonts w:ascii="Times New Roman" w:hAnsi="Times New Roman"/>
        </w:rPr>
        <w:footnoteReference w:id="328"/>
      </w:r>
      <w:r w:rsidRPr="00113F13">
        <w:t xml:space="preserve"> There have been eight declarations since 2015, with five currently in effect.</w:t>
      </w:r>
    </w:p>
    <w:p w14:paraId="5CE7DF40" w14:textId="141825A7" w:rsidR="00FF302D" w:rsidRPr="00113F13" w:rsidRDefault="00FF302D" w:rsidP="00A142A1">
      <w:pPr>
        <w:pStyle w:val="Sub-HeadingTLRI"/>
      </w:pPr>
      <w:bookmarkStart w:id="293" w:name="_Toc164606569"/>
      <w:r w:rsidRPr="00113F13">
        <w:t>Emergency declarations</w:t>
      </w:r>
      <w:bookmarkEnd w:id="293"/>
      <w:r w:rsidRPr="00113F13">
        <w:t xml:space="preserve"> </w:t>
      </w:r>
    </w:p>
    <w:p w14:paraId="466C74C3" w14:textId="77777777" w:rsidR="00FF302D" w:rsidRPr="00113F13" w:rsidRDefault="00FF302D" w:rsidP="00B63604">
      <w:pPr>
        <w:pStyle w:val="NormalNumberedTextTLRI"/>
        <w:numPr>
          <w:ilvl w:val="2"/>
          <w:numId w:val="31"/>
        </w:numPr>
        <w:tabs>
          <w:tab w:val="clear" w:pos="720"/>
        </w:tabs>
        <w:spacing w:line="259" w:lineRule="auto"/>
      </w:pPr>
      <w:r w:rsidRPr="00113F13">
        <w:t>Part VIA of the Privacy Act allows for the Prime Minister or Minister to make an emergency declaration. The declaration has the general effect of overriding otherwise-applicable privacy requirements for the purpose of responding to emergencies or disasters, including allowing all entities subject to the Commonwealth APPs to handle personal information without the consent of the person concerned. An emergency declaration also protects entities against breaches of secrecy provisions in other legislation and obligations of confidence that exist in general law.</w:t>
      </w:r>
      <w:r w:rsidRPr="00113F13">
        <w:rPr>
          <w:rStyle w:val="FootnoteReference"/>
          <w:rFonts w:ascii="Times New Roman" w:hAnsi="Times New Roman"/>
        </w:rPr>
        <w:footnoteReference w:id="329"/>
      </w:r>
    </w:p>
    <w:p w14:paraId="49C846DD" w14:textId="2584E3A7" w:rsidR="00FF302D" w:rsidRPr="00113F13" w:rsidRDefault="00FF302D" w:rsidP="00B63604">
      <w:pPr>
        <w:pStyle w:val="NormalNumberedTextTLRI"/>
        <w:numPr>
          <w:ilvl w:val="2"/>
          <w:numId w:val="31"/>
        </w:numPr>
        <w:tabs>
          <w:tab w:val="clear" w:pos="720"/>
        </w:tabs>
        <w:spacing w:line="259" w:lineRule="auto"/>
      </w:pPr>
      <w:r w:rsidRPr="00113F13">
        <w:t>Some State and Territory legislation exempts public authorities from privacy compliance in emergency situations. For example, in NSW, public authorities are not required to comply with the information protection principles where the information handling is reasonably necessary to assist in a state of emergency, is only for that purpose, and it is unreasonable or impracticable to obtain the individual’s consent.</w:t>
      </w:r>
      <w:r w:rsidRPr="00113F13">
        <w:rPr>
          <w:rStyle w:val="FootnoteReference"/>
          <w:rFonts w:ascii="Times New Roman" w:hAnsi="Times New Roman"/>
        </w:rPr>
        <w:footnoteReference w:id="330"/>
      </w:r>
      <w:r w:rsidRPr="00113F13">
        <w:t xml:space="preserve"> In Queensland, a more limited exemption applies to the collection of personal information in the context of delivery of an emergency service; in that circumstance, agencies are not </w:t>
      </w:r>
      <w:r w:rsidRPr="00113F13">
        <w:lastRenderedPageBreak/>
        <w:t>required to take reasonable steps to make individuals aware of the purpose of the collection and related matters.</w:t>
      </w:r>
      <w:r w:rsidRPr="00113F13">
        <w:rPr>
          <w:rStyle w:val="FootnoteReference"/>
          <w:rFonts w:ascii="Times New Roman" w:hAnsi="Times New Roman"/>
        </w:rPr>
        <w:footnoteReference w:id="331"/>
      </w:r>
      <w:r w:rsidRPr="00113F13">
        <w:t xml:space="preserve"> Legislation in other jurisdictions, such as Victoria, is silent on emergency situations.</w:t>
      </w:r>
    </w:p>
    <w:p w14:paraId="235366F3" w14:textId="77777777" w:rsidR="00FF302D" w:rsidRPr="00113F13" w:rsidRDefault="00FF302D" w:rsidP="00BF1FE7">
      <w:pPr>
        <w:pStyle w:val="NumberedHeadingTLRI"/>
      </w:pPr>
      <w:bookmarkStart w:id="294" w:name="_Toc164606570"/>
      <w:r w:rsidRPr="00113F13">
        <w:t>The Commonwealth Privacy Act Review</w:t>
      </w:r>
      <w:bookmarkEnd w:id="294"/>
    </w:p>
    <w:p w14:paraId="51A149E0" w14:textId="77777777" w:rsidR="00FF302D" w:rsidRPr="00113F13" w:rsidRDefault="00FF302D" w:rsidP="00A142A1">
      <w:pPr>
        <w:pStyle w:val="Sub-HeadingTLRI"/>
      </w:pPr>
      <w:bookmarkStart w:id="295" w:name="_Toc164606571"/>
      <w:r w:rsidRPr="00113F13">
        <w:t>Employee information</w:t>
      </w:r>
      <w:bookmarkEnd w:id="295"/>
    </w:p>
    <w:p w14:paraId="339BE8CC" w14:textId="77777777" w:rsidR="00FF302D" w:rsidRPr="00113F13" w:rsidRDefault="00FF302D" w:rsidP="00B63604">
      <w:pPr>
        <w:pStyle w:val="NormalNumberedTextTLRI"/>
        <w:numPr>
          <w:ilvl w:val="2"/>
          <w:numId w:val="31"/>
        </w:numPr>
        <w:tabs>
          <w:tab w:val="clear" w:pos="720"/>
        </w:tabs>
        <w:spacing w:line="259" w:lineRule="auto"/>
      </w:pPr>
      <w:r w:rsidRPr="00113F13">
        <w:t>The Privacy Act Review reported that submissions calling for removal or narrowing of the employee records exemption applying to non-public sector bodies had expressed concerns about the growing collection of sensitive information associated with public health workplace health and safety requirements, and the growing use of biometric technologies by employers.</w:t>
      </w:r>
      <w:r w:rsidRPr="00113F13">
        <w:rPr>
          <w:rStyle w:val="FootnoteReference"/>
          <w:rFonts w:ascii="Times New Roman" w:hAnsi="Times New Roman"/>
        </w:rPr>
        <w:footnoteReference w:id="332"/>
      </w:r>
      <w:r w:rsidRPr="00113F13">
        <w:t xml:space="preserve"> It also received submissions expressing concern about the removal of the employee records exemption on basis that it would create a compliance burden.</w:t>
      </w:r>
      <w:r w:rsidRPr="00113F13">
        <w:rPr>
          <w:rStyle w:val="FootnoteReference"/>
          <w:rFonts w:ascii="Times New Roman" w:hAnsi="Times New Roman"/>
        </w:rPr>
        <w:footnoteReference w:id="333"/>
      </w:r>
    </w:p>
    <w:p w14:paraId="7F3EAC74" w14:textId="77777777" w:rsidR="00FF302D" w:rsidRPr="00113F13" w:rsidRDefault="00FF302D" w:rsidP="00B63604">
      <w:pPr>
        <w:pStyle w:val="NormalNumberedTextTLRI"/>
        <w:numPr>
          <w:ilvl w:val="2"/>
          <w:numId w:val="31"/>
        </w:numPr>
        <w:tabs>
          <w:tab w:val="clear" w:pos="720"/>
        </w:tabs>
        <w:spacing w:line="259" w:lineRule="auto"/>
        <w:rPr>
          <w:szCs w:val="22"/>
        </w:rPr>
      </w:pPr>
      <w:r w:rsidRPr="00113F13">
        <w:t>The Review concluded that there was a need for ‘recalibration’ of this and other exemptions in order to meet community expectations and address privacy risks in the digital age.</w:t>
      </w:r>
      <w:r w:rsidRPr="00113F13">
        <w:rPr>
          <w:rStyle w:val="FootnoteReference"/>
          <w:rFonts w:ascii="Times New Roman" w:hAnsi="Times New Roman"/>
        </w:rPr>
        <w:footnoteReference w:id="334"/>
      </w:r>
      <w:r w:rsidRPr="00113F13">
        <w:t xml:space="preserve"> It proposed the introduction of enhanced privacy protections for employee records of private sector employees. These reforms would:</w:t>
      </w:r>
      <w:r w:rsidRPr="00113F13">
        <w:tab/>
      </w:r>
    </w:p>
    <w:p w14:paraId="226ACFE2" w14:textId="77777777" w:rsidR="00FF302D" w:rsidRPr="00113F13" w:rsidRDefault="00FF302D" w:rsidP="00A142A1">
      <w:pPr>
        <w:pStyle w:val="DotPointTLRI"/>
      </w:pPr>
      <w:r w:rsidRPr="00113F13">
        <w:t xml:space="preserve">enhance transparency to employees in terms of ‘what their personal and sensitive information is being collected and used for’; </w:t>
      </w:r>
    </w:p>
    <w:p w14:paraId="76B5E0BF" w14:textId="77777777" w:rsidR="00FF302D" w:rsidRPr="00113F13" w:rsidRDefault="00FF302D" w:rsidP="00A142A1">
      <w:pPr>
        <w:pStyle w:val="DotPointTLRI"/>
      </w:pPr>
      <w:r w:rsidRPr="00113F13">
        <w:t>ensure employers have flexibility to collect, use, and disclose employee information, where reasonably necessary to administer the employment relationship;</w:t>
      </w:r>
    </w:p>
    <w:p w14:paraId="3A7C02D0" w14:textId="77777777" w:rsidR="00FF302D" w:rsidRPr="00113F13" w:rsidRDefault="00FF302D" w:rsidP="00A142A1">
      <w:pPr>
        <w:pStyle w:val="DotPointTLRI"/>
      </w:pPr>
      <w:r w:rsidRPr="00113F13">
        <w:t>ensure employees’ personal information is protected from misuse, loss, or unauthorised access, and that it is destroyed when no longer required; and</w:t>
      </w:r>
    </w:p>
    <w:p w14:paraId="4284B01E" w14:textId="3FC84FF4" w:rsidR="00FF302D" w:rsidRPr="003215A2" w:rsidRDefault="00FF302D" w:rsidP="00A142A1">
      <w:pPr>
        <w:pStyle w:val="DotPointTLRI"/>
      </w:pPr>
      <w:r w:rsidRPr="00113F13">
        <w:t xml:space="preserve">place an obligation on employers to notify </w:t>
      </w:r>
      <w:r w:rsidRPr="003215A2">
        <w:t>employees and the Australian Information Commissioner where there has been a data breach involving an employee’s personal information, if the breach ‘is likely to result in serious harm’ (</w:t>
      </w:r>
      <w:r w:rsidRPr="00EA22F8">
        <w:t>discussed further at Part 5</w:t>
      </w:r>
      <w:r w:rsidR="009335BE" w:rsidRPr="003215A2">
        <w:t>)</w:t>
      </w:r>
      <w:r w:rsidRPr="003215A2">
        <w:t>.</w:t>
      </w:r>
      <w:r w:rsidRPr="003215A2">
        <w:rPr>
          <w:rStyle w:val="FootnoteReference"/>
          <w:rFonts w:ascii="Times New Roman" w:hAnsi="Times New Roman"/>
        </w:rPr>
        <w:footnoteReference w:id="335"/>
      </w:r>
    </w:p>
    <w:p w14:paraId="77653E78" w14:textId="77777777" w:rsidR="00FF302D" w:rsidRPr="00113F13" w:rsidRDefault="00FF302D" w:rsidP="00B63604">
      <w:pPr>
        <w:pStyle w:val="NormalNumberedTextTLRI"/>
        <w:numPr>
          <w:ilvl w:val="2"/>
          <w:numId w:val="31"/>
        </w:numPr>
        <w:tabs>
          <w:tab w:val="clear" w:pos="720"/>
        </w:tabs>
        <w:spacing w:line="259" w:lineRule="auto"/>
      </w:pPr>
      <w:r w:rsidRPr="003215A2">
        <w:t>The Review also suggested that further consultation should be undertaken with employer and</w:t>
      </w:r>
      <w:r w:rsidRPr="00113F13">
        <w:t xml:space="preserve"> employee representatives on how the protections should be implemented in legislation, including examining the interaction between privacy and workplace relations laws and the possibility of the development of privacy codes of practice.</w:t>
      </w:r>
      <w:r w:rsidRPr="00113F13">
        <w:rPr>
          <w:rStyle w:val="FootnoteReference"/>
          <w:rFonts w:ascii="Times New Roman" w:hAnsi="Times New Roman"/>
        </w:rPr>
        <w:footnoteReference w:id="336"/>
      </w:r>
      <w:r w:rsidRPr="00113F13">
        <w:t xml:space="preserve"> The Government agreed in-principle with the Review’s proposal that further consultation be undertaken.</w:t>
      </w:r>
      <w:r w:rsidRPr="00113F13">
        <w:rPr>
          <w:rStyle w:val="FootnoteReference"/>
          <w:rFonts w:ascii="Times New Roman" w:hAnsi="Times New Roman"/>
        </w:rPr>
        <w:footnoteReference w:id="337"/>
      </w:r>
    </w:p>
    <w:p w14:paraId="021A7E0E" w14:textId="77777777" w:rsidR="00FF302D" w:rsidRPr="00113F13" w:rsidRDefault="00FF302D" w:rsidP="00A142A1">
      <w:pPr>
        <w:pStyle w:val="Sub-HeadingTLRI"/>
      </w:pPr>
      <w:bookmarkStart w:id="296" w:name="_Toc164606572"/>
      <w:r w:rsidRPr="00113F13">
        <w:t>Public information</w:t>
      </w:r>
      <w:bookmarkEnd w:id="296"/>
    </w:p>
    <w:p w14:paraId="4D628752"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Privacy Act Review did not propose changes to the Privacy Act’s application to public information. It did, however, reject suggestions that the Privacy Act could be amended to include a list of information that does </w:t>
      </w:r>
      <w:r w:rsidRPr="00113F13">
        <w:rPr>
          <w:i/>
          <w:iCs/>
        </w:rPr>
        <w:t xml:space="preserve">not </w:t>
      </w:r>
      <w:r w:rsidRPr="00113F13">
        <w:t xml:space="preserve">constitute personal information (and hence is not subject to the Privacy </w:t>
      </w:r>
      <w:r w:rsidRPr="00113F13">
        <w:lastRenderedPageBreak/>
        <w:t>Act), including publicly available information, arguing that any information specified in such a list ‘would not necessarily never be personal information’.</w:t>
      </w:r>
      <w:r w:rsidRPr="00113F13">
        <w:rPr>
          <w:rStyle w:val="FootnoteReference"/>
          <w:rFonts w:ascii="Times New Roman" w:hAnsi="Times New Roman"/>
        </w:rPr>
        <w:footnoteReference w:id="338"/>
      </w:r>
      <w:r w:rsidRPr="00113F13">
        <w:t xml:space="preserve">  The Review suggested that this might discourage APP entities from identifying and addressing privacy issues ‘in a flexible, principles-based regime’ and drawing on OAIC guidance.</w:t>
      </w:r>
      <w:r w:rsidRPr="00113F13">
        <w:rPr>
          <w:rStyle w:val="FootnoteReference"/>
          <w:rFonts w:ascii="Times New Roman" w:hAnsi="Times New Roman"/>
        </w:rPr>
        <w:footnoteReference w:id="339"/>
      </w:r>
    </w:p>
    <w:p w14:paraId="57EE4362" w14:textId="77777777" w:rsidR="00FF302D" w:rsidRPr="00113F13" w:rsidRDefault="00FF302D" w:rsidP="00A142A1">
      <w:pPr>
        <w:pStyle w:val="Sub-HeadingTLRI"/>
      </w:pPr>
      <w:bookmarkStart w:id="297" w:name="_Toc164606573"/>
      <w:r w:rsidRPr="00113F13">
        <w:t>Law enforcement information and public benefit exemptions</w:t>
      </w:r>
      <w:bookmarkEnd w:id="297"/>
    </w:p>
    <w:p w14:paraId="6A9BFB56" w14:textId="77777777" w:rsidR="00FF302D" w:rsidRPr="00113F13" w:rsidRDefault="00FF302D" w:rsidP="00B63604">
      <w:pPr>
        <w:pStyle w:val="NormalNumberedTextTLRI"/>
        <w:numPr>
          <w:ilvl w:val="2"/>
          <w:numId w:val="31"/>
        </w:numPr>
        <w:tabs>
          <w:tab w:val="clear" w:pos="720"/>
        </w:tabs>
        <w:spacing w:line="259" w:lineRule="auto"/>
      </w:pPr>
      <w:r w:rsidRPr="00113F13">
        <w:t>The Privacy Act Review made two proposals relevant to exceptions for law enforcement information, one of which also related to public interest exceptions.</w:t>
      </w:r>
    </w:p>
    <w:p w14:paraId="7D06124B" w14:textId="7FF71C48" w:rsidR="00FF302D" w:rsidRPr="00113F13" w:rsidRDefault="00FF302D" w:rsidP="00B63604">
      <w:pPr>
        <w:pStyle w:val="NormalNumberedTextTLRI"/>
        <w:numPr>
          <w:ilvl w:val="2"/>
          <w:numId w:val="31"/>
        </w:numPr>
        <w:tabs>
          <w:tab w:val="clear" w:pos="720"/>
        </w:tabs>
        <w:spacing w:line="259" w:lineRule="auto"/>
      </w:pPr>
      <w:r w:rsidRPr="00113F13">
        <w:t>The first was a proposal to introduce a law enforcement exception relating to a proposed new right to erasure. The second was a proposal to introduce an exception to the right to erasure and other individual rights proposed by the Review, where complying with a request would be contrary to public interests, including freedom of information and law enforcement activities.</w:t>
      </w:r>
      <w:r w:rsidRPr="00113F13">
        <w:rPr>
          <w:rStyle w:val="FootnoteReference"/>
          <w:rFonts w:ascii="Times New Roman" w:hAnsi="Times New Roman"/>
        </w:rPr>
        <w:footnoteReference w:id="340"/>
      </w:r>
      <w:r w:rsidRPr="00113F13">
        <w:t xml:space="preserve"> These proposals are discussed in detail in </w:t>
      </w:r>
      <w:r w:rsidR="004D6352" w:rsidRPr="00EA22F8">
        <w:t>Part</w:t>
      </w:r>
      <w:r w:rsidRPr="00EA22F8">
        <w:t xml:space="preserve"> </w:t>
      </w:r>
      <w:r w:rsidR="00510BA5" w:rsidRPr="00EA22F8">
        <w:t>6</w:t>
      </w:r>
      <w:r w:rsidRPr="00113F13">
        <w:t>.</w:t>
      </w:r>
    </w:p>
    <w:p w14:paraId="6CF8B158" w14:textId="77777777" w:rsidR="00FF302D" w:rsidRPr="00113F13" w:rsidRDefault="00FF302D" w:rsidP="00A142A1">
      <w:pPr>
        <w:pStyle w:val="Sub-HeadingTLRI"/>
      </w:pPr>
      <w:bookmarkStart w:id="298" w:name="_Toc164606574"/>
      <w:r w:rsidRPr="00113F13">
        <w:t>Emergency declarations</w:t>
      </w:r>
      <w:bookmarkEnd w:id="298"/>
    </w:p>
    <w:p w14:paraId="1BB85E9A" w14:textId="68893A8B" w:rsidR="00FF302D" w:rsidRPr="00113F13" w:rsidRDefault="00FF302D" w:rsidP="00B63604">
      <w:pPr>
        <w:pStyle w:val="NormalNumberedTextTLRI"/>
        <w:numPr>
          <w:ilvl w:val="2"/>
          <w:numId w:val="31"/>
        </w:numPr>
        <w:tabs>
          <w:tab w:val="clear" w:pos="720"/>
        </w:tabs>
        <w:spacing w:line="259" w:lineRule="auto"/>
      </w:pPr>
      <w:r w:rsidRPr="00113F13">
        <w:t>The Privacy Act Review invited feedback on whether the emergency declaration provisions in Part</w:t>
      </w:r>
      <w:r w:rsidR="00861B06">
        <w:t> </w:t>
      </w:r>
      <w:r w:rsidRPr="00113F13">
        <w:t>VIA of the Privacy Act could be improved.</w:t>
      </w:r>
      <w:r w:rsidRPr="00113F13">
        <w:rPr>
          <w:rStyle w:val="FootnoteReference"/>
          <w:rFonts w:ascii="Times New Roman" w:hAnsi="Times New Roman"/>
        </w:rPr>
        <w:footnoteReference w:id="341"/>
      </w:r>
      <w:r w:rsidRPr="00113F13">
        <w:t xml:space="preserve"> The Review proposed amendments to the Privacy Act to:</w:t>
      </w:r>
    </w:p>
    <w:p w14:paraId="0B120780" w14:textId="77777777" w:rsidR="00FF302D" w:rsidRPr="00113F13" w:rsidRDefault="00FF302D" w:rsidP="00A142A1">
      <w:pPr>
        <w:pStyle w:val="DotPointTLRI"/>
      </w:pPr>
      <w:r w:rsidRPr="00113F13">
        <w:t>enable emergency declarations to be more targeted by entity, classes of personal information or specified acts and practices, on the basis that this would lead to a better balance between sharing individuals’ personal information to respond to an emergency and protecting their privacy;</w:t>
      </w:r>
      <w:r w:rsidRPr="00113F13">
        <w:rPr>
          <w:rStyle w:val="FootnoteReference"/>
          <w:rFonts w:ascii="Times New Roman" w:hAnsi="Times New Roman"/>
        </w:rPr>
        <w:footnoteReference w:id="342"/>
      </w:r>
    </w:p>
    <w:p w14:paraId="4DB66CE6" w14:textId="77777777" w:rsidR="00FF302D" w:rsidRPr="00113F13" w:rsidRDefault="00FF302D" w:rsidP="00A142A1">
      <w:pPr>
        <w:pStyle w:val="DotPointTLRI"/>
      </w:pPr>
      <w:r w:rsidRPr="00113F13">
        <w:t>ensure emergency declarations can be made in relation to ongoing emergencies (such as pandemics) in order to address the apparent limitation of the scope of existing provisions to individuals who are already affected by a disaster;</w:t>
      </w:r>
      <w:r w:rsidRPr="00113F13">
        <w:rPr>
          <w:rStyle w:val="FootnoteReference"/>
          <w:rFonts w:ascii="Times New Roman" w:hAnsi="Times New Roman"/>
        </w:rPr>
        <w:footnoteReference w:id="343"/>
      </w:r>
      <w:r w:rsidRPr="00113F13">
        <w:t xml:space="preserve"> and</w:t>
      </w:r>
    </w:p>
    <w:p w14:paraId="6A7CA49F" w14:textId="77777777" w:rsidR="00FF302D" w:rsidRPr="00113F13" w:rsidRDefault="00FF302D" w:rsidP="00A142A1">
      <w:pPr>
        <w:pStyle w:val="DotPointTLRI"/>
      </w:pPr>
      <w:r w:rsidRPr="00113F13">
        <w:t>permit organisations to disclose personal information to state and territory authorities—not only to Commonwealth agencies—when an emergency declaration is in place, as long as the State or Territory has enacted comparable privacy laws to the Commonwealth and on the proviso that State and Territory authorities cannot use the information received under an emergency declaration for anything other than a ‘permitted purpose’ under the Privacy Act.</w:t>
      </w:r>
      <w:r w:rsidRPr="00113F13">
        <w:rPr>
          <w:rStyle w:val="FootnoteReference"/>
          <w:rFonts w:ascii="Times New Roman" w:hAnsi="Times New Roman"/>
        </w:rPr>
        <w:footnoteReference w:id="344"/>
      </w:r>
      <w:r w:rsidRPr="00113F13">
        <w:t xml:space="preserve"> This proposal was intended to better facilitate responses to emergencies and disasters.</w:t>
      </w:r>
      <w:r w:rsidRPr="00113F13">
        <w:rPr>
          <w:rStyle w:val="FootnoteReference"/>
          <w:rFonts w:ascii="Times New Roman" w:hAnsi="Times New Roman"/>
        </w:rPr>
        <w:footnoteReference w:id="345"/>
      </w:r>
    </w:p>
    <w:p w14:paraId="4AC44546" w14:textId="77777777" w:rsidR="00FF302D" w:rsidRPr="00113F13" w:rsidRDefault="00FF302D" w:rsidP="00B63604">
      <w:pPr>
        <w:pStyle w:val="NormalNumberedTextTLRI"/>
        <w:numPr>
          <w:ilvl w:val="2"/>
          <w:numId w:val="31"/>
        </w:numPr>
        <w:tabs>
          <w:tab w:val="clear" w:pos="720"/>
        </w:tabs>
        <w:spacing w:line="259" w:lineRule="auto"/>
      </w:pPr>
      <w:r w:rsidRPr="00113F13">
        <w:t>The Government agreed with each of these proposals and committed to developing legislative proposals for further targeted consultation.</w:t>
      </w:r>
      <w:r w:rsidRPr="00113F13">
        <w:rPr>
          <w:rStyle w:val="FootnoteReference"/>
          <w:rFonts w:ascii="Times New Roman" w:hAnsi="Times New Roman"/>
        </w:rPr>
        <w:footnoteReference w:id="346"/>
      </w:r>
    </w:p>
    <w:p w14:paraId="66A25C47" w14:textId="77777777" w:rsidR="00FF302D" w:rsidRPr="00113F13" w:rsidRDefault="00FF302D" w:rsidP="00BF1FE7">
      <w:pPr>
        <w:pStyle w:val="NumberedHeadingTLRI"/>
      </w:pPr>
      <w:bookmarkStart w:id="299" w:name="_Toc164606575"/>
      <w:r w:rsidRPr="00113F13">
        <w:lastRenderedPageBreak/>
        <w:t>Consultation</w:t>
      </w:r>
      <w:bookmarkEnd w:id="299"/>
    </w:p>
    <w:p w14:paraId="7DBB056D"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asked the following question regarding information that receives a lower level of protection under Tasmanian privacy legislation:</w:t>
      </w:r>
    </w:p>
    <w:p w14:paraId="0ACC2D8C" w14:textId="77777777" w:rsidR="00FF302D" w:rsidRPr="00113F13" w:rsidRDefault="00FF302D" w:rsidP="00A142A1">
      <w:pPr>
        <w:pStyle w:val="Indentedquote"/>
        <w:rPr>
          <w:rFonts w:cs="Times New Roman"/>
        </w:rPr>
      </w:pPr>
      <w:r w:rsidRPr="00113F13">
        <w:rPr>
          <w:rFonts w:cs="Times New Roman"/>
        </w:rPr>
        <w:t>Are the exceptions, including the process for declaring and publishing public benefit exemptions, suitable?</w:t>
      </w:r>
      <w:r w:rsidRPr="00113F13">
        <w:rPr>
          <w:rStyle w:val="FootnoteReference"/>
          <w:rFonts w:ascii="Times New Roman" w:hAnsi="Times New Roman" w:cs="Times New Roman"/>
        </w:rPr>
        <w:footnoteReference w:id="347"/>
      </w:r>
    </w:p>
    <w:p w14:paraId="55FC0C94" w14:textId="15147757" w:rsidR="00FF302D" w:rsidRPr="00113F13" w:rsidRDefault="00FF302D" w:rsidP="00B63604">
      <w:pPr>
        <w:pStyle w:val="NormalNumberedTextTLRI"/>
        <w:numPr>
          <w:ilvl w:val="2"/>
          <w:numId w:val="31"/>
        </w:numPr>
        <w:tabs>
          <w:tab w:val="clear" w:pos="720"/>
        </w:tabs>
        <w:spacing w:line="259" w:lineRule="auto"/>
      </w:pPr>
      <w:r w:rsidRPr="00113F13">
        <w:t xml:space="preserve">Submissions in reply to the Issues Paper focused on the public benefit exemption provisions (discussed </w:t>
      </w:r>
      <w:r w:rsidRPr="00EA22F8">
        <w:t>above at [</w:t>
      </w:r>
      <w:r w:rsidR="006B6C29" w:rsidRPr="00EA22F8">
        <w:fldChar w:fldCharType="begin"/>
      </w:r>
      <w:r w:rsidR="006B6C29" w:rsidRPr="00EA22F8">
        <w:instrText xml:space="preserve"> REF _Ref149137369 \r \h </w:instrText>
      </w:r>
      <w:r w:rsidR="00AC42C8">
        <w:instrText xml:space="preserve"> \* MERGEFORMAT </w:instrText>
      </w:r>
      <w:r w:rsidR="006B6C29" w:rsidRPr="00EA22F8">
        <w:fldChar w:fldCharType="separate"/>
      </w:r>
      <w:r w:rsidR="00462C30">
        <w:rPr>
          <w:cs/>
        </w:rPr>
        <w:t>‎</w:t>
      </w:r>
      <w:r w:rsidR="00462C30">
        <w:t>4.12.16</w:t>
      </w:r>
      <w:r w:rsidR="006B6C29" w:rsidRPr="00EA22F8">
        <w:fldChar w:fldCharType="end"/>
      </w:r>
      <w:r w:rsidR="00AC42C8" w:rsidRPr="00AC42C8">
        <w:t>]</w:t>
      </w:r>
      <w:r w:rsidR="00AC42C8">
        <w:t>–</w:t>
      </w:r>
      <w:r w:rsidRPr="00EA22F8">
        <w:t>[</w:t>
      </w:r>
      <w:r w:rsidR="00AC42C8" w:rsidRPr="00EA22F8">
        <w:fldChar w:fldCharType="begin"/>
      </w:r>
      <w:r w:rsidR="00AC42C8" w:rsidRPr="00EA22F8">
        <w:instrText xml:space="preserve"> REF _Ref164773573 \r \h </w:instrText>
      </w:r>
      <w:r w:rsidR="00AC42C8">
        <w:instrText xml:space="preserve"> \* MERGEFORMAT </w:instrText>
      </w:r>
      <w:r w:rsidR="00AC42C8" w:rsidRPr="00EA22F8">
        <w:fldChar w:fldCharType="separate"/>
      </w:r>
      <w:r w:rsidR="00462C30">
        <w:rPr>
          <w:cs/>
        </w:rPr>
        <w:t>‎</w:t>
      </w:r>
      <w:r w:rsidR="00462C30">
        <w:t>4.12.19</w:t>
      </w:r>
      <w:r w:rsidR="00AC42C8" w:rsidRPr="00EA22F8">
        <w:fldChar w:fldCharType="end"/>
      </w:r>
      <w:r w:rsidRPr="00AC42C8">
        <w:t>]).</w:t>
      </w:r>
    </w:p>
    <w:p w14:paraId="417B76DD" w14:textId="4B0E056D" w:rsidR="00FF302D" w:rsidRPr="00113F13" w:rsidRDefault="00FF302D" w:rsidP="00B63604">
      <w:pPr>
        <w:pStyle w:val="NormalNumberedTextTLRI"/>
        <w:numPr>
          <w:ilvl w:val="2"/>
          <w:numId w:val="31"/>
        </w:numPr>
        <w:tabs>
          <w:tab w:val="clear" w:pos="720"/>
        </w:tabs>
        <w:spacing w:line="259" w:lineRule="auto"/>
      </w:pPr>
      <w:r w:rsidRPr="00113F13">
        <w:t>Meg Webb MLC submitted that the current provisions are inadequate and proposed that the PIPA be amended to introduce a requirement for Ministerial determinations to be disallowable by Parliament, as per privacy legislation in Queensland, NSW, and Victoria.</w:t>
      </w:r>
      <w:r w:rsidRPr="00113F13">
        <w:rPr>
          <w:rStyle w:val="FootnoteReference"/>
          <w:rFonts w:ascii="Times New Roman" w:hAnsi="Times New Roman"/>
        </w:rPr>
        <w:footnoteReference w:id="348"/>
      </w:r>
    </w:p>
    <w:p w14:paraId="388BC1BF" w14:textId="40E06175" w:rsidR="00FF302D" w:rsidRPr="00113F13" w:rsidRDefault="00FF302D" w:rsidP="00B63604">
      <w:pPr>
        <w:pStyle w:val="NormalNumberedTextTLRI"/>
        <w:numPr>
          <w:ilvl w:val="2"/>
          <w:numId w:val="31"/>
        </w:numPr>
        <w:tabs>
          <w:tab w:val="clear" w:pos="720"/>
        </w:tabs>
        <w:spacing w:line="259" w:lineRule="auto"/>
      </w:pPr>
      <w:r w:rsidRPr="00113F13">
        <w:t>Mr Richard Griggs also criticised the public benefit exemption mechanism. Mr Griggs cited the example of a PIPA exemption gazetted on 25 November 2020, which applies to eight departments in relation to any information that ‘has the potential to be relevant to an actual or potential civil claim against the State of Tasmania’. Mr Griggs submitted that the existing exemption process is problematic for several reasons, including: that it ‘amounts to government applying to itself to be exempted from legal obligations’; that it does not require the Minister to involve the public or the Tasmanian Ombudsman; and that it does not provide an avenue for members of the public to seek a review of the decision. In regard to the latter, Mr</w:t>
      </w:r>
      <w:r w:rsidR="00770216">
        <w:t> </w:t>
      </w:r>
      <w:r w:rsidRPr="00113F13">
        <w:t xml:space="preserve">Griggs observed that decisions of the Anti-Discrimination Commissioner to grant an exemption from compliance with the </w:t>
      </w:r>
      <w:r w:rsidRPr="00113F13">
        <w:rPr>
          <w:i/>
          <w:iCs/>
        </w:rPr>
        <w:t>Anti-Discrimination Act</w:t>
      </w:r>
      <w:r w:rsidRPr="00113F13">
        <w:t xml:space="preserve"> </w:t>
      </w:r>
      <w:r w:rsidRPr="00113F13">
        <w:rPr>
          <w:i/>
          <w:iCs/>
        </w:rPr>
        <w:t xml:space="preserve">1998 </w:t>
      </w:r>
      <w:r w:rsidRPr="00113F13">
        <w:t>(Tas) are reviewable.</w:t>
      </w:r>
      <w:r w:rsidRPr="00113F13">
        <w:rPr>
          <w:rStyle w:val="FootnoteReference"/>
          <w:rFonts w:ascii="Times New Roman" w:hAnsi="Times New Roman"/>
        </w:rPr>
        <w:footnoteReference w:id="349"/>
      </w:r>
      <w:r w:rsidRPr="00113F13">
        <w:t xml:space="preserve"> Mr Griggs asserted that:</w:t>
      </w:r>
    </w:p>
    <w:p w14:paraId="64947E79" w14:textId="77777777" w:rsidR="00FF302D" w:rsidRPr="00113F13" w:rsidRDefault="00FF302D" w:rsidP="00A142A1">
      <w:pPr>
        <w:pStyle w:val="Indentedquote"/>
        <w:rPr>
          <w:rFonts w:cs="Times New Roman"/>
        </w:rPr>
      </w:pPr>
      <w:r w:rsidRPr="00113F13">
        <w:rPr>
          <w:rFonts w:cs="Times New Roman"/>
        </w:rPr>
        <w:t>it does not appear reasonable or necessary for the government to have a ‘back stop’ exemption that allows it to simply and easily exempt itself from compliance at its own election.</w:t>
      </w:r>
      <w:r w:rsidRPr="00113F13">
        <w:rPr>
          <w:rStyle w:val="FootnoteReference"/>
          <w:rFonts w:ascii="Times New Roman" w:hAnsi="Times New Roman" w:cs="Times New Roman"/>
        </w:rPr>
        <w:footnoteReference w:id="350"/>
      </w:r>
    </w:p>
    <w:p w14:paraId="2FC4C9BD" w14:textId="77777777" w:rsidR="00FF302D" w:rsidRPr="00113F13" w:rsidRDefault="00FF302D" w:rsidP="00B63604">
      <w:pPr>
        <w:pStyle w:val="NormalNumberedTextTLRI"/>
        <w:numPr>
          <w:ilvl w:val="2"/>
          <w:numId w:val="31"/>
        </w:numPr>
        <w:tabs>
          <w:tab w:val="clear" w:pos="720"/>
        </w:tabs>
        <w:spacing w:line="259" w:lineRule="auto"/>
      </w:pPr>
      <w:r w:rsidRPr="00113F13">
        <w:t>Mr Griggs recommended that Sections 13 and 14 of the PIPA be repealed altogether, on the basis that other specific exemptions are available elsewhere in the PIPA (namely, those relating to courts and tribunals, public information, law enforcement information, employee information, unsolicited information, and basic information).</w:t>
      </w:r>
    </w:p>
    <w:p w14:paraId="2B7C3313" w14:textId="77777777" w:rsidR="00FF302D" w:rsidRDefault="00FF302D" w:rsidP="00B63604">
      <w:pPr>
        <w:pStyle w:val="NormalNumberedTextTLRI"/>
        <w:numPr>
          <w:ilvl w:val="2"/>
          <w:numId w:val="31"/>
        </w:numPr>
        <w:tabs>
          <w:tab w:val="clear" w:pos="720"/>
        </w:tabs>
        <w:spacing w:line="259" w:lineRule="auto"/>
      </w:pPr>
      <w:r w:rsidRPr="00113F13">
        <w:t xml:space="preserve">Mr Kelvin Markham expressed the view that an exemption should be introduced to permit Marine and Safety Tasmania to publish the names of mooring owners on the Land Information System Tasmania (‘LIST’) data portal. Mr Markham submitted that the exclusion of this information from public view ‘leads to inefficiency in the use of moorings and prevents the ready identification of mooring owners and lessees’.  He contrasted this with the availability of searches of property records under the </w:t>
      </w:r>
      <w:r w:rsidRPr="00113F13">
        <w:rPr>
          <w:i/>
          <w:iCs/>
        </w:rPr>
        <w:t>Land Titles Act</w:t>
      </w:r>
      <w:r w:rsidRPr="00113F13">
        <w:t xml:space="preserve"> </w:t>
      </w:r>
      <w:r w:rsidRPr="00113F13">
        <w:rPr>
          <w:i/>
          <w:iCs/>
        </w:rPr>
        <w:t xml:space="preserve">1980 </w:t>
      </w:r>
      <w:r w:rsidRPr="00113F13">
        <w:t>(Tas).</w:t>
      </w:r>
      <w:r w:rsidRPr="00113F13">
        <w:rPr>
          <w:rStyle w:val="FootnoteReference"/>
          <w:rFonts w:ascii="Times New Roman" w:hAnsi="Times New Roman"/>
        </w:rPr>
        <w:footnoteReference w:id="351"/>
      </w:r>
    </w:p>
    <w:p w14:paraId="4C78087F" w14:textId="77777777" w:rsidR="007553C4" w:rsidRPr="00113F13" w:rsidRDefault="007553C4" w:rsidP="007553C4">
      <w:pPr>
        <w:pStyle w:val="NormalNumberedTextTLRI"/>
        <w:numPr>
          <w:ilvl w:val="0"/>
          <w:numId w:val="0"/>
        </w:numPr>
        <w:spacing w:line="259" w:lineRule="auto"/>
      </w:pPr>
    </w:p>
    <w:p w14:paraId="56C02A74" w14:textId="77777777" w:rsidR="00FF302D" w:rsidRPr="00113F13" w:rsidRDefault="00FF302D" w:rsidP="00BF1FE7">
      <w:pPr>
        <w:pStyle w:val="NumberedHeadingTLRI"/>
      </w:pPr>
      <w:bookmarkStart w:id="300" w:name="_Toc164606576"/>
      <w:r w:rsidRPr="00113F13">
        <w:lastRenderedPageBreak/>
        <w:t>The TLRI’s view</w:t>
      </w:r>
      <w:bookmarkEnd w:id="300"/>
    </w:p>
    <w:p w14:paraId="25299A14" w14:textId="77777777" w:rsidR="00FF302D" w:rsidRPr="00113F13" w:rsidRDefault="00FF302D" w:rsidP="00A142A1">
      <w:pPr>
        <w:pStyle w:val="Sub-HeadingTLRI"/>
      </w:pPr>
      <w:bookmarkStart w:id="301" w:name="_Toc164606577"/>
      <w:r w:rsidRPr="00113F13">
        <w:t>Basic personal information</w:t>
      </w:r>
      <w:bookmarkEnd w:id="301"/>
    </w:p>
    <w:p w14:paraId="4808C75C" w14:textId="38A04113" w:rsidR="00FF302D" w:rsidRPr="00113F13" w:rsidRDefault="00FF302D" w:rsidP="00B63604">
      <w:pPr>
        <w:pStyle w:val="NormalNumberedTextTLRI"/>
        <w:numPr>
          <w:ilvl w:val="2"/>
          <w:numId w:val="31"/>
        </w:numPr>
        <w:tabs>
          <w:tab w:val="clear" w:pos="720"/>
        </w:tabs>
        <w:spacing w:line="259" w:lineRule="auto"/>
      </w:pPr>
      <w:r w:rsidRPr="00A15B2C">
        <w:t xml:space="preserve">The TLRI notes that the basic personal information provision in </w:t>
      </w:r>
      <w:r w:rsidR="009E4420">
        <w:t>Section</w:t>
      </w:r>
      <w:r w:rsidRPr="00A15B2C">
        <w:t xml:space="preserve"> 12 of the PIPA (</w:t>
      </w:r>
      <w:r w:rsidRPr="00EA22F8">
        <w:t>discussed at [</w:t>
      </w:r>
      <w:r w:rsidR="00A15B2C" w:rsidRPr="00EA22F8">
        <w:fldChar w:fldCharType="begin"/>
      </w:r>
      <w:r w:rsidR="00A15B2C" w:rsidRPr="00EA22F8">
        <w:instrText xml:space="preserve"> REF _Ref91322283 \r \h </w:instrText>
      </w:r>
      <w:r w:rsidR="00A15B2C">
        <w:instrText xml:space="preserve"> \* MERGEFORMAT </w:instrText>
      </w:r>
      <w:r w:rsidR="00A15B2C" w:rsidRPr="00EA22F8">
        <w:fldChar w:fldCharType="separate"/>
      </w:r>
      <w:r w:rsidR="00462C30">
        <w:rPr>
          <w:cs/>
        </w:rPr>
        <w:t>‎</w:t>
      </w:r>
      <w:r w:rsidR="00462C30">
        <w:t>4.12.3</w:t>
      </w:r>
      <w:r w:rsidR="00A15B2C" w:rsidRPr="00EA22F8">
        <w:fldChar w:fldCharType="end"/>
      </w:r>
      <w:r w:rsidRPr="00EA22F8">
        <w:t>] above)</w:t>
      </w:r>
      <w:r w:rsidRPr="00113F13">
        <w:t xml:space="preserve"> is inconsistent with the approach in the Commonwealth and other State and Territory legislation, which do not create a general exemption for use or disclosure of basic personal information between public bodies for storage or usage purposes. No submissions were received in relation to this issue</w:t>
      </w:r>
      <w:r w:rsidR="0006637F">
        <w:t xml:space="preserve">, </w:t>
      </w:r>
      <w:r w:rsidRPr="00113F13">
        <w:t>and it is unclear whether the distinction between basic personal information and personal information has a practical application in Tasmania. However, in light of its recommendation that there should be consistency with other jurisdictions, the TLRI’s view is that consideration should be given to aligning the definition of personal information in Tasmania with the approach in the Commonwealth Privacy Act and other jurisdictions.</w:t>
      </w:r>
    </w:p>
    <w:p w14:paraId="13D4E2F3" w14:textId="5EB20A85" w:rsidR="00FF302D" w:rsidRPr="003215A2" w:rsidRDefault="00FF302D" w:rsidP="00B63604">
      <w:pPr>
        <w:pStyle w:val="NormalNumberedTextTLRI"/>
        <w:numPr>
          <w:ilvl w:val="2"/>
          <w:numId w:val="31"/>
        </w:numPr>
        <w:tabs>
          <w:tab w:val="clear" w:pos="720"/>
        </w:tabs>
        <w:spacing w:line="259" w:lineRule="auto"/>
      </w:pPr>
      <w:r w:rsidRPr="00113F13">
        <w:t xml:space="preserve">On this basis, the TLRI considers that the exception relating to the use or disclosure of ‘basic personal information’ set out in </w:t>
      </w:r>
      <w:r w:rsidR="009E4420">
        <w:t>Section</w:t>
      </w:r>
      <w:r w:rsidRPr="00113F13">
        <w:t xml:space="preserve"> 12 of the PIPA should be subject to further targeted consultation on the purpose and utilisation of this provision by public authorities and whether it is necessary in light of other provisions facilitating information sharing </w:t>
      </w:r>
      <w:r w:rsidRPr="003215A2">
        <w:t>between government bodies (d</w:t>
      </w:r>
      <w:r w:rsidRPr="00EA22F8">
        <w:t>iscussed in</w:t>
      </w:r>
      <w:r w:rsidR="0006637F" w:rsidRPr="00EA22F8">
        <w:t xml:space="preserve"> Part</w:t>
      </w:r>
      <w:r w:rsidRPr="00EA22F8">
        <w:t xml:space="preserve"> 7 of this </w:t>
      </w:r>
      <w:r w:rsidR="0006637F" w:rsidRPr="00EA22F8">
        <w:t>R</w:t>
      </w:r>
      <w:r w:rsidRPr="00EA22F8">
        <w:t>eport</w:t>
      </w:r>
      <w:r w:rsidRPr="003215A2">
        <w:t>).</w:t>
      </w:r>
    </w:p>
    <w:p w14:paraId="6913458A" w14:textId="77777777" w:rsidR="00FF302D" w:rsidRPr="00113F13" w:rsidRDefault="00FF302D" w:rsidP="00A142A1">
      <w:pPr>
        <w:pStyle w:val="Sub-HeadingTLRI"/>
      </w:pPr>
      <w:bookmarkStart w:id="302" w:name="_Toc164606578"/>
      <w:r w:rsidRPr="003215A2">
        <w:t>Employee information</w:t>
      </w:r>
      <w:bookmarkEnd w:id="302"/>
    </w:p>
    <w:p w14:paraId="235FA0FE" w14:textId="77777777" w:rsidR="00FF302D" w:rsidRPr="00113F13" w:rsidRDefault="00FF302D" w:rsidP="00B63604">
      <w:pPr>
        <w:pStyle w:val="NormalNumberedTextTLRI"/>
        <w:numPr>
          <w:ilvl w:val="2"/>
          <w:numId w:val="31"/>
        </w:numPr>
        <w:tabs>
          <w:tab w:val="clear" w:pos="720"/>
        </w:tabs>
        <w:spacing w:line="259" w:lineRule="auto"/>
      </w:pPr>
      <w:r w:rsidRPr="00113F13">
        <w:t>The TLRI observes that the PIPA is the only privacy statute in Australia that creates information handling exceptions in relation to employee information for public sector bodies. Other State and Territory legislation makes no mention of employee information, while the Privacy Act exception applies only to non-public sector employers at the Commonwealth level.</w:t>
      </w:r>
    </w:p>
    <w:p w14:paraId="26AFEC4B" w14:textId="77777777" w:rsidR="00FF302D" w:rsidRPr="00113F13" w:rsidRDefault="00FF302D" w:rsidP="00B63604">
      <w:pPr>
        <w:pStyle w:val="NormalNumberedTextTLRI"/>
        <w:numPr>
          <w:ilvl w:val="2"/>
          <w:numId w:val="31"/>
        </w:numPr>
        <w:tabs>
          <w:tab w:val="clear" w:pos="720"/>
        </w:tabs>
        <w:spacing w:line="259" w:lineRule="auto"/>
      </w:pPr>
      <w:r w:rsidRPr="00113F13">
        <w:t>The TLRI also observes that the Privacy Act Review argued that there is a strong case for narrowing the employee information exception for non-public sector bodies because of the growing range of data held by employers, including sensitive health information and biometric information, and the proliferation of technology available to analyse and utilise that data (including for employment-related purposes). As noted in the Privacy Act Review, the original purpose of the employee information exemption was on the grounds that ‘the handling of employee records [was] a matter better dealt with under workplace relations legislation’.</w:t>
      </w:r>
      <w:r w:rsidRPr="00113F13">
        <w:rPr>
          <w:rStyle w:val="FootnoteReference"/>
          <w:rFonts w:ascii="Times New Roman" w:hAnsi="Times New Roman"/>
        </w:rPr>
        <w:footnoteReference w:id="352"/>
      </w:r>
      <w:r w:rsidRPr="00113F13">
        <w:t xml:space="preserve"> However, it was still recognised that personal information about employees was a matter that warranted privacy protection.</w:t>
      </w:r>
      <w:r w:rsidRPr="00113F13">
        <w:rPr>
          <w:rStyle w:val="FootnoteReference"/>
          <w:rFonts w:ascii="Times New Roman" w:hAnsi="Times New Roman"/>
        </w:rPr>
        <w:footnoteReference w:id="353"/>
      </w:r>
      <w:r w:rsidRPr="00113F13">
        <w:t xml:space="preserve"> </w:t>
      </w:r>
    </w:p>
    <w:p w14:paraId="4608BFA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Given the increased range of data held by employers, as outlined above, and that Tasmania is the only jurisdiction that exempts employee information held by public sector bodies, the TLRI’s view is that the exemption should be removed. However, the TLRI notes it did not receive any submissions that addressed this issue. </w:t>
      </w:r>
    </w:p>
    <w:p w14:paraId="58AE4629" w14:textId="77777777" w:rsidR="00FF302D" w:rsidRPr="00113F13" w:rsidRDefault="00FF302D" w:rsidP="00A142A1">
      <w:pPr>
        <w:pStyle w:val="Sub-HeadingTLRI"/>
      </w:pPr>
      <w:bookmarkStart w:id="303" w:name="_Toc164606579"/>
      <w:r w:rsidRPr="00113F13">
        <w:t>Public information</w:t>
      </w:r>
      <w:bookmarkEnd w:id="303"/>
    </w:p>
    <w:p w14:paraId="30C66577"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the exception relating to public information in the PIPA should be removed in light of:</w:t>
      </w:r>
    </w:p>
    <w:p w14:paraId="462F6683" w14:textId="77777777" w:rsidR="00FF302D" w:rsidRPr="00113F13" w:rsidRDefault="00FF302D" w:rsidP="00A142A1">
      <w:pPr>
        <w:pStyle w:val="DotPointTLRI"/>
      </w:pPr>
      <w:r w:rsidRPr="00113F13">
        <w:lastRenderedPageBreak/>
        <w:t xml:space="preserve">the inconsistency of the PIPA provision with privacy legislation in other jurisdictions; and </w:t>
      </w:r>
    </w:p>
    <w:p w14:paraId="237C9917" w14:textId="77777777" w:rsidR="00FF302D" w:rsidRPr="00113F13" w:rsidRDefault="00FF302D" w:rsidP="00A142A1">
      <w:pPr>
        <w:pStyle w:val="DotPointTLRI"/>
      </w:pPr>
      <w:r w:rsidRPr="00113F13">
        <w:t>the Privacy Act Review’s proposal that judgments about whether information constitutes personal information should be determined through principles-based assessment by regulated bodies without the imposition of inflexible, blanket exemptions for certain types of information, including public information.</w:t>
      </w:r>
    </w:p>
    <w:p w14:paraId="7E09D79A" w14:textId="768EBCDE" w:rsidR="00FF302D" w:rsidRPr="00113F13" w:rsidRDefault="00FF302D" w:rsidP="00B63604">
      <w:pPr>
        <w:pStyle w:val="NormalNumberedTextTLRI"/>
        <w:numPr>
          <w:ilvl w:val="2"/>
          <w:numId w:val="31"/>
        </w:numPr>
        <w:tabs>
          <w:tab w:val="clear" w:pos="720"/>
        </w:tabs>
        <w:spacing w:line="259" w:lineRule="auto"/>
      </w:pPr>
      <w:r w:rsidRPr="00113F13">
        <w:t>The TLRI is also of the view that the continued exclusion of public information from the definition of ‘personal information’ in the PIPA would also be inconsistent with the proposed introduction of a right to erasure regarding public information</w:t>
      </w:r>
      <w:r w:rsidRPr="002273E2">
        <w:t>, di</w:t>
      </w:r>
      <w:r w:rsidRPr="00EA22F8">
        <w:t>scussed in</w:t>
      </w:r>
      <w:r w:rsidRPr="00113F13">
        <w:t xml:space="preserve"> </w:t>
      </w:r>
      <w:r w:rsidR="00510BA5">
        <w:t>Part 6</w:t>
      </w:r>
      <w:r w:rsidRPr="00113F13">
        <w:t xml:space="preserve"> below.</w:t>
      </w:r>
    </w:p>
    <w:p w14:paraId="5AA11D63" w14:textId="77777777" w:rsidR="00FF302D" w:rsidRPr="00113F13" w:rsidRDefault="00FF302D" w:rsidP="00B63604">
      <w:pPr>
        <w:pStyle w:val="NormalNumberedTextTLRI"/>
        <w:numPr>
          <w:ilvl w:val="2"/>
          <w:numId w:val="31"/>
        </w:numPr>
        <w:tabs>
          <w:tab w:val="clear" w:pos="720"/>
        </w:tabs>
        <w:spacing w:line="259" w:lineRule="auto"/>
        <w:rPr>
          <w:rStyle w:val="NormalNumberedTextTLRIChar"/>
        </w:rPr>
      </w:pPr>
      <w:r w:rsidRPr="00113F13">
        <w:t>The TLRI acknowledges that r</w:t>
      </w:r>
      <w:r w:rsidRPr="00113F13">
        <w:rPr>
          <w:rStyle w:val="NormalNumberedTextTLRIChar"/>
        </w:rPr>
        <w:t>emoving the public information exemption may have significant resource implications for Tasmanian public authorities, which should be considered prior to any reform being implemented.</w:t>
      </w:r>
    </w:p>
    <w:p w14:paraId="71F15546" w14:textId="77777777" w:rsidR="00FF302D" w:rsidRPr="00113F13" w:rsidRDefault="00FF302D" w:rsidP="00A142A1">
      <w:pPr>
        <w:pStyle w:val="Sub-HeadingTLRI"/>
      </w:pPr>
      <w:bookmarkStart w:id="304" w:name="_Toc164606580"/>
      <w:r w:rsidRPr="00113F13">
        <w:t>Law enforcement information</w:t>
      </w:r>
      <w:bookmarkEnd w:id="304"/>
      <w:r w:rsidRPr="00113F13">
        <w:t xml:space="preserve"> </w:t>
      </w:r>
    </w:p>
    <w:p w14:paraId="5261575D" w14:textId="12036330" w:rsidR="00FF302D" w:rsidRPr="00113F13" w:rsidRDefault="00FF302D" w:rsidP="00B63604">
      <w:pPr>
        <w:pStyle w:val="NormalNumberedTextTLRI"/>
        <w:numPr>
          <w:ilvl w:val="2"/>
          <w:numId w:val="31"/>
        </w:numPr>
        <w:tabs>
          <w:tab w:val="clear" w:pos="720"/>
        </w:tabs>
        <w:spacing w:line="259" w:lineRule="auto"/>
      </w:pPr>
      <w:r w:rsidRPr="00113F13">
        <w:t xml:space="preserve">Drawing on the Privacy Act Review Report, the TLRI is of the view that changes to the PIPA that create or enhance individual rights relating to personal information (such as a right to erasure and a right to object) would necessitate the creation of exceptions for law enforcement activities. These are addressed in </w:t>
      </w:r>
      <w:r w:rsidR="00510BA5" w:rsidRPr="00EA22F8">
        <w:t>Part 6</w:t>
      </w:r>
      <w:r w:rsidRPr="004667E2">
        <w:t xml:space="preserve"> </w:t>
      </w:r>
      <w:r w:rsidRPr="00113F13">
        <w:t>below.</w:t>
      </w:r>
    </w:p>
    <w:p w14:paraId="7B616B37" w14:textId="2ADC5F21" w:rsidR="00FF302D" w:rsidRPr="00113F13" w:rsidRDefault="00FF302D" w:rsidP="00B63604">
      <w:pPr>
        <w:pStyle w:val="NormalNumberedTextTLRI"/>
        <w:numPr>
          <w:ilvl w:val="2"/>
          <w:numId w:val="31"/>
        </w:numPr>
        <w:tabs>
          <w:tab w:val="clear" w:pos="720"/>
        </w:tabs>
        <w:spacing w:line="259" w:lineRule="auto"/>
      </w:pPr>
      <w:r w:rsidRPr="00113F13">
        <w:t xml:space="preserve">Further, the TLRI’s view is that there is a lack of clarity in relying on the definition of ‘law enforcement information’ in </w:t>
      </w:r>
      <w:r w:rsidR="009E4420">
        <w:t>Section</w:t>
      </w:r>
      <w:r w:rsidRPr="00113F13">
        <w:t xml:space="preserve"> 30 of the RTI Act and there would be a benefit to having a definition or information in the PIPA that reflects the circumstances in which law enforcement information should be exempt from PIPA requirements. On this basis, the TLRI recommends that a definition of law enforcement information should be included in the PIPA.</w:t>
      </w:r>
    </w:p>
    <w:p w14:paraId="635B146A" w14:textId="77777777" w:rsidR="00FF302D" w:rsidRPr="00113F13" w:rsidRDefault="00FF302D" w:rsidP="00A142A1">
      <w:pPr>
        <w:pStyle w:val="Sub-HeadingTLRI"/>
      </w:pPr>
      <w:bookmarkStart w:id="305" w:name="_Toc164606581"/>
      <w:r w:rsidRPr="00113F13">
        <w:t>Public benefit exemptions</w:t>
      </w:r>
      <w:bookmarkEnd w:id="305"/>
    </w:p>
    <w:p w14:paraId="382B1507" w14:textId="77777777" w:rsidR="00FF302D" w:rsidRPr="00113F13" w:rsidRDefault="00FF302D" w:rsidP="00B63604">
      <w:pPr>
        <w:pStyle w:val="NormalNumberedTextTLRI"/>
        <w:numPr>
          <w:ilvl w:val="2"/>
          <w:numId w:val="31"/>
        </w:numPr>
        <w:tabs>
          <w:tab w:val="clear" w:pos="720"/>
        </w:tabs>
        <w:spacing w:line="259" w:lineRule="auto"/>
      </w:pPr>
      <w:r w:rsidRPr="00113F13">
        <w:t>In the TLRI’s view, the Ministerial exemption mechanism based on a public benefit assessment in the PIPA should be amended to introduce a mechanism making public interest determinations made by the Minister subject to disallowance by the Parliament. This would align the PIPA with legislation in several other States and Territories and would be consistent with the separation of powers and the principle that Parliament (not the Executive) should control law-making.</w:t>
      </w:r>
      <w:r w:rsidRPr="00113F13">
        <w:rPr>
          <w:rStyle w:val="FootnoteReference"/>
          <w:rFonts w:ascii="Times New Roman" w:hAnsi="Times New Roman"/>
        </w:rPr>
        <w:footnoteReference w:id="354"/>
      </w:r>
    </w:p>
    <w:p w14:paraId="67D2844F" w14:textId="0A15F251" w:rsidR="00FF302D" w:rsidRPr="00113F13" w:rsidRDefault="00FF302D" w:rsidP="00B63604">
      <w:pPr>
        <w:pStyle w:val="NormalNumberedTextTLRI"/>
        <w:numPr>
          <w:ilvl w:val="2"/>
          <w:numId w:val="31"/>
        </w:numPr>
        <w:tabs>
          <w:tab w:val="clear" w:pos="720"/>
        </w:tabs>
        <w:spacing w:line="259" w:lineRule="auto"/>
      </w:pPr>
      <w:r w:rsidRPr="00113F13">
        <w:t>In the alternative</w:t>
      </w:r>
      <w:r w:rsidRPr="00DF1498">
        <w:t xml:space="preserve">, </w:t>
      </w:r>
      <w:r w:rsidRPr="00EA22F8">
        <w:t>as noted at [</w:t>
      </w:r>
      <w:r w:rsidR="00DF1498" w:rsidRPr="00EA22F8">
        <w:fldChar w:fldCharType="begin"/>
      </w:r>
      <w:r w:rsidR="00DF1498" w:rsidRPr="00EA22F8">
        <w:instrText xml:space="preserve"> REF _Ref157614076 \r \h </w:instrText>
      </w:r>
      <w:r w:rsidR="00DF1498">
        <w:instrText xml:space="preserve"> \* MERGEFORMAT </w:instrText>
      </w:r>
      <w:r w:rsidR="00DF1498" w:rsidRPr="00EA22F8">
        <w:fldChar w:fldCharType="separate"/>
      </w:r>
      <w:r w:rsidR="00462C30">
        <w:rPr>
          <w:cs/>
        </w:rPr>
        <w:t>‎</w:t>
      </w:r>
      <w:r w:rsidR="00462C30">
        <w:t>4.12.30</w:t>
      </w:r>
      <w:r w:rsidR="00DF1498" w:rsidRPr="00EA22F8">
        <w:fldChar w:fldCharType="end"/>
      </w:r>
      <w:r w:rsidRPr="00EA22F8">
        <w:t>]</w:t>
      </w:r>
      <w:r w:rsidRPr="00DF1498">
        <w:t>,</w:t>
      </w:r>
      <w:r w:rsidRPr="00113F13">
        <w:t xml:space="preserve"> other jurisdictions provide powers to an independent office-holder appointed under the privacy legislation in relation to the public benefit exemption. Accordingly, the TLRI is of the view that it would be appropriate for the body responsible for broadened enforcement and compliance functions under the PIPA (</w:t>
      </w:r>
      <w:r w:rsidRPr="00EA22F8">
        <w:t xml:space="preserve">see </w:t>
      </w:r>
      <w:r w:rsidR="009177DB" w:rsidRPr="00EA22F8">
        <w:t>R</w:t>
      </w:r>
      <w:r w:rsidRPr="00EA22F8">
        <w:t xml:space="preserve">ecommendation </w:t>
      </w:r>
      <w:r w:rsidR="00CE76A4" w:rsidRPr="00EA22F8">
        <w:t>47</w:t>
      </w:r>
      <w:r w:rsidRPr="00EA22F8">
        <w:t xml:space="preserve"> in </w:t>
      </w:r>
      <w:r w:rsidR="00AA55D6" w:rsidRPr="00EA22F8">
        <w:t>Part</w:t>
      </w:r>
      <w:r w:rsidRPr="00EA22F8">
        <w:t xml:space="preserve"> </w:t>
      </w:r>
      <w:r w:rsidR="005F0426" w:rsidRPr="00EA22F8">
        <w:t>8</w:t>
      </w:r>
      <w:r w:rsidRPr="00EA22F8">
        <w:t xml:space="preserve"> of this Report)</w:t>
      </w:r>
      <w:r w:rsidRPr="006C68CE">
        <w:t xml:space="preserve"> to be empowered to make public interest</w:t>
      </w:r>
      <w:r w:rsidRPr="00113F13">
        <w:t xml:space="preserve"> determinations under the PIPA (aligning with the approach taken by the Commonwealth, Victoria, and Queensland), if this power was checked by the parliamentary disallowance mechanism described above.</w:t>
      </w:r>
    </w:p>
    <w:p w14:paraId="122AB194" w14:textId="77777777" w:rsidR="00FF302D" w:rsidRPr="00113F13" w:rsidRDefault="00FF302D" w:rsidP="00B63604">
      <w:pPr>
        <w:pStyle w:val="NormalNumberedTextTLRI"/>
        <w:numPr>
          <w:ilvl w:val="2"/>
          <w:numId w:val="31"/>
        </w:numPr>
        <w:tabs>
          <w:tab w:val="clear" w:pos="720"/>
        </w:tabs>
        <w:spacing w:line="259" w:lineRule="auto"/>
      </w:pPr>
      <w:r w:rsidRPr="00113F13">
        <w:t>If these safeguards are introduced, the TLRI does not consider that a right for the public to seek review of public benefit exemptions is necessary, noting that no such right is established in the Privacy Act or equivalent State and Territory privacy legislation.</w:t>
      </w:r>
    </w:p>
    <w:p w14:paraId="0AEB3D4E" w14:textId="77777777" w:rsidR="00FF302D" w:rsidRPr="00113F13" w:rsidRDefault="00FF302D" w:rsidP="00A142A1">
      <w:pPr>
        <w:pStyle w:val="Sub-HeadingTLRI"/>
      </w:pPr>
      <w:bookmarkStart w:id="306" w:name="_Toc164606582"/>
      <w:r w:rsidRPr="00113F13">
        <w:lastRenderedPageBreak/>
        <w:t>Emergency declarations</w:t>
      </w:r>
      <w:bookmarkEnd w:id="306"/>
    </w:p>
    <w:p w14:paraId="7D9B9833"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notes that several major reviews, including the Royal Commission into National Natural Disaster Arrangements and the Privacy Act Review, identified a need for improvements to information sharing in relation to natural disasters and ongoing emergencies. </w:t>
      </w:r>
    </w:p>
    <w:p w14:paraId="552AC593" w14:textId="77777777" w:rsidR="00FF302D" w:rsidRPr="00113F13" w:rsidRDefault="00FF302D" w:rsidP="00B63604">
      <w:pPr>
        <w:pStyle w:val="NormalNumberedTextTLRI"/>
        <w:numPr>
          <w:ilvl w:val="2"/>
          <w:numId w:val="31"/>
        </w:numPr>
        <w:tabs>
          <w:tab w:val="clear" w:pos="720"/>
        </w:tabs>
        <w:spacing w:line="259" w:lineRule="auto"/>
      </w:pPr>
      <w:r w:rsidRPr="00113F13">
        <w:t>The Royal Commission recommended that all Australian governments should ensure that personal information of individuals affected by a natural disaster can be appropriately shared between all levels of government, agencies, insurers, charities, and organisations delivering recovery services. The Royal Commission qualified that this must account for all necessary safeguards to ensure the sharing is only for recovery purposes.</w:t>
      </w:r>
      <w:r w:rsidRPr="00113F13">
        <w:rPr>
          <w:rStyle w:val="FootnoteReference"/>
          <w:rFonts w:ascii="Times New Roman" w:hAnsi="Times New Roman"/>
        </w:rPr>
        <w:footnoteReference w:id="355"/>
      </w:r>
    </w:p>
    <w:p w14:paraId="64EA8BB7" w14:textId="77777777" w:rsidR="00FF302D" w:rsidRPr="00113F13" w:rsidRDefault="00FF302D" w:rsidP="00B63604">
      <w:pPr>
        <w:pStyle w:val="NormalNumberedTextTLRI"/>
        <w:numPr>
          <w:ilvl w:val="2"/>
          <w:numId w:val="31"/>
        </w:numPr>
        <w:tabs>
          <w:tab w:val="clear" w:pos="720"/>
        </w:tabs>
        <w:spacing w:line="259" w:lineRule="auto"/>
      </w:pPr>
      <w:r w:rsidRPr="00113F13">
        <w:t>In the Privacy Act Review, it was proposed that amendments to the Commonwealth Privacy Act be made to better facilitate the sharing of information by organisations with State and Territory governments in emergencies would be appropriate.</w:t>
      </w:r>
    </w:p>
    <w:p w14:paraId="14FEDA3A" w14:textId="77777777" w:rsidR="00FF302D" w:rsidRDefault="00FF302D" w:rsidP="00B63604">
      <w:pPr>
        <w:pStyle w:val="NormalNumberedTextTLRI"/>
        <w:numPr>
          <w:ilvl w:val="2"/>
          <w:numId w:val="31"/>
        </w:numPr>
        <w:tabs>
          <w:tab w:val="clear" w:pos="720"/>
        </w:tabs>
        <w:spacing w:line="259" w:lineRule="auto"/>
      </w:pPr>
      <w:r w:rsidRPr="00113F13">
        <w:t>Similarly, it is the TLRI’s view that exemptions for information handling in emergency situations should be provided for in the PIPA.</w:t>
      </w:r>
    </w:p>
    <w:p w14:paraId="1006A862" w14:textId="77777777" w:rsidR="00FF302D" w:rsidRPr="00113F13" w:rsidRDefault="00FF302D" w:rsidP="00BF1FE7">
      <w:pPr>
        <w:pStyle w:val="NumberedHeadingTLRI"/>
      </w:pPr>
      <w:bookmarkStart w:id="307" w:name="_Toc164606583"/>
      <w:r w:rsidRPr="00113F13">
        <w:t>Recommendations</w:t>
      </w:r>
      <w:bookmarkEnd w:id="30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42993E6F" w14:textId="77777777" w:rsidTr="00754A3F">
        <w:tc>
          <w:tcPr>
            <w:tcW w:w="9016" w:type="dxa"/>
            <w:shd w:val="clear" w:color="auto" w:fill="E8E8E8" w:themeFill="background2"/>
          </w:tcPr>
          <w:p w14:paraId="6A766BC0" w14:textId="77777777" w:rsidR="00FF302D" w:rsidRPr="00113F13" w:rsidRDefault="00FF302D" w:rsidP="00754A3F">
            <w:pPr>
              <w:spacing w:before="120"/>
              <w:rPr>
                <w:rFonts w:cs="Times New Roman"/>
              </w:rPr>
            </w:pPr>
            <w:r w:rsidRPr="00113F13">
              <w:rPr>
                <w:rFonts w:cs="Times New Roman"/>
                <w:b/>
                <w:bCs/>
              </w:rPr>
              <w:t>Recommendation 10:</w:t>
            </w:r>
            <w:r w:rsidRPr="00113F13">
              <w:rPr>
                <w:rFonts w:cs="Times New Roman"/>
              </w:rPr>
              <w:t xml:space="preserve"> Section 12 of the PIPA should subject to further consultation with public authorities, to clarify whether the provision is necessary in light of other information-sharing provisions in the PIPA.</w:t>
            </w:r>
          </w:p>
          <w:p w14:paraId="5C108EC6" w14:textId="77777777" w:rsidR="00FF302D" w:rsidRPr="00113F13" w:rsidRDefault="00FF302D" w:rsidP="00754A3F">
            <w:pPr>
              <w:spacing w:before="120"/>
              <w:rPr>
                <w:rFonts w:cs="Times New Roman"/>
              </w:rPr>
            </w:pPr>
            <w:r w:rsidRPr="00113F13">
              <w:rPr>
                <w:rFonts w:cs="Times New Roman"/>
                <w:b/>
                <w:bCs/>
              </w:rPr>
              <w:t xml:space="preserve">Recommendation 11: </w:t>
            </w:r>
            <w:r w:rsidRPr="00113F13">
              <w:rPr>
                <w:rFonts w:cs="Times New Roman"/>
              </w:rPr>
              <w:t>The employee information exemptions in the PIPA should be removed.</w:t>
            </w:r>
          </w:p>
          <w:p w14:paraId="02421C99" w14:textId="10FE3B3B" w:rsidR="00FF302D" w:rsidRPr="00113F13" w:rsidRDefault="00FF302D" w:rsidP="00754A3F">
            <w:pPr>
              <w:spacing w:before="120"/>
              <w:rPr>
                <w:rFonts w:cs="Times New Roman"/>
              </w:rPr>
            </w:pPr>
            <w:r w:rsidRPr="00113F13">
              <w:rPr>
                <w:rFonts w:cs="Times New Roman"/>
                <w:b/>
                <w:bCs/>
              </w:rPr>
              <w:t xml:space="preserve">Recommendation 12: </w:t>
            </w:r>
            <w:r w:rsidRPr="00113F13">
              <w:rPr>
                <w:rFonts w:cs="Times New Roman"/>
              </w:rPr>
              <w:t>The public information exception in the PIPA should be removed.</w:t>
            </w:r>
            <w:r w:rsidR="00565F49">
              <w:rPr>
                <w:rFonts w:cs="Times New Roman"/>
              </w:rPr>
              <w:t xml:space="preserve"> </w:t>
            </w:r>
            <w:r w:rsidRPr="00113F13">
              <w:rPr>
                <w:rFonts w:cs="Times New Roman"/>
              </w:rPr>
              <w:t>Consideration should be given to ensuring that appropriate resources, guidance and transition periods are set to enable public authorities to comply with this amendment.</w:t>
            </w:r>
          </w:p>
          <w:p w14:paraId="3D4FC4D1" w14:textId="131D816D" w:rsidR="00FF302D" w:rsidRPr="00113F13" w:rsidRDefault="00FF302D" w:rsidP="00754A3F">
            <w:pPr>
              <w:spacing w:before="120"/>
              <w:rPr>
                <w:rFonts w:cs="Times New Roman"/>
              </w:rPr>
            </w:pPr>
            <w:r w:rsidRPr="00113F13">
              <w:rPr>
                <w:rFonts w:cs="Times New Roman"/>
                <w:b/>
                <w:bCs/>
              </w:rPr>
              <w:t xml:space="preserve">Recommendation 13: </w:t>
            </w:r>
            <w:r w:rsidRPr="00113F13">
              <w:rPr>
                <w:rFonts w:cs="Times New Roman"/>
              </w:rPr>
              <w:t xml:space="preserve">A definition of </w:t>
            </w:r>
            <w:r w:rsidR="00551C7B">
              <w:rPr>
                <w:rFonts w:cs="Times New Roman"/>
              </w:rPr>
              <w:t>‘</w:t>
            </w:r>
            <w:r w:rsidRPr="00113F13">
              <w:rPr>
                <w:rFonts w:cs="Times New Roman"/>
              </w:rPr>
              <w:t>law enforcement information</w:t>
            </w:r>
            <w:r w:rsidR="00551C7B">
              <w:rPr>
                <w:rFonts w:cs="Times New Roman"/>
              </w:rPr>
              <w:t>’</w:t>
            </w:r>
            <w:r w:rsidRPr="00113F13">
              <w:rPr>
                <w:rFonts w:cs="Times New Roman"/>
              </w:rPr>
              <w:t xml:space="preserve"> should be included in the PIPA.</w:t>
            </w:r>
          </w:p>
          <w:p w14:paraId="383E585A" w14:textId="77777777" w:rsidR="00FF302D" w:rsidRPr="00113F13" w:rsidRDefault="00FF302D" w:rsidP="00754A3F">
            <w:pPr>
              <w:spacing w:before="120"/>
              <w:rPr>
                <w:rFonts w:cs="Times New Roman"/>
              </w:rPr>
            </w:pPr>
            <w:r w:rsidRPr="00113F13">
              <w:rPr>
                <w:rFonts w:cs="Times New Roman"/>
                <w:b/>
                <w:bCs/>
              </w:rPr>
              <w:t xml:space="preserve">Recommendation 14: </w:t>
            </w:r>
            <w:r w:rsidRPr="00113F13">
              <w:rPr>
                <w:rFonts w:cs="Times New Roman"/>
              </w:rPr>
              <w:t>The public benefit exemption mechanism should be amended to either:</w:t>
            </w:r>
          </w:p>
          <w:p w14:paraId="4AD037AE" w14:textId="77777777" w:rsidR="00FF302D" w:rsidRPr="00113F13" w:rsidRDefault="00FF302D" w:rsidP="00B63604">
            <w:pPr>
              <w:pStyle w:val="ListParagraph"/>
              <w:numPr>
                <w:ilvl w:val="0"/>
                <w:numId w:val="48"/>
              </w:numPr>
              <w:spacing w:before="120" w:after="0"/>
              <w:rPr>
                <w:rFonts w:cs="Times New Roman"/>
              </w:rPr>
            </w:pPr>
            <w:r w:rsidRPr="00113F13">
              <w:rPr>
                <w:rFonts w:cs="Times New Roman"/>
              </w:rPr>
              <w:t>introduce a mechanism making Ministerial public benefit determinations subject to disallowance by the Parliament; or</w:t>
            </w:r>
          </w:p>
          <w:p w14:paraId="30F4F6E3" w14:textId="4D240326" w:rsidR="00FF302D" w:rsidRPr="00113F13" w:rsidRDefault="00FF302D" w:rsidP="00B63604">
            <w:pPr>
              <w:pStyle w:val="ListParagraph"/>
              <w:numPr>
                <w:ilvl w:val="0"/>
                <w:numId w:val="48"/>
              </w:numPr>
              <w:spacing w:before="120" w:after="0"/>
              <w:rPr>
                <w:rFonts w:cs="Times New Roman"/>
              </w:rPr>
            </w:pPr>
            <w:r w:rsidRPr="00113F13">
              <w:rPr>
                <w:rFonts w:cs="Times New Roman"/>
              </w:rPr>
              <w:t xml:space="preserve">if </w:t>
            </w:r>
            <w:r w:rsidR="006B60C8" w:rsidRPr="003D6BB3">
              <w:rPr>
                <w:rFonts w:cs="Times New Roman"/>
              </w:rPr>
              <w:t>R</w:t>
            </w:r>
            <w:r w:rsidRPr="00EA22F8">
              <w:rPr>
                <w:rFonts w:cs="Times New Roman"/>
              </w:rPr>
              <w:t xml:space="preserve">ecommendation </w:t>
            </w:r>
            <w:r w:rsidR="003D6BB3" w:rsidRPr="00EA22F8">
              <w:rPr>
                <w:rFonts w:cs="Times New Roman"/>
              </w:rPr>
              <w:t xml:space="preserve">47 </w:t>
            </w:r>
            <w:r w:rsidRPr="00EA22F8">
              <w:rPr>
                <w:rFonts w:cs="Times New Roman"/>
              </w:rPr>
              <w:t>i</w:t>
            </w:r>
            <w:r w:rsidRPr="003D6BB3">
              <w:rPr>
                <w:rFonts w:cs="Times New Roman"/>
              </w:rPr>
              <w:t>s</w:t>
            </w:r>
            <w:r w:rsidRPr="00113F13">
              <w:rPr>
                <w:rFonts w:cs="Times New Roman"/>
              </w:rPr>
              <w:t xml:space="preserve"> adopted and an independent office-holder (such as an information commissioner or a privacy commissioner) is established, confer the power to make public benefit determinations on that office-holder, subject to disallowance by the Parliament.</w:t>
            </w:r>
          </w:p>
          <w:p w14:paraId="40B032CA" w14:textId="77777777" w:rsidR="00FF302D" w:rsidRPr="00113F13" w:rsidRDefault="00FF302D" w:rsidP="00754A3F">
            <w:pPr>
              <w:spacing w:before="120" w:after="160" w:line="259" w:lineRule="auto"/>
              <w:rPr>
                <w:rFonts w:cs="Times New Roman"/>
                <w:b/>
                <w:bCs/>
              </w:rPr>
            </w:pPr>
            <w:r w:rsidRPr="00113F13">
              <w:rPr>
                <w:rFonts w:cs="Times New Roman"/>
                <w:b/>
                <w:bCs/>
              </w:rPr>
              <w:t xml:space="preserve">Recommendation 15: </w:t>
            </w:r>
            <w:r w:rsidRPr="00113F13">
              <w:rPr>
                <w:rFonts w:cs="Times New Roman"/>
              </w:rPr>
              <w:t>There should be appropriate exemptions for information handling in emergency situations in the PIPA.</w:t>
            </w:r>
          </w:p>
        </w:tc>
      </w:tr>
    </w:tbl>
    <w:p w14:paraId="02298F60" w14:textId="77777777" w:rsidR="00FF302D" w:rsidRPr="00113F13" w:rsidRDefault="00FF302D" w:rsidP="00FF302D">
      <w:pPr>
        <w:rPr>
          <w:rFonts w:cs="Times New Roman"/>
        </w:rPr>
      </w:pPr>
    </w:p>
    <w:p w14:paraId="0F6E1485" w14:textId="33EACFF9" w:rsidR="007553C4" w:rsidRDefault="007553C4">
      <w:pPr>
        <w:spacing w:after="200" w:line="276" w:lineRule="auto"/>
        <w:jc w:val="left"/>
        <w:rPr>
          <w:rFonts w:eastAsiaTheme="majorEastAsia" w:cs="Times New Roman"/>
          <w:color w:val="0F4761" w:themeColor="accent1" w:themeShade="BF"/>
          <w:sz w:val="32"/>
          <w:szCs w:val="32"/>
        </w:rPr>
      </w:pPr>
      <w:bookmarkStart w:id="308" w:name="_Toc143872265"/>
      <w:bookmarkStart w:id="309" w:name="_Toc152245419"/>
      <w:r>
        <w:rPr>
          <w:rFonts w:cs="Times New Roman"/>
        </w:rPr>
        <w:br w:type="page"/>
      </w:r>
    </w:p>
    <w:p w14:paraId="52394325" w14:textId="77777777" w:rsidR="00FF302D" w:rsidRPr="00113F13" w:rsidRDefault="00FF302D" w:rsidP="00FF302D">
      <w:pPr>
        <w:pStyle w:val="Heading1"/>
        <w:pBdr>
          <w:bottom w:val="single" w:sz="4" w:space="1" w:color="auto"/>
        </w:pBdr>
        <w:rPr>
          <w:rFonts w:ascii="Times New Roman" w:hAnsi="Times New Roman" w:cs="Times New Roman"/>
        </w:rPr>
        <w:sectPr w:rsidR="00FF302D" w:rsidRPr="00113F13" w:rsidSect="00BC08AB">
          <w:headerReference w:type="default" r:id="rId29"/>
          <w:type w:val="continuous"/>
          <w:pgSz w:w="11906" w:h="16838" w:code="9"/>
          <w:pgMar w:top="1440" w:right="1440" w:bottom="1440" w:left="1440" w:header="708" w:footer="708" w:gutter="0"/>
          <w:cols w:space="708"/>
          <w:docGrid w:linePitch="360"/>
        </w:sectPr>
      </w:pPr>
    </w:p>
    <w:p w14:paraId="0D15E01A" w14:textId="77777777" w:rsidR="00FF302D" w:rsidRPr="00113F13" w:rsidRDefault="00FF302D" w:rsidP="00B63604">
      <w:pPr>
        <w:pStyle w:val="PartNoTLRI"/>
        <w:numPr>
          <w:ilvl w:val="0"/>
          <w:numId w:val="31"/>
        </w:numPr>
        <w:spacing w:after="160" w:line="259" w:lineRule="auto"/>
      </w:pPr>
      <w:bookmarkStart w:id="310" w:name="_Toc143872266"/>
      <w:bookmarkStart w:id="311" w:name="_Toc143872596"/>
      <w:bookmarkStart w:id="312" w:name="_Toc149550330"/>
      <w:bookmarkStart w:id="313" w:name="_Toc149553188"/>
      <w:bookmarkStart w:id="314" w:name="_Toc150962845"/>
      <w:bookmarkStart w:id="315" w:name="_Toc152245420"/>
      <w:bookmarkStart w:id="316" w:name="_Toc143872269"/>
      <w:bookmarkStart w:id="317" w:name="_Toc152245423"/>
      <w:bookmarkEnd w:id="308"/>
      <w:bookmarkEnd w:id="309"/>
      <w:bookmarkEnd w:id="310"/>
      <w:bookmarkEnd w:id="311"/>
      <w:bookmarkEnd w:id="312"/>
      <w:bookmarkEnd w:id="313"/>
      <w:bookmarkEnd w:id="314"/>
      <w:bookmarkEnd w:id="315"/>
    </w:p>
    <w:p w14:paraId="1B430F41" w14:textId="77777777" w:rsidR="00FF302D" w:rsidRPr="00113F13" w:rsidRDefault="00FF302D" w:rsidP="00FF302D">
      <w:pPr>
        <w:pStyle w:val="PartHeadingTLRI"/>
      </w:pPr>
      <w:bookmarkStart w:id="318" w:name="_Toc164606584"/>
      <w:r w:rsidRPr="00113F13">
        <w:t>Aligning the Personal Information Protection Principles with the Commonwealth Act</w:t>
      </w:r>
      <w:bookmarkEnd w:id="316"/>
      <w:r w:rsidRPr="00113F13">
        <w:t>: Collection, Use, and Disclosure</w:t>
      </w:r>
      <w:bookmarkEnd w:id="317"/>
      <w:bookmarkEnd w:id="318"/>
      <w:r w:rsidRPr="00113F13">
        <w:t xml:space="preserve"> </w:t>
      </w:r>
    </w:p>
    <w:p w14:paraId="76ACE0DD" w14:textId="0592C3C5" w:rsidR="00FF302D" w:rsidRPr="00113F13" w:rsidRDefault="00FF302D" w:rsidP="00BF1FE7">
      <w:pPr>
        <w:pStyle w:val="NumberedHeadingTLRI"/>
      </w:pPr>
      <w:bookmarkStart w:id="319" w:name="_Toc77846287"/>
      <w:bookmarkStart w:id="320" w:name="_Toc77846339"/>
      <w:bookmarkStart w:id="321" w:name="_Toc77846391"/>
      <w:bookmarkStart w:id="322" w:name="_Toc77846551"/>
      <w:bookmarkStart w:id="323" w:name="_Toc77933342"/>
      <w:bookmarkStart w:id="324" w:name="_Toc77846288"/>
      <w:bookmarkStart w:id="325" w:name="_Toc77846340"/>
      <w:bookmarkStart w:id="326" w:name="_Toc77846392"/>
      <w:bookmarkStart w:id="327" w:name="_Toc77846552"/>
      <w:bookmarkStart w:id="328" w:name="_Toc77933343"/>
      <w:bookmarkStart w:id="329" w:name="_Toc152245424"/>
      <w:bookmarkStart w:id="330" w:name="_Toc164606585"/>
      <w:bookmarkEnd w:id="319"/>
      <w:bookmarkEnd w:id="320"/>
      <w:bookmarkEnd w:id="321"/>
      <w:bookmarkEnd w:id="322"/>
      <w:bookmarkEnd w:id="323"/>
      <w:bookmarkEnd w:id="324"/>
      <w:bookmarkEnd w:id="325"/>
      <w:bookmarkEnd w:id="326"/>
      <w:bookmarkEnd w:id="327"/>
      <w:bookmarkEnd w:id="328"/>
      <w:r w:rsidRPr="00113F13">
        <w:t xml:space="preserve">Overview of this </w:t>
      </w:r>
      <w:bookmarkEnd w:id="329"/>
      <w:bookmarkEnd w:id="330"/>
      <w:r w:rsidR="0056625D">
        <w:t>Part</w:t>
      </w:r>
    </w:p>
    <w:p w14:paraId="613B7D96" w14:textId="3757598E" w:rsidR="00FF302D" w:rsidRPr="00113F13" w:rsidRDefault="00FF302D" w:rsidP="00B63604">
      <w:pPr>
        <w:pStyle w:val="NormalNumberedTextTLRI"/>
        <w:numPr>
          <w:ilvl w:val="2"/>
          <w:numId w:val="31"/>
        </w:numPr>
        <w:tabs>
          <w:tab w:val="clear" w:pos="720"/>
        </w:tabs>
        <w:spacing w:line="259" w:lineRule="auto"/>
      </w:pPr>
      <w:bookmarkStart w:id="331" w:name="_Toc143872273"/>
      <w:bookmarkStart w:id="332" w:name="_Toc143872271"/>
      <w:bookmarkStart w:id="333" w:name="_Toc143872272"/>
      <w:r w:rsidRPr="00113F13">
        <w:t>As discussed in Part 2, reviews of privacy legislation at the Commonwealth level and in multiple States and Territories have called for greater consistency across jurisdictions</w:t>
      </w:r>
      <w:bookmarkEnd w:id="331"/>
      <w:bookmarkEnd w:id="332"/>
      <w:r w:rsidRPr="00113F13">
        <w:t xml:space="preserve">. Several submissions in response to this project’s Issues Paper expressed a similar view that Tasmanian information privacy legislation should be consistent with other jurisdictions; the TLRI’s view is that consistency is a desirable goal </w:t>
      </w:r>
      <w:r w:rsidRPr="00803210">
        <w:t>(se</w:t>
      </w:r>
      <w:r w:rsidRPr="00EA22F8">
        <w:t xml:space="preserve">e </w:t>
      </w:r>
      <w:r w:rsidR="00B3175C">
        <w:fldChar w:fldCharType="begin"/>
      </w:r>
      <w:r w:rsidR="00B3175C">
        <w:instrText xml:space="preserve"> REF _Ref164774695 \r \h </w:instrText>
      </w:r>
      <w:r w:rsidR="00B3175C">
        <w:fldChar w:fldCharType="separate"/>
      </w:r>
      <w:r w:rsidR="00462C30">
        <w:rPr>
          <w:cs/>
        </w:rPr>
        <w:t>‎</w:t>
      </w:r>
      <w:r w:rsidR="00AE3905">
        <w:t>[</w:t>
      </w:r>
      <w:r w:rsidR="00462C30">
        <w:t>2.8</w:t>
      </w:r>
      <w:r w:rsidR="00B3175C">
        <w:fldChar w:fldCharType="end"/>
      </w:r>
      <w:r w:rsidR="00B3175C">
        <w:t>])</w:t>
      </w:r>
      <w:r w:rsidRPr="00113F13">
        <w:t>.</w:t>
      </w:r>
      <w:r w:rsidRPr="00113F13">
        <w:rPr>
          <w:rStyle w:val="FootnoteReference"/>
          <w:rFonts w:ascii="Times New Roman" w:hAnsi="Times New Roman"/>
        </w:rPr>
        <w:footnoteReference w:id="356"/>
      </w:r>
      <w:r w:rsidRPr="00113F13">
        <w:t xml:space="preserve"> This includes consistency between the Personal Information Protection Principles (</w:t>
      </w:r>
      <w:r w:rsidR="00B3175C">
        <w:t>‘</w:t>
      </w:r>
      <w:r w:rsidRPr="00113F13">
        <w:t>PIPPs</w:t>
      </w:r>
      <w:r w:rsidR="00455990">
        <w:t>’</w:t>
      </w:r>
      <w:r w:rsidRPr="00113F13">
        <w:t>) established in Tasmania’s PIPPs and similar principles in other legislation, especially the Australian Privacy Principles (</w:t>
      </w:r>
      <w:r w:rsidR="00455990">
        <w:t>‘</w:t>
      </w:r>
      <w:r w:rsidRPr="00113F13">
        <w:t xml:space="preserve">APPs’). </w:t>
      </w:r>
    </w:p>
    <w:p w14:paraId="424DD4B6" w14:textId="7D02AE03" w:rsidR="00FF302D" w:rsidRPr="00113F13" w:rsidRDefault="00FF302D" w:rsidP="00B63604">
      <w:pPr>
        <w:pStyle w:val="NormalNumberedTextTLRI"/>
        <w:numPr>
          <w:ilvl w:val="2"/>
          <w:numId w:val="31"/>
        </w:numPr>
        <w:tabs>
          <w:tab w:val="clear" w:pos="720"/>
        </w:tabs>
        <w:spacing w:line="259" w:lineRule="auto"/>
      </w:pPr>
      <w:r w:rsidRPr="00113F13">
        <w:t xml:space="preserve">The </w:t>
      </w:r>
      <w:r w:rsidRPr="00113F13">
        <w:rPr>
          <w:i/>
          <w:iCs/>
        </w:rPr>
        <w:t>Personal Information Protection Act 2004 (Tas)</w:t>
      </w:r>
      <w:r w:rsidRPr="00113F13">
        <w:t xml:space="preserve"> (‘PIPA’) was intended to enact Tasmanian privacy principles that were broadly consistent with those in the Commonwealth </w:t>
      </w:r>
      <w:r w:rsidRPr="00113F13">
        <w:rPr>
          <w:i/>
          <w:iCs/>
        </w:rPr>
        <w:t>Privacy Act 1988</w:t>
      </w:r>
      <w:r w:rsidRPr="00113F13">
        <w:t xml:space="preserve"> (Cth) (‘Privacy Act’).</w:t>
      </w:r>
      <w:r w:rsidRPr="00113F13">
        <w:rPr>
          <w:rStyle w:val="FootnoteReference"/>
          <w:rFonts w:ascii="Times New Roman" w:hAnsi="Times New Roman"/>
        </w:rPr>
        <w:footnoteReference w:id="357"/>
      </w:r>
      <w:r w:rsidRPr="00113F13">
        <w:t xml:space="preserve"> There have since been amendments to, and reviews of, the Commonwealth legislation. This </w:t>
      </w:r>
      <w:r w:rsidR="00CB2B89">
        <w:t>Part</w:t>
      </w:r>
      <w:r w:rsidRPr="00113F13">
        <w:t xml:space="preserve">, and </w:t>
      </w:r>
      <w:r w:rsidR="00CB2B89">
        <w:t>Part</w:t>
      </w:r>
      <w:r w:rsidRPr="00113F13">
        <w:t>s 6</w:t>
      </w:r>
      <w:r w:rsidR="00CB2B89">
        <w:t>–</w:t>
      </w:r>
      <w:r w:rsidRPr="00113F13">
        <w:t>8 below, consider and compare those developments with the Tasmanian position to identify areas of inconsistency and options for reform.</w:t>
      </w:r>
    </w:p>
    <w:p w14:paraId="3EE60F34" w14:textId="3E643A8E" w:rsidR="00FF302D" w:rsidRPr="00113F13" w:rsidRDefault="00FF302D" w:rsidP="00B63604">
      <w:pPr>
        <w:pStyle w:val="NormalNumberedTextTLRI"/>
        <w:numPr>
          <w:ilvl w:val="2"/>
          <w:numId w:val="31"/>
        </w:numPr>
        <w:tabs>
          <w:tab w:val="clear" w:pos="720"/>
        </w:tabs>
        <w:spacing w:line="259" w:lineRule="auto"/>
      </w:pPr>
      <w:r w:rsidRPr="00113F13">
        <w:t xml:space="preserve">The PIPA establishes 10 PIPPs and obliges ‘personal information custodians’ (bodies subject to the PIPPs: see </w:t>
      </w:r>
      <w:r w:rsidR="00CB2B89">
        <w:t>Part</w:t>
      </w:r>
      <w:r w:rsidRPr="00113F13">
        <w:t xml:space="preserve"> 3) to comply with them.</w:t>
      </w:r>
      <w:r w:rsidRPr="00113F13">
        <w:rPr>
          <w:rStyle w:val="FootnoteReference"/>
          <w:rFonts w:ascii="Times New Roman" w:hAnsi="Times New Roman"/>
        </w:rPr>
        <w:footnoteReference w:id="358"/>
      </w:r>
      <w:r w:rsidRPr="00113F13">
        <w:t xml:space="preserve"> The PIPPs address:</w:t>
      </w:r>
      <w:bookmarkEnd w:id="333"/>
    </w:p>
    <w:p w14:paraId="1AE20380" w14:textId="77777777" w:rsidR="00FF302D" w:rsidRPr="00113F13" w:rsidRDefault="00FF302D" w:rsidP="006B60C8">
      <w:pPr>
        <w:pStyle w:val="Numberedlist"/>
        <w:numPr>
          <w:ilvl w:val="0"/>
          <w:numId w:val="34"/>
        </w:numPr>
        <w:ind w:left="1134"/>
        <w:jc w:val="both"/>
        <w:rPr>
          <w:rFonts w:ascii="Times New Roman" w:hAnsi="Times New Roman" w:cs="Times New Roman"/>
        </w:rPr>
      </w:pPr>
      <w:r w:rsidRPr="00113F13">
        <w:rPr>
          <w:rFonts w:ascii="Times New Roman" w:hAnsi="Times New Roman" w:cs="Times New Roman"/>
        </w:rPr>
        <w:t>the collection of personal information;</w:t>
      </w:r>
    </w:p>
    <w:p w14:paraId="6BAD1585"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the use and disclosure of personal information;</w:t>
      </w:r>
    </w:p>
    <w:p w14:paraId="6A1F8F37"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the quality of personal information;</w:t>
      </w:r>
    </w:p>
    <w:p w14:paraId="57C63394"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safeguarding personal information from misuse, loss, unauthorised access, modification or disclosure;</w:t>
      </w:r>
    </w:p>
    <w:p w14:paraId="69B5A59B"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openness through policies on the handling of personal information;</w:t>
      </w:r>
    </w:p>
    <w:p w14:paraId="789F1A46"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access and correction of individuals’ personal information;</w:t>
      </w:r>
    </w:p>
    <w:p w14:paraId="0ABFF003" w14:textId="7C32D9B6"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lastRenderedPageBreak/>
        <w:t xml:space="preserve">the assignment of unique identifiers to </w:t>
      </w:r>
      <w:r w:rsidR="223ABCE6" w:rsidRPr="083E77C6">
        <w:rPr>
          <w:rFonts w:ascii="Times New Roman" w:hAnsi="Times New Roman" w:cs="Times New Roman"/>
        </w:rPr>
        <w:t xml:space="preserve"> </w:t>
      </w:r>
      <w:r w:rsidRPr="00113F13">
        <w:rPr>
          <w:rFonts w:ascii="Times New Roman" w:hAnsi="Times New Roman" w:cs="Times New Roman"/>
        </w:rPr>
        <w:t>individuals;</w:t>
      </w:r>
    </w:p>
    <w:p w14:paraId="00674AE2"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the option of anonymity for individuals when transacting with personal information custodians;</w:t>
      </w:r>
    </w:p>
    <w:p w14:paraId="15B05E86"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disclosure of personal information to bodies outside of Tasmania; and</w:t>
      </w:r>
    </w:p>
    <w:p w14:paraId="2A270AC8" w14:textId="77777777" w:rsidR="00FF302D" w:rsidRPr="00113F13" w:rsidRDefault="00FF302D" w:rsidP="006B60C8">
      <w:pPr>
        <w:pStyle w:val="Numberedlist"/>
        <w:ind w:left="1134"/>
        <w:jc w:val="both"/>
        <w:rPr>
          <w:rFonts w:ascii="Times New Roman" w:hAnsi="Times New Roman" w:cs="Times New Roman"/>
        </w:rPr>
      </w:pPr>
      <w:r w:rsidRPr="00113F13">
        <w:rPr>
          <w:rFonts w:ascii="Times New Roman" w:hAnsi="Times New Roman" w:cs="Times New Roman"/>
        </w:rPr>
        <w:t xml:space="preserve">the collection of sensitive information, such as information on race, ethnicity, or criminal history.  </w:t>
      </w:r>
    </w:p>
    <w:p w14:paraId="36D5632B" w14:textId="4EABA44E" w:rsidR="00FF302D" w:rsidRPr="00113F13" w:rsidRDefault="00FF302D" w:rsidP="00B63604">
      <w:pPr>
        <w:pStyle w:val="NormalNumberedTextTLRI"/>
        <w:numPr>
          <w:ilvl w:val="2"/>
          <w:numId w:val="31"/>
        </w:numPr>
        <w:tabs>
          <w:tab w:val="clear" w:pos="720"/>
        </w:tabs>
        <w:spacing w:line="259" w:lineRule="auto"/>
      </w:pPr>
      <w:bookmarkStart w:id="334" w:name="_Toc143872275"/>
      <w:r w:rsidRPr="00113F13">
        <w:t xml:space="preserve">This </w:t>
      </w:r>
      <w:r w:rsidR="00397081">
        <w:t>Part</w:t>
      </w:r>
      <w:r w:rsidRPr="00113F13">
        <w:t xml:space="preserve">, and </w:t>
      </w:r>
      <w:r w:rsidR="00397081">
        <w:t xml:space="preserve">Parts </w:t>
      </w:r>
      <w:r w:rsidRPr="00113F13">
        <w:t>6</w:t>
      </w:r>
      <w:r w:rsidR="00397081">
        <w:t>–</w:t>
      </w:r>
      <w:r w:rsidRPr="00113F13">
        <w:t>8, consider the similarities and differences between each of the PIPPs and the Commonwealth APPs (as they apply to government agencies) and whether reform is necessary, based on consistency arguments and other considerations identified in research and/or submissions.</w:t>
      </w:r>
      <w:bookmarkEnd w:id="334"/>
      <w:r w:rsidRPr="00113F13">
        <w:t xml:space="preserve"> Recent and proposed amendments to data privacy legislation in some Australian jurisdictions have also drawn heavily on the European Union’s </w:t>
      </w:r>
      <w:r w:rsidRPr="00113F13">
        <w:rPr>
          <w:i/>
          <w:iCs/>
        </w:rPr>
        <w:t xml:space="preserve">General Data Protection Regulation 2016/679 </w:t>
      </w:r>
      <w:r w:rsidRPr="00113F13">
        <w:t xml:space="preserve">(‘GDPR’); the relevant GDPR provisions are discussed in this </w:t>
      </w:r>
      <w:r w:rsidR="00CB2B89">
        <w:t>Part</w:t>
      </w:r>
      <w:r w:rsidRPr="00113F13">
        <w:t>, where relevant.</w:t>
      </w:r>
    </w:p>
    <w:p w14:paraId="334A43BC" w14:textId="4329DFA0" w:rsidR="00FF302D" w:rsidRDefault="00FF302D" w:rsidP="00B63604">
      <w:pPr>
        <w:pStyle w:val="NormalNumberedTextTLRI"/>
        <w:numPr>
          <w:ilvl w:val="2"/>
          <w:numId w:val="31"/>
        </w:numPr>
        <w:tabs>
          <w:tab w:val="clear" w:pos="720"/>
        </w:tabs>
        <w:spacing w:line="259" w:lineRule="auto"/>
      </w:pPr>
      <w:r w:rsidRPr="00113F13">
        <w:t xml:space="preserve">The PIPA (in PIPPS 1, 2, 9 and 10) and equivalent legislation in other States and Territories, and at the Commonwealth level, places a range of limitations and obligations on regulated entities in relation to their handling (collection, use, and disclosure) of personal information about individuals. This </w:t>
      </w:r>
      <w:r w:rsidR="00CB2B89">
        <w:t>Part</w:t>
      </w:r>
      <w:r w:rsidRPr="00113F13">
        <w:t xml:space="preserve"> focuses on those provisions.</w:t>
      </w:r>
    </w:p>
    <w:p w14:paraId="43155857" w14:textId="77777777" w:rsidR="00FF302D" w:rsidRPr="00113F13" w:rsidRDefault="00FF302D" w:rsidP="00BF1FE7">
      <w:pPr>
        <w:pStyle w:val="NumberedHeadingTLRI"/>
      </w:pPr>
      <w:bookmarkStart w:id="335" w:name="_Toc164606586"/>
      <w:bookmarkStart w:id="336" w:name="_Toc91832000"/>
      <w:bookmarkStart w:id="337" w:name="_Ref129273428"/>
      <w:bookmarkStart w:id="338" w:name="_Ref129287400"/>
      <w:bookmarkStart w:id="339" w:name="_Ref129354363"/>
      <w:bookmarkStart w:id="340" w:name="_Toc130540434"/>
      <w:r w:rsidRPr="00113F13">
        <w:t>The Tasmanian position</w:t>
      </w:r>
      <w:bookmarkEnd w:id="335"/>
    </w:p>
    <w:p w14:paraId="24EAE1AA" w14:textId="77777777" w:rsidR="00FF302D" w:rsidRPr="00113F13" w:rsidRDefault="00FF302D" w:rsidP="00A142A1">
      <w:pPr>
        <w:pStyle w:val="Sub-HeadingTLRI"/>
        <w:spacing w:before="0"/>
      </w:pPr>
      <w:bookmarkStart w:id="341" w:name="_Toc164606587"/>
      <w:r w:rsidRPr="00113F13">
        <w:t>Collection of personal information</w:t>
      </w:r>
      <w:bookmarkEnd w:id="341"/>
    </w:p>
    <w:p w14:paraId="61E00B5A" w14:textId="77777777" w:rsidR="00FF302D" w:rsidRPr="00113F13" w:rsidRDefault="00FF302D" w:rsidP="00B63604">
      <w:pPr>
        <w:pStyle w:val="NormalNumberedTextTLRI"/>
        <w:numPr>
          <w:ilvl w:val="2"/>
          <w:numId w:val="31"/>
        </w:numPr>
        <w:tabs>
          <w:tab w:val="clear" w:pos="720"/>
        </w:tabs>
        <w:spacing w:line="259" w:lineRule="auto"/>
      </w:pPr>
      <w:bookmarkStart w:id="342" w:name="_Ref90324529"/>
      <w:bookmarkStart w:id="343" w:name="_Toc143872279"/>
      <w:bookmarkStart w:id="344" w:name="_Ref165021292"/>
      <w:bookmarkEnd w:id="336"/>
      <w:bookmarkEnd w:id="337"/>
      <w:bookmarkEnd w:id="338"/>
      <w:bookmarkEnd w:id="339"/>
      <w:bookmarkEnd w:id="340"/>
      <w:r w:rsidRPr="00113F13">
        <w:t>Under Tasmanian law, PIPP 1 restricts the collection of personal information to circumstances where collection is ‘necessary for one or more of … [the custodian’s] functions or activities’. The PIPA does not specify how a custodian’s functions or activities are determined for the purposes of PIPP 1.</w:t>
      </w:r>
      <w:bookmarkEnd w:id="342"/>
      <w:bookmarkEnd w:id="343"/>
      <w:r w:rsidRPr="00113F13">
        <w:t xml:space="preserve"> Collection is only permitted where it is ‘by lawful means’—a term not defined in the PIPA</w:t>
      </w:r>
      <w:bookmarkEnd w:id="344"/>
    </w:p>
    <w:p w14:paraId="6B20584E" w14:textId="0E75650C" w:rsidR="00FF302D" w:rsidRPr="007E2C58" w:rsidRDefault="00FF302D" w:rsidP="00B63604">
      <w:pPr>
        <w:pStyle w:val="NormalNumberedTextTLRI"/>
        <w:numPr>
          <w:ilvl w:val="2"/>
          <w:numId w:val="31"/>
        </w:numPr>
        <w:tabs>
          <w:tab w:val="clear" w:pos="720"/>
        </w:tabs>
        <w:spacing w:line="259" w:lineRule="auto"/>
      </w:pPr>
      <w:bookmarkStart w:id="345" w:name="_Toc143872280"/>
      <w:r w:rsidRPr="00113F13">
        <w:t>Individuals must be notified when their information is collected. PIPP 1(3) obliges a personal information custodian to take ‘any reasonable steps necessary’ to notify the individual—either before collection, during collection, or as soon as practicable after collection—of the personal information custodian’s identity and contact information, the individual’s right to access to the information, the purpose of information collection, the intended recipients or class of recipients, any laws requiring the information to be collected, and the main consequences to the individual if all or part of the information is not provided.</w:t>
      </w:r>
      <w:r w:rsidRPr="00113F13">
        <w:rPr>
          <w:rStyle w:val="FootnoteReference"/>
          <w:rFonts w:ascii="Times New Roman" w:hAnsi="Times New Roman"/>
        </w:rPr>
        <w:footnoteReference w:id="359"/>
      </w:r>
      <w:bookmarkEnd w:id="345"/>
      <w:r w:rsidRPr="00113F13">
        <w:t xml:space="preserve"> This requirement does not apply to certain law enforcement information collected or held by a law enforcement </w:t>
      </w:r>
      <w:r w:rsidRPr="007E2C58">
        <w:t xml:space="preserve">agency </w:t>
      </w:r>
      <w:r w:rsidRPr="00EA22F8">
        <w:t xml:space="preserve">(see </w:t>
      </w:r>
      <w:r>
        <w:t>[</w:t>
      </w:r>
      <w:r w:rsidR="00F825F6">
        <w:fldChar w:fldCharType="begin"/>
      </w:r>
      <w:r w:rsidR="00F825F6">
        <w:instrText xml:space="preserve"> REF _Ref164776333 \n \h </w:instrText>
      </w:r>
      <w:r w:rsidR="00F825F6">
        <w:fldChar w:fldCharType="separate"/>
      </w:r>
      <w:r w:rsidR="00462C30">
        <w:rPr>
          <w:cs/>
        </w:rPr>
        <w:t>‎</w:t>
      </w:r>
      <w:r w:rsidR="00462C30">
        <w:t>4.12.10</w:t>
      </w:r>
      <w:r w:rsidR="00F825F6">
        <w:fldChar w:fldCharType="end"/>
      </w:r>
      <w:r w:rsidRPr="00EA22F8">
        <w:t>])</w:t>
      </w:r>
      <w:r w:rsidRPr="007E2C58">
        <w:t>.</w:t>
      </w:r>
      <w:r w:rsidRPr="007E2C58">
        <w:rPr>
          <w:rStyle w:val="FootnoteReference"/>
          <w:rFonts w:ascii="Times New Roman" w:hAnsi="Times New Roman"/>
        </w:rPr>
        <w:footnoteReference w:id="360"/>
      </w:r>
    </w:p>
    <w:p w14:paraId="52E895A8" w14:textId="770E1327" w:rsidR="00FF302D" w:rsidRPr="00113F13" w:rsidRDefault="00FF302D" w:rsidP="00B63604">
      <w:pPr>
        <w:pStyle w:val="NormalNumberedTextTLRI"/>
        <w:numPr>
          <w:ilvl w:val="2"/>
          <w:numId w:val="31"/>
        </w:numPr>
        <w:tabs>
          <w:tab w:val="clear" w:pos="720"/>
        </w:tabs>
        <w:spacing w:line="259" w:lineRule="auto"/>
      </w:pPr>
      <w:bookmarkStart w:id="346" w:name="_Toc143872281"/>
      <w:r w:rsidRPr="00113F13">
        <w:t xml:space="preserve">PIPP 1(4) requires a personal information custodian to collect information about an individual from that person, if it is reasonable and practicable to do so. This provision does not apply to employee information </w:t>
      </w:r>
      <w:r w:rsidRPr="00CE3B8A">
        <w:t>(</w:t>
      </w:r>
      <w:r w:rsidRPr="00EA22F8">
        <w:t xml:space="preserve">defined </w:t>
      </w:r>
      <w:r w:rsidR="00CE3B8A" w:rsidRPr="00EA22F8">
        <w:t xml:space="preserve">at </w:t>
      </w:r>
      <w:r w:rsidRPr="00EA22F8">
        <w:t>[</w:t>
      </w:r>
      <w:r w:rsidR="00CE3B8A" w:rsidRPr="00CE3B8A">
        <w:fldChar w:fldCharType="begin"/>
      </w:r>
      <w:r w:rsidR="00CE3B8A" w:rsidRPr="00CE3B8A">
        <w:instrText xml:space="preserve"> REF _Ref164775093 \r \h </w:instrText>
      </w:r>
      <w:r w:rsidR="00CE3B8A">
        <w:instrText xml:space="preserve"> \* MERGEFORMAT </w:instrText>
      </w:r>
      <w:r w:rsidR="00CE3B8A" w:rsidRPr="00CE3B8A">
        <w:fldChar w:fldCharType="separate"/>
      </w:r>
      <w:r w:rsidR="00462C30">
        <w:rPr>
          <w:cs/>
        </w:rPr>
        <w:t>‎</w:t>
      </w:r>
      <w:r w:rsidR="00462C30">
        <w:t>4.12.5</w:t>
      </w:r>
      <w:r w:rsidR="00CE3B8A" w:rsidRPr="00CE3B8A">
        <w:fldChar w:fldCharType="end"/>
      </w:r>
      <w:r w:rsidR="00CE3B8A">
        <w:t>]</w:t>
      </w:r>
      <w:r w:rsidRPr="00113F13">
        <w:t>).</w:t>
      </w:r>
      <w:r w:rsidRPr="00113F13">
        <w:rPr>
          <w:rStyle w:val="FootnoteReference"/>
          <w:rFonts w:ascii="Times New Roman" w:hAnsi="Times New Roman"/>
        </w:rPr>
        <w:footnoteReference w:id="361"/>
      </w:r>
      <w:bookmarkEnd w:id="346"/>
    </w:p>
    <w:p w14:paraId="3FC22878" w14:textId="77777777" w:rsidR="00FF302D" w:rsidRPr="00113F13" w:rsidRDefault="00FF302D" w:rsidP="00B63604">
      <w:pPr>
        <w:pStyle w:val="NormalNumberedTextTLRI"/>
        <w:numPr>
          <w:ilvl w:val="2"/>
          <w:numId w:val="31"/>
        </w:numPr>
        <w:tabs>
          <w:tab w:val="clear" w:pos="720"/>
        </w:tabs>
        <w:spacing w:line="259" w:lineRule="auto"/>
      </w:pPr>
      <w:bookmarkStart w:id="347" w:name="_Toc143872282"/>
      <w:bookmarkStart w:id="348" w:name="_Ref164771443"/>
      <w:r w:rsidRPr="00113F13">
        <w:t xml:space="preserve">According to PIPP 1(5), if personal information about an individual is collected from someone other than the individual, a personal information custodian must take reasonable steps to notify the </w:t>
      </w:r>
      <w:r w:rsidRPr="00113F13">
        <w:lastRenderedPageBreak/>
        <w:t>individual that their information has been collected, unless this would seriously threaten any individual’s life, safety, health, or welfare.</w:t>
      </w:r>
      <w:r w:rsidRPr="00113F13">
        <w:rPr>
          <w:rStyle w:val="FootnoteReference"/>
          <w:rFonts w:ascii="Times New Roman" w:hAnsi="Times New Roman"/>
        </w:rPr>
        <w:footnoteReference w:id="362"/>
      </w:r>
      <w:bookmarkStart w:id="349" w:name="_Ref91826956"/>
      <w:r w:rsidRPr="00113F13">
        <w:t xml:space="preserve"> This provision does not apply to employee information.</w:t>
      </w:r>
      <w:r w:rsidRPr="00113F13">
        <w:rPr>
          <w:rStyle w:val="FootnoteReference"/>
          <w:rFonts w:ascii="Times New Roman" w:hAnsi="Times New Roman"/>
        </w:rPr>
        <w:footnoteReference w:id="363"/>
      </w:r>
      <w:bookmarkEnd w:id="347"/>
      <w:bookmarkEnd w:id="348"/>
    </w:p>
    <w:bookmarkEnd w:id="349"/>
    <w:p w14:paraId="169766A7" w14:textId="1CA09F1C" w:rsidR="00FF302D" w:rsidRPr="00587D4B" w:rsidRDefault="00FF302D" w:rsidP="00B63604">
      <w:pPr>
        <w:pStyle w:val="NormalNumberedTextTLRI"/>
        <w:numPr>
          <w:ilvl w:val="2"/>
          <w:numId w:val="31"/>
        </w:numPr>
        <w:tabs>
          <w:tab w:val="clear" w:pos="720"/>
        </w:tabs>
        <w:spacing w:line="259" w:lineRule="auto"/>
      </w:pPr>
      <w:r w:rsidRPr="00113F13">
        <w:t>The requirements in PIPP 1(3), (4) and (5) do not apply to certain law enforcement information collected or held by a law enforcement agency (</w:t>
      </w:r>
      <w:r w:rsidRPr="00EA22F8">
        <w:t>see [</w:t>
      </w:r>
      <w:r w:rsidR="00A83F9D">
        <w:fldChar w:fldCharType="begin"/>
      </w:r>
      <w:r w:rsidR="00A83F9D">
        <w:instrText xml:space="preserve"> REF _Ref164776333 \r \h </w:instrText>
      </w:r>
      <w:r w:rsidR="00A83F9D">
        <w:fldChar w:fldCharType="separate"/>
      </w:r>
      <w:r w:rsidR="00462C30">
        <w:rPr>
          <w:cs/>
        </w:rPr>
        <w:t>‎</w:t>
      </w:r>
      <w:r w:rsidR="00462C30">
        <w:t>4.12.10</w:t>
      </w:r>
      <w:r w:rsidR="00A83F9D">
        <w:fldChar w:fldCharType="end"/>
      </w:r>
      <w:r w:rsidRPr="00EA22F8">
        <w:t>]</w:t>
      </w:r>
      <w:r w:rsidRPr="00587D4B">
        <w:t>).</w:t>
      </w:r>
      <w:r w:rsidRPr="00587D4B">
        <w:rPr>
          <w:rStyle w:val="FootnoteReference"/>
          <w:rFonts w:ascii="Times New Roman" w:hAnsi="Times New Roman"/>
        </w:rPr>
        <w:footnoteReference w:id="364"/>
      </w:r>
    </w:p>
    <w:p w14:paraId="4949CD17" w14:textId="77777777" w:rsidR="00FF302D" w:rsidRPr="00113F13" w:rsidRDefault="00FF302D" w:rsidP="00A142A1">
      <w:pPr>
        <w:pStyle w:val="Sub-HeadingTLRI"/>
      </w:pPr>
      <w:bookmarkStart w:id="350" w:name="_Toc164606588"/>
      <w:r w:rsidRPr="00113F13">
        <w:t>Collection of sensitive information (including health information)</w:t>
      </w:r>
      <w:bookmarkEnd w:id="350"/>
    </w:p>
    <w:p w14:paraId="2F4DBC94" w14:textId="237BD1D5" w:rsidR="00FF302D" w:rsidRPr="00113F13" w:rsidRDefault="00FF302D" w:rsidP="00B63604">
      <w:pPr>
        <w:pStyle w:val="NormalNumberedTextTLRI"/>
        <w:numPr>
          <w:ilvl w:val="2"/>
          <w:numId w:val="31"/>
        </w:numPr>
        <w:tabs>
          <w:tab w:val="clear" w:pos="720"/>
        </w:tabs>
        <w:spacing w:line="259" w:lineRule="auto"/>
      </w:pPr>
      <w:bookmarkStart w:id="351" w:name="_Toc143872283"/>
      <w:r w:rsidRPr="00113F13">
        <w:t xml:space="preserve">PIPP 10 places more onerous restrictions on the collection of sensitive information, including health information (see the definition </w:t>
      </w:r>
      <w:r w:rsidR="00593D19">
        <w:t>at [</w:t>
      </w:r>
      <w:r w:rsidR="00593D19">
        <w:fldChar w:fldCharType="begin"/>
      </w:r>
      <w:r w:rsidR="00593D19">
        <w:instrText xml:space="preserve"> REF _Ref164771792 \n \h </w:instrText>
      </w:r>
      <w:r w:rsidR="00593D19">
        <w:fldChar w:fldCharType="separate"/>
      </w:r>
      <w:r w:rsidR="00462C30">
        <w:rPr>
          <w:cs/>
        </w:rPr>
        <w:t>‎</w:t>
      </w:r>
      <w:r w:rsidR="00462C30">
        <w:t>4.7.2</w:t>
      </w:r>
      <w:r w:rsidR="00593D19">
        <w:fldChar w:fldCharType="end"/>
      </w:r>
      <w:r w:rsidR="00593D19">
        <w:t xml:space="preserve">] </w:t>
      </w:r>
      <w:r w:rsidRPr="00113F13">
        <w:t>above).</w:t>
      </w:r>
      <w:r w:rsidRPr="00113F13">
        <w:rPr>
          <w:rStyle w:val="FootnoteReference"/>
          <w:rFonts w:ascii="Times New Roman" w:hAnsi="Times New Roman"/>
        </w:rPr>
        <w:footnoteReference w:id="365"/>
      </w:r>
    </w:p>
    <w:p w14:paraId="54484FB5" w14:textId="77777777" w:rsidR="00FF302D" w:rsidRPr="00113F13" w:rsidRDefault="00FF302D" w:rsidP="00B63604">
      <w:pPr>
        <w:pStyle w:val="NormalNumberedTextTLRI"/>
        <w:numPr>
          <w:ilvl w:val="2"/>
          <w:numId w:val="31"/>
        </w:numPr>
        <w:tabs>
          <w:tab w:val="clear" w:pos="720"/>
        </w:tabs>
        <w:spacing w:line="259" w:lineRule="auto"/>
      </w:pPr>
      <w:bookmarkStart w:id="352" w:name="_Ref151540020"/>
      <w:r w:rsidRPr="00113F13">
        <w:t>Under PIPP 10(1), sensitive information can only be collected where one of the following conditions is met:</w:t>
      </w:r>
      <w:bookmarkEnd w:id="351"/>
      <w:bookmarkEnd w:id="352"/>
    </w:p>
    <w:p w14:paraId="7526B9B4" w14:textId="77777777" w:rsidR="00FF302D" w:rsidRPr="00113F13" w:rsidRDefault="00FF302D" w:rsidP="00A142A1">
      <w:pPr>
        <w:pStyle w:val="DotPointTLRI"/>
      </w:pPr>
      <w:r w:rsidRPr="00113F13">
        <w:t xml:space="preserve">the individual concerned has consented; </w:t>
      </w:r>
    </w:p>
    <w:p w14:paraId="69AF1E42" w14:textId="77777777" w:rsidR="00FF302D" w:rsidRPr="00113F13" w:rsidRDefault="00FF302D" w:rsidP="00A142A1">
      <w:pPr>
        <w:pStyle w:val="DotPointTLRI"/>
      </w:pPr>
      <w:r w:rsidRPr="00113F13">
        <w:t xml:space="preserve">the collection is required or permitted by law; </w:t>
      </w:r>
    </w:p>
    <w:p w14:paraId="7E28AB28" w14:textId="77777777" w:rsidR="00FF302D" w:rsidRPr="00113F13" w:rsidRDefault="00FF302D" w:rsidP="00A142A1">
      <w:pPr>
        <w:pStyle w:val="DotPointTLRI"/>
      </w:pPr>
      <w:r w:rsidRPr="00113F13">
        <w:t xml:space="preserve">the collection is necessary to lessen or prevent a serious or imminent threat to the life or health of any individual and the individual to whom the information relates cannot consent, communicate consent, or is subject to a guardianship or mental health order; </w:t>
      </w:r>
    </w:p>
    <w:p w14:paraId="793B0DEC" w14:textId="77777777" w:rsidR="00FF302D" w:rsidRPr="00113F13" w:rsidRDefault="00FF302D" w:rsidP="00A142A1">
      <w:pPr>
        <w:pStyle w:val="DotPointTLRI"/>
      </w:pPr>
      <w:r w:rsidRPr="00113F13">
        <w:t>the information is collected in the course of the activities of a non-profit personal information custodian that has only racial, ethnic, political, religious, philosophical, professional, trade or trade union aims, where the information relates solely to the members of the custodian or individuals who have regular contact with it in connection to its activities and the custodian has undertaken not to disclose that information without consent;</w:t>
      </w:r>
    </w:p>
    <w:p w14:paraId="69920241" w14:textId="77777777" w:rsidR="00FF302D" w:rsidRPr="00113F13" w:rsidRDefault="00FF302D" w:rsidP="00A142A1">
      <w:pPr>
        <w:pStyle w:val="DotPointTLRI"/>
      </w:pPr>
      <w:r w:rsidRPr="00113F13">
        <w:t>the collection is necessary for a legal or equitable claim; or</w:t>
      </w:r>
    </w:p>
    <w:p w14:paraId="216D6AA1" w14:textId="77777777" w:rsidR="00FF302D" w:rsidRPr="00113F13" w:rsidRDefault="00FF302D" w:rsidP="00A142A1">
      <w:pPr>
        <w:pStyle w:val="DotPointTLRI"/>
      </w:pPr>
      <w:r w:rsidRPr="00113F13">
        <w:t>one of the below exceptions relating to research, provision of services or health information applies.</w:t>
      </w:r>
    </w:p>
    <w:p w14:paraId="7DA0755B" w14:textId="75216D61" w:rsidR="00FF302D" w:rsidRPr="00113F13" w:rsidRDefault="00FF302D" w:rsidP="00B63604">
      <w:pPr>
        <w:pStyle w:val="NormalNumberedTextTLRI"/>
        <w:numPr>
          <w:ilvl w:val="2"/>
          <w:numId w:val="31"/>
        </w:numPr>
        <w:tabs>
          <w:tab w:val="clear" w:pos="720"/>
        </w:tabs>
        <w:spacing w:line="259" w:lineRule="auto"/>
      </w:pPr>
      <w:bookmarkStart w:id="353" w:name="_Toc143872284"/>
      <w:r w:rsidRPr="00113F13">
        <w:t>The exceptions to the requirements in PIPP 10(1) permit the collection of sensitive information about an individual in certain circumstances. First, under PIPP 10(2), a personal information custodian can collect sensitive information about an individual, if the collection is necessary for research or statistical analysis in the public interest and any resulting publication is de-identified, or if the information relates to an individual’s racial or ethnic origin and is collected for the purpose of welfare or educational services funded by the government. Such collection is only permitted where there is no practical alternative to collecting the information for these purposes and it is impracticable to seek the individual’s consent.</w:t>
      </w:r>
    </w:p>
    <w:p w14:paraId="0FC32038" w14:textId="166827E8" w:rsidR="00FF302D" w:rsidRPr="000D774E" w:rsidRDefault="00FF302D" w:rsidP="00B63604">
      <w:pPr>
        <w:pStyle w:val="NormalNumberedTextTLRI"/>
        <w:numPr>
          <w:ilvl w:val="2"/>
          <w:numId w:val="31"/>
        </w:numPr>
        <w:tabs>
          <w:tab w:val="clear" w:pos="720"/>
        </w:tabs>
        <w:spacing w:line="259" w:lineRule="auto"/>
      </w:pPr>
      <w:bookmarkStart w:id="354" w:name="_Ref149559414"/>
      <w:r w:rsidRPr="00113F13">
        <w:t xml:space="preserve">Second, there are three additional circumstances in which health information, as a type of sensitive information, can be collected in the absence of one of the PIPP 10(1) conditions </w:t>
      </w:r>
      <w:r w:rsidRPr="00EA22F8">
        <w:t>listed at [</w:t>
      </w:r>
      <w:r w:rsidR="00184F21" w:rsidRPr="00EA22F8">
        <w:fldChar w:fldCharType="begin"/>
      </w:r>
      <w:r w:rsidR="00184F21" w:rsidRPr="00EA22F8">
        <w:instrText xml:space="preserve"> REF _Ref151540020 \r \h </w:instrText>
      </w:r>
      <w:r w:rsidR="00184F21" w:rsidRPr="00EA22F8">
        <w:fldChar w:fldCharType="separate"/>
      </w:r>
      <w:r w:rsidR="00462C30">
        <w:rPr>
          <w:cs/>
        </w:rPr>
        <w:t>‎</w:t>
      </w:r>
      <w:r w:rsidR="00462C30">
        <w:t>5.2.7</w:t>
      </w:r>
      <w:r w:rsidR="00184F21" w:rsidRPr="00EA22F8">
        <w:fldChar w:fldCharType="end"/>
      </w:r>
      <w:r w:rsidRPr="00EA22F8">
        <w:t>]</w:t>
      </w:r>
      <w:r w:rsidR="00184F21" w:rsidRPr="00EA22F8">
        <w:t xml:space="preserve"> above</w:t>
      </w:r>
      <w:r w:rsidRPr="00EA22F8">
        <w:t>.</w:t>
      </w:r>
      <w:r w:rsidRPr="000D774E">
        <w:t xml:space="preserve"> These are:</w:t>
      </w:r>
      <w:bookmarkEnd w:id="353"/>
      <w:bookmarkEnd w:id="354"/>
    </w:p>
    <w:p w14:paraId="4BB7B712" w14:textId="77777777" w:rsidR="00FF302D" w:rsidRPr="00113F13" w:rsidRDefault="00FF302D" w:rsidP="00A142A1">
      <w:pPr>
        <w:pStyle w:val="DotPointTLRI"/>
      </w:pPr>
      <w:r w:rsidRPr="00113F13">
        <w:t>under PIPP 10(3), where the information is necessary to provide a health service to the individual concerned, and the information is collected as required by law or in accordance with professional obligations of confidentiality;</w:t>
      </w:r>
      <w:r w:rsidRPr="00113F13">
        <w:rPr>
          <w:rStyle w:val="FootnoteReference"/>
          <w:rFonts w:ascii="Times New Roman" w:hAnsi="Times New Roman"/>
        </w:rPr>
        <w:footnoteReference w:id="366"/>
      </w:r>
    </w:p>
    <w:p w14:paraId="61F70641" w14:textId="77777777" w:rsidR="00FF302D" w:rsidRPr="00113F13" w:rsidRDefault="00FF302D" w:rsidP="00A142A1">
      <w:pPr>
        <w:pStyle w:val="DotPointTLRI"/>
      </w:pPr>
      <w:r w:rsidRPr="00113F13">
        <w:lastRenderedPageBreak/>
        <w:t>under PIPP 10(4) and (5), where the collection is necessary for research or statistical analysis on public health or safety or running a health service, requires information which identifies the individual, it is impractical to seek consent, and the information is collected as required by law or in accordance with professional obligations of confidentiality (in which case, the custodian must take reasonable steps to permanently de-identify the information prior to disclosure);</w:t>
      </w:r>
      <w:r w:rsidRPr="00113F13">
        <w:rPr>
          <w:rStyle w:val="FootnoteReference"/>
          <w:rFonts w:ascii="Times New Roman" w:hAnsi="Times New Roman"/>
        </w:rPr>
        <w:footnoteReference w:id="367"/>
      </w:r>
      <w:r w:rsidRPr="00113F13">
        <w:t xml:space="preserve"> or</w:t>
      </w:r>
    </w:p>
    <w:p w14:paraId="5CB7C7D9" w14:textId="77777777" w:rsidR="00FF302D" w:rsidRPr="00113F13" w:rsidRDefault="00FF302D" w:rsidP="00A142A1">
      <w:pPr>
        <w:pStyle w:val="DotPointTLRI"/>
      </w:pPr>
      <w:r w:rsidRPr="00113F13">
        <w:t>under PIPP 10(6), where the health information is collected from another person and the collection is necessary to provide a health service to that other person and the information is relevant to their social or family history.</w:t>
      </w:r>
      <w:r w:rsidRPr="00113F13">
        <w:rPr>
          <w:rStyle w:val="FootnoteReference"/>
          <w:rFonts w:ascii="Times New Roman" w:hAnsi="Times New Roman"/>
        </w:rPr>
        <w:footnoteReference w:id="368"/>
      </w:r>
    </w:p>
    <w:p w14:paraId="117AC0AD" w14:textId="4F500F9D" w:rsidR="00FF302D" w:rsidRPr="00113F13" w:rsidRDefault="00FF302D" w:rsidP="00B63604">
      <w:pPr>
        <w:pStyle w:val="NormalNumberedTextTLRI"/>
        <w:numPr>
          <w:ilvl w:val="2"/>
          <w:numId w:val="31"/>
        </w:numPr>
        <w:tabs>
          <w:tab w:val="clear" w:pos="720"/>
        </w:tabs>
        <w:spacing w:line="259" w:lineRule="auto"/>
      </w:pPr>
      <w:r w:rsidRPr="00113F13">
        <w:t xml:space="preserve">The PIPP requirements relating to sensitive information do not apply to law enforcement information collected or held by a law enforcement agency, if it is considered that non-compliance is reasonably necessary for the purpose of any of its functions or activities, enforcement of proceeds of crime laws, or in connection with court or tribunal </w:t>
      </w:r>
      <w:r w:rsidRPr="003215A2">
        <w:t>proceedings (</w:t>
      </w:r>
      <w:r w:rsidRPr="00EA22F8">
        <w:t xml:space="preserve">see </w:t>
      </w:r>
      <w:r w:rsidR="00D9609C" w:rsidRPr="00EA22F8">
        <w:t>[</w:t>
      </w:r>
      <w:r w:rsidR="00D9609C" w:rsidRPr="00EA22F8">
        <w:fldChar w:fldCharType="begin"/>
      </w:r>
      <w:r w:rsidR="00D9609C" w:rsidRPr="00EA22F8">
        <w:instrText xml:space="preserve"> REF _Ref164776956 \n \h </w:instrText>
      </w:r>
      <w:r w:rsidR="00BC5452">
        <w:instrText xml:space="preserve"> \* MERGEFORMAT </w:instrText>
      </w:r>
      <w:r w:rsidR="00D9609C" w:rsidRPr="00EA22F8">
        <w:fldChar w:fldCharType="separate"/>
      </w:r>
      <w:r w:rsidR="00462C30">
        <w:rPr>
          <w:cs/>
        </w:rPr>
        <w:t>‎</w:t>
      </w:r>
      <w:r w:rsidR="00462C30">
        <w:t>4.12.11</w:t>
      </w:r>
      <w:r w:rsidR="00D9609C" w:rsidRPr="00EA22F8">
        <w:fldChar w:fldCharType="end"/>
      </w:r>
      <w:r w:rsidRPr="003215A2">
        <w:t>]</w:t>
      </w:r>
      <w:r w:rsidR="00D9609C" w:rsidRPr="003215A2">
        <w:t xml:space="preserve"> above</w:t>
      </w:r>
      <w:r w:rsidRPr="003215A2">
        <w:t>).</w:t>
      </w:r>
      <w:r w:rsidRPr="003215A2">
        <w:rPr>
          <w:rStyle w:val="FootnoteReference"/>
          <w:rFonts w:ascii="Times New Roman" w:hAnsi="Times New Roman"/>
        </w:rPr>
        <w:footnoteReference w:id="369"/>
      </w:r>
    </w:p>
    <w:p w14:paraId="2D3E7574" w14:textId="77777777" w:rsidR="00FF302D" w:rsidRPr="00113F13" w:rsidRDefault="00FF302D" w:rsidP="00A142A1">
      <w:pPr>
        <w:pStyle w:val="Sub-HeadingTLRI"/>
      </w:pPr>
      <w:bookmarkStart w:id="355" w:name="_Toc164606589"/>
      <w:r w:rsidRPr="00113F13">
        <w:t>Collection of unsolicited information</w:t>
      </w:r>
      <w:bookmarkEnd w:id="355"/>
    </w:p>
    <w:p w14:paraId="502CBD5B" w14:textId="77777777" w:rsidR="00FF302D" w:rsidRPr="00113F13" w:rsidRDefault="00FF302D" w:rsidP="00B63604">
      <w:pPr>
        <w:pStyle w:val="NormalNumberedTextTLRI"/>
        <w:numPr>
          <w:ilvl w:val="2"/>
          <w:numId w:val="31"/>
        </w:numPr>
        <w:tabs>
          <w:tab w:val="clear" w:pos="720"/>
        </w:tabs>
        <w:spacing w:line="259" w:lineRule="auto"/>
      </w:pPr>
      <w:bookmarkStart w:id="356" w:name="_Toc143872285"/>
      <w:r w:rsidRPr="00113F13">
        <w:t>The PIPA specifies that PIPP 1 does not apply to ‘unsolicited information’ received by a personal information custodian.</w:t>
      </w:r>
      <w:r w:rsidRPr="00113F13">
        <w:rPr>
          <w:rStyle w:val="FootnoteReference"/>
          <w:rFonts w:ascii="Times New Roman" w:hAnsi="Times New Roman"/>
        </w:rPr>
        <w:footnoteReference w:id="370"/>
      </w:r>
      <w:r w:rsidRPr="00113F13">
        <w:t xml:space="preserve"> The PIPA does not define unsolicited information.</w:t>
      </w:r>
      <w:bookmarkEnd w:id="356"/>
    </w:p>
    <w:p w14:paraId="5F691A35" w14:textId="77777777" w:rsidR="00FF302D" w:rsidRPr="00113F13" w:rsidRDefault="00FF302D" w:rsidP="00A142A1">
      <w:pPr>
        <w:pStyle w:val="Sub-HeadingTLRI"/>
      </w:pPr>
      <w:bookmarkStart w:id="357" w:name="_Toc164606590"/>
      <w:r w:rsidRPr="00113F13">
        <w:t>Use and disclosure of personal information (including sensitive information)</w:t>
      </w:r>
      <w:bookmarkEnd w:id="357"/>
    </w:p>
    <w:p w14:paraId="5E1F4E66" w14:textId="77777777" w:rsidR="00FF302D" w:rsidRPr="00113F13" w:rsidRDefault="00FF302D" w:rsidP="00B63604">
      <w:pPr>
        <w:pStyle w:val="NormalNumberedTextTLRI"/>
        <w:numPr>
          <w:ilvl w:val="2"/>
          <w:numId w:val="31"/>
        </w:numPr>
        <w:tabs>
          <w:tab w:val="clear" w:pos="720"/>
        </w:tabs>
        <w:spacing w:line="259" w:lineRule="auto"/>
      </w:pPr>
      <w:bookmarkStart w:id="358" w:name="_Toc143872286"/>
      <w:bookmarkStart w:id="359" w:name="_Ref129330749"/>
      <w:r w:rsidRPr="00113F13">
        <w:t>PIPP 2 also limits the use and disclosure of personal information. Generally, personal information must only be used or disclosed for the purpose for which it was collected (referred to in this Report as ‘the primary purpose’).</w:t>
      </w:r>
      <w:bookmarkEnd w:id="358"/>
    </w:p>
    <w:p w14:paraId="720F9583" w14:textId="77777777" w:rsidR="00FF302D" w:rsidRPr="00113F13" w:rsidRDefault="00FF302D" w:rsidP="00B63604">
      <w:pPr>
        <w:pStyle w:val="NormalNumberedTextTLRI"/>
        <w:numPr>
          <w:ilvl w:val="2"/>
          <w:numId w:val="31"/>
        </w:numPr>
        <w:tabs>
          <w:tab w:val="clear" w:pos="720"/>
        </w:tabs>
        <w:spacing w:line="259" w:lineRule="auto"/>
      </w:pPr>
      <w:bookmarkStart w:id="360" w:name="_Toc143872287"/>
      <w:bookmarkStart w:id="361" w:name="_Ref149562379"/>
      <w:bookmarkStart w:id="362" w:name="_Ref151462204"/>
      <w:bookmarkStart w:id="363" w:name="_Ref164777633"/>
      <w:r w:rsidRPr="00113F13">
        <w:t>Personal information can also be used or disclosed for another purpose (referred to herein as ‘a secondary purpose’), if it satisfies one of the other circumstances listed in PIPP 2(1).</w:t>
      </w:r>
      <w:bookmarkEnd w:id="359"/>
      <w:r w:rsidRPr="00113F13">
        <w:rPr>
          <w:rStyle w:val="FootnoteReference"/>
          <w:rFonts w:ascii="Times New Roman" w:hAnsi="Times New Roman"/>
        </w:rPr>
        <w:footnoteReference w:id="371"/>
      </w:r>
      <w:r w:rsidRPr="00113F13">
        <w:t xml:space="preserve"> These</w:t>
      </w:r>
      <w:bookmarkStart w:id="364" w:name="_Ref91757031"/>
      <w:r w:rsidRPr="00113F13">
        <w:t xml:space="preserve"> include circumstances where one of the following conditions is met:</w:t>
      </w:r>
      <w:bookmarkEnd w:id="360"/>
      <w:bookmarkEnd w:id="361"/>
      <w:bookmarkEnd w:id="362"/>
      <w:bookmarkEnd w:id="363"/>
    </w:p>
    <w:p w14:paraId="5AE7C976" w14:textId="77777777" w:rsidR="00FF302D" w:rsidRPr="00113F13" w:rsidRDefault="00FF302D" w:rsidP="00A142A1">
      <w:pPr>
        <w:pStyle w:val="DotPointTLRI"/>
      </w:pPr>
      <w:r w:rsidRPr="00113F13">
        <w:t>the purpose of the use or disclosure is related to the primary purpose (and, if it is sensitive information, that information is directly related to the primary purpose) and the individual would reasonably expect use or disclosure for that purpose;</w:t>
      </w:r>
    </w:p>
    <w:p w14:paraId="09288BE9" w14:textId="77777777" w:rsidR="00FF302D" w:rsidRPr="00113F13" w:rsidRDefault="00FF302D" w:rsidP="00A142A1">
      <w:pPr>
        <w:pStyle w:val="DotPointTLRI"/>
      </w:pPr>
      <w:r w:rsidRPr="00113F13">
        <w:t>the individual has consented;</w:t>
      </w:r>
    </w:p>
    <w:p w14:paraId="738C2D87" w14:textId="77777777" w:rsidR="00FF302D" w:rsidRPr="00113F13" w:rsidRDefault="00FF302D" w:rsidP="00A142A1">
      <w:pPr>
        <w:pStyle w:val="DotPointTLRI"/>
      </w:pPr>
      <w:r w:rsidRPr="00113F13">
        <w:t>it is either impracticable to seek prior consent or the recipient is reasonably believed to be not likely to disclose the information, and the use or disclosure is necessary for research or statistical analysis in the public interest (other than for publication in a form that identifies any particular individual);</w:t>
      </w:r>
    </w:p>
    <w:p w14:paraId="63BB839C" w14:textId="77777777" w:rsidR="00FF302D" w:rsidRPr="00113F13" w:rsidRDefault="00FF302D" w:rsidP="00A142A1">
      <w:pPr>
        <w:pStyle w:val="DotPointTLRI"/>
      </w:pPr>
      <w:r w:rsidRPr="00113F13">
        <w:t>the custodian reasonably believes the use or disclosure is necessary to lessen or prevent a serious threat to life, health, safety, or welfare or a serious threat to public health or public safety;</w:t>
      </w:r>
    </w:p>
    <w:p w14:paraId="2BB4E358" w14:textId="77777777" w:rsidR="00FF302D" w:rsidRPr="00113F13" w:rsidRDefault="00FF302D" w:rsidP="00A142A1">
      <w:pPr>
        <w:pStyle w:val="DotPointTLRI"/>
      </w:pPr>
      <w:r w:rsidRPr="00113F13">
        <w:t>the use or disclosure is a necessary part of an investigation by the custodian or report to relevant authorities of suspected unlawful activity;</w:t>
      </w:r>
    </w:p>
    <w:p w14:paraId="5582817B" w14:textId="77777777" w:rsidR="00FF302D" w:rsidRPr="00113F13" w:rsidRDefault="00FF302D" w:rsidP="00A142A1">
      <w:pPr>
        <w:pStyle w:val="DotPointTLRI"/>
      </w:pPr>
      <w:r w:rsidRPr="00113F13">
        <w:lastRenderedPageBreak/>
        <w:t>the use or disclosure is required or authorised by or under law;</w:t>
      </w:r>
    </w:p>
    <w:p w14:paraId="0AAE35B6" w14:textId="77777777" w:rsidR="00FF302D" w:rsidRPr="00113F13" w:rsidRDefault="00FF302D" w:rsidP="00A142A1">
      <w:pPr>
        <w:pStyle w:val="DotPointTLRI"/>
      </w:pPr>
      <w:r w:rsidRPr="00113F13">
        <w:t xml:space="preserve">the custodian reasonably believes the use or disclosure is reasonably necessary for various purposes on behalf of a law enforcement agency, including prevention of crime or breaches of the law, protection of the public revenue, seriously improper conduct, court or tribunal proceedings, investigations into missing persons or matter under the Coroners Act; </w:t>
      </w:r>
    </w:p>
    <w:p w14:paraId="584F3B6A" w14:textId="77777777" w:rsidR="00FF302D" w:rsidRPr="00113F13" w:rsidRDefault="00FF302D" w:rsidP="00A142A1">
      <w:pPr>
        <w:pStyle w:val="DotPointTLRI"/>
      </w:pPr>
      <w:r w:rsidRPr="00113F13">
        <w:t>the disclosure has been requested by a Commonwealth security agency; or</w:t>
      </w:r>
    </w:p>
    <w:p w14:paraId="72A74977" w14:textId="77777777" w:rsidR="00FF302D" w:rsidRPr="00113F13" w:rsidRDefault="00FF302D" w:rsidP="00A142A1">
      <w:pPr>
        <w:pStyle w:val="DotPointTLRI"/>
      </w:pPr>
      <w:r w:rsidRPr="00113F13">
        <w:t>the information is to be used as employee information or transferred to another custodian for such use.</w:t>
      </w:r>
      <w:r w:rsidRPr="00113F13">
        <w:rPr>
          <w:rStyle w:val="FootnoteReference"/>
          <w:rFonts w:ascii="Times New Roman" w:hAnsi="Times New Roman"/>
        </w:rPr>
        <w:footnoteReference w:id="372"/>
      </w:r>
    </w:p>
    <w:p w14:paraId="16BA5305" w14:textId="6AB2F045" w:rsidR="00FF302D" w:rsidRPr="00113F13" w:rsidRDefault="00FF302D" w:rsidP="00B63604">
      <w:pPr>
        <w:pStyle w:val="NormalNumberedTextTLRI"/>
        <w:numPr>
          <w:ilvl w:val="2"/>
          <w:numId w:val="31"/>
        </w:numPr>
        <w:tabs>
          <w:tab w:val="clear" w:pos="720"/>
        </w:tabs>
        <w:spacing w:line="259" w:lineRule="auto"/>
      </w:pPr>
      <w:r w:rsidRPr="00113F13">
        <w:t xml:space="preserve">The PIPA creates a further general exception to these restrictions on use and disclosure for law enforcement information collected or held by a law enforcement agency, if it considers non-compliance reasonably necessary for the purpose of any of its functions or activities, enforcement of proceeds of crime laws, or in connection with court or tribunal </w:t>
      </w:r>
      <w:r w:rsidRPr="003215A2">
        <w:t xml:space="preserve">proceedings </w:t>
      </w:r>
      <w:r w:rsidRPr="00EA22F8">
        <w:t xml:space="preserve">(see </w:t>
      </w:r>
      <w:r w:rsidR="00AE4DC7" w:rsidRPr="00EA22F8">
        <w:t>Part</w:t>
      </w:r>
      <w:r w:rsidRPr="00EA22F8">
        <w:t xml:space="preserve"> 4</w:t>
      </w:r>
      <w:r w:rsidRPr="003215A2">
        <w:t>).</w:t>
      </w:r>
      <w:r w:rsidRPr="003215A2">
        <w:rPr>
          <w:rStyle w:val="FootnoteReference"/>
          <w:rFonts w:ascii="Times New Roman" w:hAnsi="Times New Roman"/>
        </w:rPr>
        <w:footnoteReference w:id="373"/>
      </w:r>
    </w:p>
    <w:p w14:paraId="050F92CE" w14:textId="579C3D05" w:rsidR="00FF302D" w:rsidRPr="00113F13" w:rsidRDefault="00FF302D" w:rsidP="00B63604">
      <w:pPr>
        <w:pStyle w:val="NormalNumberedTextTLRI"/>
        <w:numPr>
          <w:ilvl w:val="2"/>
          <w:numId w:val="31"/>
        </w:numPr>
        <w:tabs>
          <w:tab w:val="clear" w:pos="720"/>
        </w:tabs>
        <w:spacing w:line="259" w:lineRule="auto"/>
      </w:pPr>
      <w:bookmarkStart w:id="365" w:name="_Toc143872288"/>
      <w:bookmarkEnd w:id="364"/>
      <w:r w:rsidRPr="00113F13">
        <w:t xml:space="preserve">As discussed </w:t>
      </w:r>
      <w:r w:rsidR="001B7F10">
        <w:t>at [</w:t>
      </w:r>
      <w:r w:rsidR="001B7F10">
        <w:fldChar w:fldCharType="begin"/>
      </w:r>
      <w:r w:rsidR="001B7F10">
        <w:instrText xml:space="preserve"> REF _Ref91322283 \r \h </w:instrText>
      </w:r>
      <w:r w:rsidR="001B7F10">
        <w:fldChar w:fldCharType="separate"/>
      </w:r>
      <w:r w:rsidR="00462C30">
        <w:rPr>
          <w:cs/>
        </w:rPr>
        <w:t>‎</w:t>
      </w:r>
      <w:r w:rsidR="00462C30">
        <w:t>4.12.3</w:t>
      </w:r>
      <w:r w:rsidR="001B7F10">
        <w:fldChar w:fldCharType="end"/>
      </w:r>
      <w:r w:rsidR="005B61A2">
        <w:t>]–[</w:t>
      </w:r>
      <w:r w:rsidR="005B61A2">
        <w:fldChar w:fldCharType="begin"/>
      </w:r>
      <w:r w:rsidR="005B61A2">
        <w:instrText xml:space="preserve"> REF _Ref164776813 \r \h </w:instrText>
      </w:r>
      <w:r w:rsidR="005B61A2">
        <w:fldChar w:fldCharType="separate"/>
      </w:r>
      <w:r w:rsidR="00462C30">
        <w:rPr>
          <w:cs/>
        </w:rPr>
        <w:t>‎</w:t>
      </w:r>
      <w:r w:rsidR="00462C30">
        <w:t>4.12.4</w:t>
      </w:r>
      <w:r w:rsidR="005B61A2">
        <w:fldChar w:fldCharType="end"/>
      </w:r>
      <w:r w:rsidR="005B61A2">
        <w:t>]</w:t>
      </w:r>
      <w:r w:rsidR="001B7F10">
        <w:t xml:space="preserve">, </w:t>
      </w:r>
      <w:r w:rsidRPr="00113F13">
        <w:t>the PIPA establishes that personal information can also be used or disclosed for a secondary purpose where it is ‘basic personal information’; in that circumstance, public authorities can share the information with another public sector body where this ‘is reasonably necessary for the efficient storage and use of that information’.</w:t>
      </w:r>
      <w:r w:rsidRPr="00113F13">
        <w:rPr>
          <w:rStyle w:val="FootnoteReference"/>
          <w:rFonts w:ascii="Times New Roman" w:hAnsi="Times New Roman"/>
        </w:rPr>
        <w:footnoteReference w:id="374"/>
      </w:r>
      <w:bookmarkEnd w:id="365"/>
    </w:p>
    <w:p w14:paraId="417F8DDA" w14:textId="77777777" w:rsidR="00FF302D" w:rsidRPr="00113F13" w:rsidRDefault="00FF302D" w:rsidP="00B63604">
      <w:pPr>
        <w:pStyle w:val="NormalNumberedTextTLRI"/>
        <w:numPr>
          <w:ilvl w:val="2"/>
          <w:numId w:val="31"/>
        </w:numPr>
        <w:tabs>
          <w:tab w:val="clear" w:pos="720"/>
        </w:tabs>
        <w:spacing w:line="259" w:lineRule="auto"/>
      </w:pPr>
      <w:bookmarkStart w:id="366" w:name="_Toc143872289"/>
      <w:r w:rsidRPr="00113F13">
        <w:t>PIPP 2(4) also makes explicit provision for health service providers to disclose an individual’s health information to another person who is responsible for that individual, where certain conditions are met.</w:t>
      </w:r>
      <w:r w:rsidRPr="00113F13">
        <w:rPr>
          <w:rStyle w:val="FootnoteReference"/>
          <w:rFonts w:ascii="Times New Roman" w:hAnsi="Times New Roman"/>
        </w:rPr>
        <w:footnoteReference w:id="375"/>
      </w:r>
      <w:r w:rsidRPr="00113F13">
        <w:t xml:space="preserve"> These are: the individual is incapable of giving consent or communicating consent; the disclosure is necessary to provide appropriate care or treatment, or is made for compassionate reasons; and the disclosure is not contrary to the wishes of the individual.</w:t>
      </w:r>
      <w:bookmarkEnd w:id="366"/>
    </w:p>
    <w:p w14:paraId="5571B3B1" w14:textId="77777777" w:rsidR="00FF302D" w:rsidRPr="00113F13" w:rsidRDefault="00FF302D" w:rsidP="00B63604">
      <w:pPr>
        <w:pStyle w:val="NormalNumberedTextTLRI"/>
        <w:numPr>
          <w:ilvl w:val="2"/>
          <w:numId w:val="31"/>
        </w:numPr>
        <w:tabs>
          <w:tab w:val="clear" w:pos="720"/>
        </w:tabs>
        <w:spacing w:line="259" w:lineRule="auto"/>
      </w:pPr>
      <w:bookmarkStart w:id="367" w:name="_Toc143872290"/>
      <w:r w:rsidRPr="00113F13">
        <w:t>The PIPA does not impose specific obligations relating to the use and disclosure of personal information for direct marketing.</w:t>
      </w:r>
      <w:bookmarkEnd w:id="367"/>
    </w:p>
    <w:p w14:paraId="060782CB" w14:textId="77777777" w:rsidR="00FF302D" w:rsidRPr="00113F13" w:rsidRDefault="00FF302D" w:rsidP="00A142A1">
      <w:pPr>
        <w:pStyle w:val="Sub-HeadingTLRI"/>
      </w:pPr>
      <w:bookmarkStart w:id="368" w:name="_Toc164606591"/>
      <w:r w:rsidRPr="00113F13">
        <w:t>Cross-border disclosure</w:t>
      </w:r>
      <w:bookmarkEnd w:id="368"/>
    </w:p>
    <w:p w14:paraId="69315207" w14:textId="77777777" w:rsidR="00FF302D" w:rsidRPr="00113F13" w:rsidRDefault="00FF302D" w:rsidP="00B63604">
      <w:pPr>
        <w:pStyle w:val="NormalNumberedTextTLRI"/>
        <w:numPr>
          <w:ilvl w:val="2"/>
          <w:numId w:val="31"/>
        </w:numPr>
        <w:tabs>
          <w:tab w:val="clear" w:pos="720"/>
        </w:tabs>
        <w:spacing w:line="259" w:lineRule="auto"/>
        <w:rPr>
          <w:szCs w:val="22"/>
        </w:rPr>
      </w:pPr>
      <w:bookmarkStart w:id="369" w:name="_Toc143872291"/>
      <w:bookmarkStart w:id="370" w:name="_Ref149563093"/>
      <w:bookmarkStart w:id="371" w:name="_Ref164777932"/>
      <w:r w:rsidRPr="00113F13">
        <w:t>Further restrictions apply to the disclosure of personal information to anyone outside Tasmania. Under PIPP 9, such disclosure is not permitted unless one of the following applies:</w:t>
      </w:r>
      <w:bookmarkEnd w:id="369"/>
      <w:bookmarkEnd w:id="370"/>
      <w:bookmarkEnd w:id="371"/>
      <w:r w:rsidRPr="00113F13">
        <w:t xml:space="preserve"> </w:t>
      </w:r>
    </w:p>
    <w:p w14:paraId="2424BDCC" w14:textId="77777777" w:rsidR="00FF302D" w:rsidRPr="00113F13" w:rsidRDefault="00FF302D" w:rsidP="00A142A1">
      <w:pPr>
        <w:pStyle w:val="DotPointTLRI"/>
      </w:pPr>
      <w:r w:rsidRPr="00113F13">
        <w:t>the custodian reasonably believes that the recipient is subject to binding principles substantially similar to the PIPPs;</w:t>
      </w:r>
    </w:p>
    <w:p w14:paraId="3091FA20" w14:textId="77777777" w:rsidR="00FF302D" w:rsidRPr="00113F13" w:rsidRDefault="00FF302D" w:rsidP="00A142A1">
      <w:pPr>
        <w:pStyle w:val="DotPointTLRI"/>
      </w:pPr>
      <w:r w:rsidRPr="00113F13">
        <w:t>the individual concerned consents;</w:t>
      </w:r>
    </w:p>
    <w:p w14:paraId="6B356E3F" w14:textId="77777777" w:rsidR="00FF302D" w:rsidRPr="00113F13" w:rsidRDefault="00FF302D" w:rsidP="00A142A1">
      <w:pPr>
        <w:pStyle w:val="DotPointTLRI"/>
      </w:pPr>
      <w:r w:rsidRPr="00113F13">
        <w:t>the disclosure is necessary for the performance of a contract with the individual or for the conclusion or performance of a contract in the individual’s interest;</w:t>
      </w:r>
    </w:p>
    <w:p w14:paraId="7BD351CE" w14:textId="77777777" w:rsidR="00FF302D" w:rsidRPr="00113F13" w:rsidRDefault="00FF302D" w:rsidP="00A142A1">
      <w:pPr>
        <w:pStyle w:val="DotPointTLRI"/>
      </w:pPr>
      <w:r w:rsidRPr="00113F13">
        <w:t>the custodian has taken reasonable steps to ensure the recipient will not handle the information inconsistently with the PIPPs; or</w:t>
      </w:r>
    </w:p>
    <w:p w14:paraId="74F653D4" w14:textId="77777777" w:rsidR="00FF302D" w:rsidRPr="00113F13" w:rsidRDefault="00FF302D" w:rsidP="00A142A1">
      <w:pPr>
        <w:pStyle w:val="DotPointTLRI"/>
      </w:pPr>
      <w:r w:rsidRPr="00113F13">
        <w:t>the disclosure is authorised or required by any other law.</w:t>
      </w:r>
    </w:p>
    <w:p w14:paraId="28FADFEE" w14:textId="77777777" w:rsidR="00FF302D" w:rsidRPr="00113F13" w:rsidRDefault="00FF302D" w:rsidP="00FF302D">
      <w:pPr>
        <w:pStyle w:val="FootnoteText"/>
        <w:rPr>
          <w:rFonts w:cs="Times New Roman"/>
        </w:rPr>
      </w:pPr>
    </w:p>
    <w:p w14:paraId="3B6D874D" w14:textId="7BB06342" w:rsidR="00FF302D" w:rsidRPr="00113F13" w:rsidRDefault="00FF302D" w:rsidP="00B63604">
      <w:pPr>
        <w:pStyle w:val="NormalNumberedTextTLRI"/>
        <w:numPr>
          <w:ilvl w:val="2"/>
          <w:numId w:val="31"/>
        </w:numPr>
        <w:tabs>
          <w:tab w:val="clear" w:pos="720"/>
        </w:tabs>
        <w:spacing w:line="259" w:lineRule="auto"/>
      </w:pPr>
      <w:r w:rsidRPr="00113F13">
        <w:lastRenderedPageBreak/>
        <w:t xml:space="preserve">These restrictions do not apply to law enforcement information collected or held by a law enforcement agency, if it considers it reasonably necessary for the purpose of any of its functions or activities, for enforcing proceeds of crime law or in connection with court or tribunal proceedings </w:t>
      </w:r>
      <w:r w:rsidRPr="00E81152">
        <w:t>(</w:t>
      </w:r>
      <w:r w:rsidRPr="00EA22F8">
        <w:t xml:space="preserve">see </w:t>
      </w:r>
      <w:r w:rsidR="00772F99">
        <w:t>[</w:t>
      </w:r>
      <w:r w:rsidR="00772F99">
        <w:rPr>
          <w:highlight w:val="green"/>
        </w:rPr>
        <w:fldChar w:fldCharType="begin"/>
      </w:r>
      <w:r w:rsidR="00772F99">
        <w:instrText xml:space="preserve"> REF _Ref164776956 \r \h </w:instrText>
      </w:r>
      <w:r w:rsidR="00772F99">
        <w:rPr>
          <w:highlight w:val="green"/>
        </w:rPr>
      </w:r>
      <w:r w:rsidR="00772F99">
        <w:rPr>
          <w:highlight w:val="green"/>
        </w:rPr>
        <w:fldChar w:fldCharType="separate"/>
      </w:r>
      <w:r w:rsidR="00462C30">
        <w:rPr>
          <w:cs/>
        </w:rPr>
        <w:t>‎</w:t>
      </w:r>
      <w:r w:rsidR="00462C30">
        <w:t>4.12.11</w:t>
      </w:r>
      <w:r w:rsidR="00772F99">
        <w:rPr>
          <w:highlight w:val="green"/>
        </w:rPr>
        <w:fldChar w:fldCharType="end"/>
      </w:r>
      <w:r w:rsidR="00772F99">
        <w:t>])</w:t>
      </w:r>
      <w:r w:rsidRPr="00113F13">
        <w:t>.</w:t>
      </w:r>
      <w:r w:rsidRPr="00113F13">
        <w:rPr>
          <w:rStyle w:val="FootnoteReference"/>
          <w:rFonts w:ascii="Times New Roman" w:hAnsi="Times New Roman"/>
        </w:rPr>
        <w:footnoteReference w:id="376"/>
      </w:r>
    </w:p>
    <w:p w14:paraId="73EC66A4" w14:textId="77777777" w:rsidR="00FF302D" w:rsidRPr="00113F13" w:rsidRDefault="00FF302D" w:rsidP="00A142A1">
      <w:pPr>
        <w:pStyle w:val="Sub-HeadingTLRI"/>
      </w:pPr>
      <w:bookmarkStart w:id="372" w:name="_Toc164606592"/>
      <w:r w:rsidRPr="00113F13">
        <w:t>Consent to collection, use or disclosure</w:t>
      </w:r>
      <w:bookmarkEnd w:id="372"/>
    </w:p>
    <w:p w14:paraId="4F2AA155" w14:textId="77777777" w:rsidR="00FF302D" w:rsidRPr="00113F13" w:rsidRDefault="00FF302D" w:rsidP="00B63604">
      <w:pPr>
        <w:pStyle w:val="NormalNumberedTextTLRI"/>
        <w:numPr>
          <w:ilvl w:val="2"/>
          <w:numId w:val="31"/>
        </w:numPr>
        <w:tabs>
          <w:tab w:val="clear" w:pos="720"/>
        </w:tabs>
        <w:spacing w:line="259" w:lineRule="auto"/>
      </w:pPr>
      <w:bookmarkStart w:id="373" w:name="_Ref150168728"/>
      <w:r w:rsidRPr="00113F13">
        <w:t>As outlined above, some of the restrictions on the collection, use or disclosure of personal information will not apply to personal information custodians, if the individual about whom the information relates has consented to the information handling. For example, where the individual has consented, a personal information custodian may:</w:t>
      </w:r>
      <w:bookmarkEnd w:id="373"/>
    </w:p>
    <w:p w14:paraId="317C082E" w14:textId="77777777" w:rsidR="00FF302D" w:rsidRPr="00113F13" w:rsidRDefault="00FF302D" w:rsidP="00B63604">
      <w:pPr>
        <w:pStyle w:val="Heading3"/>
        <w:numPr>
          <w:ilvl w:val="0"/>
          <w:numId w:val="21"/>
        </w:numPr>
        <w:rPr>
          <w:rFonts w:ascii="Times New Roman" w:hAnsi="Times New Roman" w:cs="Times New Roman"/>
        </w:rPr>
      </w:pPr>
      <w:r w:rsidRPr="00113F13">
        <w:rPr>
          <w:rFonts w:ascii="Times New Roman" w:hAnsi="Times New Roman" w:cs="Times New Roman"/>
        </w:rPr>
        <w:t>collect sensitive information;</w:t>
      </w:r>
      <w:r w:rsidRPr="00113F13">
        <w:rPr>
          <w:rStyle w:val="FootnoteReference"/>
          <w:rFonts w:ascii="Times New Roman" w:hAnsi="Times New Roman" w:cs="Times New Roman"/>
        </w:rPr>
        <w:footnoteReference w:id="377"/>
      </w:r>
    </w:p>
    <w:p w14:paraId="7E529F6E" w14:textId="77777777" w:rsidR="00FF302D" w:rsidRPr="00113F13" w:rsidRDefault="00FF302D" w:rsidP="00B63604">
      <w:pPr>
        <w:pStyle w:val="ListParagraph"/>
        <w:numPr>
          <w:ilvl w:val="0"/>
          <w:numId w:val="21"/>
        </w:numPr>
        <w:spacing w:after="160" w:line="259" w:lineRule="auto"/>
        <w:jc w:val="left"/>
        <w:rPr>
          <w:rFonts w:cs="Times New Roman"/>
        </w:rPr>
      </w:pPr>
      <w:r w:rsidRPr="00113F13">
        <w:rPr>
          <w:rFonts w:cs="Times New Roman"/>
        </w:rPr>
        <w:t>use or disclose personal information for a purpose other than the purpose for which it was collected;</w:t>
      </w:r>
      <w:r w:rsidRPr="00113F13">
        <w:rPr>
          <w:rStyle w:val="FootnoteReference"/>
          <w:rFonts w:ascii="Times New Roman" w:hAnsi="Times New Roman" w:cs="Times New Roman"/>
        </w:rPr>
        <w:footnoteReference w:id="378"/>
      </w:r>
    </w:p>
    <w:p w14:paraId="42BB2D2E" w14:textId="77777777" w:rsidR="00FF302D" w:rsidRPr="00113F13" w:rsidRDefault="00FF302D" w:rsidP="00B63604">
      <w:pPr>
        <w:pStyle w:val="ListParagraph"/>
        <w:numPr>
          <w:ilvl w:val="0"/>
          <w:numId w:val="21"/>
        </w:numPr>
        <w:spacing w:after="160" w:line="259" w:lineRule="auto"/>
        <w:jc w:val="left"/>
        <w:rPr>
          <w:rFonts w:cs="Times New Roman"/>
        </w:rPr>
      </w:pPr>
      <w:r w:rsidRPr="00113F13">
        <w:rPr>
          <w:rFonts w:cs="Times New Roman"/>
        </w:rPr>
        <w:t>disclose personal information to a person or body outside Tasmania.</w:t>
      </w:r>
      <w:r w:rsidRPr="00113F13">
        <w:rPr>
          <w:rStyle w:val="FootnoteReference"/>
          <w:rFonts w:ascii="Times New Roman" w:hAnsi="Times New Roman" w:cs="Times New Roman"/>
        </w:rPr>
        <w:footnoteReference w:id="379"/>
      </w:r>
    </w:p>
    <w:p w14:paraId="21C11F0C" w14:textId="77777777" w:rsidR="00FF302D" w:rsidRPr="00113F13" w:rsidRDefault="00FF302D" w:rsidP="00B63604">
      <w:pPr>
        <w:pStyle w:val="NormalNumberedTextTLRI"/>
        <w:numPr>
          <w:ilvl w:val="2"/>
          <w:numId w:val="31"/>
        </w:numPr>
        <w:tabs>
          <w:tab w:val="clear" w:pos="720"/>
        </w:tabs>
        <w:spacing w:line="259" w:lineRule="auto"/>
        <w:rPr>
          <w:rStyle w:val="FootnoteReference"/>
          <w:rFonts w:ascii="Times New Roman" w:eastAsiaTheme="minorHAnsi" w:hAnsi="Times New Roman"/>
          <w:kern w:val="2"/>
          <w:szCs w:val="22"/>
          <w14:ligatures w14:val="standardContextual"/>
        </w:rPr>
      </w:pPr>
      <w:bookmarkStart w:id="374" w:name="_Ref151475114"/>
      <w:r w:rsidRPr="00113F13">
        <w:t>Consent is not defined in the PIPA and there are no specific provisions referring to consent of children, or of adults deemed to lack capacity to give consent, with the exception of PIPP 2(4) which permits disclosure of a person’s health information to another where the person is ‘physically or legally incapable of giving consent’ or ‘physically unable to communicate consent’ to the disclosure.</w:t>
      </w:r>
      <w:r w:rsidRPr="00113F13">
        <w:rPr>
          <w:rStyle w:val="FootnoteReference"/>
          <w:rFonts w:ascii="Times New Roman" w:hAnsi="Times New Roman"/>
        </w:rPr>
        <w:footnoteReference w:id="380"/>
      </w:r>
      <w:bookmarkEnd w:id="374"/>
    </w:p>
    <w:p w14:paraId="08D0C0F7" w14:textId="77777777" w:rsidR="00FF302D" w:rsidRPr="00113F13" w:rsidRDefault="00FF302D" w:rsidP="00BF1FE7">
      <w:pPr>
        <w:pStyle w:val="NumberedHeadingTLRI"/>
      </w:pPr>
      <w:bookmarkStart w:id="375" w:name="_Toc143872292"/>
      <w:bookmarkStart w:id="376" w:name="_Toc152245427"/>
      <w:bookmarkStart w:id="377" w:name="_Toc164606593"/>
      <w:r w:rsidRPr="00113F13">
        <w:t>The position in other jurisdictions</w:t>
      </w:r>
      <w:bookmarkEnd w:id="375"/>
      <w:bookmarkEnd w:id="376"/>
      <w:bookmarkEnd w:id="377"/>
    </w:p>
    <w:p w14:paraId="4B8780A6" w14:textId="77777777" w:rsidR="00FF302D" w:rsidRPr="00113F13" w:rsidRDefault="00FF302D" w:rsidP="00A142A1">
      <w:pPr>
        <w:pStyle w:val="Sub-HeadingTLRI"/>
      </w:pPr>
      <w:bookmarkStart w:id="378" w:name="_Toc164606594"/>
      <w:r w:rsidRPr="00113F13">
        <w:t>Collection of personal information</w:t>
      </w:r>
      <w:bookmarkEnd w:id="378"/>
    </w:p>
    <w:p w14:paraId="285F2DA2" w14:textId="77777777" w:rsidR="00FF302D" w:rsidRPr="00113F13" w:rsidRDefault="00FF302D" w:rsidP="00B63604">
      <w:pPr>
        <w:pStyle w:val="NormalNumberedTextTLRI"/>
        <w:numPr>
          <w:ilvl w:val="2"/>
          <w:numId w:val="31"/>
        </w:numPr>
        <w:tabs>
          <w:tab w:val="clear" w:pos="720"/>
        </w:tabs>
        <w:spacing w:line="259" w:lineRule="auto"/>
      </w:pPr>
      <w:bookmarkStart w:id="379" w:name="_Toc143872293"/>
      <w:r w:rsidRPr="00113F13">
        <w:t>Unlike the PIPA, the Commonwealth Privacy Act</w:t>
      </w:r>
      <w:bookmarkStart w:id="380" w:name="_Ref91753508"/>
      <w:r w:rsidRPr="00113F13">
        <w:t xml:space="preserve"> contains a definition of ‘collects’. It states:</w:t>
      </w:r>
      <w:bookmarkEnd w:id="379"/>
    </w:p>
    <w:p w14:paraId="666664B5" w14:textId="77777777" w:rsidR="00FF302D" w:rsidRPr="00113F13" w:rsidRDefault="00FF302D" w:rsidP="00A142A1">
      <w:pPr>
        <w:pStyle w:val="Indentedquote"/>
        <w:rPr>
          <w:rFonts w:cs="Times New Roman"/>
        </w:rPr>
      </w:pPr>
      <w:r w:rsidRPr="00113F13">
        <w:rPr>
          <w:rFonts w:cs="Times New Roman"/>
        </w:rPr>
        <w:t xml:space="preserve">An entity </w:t>
      </w:r>
      <w:r w:rsidRPr="00113F13">
        <w:rPr>
          <w:rFonts w:cs="Times New Roman"/>
          <w:b/>
          <w:bCs/>
        </w:rPr>
        <w:t>collects</w:t>
      </w:r>
      <w:r w:rsidRPr="00113F13">
        <w:rPr>
          <w:rFonts w:cs="Times New Roman"/>
        </w:rPr>
        <w:t xml:space="preserve"> personal information only if the entity collects the personal information for inclusion in a record or generally available publication.</w:t>
      </w:r>
      <w:r w:rsidRPr="00113F13">
        <w:rPr>
          <w:rStyle w:val="FootnoteReference"/>
          <w:rFonts w:ascii="Times New Roman" w:hAnsi="Times New Roman" w:cs="Times New Roman"/>
        </w:rPr>
        <w:footnoteReference w:id="381"/>
      </w:r>
    </w:p>
    <w:p w14:paraId="01327130" w14:textId="36A76023" w:rsidR="00FF302D" w:rsidRPr="00113F13" w:rsidRDefault="00FF302D" w:rsidP="00B63604">
      <w:pPr>
        <w:pStyle w:val="NormalNumberedTextTLRI"/>
        <w:numPr>
          <w:ilvl w:val="2"/>
          <w:numId w:val="31"/>
        </w:numPr>
        <w:tabs>
          <w:tab w:val="clear" w:pos="720"/>
        </w:tabs>
        <w:spacing w:line="259" w:lineRule="auto"/>
      </w:pPr>
      <w:bookmarkStart w:id="381" w:name="_Toc143872294"/>
      <w:r w:rsidRPr="00113F13">
        <w:t>This definition of ‘collect’ is reflected in the wording of the Queensland legislation</w:t>
      </w:r>
      <w:r w:rsidR="00B52803">
        <w:t>.</w:t>
      </w:r>
      <w:r w:rsidRPr="00113F13">
        <w:rPr>
          <w:rStyle w:val="FootnoteReference"/>
          <w:rFonts w:ascii="Times New Roman" w:hAnsi="Times New Roman"/>
        </w:rPr>
        <w:footnoteReference w:id="382"/>
      </w:r>
      <w:r w:rsidRPr="00113F13">
        <w:t xml:space="preserve"> </w:t>
      </w:r>
    </w:p>
    <w:p w14:paraId="072CF477" w14:textId="77777777" w:rsidR="00FF302D" w:rsidRPr="00113F13" w:rsidRDefault="00FF302D" w:rsidP="00B63604">
      <w:pPr>
        <w:pStyle w:val="NormalNumberedTextTLRI"/>
        <w:numPr>
          <w:ilvl w:val="2"/>
          <w:numId w:val="31"/>
        </w:numPr>
        <w:tabs>
          <w:tab w:val="clear" w:pos="720"/>
        </w:tabs>
        <w:spacing w:line="259" w:lineRule="auto"/>
      </w:pPr>
      <w:r w:rsidRPr="00113F13">
        <w:t>In the Privacy Act, APP 3 governs the collection of solicited personal information. It holds that government agencies and associated bodies</w:t>
      </w:r>
      <w:r w:rsidRPr="00113F13">
        <w:rPr>
          <w:rStyle w:val="FootnoteReference"/>
          <w:rFonts w:ascii="Times New Roman" w:hAnsi="Times New Roman"/>
        </w:rPr>
        <w:footnoteReference w:id="383"/>
      </w:r>
      <w:r w:rsidRPr="00113F13">
        <w:t xml:space="preserve"> must not collect personal information except in one of two scenarios. </w:t>
      </w:r>
    </w:p>
    <w:p w14:paraId="62AB2B48" w14:textId="77777777" w:rsidR="00FF302D" w:rsidRPr="00113F13" w:rsidRDefault="00FF302D" w:rsidP="00B63604">
      <w:pPr>
        <w:pStyle w:val="NormalNumberedTextTLRI"/>
        <w:numPr>
          <w:ilvl w:val="2"/>
          <w:numId w:val="31"/>
        </w:numPr>
        <w:tabs>
          <w:tab w:val="clear" w:pos="720"/>
        </w:tabs>
        <w:spacing w:line="259" w:lineRule="auto"/>
      </w:pPr>
      <w:bookmarkStart w:id="382" w:name="_Ref149726875"/>
      <w:r w:rsidRPr="00113F13">
        <w:lastRenderedPageBreak/>
        <w:t>The first is where the collection is reasonably</w:t>
      </w:r>
      <w:r w:rsidRPr="00113F13">
        <w:rPr>
          <w:i/>
          <w:iCs/>
        </w:rPr>
        <w:t xml:space="preserve"> </w:t>
      </w:r>
      <w:r w:rsidRPr="00113F13">
        <w:t>necessary for one or more of the agency’s functions. This differs from PIPP 1 in two key respects:</w:t>
      </w:r>
      <w:bookmarkEnd w:id="381"/>
      <w:bookmarkEnd w:id="382"/>
    </w:p>
    <w:p w14:paraId="5BA85B62" w14:textId="77777777" w:rsidR="00FF302D" w:rsidRPr="00113F13" w:rsidRDefault="00FF302D" w:rsidP="00A142A1">
      <w:pPr>
        <w:pStyle w:val="DotPointTLRI"/>
      </w:pPr>
      <w:r w:rsidRPr="00113F13">
        <w:t xml:space="preserve">PIPP 1 permits collection where it is necessary </w:t>
      </w:r>
      <w:r w:rsidRPr="00113F13">
        <w:rPr>
          <w:i/>
          <w:iCs/>
        </w:rPr>
        <w:t>per se</w:t>
      </w:r>
      <w:r w:rsidRPr="00113F13">
        <w:t xml:space="preserve">, while APP 3 permits collection where it is </w:t>
      </w:r>
      <w:r w:rsidRPr="00113F13">
        <w:rPr>
          <w:i/>
          <w:iCs/>
        </w:rPr>
        <w:t xml:space="preserve">reasonably </w:t>
      </w:r>
      <w:r w:rsidRPr="00113F13">
        <w:t>necessary. ‘Reasonably necessary’ is also a requirement under the legislation in New South Wales (‘</w:t>
      </w:r>
      <w:r w:rsidRPr="00EA22F8">
        <w:t>NSW’) and the ACT</w:t>
      </w:r>
      <w:r w:rsidRPr="00A060A5">
        <w:t>.</w:t>
      </w:r>
      <w:r w:rsidRPr="00A060A5">
        <w:rPr>
          <w:rStyle w:val="FootnoteReference"/>
          <w:rFonts w:ascii="Times New Roman" w:hAnsi="Times New Roman"/>
        </w:rPr>
        <w:footnoteReference w:id="384"/>
      </w:r>
    </w:p>
    <w:p w14:paraId="64C6A840" w14:textId="77777777" w:rsidR="00FF302D" w:rsidRPr="00113F13" w:rsidRDefault="00FF302D" w:rsidP="00A142A1">
      <w:pPr>
        <w:pStyle w:val="DotPointTLRI"/>
      </w:pPr>
      <w:r w:rsidRPr="00113F13">
        <w:t xml:space="preserve">PIPP 1 mandates collection by lawful means, while APP 3 requires that collection be by lawful and </w:t>
      </w:r>
      <w:r w:rsidRPr="00113F13">
        <w:rPr>
          <w:i/>
          <w:iCs/>
        </w:rPr>
        <w:t>fair</w:t>
      </w:r>
      <w:r w:rsidRPr="00113F13">
        <w:t xml:space="preserve"> means. This is also the approach in Victoria and the Northern Territory.</w:t>
      </w:r>
      <w:r w:rsidRPr="00113F13">
        <w:rPr>
          <w:rStyle w:val="FootnoteReference"/>
          <w:rFonts w:ascii="Times New Roman" w:hAnsi="Times New Roman"/>
        </w:rPr>
        <w:footnoteReference w:id="385"/>
      </w:r>
      <w:r w:rsidRPr="00113F13">
        <w:t xml:space="preserve"> The latter approach may preclude intimidation, deception, or unreasonably intrusive measures—even if they are technically lawful.</w:t>
      </w:r>
      <w:r w:rsidRPr="00113F13">
        <w:rPr>
          <w:rStyle w:val="FootnoteReference"/>
          <w:rFonts w:ascii="Times New Roman" w:hAnsi="Times New Roman"/>
        </w:rPr>
        <w:footnoteReference w:id="386"/>
      </w:r>
    </w:p>
    <w:p w14:paraId="34317D70" w14:textId="643587EB" w:rsidR="00FF302D" w:rsidRPr="00113F13" w:rsidRDefault="00FF302D" w:rsidP="00B63604">
      <w:pPr>
        <w:pStyle w:val="NormalNumberedTextTLRI"/>
        <w:numPr>
          <w:ilvl w:val="2"/>
          <w:numId w:val="31"/>
        </w:numPr>
        <w:tabs>
          <w:tab w:val="clear" w:pos="720"/>
        </w:tabs>
        <w:spacing w:line="259" w:lineRule="auto"/>
      </w:pPr>
      <w:bookmarkStart w:id="383" w:name="_Toc143872295"/>
      <w:r w:rsidRPr="00113F13">
        <w:t>The second scenario in which government agencies and related bodies can collect personal information under the APPs is where the information is</w:t>
      </w:r>
      <w:r w:rsidRPr="00113F13">
        <w:rPr>
          <w:i/>
          <w:iCs/>
        </w:rPr>
        <w:t xml:space="preserve"> directly related to</w:t>
      </w:r>
      <w:r w:rsidRPr="00113F13">
        <w:t xml:space="preserve"> one or more of the agency’s functions.</w:t>
      </w:r>
      <w:bookmarkStart w:id="384" w:name="_Ref91753014"/>
      <w:r w:rsidRPr="00113F13">
        <w:rPr>
          <w:rStyle w:val="FootnoteReference"/>
          <w:rFonts w:ascii="Times New Roman" w:hAnsi="Times New Roman"/>
        </w:rPr>
        <w:footnoteReference w:id="387"/>
      </w:r>
      <w:bookmarkEnd w:id="384"/>
      <w:r w:rsidRPr="00113F13">
        <w:t xml:space="preserve"> The collection of personal information must similarly be directly related to a function of the public sector agency in NSW and Queensland.</w:t>
      </w:r>
      <w:r w:rsidRPr="00113F13">
        <w:rPr>
          <w:rStyle w:val="FootnoteReference"/>
          <w:rFonts w:ascii="Times New Roman" w:hAnsi="Times New Roman"/>
        </w:rPr>
        <w:footnoteReference w:id="388"/>
      </w:r>
      <w:r w:rsidRPr="00113F13">
        <w:t xml:space="preserve"> Guidance from the Office of the Australian Information Commissioner (‘OAIC</w:t>
      </w:r>
      <w:r w:rsidR="00B52803">
        <w:t>’</w:t>
      </w:r>
      <w:r w:rsidRPr="00113F13">
        <w:t>) on APP 3 notes that such functions are identified through reference to the legal instruments which confer or describe the agency’s functions.</w:t>
      </w:r>
      <w:r w:rsidRPr="00113F13">
        <w:rPr>
          <w:rStyle w:val="FootnoteReference"/>
          <w:rFonts w:ascii="Times New Roman" w:hAnsi="Times New Roman"/>
        </w:rPr>
        <w:footnoteReference w:id="389"/>
      </w:r>
      <w:r w:rsidRPr="00113F13">
        <w:t xml:space="preserve"> According to the OAIC, ‘the activities of an agency will be related to its functions’ and can include incidental and support activities,</w:t>
      </w:r>
      <w:bookmarkEnd w:id="380"/>
      <w:r w:rsidRPr="00113F13">
        <w:t xml:space="preserve"> such as human resources and public relations activities.</w:t>
      </w:r>
      <w:r w:rsidRPr="00113F13">
        <w:rPr>
          <w:rStyle w:val="FootnoteReference"/>
          <w:rFonts w:ascii="Times New Roman" w:hAnsi="Times New Roman"/>
        </w:rPr>
        <w:footnoteReference w:id="390"/>
      </w:r>
      <w:bookmarkEnd w:id="383"/>
    </w:p>
    <w:p w14:paraId="69A5F186" w14:textId="77777777" w:rsidR="00FF302D" w:rsidRPr="00113F13" w:rsidRDefault="00FF302D" w:rsidP="00B63604">
      <w:pPr>
        <w:pStyle w:val="NormalNumberedTextTLRI"/>
        <w:numPr>
          <w:ilvl w:val="2"/>
          <w:numId w:val="31"/>
        </w:numPr>
        <w:tabs>
          <w:tab w:val="clear" w:pos="720"/>
        </w:tabs>
        <w:spacing w:line="259" w:lineRule="auto"/>
      </w:pPr>
      <w:bookmarkStart w:id="385" w:name="_Toc143872296"/>
      <w:r w:rsidRPr="00113F13">
        <w:t>APP entities that are (private) organisations</w:t>
      </w:r>
      <w:r w:rsidRPr="00113F13">
        <w:rPr>
          <w:rStyle w:val="FootnoteReference"/>
          <w:rFonts w:ascii="Times New Roman" w:hAnsi="Times New Roman"/>
        </w:rPr>
        <w:footnoteReference w:id="391"/>
      </w:r>
      <w:r w:rsidRPr="00113F13">
        <w:t xml:space="preserve"> are more restricted than agencies: they can only collect personal information where it is reasonably necessary for one or more of their functions are activities.</w:t>
      </w:r>
      <w:r w:rsidRPr="00113F13">
        <w:rPr>
          <w:rStyle w:val="FootnoteReference"/>
          <w:rFonts w:ascii="Times New Roman" w:hAnsi="Times New Roman"/>
        </w:rPr>
        <w:footnoteReference w:id="392"/>
      </w:r>
      <w:bookmarkEnd w:id="385"/>
    </w:p>
    <w:p w14:paraId="1E2F9898" w14:textId="77777777" w:rsidR="00FF302D" w:rsidRPr="00113F13" w:rsidRDefault="00FF302D" w:rsidP="00B63604">
      <w:pPr>
        <w:pStyle w:val="NormalNumberedTextTLRI"/>
        <w:numPr>
          <w:ilvl w:val="2"/>
          <w:numId w:val="31"/>
        </w:numPr>
        <w:tabs>
          <w:tab w:val="clear" w:pos="720"/>
        </w:tabs>
        <w:spacing w:line="259" w:lineRule="auto"/>
      </w:pPr>
      <w:bookmarkStart w:id="386" w:name="_Toc143872297"/>
      <w:r w:rsidRPr="00113F13">
        <w:t>APP 5 imposes a similar notification of collection requirement to the requirement in PIPP 1. It requires that reasonable steps (if any) must be taken to give notice of the collection of personal information at or before the time of collection or, if that is not practicable, as soon as is practicable after collection.</w:t>
      </w:r>
      <w:r w:rsidRPr="00113F13">
        <w:rPr>
          <w:rStyle w:val="FootnoteReference"/>
          <w:rFonts w:ascii="Times New Roman" w:hAnsi="Times New Roman"/>
        </w:rPr>
        <w:footnoteReference w:id="393"/>
      </w:r>
      <w:bookmarkEnd w:id="386"/>
      <w:r w:rsidRPr="00113F13">
        <w:t xml:space="preserve"> This is also the approach in other jurisdictions.</w:t>
      </w:r>
      <w:r w:rsidRPr="00113F13">
        <w:rPr>
          <w:rStyle w:val="FootnoteReference"/>
          <w:rFonts w:ascii="Times New Roman" w:hAnsi="Times New Roman"/>
        </w:rPr>
        <w:footnoteReference w:id="394"/>
      </w:r>
      <w:r w:rsidRPr="00113F13">
        <w:t xml:space="preserve"> </w:t>
      </w:r>
    </w:p>
    <w:p w14:paraId="22FDBCD0" w14:textId="4E1DB6F3" w:rsidR="00FF302D" w:rsidRPr="00113F13" w:rsidRDefault="00FF302D" w:rsidP="00B63604">
      <w:pPr>
        <w:pStyle w:val="NormalNumberedTextTLRI"/>
        <w:numPr>
          <w:ilvl w:val="2"/>
          <w:numId w:val="31"/>
        </w:numPr>
        <w:tabs>
          <w:tab w:val="clear" w:pos="720"/>
        </w:tabs>
        <w:spacing w:line="259" w:lineRule="auto"/>
      </w:pPr>
      <w:bookmarkStart w:id="387" w:name="_Toc91536537"/>
      <w:bookmarkStart w:id="388" w:name="_Toc143872298"/>
      <w:bookmarkEnd w:id="387"/>
      <w:r w:rsidRPr="00113F13">
        <w:lastRenderedPageBreak/>
        <w:t>Unlike PIPP 1, APP 5 requires entities to disclose who else may have access to the information once it is collected, including overseas recipients, and to disclose that their privacy policy contains information about how to complain about a breach of the privacy principles.</w:t>
      </w:r>
      <w:r w:rsidRPr="00113F13">
        <w:rPr>
          <w:rStyle w:val="FootnoteReference"/>
          <w:rFonts w:ascii="Times New Roman" w:hAnsi="Times New Roman"/>
        </w:rPr>
        <w:footnoteReference w:id="395"/>
      </w:r>
      <w:bookmarkEnd w:id="388"/>
    </w:p>
    <w:p w14:paraId="7B4136E0" w14:textId="77777777" w:rsidR="00FF302D" w:rsidRPr="00113F13" w:rsidRDefault="00FF302D" w:rsidP="00B63604">
      <w:pPr>
        <w:pStyle w:val="NormalNumberedTextTLRI"/>
        <w:numPr>
          <w:ilvl w:val="2"/>
          <w:numId w:val="31"/>
        </w:numPr>
        <w:tabs>
          <w:tab w:val="clear" w:pos="720"/>
        </w:tabs>
        <w:spacing w:line="259" w:lineRule="auto"/>
      </w:pPr>
      <w:bookmarkStart w:id="389" w:name="_Toc143872299"/>
      <w:r w:rsidRPr="00113F13">
        <w:t>Much like PIPP 1, APP 3 requires information to be collected from the individual, unless it is unreasonable or impracticable to do so.</w:t>
      </w:r>
      <w:r w:rsidRPr="00113F13">
        <w:rPr>
          <w:rStyle w:val="FootnoteReference"/>
          <w:rFonts w:ascii="Times New Roman" w:hAnsi="Times New Roman"/>
        </w:rPr>
        <w:footnoteReference w:id="396"/>
      </w:r>
      <w:r w:rsidRPr="00113F13">
        <w:t xml:space="preserve"> APP 3 provides two additional situations where a public agency may collect information about an individual from someone else, regardless of whether collection from the individual is reasonable or practicable: where the individual concerned has consented, or where the entity is required by law to do so.</w:t>
      </w:r>
      <w:r w:rsidRPr="00113F13">
        <w:rPr>
          <w:rStyle w:val="FootnoteReference"/>
          <w:rFonts w:ascii="Times New Roman" w:hAnsi="Times New Roman"/>
        </w:rPr>
        <w:footnoteReference w:id="397"/>
      </w:r>
      <w:bookmarkEnd w:id="389"/>
      <w:r w:rsidRPr="00113F13">
        <w:t xml:space="preserve"> Unlike the PIPA, the Privacy Act does not create a general exception to collection requirements in relation to law enforcement information collected by law enforcement agencies,</w:t>
      </w:r>
      <w:r w:rsidRPr="00113F13">
        <w:rPr>
          <w:rStyle w:val="FootnoteReference"/>
          <w:rFonts w:ascii="Times New Roman" w:hAnsi="Times New Roman"/>
        </w:rPr>
        <w:footnoteReference w:id="398"/>
      </w:r>
      <w:r w:rsidRPr="00113F13">
        <w:t xml:space="preserve"> except for sensitive information (described below).</w:t>
      </w:r>
    </w:p>
    <w:p w14:paraId="0FE31BE0" w14:textId="77777777" w:rsidR="00FF302D" w:rsidRPr="00113F13" w:rsidRDefault="00FF302D" w:rsidP="00A142A1">
      <w:pPr>
        <w:pStyle w:val="Sub-HeadingTLRI"/>
      </w:pPr>
      <w:bookmarkStart w:id="390" w:name="_Toc164606595"/>
      <w:r w:rsidRPr="00113F13">
        <w:t>Collection of sensitive information (including health information)</w:t>
      </w:r>
      <w:bookmarkEnd w:id="390"/>
    </w:p>
    <w:p w14:paraId="16B11474" w14:textId="098F7F88" w:rsidR="00FF302D" w:rsidRPr="00113F13" w:rsidRDefault="00FF302D" w:rsidP="00B63604">
      <w:pPr>
        <w:pStyle w:val="NormalNumberedTextTLRI"/>
        <w:numPr>
          <w:ilvl w:val="2"/>
          <w:numId w:val="31"/>
        </w:numPr>
        <w:tabs>
          <w:tab w:val="clear" w:pos="720"/>
        </w:tabs>
        <w:spacing w:line="259" w:lineRule="auto"/>
      </w:pPr>
      <w:bookmarkStart w:id="391" w:name="_Toc143872301"/>
      <w:r w:rsidRPr="00113F13">
        <w:t>Like PIPP 10, APP 3 in the Privacy Act prohibits the collection of sensitive information except in specified circumstances, including where the individual consents, where collection is required or permitted by law and where collection is necessary in relation to a serious or imminent threat, among others.</w:t>
      </w:r>
      <w:r w:rsidRPr="00113F13">
        <w:rPr>
          <w:rStyle w:val="FootnoteReference"/>
          <w:rFonts w:ascii="Times New Roman" w:hAnsi="Times New Roman"/>
        </w:rPr>
        <w:footnoteReference w:id="399"/>
      </w:r>
      <w:r w:rsidRPr="00113F13">
        <w:t xml:space="preserve"> These restrictions do not apply to APP entities that are enforcement </w:t>
      </w:r>
      <w:r w:rsidRPr="00076C1B">
        <w:t>bodies (</w:t>
      </w:r>
      <w:r w:rsidRPr="00EA22F8">
        <w:t>see [</w:t>
      </w:r>
      <w:r w:rsidR="00076C1B">
        <w:fldChar w:fldCharType="begin"/>
      </w:r>
      <w:r w:rsidR="00076C1B" w:rsidRPr="00EA22F8">
        <w:instrText xml:space="preserve"> REF _Ref164776956 \r \h </w:instrText>
      </w:r>
      <w:r w:rsidR="00076C1B">
        <w:instrText xml:space="preserve"> \* MERGEFORMAT </w:instrText>
      </w:r>
      <w:r w:rsidR="00076C1B">
        <w:fldChar w:fldCharType="separate"/>
      </w:r>
      <w:r w:rsidR="00462C30">
        <w:rPr>
          <w:cs/>
        </w:rPr>
        <w:t>‎</w:t>
      </w:r>
      <w:r w:rsidR="00462C30">
        <w:t>4.12.11</w:t>
      </w:r>
      <w:r w:rsidR="00076C1B">
        <w:fldChar w:fldCharType="end"/>
      </w:r>
      <w:r w:rsidRPr="00EA22F8">
        <w:t>]</w:t>
      </w:r>
      <w:r w:rsidRPr="00076C1B">
        <w:t>),</w:t>
      </w:r>
      <w:r w:rsidRPr="00113F13">
        <w:t xml:space="preserve"> where the entity reasonably believes collection is reasonably necessary for, or directly related to, one or more of the entity’s functions or activities.</w:t>
      </w:r>
      <w:bookmarkEnd w:id="391"/>
      <w:r w:rsidRPr="00113F13">
        <w:rPr>
          <w:rStyle w:val="FootnoteReference"/>
          <w:rFonts w:ascii="Times New Roman" w:hAnsi="Times New Roman"/>
        </w:rPr>
        <w:footnoteReference w:id="400"/>
      </w:r>
    </w:p>
    <w:p w14:paraId="226A62D6" w14:textId="77777777" w:rsidR="00FF302D" w:rsidRPr="00113F13" w:rsidRDefault="00FF302D" w:rsidP="00B63604">
      <w:pPr>
        <w:pStyle w:val="NormalNumberedTextTLRI"/>
        <w:numPr>
          <w:ilvl w:val="2"/>
          <w:numId w:val="31"/>
        </w:numPr>
        <w:tabs>
          <w:tab w:val="clear" w:pos="720"/>
        </w:tabs>
        <w:spacing w:line="259" w:lineRule="auto"/>
      </w:pPr>
      <w:bookmarkStart w:id="392" w:name="_Toc143872302"/>
      <w:bookmarkStart w:id="393" w:name="_Ref161824658"/>
      <w:r w:rsidRPr="00113F13">
        <w:t>There are some differences between PIPP 10 and APP 3 in the nature of exceptions to the general prohibition on the collection of sensitive information</w:t>
      </w:r>
      <w:bookmarkEnd w:id="392"/>
      <w:r w:rsidRPr="00113F13">
        <w:t>. Notably, APP 3 permits sensitive information to be collected for the purpose of a confidential alternative dispute resolution process.</w:t>
      </w:r>
      <w:r w:rsidRPr="00113F13">
        <w:rPr>
          <w:rStyle w:val="FootnoteReference"/>
          <w:rFonts w:ascii="Times New Roman" w:hAnsi="Times New Roman"/>
        </w:rPr>
        <w:footnoteReference w:id="401"/>
      </w:r>
      <w:r w:rsidRPr="00113F13">
        <w:t xml:space="preserve"> No equivalent exception appears in the PIPA’s principles.</w:t>
      </w:r>
      <w:bookmarkEnd w:id="393"/>
    </w:p>
    <w:p w14:paraId="665E6429" w14:textId="16DBEE59" w:rsidR="00FF302D" w:rsidRPr="00113F13" w:rsidRDefault="00FF302D" w:rsidP="00B63604">
      <w:pPr>
        <w:pStyle w:val="NormalNumberedTextTLRI"/>
        <w:numPr>
          <w:ilvl w:val="2"/>
          <w:numId w:val="31"/>
        </w:numPr>
        <w:tabs>
          <w:tab w:val="clear" w:pos="720"/>
        </w:tabs>
        <w:spacing w:line="259" w:lineRule="auto"/>
      </w:pPr>
      <w:bookmarkStart w:id="394" w:name="_Toc143872303"/>
      <w:r w:rsidRPr="00113F13">
        <w:t>The Privacy Act contains exceptions to the APPs relating to the provision of a health service which are broadly similar to those found in PIPP 10. At the Commonwealth level, the rules apply to sensitive information collected by APP entities that are organisations;</w:t>
      </w:r>
      <w:r w:rsidR="00977483">
        <w:t xml:space="preserve"> </w:t>
      </w:r>
      <w:r w:rsidRPr="00113F13">
        <w:t xml:space="preserve">that is, private </w:t>
      </w:r>
      <w:r w:rsidRPr="008236EE">
        <w:t xml:space="preserve">bodies </w:t>
      </w:r>
      <w:r w:rsidRPr="00EA22F8">
        <w:t>(see [</w:t>
      </w:r>
      <w:r w:rsidR="008236EE">
        <w:fldChar w:fldCharType="begin"/>
      </w:r>
      <w:r w:rsidR="008236EE" w:rsidRPr="00EA22F8">
        <w:instrText xml:space="preserve"> REF _Ref164777427 \r \h </w:instrText>
      </w:r>
      <w:r w:rsidR="008236EE">
        <w:instrText xml:space="preserve"> \* MERGEFORMAT </w:instrText>
      </w:r>
      <w:r w:rsidR="008236EE">
        <w:fldChar w:fldCharType="separate"/>
      </w:r>
      <w:r w:rsidR="00462C30">
        <w:rPr>
          <w:cs/>
        </w:rPr>
        <w:t>‎</w:t>
      </w:r>
      <w:r w:rsidR="00462C30">
        <w:t>3.2.8</w:t>
      </w:r>
      <w:r w:rsidR="008236EE">
        <w:fldChar w:fldCharType="end"/>
      </w:r>
      <w:r w:rsidRPr="00EA22F8">
        <w:t>]</w:t>
      </w:r>
      <w:r w:rsidRPr="008236EE">
        <w:t xml:space="preserve"> f</w:t>
      </w:r>
      <w:r w:rsidRPr="00113F13">
        <w:t>or an explanation of the distinction between organisations and agencies). Collection by agencies is not addressed in the Act, because the Act only applies to private sector health service providers and not to State and Territory public health service providers.</w:t>
      </w:r>
      <w:r w:rsidRPr="00113F13">
        <w:rPr>
          <w:rStyle w:val="FootnoteReference"/>
          <w:rFonts w:ascii="Times New Roman" w:hAnsi="Times New Roman"/>
        </w:rPr>
        <w:footnoteReference w:id="402"/>
      </w:r>
      <w:bookmarkEnd w:id="394"/>
    </w:p>
    <w:p w14:paraId="4E35707B" w14:textId="77777777" w:rsidR="00FF302D" w:rsidRPr="00113F13" w:rsidRDefault="00FF302D" w:rsidP="00B63604">
      <w:pPr>
        <w:pStyle w:val="NormalNumberedTextTLRI"/>
        <w:numPr>
          <w:ilvl w:val="2"/>
          <w:numId w:val="31"/>
        </w:numPr>
        <w:tabs>
          <w:tab w:val="clear" w:pos="720"/>
        </w:tabs>
        <w:spacing w:line="259" w:lineRule="auto"/>
      </w:pPr>
      <w:bookmarkStart w:id="395" w:name="_Toc143872304"/>
      <w:r w:rsidRPr="00113F13">
        <w:lastRenderedPageBreak/>
        <w:t>The Privacy Act permits organisations to collect health information without consent in ‘permitted health situations’, meaning:</w:t>
      </w:r>
      <w:bookmarkEnd w:id="395"/>
    </w:p>
    <w:p w14:paraId="7328F4A0" w14:textId="77777777" w:rsidR="00FF302D" w:rsidRPr="00113F13" w:rsidRDefault="00FF302D" w:rsidP="00A142A1">
      <w:pPr>
        <w:pStyle w:val="DotPointTLRI"/>
      </w:pPr>
      <w:r w:rsidRPr="00113F13">
        <w:t>where the information is necessary to provide a health service, and either the collection is required or authorised under Australian law, or the collection is in accordance with rules of competent health or medical bodies that deal with obligations of professional confidentiality;</w:t>
      </w:r>
      <w:r w:rsidRPr="00113F13">
        <w:rPr>
          <w:rStyle w:val="FootnoteReference"/>
          <w:rFonts w:ascii="Times New Roman" w:hAnsi="Times New Roman"/>
        </w:rPr>
        <w:footnoteReference w:id="403"/>
      </w:r>
      <w:r w:rsidRPr="00113F13">
        <w:t xml:space="preserve"> and</w:t>
      </w:r>
    </w:p>
    <w:p w14:paraId="053D8515" w14:textId="77777777" w:rsidR="00FF302D" w:rsidRPr="00113F13" w:rsidRDefault="00FF302D" w:rsidP="00A142A1">
      <w:pPr>
        <w:pStyle w:val="DotPointTLRI"/>
      </w:pPr>
      <w:r w:rsidRPr="00113F13">
        <w:t>where the information is about a third party and is part of ‘the family, social or medical history’ of a patient, where the collection of that history is necessary for the organisation to provide a health service to the patient and it is collected either from the patient or (if the patient cannot give the information) a responsible person.</w:t>
      </w:r>
      <w:r w:rsidRPr="00113F13">
        <w:rPr>
          <w:rStyle w:val="FootnoteReference"/>
          <w:rFonts w:ascii="Times New Roman" w:hAnsi="Times New Roman"/>
        </w:rPr>
        <w:footnoteReference w:id="404"/>
      </w:r>
    </w:p>
    <w:p w14:paraId="242719EC" w14:textId="77777777" w:rsidR="00FF302D" w:rsidRPr="00113F13" w:rsidRDefault="00FF302D" w:rsidP="00B63604">
      <w:pPr>
        <w:pStyle w:val="NormalNumberedTextTLRI"/>
        <w:numPr>
          <w:ilvl w:val="2"/>
          <w:numId w:val="31"/>
        </w:numPr>
        <w:tabs>
          <w:tab w:val="clear" w:pos="720"/>
        </w:tabs>
        <w:spacing w:line="259" w:lineRule="auto"/>
      </w:pPr>
      <w:bookmarkStart w:id="396" w:name="_Toc143872305"/>
      <w:r w:rsidRPr="00113F13">
        <w:t>The Privacy Act also permits both agencies and organisations to collect health information without consent for research purposes. Agencies may act in a manner that would otherwise breach an APP, if it is in the course of medical research and in accordance with privacy guidelines issued by the Chief Executive Officer (‘CEO’) of the National Health and Medical Research Council (‘NHMRC’) with approval of the Information Commissioner.</w:t>
      </w:r>
      <w:r w:rsidRPr="00113F13">
        <w:rPr>
          <w:rStyle w:val="FootnoteReference"/>
          <w:rFonts w:ascii="Times New Roman" w:hAnsi="Times New Roman"/>
        </w:rPr>
        <w:footnoteReference w:id="405"/>
      </w:r>
      <w:bookmarkStart w:id="397" w:name="_Toc143872306"/>
      <w:bookmarkEnd w:id="396"/>
      <w:r w:rsidRPr="00113F13">
        <w:t xml:space="preserve"> By contrast, organisations may collect health information about an individual without consent if:</w:t>
      </w:r>
      <w:bookmarkEnd w:id="397"/>
    </w:p>
    <w:p w14:paraId="0B1A3B6B" w14:textId="77777777" w:rsidR="00FF302D" w:rsidRPr="00113F13" w:rsidRDefault="00FF302D" w:rsidP="00A142A1">
      <w:pPr>
        <w:pStyle w:val="DotPointTLRI"/>
      </w:pPr>
      <w:r w:rsidRPr="00113F13">
        <w:t>the information is necessary for research or the compilation or analysis of statistics relevant to public health or public safety, or the management, funding or monitoring of a health service;</w:t>
      </w:r>
    </w:p>
    <w:p w14:paraId="086632B2" w14:textId="77777777" w:rsidR="00FF302D" w:rsidRPr="00113F13" w:rsidRDefault="00FF302D" w:rsidP="00A142A1">
      <w:pPr>
        <w:pStyle w:val="DotPointTLRI"/>
      </w:pPr>
      <w:r w:rsidRPr="00113F13">
        <w:t>the purpose cannot be served by collection of de-identified information;</w:t>
      </w:r>
    </w:p>
    <w:p w14:paraId="53B37A54" w14:textId="77777777" w:rsidR="00FF302D" w:rsidRPr="00113F13" w:rsidRDefault="00FF302D" w:rsidP="00A142A1">
      <w:pPr>
        <w:pStyle w:val="DotPointTLRI"/>
      </w:pPr>
      <w:r w:rsidRPr="00113F13">
        <w:t>it is impracticable to obtain the individual’s consent; and</w:t>
      </w:r>
    </w:p>
    <w:p w14:paraId="2768D40A" w14:textId="77777777" w:rsidR="00FF302D" w:rsidRPr="00113F13" w:rsidRDefault="00FF302D" w:rsidP="00A142A1">
      <w:pPr>
        <w:pStyle w:val="DotPointTLRI"/>
      </w:pPr>
      <w:r w:rsidRPr="00113F13">
        <w:t>the collection is either required by or under law (other than the Privacy Act), is in accordance with rules established by a competent health or medical body, or is collected in accordance with guidelines issued by the NHMRC CEO or a prescribed authority.</w:t>
      </w:r>
      <w:r w:rsidRPr="00113F13">
        <w:rPr>
          <w:rStyle w:val="FootnoteReference"/>
          <w:rFonts w:ascii="Times New Roman" w:hAnsi="Times New Roman"/>
        </w:rPr>
        <w:footnoteReference w:id="406"/>
      </w:r>
    </w:p>
    <w:p w14:paraId="7B9B5035" w14:textId="77777777" w:rsidR="00FF302D" w:rsidRPr="00113F13" w:rsidRDefault="00FF302D" w:rsidP="00A142A1">
      <w:pPr>
        <w:pStyle w:val="Sub-HeadingTLRI"/>
      </w:pPr>
      <w:bookmarkStart w:id="398" w:name="_Toc164606596"/>
      <w:r w:rsidRPr="00113F13">
        <w:t>Collection of unsolicited information</w:t>
      </w:r>
      <w:bookmarkEnd w:id="398"/>
    </w:p>
    <w:p w14:paraId="404D6DE8" w14:textId="1CF28BB7" w:rsidR="007E3389" w:rsidRDefault="00FF302D" w:rsidP="00FD59B2">
      <w:pPr>
        <w:pStyle w:val="NormalNumberedTextTLRI"/>
        <w:numPr>
          <w:ilvl w:val="2"/>
          <w:numId w:val="31"/>
        </w:numPr>
        <w:tabs>
          <w:tab w:val="clear" w:pos="720"/>
        </w:tabs>
        <w:spacing w:line="259" w:lineRule="auto"/>
      </w:pPr>
      <w:bookmarkStart w:id="399" w:name="_Toc143872307"/>
      <w:r w:rsidRPr="00113F13">
        <w:t xml:space="preserve">In the Privacy Act, APP 4 addresses circumstances where an entity receives personal information that it did not request. In this situation, the entity must determine within a reasonable period whether it </w:t>
      </w:r>
      <w:r w:rsidRPr="00113F13">
        <w:rPr>
          <w:i/>
          <w:iCs/>
        </w:rPr>
        <w:t>could</w:t>
      </w:r>
      <w:r w:rsidRPr="00113F13">
        <w:t xml:space="preserve"> </w:t>
      </w:r>
      <w:r w:rsidRPr="00113F13">
        <w:rPr>
          <w:i/>
          <w:iCs/>
        </w:rPr>
        <w:t>have</w:t>
      </w:r>
      <w:r w:rsidRPr="00113F13">
        <w:t xml:space="preserve"> collected the information under APP</w:t>
      </w:r>
      <w:r w:rsidR="00E24DA9">
        <w:t> </w:t>
      </w:r>
      <w:r w:rsidRPr="00113F13">
        <w:t>3.</w:t>
      </w:r>
      <w:r w:rsidRPr="00113F13">
        <w:rPr>
          <w:rStyle w:val="FootnoteReference"/>
          <w:rFonts w:ascii="Times New Roman" w:hAnsi="Times New Roman"/>
        </w:rPr>
        <w:footnoteReference w:id="407"/>
      </w:r>
      <w:r w:rsidRPr="00113F13">
        <w:t xml:space="preserve"> If the entity would not have been permitted to collect the information, then the information must be destroyed or de-identified as soon as practicable, but only if it is lawful and reasonable to do so.</w:t>
      </w:r>
      <w:r w:rsidRPr="00113F13">
        <w:rPr>
          <w:rStyle w:val="FootnoteReference"/>
          <w:rFonts w:ascii="Times New Roman" w:hAnsi="Times New Roman"/>
        </w:rPr>
        <w:footnoteReference w:id="408"/>
      </w:r>
      <w:r w:rsidRPr="00113F13">
        <w:t xml:space="preserve"> If the collection of the information is permissible, then the other APPs will apply, including obligations to notify the individual concerned.</w:t>
      </w:r>
      <w:r w:rsidRPr="00113F13">
        <w:rPr>
          <w:rStyle w:val="FootnoteReference"/>
          <w:rFonts w:ascii="Times New Roman" w:hAnsi="Times New Roman"/>
        </w:rPr>
        <w:footnoteReference w:id="409"/>
      </w:r>
      <w:bookmarkEnd w:id="399"/>
      <w:r w:rsidRPr="00113F13">
        <w:t xml:space="preserve"> </w:t>
      </w:r>
      <w:bookmarkStart w:id="400" w:name="_Toc91536559"/>
      <w:bookmarkStart w:id="401" w:name="_Toc91536560"/>
      <w:bookmarkStart w:id="402" w:name="_Toc164606597"/>
      <w:bookmarkEnd w:id="400"/>
      <w:bookmarkEnd w:id="401"/>
    </w:p>
    <w:p w14:paraId="4E70B766" w14:textId="77777777" w:rsidR="00E33866" w:rsidRDefault="00E33866" w:rsidP="00A142A1">
      <w:pPr>
        <w:pStyle w:val="Sub-HeadingTLRI"/>
      </w:pPr>
    </w:p>
    <w:p w14:paraId="77591402" w14:textId="77777777" w:rsidR="00E33866" w:rsidRDefault="00E33866" w:rsidP="00A142A1">
      <w:pPr>
        <w:pStyle w:val="Sub-HeadingTLRI"/>
      </w:pPr>
    </w:p>
    <w:p w14:paraId="726B0F4D" w14:textId="5538992C" w:rsidR="00FF302D" w:rsidRPr="00113F13" w:rsidRDefault="00FF302D" w:rsidP="00A142A1">
      <w:pPr>
        <w:pStyle w:val="Sub-HeadingTLRI"/>
      </w:pPr>
      <w:r w:rsidRPr="00113F13">
        <w:lastRenderedPageBreak/>
        <w:t>Use and disclosure of personal information (including sensitive information)</w:t>
      </w:r>
      <w:bookmarkEnd w:id="402"/>
    </w:p>
    <w:p w14:paraId="103702F3" w14:textId="77777777" w:rsidR="00FF302D" w:rsidRPr="00113F13" w:rsidRDefault="00FF302D" w:rsidP="00B63604">
      <w:pPr>
        <w:pStyle w:val="NormalNumberedTextTLRI"/>
        <w:numPr>
          <w:ilvl w:val="2"/>
          <w:numId w:val="31"/>
        </w:numPr>
        <w:tabs>
          <w:tab w:val="clear" w:pos="720"/>
        </w:tabs>
        <w:spacing w:line="259" w:lineRule="auto"/>
      </w:pPr>
      <w:bookmarkStart w:id="403" w:name="_Toc143872308"/>
      <w:r w:rsidRPr="00113F13">
        <w:t>Under Commonwealth law, APP 6 generally restricts the use or disclosure of personal information to circumstances where such use or disclosure is for the primary purpose for which it was collected.</w:t>
      </w:r>
      <w:bookmarkEnd w:id="403"/>
      <w:r w:rsidRPr="00113F13">
        <w:rPr>
          <w:rStyle w:val="FootnoteReference"/>
          <w:rFonts w:ascii="Times New Roman" w:hAnsi="Times New Roman"/>
        </w:rPr>
        <w:footnoteReference w:id="410"/>
      </w:r>
    </w:p>
    <w:p w14:paraId="2978CF10" w14:textId="77777777" w:rsidR="00FF302D" w:rsidRPr="00113F13" w:rsidRDefault="00FF302D" w:rsidP="00B63604">
      <w:pPr>
        <w:pStyle w:val="NormalNumberedTextTLRI"/>
        <w:numPr>
          <w:ilvl w:val="2"/>
          <w:numId w:val="31"/>
        </w:numPr>
        <w:tabs>
          <w:tab w:val="clear" w:pos="720"/>
        </w:tabs>
        <w:spacing w:line="259" w:lineRule="auto"/>
      </w:pPr>
      <w:bookmarkStart w:id="404" w:name="_Toc143872312"/>
      <w:r w:rsidRPr="00113F13">
        <w:t>APP 6 creates a range of exceptions whereby personal information can be used or disclosed for a secondary purpose. Many are similar to those found in the PIPA and the equivalent privacy principles in other jurisdictions.</w:t>
      </w:r>
      <w:r w:rsidRPr="00113F13">
        <w:rPr>
          <w:rStyle w:val="FootnoteReference"/>
          <w:rFonts w:ascii="Times New Roman" w:hAnsi="Times New Roman"/>
        </w:rPr>
        <w:footnoteReference w:id="411"/>
      </w:r>
      <w:r w:rsidRPr="00113F13">
        <w:t xml:space="preserve"> These include:</w:t>
      </w:r>
      <w:bookmarkEnd w:id="404"/>
    </w:p>
    <w:p w14:paraId="1AAC67CA" w14:textId="77777777" w:rsidR="00FF302D" w:rsidRPr="00113F13" w:rsidRDefault="00FF302D" w:rsidP="00A142A1">
      <w:pPr>
        <w:pStyle w:val="DotPointTLRI"/>
      </w:pPr>
      <w:r w:rsidRPr="00113F13">
        <w:t>use or disclosure to which the individual has consented;</w:t>
      </w:r>
      <w:r w:rsidRPr="00113F13">
        <w:rPr>
          <w:rStyle w:val="FootnoteReference"/>
          <w:rFonts w:ascii="Times New Roman" w:hAnsi="Times New Roman"/>
        </w:rPr>
        <w:footnoteReference w:id="412"/>
      </w:r>
    </w:p>
    <w:p w14:paraId="63167517" w14:textId="77777777" w:rsidR="00FF302D" w:rsidRPr="00113F13" w:rsidRDefault="00FF302D" w:rsidP="00A142A1">
      <w:pPr>
        <w:pStyle w:val="DotPointTLRI"/>
      </w:pPr>
      <w:r w:rsidRPr="00113F13">
        <w:t>use or disclosure for a secondary purpose ‘related’ to the primary purpose (or ‘directly related’ to the primary purpose, if it is sensitive information), where the individual would reasonably expect use or disclosure for the secondary purpose;</w:t>
      </w:r>
    </w:p>
    <w:p w14:paraId="6F96E2D9" w14:textId="77777777" w:rsidR="00FF302D" w:rsidRPr="00113F13" w:rsidRDefault="00FF302D" w:rsidP="00A142A1">
      <w:pPr>
        <w:pStyle w:val="DotPointTLRI"/>
      </w:pPr>
      <w:r w:rsidRPr="00113F13">
        <w:t>use or disclosure where required or authorised by or under Australian law or a court or tribunal order; and</w:t>
      </w:r>
    </w:p>
    <w:p w14:paraId="0A898377" w14:textId="77777777" w:rsidR="00FF302D" w:rsidRPr="00113F13" w:rsidRDefault="00FF302D" w:rsidP="00A142A1">
      <w:pPr>
        <w:pStyle w:val="DotPointTLRI"/>
      </w:pPr>
      <w:r w:rsidRPr="00113F13">
        <w:t>use or disclosure to enforcement bodies where the holder reasonably believes that it is reasonably necessary for enforcement related activities.</w:t>
      </w:r>
      <w:r w:rsidRPr="00113F13">
        <w:rPr>
          <w:rStyle w:val="FootnoteReference"/>
          <w:rFonts w:ascii="Times New Roman" w:hAnsi="Times New Roman"/>
        </w:rPr>
        <w:footnoteReference w:id="413"/>
      </w:r>
    </w:p>
    <w:p w14:paraId="58851D9B" w14:textId="6E182D32" w:rsidR="00FF302D" w:rsidRPr="00B63F70" w:rsidRDefault="00FF302D" w:rsidP="00B63604">
      <w:pPr>
        <w:pStyle w:val="NormalNumberedTextTLRI"/>
        <w:numPr>
          <w:ilvl w:val="2"/>
          <w:numId w:val="31"/>
        </w:numPr>
        <w:tabs>
          <w:tab w:val="clear" w:pos="720"/>
        </w:tabs>
        <w:spacing w:line="259" w:lineRule="auto"/>
      </w:pPr>
      <w:bookmarkStart w:id="405" w:name="_Toc143872309"/>
      <w:bookmarkStart w:id="406" w:name="_Toc143872313"/>
      <w:r w:rsidRPr="00113F13">
        <w:t xml:space="preserve">Some circumstances identified in the Privacy Act do not have equivalents in the PIPA, or vice versa. For example, the Privacy Act specifies that personal information can be collected, used, or disclosed for a secondary purpose where disclosure is reasonably necessary for a confidential alternative dispute resolution process </w:t>
      </w:r>
      <w:r w:rsidRPr="009975F6">
        <w:t>(s</w:t>
      </w:r>
      <w:r w:rsidRPr="00EA22F8">
        <w:t>ee also [</w:t>
      </w:r>
      <w:r w:rsidR="009975F6">
        <w:fldChar w:fldCharType="begin"/>
      </w:r>
      <w:r w:rsidR="009975F6" w:rsidRPr="00EA22F8">
        <w:instrText xml:space="preserve"> REF _Ref161824658 \r \h </w:instrText>
      </w:r>
      <w:r w:rsidR="009975F6">
        <w:instrText xml:space="preserve"> \* MERGEFORMAT </w:instrText>
      </w:r>
      <w:r w:rsidR="009975F6">
        <w:fldChar w:fldCharType="separate"/>
      </w:r>
      <w:r w:rsidR="00462C30">
        <w:rPr>
          <w:cs/>
        </w:rPr>
        <w:t>‎</w:t>
      </w:r>
      <w:r w:rsidR="00462C30">
        <w:t>5.3.11</w:t>
      </w:r>
      <w:r w:rsidR="009975F6">
        <w:fldChar w:fldCharType="end"/>
      </w:r>
      <w:r w:rsidRPr="00EA22F8">
        <w:t>] abov</w:t>
      </w:r>
      <w:r w:rsidRPr="009975F6">
        <w:t>e</w:t>
      </w:r>
      <w:r w:rsidRPr="00113F13">
        <w:t>).</w:t>
      </w:r>
      <w:r w:rsidRPr="00113F13">
        <w:rPr>
          <w:rStyle w:val="FootnoteReference"/>
          <w:rFonts w:ascii="Times New Roman" w:hAnsi="Times New Roman"/>
        </w:rPr>
        <w:footnoteReference w:id="414"/>
      </w:r>
      <w:r w:rsidRPr="00113F13">
        <w:t xml:space="preserve"> The Privacy Act does not create an exception for the use or disclosure of employee information to assess an individual’s suitability for employment (although organisations are presently exempt from the Privacy Act in relation to employee records: </w:t>
      </w:r>
      <w:r w:rsidRPr="00EA22F8">
        <w:t xml:space="preserve">see the discussion in </w:t>
      </w:r>
      <w:r w:rsidR="00E543AA" w:rsidRPr="00EA22F8">
        <w:t>[</w:t>
      </w:r>
      <w:r w:rsidR="00E543AA" w:rsidRPr="00EA22F8">
        <w:fldChar w:fldCharType="begin"/>
      </w:r>
      <w:r w:rsidR="00E543AA" w:rsidRPr="00EA22F8">
        <w:instrText xml:space="preserve"> REF _Ref164857903 \n \h </w:instrText>
      </w:r>
      <w:r w:rsidR="00B63F70">
        <w:instrText xml:space="preserve"> \* MERGEFORMAT </w:instrText>
      </w:r>
      <w:r w:rsidR="00E543AA" w:rsidRPr="00EA22F8">
        <w:fldChar w:fldCharType="separate"/>
      </w:r>
      <w:r w:rsidR="00462C30">
        <w:rPr>
          <w:cs/>
        </w:rPr>
        <w:t>‎</w:t>
      </w:r>
      <w:r w:rsidR="00462C30">
        <w:t>4.12.23</w:t>
      </w:r>
      <w:r w:rsidR="00E543AA" w:rsidRPr="00EA22F8">
        <w:fldChar w:fldCharType="end"/>
      </w:r>
      <w:r w:rsidR="00E543AA" w:rsidRPr="00B63F70">
        <w:t>] above</w:t>
      </w:r>
      <w:r w:rsidRPr="00B63F70">
        <w:t>).</w:t>
      </w:r>
    </w:p>
    <w:p w14:paraId="05CDB80D" w14:textId="77777777" w:rsidR="00FF302D" w:rsidRPr="00113F13" w:rsidRDefault="00FF302D" w:rsidP="00B63604">
      <w:pPr>
        <w:pStyle w:val="NormalNumberedTextTLRI"/>
        <w:numPr>
          <w:ilvl w:val="2"/>
          <w:numId w:val="31"/>
        </w:numPr>
        <w:tabs>
          <w:tab w:val="clear" w:pos="720"/>
        </w:tabs>
        <w:spacing w:line="259" w:lineRule="auto"/>
      </w:pPr>
      <w:r w:rsidRPr="00113F13">
        <w:t>The Privacy Act, like the PIPA, permits the disclosure of certain information in relation to health and research. First, the Privacy Act permits disclosure of health information about an individual to whom the disclosing organisation is providing a health service, where the recipient of the information is a responsible person for the individual. In this situation, disclosure can be made for a secondary purpose and without the individual’s consent. This only applies where the individual is ‘physically or legally incapable of giving consent’ or ‘physically cannot communicate consent’, where a person involved in providing the health service is satisfied that the disclosure is necessary, or for compassionate reasons, where the disclosure is not contrary to any expressed or known wish of the individual, and where the disclosure is limited to the extent reasonable and necessary.</w:t>
      </w:r>
      <w:r w:rsidRPr="00113F13">
        <w:rPr>
          <w:rStyle w:val="FootnoteReference"/>
          <w:rFonts w:ascii="Times New Roman" w:hAnsi="Times New Roman"/>
        </w:rPr>
        <w:footnoteReference w:id="415"/>
      </w:r>
      <w:bookmarkEnd w:id="405"/>
    </w:p>
    <w:p w14:paraId="401A7E0D" w14:textId="77777777" w:rsidR="00FF302D" w:rsidRPr="00113F13" w:rsidRDefault="00FF302D" w:rsidP="00B63604">
      <w:pPr>
        <w:pStyle w:val="NormalNumberedTextTLRI"/>
        <w:numPr>
          <w:ilvl w:val="2"/>
          <w:numId w:val="31"/>
        </w:numPr>
        <w:tabs>
          <w:tab w:val="clear" w:pos="720"/>
        </w:tabs>
        <w:spacing w:line="259" w:lineRule="auto"/>
      </w:pPr>
      <w:bookmarkStart w:id="407" w:name="_Toc143872310"/>
      <w:r w:rsidRPr="00113F13">
        <w:t>The Privacy Act also permits the use or disclosure of health information by organisations for a secondary purpose and without consent, if:</w:t>
      </w:r>
    </w:p>
    <w:p w14:paraId="53627C75" w14:textId="77777777" w:rsidR="00FF302D" w:rsidRPr="00113F13" w:rsidRDefault="00FF302D" w:rsidP="00A142A1">
      <w:pPr>
        <w:pStyle w:val="DotPointTLRI"/>
      </w:pPr>
      <w:r w:rsidRPr="00113F13">
        <w:lastRenderedPageBreak/>
        <w:t>it is necessary for research or related purposes relevant to public health or safety;</w:t>
      </w:r>
    </w:p>
    <w:p w14:paraId="044D7624" w14:textId="77777777" w:rsidR="00FF302D" w:rsidRPr="00113F13" w:rsidRDefault="00FF302D" w:rsidP="00A142A1">
      <w:pPr>
        <w:pStyle w:val="DotPointTLRI"/>
      </w:pPr>
      <w:r w:rsidRPr="00113F13">
        <w:t>obtaining consent would be impracticable;</w:t>
      </w:r>
    </w:p>
    <w:p w14:paraId="2AB9EA31" w14:textId="77777777" w:rsidR="00FF302D" w:rsidRPr="00113F13" w:rsidRDefault="00FF302D" w:rsidP="00A142A1">
      <w:pPr>
        <w:pStyle w:val="DotPointTLRI"/>
      </w:pPr>
      <w:r w:rsidRPr="00113F13">
        <w:t xml:space="preserve">the use or disclosure is conducted in accordance with guidelines made under the Act; and </w:t>
      </w:r>
    </w:p>
    <w:p w14:paraId="395A2C99" w14:textId="77777777" w:rsidR="00FF302D" w:rsidRPr="00113F13" w:rsidRDefault="00FF302D" w:rsidP="00A142A1">
      <w:pPr>
        <w:pStyle w:val="DotPointTLRI"/>
      </w:pPr>
      <w:r w:rsidRPr="00113F13">
        <w:t>the discloser reasonably believes the recipient of the information will not disclose it or personal information derived from it.</w:t>
      </w:r>
      <w:r w:rsidRPr="00113F13">
        <w:rPr>
          <w:rStyle w:val="FootnoteReference"/>
          <w:rFonts w:ascii="Times New Roman" w:hAnsi="Times New Roman"/>
        </w:rPr>
        <w:footnoteReference w:id="416"/>
      </w:r>
      <w:bookmarkEnd w:id="407"/>
    </w:p>
    <w:p w14:paraId="536DB868" w14:textId="55AC4E8D" w:rsidR="00FF302D" w:rsidRPr="00113F13" w:rsidRDefault="00FF302D" w:rsidP="00B63604">
      <w:pPr>
        <w:pStyle w:val="NormalNumberedTextTLRI"/>
        <w:numPr>
          <w:ilvl w:val="2"/>
          <w:numId w:val="31"/>
        </w:numPr>
        <w:tabs>
          <w:tab w:val="clear" w:pos="720"/>
        </w:tabs>
        <w:spacing w:line="259" w:lineRule="auto"/>
      </w:pPr>
      <w:bookmarkStart w:id="408" w:name="_Toc143872311"/>
      <w:r w:rsidRPr="00113F13">
        <w:t xml:space="preserve">This is narrower than the equivalent PIPA provision, which permits the use and disclosure of personal information for a secondary purpose where that purpose is research and statistical analysis in the public interest </w:t>
      </w:r>
      <w:r w:rsidRPr="00786966">
        <w:t xml:space="preserve">generally </w:t>
      </w:r>
      <w:r w:rsidRPr="00EA22F8">
        <w:t>(see [</w:t>
      </w:r>
      <w:r w:rsidR="00786966" w:rsidRPr="00786966">
        <w:fldChar w:fldCharType="begin"/>
      </w:r>
      <w:r w:rsidR="00786966" w:rsidRPr="00786966">
        <w:instrText xml:space="preserve"> REF _Ref164777633 \r \h </w:instrText>
      </w:r>
      <w:r w:rsidR="00786966">
        <w:instrText xml:space="preserve"> \* MERGEFORMAT </w:instrText>
      </w:r>
      <w:r w:rsidR="00786966" w:rsidRPr="00786966">
        <w:fldChar w:fldCharType="separate"/>
      </w:r>
      <w:r w:rsidR="00462C30">
        <w:rPr>
          <w:cs/>
        </w:rPr>
        <w:t>‎</w:t>
      </w:r>
      <w:r w:rsidR="00462C30">
        <w:t>5.2.13</w:t>
      </w:r>
      <w:r w:rsidR="00786966" w:rsidRPr="00786966">
        <w:fldChar w:fldCharType="end"/>
      </w:r>
      <w:r w:rsidRPr="00EA22F8">
        <w:t>] above);</w:t>
      </w:r>
      <w:r w:rsidRPr="00113F13">
        <w:t xml:space="preserve"> the Commonwealth law instead makes special provision for the use and disclosure of health information for research or analysis relevant to public health or safety. Exemptions in relation to research also exist in other jurisdictions.</w:t>
      </w:r>
      <w:r w:rsidRPr="00113F13">
        <w:rPr>
          <w:rStyle w:val="FootnoteReference"/>
          <w:rFonts w:ascii="Times New Roman" w:hAnsi="Times New Roman"/>
        </w:rPr>
        <w:footnoteReference w:id="417"/>
      </w:r>
    </w:p>
    <w:p w14:paraId="33484AEB" w14:textId="77777777" w:rsidR="00FF302D" w:rsidRPr="00113F13" w:rsidRDefault="00FF302D" w:rsidP="00B63604">
      <w:pPr>
        <w:pStyle w:val="NormalNumberedTextTLRI"/>
        <w:numPr>
          <w:ilvl w:val="2"/>
          <w:numId w:val="31"/>
        </w:numPr>
        <w:tabs>
          <w:tab w:val="clear" w:pos="720"/>
        </w:tabs>
        <w:spacing w:line="259" w:lineRule="auto"/>
      </w:pPr>
      <w:r w:rsidRPr="00113F13">
        <w:t>The Privacy Act creates additional avenues for the use and disclosure of several types of information that are not provided for in the PIPA. These are:</w:t>
      </w:r>
      <w:bookmarkEnd w:id="408"/>
    </w:p>
    <w:p w14:paraId="776EEABD" w14:textId="77777777" w:rsidR="00FF302D" w:rsidRPr="00113F13" w:rsidRDefault="00FF302D" w:rsidP="00A142A1">
      <w:pPr>
        <w:pStyle w:val="DotPointTLRI"/>
      </w:pPr>
      <w:r w:rsidRPr="00113F13">
        <w:t>biometric information or biometric templates, which can be disclosed by government agencies and associated bodies (other than an enforcement body) to an enforcement body, if the disclosure is in accordance with guidelines issued by the Information Commissioner;</w:t>
      </w:r>
      <w:r w:rsidRPr="00113F13">
        <w:rPr>
          <w:rStyle w:val="FootnoteReference"/>
          <w:rFonts w:ascii="Times New Roman" w:hAnsi="Times New Roman"/>
        </w:rPr>
        <w:footnoteReference w:id="418"/>
      </w:r>
      <w:r w:rsidRPr="00113F13">
        <w:t xml:space="preserve"> and </w:t>
      </w:r>
    </w:p>
    <w:p w14:paraId="75305EE6" w14:textId="77777777" w:rsidR="00FF302D" w:rsidRPr="00113F13" w:rsidRDefault="00FF302D" w:rsidP="00A142A1">
      <w:pPr>
        <w:pStyle w:val="DotPointTLRI"/>
      </w:pPr>
      <w:r w:rsidRPr="00113F13">
        <w:t>genetic information, which can be used or disclosed by a private organisation in accordance with guidelines made under the Privacy Act if the organisation reasonably believes the use or disclosure is necessary to lessen or prevent serious threat to the life, health, or safety of a genetic relative of the individual.</w:t>
      </w:r>
      <w:r w:rsidRPr="00113F13">
        <w:rPr>
          <w:rStyle w:val="FootnoteReference"/>
          <w:rFonts w:ascii="Times New Roman" w:hAnsi="Times New Roman"/>
        </w:rPr>
        <w:footnoteReference w:id="419"/>
      </w:r>
    </w:p>
    <w:p w14:paraId="5BB5A2B3" w14:textId="77777777" w:rsidR="00FF302D" w:rsidRPr="00113F13" w:rsidRDefault="00FF302D" w:rsidP="00B63604">
      <w:pPr>
        <w:pStyle w:val="NormalNumberedTextTLRI"/>
        <w:numPr>
          <w:ilvl w:val="2"/>
          <w:numId w:val="31"/>
        </w:numPr>
        <w:tabs>
          <w:tab w:val="clear" w:pos="720"/>
        </w:tabs>
        <w:spacing w:line="259" w:lineRule="auto"/>
      </w:pPr>
      <w:bookmarkStart w:id="409" w:name="_Toc143872316"/>
      <w:bookmarkEnd w:id="406"/>
      <w:r w:rsidRPr="00113F13">
        <w:t>The Privacy Act also deals with use or disclosure for one purpose not addressed in the PIPA: direct marketing; that is, marketing that involves targeting and communicating with individual consumers directly, such as through telemarketing or mail. Direct marketing is contrasted with marketing undertaken through third parties, such as through advertising media on TV or webpages.</w:t>
      </w:r>
      <w:bookmarkEnd w:id="409"/>
      <w:r w:rsidRPr="00113F13">
        <w:t xml:space="preserve"> </w:t>
      </w:r>
    </w:p>
    <w:p w14:paraId="622FA4B0" w14:textId="77777777" w:rsidR="00FF302D" w:rsidRPr="003215A2" w:rsidRDefault="00FF302D" w:rsidP="00B63604">
      <w:pPr>
        <w:pStyle w:val="NormalNumberedTextTLRI"/>
        <w:numPr>
          <w:ilvl w:val="2"/>
          <w:numId w:val="31"/>
        </w:numPr>
        <w:tabs>
          <w:tab w:val="clear" w:pos="720"/>
        </w:tabs>
        <w:spacing w:line="259" w:lineRule="auto"/>
      </w:pPr>
      <w:bookmarkStart w:id="410" w:name="_Toc143872317"/>
      <w:r w:rsidRPr="00113F13">
        <w:t>In the Privacy Act, APP 7 imposes obligations on organisations in relation to direct marketing. It does not apply to government agencies, except in limited circumstances where they are engaging in commercial activities.</w:t>
      </w:r>
      <w:r w:rsidRPr="00113F13">
        <w:rPr>
          <w:rStyle w:val="FootnoteReference"/>
          <w:rFonts w:ascii="Times New Roman" w:hAnsi="Times New Roman"/>
        </w:rPr>
        <w:footnoteReference w:id="420"/>
      </w:r>
      <w:bookmarkEnd w:id="410"/>
      <w:r w:rsidRPr="00113F13">
        <w:t xml:space="preserve"> </w:t>
      </w:r>
      <w:bookmarkStart w:id="411" w:name="_Toc143872318"/>
      <w:r w:rsidRPr="00113F13">
        <w:t xml:space="preserve">Generally, APP 7 restricts use of personal information for direct marketing, unless the individual has consented to that use. Non-sensitive information which has been collected by the organisation from the individual concerned can also be used for direct marketing, where the individual would reasonably expect their information to be used for that purpose. However, the organisation must provide a </w:t>
      </w:r>
      <w:r w:rsidRPr="003215A2">
        <w:t>simple means to unsubscribe from the marketing.</w:t>
      </w:r>
      <w:bookmarkEnd w:id="411"/>
      <w:r w:rsidRPr="003215A2">
        <w:t xml:space="preserve"> </w:t>
      </w:r>
    </w:p>
    <w:p w14:paraId="1CB25915" w14:textId="00EEED01" w:rsidR="00A142A1" w:rsidRPr="00E97C0A" w:rsidRDefault="00FF302D" w:rsidP="00E97C0A">
      <w:pPr>
        <w:pStyle w:val="NormalNumberedTextTLRI"/>
        <w:numPr>
          <w:ilvl w:val="2"/>
          <w:numId w:val="31"/>
        </w:numPr>
        <w:tabs>
          <w:tab w:val="clear" w:pos="720"/>
        </w:tabs>
        <w:spacing w:line="259" w:lineRule="auto"/>
      </w:pPr>
      <w:bookmarkStart w:id="412" w:name="_Toc143872319"/>
      <w:r w:rsidRPr="003215A2">
        <w:t>There is also an exception (unde</w:t>
      </w:r>
      <w:r w:rsidRPr="00EA22F8">
        <w:t>r APP 7.1</w:t>
      </w:r>
      <w:r w:rsidRPr="003215A2">
        <w:t>) for</w:t>
      </w:r>
      <w:r w:rsidRPr="00113F13">
        <w:t xml:space="preserve"> contracted service providers to use personal information for direct marketing purposes, where the purpose for which the information was collected, </w:t>
      </w:r>
      <w:r w:rsidRPr="00113F13">
        <w:lastRenderedPageBreak/>
        <w:t>and use or disclosure of the information is required to meet an obligation under a Commonwealth contract.</w:t>
      </w:r>
      <w:bookmarkEnd w:id="412"/>
      <w:r w:rsidRPr="00113F13">
        <w:t xml:space="preserve"> </w:t>
      </w:r>
    </w:p>
    <w:p w14:paraId="6AD1F7A9" w14:textId="0734593B" w:rsidR="00FF302D" w:rsidRPr="00113F13" w:rsidRDefault="00FF302D" w:rsidP="00A142A1">
      <w:pPr>
        <w:pStyle w:val="Sub-HeadingTLRI"/>
      </w:pPr>
      <w:bookmarkStart w:id="413" w:name="_Toc164606598"/>
      <w:r w:rsidRPr="00113F13">
        <w:t>Cross-border disclosure</w:t>
      </w:r>
      <w:bookmarkEnd w:id="413"/>
    </w:p>
    <w:p w14:paraId="1416FEA4" w14:textId="57C4C928" w:rsidR="00FF302D" w:rsidRPr="00113F13" w:rsidRDefault="00FF302D" w:rsidP="00B63604">
      <w:pPr>
        <w:pStyle w:val="NormalNumberedTextTLRI"/>
        <w:numPr>
          <w:ilvl w:val="2"/>
          <w:numId w:val="31"/>
        </w:numPr>
        <w:tabs>
          <w:tab w:val="clear" w:pos="720"/>
        </w:tabs>
        <w:spacing w:line="259" w:lineRule="auto"/>
      </w:pPr>
      <w:bookmarkStart w:id="414" w:name="_Toc143872320"/>
      <w:r w:rsidRPr="00113F13">
        <w:t xml:space="preserve">Under Commonwealth law, APP 8 governs cross-border disclosure of personal information, meaning disclosure to a person ‘who is not in Australia or an external Territory’. This scope differs from the equivalent PIPP, PIPP 9, which deals with disclosure outside </w:t>
      </w:r>
      <w:r w:rsidRPr="00B70DA1">
        <w:t xml:space="preserve">Tasmania </w:t>
      </w:r>
      <w:r w:rsidRPr="00EA22F8">
        <w:t>(see [</w:t>
      </w:r>
      <w:r w:rsidR="00B70DA1">
        <w:fldChar w:fldCharType="begin"/>
      </w:r>
      <w:r w:rsidR="00B70DA1" w:rsidRPr="00EA22F8">
        <w:instrText xml:space="preserve"> REF _Ref164777932 \r \h </w:instrText>
      </w:r>
      <w:r w:rsidR="00B70DA1">
        <w:instrText xml:space="preserve"> \* MERGEFORMAT </w:instrText>
      </w:r>
      <w:r w:rsidR="00B70DA1">
        <w:fldChar w:fldCharType="separate"/>
      </w:r>
      <w:r w:rsidR="00462C30">
        <w:rPr>
          <w:cs/>
        </w:rPr>
        <w:t>‎</w:t>
      </w:r>
      <w:r w:rsidR="00462C30">
        <w:t>5.2.18</w:t>
      </w:r>
      <w:r w:rsidR="00B70DA1">
        <w:fldChar w:fldCharType="end"/>
      </w:r>
      <w:r w:rsidRPr="00EA22F8">
        <w:t>] above)</w:t>
      </w:r>
      <w:r w:rsidRPr="00B70DA1">
        <w:t>.</w:t>
      </w:r>
      <w:r w:rsidRPr="00B70DA1">
        <w:rPr>
          <w:rStyle w:val="FootnoteReference"/>
          <w:rFonts w:ascii="Times New Roman" w:hAnsi="Times New Roman"/>
        </w:rPr>
        <w:footnoteReference w:id="421"/>
      </w:r>
      <w:r w:rsidRPr="00113F13">
        <w:t xml:space="preserve"> </w:t>
      </w:r>
    </w:p>
    <w:p w14:paraId="513390F3" w14:textId="77777777" w:rsidR="00FF302D" w:rsidRPr="00113F13" w:rsidRDefault="00FF302D" w:rsidP="00B63604">
      <w:pPr>
        <w:pStyle w:val="NormalNumberedTextTLRI"/>
        <w:numPr>
          <w:ilvl w:val="2"/>
          <w:numId w:val="31"/>
        </w:numPr>
        <w:tabs>
          <w:tab w:val="clear" w:pos="720"/>
        </w:tabs>
        <w:spacing w:line="259" w:lineRule="auto"/>
      </w:pPr>
      <w:r w:rsidRPr="00113F13">
        <w:t>APP 8 is structured differently to PIPP 9 but imposes similar requirements. APP 8 obliges APP entities to ‘take such steps as are reasonable in the circumstances to ensure that the overseas recipient does not breach’ the APPs in relation to the information, unless one of a number of exceptions applies.</w:t>
      </w:r>
      <w:bookmarkEnd w:id="414"/>
    </w:p>
    <w:p w14:paraId="424C9D08" w14:textId="77777777" w:rsidR="00FF302D" w:rsidRPr="00B70DA1" w:rsidRDefault="00FF302D" w:rsidP="00B63604">
      <w:pPr>
        <w:pStyle w:val="NormalNumberedTextTLRI"/>
        <w:numPr>
          <w:ilvl w:val="2"/>
          <w:numId w:val="31"/>
        </w:numPr>
        <w:tabs>
          <w:tab w:val="clear" w:pos="720"/>
        </w:tabs>
        <w:spacing w:line="259" w:lineRule="auto"/>
      </w:pPr>
      <w:r w:rsidRPr="00113F13">
        <w:t>The Commonwealth and Tasmanian Acts differ in terms of who retains responsibility for breaches of privacy principles by cross-border recipients. According to the OAIC, an entity retains responsibility under the Privacy Act unless one of the exceptions in APP 8.2 applies,</w:t>
      </w:r>
      <w:r w:rsidRPr="00113F13">
        <w:rPr>
          <w:rStyle w:val="FootnoteReference"/>
          <w:rFonts w:ascii="Times New Roman" w:hAnsi="Times New Roman"/>
        </w:rPr>
        <w:footnoteReference w:id="422"/>
      </w:r>
      <w:r w:rsidRPr="00113F13">
        <w:t xml:space="preserve"> whereas the phrasing of PIPP 9 suggests that a personal information custodian is no longer responsible after </w:t>
      </w:r>
      <w:r w:rsidRPr="00B70DA1">
        <w:t>reasonable steps have been taken.</w:t>
      </w:r>
    </w:p>
    <w:p w14:paraId="1031252F" w14:textId="77777777" w:rsidR="00FF302D" w:rsidRPr="00EA22F8" w:rsidRDefault="00FF302D" w:rsidP="00B63604">
      <w:pPr>
        <w:pStyle w:val="NormalNumberedTextTLRI"/>
        <w:numPr>
          <w:ilvl w:val="2"/>
          <w:numId w:val="31"/>
        </w:numPr>
        <w:tabs>
          <w:tab w:val="clear" w:pos="720"/>
        </w:tabs>
        <w:spacing w:line="259" w:lineRule="auto"/>
      </w:pPr>
      <w:bookmarkStart w:id="415" w:name="_Toc143872321"/>
      <w:bookmarkStart w:id="416" w:name="_Ref149726419"/>
      <w:bookmarkStart w:id="417" w:name="_Ref164778812"/>
      <w:r w:rsidRPr="00B70DA1">
        <w:t>The exceptions to the ‘reasonable steps’ requirement in APP 8.2 are also similar to the circumstances of permitted cross-border disclosure in PIPP 9 (by, for example, creating an exception relating to enforcement-related activities),</w:t>
      </w:r>
      <w:r w:rsidRPr="00B70DA1">
        <w:rPr>
          <w:rStyle w:val="FootnoteReference"/>
          <w:rFonts w:ascii="Times New Roman" w:hAnsi="Times New Roman"/>
        </w:rPr>
        <w:footnoteReference w:id="423"/>
      </w:r>
      <w:r w:rsidRPr="00B70DA1">
        <w:t xml:space="preserve"> although APP 8 is more restrictive than PIPP 9 in some ways. </w:t>
      </w:r>
      <w:r w:rsidRPr="00EA22F8">
        <w:t>For example:</w:t>
      </w:r>
      <w:bookmarkEnd w:id="415"/>
      <w:bookmarkEnd w:id="416"/>
      <w:bookmarkEnd w:id="417"/>
      <w:r w:rsidRPr="00B70DA1">
        <w:t xml:space="preserve"> </w:t>
      </w:r>
    </w:p>
    <w:p w14:paraId="486C376B" w14:textId="77777777" w:rsidR="00FF302D" w:rsidRPr="00113F13" w:rsidRDefault="00FF302D" w:rsidP="00A142A1">
      <w:pPr>
        <w:pStyle w:val="DotPointTLRI"/>
      </w:pPr>
      <w:r w:rsidRPr="00113F13">
        <w:t xml:space="preserve">Both PIPP 9 and APP 8 allow disclosure (without reasonable steps), where there is a reasonable belief that the recipient is subject to privacy protection obligations substantially similar to the PIPPs or APPs respectively. However, APP 8 additionally requires that the entity reasonably believes that there are </w:t>
      </w:r>
      <w:r w:rsidRPr="00113F13">
        <w:rPr>
          <w:rFonts w:eastAsiaTheme="majorEastAsia"/>
          <w:color w:val="0D0D0D" w:themeColor="text1" w:themeTint="F2"/>
        </w:rPr>
        <w:t>mechanisms for the individual to enforce that protection</w:t>
      </w:r>
      <w:r w:rsidRPr="00113F13">
        <w:t>.</w:t>
      </w:r>
    </w:p>
    <w:p w14:paraId="7A96D850" w14:textId="77777777" w:rsidR="00FF302D" w:rsidRPr="00113F13" w:rsidRDefault="00FF302D" w:rsidP="00A142A1">
      <w:pPr>
        <w:pStyle w:val="DotPointTLRI"/>
      </w:pPr>
      <w:r w:rsidRPr="00113F13">
        <w:t>Both PIPP 9 and APP 8 allow disclosure (without reasonable steps) where an individual has consented to disclosure. However, APP 8 additionally provides that the custodian disclosing the information must expressly inform the individual that, if the individual consents, the custodian is not obliged to take reasonable steps to ensure the overseas recipient does not breach the APPs.</w:t>
      </w:r>
      <w:r w:rsidRPr="00113F13">
        <w:rPr>
          <w:rStyle w:val="FootnoteReference"/>
          <w:rFonts w:ascii="Times New Roman" w:hAnsi="Times New Roman"/>
        </w:rPr>
        <w:footnoteReference w:id="424"/>
      </w:r>
    </w:p>
    <w:p w14:paraId="07F56A1B" w14:textId="320919D1" w:rsidR="00FF302D" w:rsidRPr="00113F13" w:rsidRDefault="00FF302D" w:rsidP="00A142A1">
      <w:pPr>
        <w:pStyle w:val="DotPointTLRI"/>
      </w:pPr>
      <w:r w:rsidRPr="00113F13">
        <w:t>PIPP 9 permits disclosure outside Tasmania for the purpose of performance of a contract between the individual and the personal information custodian, or for the conclusion or performance of a contract between the custodian and a third party concluded in the individual’s interests.</w:t>
      </w:r>
      <w:r w:rsidR="00CF1734">
        <w:t xml:space="preserve"> </w:t>
      </w:r>
      <w:r w:rsidR="00CF1734" w:rsidRPr="00113F13">
        <w:t>APP 8 does not contain a specific exception relating to performance of a contract.</w:t>
      </w:r>
      <w:r w:rsidRPr="288D8F58">
        <w:rPr>
          <w:rStyle w:val="FootnoteReference"/>
          <w:rFonts w:ascii="Times New Roman" w:hAnsi="Times New Roman"/>
        </w:rPr>
        <w:footnoteReference w:id="425"/>
      </w:r>
      <w:r w:rsidRPr="00113F13">
        <w:t xml:space="preserve"> </w:t>
      </w:r>
    </w:p>
    <w:p w14:paraId="6CF436CB" w14:textId="77777777" w:rsidR="00FF302D" w:rsidRPr="00113F13" w:rsidRDefault="00FF302D" w:rsidP="00B63604">
      <w:pPr>
        <w:pStyle w:val="NormalNumberedTextTLRI"/>
        <w:numPr>
          <w:ilvl w:val="2"/>
          <w:numId w:val="31"/>
        </w:numPr>
        <w:tabs>
          <w:tab w:val="clear" w:pos="720"/>
        </w:tabs>
        <w:spacing w:line="259" w:lineRule="auto"/>
      </w:pPr>
      <w:bookmarkStart w:id="418" w:name="_Toc143872322"/>
      <w:r w:rsidRPr="00113F13">
        <w:t xml:space="preserve">On the other hand, some of the permitted disclosure circumstances in APP 8.2 are broader than those found in PIPP 9. In particular, APP 8 specifies that an agency can disclose information to an overseas recipient in specified ‘permitted general situations’, such as where there is a reasonable belief </w:t>
      </w:r>
      <w:r w:rsidRPr="00113F13">
        <w:lastRenderedPageBreak/>
        <w:t>that use or disclosure is necessary in relation to a serious risk to life, health, safety, or public health and safety and it would be unreasonable or impracticable to obtain an individual’s consent.</w:t>
      </w:r>
      <w:r w:rsidRPr="00113F13">
        <w:rPr>
          <w:rStyle w:val="FootnoteReference"/>
          <w:rFonts w:ascii="Times New Roman" w:hAnsi="Times New Roman"/>
        </w:rPr>
        <w:footnoteReference w:id="426"/>
      </w:r>
      <w:bookmarkEnd w:id="418"/>
    </w:p>
    <w:p w14:paraId="6FE6F14B" w14:textId="77777777" w:rsidR="00FF302D" w:rsidRPr="00113F13" w:rsidRDefault="00FF302D" w:rsidP="00A142A1">
      <w:pPr>
        <w:pStyle w:val="Sub-HeadingTLRI"/>
      </w:pPr>
      <w:bookmarkStart w:id="419" w:name="_Toc164606599"/>
      <w:bookmarkStart w:id="420" w:name="_Toc143872324"/>
      <w:r w:rsidRPr="00113F13">
        <w:t>Consent to collection, use, or disclosure</w:t>
      </w:r>
      <w:bookmarkEnd w:id="419"/>
    </w:p>
    <w:p w14:paraId="09C3CBA7" w14:textId="77777777" w:rsidR="00FF302D" w:rsidRPr="00113F13" w:rsidRDefault="00FF302D" w:rsidP="00B63604">
      <w:pPr>
        <w:pStyle w:val="NormalNumberedTextTLRI"/>
        <w:numPr>
          <w:ilvl w:val="2"/>
          <w:numId w:val="31"/>
        </w:numPr>
        <w:tabs>
          <w:tab w:val="clear" w:pos="720"/>
        </w:tabs>
        <w:spacing w:line="259" w:lineRule="auto"/>
      </w:pPr>
      <w:bookmarkStart w:id="421" w:name="_Toc143872300"/>
      <w:r w:rsidRPr="00113F13">
        <w:t>As outlined in the preceding sub-sections, some limitations on APP entities’ ability to handle certain information will not apply, if the individual who is the subject of the personal information consents to its collection, use, or disclosure. For example, an individual may consent to the collection of information about them from someone else,</w:t>
      </w:r>
      <w:r w:rsidRPr="00113F13">
        <w:rPr>
          <w:rStyle w:val="FootnoteReference"/>
          <w:rFonts w:ascii="Times New Roman" w:eastAsia="Calibri" w:hAnsi="Times New Roman"/>
        </w:rPr>
        <w:footnoteReference w:id="427"/>
      </w:r>
      <w:r w:rsidRPr="00113F13">
        <w:t xml:space="preserve"> the collection of sensitive information,</w:t>
      </w:r>
      <w:r w:rsidRPr="00113F13">
        <w:rPr>
          <w:rStyle w:val="FootnoteReference"/>
          <w:rFonts w:ascii="Times New Roman" w:eastAsia="Calibri" w:hAnsi="Times New Roman"/>
        </w:rPr>
        <w:footnoteReference w:id="428"/>
      </w:r>
      <w:r w:rsidRPr="00113F13">
        <w:t xml:space="preserve"> the use or disclosure of personal information for a secondary purpose,</w:t>
      </w:r>
      <w:r w:rsidRPr="00113F13">
        <w:rPr>
          <w:rStyle w:val="FootnoteReference"/>
          <w:rFonts w:ascii="Times New Roman" w:eastAsia="Calibri" w:hAnsi="Times New Roman"/>
        </w:rPr>
        <w:footnoteReference w:id="429"/>
      </w:r>
      <w:r w:rsidRPr="00113F13">
        <w:t xml:space="preserve"> the use or disclosure of certain personal information for direct marketing,</w:t>
      </w:r>
      <w:r w:rsidRPr="00113F13">
        <w:rPr>
          <w:rStyle w:val="FootnoteReference"/>
          <w:rFonts w:ascii="Times New Roman" w:eastAsia="Calibri" w:hAnsi="Times New Roman"/>
        </w:rPr>
        <w:footnoteReference w:id="430"/>
      </w:r>
      <w:r w:rsidRPr="00113F13">
        <w:t xml:space="preserve"> and disclosure of personal information overseas.</w:t>
      </w:r>
      <w:r w:rsidRPr="00113F13">
        <w:rPr>
          <w:rStyle w:val="FootnoteReference"/>
          <w:rFonts w:ascii="Times New Roman" w:eastAsia="Calibri" w:hAnsi="Times New Roman"/>
        </w:rPr>
        <w:footnoteReference w:id="431"/>
      </w:r>
      <w:r w:rsidRPr="00113F13">
        <w:t xml:space="preserve"> Legislation in other jurisdictions also provides for consent to be provided that allows for information from another person and also for the use or disclosure of personal information with consent.</w:t>
      </w:r>
      <w:r w:rsidRPr="00113F13">
        <w:rPr>
          <w:rStyle w:val="FootnoteReference"/>
          <w:rFonts w:ascii="Times New Roman" w:eastAsia="Calibri" w:hAnsi="Times New Roman"/>
        </w:rPr>
        <w:footnoteReference w:id="432"/>
      </w:r>
    </w:p>
    <w:p w14:paraId="37686D75" w14:textId="77777777" w:rsidR="00FF302D" w:rsidRPr="00113F13" w:rsidRDefault="00FF302D" w:rsidP="00B63604">
      <w:pPr>
        <w:pStyle w:val="NormalNumberedTextTLRI"/>
        <w:numPr>
          <w:ilvl w:val="2"/>
          <w:numId w:val="31"/>
        </w:numPr>
        <w:tabs>
          <w:tab w:val="clear" w:pos="720"/>
        </w:tabs>
        <w:spacing w:line="259" w:lineRule="auto"/>
        <w:rPr>
          <w:rFonts w:eastAsia="Calibri"/>
        </w:rPr>
      </w:pPr>
      <w:r w:rsidRPr="00113F13">
        <w:rPr>
          <w:rFonts w:eastAsia="Calibri"/>
        </w:rPr>
        <w:t>Consent is defined in the Privacy Act</w:t>
      </w:r>
      <w:r w:rsidRPr="00113F13">
        <w:rPr>
          <w:rFonts w:eastAsia="Calibri"/>
          <w:i/>
          <w:iCs/>
        </w:rPr>
        <w:t xml:space="preserve"> </w:t>
      </w:r>
      <w:r w:rsidRPr="00113F13">
        <w:rPr>
          <w:rFonts w:eastAsia="Calibri"/>
        </w:rPr>
        <w:t>to mean ‘express consent or implied consent’.</w:t>
      </w:r>
      <w:r w:rsidRPr="00113F13">
        <w:rPr>
          <w:rStyle w:val="FootnoteReference"/>
          <w:rFonts w:ascii="Times New Roman" w:eastAsia="Calibri" w:hAnsi="Times New Roman"/>
        </w:rPr>
        <w:footnoteReference w:id="433"/>
      </w:r>
      <w:r w:rsidRPr="00113F13">
        <w:rPr>
          <w:rFonts w:eastAsia="Calibri"/>
        </w:rPr>
        <w:t xml:space="preserve"> According to the </w:t>
      </w:r>
      <w:r w:rsidRPr="00113F13">
        <w:t>APP Guidelines issued by the OAIC, the conditions of valid consent are that:</w:t>
      </w:r>
      <w:bookmarkEnd w:id="421"/>
    </w:p>
    <w:p w14:paraId="3C3BE64A" w14:textId="77777777" w:rsidR="00FF302D" w:rsidRPr="00113F13" w:rsidRDefault="00FF302D" w:rsidP="00A142A1">
      <w:pPr>
        <w:pStyle w:val="DotPointTLRI"/>
      </w:pPr>
      <w:r w:rsidRPr="00113F13">
        <w:t>the individual has sufficient capacity and information to understand the nature of what they are being asked to consent to;</w:t>
      </w:r>
    </w:p>
    <w:p w14:paraId="60FE74FB" w14:textId="77777777" w:rsidR="00FF302D" w:rsidRPr="00113F13" w:rsidRDefault="00FF302D" w:rsidP="00A142A1">
      <w:pPr>
        <w:pStyle w:val="DotPointTLRI"/>
      </w:pPr>
      <w:r w:rsidRPr="00113F13">
        <w:t>the individual gives consent voluntarily; and</w:t>
      </w:r>
    </w:p>
    <w:p w14:paraId="1CDAA1B2" w14:textId="77777777" w:rsidR="00FF302D" w:rsidRPr="00113F13" w:rsidRDefault="00FF302D" w:rsidP="00A142A1">
      <w:pPr>
        <w:pStyle w:val="DotPointTLRI"/>
      </w:pPr>
      <w:r w:rsidRPr="00113F13">
        <w:t>the individual gives consent that is current (related to the time of collection, or a specified period thereafter) and specific (not broader than is necessary for its purposes).</w:t>
      </w:r>
      <w:r w:rsidRPr="00113F13">
        <w:rPr>
          <w:rStyle w:val="FootnoteReference"/>
          <w:rFonts w:ascii="Times New Roman" w:hAnsi="Times New Roman"/>
        </w:rPr>
        <w:footnoteReference w:id="434"/>
      </w:r>
      <w:r w:rsidRPr="00113F13">
        <w:t xml:space="preserve"> </w:t>
      </w:r>
    </w:p>
    <w:p w14:paraId="0A79DB58" w14:textId="77777777" w:rsidR="00FF302D" w:rsidRPr="00113F13" w:rsidRDefault="00FF302D" w:rsidP="00BF1FE7">
      <w:pPr>
        <w:pStyle w:val="NumberedHeadingTLRI"/>
      </w:pPr>
      <w:bookmarkStart w:id="422" w:name="_Toc152245428"/>
      <w:bookmarkStart w:id="423" w:name="_Toc164606600"/>
      <w:r w:rsidRPr="00113F13">
        <w:t>The Commonwealth Privacy Act Review</w:t>
      </w:r>
      <w:bookmarkEnd w:id="420"/>
      <w:bookmarkEnd w:id="422"/>
      <w:bookmarkEnd w:id="423"/>
    </w:p>
    <w:p w14:paraId="7FE082DA" w14:textId="77777777" w:rsidR="00FF302D" w:rsidRPr="00113F13" w:rsidRDefault="00FF302D" w:rsidP="00A142A1">
      <w:pPr>
        <w:pStyle w:val="Sub-HeadingTLRI"/>
      </w:pPr>
      <w:bookmarkStart w:id="424" w:name="_Toc164606601"/>
      <w:r w:rsidRPr="00113F13">
        <w:t>Collection of personal information</w:t>
      </w:r>
      <w:bookmarkEnd w:id="424"/>
    </w:p>
    <w:p w14:paraId="6308D4C3" w14:textId="77777777" w:rsidR="00FF302D" w:rsidRPr="00113F13" w:rsidRDefault="00FF302D" w:rsidP="00B63604">
      <w:pPr>
        <w:pStyle w:val="NormalNumberedTextTLRI"/>
        <w:numPr>
          <w:ilvl w:val="2"/>
          <w:numId w:val="31"/>
        </w:numPr>
        <w:tabs>
          <w:tab w:val="clear" w:pos="720"/>
        </w:tabs>
        <w:spacing w:line="259" w:lineRule="auto"/>
      </w:pPr>
      <w:bookmarkStart w:id="425" w:name="_Ref149753722"/>
      <w:bookmarkStart w:id="426" w:name="_Toc143872325"/>
      <w:bookmarkStart w:id="427" w:name="_Ref129330681"/>
      <w:r w:rsidRPr="00113F13">
        <w:t>The Privacy Act Review Final Report proposed an amendment to the definition of ‘collects’ in the Privacy Act to clarify that collection encompasses ‘information obtained from any source and by any means, including inferred or generated information’, and hence that obligations under APPs 3, 4 and 5 apply to such information.</w:t>
      </w:r>
      <w:r w:rsidRPr="00113F13">
        <w:rPr>
          <w:rStyle w:val="FootnoteReference"/>
          <w:rFonts w:ascii="Times New Roman" w:hAnsi="Times New Roman"/>
        </w:rPr>
        <w:footnoteReference w:id="435"/>
      </w:r>
      <w:r w:rsidRPr="00113F13">
        <w:t xml:space="preserve"> The Commonwealth Government agreed in-principle with this proposal.</w:t>
      </w:r>
      <w:r w:rsidRPr="00113F13">
        <w:rPr>
          <w:rStyle w:val="FootnoteReference"/>
          <w:rFonts w:ascii="Times New Roman" w:hAnsi="Times New Roman"/>
        </w:rPr>
        <w:footnoteReference w:id="436"/>
      </w:r>
      <w:bookmarkEnd w:id="425"/>
    </w:p>
    <w:p w14:paraId="64D72883"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The Review described the purpose of this proposal as being to clarify that the APPs begin to have effect in relation to inferred personal information from the point data is generated (for instance, in data analytics and machine learning processes) and, by extension, to enhance trust in entities using these techniques and clarify that ‘reasonable steps to give notice apply where personal information is inferred from unidentified information, such as when actively inferring identity from data about geolocation’.</w:t>
      </w:r>
      <w:r w:rsidRPr="00113F13">
        <w:rPr>
          <w:rStyle w:val="FootnoteReference"/>
          <w:rFonts w:ascii="Times New Roman" w:hAnsi="Times New Roman"/>
        </w:rPr>
        <w:footnoteReference w:id="437"/>
      </w:r>
      <w:bookmarkEnd w:id="426"/>
      <w:r w:rsidRPr="00113F13">
        <w:t xml:space="preserve"> The Review explained that it would mean, for example, that the APPs applied ‘where personal information is inferred from unidentified information, such as when actively inferring identity from data about geolocation’.</w:t>
      </w:r>
      <w:r w:rsidRPr="00113F13">
        <w:rPr>
          <w:rStyle w:val="FootnoteReference"/>
          <w:rFonts w:ascii="Times New Roman" w:hAnsi="Times New Roman"/>
        </w:rPr>
        <w:footnoteReference w:id="438"/>
      </w:r>
      <w:r w:rsidRPr="00113F13">
        <w:t xml:space="preserve"> The Review observed that it received comparatively less engagement from stakeholders on this proposal than others. </w:t>
      </w:r>
    </w:p>
    <w:p w14:paraId="2D3A041B" w14:textId="77777777" w:rsidR="00FF302D" w:rsidRPr="00304451" w:rsidRDefault="00FF302D" w:rsidP="00B63604">
      <w:pPr>
        <w:pStyle w:val="NormalNumberedTextTLRI"/>
        <w:numPr>
          <w:ilvl w:val="2"/>
          <w:numId w:val="31"/>
        </w:numPr>
        <w:tabs>
          <w:tab w:val="clear" w:pos="720"/>
        </w:tabs>
        <w:spacing w:line="259" w:lineRule="auto"/>
      </w:pPr>
      <w:bookmarkStart w:id="428" w:name="_Toc143872327"/>
      <w:r w:rsidRPr="00113F13">
        <w:t>The Privacy Act Review recommended a number of changes to how individuals are notified of the collection of personal information. First, it</w:t>
      </w:r>
      <w:bookmarkStart w:id="429" w:name="_Toc143872328"/>
      <w:bookmarkEnd w:id="428"/>
      <w:r w:rsidRPr="00113F13">
        <w:t xml:space="preserve"> proposed that APP 5 be amended to include a requirement for collection notices to be ‘clear, up-to-date, concise and understandable’, that appropriate accessibility measures be in place,</w:t>
      </w:r>
      <w:r w:rsidRPr="00113F13">
        <w:rPr>
          <w:rStyle w:val="FootnoteReference"/>
          <w:rFonts w:ascii="Times New Roman" w:hAnsi="Times New Roman"/>
        </w:rPr>
        <w:footnoteReference w:id="439"/>
      </w:r>
      <w:r w:rsidRPr="00113F13">
        <w:t xml:space="preserve"> and that collection notices and privacy policies be clear and </w:t>
      </w:r>
      <w:r w:rsidRPr="00304451">
        <w:t>understandable, particularly for information addressed to a child.</w:t>
      </w:r>
      <w:r w:rsidRPr="00304451">
        <w:rPr>
          <w:rStyle w:val="FootnoteReference"/>
          <w:rFonts w:ascii="Times New Roman" w:hAnsi="Times New Roman"/>
        </w:rPr>
        <w:footnoteReference w:id="440"/>
      </w:r>
      <w:bookmarkEnd w:id="429"/>
    </w:p>
    <w:p w14:paraId="25BC4379" w14:textId="38A2EC46" w:rsidR="00FF302D" w:rsidRPr="00EA22F8" w:rsidRDefault="00FF302D" w:rsidP="00B63604">
      <w:pPr>
        <w:pStyle w:val="NormalNumberedTextTLRI"/>
        <w:numPr>
          <w:ilvl w:val="2"/>
          <w:numId w:val="31"/>
        </w:numPr>
        <w:tabs>
          <w:tab w:val="clear" w:pos="720"/>
        </w:tabs>
        <w:spacing w:line="259" w:lineRule="auto"/>
      </w:pPr>
      <w:bookmarkStart w:id="430" w:name="_Toc143872329"/>
      <w:r w:rsidRPr="00EA22F8">
        <w:t xml:space="preserve">Second, the Review recommended that </w:t>
      </w:r>
      <w:r w:rsidR="001A2637" w:rsidRPr="00EA22F8">
        <w:t>four</w:t>
      </w:r>
      <w:r w:rsidRPr="00EA22F8">
        <w:t xml:space="preserve"> additional items be included in the list of matters that must be in an APP 5 collection notice:</w:t>
      </w:r>
      <w:r w:rsidRPr="00304451">
        <w:t xml:space="preserve"> </w:t>
      </w:r>
      <w:bookmarkEnd w:id="430"/>
      <w:r w:rsidRPr="00304451">
        <w:t xml:space="preserve"> </w:t>
      </w:r>
    </w:p>
    <w:p w14:paraId="42752D42" w14:textId="4F8FF537" w:rsidR="00FF302D" w:rsidRPr="00EA22F8" w:rsidRDefault="288D8F58" w:rsidP="00EA22F8">
      <w:pPr>
        <w:pStyle w:val="DotPointTLRI"/>
      </w:pPr>
      <w:r w:rsidRPr="00EA22F8">
        <w:t>the circumstances of the collection, use, or disclosure if the entity collects, uses or discloses personal information for a high risk activity</w:t>
      </w:r>
    </w:p>
    <w:p w14:paraId="24560E93" w14:textId="77777777" w:rsidR="00FF302D" w:rsidRPr="00113F13" w:rsidRDefault="00FF302D" w:rsidP="00A142A1">
      <w:pPr>
        <w:pStyle w:val="DotPointTLRI"/>
      </w:pPr>
      <w:r w:rsidRPr="00113F13">
        <w:t>notification to the individual about their rights and how to exercise them;</w:t>
      </w:r>
    </w:p>
    <w:p w14:paraId="1479EFD4" w14:textId="5DE60B5C" w:rsidR="00FF302D" w:rsidRPr="00113F13" w:rsidRDefault="288D8F58" w:rsidP="00A142A1">
      <w:pPr>
        <w:pStyle w:val="DotPointTLRI"/>
      </w:pPr>
      <w:r>
        <w:t xml:space="preserve">that the APP privacy policy (required under APP 1 and </w:t>
      </w:r>
      <w:r w:rsidRPr="00141952">
        <w:t xml:space="preserve">discussed in </w:t>
      </w:r>
      <w:r w:rsidRPr="00EA22F8">
        <w:t>[7.2]</w:t>
      </w:r>
      <w:r w:rsidRPr="00141952">
        <w:t xml:space="preserve"> of</w:t>
      </w:r>
      <w:r>
        <w:t xml:space="preserve"> this Report) contains details about how to exercise any rights of the individual (such as the right to object and the other individual rights proposed by the Review, which are discussed further at </w:t>
      </w:r>
      <w:r w:rsidRPr="00EA22F8">
        <w:t>paragraph [</w:t>
      </w:r>
      <w:r w:rsidR="001C2B31" w:rsidRPr="00EA22F8">
        <w:fldChar w:fldCharType="begin"/>
      </w:r>
      <w:r w:rsidR="001C2B31" w:rsidRPr="00EA22F8">
        <w:instrText xml:space="preserve"> REF _Ref164778146 \r \h </w:instrText>
      </w:r>
      <w:r w:rsidR="001C2B31">
        <w:instrText xml:space="preserve"> \* MERGEFORMAT </w:instrText>
      </w:r>
      <w:r w:rsidR="001C2B31" w:rsidRPr="00EA22F8">
        <w:fldChar w:fldCharType="separate"/>
      </w:r>
      <w:r w:rsidR="00462C30">
        <w:rPr>
          <w:cs/>
        </w:rPr>
        <w:t>‎</w:t>
      </w:r>
      <w:r w:rsidR="00462C30">
        <w:t>5.4.23</w:t>
      </w:r>
      <w:r w:rsidR="001C2B31" w:rsidRPr="00EA22F8">
        <w:fldChar w:fldCharType="end"/>
      </w:r>
      <w:r w:rsidRPr="00EA22F8">
        <w:t>] below and Part 6 of this Repor</w:t>
      </w:r>
      <w:r w:rsidRPr="001C2B31">
        <w:t>t</w:t>
      </w:r>
      <w:r>
        <w:t xml:space="preserve">); and </w:t>
      </w:r>
    </w:p>
    <w:p w14:paraId="24F24400" w14:textId="77777777" w:rsidR="00FF302D" w:rsidRPr="00113F13" w:rsidRDefault="00FF302D" w:rsidP="00A142A1">
      <w:pPr>
        <w:pStyle w:val="DotPointTLRI"/>
      </w:pPr>
      <w:r w:rsidRPr="00113F13">
        <w:t>the types of personal information that may be disclosed to overseas recipients (when specifying the countries in which recipients are likely to be located if practicable).</w:t>
      </w:r>
      <w:r w:rsidRPr="00113F13">
        <w:rPr>
          <w:rStyle w:val="FootnoteReference"/>
          <w:rFonts w:ascii="Times New Roman" w:hAnsi="Times New Roman"/>
        </w:rPr>
        <w:footnoteReference w:id="441"/>
      </w:r>
    </w:p>
    <w:p w14:paraId="7D277F60" w14:textId="77777777" w:rsidR="00FF302D" w:rsidRPr="00113F13" w:rsidRDefault="00FF302D" w:rsidP="00B63604">
      <w:pPr>
        <w:pStyle w:val="NormalNumberedTextTLRI"/>
        <w:numPr>
          <w:ilvl w:val="2"/>
          <w:numId w:val="31"/>
        </w:numPr>
        <w:tabs>
          <w:tab w:val="clear" w:pos="720"/>
        </w:tabs>
        <w:spacing w:line="259" w:lineRule="auto"/>
      </w:pPr>
      <w:bookmarkStart w:id="431" w:name="_Toc143872330"/>
      <w:bookmarkStart w:id="432" w:name="_Ref151393324"/>
      <w:r w:rsidRPr="00113F13">
        <w:t>The Review also suggested that more detailed guidance be developed:</w:t>
      </w:r>
      <w:bookmarkEnd w:id="431"/>
      <w:bookmarkEnd w:id="432"/>
    </w:p>
    <w:p w14:paraId="6F4E7BBC" w14:textId="77777777" w:rsidR="00FF302D" w:rsidRPr="00113F13" w:rsidRDefault="00FF302D" w:rsidP="00A142A1">
      <w:pPr>
        <w:pStyle w:val="DotPointTLRI"/>
      </w:pPr>
      <w:r w:rsidRPr="00113F13">
        <w:t>on the format, timing, and readability of notices and policies,</w:t>
      </w:r>
      <w:r w:rsidRPr="00113F13">
        <w:rPr>
          <w:rStyle w:val="FootnoteReference"/>
          <w:rFonts w:ascii="Times New Roman" w:hAnsi="Times New Roman"/>
        </w:rPr>
        <w:footnoteReference w:id="442"/>
      </w:r>
      <w:r w:rsidRPr="00113F13">
        <w:t xml:space="preserve"> and</w:t>
      </w:r>
    </w:p>
    <w:p w14:paraId="30EDD0DC" w14:textId="77777777" w:rsidR="00FF302D" w:rsidRPr="00113F13" w:rsidRDefault="00FF302D" w:rsidP="00A142A1">
      <w:pPr>
        <w:pStyle w:val="DotPointTLRI"/>
      </w:pPr>
      <w:r w:rsidRPr="00113F13">
        <w:t>to provide standardised templates and layouts for privacy policies and collection notices, and standardised terminology and icons, to enhance consumers’ ability to understand them.</w:t>
      </w:r>
      <w:r w:rsidRPr="00113F13">
        <w:rPr>
          <w:rStyle w:val="FootnoteReference"/>
          <w:rFonts w:ascii="Times New Roman" w:hAnsi="Times New Roman"/>
        </w:rPr>
        <w:footnoteReference w:id="443"/>
      </w:r>
      <w:r w:rsidRPr="00113F13">
        <w:t xml:space="preserve"> </w:t>
      </w:r>
    </w:p>
    <w:p w14:paraId="2E72619D" w14:textId="77777777" w:rsidR="00FF302D" w:rsidRPr="00113F13" w:rsidRDefault="00FF302D" w:rsidP="00B63604">
      <w:pPr>
        <w:pStyle w:val="NormalNumberedTextTLRI"/>
        <w:numPr>
          <w:ilvl w:val="2"/>
          <w:numId w:val="31"/>
        </w:numPr>
        <w:tabs>
          <w:tab w:val="clear" w:pos="720"/>
        </w:tabs>
        <w:spacing w:line="259" w:lineRule="auto"/>
      </w:pPr>
      <w:bookmarkStart w:id="433" w:name="_Toc143872331"/>
      <w:r w:rsidRPr="00113F13">
        <w:t>The Privacy Act Review recommended the introduction of an additional requirement for an APP entity to ‘take reasonable steps to satisfy itself that … information was originally collected from the individual in accordance with APP 3’, where that information was not collected directly from the individual. It also recommended the development of OAIC guidelines that provide examples of reasonable steps that could be taken in this regard.</w:t>
      </w:r>
      <w:bookmarkEnd w:id="433"/>
      <w:r w:rsidRPr="00113F13">
        <w:rPr>
          <w:rStyle w:val="FootnoteReference"/>
          <w:rFonts w:ascii="Times New Roman" w:hAnsi="Times New Roman"/>
        </w:rPr>
        <w:footnoteReference w:id="444"/>
      </w:r>
      <w:r w:rsidRPr="00113F13">
        <w:t xml:space="preserve"> </w:t>
      </w:r>
      <w:bookmarkStart w:id="434" w:name="_Toc143872332"/>
      <w:r w:rsidRPr="00113F13">
        <w:t xml:space="preserve">The Review explained that this proposal responded </w:t>
      </w:r>
      <w:r w:rsidRPr="00113F13">
        <w:lastRenderedPageBreak/>
        <w:t>to concerns raised by the OAIC about entities collecting personal information from other entities, where it was ‘reasonably apparent’ that the original collection was unlawful, such as through a data breach.</w:t>
      </w:r>
      <w:r w:rsidRPr="00113F13">
        <w:rPr>
          <w:rStyle w:val="FootnoteReference"/>
          <w:rFonts w:ascii="Times New Roman" w:hAnsi="Times New Roman"/>
        </w:rPr>
        <w:footnoteReference w:id="445"/>
      </w:r>
      <w:bookmarkEnd w:id="434"/>
    </w:p>
    <w:p w14:paraId="751787C4" w14:textId="77777777" w:rsidR="00FF302D" w:rsidRPr="00113F13" w:rsidRDefault="00FF302D" w:rsidP="00B63604">
      <w:pPr>
        <w:pStyle w:val="NormalNumberedTextTLRI"/>
        <w:numPr>
          <w:ilvl w:val="2"/>
          <w:numId w:val="31"/>
        </w:numPr>
        <w:tabs>
          <w:tab w:val="clear" w:pos="720"/>
        </w:tabs>
        <w:spacing w:line="259" w:lineRule="auto"/>
      </w:pPr>
      <w:r w:rsidRPr="00113F13">
        <w:t>The Commonwealth Government agreed in-principle with each of these proposals.</w:t>
      </w:r>
      <w:r w:rsidRPr="00113F13">
        <w:rPr>
          <w:rStyle w:val="FootnoteReference"/>
          <w:rFonts w:ascii="Times New Roman" w:hAnsi="Times New Roman"/>
        </w:rPr>
        <w:footnoteReference w:id="446"/>
      </w:r>
    </w:p>
    <w:p w14:paraId="22C07233" w14:textId="77777777" w:rsidR="00FF302D" w:rsidRPr="00113F13" w:rsidRDefault="00FF302D" w:rsidP="00A142A1">
      <w:pPr>
        <w:pStyle w:val="Sub-HeadingTLRI"/>
      </w:pPr>
      <w:bookmarkStart w:id="435" w:name="_Toc164606602"/>
      <w:r w:rsidRPr="00113F13">
        <w:t>Collection of sensitive information (including health information)</w:t>
      </w:r>
      <w:bookmarkEnd w:id="435"/>
    </w:p>
    <w:p w14:paraId="4BE9DC14" w14:textId="77777777" w:rsidR="00FF302D" w:rsidRPr="00113F13" w:rsidRDefault="00FF302D" w:rsidP="00B63604">
      <w:pPr>
        <w:pStyle w:val="NormalNumberedTextTLRI"/>
        <w:numPr>
          <w:ilvl w:val="2"/>
          <w:numId w:val="31"/>
        </w:numPr>
        <w:tabs>
          <w:tab w:val="clear" w:pos="720"/>
        </w:tabs>
        <w:spacing w:line="259" w:lineRule="auto"/>
      </w:pPr>
      <w:bookmarkStart w:id="436" w:name="_Ref149928096"/>
      <w:bookmarkStart w:id="437" w:name="_Toc143872333"/>
      <w:r w:rsidRPr="00113F13">
        <w:t>The Privacy Act Review proposed the introduction of a legislative provision permitting ‘broad consent’ for research purposes, which would be available for all research to which the research exceptions in the Act apply, and ‘would be given for “research areas” where it is not practicable to fully identify the purposes of collection, use or disclosure of personal or sensitive information at the point when consent is being obtained’.</w:t>
      </w:r>
      <w:r w:rsidRPr="00113F13">
        <w:rPr>
          <w:rStyle w:val="FootnoteReference"/>
          <w:rFonts w:ascii="Times New Roman" w:hAnsi="Times New Roman"/>
        </w:rPr>
        <w:footnoteReference w:id="447"/>
      </w:r>
      <w:r w:rsidRPr="00113F13">
        <w:t xml:space="preserve"> This was in response to submissions arguing that the existing research exceptions only apply to health and medical research, which appeared to contribute to an under-utilisation of the exceptions for legitimate purposes.</w:t>
      </w:r>
      <w:bookmarkEnd w:id="436"/>
    </w:p>
    <w:p w14:paraId="65ACC507" w14:textId="77777777" w:rsidR="00FF302D" w:rsidRPr="00113F13" w:rsidRDefault="00FF302D" w:rsidP="00B63604">
      <w:pPr>
        <w:pStyle w:val="NormalNumberedTextTLRI"/>
        <w:numPr>
          <w:ilvl w:val="2"/>
          <w:numId w:val="31"/>
        </w:numPr>
        <w:tabs>
          <w:tab w:val="clear" w:pos="720"/>
        </w:tabs>
        <w:spacing w:line="259" w:lineRule="auto"/>
      </w:pPr>
      <w:r w:rsidRPr="00113F13">
        <w:t>The Review noted that submitters had also argued for the simplification of the research consent exceptions in the Privacy Act, on the basis that the different rules applying to agencies and organisations were confusing and constituted a hindrance to the effective conduct of research.</w:t>
      </w:r>
      <w:r w:rsidRPr="00113F13">
        <w:rPr>
          <w:rStyle w:val="FootnoteReference"/>
          <w:rFonts w:ascii="Times New Roman" w:hAnsi="Times New Roman"/>
        </w:rPr>
        <w:footnoteReference w:id="448"/>
      </w:r>
      <w:r w:rsidRPr="00113F13">
        <w:t xml:space="preserve"> The Review proposed that further consultation be undertaken on the development of a single research exception, and a single set of guidelines, that apply to all APP entities.</w:t>
      </w:r>
      <w:r w:rsidRPr="00113F13">
        <w:rPr>
          <w:rStyle w:val="FootnoteReference"/>
          <w:rFonts w:ascii="Times New Roman" w:hAnsi="Times New Roman"/>
        </w:rPr>
        <w:footnoteReference w:id="449"/>
      </w:r>
      <w:bookmarkEnd w:id="437"/>
    </w:p>
    <w:p w14:paraId="300F8E9C" w14:textId="77777777" w:rsidR="00FF302D" w:rsidRPr="00113F13" w:rsidRDefault="00FF302D" w:rsidP="00B63604">
      <w:pPr>
        <w:pStyle w:val="NormalNumberedTextTLRI"/>
        <w:numPr>
          <w:ilvl w:val="2"/>
          <w:numId w:val="31"/>
        </w:numPr>
        <w:tabs>
          <w:tab w:val="clear" w:pos="720"/>
        </w:tabs>
        <w:spacing w:line="259" w:lineRule="auto"/>
      </w:pPr>
      <w:r w:rsidRPr="00113F13">
        <w:t>The Review also recommended further consultation on ‘broadening the scope of research permitted without consent’</w:t>
      </w:r>
      <w:r w:rsidRPr="00113F13">
        <w:rPr>
          <w:rStyle w:val="FootnoteReference"/>
          <w:rFonts w:ascii="Times New Roman" w:hAnsi="Times New Roman"/>
        </w:rPr>
        <w:footnoteReference w:id="450"/>
      </w:r>
      <w:r w:rsidRPr="00113F13">
        <w:t xml:space="preserve"> and, significantly for the present project, that further work could be conducted on the ‘scope and harmonisation of research exceptions’ across Australian jurisdictions.</w:t>
      </w:r>
      <w:r w:rsidRPr="00113F13">
        <w:rPr>
          <w:rStyle w:val="FootnoteReference"/>
          <w:rFonts w:ascii="Times New Roman" w:hAnsi="Times New Roman"/>
        </w:rPr>
        <w:footnoteReference w:id="451"/>
      </w:r>
    </w:p>
    <w:p w14:paraId="5FDED42E" w14:textId="77777777" w:rsidR="00FF302D" w:rsidRPr="00113F13" w:rsidRDefault="00FF302D" w:rsidP="00B63604">
      <w:pPr>
        <w:pStyle w:val="NormalNumberedTextTLRI"/>
        <w:numPr>
          <w:ilvl w:val="2"/>
          <w:numId w:val="31"/>
        </w:numPr>
        <w:tabs>
          <w:tab w:val="clear" w:pos="720"/>
        </w:tabs>
        <w:spacing w:line="259" w:lineRule="auto"/>
      </w:pPr>
      <w:r w:rsidRPr="00113F13">
        <w:t>The Government agreed with each of these proposals.</w:t>
      </w:r>
      <w:r w:rsidRPr="00113F13">
        <w:rPr>
          <w:rStyle w:val="FootnoteReference"/>
          <w:rFonts w:ascii="Times New Roman" w:hAnsi="Times New Roman"/>
        </w:rPr>
        <w:footnoteReference w:id="452"/>
      </w:r>
    </w:p>
    <w:p w14:paraId="027EDCEE" w14:textId="77777777" w:rsidR="00FF302D" w:rsidRPr="00113F13" w:rsidRDefault="00FF302D" w:rsidP="00A142A1">
      <w:pPr>
        <w:pStyle w:val="Sub-HeadingTLRI"/>
      </w:pPr>
      <w:bookmarkStart w:id="438" w:name="_Toc164606603"/>
      <w:r w:rsidRPr="00113F13">
        <w:t>Collection of unsolicited information</w:t>
      </w:r>
      <w:bookmarkEnd w:id="438"/>
    </w:p>
    <w:p w14:paraId="57EE3F5F" w14:textId="77777777" w:rsidR="00FF302D" w:rsidRPr="00113F13" w:rsidRDefault="00FF302D" w:rsidP="00B63604">
      <w:pPr>
        <w:pStyle w:val="NormalNumberedTextTLRI"/>
        <w:numPr>
          <w:ilvl w:val="2"/>
          <w:numId w:val="31"/>
        </w:numPr>
        <w:tabs>
          <w:tab w:val="clear" w:pos="720"/>
        </w:tabs>
        <w:spacing w:line="259" w:lineRule="auto"/>
      </w:pPr>
      <w:bookmarkStart w:id="439" w:name="_Toc143872334"/>
      <w:r w:rsidRPr="00113F13">
        <w:t>The Privacy Act Review did not recommend any changes to the Privacy Act’s approach to unsolicited information.</w:t>
      </w:r>
      <w:bookmarkEnd w:id="439"/>
    </w:p>
    <w:p w14:paraId="6A020018" w14:textId="77777777" w:rsidR="00FF302D" w:rsidRPr="00113F13" w:rsidRDefault="00FF302D" w:rsidP="00A142A1">
      <w:pPr>
        <w:pStyle w:val="Sub-HeadingTLRI"/>
      </w:pPr>
      <w:bookmarkStart w:id="440" w:name="_Toc164606604"/>
      <w:r w:rsidRPr="00113F13">
        <w:t>Use and disclosure of personal information (including sensitive information)</w:t>
      </w:r>
      <w:bookmarkEnd w:id="440"/>
    </w:p>
    <w:p w14:paraId="69CA8EBB" w14:textId="77777777" w:rsidR="00FF302D" w:rsidRPr="00113F13" w:rsidRDefault="00FF302D" w:rsidP="00B63604">
      <w:pPr>
        <w:pStyle w:val="NormalNumberedTextTLRI"/>
        <w:numPr>
          <w:ilvl w:val="2"/>
          <w:numId w:val="31"/>
        </w:numPr>
        <w:tabs>
          <w:tab w:val="clear" w:pos="720"/>
        </w:tabs>
        <w:spacing w:line="259" w:lineRule="auto"/>
      </w:pPr>
      <w:bookmarkStart w:id="441" w:name="_Toc143872335"/>
      <w:r w:rsidRPr="00113F13">
        <w:t>The Review proposed the introduction of an additional accountability requirement on APP entities to promote appropriate privacy risk management; namely, that they must ‘determine and record’ the purposes for which personal information will be collected, used, and disclosed at or before the time of collection.</w:t>
      </w:r>
      <w:r w:rsidRPr="00113F13">
        <w:rPr>
          <w:rStyle w:val="FootnoteReference"/>
          <w:rFonts w:ascii="Times New Roman" w:hAnsi="Times New Roman"/>
        </w:rPr>
        <w:footnoteReference w:id="453"/>
      </w:r>
      <w:r w:rsidRPr="00113F13">
        <w:t xml:space="preserve"> In relation to use or disclosure for secondary purposes, the Review proposed that APP </w:t>
      </w:r>
      <w:r w:rsidRPr="00113F13">
        <w:lastRenderedPageBreak/>
        <w:t>entities be required to record the secondary purpose at or before the time of undertaking the secondary use or disclosure.</w:t>
      </w:r>
      <w:r w:rsidRPr="00113F13">
        <w:rPr>
          <w:rStyle w:val="FootnoteReference"/>
          <w:rFonts w:ascii="Times New Roman" w:hAnsi="Times New Roman"/>
        </w:rPr>
        <w:footnoteReference w:id="454"/>
      </w:r>
      <w:bookmarkEnd w:id="441"/>
      <w:r w:rsidRPr="00113F13">
        <w:t xml:space="preserve"> </w:t>
      </w:r>
    </w:p>
    <w:p w14:paraId="1AD278FF" w14:textId="7215CA69" w:rsidR="00FF302D" w:rsidRPr="00113F13" w:rsidRDefault="00FF302D" w:rsidP="00B63604">
      <w:pPr>
        <w:pStyle w:val="NormalNumberedTextTLRI"/>
        <w:numPr>
          <w:ilvl w:val="2"/>
          <w:numId w:val="31"/>
        </w:numPr>
        <w:tabs>
          <w:tab w:val="clear" w:pos="720"/>
        </w:tabs>
        <w:spacing w:line="259" w:lineRule="auto"/>
      </w:pPr>
      <w:bookmarkStart w:id="442" w:name="_Toc143872336"/>
      <w:r w:rsidRPr="00113F13">
        <w:t xml:space="preserve">The Review explained that this could have multiple benefits, including supporting entities’ demonstration of their compliance with the Privacy Act, and assessment of whether collection, use, or disclosure is ‘fair and reasonable in the circumstances’, and supporting their ability to respond to individual rights requests and complaints (which </w:t>
      </w:r>
      <w:r w:rsidRPr="002D0004">
        <w:t xml:space="preserve">are </w:t>
      </w:r>
      <w:r w:rsidRPr="00EA22F8">
        <w:t>discussed further below)</w:t>
      </w:r>
      <w:r w:rsidRPr="002D0004">
        <w:t>.</w:t>
      </w:r>
      <w:r w:rsidRPr="002D0004">
        <w:rPr>
          <w:rStyle w:val="FootnoteReference"/>
          <w:rFonts w:ascii="Times New Roman" w:hAnsi="Times New Roman"/>
        </w:rPr>
        <w:footnoteReference w:id="455"/>
      </w:r>
      <w:bookmarkEnd w:id="442"/>
      <w:r w:rsidRPr="00113F13">
        <w:t xml:space="preserve"> The Government agreed in-principle with this proposal.</w:t>
      </w:r>
      <w:r w:rsidRPr="00113F13">
        <w:rPr>
          <w:rStyle w:val="FootnoteReference"/>
          <w:rFonts w:ascii="Times New Roman" w:hAnsi="Times New Roman"/>
        </w:rPr>
        <w:footnoteReference w:id="456"/>
      </w:r>
    </w:p>
    <w:p w14:paraId="1778990B" w14:textId="317F1ECA" w:rsidR="00FF302D" w:rsidRPr="00113F13" w:rsidRDefault="00FF302D" w:rsidP="00B63604">
      <w:pPr>
        <w:pStyle w:val="NormalNumberedTextTLRI"/>
        <w:numPr>
          <w:ilvl w:val="2"/>
          <w:numId w:val="31"/>
        </w:numPr>
        <w:tabs>
          <w:tab w:val="clear" w:pos="720"/>
        </w:tabs>
        <w:spacing w:line="259" w:lineRule="auto"/>
      </w:pPr>
      <w:bookmarkStart w:id="443" w:name="_Toc143872337"/>
      <w:r w:rsidRPr="00113F13">
        <w:t>The Review proposed that the Privacy Act be amended to add a definition of ‘disclosure’, largely in response to concerns about cross-border flows of information.</w:t>
      </w:r>
      <w:r w:rsidRPr="00113F13">
        <w:rPr>
          <w:rStyle w:val="FootnoteReference"/>
          <w:rFonts w:ascii="Times New Roman" w:hAnsi="Times New Roman"/>
        </w:rPr>
        <w:footnoteReference w:id="457"/>
      </w:r>
      <w:r w:rsidRPr="00113F13">
        <w:t xml:space="preserve"> That proposal is discussed at </w:t>
      </w:r>
      <w:r w:rsidRPr="00EA22F8">
        <w:t>paragraph [</w:t>
      </w:r>
      <w:r w:rsidR="003D7B22" w:rsidRPr="003D7B22">
        <w:fldChar w:fldCharType="begin"/>
      </w:r>
      <w:r w:rsidR="003D7B22" w:rsidRPr="003D7B22">
        <w:instrText xml:space="preserve"> REF _Ref164778754 \r \h </w:instrText>
      </w:r>
      <w:r w:rsidR="003D7B22">
        <w:instrText xml:space="preserve"> \* MERGEFORMAT </w:instrText>
      </w:r>
      <w:r w:rsidR="003D7B22" w:rsidRPr="003D7B22">
        <w:fldChar w:fldCharType="separate"/>
      </w:r>
      <w:r w:rsidR="00462C30">
        <w:rPr>
          <w:cs/>
        </w:rPr>
        <w:t>‎</w:t>
      </w:r>
      <w:r w:rsidR="00462C30">
        <w:t>5.4.20</w:t>
      </w:r>
      <w:r w:rsidR="003D7B22" w:rsidRPr="003D7B22">
        <w:fldChar w:fldCharType="end"/>
      </w:r>
      <w:r w:rsidRPr="00EA22F8">
        <w:t>] below</w:t>
      </w:r>
      <w:r w:rsidRPr="003D7B22">
        <w:t>.</w:t>
      </w:r>
      <w:bookmarkEnd w:id="443"/>
    </w:p>
    <w:p w14:paraId="0893FCA3" w14:textId="77777777" w:rsidR="00FF302D" w:rsidRPr="00113F13" w:rsidRDefault="00FF302D" w:rsidP="00A142A1">
      <w:pPr>
        <w:pStyle w:val="Sub-HeadingTLRI"/>
      </w:pPr>
      <w:bookmarkStart w:id="444" w:name="_Toc164606605"/>
      <w:r w:rsidRPr="00113F13">
        <w:t>Cross-border disclosure</w:t>
      </w:r>
      <w:bookmarkEnd w:id="444"/>
    </w:p>
    <w:p w14:paraId="304FB130" w14:textId="77777777" w:rsidR="00FF302D" w:rsidRPr="00113F13" w:rsidRDefault="00FF302D" w:rsidP="00B63604">
      <w:pPr>
        <w:pStyle w:val="NormalNumberedTextTLRI"/>
        <w:numPr>
          <w:ilvl w:val="2"/>
          <w:numId w:val="31"/>
        </w:numPr>
        <w:tabs>
          <w:tab w:val="clear" w:pos="720"/>
        </w:tabs>
        <w:spacing w:line="259" w:lineRule="auto"/>
      </w:pPr>
      <w:bookmarkStart w:id="445" w:name="_Toc143872338"/>
      <w:r w:rsidRPr="00113F13">
        <w:t>The Privacy Act Review discussed the exception to the requirement for an APP entity to take ‘reasonable steps’ to ensure compliance with the APPs, if it reasonably believes:</w:t>
      </w:r>
    </w:p>
    <w:p w14:paraId="7C4D4C36" w14:textId="77777777" w:rsidR="00FF302D" w:rsidRPr="00113F13" w:rsidRDefault="00FF302D" w:rsidP="00A142A1">
      <w:pPr>
        <w:pStyle w:val="DotPointTLRI"/>
      </w:pPr>
      <w:r w:rsidRPr="00113F13">
        <w:t xml:space="preserve">the cross-border recipient of the information is subject to protections under a law or binding scheme which is substantially similar to the APPs; and </w:t>
      </w:r>
    </w:p>
    <w:p w14:paraId="3C71A249" w14:textId="78FD857D" w:rsidR="00FF302D" w:rsidRPr="00AF0D59" w:rsidRDefault="00FF302D" w:rsidP="00A142A1">
      <w:pPr>
        <w:pStyle w:val="DotPointTLRI"/>
      </w:pPr>
      <w:r w:rsidRPr="00113F13">
        <w:t xml:space="preserve">there are mechanisms an individual can </w:t>
      </w:r>
      <w:r w:rsidRPr="00AF0D59">
        <w:t xml:space="preserve">access to take action to enforce the protections </w:t>
      </w:r>
      <w:r w:rsidRPr="00EA22F8">
        <w:t>(see [</w:t>
      </w:r>
      <w:r w:rsidR="00AF0D59" w:rsidRPr="00AF0D59">
        <w:fldChar w:fldCharType="begin"/>
      </w:r>
      <w:r w:rsidR="00AF0D59" w:rsidRPr="00AF0D59">
        <w:instrText xml:space="preserve"> REF _Ref164778812 \r \h </w:instrText>
      </w:r>
      <w:r w:rsidR="00AF0D59">
        <w:instrText xml:space="preserve"> \* MERGEFORMAT </w:instrText>
      </w:r>
      <w:r w:rsidR="00AF0D59" w:rsidRPr="00AF0D59">
        <w:fldChar w:fldCharType="separate"/>
      </w:r>
      <w:r w:rsidR="00462C30">
        <w:rPr>
          <w:cs/>
        </w:rPr>
        <w:t>‎</w:t>
      </w:r>
      <w:r w:rsidR="00462C30">
        <w:t>5.3.29</w:t>
      </w:r>
      <w:r w:rsidR="00AF0D59" w:rsidRPr="00AF0D59">
        <w:fldChar w:fldCharType="end"/>
      </w:r>
      <w:r w:rsidRPr="00EA22F8">
        <w:t>] ab</w:t>
      </w:r>
      <w:r w:rsidRPr="00AF0D59">
        <w:t>ove).</w:t>
      </w:r>
      <w:r w:rsidRPr="00AF0D59">
        <w:rPr>
          <w:rStyle w:val="FootnoteReference"/>
          <w:rFonts w:ascii="Times New Roman" w:hAnsi="Times New Roman"/>
        </w:rPr>
        <w:footnoteReference w:id="458"/>
      </w:r>
      <w:bookmarkEnd w:id="445"/>
    </w:p>
    <w:p w14:paraId="6E6BAF4C" w14:textId="77777777" w:rsidR="00FF302D" w:rsidRPr="00113F13" w:rsidRDefault="00FF302D" w:rsidP="00B63604">
      <w:pPr>
        <w:pStyle w:val="NormalNumberedTextTLRI"/>
        <w:numPr>
          <w:ilvl w:val="2"/>
          <w:numId w:val="31"/>
        </w:numPr>
        <w:tabs>
          <w:tab w:val="clear" w:pos="720"/>
        </w:tabs>
        <w:spacing w:line="259" w:lineRule="auto"/>
      </w:pPr>
      <w:bookmarkStart w:id="446" w:name="_Ref152228777"/>
      <w:bookmarkStart w:id="447" w:name="_Toc143872339"/>
      <w:r w:rsidRPr="00113F13">
        <w:t>Submissions to the Review had expressed concern about the burden this placed on APP entities to assess whether overseas regimes met this requirement. Consequently, the Review proposed the introduction of a ‘mechanism to prescribe countries and certification schemes as providing substantially similar protections to the APPs’, which was supported by a large number of submitters to the review.</w:t>
      </w:r>
      <w:r w:rsidRPr="00113F13">
        <w:rPr>
          <w:rStyle w:val="FootnoteReference"/>
          <w:rFonts w:ascii="Times New Roman" w:hAnsi="Times New Roman"/>
        </w:rPr>
        <w:footnoteReference w:id="459"/>
      </w:r>
      <w:r w:rsidRPr="00113F13">
        <w:t xml:space="preserve"> The Government agreed with this proposal.</w:t>
      </w:r>
      <w:r w:rsidRPr="00113F13">
        <w:rPr>
          <w:rStyle w:val="FootnoteReference"/>
          <w:rFonts w:ascii="Times New Roman" w:hAnsi="Times New Roman"/>
        </w:rPr>
        <w:footnoteReference w:id="460"/>
      </w:r>
      <w:bookmarkEnd w:id="446"/>
    </w:p>
    <w:p w14:paraId="3430DC37" w14:textId="77777777" w:rsidR="00FF302D" w:rsidRPr="00113F13" w:rsidRDefault="00FF302D" w:rsidP="00B63604">
      <w:pPr>
        <w:pStyle w:val="NormalNumberedTextTLRI"/>
        <w:numPr>
          <w:ilvl w:val="2"/>
          <w:numId w:val="31"/>
        </w:numPr>
        <w:tabs>
          <w:tab w:val="clear" w:pos="720"/>
        </w:tabs>
        <w:spacing w:line="259" w:lineRule="auto"/>
      </w:pPr>
      <w:r w:rsidRPr="00113F13">
        <w:t>The Review further suggested that standard contractual clauses be made available to APP entities to assist with their Privacy Act compliance when transferring personal information to overseas entities in places that are not prescribed by the abovementioned mechanism.</w:t>
      </w:r>
      <w:r w:rsidRPr="00113F13">
        <w:rPr>
          <w:rStyle w:val="FootnoteReference"/>
          <w:rFonts w:ascii="Times New Roman" w:hAnsi="Times New Roman"/>
        </w:rPr>
        <w:footnoteReference w:id="461"/>
      </w:r>
      <w:bookmarkEnd w:id="447"/>
      <w:r w:rsidRPr="00113F13">
        <w:t xml:space="preserve"> The Government agreed in-principle with this proposal.</w:t>
      </w:r>
      <w:r w:rsidRPr="00113F13">
        <w:rPr>
          <w:rStyle w:val="FootnoteReference"/>
          <w:rFonts w:ascii="Times New Roman" w:hAnsi="Times New Roman"/>
        </w:rPr>
        <w:footnoteReference w:id="462"/>
      </w:r>
    </w:p>
    <w:p w14:paraId="517CE925" w14:textId="46AE5229" w:rsidR="00FF302D" w:rsidRPr="00113F13" w:rsidRDefault="00FF302D" w:rsidP="00B63604">
      <w:pPr>
        <w:pStyle w:val="NormalNumberedTextTLRI"/>
        <w:numPr>
          <w:ilvl w:val="2"/>
          <w:numId w:val="31"/>
        </w:numPr>
        <w:tabs>
          <w:tab w:val="clear" w:pos="720"/>
        </w:tabs>
        <w:spacing w:line="259" w:lineRule="auto"/>
      </w:pPr>
      <w:bookmarkStart w:id="448" w:name="_Toc143872340"/>
      <w:r w:rsidRPr="00113F13">
        <w:t>The Review recommended strengthening the consent exception to the ‘reasonable steps’ requirement, if an APP entity has informed an individual that the requirement will not apply if they consent to overseas disclosure of their personal information. It proposed that entities be required to ‘consider the risks of an overseas disclosure and to inform individuals that privacy protections may not apply to their information if they consent to the disclosure’.</w:t>
      </w:r>
      <w:r w:rsidRPr="00113F13">
        <w:rPr>
          <w:rStyle w:val="FootnoteReference"/>
          <w:rFonts w:ascii="Times New Roman" w:hAnsi="Times New Roman"/>
        </w:rPr>
        <w:footnoteReference w:id="463"/>
      </w:r>
      <w:r w:rsidRPr="00113F13">
        <w:t xml:space="preserve"> This proposal was made in response to concerns raised by some stakeholders that the consent exception placed too much burden on individuals </w:t>
      </w:r>
      <w:r w:rsidRPr="00113F13">
        <w:lastRenderedPageBreak/>
        <w:t>to consider privacy risks relating to overseas disclosure.</w:t>
      </w:r>
      <w:r w:rsidRPr="00113F13">
        <w:rPr>
          <w:rStyle w:val="FootnoteReference"/>
          <w:rFonts w:ascii="Times New Roman" w:hAnsi="Times New Roman"/>
        </w:rPr>
        <w:footnoteReference w:id="464"/>
      </w:r>
      <w:bookmarkEnd w:id="448"/>
      <w:r w:rsidRPr="00113F13">
        <w:t xml:space="preserve"> The Government agreed in-principle with this proposal, but stated that consideration should be given to whether a proposed fair and reasonable test </w:t>
      </w:r>
      <w:r w:rsidRPr="00A121D1">
        <w:t>(d</w:t>
      </w:r>
      <w:r w:rsidRPr="00EA22F8">
        <w:t>iscussed at [</w:t>
      </w:r>
      <w:r w:rsidR="00A121D1" w:rsidRPr="00A121D1">
        <w:fldChar w:fldCharType="begin"/>
      </w:r>
      <w:r w:rsidR="00A121D1" w:rsidRPr="00A121D1">
        <w:instrText xml:space="preserve"> REF _Ref150165075 \r \h </w:instrText>
      </w:r>
      <w:r w:rsidR="00A121D1">
        <w:instrText xml:space="preserve"> \* MERGEFORMAT </w:instrText>
      </w:r>
      <w:r w:rsidR="00A121D1" w:rsidRPr="00A121D1">
        <w:fldChar w:fldCharType="separate"/>
      </w:r>
      <w:r w:rsidR="00462C30">
        <w:rPr>
          <w:cs/>
        </w:rPr>
        <w:t>‎</w:t>
      </w:r>
      <w:r w:rsidR="00462C30">
        <w:t>5.4.24</w:t>
      </w:r>
      <w:r w:rsidR="00A121D1" w:rsidRPr="00A121D1">
        <w:fldChar w:fldCharType="end"/>
      </w:r>
      <w:r w:rsidRPr="00EA22F8">
        <w:t>] below</w:t>
      </w:r>
      <w:r w:rsidRPr="00113F13">
        <w:t>) ‘may achieve this aim while providing entities with sufficient flexibility’.</w:t>
      </w:r>
      <w:r w:rsidRPr="00113F13">
        <w:rPr>
          <w:rStyle w:val="FootnoteReference"/>
          <w:rFonts w:ascii="Times New Roman" w:hAnsi="Times New Roman"/>
        </w:rPr>
        <w:footnoteReference w:id="465"/>
      </w:r>
    </w:p>
    <w:p w14:paraId="40090F00" w14:textId="77777777" w:rsidR="00FF302D" w:rsidRPr="00113F13" w:rsidRDefault="00FF302D" w:rsidP="00B63604">
      <w:pPr>
        <w:pStyle w:val="NormalNumberedTextTLRI"/>
        <w:numPr>
          <w:ilvl w:val="2"/>
          <w:numId w:val="31"/>
        </w:numPr>
        <w:tabs>
          <w:tab w:val="clear" w:pos="720"/>
        </w:tabs>
        <w:spacing w:line="259" w:lineRule="auto"/>
      </w:pPr>
      <w:bookmarkStart w:id="449" w:name="_Toc143872341"/>
      <w:bookmarkStart w:id="450" w:name="_Ref149726284"/>
      <w:bookmarkStart w:id="451" w:name="_Ref164778754"/>
      <w:r w:rsidRPr="00113F13">
        <w:t>The Review also proposed that a definition of ‘disclosure’, based on the definition in existing OAIC guidance, be added to the Privacy Act.</w:t>
      </w:r>
      <w:r w:rsidRPr="00113F13">
        <w:rPr>
          <w:rStyle w:val="FootnoteReference"/>
          <w:rFonts w:ascii="Times New Roman" w:hAnsi="Times New Roman"/>
        </w:rPr>
        <w:footnoteReference w:id="466"/>
      </w:r>
      <w:r w:rsidRPr="00113F13">
        <w:t xml:space="preserve"> As explained in the Final Report:</w:t>
      </w:r>
      <w:bookmarkEnd w:id="449"/>
      <w:bookmarkEnd w:id="450"/>
      <w:bookmarkEnd w:id="451"/>
    </w:p>
    <w:p w14:paraId="369155AE" w14:textId="77777777" w:rsidR="00FF302D" w:rsidRPr="00EA22F8" w:rsidRDefault="00FF302D" w:rsidP="082BF74E">
      <w:pPr>
        <w:pStyle w:val="Heading3"/>
        <w:ind w:left="864"/>
        <w:rPr>
          <w:rFonts w:ascii="Times New Roman" w:hAnsi="Times New Roman" w:cs="Times New Roman"/>
          <w:color w:val="auto"/>
        </w:rPr>
      </w:pPr>
      <w:bookmarkStart w:id="452" w:name="_Toc143872342"/>
      <w:bookmarkStart w:id="453" w:name="_Toc164600336"/>
      <w:r w:rsidRPr="00EA22F8">
        <w:rPr>
          <w:rFonts w:ascii="Times New Roman" w:hAnsi="Times New Roman" w:cs="Times New Roman"/>
          <w:color w:val="auto"/>
        </w:rPr>
        <w:t>OAIC guidance distinguishes between the concept of ‘use’ encompassing information handling and management activities occurring within an entity’s effective control, and ‘disclosure’ which occurs when an entity makes information accessible or visible to others outside the entity and releases the subsequent handling of the personal information from its effective control.</w:t>
      </w:r>
      <w:r w:rsidRPr="00EA22F8">
        <w:rPr>
          <w:rStyle w:val="FootnoteReference"/>
          <w:rFonts w:ascii="Times New Roman" w:hAnsi="Times New Roman" w:cs="Times New Roman"/>
          <w:color w:val="auto"/>
        </w:rPr>
        <w:footnoteReference w:id="467"/>
      </w:r>
      <w:bookmarkEnd w:id="452"/>
      <w:bookmarkEnd w:id="453"/>
    </w:p>
    <w:p w14:paraId="0090D685" w14:textId="77777777" w:rsidR="00FF302D" w:rsidRPr="00113F13" w:rsidRDefault="00FF302D" w:rsidP="00B63604">
      <w:pPr>
        <w:pStyle w:val="NormalNumberedTextTLRI"/>
        <w:numPr>
          <w:ilvl w:val="2"/>
          <w:numId w:val="31"/>
        </w:numPr>
        <w:tabs>
          <w:tab w:val="clear" w:pos="720"/>
        </w:tabs>
        <w:spacing w:line="259" w:lineRule="auto"/>
      </w:pPr>
      <w:bookmarkStart w:id="454" w:name="_Toc143872343"/>
      <w:r w:rsidRPr="00113F13">
        <w:t>The Review stated that many submitters supported the proposal to introduce a definition of disclosure on the basis that this would help APP entities to determine the application of APP 8 in relation to overseas transfers, as well as clarifying that APP 8 does not apply to entities that provide personal information to secure cloud service providers that are located overseas.</w:t>
      </w:r>
      <w:r w:rsidRPr="00113F13">
        <w:rPr>
          <w:rStyle w:val="FootnoteReference"/>
          <w:rFonts w:ascii="Times New Roman" w:hAnsi="Times New Roman"/>
        </w:rPr>
        <w:footnoteReference w:id="468"/>
      </w:r>
      <w:bookmarkEnd w:id="454"/>
      <w:r w:rsidRPr="00113F13">
        <w:t xml:space="preserve"> The Government agreed in-principle with this proposal.</w:t>
      </w:r>
      <w:r w:rsidRPr="00113F13">
        <w:rPr>
          <w:rStyle w:val="FootnoteReference"/>
          <w:rFonts w:ascii="Times New Roman" w:hAnsi="Times New Roman"/>
        </w:rPr>
        <w:footnoteReference w:id="469"/>
      </w:r>
    </w:p>
    <w:p w14:paraId="4F826BC8" w14:textId="77777777" w:rsidR="00FF302D" w:rsidRPr="00113F13" w:rsidRDefault="00FF302D" w:rsidP="00B63604">
      <w:pPr>
        <w:pStyle w:val="NormalNumberedTextTLRI"/>
        <w:numPr>
          <w:ilvl w:val="2"/>
          <w:numId w:val="31"/>
        </w:numPr>
        <w:tabs>
          <w:tab w:val="clear" w:pos="720"/>
        </w:tabs>
        <w:spacing w:line="259" w:lineRule="auto"/>
      </w:pPr>
      <w:r w:rsidRPr="00113F13">
        <w:t>The Review also proposed that existing APP 8 protections should be extended to de-identified information by requiring APP entities to take reasonable steps to ensure overseas recipients of de-identified information do not breach the APPs in relation to the information, ‘including ensuring that the receiving entity does not reidentify the information or further disclose the information in such a way as to undermine the effectiveness of de-identification’.</w:t>
      </w:r>
      <w:r w:rsidRPr="00113F13">
        <w:rPr>
          <w:rStyle w:val="FootnoteReference"/>
          <w:rFonts w:ascii="Times New Roman" w:hAnsi="Times New Roman"/>
        </w:rPr>
        <w:footnoteReference w:id="470"/>
      </w:r>
      <w:r w:rsidRPr="00113F13">
        <w:t xml:space="preserve"> The Government noted this proposal and undertook to ‘consider further’ how the objective of protecting de-identified information from unauthorised re-identification could be achieved.</w:t>
      </w:r>
      <w:r w:rsidRPr="00113F13">
        <w:rPr>
          <w:rStyle w:val="FootnoteReference"/>
          <w:rFonts w:ascii="Times New Roman" w:hAnsi="Times New Roman"/>
        </w:rPr>
        <w:footnoteReference w:id="471"/>
      </w:r>
    </w:p>
    <w:p w14:paraId="596DABBA" w14:textId="77777777" w:rsidR="00FF302D" w:rsidRPr="00113F13" w:rsidRDefault="00FF302D" w:rsidP="00A142A1">
      <w:pPr>
        <w:pStyle w:val="Sub-HeadingTLRI"/>
      </w:pPr>
      <w:bookmarkStart w:id="455" w:name="_Toc164606606"/>
      <w:r w:rsidRPr="00113F13">
        <w:t>Additional proposals relating to collection, use or disclosure</w:t>
      </w:r>
      <w:bookmarkEnd w:id="455"/>
    </w:p>
    <w:p w14:paraId="5F61DC3B" w14:textId="5A88E46C" w:rsidR="00FF302D" w:rsidRPr="00113F13" w:rsidRDefault="00FF302D" w:rsidP="00B63604">
      <w:pPr>
        <w:pStyle w:val="NormalNumberedTextTLRI"/>
        <w:numPr>
          <w:ilvl w:val="2"/>
          <w:numId w:val="31"/>
        </w:numPr>
        <w:tabs>
          <w:tab w:val="clear" w:pos="720"/>
        </w:tabs>
        <w:spacing w:line="259" w:lineRule="auto"/>
      </w:pPr>
      <w:bookmarkStart w:id="456" w:name="_Toc143872344"/>
      <w:bookmarkStart w:id="457" w:name="_Ref152253956"/>
      <w:bookmarkStart w:id="458" w:name="_Ref164778146"/>
      <w:r w:rsidRPr="00113F13">
        <w:t>The Privacy Act Review also considered matters that affect all the stages of personal information handling discussed in this</w:t>
      </w:r>
      <w:r w:rsidR="00CB2B89">
        <w:t xml:space="preserve"> Part</w:t>
      </w:r>
      <w:r w:rsidRPr="00113F13">
        <w:t>: collection, use, and disclosure. It proposed the introduction of three overarching changes to the obligations on APP entities:</w:t>
      </w:r>
      <w:bookmarkEnd w:id="456"/>
      <w:bookmarkEnd w:id="457"/>
      <w:bookmarkEnd w:id="458"/>
    </w:p>
    <w:p w14:paraId="484A9F38" w14:textId="77777777" w:rsidR="00FF302D" w:rsidRPr="00113F13" w:rsidRDefault="00FF302D" w:rsidP="00A142A1">
      <w:pPr>
        <w:pStyle w:val="DotPointTLRI"/>
        <w:rPr>
          <w:b/>
          <w:bCs/>
          <w:i/>
          <w:iCs/>
        </w:rPr>
      </w:pPr>
      <w:r w:rsidRPr="00113F13">
        <w:t>a prohibition on collection, use, and disclosure, unless it is ‘fair and reasonable in the circumstances’;</w:t>
      </w:r>
    </w:p>
    <w:p w14:paraId="71CB14BD" w14:textId="77777777" w:rsidR="00FF302D" w:rsidRPr="00113F13" w:rsidRDefault="00FF302D" w:rsidP="00A142A1">
      <w:pPr>
        <w:pStyle w:val="DotPointTLRI"/>
        <w:rPr>
          <w:b/>
          <w:bCs/>
          <w:i/>
          <w:iCs/>
        </w:rPr>
      </w:pPr>
      <w:r w:rsidRPr="00113F13">
        <w:t>the strengthening of consent requirements in relation to specified types of collection, use, and disclosure; and</w:t>
      </w:r>
    </w:p>
    <w:p w14:paraId="16E777FF" w14:textId="77777777" w:rsidR="00FF302D" w:rsidRPr="00113F13" w:rsidRDefault="00FF302D" w:rsidP="00A142A1">
      <w:pPr>
        <w:pStyle w:val="DotPointTLRI"/>
      </w:pPr>
      <w:r w:rsidRPr="00113F13">
        <w:lastRenderedPageBreak/>
        <w:t>the introduction of an individual ‘right to object’ to the collection, use, or disclosure of personal information; that is, ‘a right to challenge whether an APP entity’s handling of information complies with the Act’.</w:t>
      </w:r>
      <w:r w:rsidRPr="00113F13">
        <w:rPr>
          <w:rStyle w:val="FootnoteReference"/>
          <w:rFonts w:ascii="Times New Roman" w:hAnsi="Times New Roman"/>
        </w:rPr>
        <w:footnoteReference w:id="472"/>
      </w:r>
    </w:p>
    <w:p w14:paraId="48F32350" w14:textId="52107870" w:rsidR="00FF302D" w:rsidRPr="00113F13" w:rsidRDefault="00FF302D" w:rsidP="00A142A1">
      <w:pPr>
        <w:pStyle w:val="Sub-HeadingTLRI"/>
      </w:pPr>
      <w:bookmarkStart w:id="459" w:name="_Toc164606607"/>
      <w:r w:rsidRPr="00EA22F8">
        <w:t>Fair and reasonable test</w:t>
      </w:r>
      <w:bookmarkEnd w:id="459"/>
      <w:r w:rsidR="002902E8">
        <w:t xml:space="preserve"> </w:t>
      </w:r>
    </w:p>
    <w:p w14:paraId="329E9E50" w14:textId="0D6FDA08" w:rsidR="00FF302D" w:rsidRPr="00113F13" w:rsidRDefault="00FF302D" w:rsidP="00B63604">
      <w:pPr>
        <w:pStyle w:val="NormalNumberedTextTLRI"/>
        <w:numPr>
          <w:ilvl w:val="2"/>
          <w:numId w:val="31"/>
        </w:numPr>
        <w:tabs>
          <w:tab w:val="clear" w:pos="720"/>
        </w:tabs>
        <w:spacing w:line="259" w:lineRule="auto"/>
      </w:pPr>
      <w:bookmarkStart w:id="460" w:name="_Toc143872345"/>
      <w:bookmarkStart w:id="461" w:name="_Ref149726509"/>
      <w:bookmarkStart w:id="462" w:name="_Ref150165075"/>
      <w:r w:rsidRPr="00113F13">
        <w:t xml:space="preserve">The Review recommended amendments to the Privacy Act extend the existing requirement that collection of personal information be by ‘fair means’ in APP </w:t>
      </w:r>
      <w:r w:rsidRPr="002902E8">
        <w:t>3 (</w:t>
      </w:r>
      <w:r w:rsidRPr="00EA22F8">
        <w:t>discussed in [</w:t>
      </w:r>
      <w:r w:rsidR="002902E8" w:rsidRPr="002902E8">
        <w:fldChar w:fldCharType="begin"/>
      </w:r>
      <w:r w:rsidR="002902E8" w:rsidRPr="002902E8">
        <w:instrText xml:space="preserve"> REF _Ref149726875 \r \h </w:instrText>
      </w:r>
      <w:r w:rsidR="002902E8">
        <w:instrText xml:space="preserve"> \* MERGEFORMAT </w:instrText>
      </w:r>
      <w:r w:rsidR="002902E8" w:rsidRPr="002902E8">
        <w:fldChar w:fldCharType="separate"/>
      </w:r>
      <w:r w:rsidR="00462C30">
        <w:rPr>
          <w:cs/>
        </w:rPr>
        <w:t>‎</w:t>
      </w:r>
      <w:r w:rsidR="00462C30">
        <w:t>5.3.4</w:t>
      </w:r>
      <w:r w:rsidR="002902E8" w:rsidRPr="002902E8">
        <w:fldChar w:fldCharType="end"/>
      </w:r>
      <w:r w:rsidRPr="00EA22F8">
        <w:t>] above)</w:t>
      </w:r>
      <w:r w:rsidRPr="00113F13">
        <w:t xml:space="preserve"> to also apply to the use and disclosure of information. The Review recommended that this take the form of a limitation on collection, use, and disclosure of personal information to situations where it is ‘fair and reasonable in the circumstances’.</w:t>
      </w:r>
      <w:bookmarkEnd w:id="460"/>
      <w:r w:rsidRPr="00113F13">
        <w:rPr>
          <w:rStyle w:val="FootnoteReference"/>
          <w:rFonts w:ascii="Times New Roman" w:hAnsi="Times New Roman"/>
        </w:rPr>
        <w:footnoteReference w:id="473"/>
      </w:r>
      <w:bookmarkEnd w:id="461"/>
      <w:r w:rsidRPr="00113F13">
        <w:t xml:space="preserve"> This was ‘generally supported by submitters’ on the basis that it would ensure information handling was not harmful and was aligned with individuals’ reasonable expectations.</w:t>
      </w:r>
      <w:r w:rsidRPr="00113F13">
        <w:rPr>
          <w:rStyle w:val="FootnoteReference"/>
          <w:rFonts w:ascii="Times New Roman" w:hAnsi="Times New Roman"/>
        </w:rPr>
        <w:footnoteReference w:id="474"/>
      </w:r>
      <w:r w:rsidRPr="00113F13">
        <w:t xml:space="preserve"> The Privacy Act Review noted that most submitters considered that growing digital privacy risks would not be adequately addressed through enhanced disclosure and consent requirements (which require individuals to read potentially large volumes of information and assess current and future risks) and required the imposition of minimum standards governing information handling.</w:t>
      </w:r>
      <w:r w:rsidRPr="00113F13">
        <w:rPr>
          <w:rStyle w:val="FootnoteReference"/>
          <w:rFonts w:ascii="Times New Roman" w:hAnsi="Times New Roman"/>
        </w:rPr>
        <w:footnoteReference w:id="475"/>
      </w:r>
      <w:bookmarkEnd w:id="462"/>
      <w:r w:rsidRPr="00113F13">
        <w:t xml:space="preserve"> </w:t>
      </w:r>
    </w:p>
    <w:p w14:paraId="0A2C2C45" w14:textId="77777777" w:rsidR="00FF302D" w:rsidRPr="00113F13" w:rsidRDefault="00FF302D" w:rsidP="00B63604">
      <w:pPr>
        <w:pStyle w:val="NormalNumberedTextTLRI"/>
        <w:numPr>
          <w:ilvl w:val="2"/>
          <w:numId w:val="31"/>
        </w:numPr>
        <w:tabs>
          <w:tab w:val="clear" w:pos="720"/>
        </w:tabs>
        <w:spacing w:line="259" w:lineRule="auto"/>
      </w:pPr>
      <w:bookmarkStart w:id="463" w:name="_Toc143872346"/>
      <w:r w:rsidRPr="00113F13">
        <w:t>The Review further recommended that the Privacy Act be amended to include a list of considerations that may be taken into account in determining whether a collection, use, or disclosure is fair and reasonable in the circumstances. These include:</w:t>
      </w:r>
      <w:bookmarkEnd w:id="463"/>
    </w:p>
    <w:p w14:paraId="5BAB184C" w14:textId="77777777" w:rsidR="00FF302D" w:rsidRPr="00113F13" w:rsidRDefault="00FF302D" w:rsidP="00A142A1">
      <w:pPr>
        <w:pStyle w:val="DotPointTLRI"/>
      </w:pPr>
      <w:r w:rsidRPr="00113F13">
        <w:t>‘whether an individual would reasonably expect the personal information to be collected, used or disclosed’;</w:t>
      </w:r>
    </w:p>
    <w:p w14:paraId="4DD01584" w14:textId="77777777" w:rsidR="00FF302D" w:rsidRPr="00113F13" w:rsidRDefault="00FF302D" w:rsidP="00A142A1">
      <w:pPr>
        <w:pStyle w:val="DotPointTLRI"/>
      </w:pPr>
      <w:r w:rsidRPr="00113F13">
        <w:t>‘the kind, sensitivity and amount of personal information being collected, used or disclosed’;</w:t>
      </w:r>
    </w:p>
    <w:p w14:paraId="42D65719" w14:textId="77777777" w:rsidR="00FF302D" w:rsidRPr="00113F13" w:rsidRDefault="00FF302D" w:rsidP="00A142A1">
      <w:pPr>
        <w:pStyle w:val="DotPointTLRI"/>
      </w:pPr>
      <w:r w:rsidRPr="00113F13">
        <w:t>‘whether the collection, use or disclosure is reasonably necessary for the functions and activities of the organisation or is reasonably necessary or directly related for the functions and activities of the agency’;</w:t>
      </w:r>
    </w:p>
    <w:p w14:paraId="33D8345F" w14:textId="77777777" w:rsidR="00FF302D" w:rsidRPr="00113F13" w:rsidRDefault="00FF302D" w:rsidP="00A142A1">
      <w:pPr>
        <w:pStyle w:val="DotPointTLRI"/>
      </w:pPr>
      <w:r w:rsidRPr="00113F13">
        <w:t>‘the risk of unjustified adverse impact or harm’;</w:t>
      </w:r>
    </w:p>
    <w:p w14:paraId="085DF5A2" w14:textId="77777777" w:rsidR="00FF302D" w:rsidRPr="00113F13" w:rsidRDefault="00FF302D" w:rsidP="00A142A1">
      <w:pPr>
        <w:pStyle w:val="DotPointTLRI"/>
      </w:pPr>
      <w:r w:rsidRPr="00113F13">
        <w:t>‘whether the impact of privacy is proportionate to the benefit’;</w:t>
      </w:r>
    </w:p>
    <w:p w14:paraId="17A50884" w14:textId="77777777" w:rsidR="00FF302D" w:rsidRPr="00113F13" w:rsidRDefault="00FF302D" w:rsidP="00A142A1">
      <w:pPr>
        <w:pStyle w:val="DotPointTLRI"/>
      </w:pPr>
      <w:r w:rsidRPr="00113F13">
        <w:t>‘if the personal information relates to a child, whether the collection, use or disclosure of the personal information is in the best interests of the child’—on the basis that this would provide greater privacy protections for children and would allow for better balancing of children’s rights to safety and privacy with rights relating to information, expression and education; and</w:t>
      </w:r>
    </w:p>
    <w:p w14:paraId="3144806D" w14:textId="77777777" w:rsidR="00FF302D" w:rsidRPr="00113F13" w:rsidRDefault="00FF302D" w:rsidP="00A142A1">
      <w:pPr>
        <w:pStyle w:val="DotPointTLRI"/>
      </w:pPr>
      <w:r w:rsidRPr="00113F13">
        <w:t>the objects of the Privacy Act.</w:t>
      </w:r>
      <w:r w:rsidRPr="00113F13">
        <w:rPr>
          <w:rStyle w:val="FootnoteReference"/>
          <w:rFonts w:ascii="Times New Roman" w:hAnsi="Times New Roman"/>
        </w:rPr>
        <w:footnoteReference w:id="476"/>
      </w:r>
    </w:p>
    <w:p w14:paraId="2BFFB296" w14:textId="77777777" w:rsidR="00FF302D" w:rsidRPr="003215A2" w:rsidRDefault="00FF302D" w:rsidP="00B63604">
      <w:pPr>
        <w:pStyle w:val="NormalNumberedTextTLRI"/>
        <w:numPr>
          <w:ilvl w:val="2"/>
          <w:numId w:val="31"/>
        </w:numPr>
        <w:tabs>
          <w:tab w:val="clear" w:pos="720"/>
        </w:tabs>
        <w:spacing w:line="259" w:lineRule="auto"/>
      </w:pPr>
      <w:bookmarkStart w:id="464" w:name="_Ref152241662"/>
      <w:bookmarkStart w:id="465" w:name="_Toc143872347"/>
      <w:bookmarkStart w:id="466" w:name="_Ref164780929"/>
      <w:r w:rsidRPr="00113F13">
        <w:t>The Review proposed that the fair and reasonable requirement should apply regardless of whether consent had been obtained.</w:t>
      </w:r>
      <w:r w:rsidRPr="00113F13">
        <w:rPr>
          <w:rStyle w:val="FootnoteReference"/>
          <w:rFonts w:ascii="Times New Roman" w:hAnsi="Times New Roman"/>
        </w:rPr>
        <w:footnoteReference w:id="477"/>
      </w:r>
      <w:r w:rsidRPr="00113F13">
        <w:t xml:space="preserve"> However, it proposed that the requirement should not apply to certain the exceptions relating to the collection of sensitive information or the use and disclosure of personal information, such as collection, use, or disclosure required or authorised by law or a </w:t>
      </w:r>
      <w:r w:rsidRPr="00113F13">
        <w:lastRenderedPageBreak/>
        <w:t>court/tribunal order, relating to enforcement activities, or relating to permitted health purposes, among others</w:t>
      </w:r>
      <w:r w:rsidRPr="003215A2">
        <w:t>.</w:t>
      </w:r>
      <w:r w:rsidRPr="003215A2">
        <w:rPr>
          <w:rStyle w:val="FootnoteReference"/>
          <w:rFonts w:ascii="Times New Roman" w:hAnsi="Times New Roman"/>
        </w:rPr>
        <w:footnoteReference w:id="478"/>
      </w:r>
      <w:bookmarkEnd w:id="464"/>
      <w:r w:rsidRPr="003215A2">
        <w:t xml:space="preserve"> </w:t>
      </w:r>
      <w:bookmarkEnd w:id="465"/>
      <w:r w:rsidRPr="00EA22F8">
        <w:t>The Government agreed in-principle with each of these proposa</w:t>
      </w:r>
      <w:r w:rsidRPr="003215A2">
        <w:t>ls.</w:t>
      </w:r>
      <w:r w:rsidRPr="003215A2">
        <w:rPr>
          <w:rStyle w:val="FootnoteReference"/>
          <w:rFonts w:ascii="Times New Roman" w:hAnsi="Times New Roman"/>
        </w:rPr>
        <w:footnoteReference w:id="479"/>
      </w:r>
      <w:bookmarkEnd w:id="466"/>
    </w:p>
    <w:p w14:paraId="0B72E7EE" w14:textId="77777777" w:rsidR="00FF302D" w:rsidRPr="00113F13" w:rsidRDefault="00FF302D" w:rsidP="00A142A1">
      <w:pPr>
        <w:pStyle w:val="Sub-HeadingTLRI"/>
      </w:pPr>
      <w:bookmarkStart w:id="467" w:name="_Toc164606608"/>
      <w:r w:rsidRPr="00EA22F8">
        <w:t>Consent to collection, use, or disclosure</w:t>
      </w:r>
      <w:bookmarkEnd w:id="467"/>
      <w:r w:rsidRPr="00113F13">
        <w:t xml:space="preserve"> </w:t>
      </w:r>
    </w:p>
    <w:p w14:paraId="52385B38" w14:textId="77777777" w:rsidR="00FF302D" w:rsidRPr="00113F13" w:rsidRDefault="00FF302D" w:rsidP="00B63604">
      <w:pPr>
        <w:pStyle w:val="NormalNumberedTextTLRI"/>
        <w:numPr>
          <w:ilvl w:val="2"/>
          <w:numId w:val="31"/>
        </w:numPr>
        <w:tabs>
          <w:tab w:val="clear" w:pos="720"/>
        </w:tabs>
        <w:spacing w:line="259" w:lineRule="auto"/>
      </w:pPr>
      <w:bookmarkStart w:id="468" w:name="_Toc143872348"/>
      <w:r w:rsidRPr="00113F13">
        <w:t>The Privacy Act Review also considered whether there should be changes to the way consent to information-handling is defined, and the circumstances in which it should be obtained, in the Privacy Act. This included consideration of the existing requirement for individuals to consent to the collection of sensitive information (unless an exception applies), to consent to APP entities’ use or disclosure of personal information for a secondary purpose, or to consent to overseas disclosure of personal information.</w:t>
      </w:r>
      <w:r w:rsidRPr="00113F13">
        <w:rPr>
          <w:rStyle w:val="FootnoteReference"/>
          <w:rFonts w:ascii="Times New Roman" w:hAnsi="Times New Roman"/>
        </w:rPr>
        <w:footnoteReference w:id="480"/>
      </w:r>
      <w:bookmarkEnd w:id="468"/>
    </w:p>
    <w:p w14:paraId="5710514E" w14:textId="77777777" w:rsidR="00FF302D" w:rsidRPr="00113F13" w:rsidRDefault="00FF302D" w:rsidP="00B63604">
      <w:pPr>
        <w:pStyle w:val="NormalNumberedTextTLRI"/>
        <w:numPr>
          <w:ilvl w:val="2"/>
          <w:numId w:val="31"/>
        </w:numPr>
        <w:tabs>
          <w:tab w:val="clear" w:pos="720"/>
        </w:tabs>
        <w:spacing w:line="259" w:lineRule="auto"/>
      </w:pPr>
      <w:bookmarkStart w:id="469" w:name="_Toc143872349"/>
      <w:r w:rsidRPr="00113F13">
        <w:t>The Review rejected the recommendation in the ACCC’s DPI Report that consent should be required for all collection, use, and disclosure of personal information, unless the information is ‘necessary for performance of a contract to which the consumer is a party … is required under law, or is otherwise necessary for an overriding public interest reason’.</w:t>
      </w:r>
      <w:r w:rsidRPr="00113F13">
        <w:rPr>
          <w:rStyle w:val="FootnoteReference"/>
          <w:rFonts w:ascii="Times New Roman" w:hAnsi="Times New Roman"/>
        </w:rPr>
        <w:footnoteReference w:id="481"/>
      </w:r>
      <w:r w:rsidRPr="00113F13">
        <w:t xml:space="preserve"> The Review stated that there was ‘broad agreement’ among submitters that consent ‘is most effective when used in a narrow range of situations where individuals most need to exert control over their personal information’.</w:t>
      </w:r>
      <w:r w:rsidRPr="00113F13">
        <w:rPr>
          <w:rStyle w:val="FootnoteReference"/>
          <w:rFonts w:ascii="Times New Roman" w:hAnsi="Times New Roman"/>
        </w:rPr>
        <w:footnoteReference w:id="482"/>
      </w:r>
      <w:bookmarkEnd w:id="469"/>
      <w:r w:rsidRPr="00113F13">
        <w:t xml:space="preserve"> </w:t>
      </w:r>
    </w:p>
    <w:p w14:paraId="280BEEA3" w14:textId="77777777" w:rsidR="00FF302D" w:rsidRPr="00113F13" w:rsidRDefault="00FF302D" w:rsidP="00B63604">
      <w:pPr>
        <w:pStyle w:val="NormalNumberedTextTLRI"/>
        <w:numPr>
          <w:ilvl w:val="2"/>
          <w:numId w:val="31"/>
        </w:numPr>
        <w:tabs>
          <w:tab w:val="clear" w:pos="720"/>
        </w:tabs>
        <w:spacing w:line="259" w:lineRule="auto"/>
      </w:pPr>
      <w:bookmarkStart w:id="470" w:name="_Toc143872350"/>
      <w:r w:rsidRPr="00113F13">
        <w:t>Consequently, the Review proposed more modest changes to ‘improve the quality of consent obtained from individuals’. These were largely in response to concerns about online privacy—such as the use of ‘choice architecture’, ‘dark patterns’, or vague or complex wording to influence or confuse users in a manner that detracts from effective consent.</w:t>
      </w:r>
      <w:r w:rsidRPr="00113F13">
        <w:rPr>
          <w:rStyle w:val="FootnoteReference"/>
          <w:rFonts w:ascii="Times New Roman" w:hAnsi="Times New Roman"/>
        </w:rPr>
        <w:footnoteReference w:id="483"/>
      </w:r>
      <w:bookmarkEnd w:id="470"/>
      <w:r w:rsidRPr="00113F13">
        <w:t xml:space="preserve"> </w:t>
      </w:r>
    </w:p>
    <w:p w14:paraId="6CCE99C3" w14:textId="77777777" w:rsidR="00FF302D" w:rsidRPr="00113F13" w:rsidRDefault="00FF302D" w:rsidP="00B63604">
      <w:pPr>
        <w:pStyle w:val="NormalNumberedTextTLRI"/>
        <w:numPr>
          <w:ilvl w:val="2"/>
          <w:numId w:val="31"/>
        </w:numPr>
        <w:tabs>
          <w:tab w:val="clear" w:pos="720"/>
        </w:tabs>
        <w:spacing w:line="259" w:lineRule="auto"/>
      </w:pPr>
      <w:bookmarkStart w:id="471" w:name="_Toc143872351"/>
      <w:bookmarkStart w:id="472" w:name="_Ref150169597"/>
      <w:r w:rsidRPr="00113F13">
        <w:t>The Review proposed that the Privacy Act definition of consent be amended to specify that consent ‘must be voluntary, informed, current, specific, and unambiguous’.</w:t>
      </w:r>
      <w:r w:rsidRPr="00113F13">
        <w:rPr>
          <w:rStyle w:val="FootnoteReference"/>
          <w:rFonts w:ascii="Times New Roman" w:hAnsi="Times New Roman"/>
        </w:rPr>
        <w:footnoteReference w:id="484"/>
      </w:r>
      <w:bookmarkEnd w:id="471"/>
      <w:r w:rsidRPr="00113F13">
        <w:t xml:space="preserve"> The Government agreed in-principle with this proposal.</w:t>
      </w:r>
      <w:bookmarkEnd w:id="472"/>
    </w:p>
    <w:p w14:paraId="4CEDB0AB" w14:textId="22A180AB" w:rsidR="00FF302D" w:rsidRPr="00113F13" w:rsidRDefault="00FF302D" w:rsidP="00B63604">
      <w:pPr>
        <w:pStyle w:val="NormalNumberedTextTLRI"/>
        <w:numPr>
          <w:ilvl w:val="2"/>
          <w:numId w:val="31"/>
        </w:numPr>
        <w:tabs>
          <w:tab w:val="clear" w:pos="720"/>
        </w:tabs>
        <w:spacing w:line="259" w:lineRule="auto"/>
      </w:pPr>
      <w:bookmarkStart w:id="473" w:name="_Ref164779330"/>
      <w:bookmarkStart w:id="474" w:name="_Toc143872352"/>
      <w:bookmarkStart w:id="475" w:name="_Ref149741876"/>
      <w:r w:rsidRPr="00113F13">
        <w:t xml:space="preserve">In response to concerns raised about children’s consent under the </w:t>
      </w:r>
      <w:r w:rsidRPr="006C5C3F">
        <w:t>Act (</w:t>
      </w:r>
      <w:r w:rsidRPr="00EA22F8">
        <w:t>discussed further at [</w:t>
      </w:r>
      <w:r w:rsidR="006C5C3F">
        <w:fldChar w:fldCharType="begin"/>
      </w:r>
      <w:r w:rsidR="006C5C3F" w:rsidRPr="00EA22F8">
        <w:instrText xml:space="preserve"> REF _Ref164779079 \r \h </w:instrText>
      </w:r>
      <w:r w:rsidR="006C5C3F">
        <w:instrText xml:space="preserve"> \* MERGEFORMAT </w:instrText>
      </w:r>
      <w:r w:rsidR="006C5C3F">
        <w:fldChar w:fldCharType="separate"/>
      </w:r>
      <w:r w:rsidR="00462C30">
        <w:rPr>
          <w:cs/>
        </w:rPr>
        <w:t>‎</w:t>
      </w:r>
      <w:r w:rsidR="00462C30">
        <w:t>5.4.36</w:t>
      </w:r>
      <w:r w:rsidR="006C5C3F">
        <w:fldChar w:fldCharType="end"/>
      </w:r>
      <w:r w:rsidRPr="00EA22F8">
        <w:t>] below</w:t>
      </w:r>
      <w:r w:rsidRPr="006C5C3F">
        <w:t>), the Review further proposed that the Act also be amended to clarif</w:t>
      </w:r>
      <w:r w:rsidRPr="00113F13">
        <w:t>y that an individual’s consent will only be valid if the person has capacity’ that is, ‘if it is reasonable to expect that an individual to whom the organisation’s activities are directed would understand the nature, purpose and consequences of the collection, use or disclosure of the personal information to which they are consenting’.</w:t>
      </w:r>
      <w:r w:rsidRPr="00113F13">
        <w:rPr>
          <w:rStyle w:val="FootnoteReference"/>
          <w:rFonts w:ascii="Times New Roman" w:hAnsi="Times New Roman"/>
        </w:rPr>
        <w:footnoteReference w:id="485"/>
      </w:r>
      <w:bookmarkEnd w:id="473"/>
      <w:r w:rsidRPr="00113F13">
        <w:rPr>
          <w:rStyle w:val="FootnoteReference"/>
          <w:rFonts w:ascii="Times New Roman" w:hAnsi="Times New Roman"/>
        </w:rPr>
        <w:t xml:space="preserve"> </w:t>
      </w:r>
    </w:p>
    <w:p w14:paraId="559F8070" w14:textId="77777777" w:rsidR="00FF302D" w:rsidRPr="00113F13" w:rsidRDefault="00FF302D" w:rsidP="00B63604">
      <w:pPr>
        <w:pStyle w:val="NormalNumberedTextTLRI"/>
        <w:numPr>
          <w:ilvl w:val="2"/>
          <w:numId w:val="31"/>
        </w:numPr>
        <w:tabs>
          <w:tab w:val="clear" w:pos="720"/>
        </w:tabs>
        <w:spacing w:line="259" w:lineRule="auto"/>
      </w:pPr>
      <w:r w:rsidRPr="00113F13">
        <w:t>The Review claimed that this would also benefit individuals experiencing vulnerability by ensuring that any such vulnerability is identified and, where appropriate, to allow for the provision of supported or substituted decision-making for people deemed unable to give valid consent on their own.</w:t>
      </w:r>
      <w:r w:rsidRPr="00113F13">
        <w:rPr>
          <w:rStyle w:val="FootnoteReference"/>
          <w:rFonts w:ascii="Times New Roman" w:hAnsi="Times New Roman"/>
        </w:rPr>
        <w:footnoteReference w:id="486"/>
      </w:r>
      <w:bookmarkEnd w:id="474"/>
      <w:bookmarkEnd w:id="475"/>
    </w:p>
    <w:p w14:paraId="630F2D3D" w14:textId="644C068B" w:rsidR="00FF302D" w:rsidRPr="00113F13" w:rsidRDefault="00FF302D" w:rsidP="00B63604">
      <w:pPr>
        <w:pStyle w:val="NormalNumberedTextTLRI"/>
        <w:numPr>
          <w:ilvl w:val="2"/>
          <w:numId w:val="31"/>
        </w:numPr>
        <w:tabs>
          <w:tab w:val="clear" w:pos="720"/>
        </w:tabs>
        <w:spacing w:line="259" w:lineRule="auto"/>
      </w:pPr>
      <w:bookmarkStart w:id="476" w:name="_Toc143872353"/>
      <w:r w:rsidRPr="00113F13">
        <w:t xml:space="preserve">The Review noted that it had received submissions seeking further clarity on the appropriate role of guardians and other third parties in consent and other processes prescribed under the Privacy </w:t>
      </w:r>
      <w:r w:rsidRPr="00113F13">
        <w:lastRenderedPageBreak/>
        <w:t>Act, including in relation to complex situations where the third party may be contributing to the person’s vulnerability, such as domestic and family violence situations.</w:t>
      </w:r>
      <w:r w:rsidRPr="00113F13">
        <w:rPr>
          <w:rStyle w:val="FootnoteReference"/>
          <w:rFonts w:ascii="Times New Roman" w:hAnsi="Times New Roman"/>
        </w:rPr>
        <w:footnoteReference w:id="487"/>
      </w:r>
      <w:r w:rsidRPr="00113F13">
        <w:t xml:space="preserve"> It further noted recent changes in ‘understanding how to promote the rights of people with disabilities and reduced decision-making capacity’, which involve maximising the recognition of all people’s right to be recognised and to act as legal persons, and to access support they may need to do this. The Review proposed that the OAIC update its guidance on capacity and consent to reflect current thinking on supported decision-making.</w:t>
      </w:r>
      <w:r w:rsidRPr="00113F13">
        <w:rPr>
          <w:rStyle w:val="FootnoteReference"/>
          <w:rFonts w:ascii="Times New Roman" w:hAnsi="Times New Roman"/>
        </w:rPr>
        <w:footnoteReference w:id="488"/>
      </w:r>
      <w:bookmarkEnd w:id="476"/>
      <w:r w:rsidRPr="00113F13">
        <w:t xml:space="preserve"> The Government agreed with this proposal.</w:t>
      </w:r>
      <w:r w:rsidRPr="00113F13">
        <w:rPr>
          <w:rStyle w:val="FootnoteReference"/>
          <w:rFonts w:ascii="Times New Roman" w:hAnsi="Times New Roman"/>
        </w:rPr>
        <w:footnoteReference w:id="489"/>
      </w:r>
    </w:p>
    <w:p w14:paraId="58477438" w14:textId="77777777" w:rsidR="00FF302D" w:rsidRPr="00113F13" w:rsidRDefault="00FF302D" w:rsidP="00B63604">
      <w:pPr>
        <w:pStyle w:val="NormalNumberedTextTLRI"/>
        <w:numPr>
          <w:ilvl w:val="2"/>
          <w:numId w:val="31"/>
        </w:numPr>
        <w:tabs>
          <w:tab w:val="clear" w:pos="720"/>
        </w:tabs>
        <w:spacing w:line="259" w:lineRule="auto"/>
      </w:pPr>
      <w:bookmarkStart w:id="477" w:name="_Toc143872354"/>
      <w:bookmarkStart w:id="478" w:name="_Ref149742037"/>
      <w:bookmarkStart w:id="479" w:name="_Ref164779390"/>
      <w:r w:rsidRPr="00113F13">
        <w:t>The Review also proposed that the Privacy Act be amended to expressly recognise that all individuals can withdraw consent (and that this should be as easy as it was to give consent), with the proviso that withdrawal does not affect the lawfulness of how the information was handled prior to the withdrawal.</w:t>
      </w:r>
      <w:r w:rsidRPr="00113F13">
        <w:rPr>
          <w:rStyle w:val="FootnoteReference"/>
          <w:rFonts w:ascii="Times New Roman" w:hAnsi="Times New Roman"/>
        </w:rPr>
        <w:footnoteReference w:id="490"/>
      </w:r>
      <w:bookmarkEnd w:id="477"/>
      <w:bookmarkEnd w:id="478"/>
      <w:r w:rsidRPr="00113F13">
        <w:t xml:space="preserve"> The Government agreed in-principle with this proposal.</w:t>
      </w:r>
      <w:r w:rsidRPr="00113F13">
        <w:rPr>
          <w:rStyle w:val="FootnoteReference"/>
          <w:rFonts w:ascii="Times New Roman" w:hAnsi="Times New Roman"/>
        </w:rPr>
        <w:footnoteReference w:id="491"/>
      </w:r>
      <w:bookmarkEnd w:id="479"/>
    </w:p>
    <w:p w14:paraId="48427A3C" w14:textId="4B6FA03F" w:rsidR="00FF302D" w:rsidRPr="00C76C6D" w:rsidRDefault="00FF302D" w:rsidP="00B63604">
      <w:pPr>
        <w:pStyle w:val="NormalNumberedTextTLRI"/>
        <w:numPr>
          <w:ilvl w:val="2"/>
          <w:numId w:val="31"/>
        </w:numPr>
        <w:tabs>
          <w:tab w:val="clear" w:pos="720"/>
        </w:tabs>
        <w:spacing w:line="259" w:lineRule="auto"/>
      </w:pPr>
      <w:bookmarkStart w:id="480" w:name="_Toc143872355"/>
      <w:r w:rsidRPr="00113F13">
        <w:t>In relation to online services, the Review further proposed (and the Government agreed in-principle)</w:t>
      </w:r>
      <w:r w:rsidRPr="00113F13">
        <w:rPr>
          <w:rStyle w:val="FootnoteReference"/>
          <w:rFonts w:ascii="Times New Roman" w:hAnsi="Times New Roman"/>
        </w:rPr>
        <w:footnoteReference w:id="492"/>
      </w:r>
      <w:r w:rsidRPr="00113F13">
        <w:rPr>
          <w:rStyle w:val="FootnoteReference"/>
          <w:rFonts w:ascii="Times New Roman" w:hAnsi="Times New Roman"/>
        </w:rPr>
        <w:t xml:space="preserve"> </w:t>
      </w:r>
      <w:r w:rsidRPr="00EA22F8">
        <w:rPr>
          <w:rStyle w:val="FootnoteReference"/>
          <w:rFonts w:ascii="Times New Roman" w:hAnsi="Times New Roman"/>
          <w:sz w:val="22"/>
          <w:szCs w:val="22"/>
          <w:vertAlign w:val="baseline"/>
        </w:rPr>
        <w:t>that</w:t>
      </w:r>
      <w:bookmarkEnd w:id="480"/>
      <w:r w:rsidR="00C76C6D" w:rsidRPr="00EA22F8">
        <w:t>:</w:t>
      </w:r>
    </w:p>
    <w:p w14:paraId="39582D3C" w14:textId="77777777" w:rsidR="00FF302D" w:rsidRPr="00113F13" w:rsidRDefault="00FF302D" w:rsidP="00A142A1">
      <w:pPr>
        <w:pStyle w:val="DotPointTLRI"/>
      </w:pPr>
      <w:r w:rsidRPr="00113F13">
        <w:t>OAIC guidance be developed on how online services should design consent requests (on the basis that these could improve consumers’ decision-making and understanding of how data is handled);</w:t>
      </w:r>
      <w:r w:rsidRPr="00113F13">
        <w:rPr>
          <w:rStyle w:val="FootnoteReference"/>
          <w:rFonts w:ascii="Times New Roman" w:hAnsi="Times New Roman"/>
        </w:rPr>
        <w:footnoteReference w:id="493"/>
      </w:r>
      <w:r w:rsidRPr="00113F13">
        <w:t xml:space="preserve"> and</w:t>
      </w:r>
    </w:p>
    <w:p w14:paraId="06CC1DAF" w14:textId="77777777" w:rsidR="00FF302D" w:rsidRPr="00113F13" w:rsidRDefault="00FF302D" w:rsidP="00A142A1">
      <w:pPr>
        <w:pStyle w:val="DotPointTLRI"/>
      </w:pPr>
      <w:r w:rsidRPr="00113F13">
        <w:t>‘APP entities that provide online services should be required to ensure that any privacy settings are clear and easily accessible for service users’.</w:t>
      </w:r>
      <w:r w:rsidRPr="00113F13">
        <w:rPr>
          <w:rStyle w:val="FootnoteReference"/>
          <w:rFonts w:ascii="Times New Roman" w:hAnsi="Times New Roman"/>
        </w:rPr>
        <w:footnoteReference w:id="494"/>
      </w:r>
    </w:p>
    <w:p w14:paraId="5F9B6F9B" w14:textId="77777777" w:rsidR="00FF302D" w:rsidRPr="00113F13" w:rsidRDefault="00FF302D" w:rsidP="00A142A1">
      <w:pPr>
        <w:pStyle w:val="Sub-HeadingTLRI"/>
      </w:pPr>
      <w:bookmarkStart w:id="481" w:name="_Toc164606609"/>
      <w:r w:rsidRPr="00EA22F8">
        <w:t>Consent of children</w:t>
      </w:r>
      <w:bookmarkEnd w:id="481"/>
    </w:p>
    <w:p w14:paraId="69156D84" w14:textId="77777777" w:rsidR="00FF302D" w:rsidRPr="00113F13" w:rsidRDefault="00FF302D" w:rsidP="00B63604">
      <w:pPr>
        <w:pStyle w:val="NormalNumberedTextTLRI"/>
        <w:numPr>
          <w:ilvl w:val="2"/>
          <w:numId w:val="31"/>
        </w:numPr>
        <w:tabs>
          <w:tab w:val="clear" w:pos="720"/>
        </w:tabs>
        <w:spacing w:line="259" w:lineRule="auto"/>
      </w:pPr>
      <w:bookmarkStart w:id="482" w:name="_Toc143872356"/>
      <w:bookmarkStart w:id="483" w:name="_Ref149740364"/>
      <w:bookmarkStart w:id="484" w:name="_Ref164779079"/>
      <w:r w:rsidRPr="00113F13">
        <w:t>The Privacy Act Review considered several issues relating to children’s privacy and sought responses to proposals for the introduction of child-specific privacy protections in the Privacy Act, largely in response to concerns about online privacy risks.</w:t>
      </w:r>
      <w:r w:rsidRPr="00113F13">
        <w:rPr>
          <w:rStyle w:val="FootnoteReference"/>
          <w:rFonts w:ascii="Times New Roman" w:hAnsi="Times New Roman"/>
        </w:rPr>
        <w:footnoteReference w:id="495"/>
      </w:r>
      <w:r w:rsidRPr="00113F13">
        <w:t xml:space="preserve"> The Review reported that submitters had acknowledged the increasingly ‘online’ nature of children’s lives and the benefits to children of online services and platforms, including enabling them to exercise rights to access information, freedom of expression, and freedom of association.</w:t>
      </w:r>
      <w:r w:rsidRPr="00113F13">
        <w:rPr>
          <w:rStyle w:val="FootnoteReference"/>
          <w:rFonts w:ascii="Times New Roman" w:hAnsi="Times New Roman"/>
        </w:rPr>
        <w:footnoteReference w:id="496"/>
      </w:r>
      <w:r w:rsidRPr="00113F13">
        <w:t xml:space="preserve"> Submitters to the Review also expressed concerns that these interactions enable entities to collect large amounts of data and build profiles on children that can be used to target them (including when they are most vulnerable) and can be shared or sold.</w:t>
      </w:r>
      <w:r w:rsidRPr="00113F13">
        <w:rPr>
          <w:rStyle w:val="FootnoteReference"/>
          <w:rFonts w:ascii="Times New Roman" w:hAnsi="Times New Roman"/>
        </w:rPr>
        <w:footnoteReference w:id="497"/>
      </w:r>
      <w:bookmarkEnd w:id="482"/>
      <w:bookmarkEnd w:id="483"/>
      <w:bookmarkEnd w:id="484"/>
    </w:p>
    <w:p w14:paraId="7617437B" w14:textId="77777777" w:rsidR="00FF302D" w:rsidRPr="00113F13" w:rsidRDefault="00FF302D" w:rsidP="00B63604">
      <w:pPr>
        <w:pStyle w:val="NormalNumberedTextTLRI"/>
        <w:numPr>
          <w:ilvl w:val="2"/>
          <w:numId w:val="31"/>
        </w:numPr>
        <w:tabs>
          <w:tab w:val="clear" w:pos="720"/>
        </w:tabs>
        <w:spacing w:line="259" w:lineRule="auto"/>
      </w:pPr>
      <w:bookmarkStart w:id="485" w:name="_Toc143872357"/>
      <w:r w:rsidRPr="00113F13">
        <w:lastRenderedPageBreak/>
        <w:t>The Review recommended that the Privacy Act define ‘a child’ as ‘an individual who has not yet reached 18 years of age’,</w:t>
      </w:r>
      <w:r w:rsidRPr="00113F13">
        <w:rPr>
          <w:rStyle w:val="FootnoteReference"/>
          <w:rFonts w:ascii="Times New Roman" w:hAnsi="Times New Roman"/>
        </w:rPr>
        <w:footnoteReference w:id="498"/>
      </w:r>
      <w:r w:rsidRPr="00113F13">
        <w:t xml:space="preserve"> and expressed the view that existing OAIC guidance on assessing capacity and obtaining consent in relation to children’s personal information is appropriate.</w:t>
      </w:r>
      <w:r w:rsidRPr="00113F13">
        <w:rPr>
          <w:rStyle w:val="FootnoteReference"/>
          <w:rFonts w:ascii="Times New Roman" w:hAnsi="Times New Roman"/>
        </w:rPr>
        <w:footnoteReference w:id="499"/>
      </w:r>
      <w:r w:rsidRPr="00113F13">
        <w:t xml:space="preserve"> That guidance instructs APP entities to assess children’s capacity on a case-by-case basis and, if that is not practical, to assume children over the age of 15 have capacity, unless something suggests otherwise.</w:t>
      </w:r>
      <w:r w:rsidRPr="00113F13">
        <w:rPr>
          <w:rStyle w:val="FootnoteReference"/>
          <w:rFonts w:ascii="Times New Roman" w:hAnsi="Times New Roman"/>
        </w:rPr>
        <w:footnoteReference w:id="500"/>
      </w:r>
      <w:bookmarkEnd w:id="485"/>
    </w:p>
    <w:p w14:paraId="7584C06A" w14:textId="180ADF97" w:rsidR="00FF302D" w:rsidRPr="00113F13" w:rsidRDefault="00FF302D" w:rsidP="00B63604">
      <w:pPr>
        <w:pStyle w:val="NormalNumberedTextTLRI"/>
        <w:numPr>
          <w:ilvl w:val="2"/>
          <w:numId w:val="31"/>
        </w:numPr>
        <w:tabs>
          <w:tab w:val="clear" w:pos="720"/>
        </w:tabs>
        <w:spacing w:line="259" w:lineRule="auto"/>
      </w:pPr>
      <w:bookmarkStart w:id="486" w:name="_Toc143872358"/>
      <w:r w:rsidRPr="00EA22F8">
        <w:t>As noted at [</w:t>
      </w:r>
      <w:r w:rsidR="00852AC4">
        <w:fldChar w:fldCharType="begin"/>
      </w:r>
      <w:r w:rsidR="00852AC4" w:rsidRPr="00EA22F8">
        <w:instrText xml:space="preserve"> REF _Ref164779330 \r \h </w:instrText>
      </w:r>
      <w:r w:rsidR="00852AC4">
        <w:instrText xml:space="preserve"> \* MERGEFORMAT </w:instrText>
      </w:r>
      <w:r w:rsidR="00852AC4">
        <w:fldChar w:fldCharType="separate"/>
      </w:r>
      <w:r w:rsidR="00462C30">
        <w:rPr>
          <w:cs/>
        </w:rPr>
        <w:t>‎</w:t>
      </w:r>
      <w:r w:rsidR="00462C30">
        <w:t>5.4.31</w:t>
      </w:r>
      <w:r w:rsidR="00852AC4">
        <w:fldChar w:fldCharType="end"/>
      </w:r>
      <w:r w:rsidRPr="00EA22F8">
        <w:t>] above</w:t>
      </w:r>
      <w:r w:rsidRPr="00852AC4">
        <w:t>,</w:t>
      </w:r>
      <w:r w:rsidRPr="00113F13">
        <w:t xml:space="preserve"> the Review proposed that the Act be amended to clarify that consent will only be valid if it is given by an individual with capacity. The Review recommended that exceptions to this requirement be codified ‘for circumstances where parent or guardian involvement could be harmful to the child or otherwise contrary to their interests (including, but not limited to confidential healthcare advice, domestic violence, mental health, drug and alcohol, homelessness or other child support and community services)’.</w:t>
      </w:r>
      <w:r w:rsidRPr="00113F13">
        <w:rPr>
          <w:rStyle w:val="FootnoteReference"/>
          <w:rFonts w:ascii="Times New Roman" w:hAnsi="Times New Roman"/>
        </w:rPr>
        <w:footnoteReference w:id="501"/>
      </w:r>
      <w:bookmarkEnd w:id="486"/>
    </w:p>
    <w:p w14:paraId="00D690BB" w14:textId="77777777" w:rsidR="00FF302D" w:rsidRPr="00113F13" w:rsidRDefault="00FF302D" w:rsidP="00B63604">
      <w:pPr>
        <w:pStyle w:val="NormalNumberedTextTLRI"/>
        <w:numPr>
          <w:ilvl w:val="2"/>
          <w:numId w:val="31"/>
        </w:numPr>
        <w:tabs>
          <w:tab w:val="clear" w:pos="720"/>
        </w:tabs>
        <w:spacing w:line="259" w:lineRule="auto"/>
      </w:pPr>
      <w:bookmarkStart w:id="487" w:name="_Toc143872359"/>
      <w:r w:rsidRPr="00113F13">
        <w:t>To address broader children’s privacy issues relating to online services, the Review proposed the development of a Children’s Online Privacy Code, in consultation with children, parents, experts, advocates, and industry. This could be based on the UK’s Age Appropriate Design Code and would ‘address how the best interests of child users should be supported in the design of an online service’, including matters such as whether there should be specific requirements for assessing capacity, whether certain information handling should be limited, and how privacy information (such as collection notices and privacy policies) should be designed to improve accessibility.</w:t>
      </w:r>
      <w:r w:rsidRPr="00113F13">
        <w:rPr>
          <w:rStyle w:val="FootnoteReference"/>
          <w:rFonts w:ascii="Times New Roman" w:hAnsi="Times New Roman"/>
        </w:rPr>
        <w:footnoteReference w:id="502"/>
      </w:r>
      <w:bookmarkEnd w:id="487"/>
    </w:p>
    <w:p w14:paraId="427B10E7" w14:textId="77777777" w:rsidR="00FF302D" w:rsidRPr="00113F13" w:rsidRDefault="00FF302D" w:rsidP="00A142A1">
      <w:pPr>
        <w:pStyle w:val="Sub-HeadingTLRI"/>
      </w:pPr>
      <w:bookmarkStart w:id="488" w:name="_Toc164606610"/>
      <w:r w:rsidRPr="00113F13">
        <w:t>Right to object</w:t>
      </w:r>
      <w:bookmarkEnd w:id="488"/>
    </w:p>
    <w:p w14:paraId="064445E4" w14:textId="7CD29236" w:rsidR="00FF302D" w:rsidRPr="00113F13" w:rsidRDefault="00FF302D" w:rsidP="00B63604">
      <w:pPr>
        <w:pStyle w:val="NormalNumberedTextTLRI"/>
        <w:numPr>
          <w:ilvl w:val="2"/>
          <w:numId w:val="31"/>
        </w:numPr>
        <w:tabs>
          <w:tab w:val="clear" w:pos="720"/>
        </w:tabs>
        <w:spacing w:line="259" w:lineRule="auto"/>
      </w:pPr>
      <w:bookmarkStart w:id="489" w:name="_Toc143872360"/>
      <w:bookmarkStart w:id="490" w:name="_Ref150959971"/>
      <w:bookmarkStart w:id="491" w:name="_Ref91615725"/>
      <w:r w:rsidRPr="00113F13">
        <w:t xml:space="preserve">The Privacy Act Review recommended the creation of a right to object to the collection, use, or disclosure of personal information. This is related to, but distinct from, the proposed right to withdraw consent </w:t>
      </w:r>
      <w:r w:rsidRPr="00EA22F8">
        <w:t xml:space="preserve">discussed above in section </w:t>
      </w:r>
      <w:bookmarkEnd w:id="489"/>
      <w:r w:rsidRPr="00EA22F8">
        <w:t>[</w:t>
      </w:r>
      <w:r w:rsidR="00C76C6D" w:rsidRPr="00EA22F8">
        <w:fldChar w:fldCharType="begin"/>
      </w:r>
      <w:r w:rsidR="00C76C6D" w:rsidRPr="00EA22F8">
        <w:instrText xml:space="preserve"> REF _Ref164779390 \r \h </w:instrText>
      </w:r>
      <w:r w:rsidR="00C76C6D">
        <w:instrText xml:space="preserve"> \* MERGEFORMAT </w:instrText>
      </w:r>
      <w:r w:rsidR="00C76C6D" w:rsidRPr="00EA22F8">
        <w:fldChar w:fldCharType="separate"/>
      </w:r>
      <w:r w:rsidR="00462C30">
        <w:rPr>
          <w:cs/>
        </w:rPr>
        <w:t>‎</w:t>
      </w:r>
      <w:r w:rsidR="00462C30">
        <w:t>5.4.34</w:t>
      </w:r>
      <w:r w:rsidR="00C76C6D" w:rsidRPr="00EA22F8">
        <w:fldChar w:fldCharType="end"/>
      </w:r>
      <w:r w:rsidRPr="00EA22F8">
        <w:t>].</w:t>
      </w:r>
      <w:bookmarkEnd w:id="490"/>
    </w:p>
    <w:p w14:paraId="0439DDD9" w14:textId="77777777" w:rsidR="00FF302D" w:rsidRPr="00113F13" w:rsidRDefault="00FF302D" w:rsidP="00B63604">
      <w:pPr>
        <w:pStyle w:val="NormalNumberedTextTLRI"/>
        <w:numPr>
          <w:ilvl w:val="2"/>
          <w:numId w:val="31"/>
        </w:numPr>
        <w:tabs>
          <w:tab w:val="clear" w:pos="720"/>
        </w:tabs>
        <w:spacing w:line="259" w:lineRule="auto"/>
      </w:pPr>
      <w:bookmarkStart w:id="492" w:name="_Toc143872361"/>
      <w:r w:rsidRPr="00113F13">
        <w:t>The right proposed in the Privacy Act Review was modelled on the corresponding right in the GDPR. Under Article 21 of the GDPR, individuals have a right to object to the processing of their personal information. This right applies alongside fairness and reasonableness requirements in circumstances where there is no requirement for an individual to consent to the collection and use of their information.</w:t>
      </w:r>
      <w:bookmarkEnd w:id="491"/>
      <w:r w:rsidRPr="00113F13">
        <w:t xml:space="preserve"> The GDPR right creates an absolute right to challenge the processing of personal data for direct marketing purposes, and a more qualified ‘right to question or challenge’ that obliges a regulated entity handling data for its legitimate interests or a public task to either demonstrate a compelling reason to continue processing or to cease doing so.</w:t>
      </w:r>
      <w:r w:rsidRPr="00113F13">
        <w:rPr>
          <w:rStyle w:val="FootnoteReference"/>
          <w:rFonts w:ascii="Times New Roman" w:hAnsi="Times New Roman"/>
        </w:rPr>
        <w:footnoteReference w:id="503"/>
      </w:r>
      <w:bookmarkEnd w:id="492"/>
    </w:p>
    <w:p w14:paraId="3B009324" w14:textId="77777777" w:rsidR="00FF302D" w:rsidRPr="00113F13" w:rsidRDefault="00FF302D" w:rsidP="00B63604">
      <w:pPr>
        <w:pStyle w:val="NormalNumberedTextTLRI"/>
        <w:numPr>
          <w:ilvl w:val="2"/>
          <w:numId w:val="31"/>
        </w:numPr>
        <w:tabs>
          <w:tab w:val="clear" w:pos="720"/>
        </w:tabs>
        <w:spacing w:line="259" w:lineRule="auto"/>
      </w:pPr>
      <w:bookmarkStart w:id="493" w:name="_Toc143872362"/>
      <w:r w:rsidRPr="00113F13">
        <w:t>The Review’s proposed right to object for the Privacy Act would similarly create a right for individuals to challenge an APP entity’s handling of personal information in terms of the requirements of the Privacy Act. As the Review explained in its Final Report:</w:t>
      </w:r>
      <w:bookmarkEnd w:id="493"/>
    </w:p>
    <w:p w14:paraId="2019A698" w14:textId="77777777" w:rsidR="00FF302D" w:rsidRPr="00113F13" w:rsidRDefault="00FF302D" w:rsidP="00A142A1">
      <w:pPr>
        <w:pStyle w:val="Indentedquote"/>
        <w:rPr>
          <w:rFonts w:cs="Times New Roman"/>
        </w:rPr>
      </w:pPr>
      <w:r w:rsidRPr="00113F13">
        <w:rPr>
          <w:rFonts w:cs="Times New Roman"/>
        </w:rPr>
        <w:lastRenderedPageBreak/>
        <w:t>It would require an APP entity to review its information-handling in light of the objection and provide a response to the objection. For example, an individual could challenge an entity that a particular collection is not reasonably necessary and/or not fair and reasonable.</w:t>
      </w:r>
      <w:r w:rsidRPr="00113F13">
        <w:rPr>
          <w:rStyle w:val="FootnoteReference"/>
          <w:rFonts w:ascii="Times New Roman" w:hAnsi="Times New Roman" w:cs="Times New Roman"/>
        </w:rPr>
        <w:footnoteReference w:id="504"/>
      </w:r>
    </w:p>
    <w:p w14:paraId="1318D8E2" w14:textId="77777777" w:rsidR="00FF302D" w:rsidRPr="00113F13" w:rsidRDefault="00FF302D" w:rsidP="00B63604">
      <w:pPr>
        <w:pStyle w:val="NormalNumberedTextTLRI"/>
        <w:numPr>
          <w:ilvl w:val="2"/>
          <w:numId w:val="31"/>
        </w:numPr>
        <w:tabs>
          <w:tab w:val="clear" w:pos="720"/>
        </w:tabs>
        <w:spacing w:line="259" w:lineRule="auto"/>
      </w:pPr>
      <w:bookmarkStart w:id="494" w:name="_Toc143872363"/>
      <w:r w:rsidRPr="00113F13">
        <w:t xml:space="preserve">Successful outcomes of objections might include an APP entity minimising collection, collecting different information, or modifying its use and disclosure practices in relation to certain information. Alternatively, an APP entity’s response to an objection may equip the individual with useful information for deciding whether to deal with the entity or to pursue redress in relation to other </w:t>
      </w:r>
      <w:r w:rsidRPr="0024666C">
        <w:t xml:space="preserve">rights </w:t>
      </w:r>
      <w:r w:rsidRPr="00EA22F8">
        <w:t>(which are discussed in Part 6 of this Repor</w:t>
      </w:r>
      <w:r w:rsidRPr="0024666C">
        <w:t>t).</w:t>
      </w:r>
      <w:r w:rsidRPr="0024666C">
        <w:rPr>
          <w:rStyle w:val="FootnoteReference"/>
          <w:rFonts w:ascii="Times New Roman" w:hAnsi="Times New Roman"/>
        </w:rPr>
        <w:footnoteReference w:id="505"/>
      </w:r>
      <w:bookmarkEnd w:id="494"/>
    </w:p>
    <w:p w14:paraId="3B450A67" w14:textId="5DD47235" w:rsidR="00FF302D" w:rsidRPr="00113F13" w:rsidRDefault="288D8F58" w:rsidP="00B63604">
      <w:pPr>
        <w:pStyle w:val="NormalNumberedTextTLRI"/>
        <w:numPr>
          <w:ilvl w:val="2"/>
          <w:numId w:val="31"/>
        </w:numPr>
        <w:tabs>
          <w:tab w:val="clear" w:pos="720"/>
        </w:tabs>
        <w:spacing w:line="259" w:lineRule="auto"/>
      </w:pPr>
      <w:bookmarkStart w:id="495" w:name="_Toc143872364"/>
      <w:r>
        <w:t>The Review recommended that several general exemptions should be available in relation to this and other proposed individual rights, including exemptions in the public interest, exemptions where required or authorised by law and le</w:t>
      </w:r>
      <w:r w:rsidRPr="0024666C">
        <w:t xml:space="preserve">gal relationships, and exemptions there is an abuse of process. </w:t>
      </w:r>
      <w:r w:rsidRPr="00EA22F8">
        <w:t xml:space="preserve">These are discussed </w:t>
      </w:r>
      <w:bookmarkEnd w:id="495"/>
      <w:r w:rsidRPr="00EA22F8">
        <w:t>in [</w:t>
      </w:r>
      <w:r w:rsidR="0024666C" w:rsidRPr="00EA22F8">
        <w:fldChar w:fldCharType="begin"/>
      </w:r>
      <w:r w:rsidR="0024666C" w:rsidRPr="00EA22F8">
        <w:instrText xml:space="preserve"> REF _Ref151387137 \r \h </w:instrText>
      </w:r>
      <w:r w:rsidR="0024666C">
        <w:instrText xml:space="preserve"> \* MERGEFORMAT </w:instrText>
      </w:r>
      <w:r w:rsidR="0024666C" w:rsidRPr="00EA22F8">
        <w:fldChar w:fldCharType="separate"/>
      </w:r>
      <w:r w:rsidR="00462C30">
        <w:rPr>
          <w:cs/>
        </w:rPr>
        <w:t>‎</w:t>
      </w:r>
      <w:r w:rsidR="00462C30">
        <w:t>6.4.20</w:t>
      </w:r>
      <w:r w:rsidR="0024666C" w:rsidRPr="00EA22F8">
        <w:fldChar w:fldCharType="end"/>
      </w:r>
      <w:r w:rsidRPr="00EA22F8">
        <w:t>]</w:t>
      </w:r>
      <w:r w:rsidR="000219BE" w:rsidRPr="00EA22F8">
        <w:t>–</w:t>
      </w:r>
      <w:r w:rsidRPr="00EA22F8">
        <w:t>[</w:t>
      </w:r>
      <w:r w:rsidR="0024666C" w:rsidRPr="00EA22F8">
        <w:fldChar w:fldCharType="begin"/>
      </w:r>
      <w:r w:rsidR="0024666C" w:rsidRPr="00EA22F8">
        <w:instrText xml:space="preserve"> REF _Ref164779608 \r \h </w:instrText>
      </w:r>
      <w:r w:rsidR="0024666C">
        <w:instrText xml:space="preserve"> \* MERGEFORMAT </w:instrText>
      </w:r>
      <w:r w:rsidR="0024666C" w:rsidRPr="00EA22F8">
        <w:fldChar w:fldCharType="separate"/>
      </w:r>
      <w:r w:rsidR="00462C30">
        <w:rPr>
          <w:cs/>
        </w:rPr>
        <w:t>‎</w:t>
      </w:r>
      <w:r w:rsidR="00462C30">
        <w:t>6.4.25</w:t>
      </w:r>
      <w:r w:rsidR="0024666C" w:rsidRPr="00EA22F8">
        <w:fldChar w:fldCharType="end"/>
      </w:r>
      <w:r w:rsidRPr="00EA22F8">
        <w:t>] of t</w:t>
      </w:r>
      <w:r w:rsidRPr="0024666C">
        <w:t>his</w:t>
      </w:r>
      <w:r>
        <w:t xml:space="preserve"> Report.</w:t>
      </w:r>
    </w:p>
    <w:p w14:paraId="62ACE303" w14:textId="77777777" w:rsidR="00FF302D" w:rsidRPr="00113F13" w:rsidRDefault="00FF302D" w:rsidP="00BF1FE7">
      <w:pPr>
        <w:pStyle w:val="NumberedHeadingTLRI"/>
      </w:pPr>
      <w:bookmarkStart w:id="496" w:name="_Toc143872365"/>
      <w:bookmarkStart w:id="497" w:name="_Toc152245429"/>
      <w:bookmarkStart w:id="498" w:name="_Toc164606611"/>
      <w:bookmarkEnd w:id="427"/>
      <w:r w:rsidRPr="00113F13">
        <w:t>Consultation</w:t>
      </w:r>
      <w:bookmarkEnd w:id="496"/>
      <w:bookmarkEnd w:id="497"/>
      <w:bookmarkEnd w:id="498"/>
    </w:p>
    <w:p w14:paraId="1D8DE2E0" w14:textId="77777777" w:rsidR="00FF302D" w:rsidRPr="00475754" w:rsidRDefault="00FF302D" w:rsidP="00B63604">
      <w:pPr>
        <w:pStyle w:val="NormalNumberedTextTLRI"/>
        <w:numPr>
          <w:ilvl w:val="2"/>
          <w:numId w:val="31"/>
        </w:numPr>
        <w:tabs>
          <w:tab w:val="clear" w:pos="720"/>
        </w:tabs>
        <w:spacing w:line="259" w:lineRule="auto"/>
      </w:pPr>
      <w:bookmarkStart w:id="499" w:name="_Toc143872366"/>
      <w:r w:rsidRPr="00113F13">
        <w:t xml:space="preserve">The TLRI Issues Paper </w:t>
      </w:r>
      <w:r w:rsidRPr="00475754">
        <w:t xml:space="preserve">posed </w:t>
      </w:r>
      <w:r w:rsidRPr="00EA22F8">
        <w:t>two</w:t>
      </w:r>
      <w:r w:rsidRPr="00475754">
        <w:t xml:space="preserve"> questions relating to the regulation of collection, use, and disclosure of personal information in the PIPPs:</w:t>
      </w:r>
      <w:bookmarkEnd w:id="499"/>
    </w:p>
    <w:p w14:paraId="67457DB8" w14:textId="77777777" w:rsidR="00FF302D" w:rsidRPr="00EA22F8" w:rsidRDefault="00FF302D" w:rsidP="00A142A1">
      <w:pPr>
        <w:pStyle w:val="Indentedquote"/>
        <w:rPr>
          <w:rFonts w:cs="Times New Roman"/>
        </w:rPr>
      </w:pPr>
      <w:r w:rsidRPr="00EA22F8">
        <w:rPr>
          <w:rFonts w:cs="Times New Roman"/>
        </w:rPr>
        <w:t>Are there any other amendments to the PIPPs that you think should be made?</w:t>
      </w:r>
      <w:r w:rsidRPr="00475754">
        <w:rPr>
          <w:rStyle w:val="FootnoteReference"/>
          <w:rFonts w:ascii="Times New Roman" w:hAnsi="Times New Roman" w:cs="Times New Roman"/>
        </w:rPr>
        <w:footnoteReference w:id="506"/>
      </w:r>
      <w:r w:rsidRPr="00475754">
        <w:rPr>
          <w:rFonts w:cs="Times New Roman"/>
        </w:rPr>
        <w:t xml:space="preserve">  </w:t>
      </w:r>
    </w:p>
    <w:p w14:paraId="6FF4ED95" w14:textId="77777777" w:rsidR="00FF302D" w:rsidRPr="00EA22F8" w:rsidRDefault="00FF302D" w:rsidP="00A142A1">
      <w:pPr>
        <w:pStyle w:val="Indentedquote"/>
        <w:rPr>
          <w:rFonts w:cs="Times New Roman"/>
        </w:rPr>
      </w:pPr>
      <w:r w:rsidRPr="00EA22F8">
        <w:rPr>
          <w:rFonts w:cs="Times New Roman"/>
        </w:rPr>
        <w:t>Should any of the other potential reforms be introduced, including:</w:t>
      </w:r>
      <w:r w:rsidRPr="00475754">
        <w:rPr>
          <w:rFonts w:cs="Times New Roman"/>
        </w:rPr>
        <w:t xml:space="preserve"> </w:t>
      </w:r>
    </w:p>
    <w:p w14:paraId="224B62FE" w14:textId="77777777" w:rsidR="00FF302D" w:rsidRPr="00113F13" w:rsidRDefault="00FF302D" w:rsidP="00A142A1">
      <w:pPr>
        <w:pStyle w:val="Indentedquote"/>
        <w:ind w:firstLine="720"/>
        <w:rPr>
          <w:rFonts w:cs="Times New Roman"/>
        </w:rPr>
      </w:pPr>
      <w:r w:rsidRPr="00113F13">
        <w:rPr>
          <w:rFonts w:cs="Times New Roman"/>
        </w:rPr>
        <w:t xml:space="preserve">fairness and reasonableness requirements; </w:t>
      </w:r>
    </w:p>
    <w:p w14:paraId="41217979" w14:textId="77777777" w:rsidR="00FF302D" w:rsidRPr="00113F13" w:rsidRDefault="00FF302D" w:rsidP="00A142A1">
      <w:pPr>
        <w:pStyle w:val="Indentedquote"/>
        <w:ind w:firstLine="720"/>
        <w:rPr>
          <w:rFonts w:cs="Times New Roman"/>
        </w:rPr>
      </w:pPr>
      <w:r w:rsidRPr="00113F13">
        <w:rPr>
          <w:rFonts w:cs="Times New Roman"/>
        </w:rPr>
        <w:t>…</w:t>
      </w:r>
    </w:p>
    <w:p w14:paraId="3C3DF092" w14:textId="77777777" w:rsidR="00FF302D" w:rsidRPr="00113F13" w:rsidRDefault="00FF302D" w:rsidP="00A142A1">
      <w:pPr>
        <w:pStyle w:val="Indentedquote"/>
        <w:ind w:firstLine="720"/>
        <w:rPr>
          <w:rFonts w:cs="Times New Roman"/>
        </w:rPr>
      </w:pPr>
      <w:r w:rsidRPr="00113F13">
        <w:rPr>
          <w:rFonts w:cs="Times New Roman"/>
        </w:rPr>
        <w:t>strengthened notice and consent requirements?</w:t>
      </w:r>
      <w:r w:rsidRPr="00113F13">
        <w:rPr>
          <w:rStyle w:val="FootnoteReference"/>
          <w:rFonts w:ascii="Times New Roman" w:hAnsi="Times New Roman" w:cs="Times New Roman"/>
        </w:rPr>
        <w:footnoteReference w:id="507"/>
      </w:r>
    </w:p>
    <w:p w14:paraId="2F42F42C" w14:textId="77777777" w:rsidR="00FF302D" w:rsidRPr="00113F13" w:rsidRDefault="00FF302D" w:rsidP="00A142A1">
      <w:pPr>
        <w:pStyle w:val="Sub-HeadingTLRI"/>
      </w:pPr>
      <w:bookmarkStart w:id="500" w:name="_Toc164606612"/>
      <w:r w:rsidRPr="00113F13">
        <w:t>Collection of personal information</w:t>
      </w:r>
      <w:bookmarkEnd w:id="500"/>
    </w:p>
    <w:p w14:paraId="369DFB60" w14:textId="77777777" w:rsidR="00FF302D" w:rsidRPr="00113F13" w:rsidRDefault="00FF302D" w:rsidP="00B63604">
      <w:pPr>
        <w:pStyle w:val="NormalNumberedTextTLRI"/>
        <w:numPr>
          <w:ilvl w:val="2"/>
          <w:numId w:val="31"/>
        </w:numPr>
        <w:tabs>
          <w:tab w:val="clear" w:pos="720"/>
        </w:tabs>
        <w:spacing w:line="259" w:lineRule="auto"/>
      </w:pPr>
      <w:bookmarkStart w:id="501" w:name="_Toc143872367"/>
      <w:r w:rsidRPr="00113F13">
        <w:t>Meg Webb MLC submitted that the PIPPs should be amended to be consistent with the APPs in requiring ‘that notice of the circumstances of the data collection must be provided prior [to] collection, as well as disclosure [of] who else may have access to that data once collected’ on the basis that these elements are key to gaining informed consent.</w:t>
      </w:r>
      <w:r w:rsidRPr="00113F13">
        <w:rPr>
          <w:rStyle w:val="FootnoteReference"/>
          <w:rFonts w:ascii="Times New Roman" w:hAnsi="Times New Roman"/>
        </w:rPr>
        <w:footnoteReference w:id="508"/>
      </w:r>
      <w:bookmarkEnd w:id="501"/>
    </w:p>
    <w:p w14:paraId="65C15EF9" w14:textId="5C874103" w:rsidR="00FF302D" w:rsidRPr="00113F13" w:rsidRDefault="288D8F58" w:rsidP="00EA22F8">
      <w:pPr>
        <w:pStyle w:val="NormalNumberedTextTLRI"/>
        <w:numPr>
          <w:ilvl w:val="2"/>
          <w:numId w:val="31"/>
        </w:numPr>
        <w:tabs>
          <w:tab w:val="clear" w:pos="720"/>
        </w:tabs>
        <w:spacing w:line="259" w:lineRule="auto"/>
      </w:pPr>
      <w:bookmarkStart w:id="502" w:name="_Toc143872368"/>
      <w:bookmarkStart w:id="503" w:name="_Ref151455236"/>
      <w:r>
        <w:t>Ms Webb also recommended the introduction of a requirement for collecting authorities to ‘indicate the duration that it is intended for that personal information to remain stored, accessible and used’. This recommendation was made on the basis that there would be times where personal information will only be used or pertinent for a defined period, and that it would facilitate erasure, and notice of erasure to affected people (see also the discussion of the right to erasure at [</w:t>
      </w:r>
      <w:r w:rsidR="00DD2F37">
        <w:fldChar w:fldCharType="begin"/>
      </w:r>
      <w:r w:rsidR="00DD2F37">
        <w:instrText xml:space="preserve"> REF _Ref164779761 \r \h </w:instrText>
      </w:r>
      <w:r w:rsidR="00DD2F37">
        <w:fldChar w:fldCharType="separate"/>
      </w:r>
      <w:r w:rsidR="00462C30">
        <w:rPr>
          <w:cs/>
        </w:rPr>
        <w:t>‎</w:t>
      </w:r>
      <w:r w:rsidR="00462C30">
        <w:t>6.3</w:t>
      </w:r>
      <w:r w:rsidR="00DD2F37">
        <w:fldChar w:fldCharType="end"/>
      </w:r>
      <w:r>
        <w:t>]</w:t>
      </w:r>
      <w:r w:rsidR="00475754">
        <w:t>–</w:t>
      </w:r>
      <w:r>
        <w:t>[</w:t>
      </w:r>
      <w:r w:rsidR="00DD2F37">
        <w:fldChar w:fldCharType="begin"/>
      </w:r>
      <w:r w:rsidR="00DD2F37">
        <w:instrText xml:space="preserve"> REF _Ref164779772 \r \h </w:instrText>
      </w:r>
      <w:r w:rsidR="00DD2F37">
        <w:fldChar w:fldCharType="separate"/>
      </w:r>
      <w:r w:rsidR="00462C30">
        <w:rPr>
          <w:cs/>
        </w:rPr>
        <w:t>‎</w:t>
      </w:r>
      <w:r w:rsidR="00462C30">
        <w:t>6.6</w:t>
      </w:r>
      <w:r w:rsidR="00DD2F37">
        <w:fldChar w:fldCharType="end"/>
      </w:r>
      <w:r w:rsidRPr="00475754">
        <w:t>]</w:t>
      </w:r>
      <w:r w:rsidRPr="00EA22F8">
        <w:t xml:space="preserve"> of this</w:t>
      </w:r>
      <w:r>
        <w:t xml:space="preserve"> Report). Ms Webb gave the example of the Check-In Tas app used for contact tracing during the early years of the COVID-19 pandemic, which specified that data would only be kept for 28 days.</w:t>
      </w:r>
      <w:bookmarkEnd w:id="502"/>
      <w:bookmarkEnd w:id="503"/>
    </w:p>
    <w:p w14:paraId="46657323" w14:textId="77777777" w:rsidR="00FF302D" w:rsidRPr="00113F13" w:rsidRDefault="00FF302D" w:rsidP="00A142A1">
      <w:pPr>
        <w:pStyle w:val="Sub-HeadingTLRI"/>
      </w:pPr>
      <w:bookmarkStart w:id="504" w:name="_Toc164606613"/>
      <w:r w:rsidRPr="00113F13">
        <w:lastRenderedPageBreak/>
        <w:t>Collection, use, and disclosure of personal information</w:t>
      </w:r>
      <w:bookmarkEnd w:id="504"/>
    </w:p>
    <w:p w14:paraId="3CFEE925" w14:textId="77777777" w:rsidR="00FF302D" w:rsidRPr="00113F13" w:rsidRDefault="00FF302D" w:rsidP="00B63604">
      <w:pPr>
        <w:pStyle w:val="NormalNumberedTextTLRI"/>
        <w:numPr>
          <w:ilvl w:val="2"/>
          <w:numId w:val="31"/>
        </w:numPr>
        <w:tabs>
          <w:tab w:val="clear" w:pos="720"/>
        </w:tabs>
        <w:spacing w:line="259" w:lineRule="auto"/>
      </w:pPr>
      <w:bookmarkStart w:id="505" w:name="_Toc143872369"/>
      <w:r w:rsidRPr="00113F13">
        <w:t>Professor Margaret Otlowski, Emeritus Distinguished Professor Dianne Nicol, and Dr Lisa Eckstein of the Centre for Law and Genetics expressed support for the Privacy Act Review Report’s proposal for the introduction of a requirement that collection, use, or disclosure of personal information must be fair and reasonable in the circumstances, and recommended a similar reform be made to the PIPA.</w:t>
      </w:r>
      <w:r w:rsidRPr="00113F13">
        <w:rPr>
          <w:rStyle w:val="FootnoteReference"/>
          <w:rFonts w:ascii="Times New Roman" w:hAnsi="Times New Roman"/>
        </w:rPr>
        <w:footnoteReference w:id="509"/>
      </w:r>
    </w:p>
    <w:p w14:paraId="1A430BB5" w14:textId="77777777" w:rsidR="00FF302D" w:rsidRPr="00EA22F8" w:rsidRDefault="00FF302D" w:rsidP="00B63604">
      <w:pPr>
        <w:pStyle w:val="NormalNumberedTextTLRI"/>
        <w:numPr>
          <w:ilvl w:val="2"/>
          <w:numId w:val="31"/>
        </w:numPr>
        <w:tabs>
          <w:tab w:val="clear" w:pos="720"/>
        </w:tabs>
        <w:spacing w:line="259" w:lineRule="auto"/>
      </w:pPr>
      <w:bookmarkStart w:id="506" w:name="_Toc143872372"/>
      <w:r w:rsidRPr="005C06C1">
        <w:t>M</w:t>
      </w:r>
      <w:r w:rsidRPr="00113F13">
        <w:t>eg Webb MLC expressed strong support for the amendment of the PIPA to align with the APPs in requiring collection of personal information to be both lawful and fair.</w:t>
      </w:r>
      <w:r w:rsidRPr="00113F13">
        <w:rPr>
          <w:rStyle w:val="FootnoteReference"/>
          <w:rFonts w:ascii="Times New Roman" w:hAnsi="Times New Roman"/>
        </w:rPr>
        <w:footnoteReference w:id="510"/>
      </w:r>
      <w:bookmarkStart w:id="507" w:name="_Toc143872370"/>
      <w:r w:rsidRPr="00113F13">
        <w:t xml:space="preserve"> Ms Webb acknowledged that the flexibility the PIPA provides in relation to health information, including options to disclose health information on behalf of individuals who are unable to provide or communicate consent, may be appropriate on the basis of practicality, provided they are supported by appropriate oversight and reporting mechanisms.</w:t>
      </w:r>
      <w:r w:rsidRPr="00113F13">
        <w:rPr>
          <w:rStyle w:val="FootnoteReference"/>
          <w:rFonts w:ascii="Times New Roman" w:hAnsi="Times New Roman"/>
        </w:rPr>
        <w:footnoteReference w:id="511"/>
      </w:r>
      <w:r w:rsidRPr="00113F13">
        <w:t xml:space="preserve"> The latter are discussed </w:t>
      </w:r>
      <w:r w:rsidRPr="005C06C1">
        <w:t>furthe</w:t>
      </w:r>
      <w:r w:rsidRPr="00EA22F8">
        <w:t>r in Part 5 of this Final Report.</w:t>
      </w:r>
    </w:p>
    <w:bookmarkEnd w:id="507"/>
    <w:p w14:paraId="1924DB60" w14:textId="5490C8D5" w:rsidR="00FF302D" w:rsidRPr="00113F13" w:rsidRDefault="00FF302D" w:rsidP="00B63604">
      <w:pPr>
        <w:pStyle w:val="NormalNumberedTextTLRI"/>
        <w:numPr>
          <w:ilvl w:val="2"/>
          <w:numId w:val="31"/>
        </w:numPr>
        <w:tabs>
          <w:tab w:val="clear" w:pos="720"/>
        </w:tabs>
        <w:spacing w:line="259" w:lineRule="auto"/>
      </w:pPr>
      <w:r w:rsidRPr="00113F13">
        <w:t>Richard Griggs observed that the PIPPs permit the collection and/or use and disclosure of personal information (generally or for a secondary purpose) where it is, for instance, ‘by lawful means’, ‘authorised or required by law’ or ‘required or permitted by law’.</w:t>
      </w:r>
      <w:r w:rsidRPr="00113F13">
        <w:rPr>
          <w:rStyle w:val="FootnoteReference"/>
          <w:rFonts w:ascii="Times New Roman" w:hAnsi="Times New Roman"/>
        </w:rPr>
        <w:footnoteReference w:id="512"/>
      </w:r>
      <w:r w:rsidRPr="00113F13">
        <w:t xml:space="preserve"> Mr Griggs argued that these ‘can operate as an exemption mechanism’, meaning they can be used ‘by government to add to its own functions or activities and change and expand what they are authorised to do with the personal information’. Mr Griggs cited the Tasmanian Government’s use of this mechanism, via the creation of regulation, to permit the Tasmanian Government to share Tasmanian drivers licence photographs with the Commonwealth Government for the proposed National Driver Licence Facial Recognition Solution </w:t>
      </w:r>
      <w:r w:rsidRPr="00287EC6">
        <w:t>(‘NDLFRS’)</w:t>
      </w:r>
      <w:r w:rsidRPr="00113F13">
        <w:t xml:space="preserve"> (</w:t>
      </w:r>
      <w:r w:rsidRPr="00EA22F8">
        <w:t xml:space="preserve">described above at </w:t>
      </w:r>
      <w:r w:rsidR="002A3CF3">
        <w:t>[</w:t>
      </w:r>
      <w:r w:rsidR="002A3CF3">
        <w:fldChar w:fldCharType="begin"/>
      </w:r>
      <w:r w:rsidR="002A3CF3" w:rsidRPr="00EA22F8">
        <w:instrText xml:space="preserve"> REF _Ref164779933 \r \h </w:instrText>
      </w:r>
      <w:r w:rsidR="002A3CF3">
        <w:instrText xml:space="preserve"> \* MERGEFORMAT </w:instrText>
      </w:r>
      <w:r w:rsidR="002A3CF3">
        <w:fldChar w:fldCharType="separate"/>
      </w:r>
      <w:r w:rsidR="00462C30">
        <w:rPr>
          <w:cs/>
        </w:rPr>
        <w:t>‎</w:t>
      </w:r>
      <w:r w:rsidR="00462C30">
        <w:t>4.9</w:t>
      </w:r>
      <w:r w:rsidR="002A3CF3">
        <w:fldChar w:fldCharType="end"/>
      </w:r>
      <w:r w:rsidRPr="002A3CF3">
        <w:t>]).</w:t>
      </w:r>
      <w:r w:rsidRPr="00113F13">
        <w:t xml:space="preserve"> Mr Griggs recommended that the ‘authorised or required by law’ exception be amended to clarify that it only applies to law passed by State Parliament.</w:t>
      </w:r>
      <w:r w:rsidRPr="00113F13">
        <w:rPr>
          <w:rStyle w:val="FootnoteReference"/>
          <w:rFonts w:ascii="Times New Roman" w:hAnsi="Times New Roman"/>
        </w:rPr>
        <w:footnoteReference w:id="513"/>
      </w:r>
      <w:bookmarkEnd w:id="506"/>
      <w:r w:rsidR="005C06C1">
        <w:t xml:space="preserve"> </w:t>
      </w:r>
    </w:p>
    <w:p w14:paraId="3600A354" w14:textId="77777777" w:rsidR="00FF302D" w:rsidRPr="00113F13" w:rsidRDefault="00FF302D" w:rsidP="00B63604">
      <w:pPr>
        <w:pStyle w:val="NormalNumberedTextTLRI"/>
        <w:numPr>
          <w:ilvl w:val="2"/>
          <w:numId w:val="31"/>
        </w:numPr>
        <w:tabs>
          <w:tab w:val="clear" w:pos="720"/>
        </w:tabs>
        <w:spacing w:line="259" w:lineRule="auto"/>
      </w:pPr>
      <w:bookmarkStart w:id="508" w:name="_Toc143872376"/>
      <w:bookmarkEnd w:id="505"/>
      <w:r w:rsidRPr="00113F13">
        <w:t>Dr Joel Scanlan noted that the creation of a right to object, and greater transparency, were positive developments in the GDPR.</w:t>
      </w:r>
      <w:r w:rsidRPr="00113F13">
        <w:rPr>
          <w:rStyle w:val="FootnoteReference"/>
          <w:rFonts w:ascii="Times New Roman" w:hAnsi="Times New Roman"/>
        </w:rPr>
        <w:footnoteReference w:id="514"/>
      </w:r>
      <w:bookmarkEnd w:id="508"/>
    </w:p>
    <w:p w14:paraId="5186A2DC" w14:textId="482DF30D" w:rsidR="00FF302D" w:rsidRPr="00113F13" w:rsidRDefault="00FF302D" w:rsidP="00A142A1">
      <w:pPr>
        <w:pStyle w:val="Sub-HeadingTLRI"/>
      </w:pPr>
      <w:bookmarkStart w:id="509" w:name="_Toc164606614"/>
      <w:r w:rsidRPr="00113F13">
        <w:t>Consent to collection, use, or disclosure</w:t>
      </w:r>
      <w:bookmarkEnd w:id="509"/>
    </w:p>
    <w:p w14:paraId="3522A77E" w14:textId="77777777" w:rsidR="00FF302D" w:rsidRPr="00113F13" w:rsidRDefault="00FF302D" w:rsidP="00B63604">
      <w:pPr>
        <w:pStyle w:val="NormalNumberedTextTLRI"/>
        <w:numPr>
          <w:ilvl w:val="2"/>
          <w:numId w:val="31"/>
        </w:numPr>
        <w:tabs>
          <w:tab w:val="clear" w:pos="720"/>
        </w:tabs>
        <w:spacing w:line="259" w:lineRule="auto"/>
      </w:pPr>
      <w:bookmarkStart w:id="510" w:name="_Toc143872371"/>
      <w:r w:rsidRPr="00113F13">
        <w:t>The Centre for Law and Genetics team expressed concern about the Privacy Act Review’s proposal to define ‘consent’ to mean ‘voluntary, informed, current, specific and unambiguous’ consent, on the basis that this may ‘impede ethically acceptable research’.</w:t>
      </w:r>
      <w:r w:rsidRPr="00113F13">
        <w:rPr>
          <w:rStyle w:val="FootnoteReference"/>
          <w:rFonts w:ascii="Times New Roman" w:hAnsi="Times New Roman"/>
        </w:rPr>
        <w:footnoteReference w:id="515"/>
      </w:r>
      <w:r w:rsidRPr="00113F13">
        <w:t xml:space="preserve"> The Centre expressed a preference for consent options to be based on individual choice, while also being ‘structured so as to facilitate various forms of consent’, noting the ‘broad consent’ approach now used in genomic research.</w:t>
      </w:r>
      <w:bookmarkEnd w:id="510"/>
    </w:p>
    <w:p w14:paraId="0D8050E3" w14:textId="77777777" w:rsidR="00FF302D" w:rsidRPr="00113F13" w:rsidRDefault="288D8F58" w:rsidP="00B63604">
      <w:pPr>
        <w:pStyle w:val="NormalNumberedTextTLRI"/>
        <w:numPr>
          <w:ilvl w:val="2"/>
          <w:numId w:val="31"/>
        </w:numPr>
        <w:tabs>
          <w:tab w:val="clear" w:pos="720"/>
        </w:tabs>
        <w:spacing w:line="259" w:lineRule="auto"/>
      </w:pPr>
      <w:bookmarkStart w:id="511" w:name="_Toc143872373"/>
      <w:r>
        <w:t xml:space="preserve">Youth Law Australia (‘YLA’) raised the issue of consent given by children. It submitted that it is not always appropriate for consent relating to a child’s information to be obtained through their parent or guardian (and may in some circumstances not be safe or protective or may be contrary to the child’s best interests). </w:t>
      </w:r>
    </w:p>
    <w:p w14:paraId="0EABCC37" w14:textId="77777777" w:rsidR="00FF302D" w:rsidRPr="00113F13" w:rsidRDefault="00FF302D" w:rsidP="00B63604">
      <w:pPr>
        <w:pStyle w:val="NormalNumberedTextTLRI"/>
        <w:numPr>
          <w:ilvl w:val="2"/>
          <w:numId w:val="31"/>
        </w:numPr>
        <w:tabs>
          <w:tab w:val="clear" w:pos="720"/>
        </w:tabs>
        <w:spacing w:line="259" w:lineRule="auto"/>
      </w:pPr>
      <w:r w:rsidRPr="00113F13">
        <w:t xml:space="preserve">YLA argued against the imposition of such consent requirements, or of a high age for capacity to consent (such as 16 years of age), on the basis that this ‘reflects an assumption that children lack the </w:t>
      </w:r>
      <w:r w:rsidRPr="00113F13">
        <w:lastRenderedPageBreak/>
        <w:t>capacity to protect their own interests and are dependent on adults to make decisions in their own interests’, and that it reinforces existing difficulties for children and young people seeking to enforce their privacy rights.</w:t>
      </w:r>
      <w:r w:rsidRPr="00113F13">
        <w:rPr>
          <w:rStyle w:val="FootnoteReference"/>
          <w:rFonts w:ascii="Times New Roman" w:hAnsi="Times New Roman"/>
        </w:rPr>
        <w:footnoteReference w:id="516"/>
      </w:r>
      <w:bookmarkStart w:id="512" w:name="_Toc143872374"/>
      <w:bookmarkEnd w:id="511"/>
      <w:r w:rsidRPr="00113F13">
        <w:t xml:space="preserve"> YLA instead proposed an approach based on ‘scaffolding’ and context, and submitted that best practice requires an approach that maximises children and young people’s participation in decisions, even where they may not have capacity to consent to collection, use, and disclosure of their personal information.</w:t>
      </w:r>
      <w:r w:rsidRPr="00113F13">
        <w:rPr>
          <w:rStyle w:val="FootnoteReference"/>
          <w:rFonts w:ascii="Times New Roman" w:hAnsi="Times New Roman"/>
        </w:rPr>
        <w:footnoteReference w:id="517"/>
      </w:r>
      <w:bookmarkEnd w:id="512"/>
    </w:p>
    <w:p w14:paraId="6FC612D9" w14:textId="77777777" w:rsidR="00FF302D" w:rsidRDefault="00FF302D" w:rsidP="00B63604">
      <w:pPr>
        <w:pStyle w:val="NormalNumberedTextTLRI"/>
        <w:numPr>
          <w:ilvl w:val="2"/>
          <w:numId w:val="31"/>
        </w:numPr>
        <w:tabs>
          <w:tab w:val="clear" w:pos="720"/>
        </w:tabs>
        <w:spacing w:line="259" w:lineRule="auto"/>
      </w:pPr>
      <w:bookmarkStart w:id="513" w:name="_Toc143872375"/>
      <w:r w:rsidRPr="00113F13">
        <w:t>The Commissioner for Children and Young People observed that children’s use of online services and platforms presents both opportunities and risks. The Commissioner noted that adults play a role in helping uphold the rights of children and young people, including their right to privacy, which makes questions about children’s privacy more complex. The Commissioner further argued that children must be involved in the development of any new or revised privacy protections affecting them, to ensure that any changes are informed by a proper understanding of the implications of privacy on their lives.</w:t>
      </w:r>
      <w:r w:rsidRPr="00113F13">
        <w:rPr>
          <w:rStyle w:val="FootnoteReference"/>
          <w:rFonts w:ascii="Times New Roman" w:hAnsi="Times New Roman"/>
        </w:rPr>
        <w:footnoteReference w:id="518"/>
      </w:r>
      <w:bookmarkEnd w:id="513"/>
    </w:p>
    <w:p w14:paraId="1CCE09DE" w14:textId="77777777" w:rsidR="00FF302D" w:rsidRPr="00113F13" w:rsidRDefault="00FF302D" w:rsidP="00BF1FE7">
      <w:pPr>
        <w:pStyle w:val="NumberedHeadingTLRI"/>
      </w:pPr>
      <w:bookmarkStart w:id="514" w:name="_Toc143872377"/>
      <w:bookmarkStart w:id="515" w:name="_Toc152245430"/>
      <w:bookmarkStart w:id="516" w:name="_Toc164606615"/>
      <w:r w:rsidRPr="00113F13">
        <w:t>The TLRI’s view</w:t>
      </w:r>
      <w:bookmarkEnd w:id="514"/>
      <w:bookmarkEnd w:id="515"/>
      <w:bookmarkEnd w:id="516"/>
    </w:p>
    <w:p w14:paraId="275D4704" w14:textId="1480467B" w:rsidR="00FF302D" w:rsidRPr="00113F13" w:rsidRDefault="00FF302D" w:rsidP="00B63604">
      <w:pPr>
        <w:pStyle w:val="NormalNumberedTextTLRI"/>
        <w:numPr>
          <w:ilvl w:val="2"/>
          <w:numId w:val="31"/>
        </w:numPr>
        <w:tabs>
          <w:tab w:val="clear" w:pos="720"/>
        </w:tabs>
        <w:spacing w:line="259" w:lineRule="auto"/>
      </w:pPr>
      <w:r w:rsidRPr="00113F13">
        <w:t>The TLRI’s view is that the Tasmanian privacy principles concerning the collection, use, and disclosure of personal information (PIPPs 1, 2 and 9) do, in the main, provide adequate privacy protection. However, in light of submissions received in response to the Issues Paper and developments in other jurisdictions—especially the recent Commonwealth Privacy Act Review—the TLRI recommends a number of changes to the PIPPs and other provisions of the PIPA to enhance consistency and clarity for both individuals and personal information custodians and to respond more comprehensively to privacy risks associated with the increasing proliferation and sophistication of digital technology.</w:t>
      </w:r>
    </w:p>
    <w:p w14:paraId="407A353A" w14:textId="77777777" w:rsidR="00FF302D" w:rsidRPr="00113F13" w:rsidRDefault="00FF302D" w:rsidP="00A142A1">
      <w:pPr>
        <w:pStyle w:val="Sub-HeadingTLRI"/>
      </w:pPr>
      <w:bookmarkStart w:id="517" w:name="_Toc164606616"/>
      <w:r w:rsidRPr="00113F13">
        <w:t>Collection of personal information</w:t>
      </w:r>
      <w:bookmarkEnd w:id="517"/>
    </w:p>
    <w:p w14:paraId="2B58C491" w14:textId="1C26DEF6" w:rsidR="00FF302D" w:rsidRPr="00113F13" w:rsidRDefault="00FF302D" w:rsidP="00B63604">
      <w:pPr>
        <w:pStyle w:val="NormalNumberedTextTLRI"/>
        <w:numPr>
          <w:ilvl w:val="2"/>
          <w:numId w:val="31"/>
        </w:numPr>
        <w:tabs>
          <w:tab w:val="clear" w:pos="720"/>
        </w:tabs>
        <w:spacing w:line="259" w:lineRule="auto"/>
      </w:pPr>
      <w:bookmarkStart w:id="518" w:name="_Toc143872378"/>
      <w:r w:rsidRPr="00113F13">
        <w:t xml:space="preserve">The TLRI considers there may be a benefit to defining the term ‘collects’ in the PIPA and aligning it with the Privacy Act Review’s proposed amendment to the Privacy Act definition. This would clarify that the protections relating to collection of personal information apply to inferred and generated information </w:t>
      </w:r>
      <w:r w:rsidRPr="00A55D07">
        <w:t>(</w:t>
      </w:r>
      <w:r w:rsidRPr="00EA22F8">
        <w:t>see [</w:t>
      </w:r>
      <w:r w:rsidR="00A55D07">
        <w:fldChar w:fldCharType="begin"/>
      </w:r>
      <w:r w:rsidR="00A55D07" w:rsidRPr="00EA22F8">
        <w:instrText xml:space="preserve"> REF _Ref149753722 \r \h </w:instrText>
      </w:r>
      <w:r w:rsidR="00A55D07">
        <w:instrText xml:space="preserve"> \* MERGEFORMAT </w:instrText>
      </w:r>
      <w:r w:rsidR="00A55D07">
        <w:fldChar w:fldCharType="separate"/>
      </w:r>
      <w:r w:rsidR="00462C30">
        <w:rPr>
          <w:cs/>
        </w:rPr>
        <w:t>‎</w:t>
      </w:r>
      <w:r w:rsidR="00462C30">
        <w:t>5.4.1</w:t>
      </w:r>
      <w:r w:rsidR="00A55D07">
        <w:fldChar w:fldCharType="end"/>
      </w:r>
      <w:r w:rsidRPr="00EA22F8">
        <w:t>] and followi</w:t>
      </w:r>
      <w:r w:rsidRPr="00A55D07">
        <w:t>ng</w:t>
      </w:r>
      <w:r w:rsidRPr="00113F13">
        <w:t>). While no submissions to the TLRI Issues Paper raised this matter, such a change would arguably be consistent with more general calls from several submitters to ensure that the PIPA is equipped to deal with contemporary and emerging privacy risks associated with technological advances.</w:t>
      </w:r>
      <w:r w:rsidRPr="00113F13">
        <w:rPr>
          <w:rStyle w:val="FootnoteReference"/>
          <w:rFonts w:ascii="Times New Roman" w:hAnsi="Times New Roman"/>
        </w:rPr>
        <w:footnoteReference w:id="519"/>
      </w:r>
      <w:bookmarkEnd w:id="518"/>
    </w:p>
    <w:p w14:paraId="0779C7FE" w14:textId="77777777" w:rsidR="00FF302D" w:rsidRPr="00113F13" w:rsidRDefault="00FF302D" w:rsidP="00B63604">
      <w:pPr>
        <w:pStyle w:val="NormalNumberedTextTLRI"/>
        <w:numPr>
          <w:ilvl w:val="2"/>
          <w:numId w:val="31"/>
        </w:numPr>
        <w:tabs>
          <w:tab w:val="clear" w:pos="720"/>
        </w:tabs>
        <w:spacing w:line="259" w:lineRule="auto"/>
      </w:pPr>
      <w:bookmarkStart w:id="519" w:name="_Toc143872379"/>
      <w:r w:rsidRPr="00113F13">
        <w:t>The TLRI considers that it would enhance transparency for individuals if PIPP 1(3) were amended to align more closely with APP 5 by requiring personal information custodians to disclose who else may have access to personal information, including cross-border recipients.</w:t>
      </w:r>
      <w:r w:rsidRPr="00113F13">
        <w:rPr>
          <w:rStyle w:val="FootnoteReference"/>
          <w:rFonts w:ascii="Times New Roman" w:hAnsi="Times New Roman"/>
        </w:rPr>
        <w:footnoteReference w:id="520"/>
      </w:r>
      <w:bookmarkEnd w:id="519"/>
    </w:p>
    <w:p w14:paraId="65FA2287" w14:textId="77777777" w:rsidR="00FF302D" w:rsidRPr="00113F13" w:rsidRDefault="00FF302D" w:rsidP="00B63604">
      <w:pPr>
        <w:pStyle w:val="NormalNumberedTextTLRI"/>
        <w:numPr>
          <w:ilvl w:val="2"/>
          <w:numId w:val="31"/>
        </w:numPr>
        <w:tabs>
          <w:tab w:val="clear" w:pos="720"/>
        </w:tabs>
        <w:spacing w:line="259" w:lineRule="auto"/>
      </w:pPr>
      <w:bookmarkStart w:id="520" w:name="_Toc143872380"/>
      <w:r w:rsidRPr="00113F13">
        <w:t xml:space="preserve">The TLRI observes that the wording of PIPP 1 in relation to the timing of reasonable steps to give notice of collection—‘either before collection, during collection or as soon as practicable after collection’—is potentially weaker than the equivalent requirement in the Privacy Act, which requires </w:t>
      </w:r>
      <w:r w:rsidRPr="00113F13">
        <w:lastRenderedPageBreak/>
        <w:t>reasonable steps to give notice ‘[a]t or before the time of collection or, if that is not practicable, as soon as is practicable after collection’.</w:t>
      </w:r>
      <w:r w:rsidRPr="00113F13">
        <w:rPr>
          <w:rStyle w:val="FootnoteReference"/>
          <w:rFonts w:ascii="Times New Roman" w:hAnsi="Times New Roman"/>
        </w:rPr>
        <w:footnoteReference w:id="521"/>
      </w:r>
      <w:r w:rsidRPr="00113F13">
        <w:t xml:space="preserve"> The TLRI recommends that the wording in the Privacy Act be adopted for the PIPA, on the basis that this would encourage custodians to prioritise notice before or during collection, and only resort to notice after collection where earlier notice is impracticable.</w:t>
      </w:r>
      <w:bookmarkEnd w:id="520"/>
    </w:p>
    <w:p w14:paraId="480B8B48" w14:textId="77777777" w:rsidR="00FF302D" w:rsidRPr="00113F13" w:rsidRDefault="00FF302D" w:rsidP="00B63604">
      <w:pPr>
        <w:pStyle w:val="NormalNumberedTextTLRI"/>
        <w:numPr>
          <w:ilvl w:val="2"/>
          <w:numId w:val="31"/>
        </w:numPr>
        <w:tabs>
          <w:tab w:val="clear" w:pos="720"/>
        </w:tabs>
        <w:spacing w:line="259" w:lineRule="auto"/>
      </w:pPr>
      <w:bookmarkStart w:id="521" w:name="_Toc143872381"/>
      <w:r w:rsidRPr="00113F13">
        <w:t>The TLRI considers that the proposed amendments to strengthen collection notice requirements in the Privacy Act Review’s Final Report may also be appropriate for the PIPA. This is because they could support personal information custodians’ decision-making and compliance, as well as enhance transparency for individuals and equip them to better assert their privacy rights. The TLRI recommends these matters be given further consideration in light of the Commonwealth review:</w:t>
      </w:r>
      <w:bookmarkEnd w:id="521"/>
    </w:p>
    <w:p w14:paraId="7DEB14C1" w14:textId="77777777" w:rsidR="00FF302D" w:rsidRPr="00113F13" w:rsidRDefault="00FF302D" w:rsidP="00A142A1">
      <w:pPr>
        <w:pStyle w:val="DotPointTLRI"/>
      </w:pPr>
      <w:r w:rsidRPr="00113F13">
        <w:t>whether the PIPA should specify that collection notices should be clear and understandable (including where addressed to a child), and accessible;</w:t>
      </w:r>
      <w:r w:rsidRPr="00113F13">
        <w:rPr>
          <w:rStyle w:val="FootnoteReference"/>
          <w:rFonts w:ascii="Times New Roman" w:hAnsi="Times New Roman"/>
        </w:rPr>
        <w:footnoteReference w:id="522"/>
      </w:r>
      <w:r w:rsidRPr="00113F13">
        <w:t xml:space="preserve"> and</w:t>
      </w:r>
    </w:p>
    <w:p w14:paraId="3E883AE2" w14:textId="77777777" w:rsidR="00FF302D" w:rsidRPr="00113F13" w:rsidRDefault="00FF302D" w:rsidP="00A142A1">
      <w:pPr>
        <w:pStyle w:val="DotPointTLRI"/>
      </w:pPr>
      <w:r w:rsidRPr="00113F13">
        <w:t>whether collection notices should contain additional details, such as details of the circumstances of handling where a high-risk activity is involved, information about the privacy policy and what it contains, and types of information that may be disclosed to cross-border recipients.</w:t>
      </w:r>
      <w:r w:rsidRPr="00113F13">
        <w:rPr>
          <w:rStyle w:val="FootnoteReference"/>
          <w:rFonts w:ascii="Times New Roman" w:hAnsi="Times New Roman"/>
        </w:rPr>
        <w:footnoteReference w:id="523"/>
      </w:r>
    </w:p>
    <w:p w14:paraId="0B47B2DE" w14:textId="4C4FA223" w:rsidR="00FF302D" w:rsidRPr="00113F13" w:rsidRDefault="288D8F58" w:rsidP="00B63604">
      <w:pPr>
        <w:pStyle w:val="NormalNumberedTextTLRI"/>
        <w:numPr>
          <w:ilvl w:val="2"/>
          <w:numId w:val="31"/>
        </w:numPr>
        <w:tabs>
          <w:tab w:val="clear" w:pos="720"/>
        </w:tabs>
        <w:spacing w:line="259" w:lineRule="auto"/>
      </w:pPr>
      <w:bookmarkStart w:id="522" w:name="_Toc143872382"/>
      <w:bookmarkStart w:id="523" w:name="_Ref151455256"/>
      <w:r>
        <w:t xml:space="preserve">The TLRI notes Meg Webb MLC’s suggestion that ‘collecting authorities’ should also indicate the intended duration of storage, accessibility, and usage of personal information. The TLRI observes that </w:t>
      </w:r>
      <w:bookmarkEnd w:id="522"/>
      <w:r>
        <w:t xml:space="preserve">such a requirement does not apply in other Australian jurisdictions. The Commonwealth Privacy Act Review did make related proposals that APP entities should be required to establish retention periods for personal information and state them in their privacy policies; these recommendations and their significance for the </w:t>
      </w:r>
      <w:r w:rsidRPr="00FE3C2C">
        <w:t xml:space="preserve">PIPA are </w:t>
      </w:r>
      <w:r w:rsidRPr="00EA22F8">
        <w:t>addressed</w:t>
      </w:r>
      <w:r w:rsidR="006B0030" w:rsidRPr="00EA22F8">
        <w:t xml:space="preserve"> in Parts 6 and </w:t>
      </w:r>
      <w:r w:rsidRPr="00EA22F8">
        <w:t>7 below</w:t>
      </w:r>
      <w:r w:rsidRPr="00FE3C2C">
        <w:t>.</w:t>
      </w:r>
      <w:bookmarkEnd w:id="523"/>
    </w:p>
    <w:p w14:paraId="58A59C0E" w14:textId="77777777" w:rsidR="00FF302D" w:rsidRPr="00113F13" w:rsidRDefault="00FF302D" w:rsidP="00B63604">
      <w:pPr>
        <w:pStyle w:val="NormalNumberedTextTLRI"/>
        <w:numPr>
          <w:ilvl w:val="2"/>
          <w:numId w:val="31"/>
        </w:numPr>
        <w:tabs>
          <w:tab w:val="clear" w:pos="720"/>
        </w:tabs>
        <w:spacing w:line="259" w:lineRule="auto"/>
      </w:pPr>
      <w:bookmarkStart w:id="524" w:name="_Toc143872383"/>
      <w:r w:rsidRPr="00113F13">
        <w:t xml:space="preserve">The TLRI observes that PIPP 1 and APP 3 are phrased differently in terms of the circumstances in which personal information custodians or APP entities can collect information about an individual from someone other than the individual. Specifically, PIPP 1 states that personal information custodians must collect information from the individual, if it is reasonable and practicable to do so. APP 3 similarly holds that agencies must collect personal information from the individual, unless it is unreasonable or impracticable to do so, but also specifically permits collection from someone else where the individual consents or where the agency is required or authorised to do so. </w:t>
      </w:r>
      <w:bookmarkEnd w:id="524"/>
    </w:p>
    <w:p w14:paraId="6460A1C5" w14:textId="77777777" w:rsidR="00FF302D" w:rsidRPr="00113F13" w:rsidRDefault="00FF302D" w:rsidP="00B63604">
      <w:pPr>
        <w:pStyle w:val="NormalNumberedTextTLRI"/>
        <w:numPr>
          <w:ilvl w:val="2"/>
          <w:numId w:val="31"/>
        </w:numPr>
        <w:tabs>
          <w:tab w:val="clear" w:pos="720"/>
        </w:tabs>
        <w:spacing w:line="259" w:lineRule="auto"/>
      </w:pPr>
      <w:r w:rsidRPr="00113F13">
        <w:t>The TLRI notes that legislation in other jurisdictions takes varying approaches; for example, the Victorian legislation expresses a principle nearly identical to PIPP 1,</w:t>
      </w:r>
      <w:r w:rsidRPr="00113F13">
        <w:rPr>
          <w:rStyle w:val="FootnoteReference"/>
          <w:rFonts w:ascii="Times New Roman" w:hAnsi="Times New Roman"/>
        </w:rPr>
        <w:footnoteReference w:id="524"/>
      </w:r>
      <w:r w:rsidRPr="00113F13">
        <w:t xml:space="preserve"> while the NSW legislation, like the Privacy Act, permits collection from another party, where this was authorised by the individual.</w:t>
      </w:r>
      <w:r w:rsidRPr="00113F13">
        <w:rPr>
          <w:rStyle w:val="FootnoteReference"/>
          <w:rFonts w:ascii="Times New Roman" w:hAnsi="Times New Roman"/>
        </w:rPr>
        <w:footnoteReference w:id="525"/>
      </w:r>
      <w:r w:rsidRPr="00113F13">
        <w:t xml:space="preserve"> </w:t>
      </w:r>
    </w:p>
    <w:p w14:paraId="6A2AF6DA" w14:textId="77777777" w:rsidR="00FF302D" w:rsidRPr="00113F13" w:rsidRDefault="00FF302D" w:rsidP="00B63604">
      <w:pPr>
        <w:pStyle w:val="NormalNumberedTextTLRI"/>
        <w:numPr>
          <w:ilvl w:val="2"/>
          <w:numId w:val="31"/>
        </w:numPr>
        <w:tabs>
          <w:tab w:val="clear" w:pos="720"/>
        </w:tabs>
        <w:spacing w:line="259" w:lineRule="auto"/>
      </w:pPr>
      <w:bookmarkStart w:id="525" w:name="_Toc143872384"/>
      <w:r w:rsidRPr="00113F13">
        <w:t>The TLRI’s view is that there may be value in aligning PIPP 1 with APP 3 by enabling custodians to collect personal information from another person, where the individual concerned has consented or where the custodian is required by law to collect the information.</w:t>
      </w:r>
      <w:r w:rsidRPr="00113F13">
        <w:rPr>
          <w:rStyle w:val="FootnoteReference"/>
          <w:rFonts w:ascii="Times New Roman" w:hAnsi="Times New Roman"/>
        </w:rPr>
        <w:footnoteReference w:id="526"/>
      </w:r>
      <w:bookmarkEnd w:id="525"/>
      <w:r w:rsidRPr="00113F13">
        <w:t xml:space="preserve"> </w:t>
      </w:r>
      <w:bookmarkStart w:id="526" w:name="_Toc143872387"/>
    </w:p>
    <w:p w14:paraId="0D4D05C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If such an amendment is made, there is a need to consider the scope of protections, such as the proposal in the Privacy Act Review Final Report that APP entities should be required to take </w:t>
      </w:r>
      <w:r w:rsidRPr="00113F13">
        <w:lastRenderedPageBreak/>
        <w:t xml:space="preserve">reasonable steps to satisfy themselves that information collected from someone other than the individual was originally collected from the individual in accordance with the relevant APP. </w:t>
      </w:r>
      <w:bookmarkEnd w:id="526"/>
    </w:p>
    <w:p w14:paraId="5EE465EF" w14:textId="77777777" w:rsidR="00FF302D" w:rsidRPr="00113F13" w:rsidRDefault="00FF302D" w:rsidP="00B63604">
      <w:pPr>
        <w:pStyle w:val="NormalNumberedTextTLRI"/>
        <w:numPr>
          <w:ilvl w:val="2"/>
          <w:numId w:val="31"/>
        </w:numPr>
        <w:tabs>
          <w:tab w:val="clear" w:pos="720"/>
        </w:tabs>
        <w:spacing w:line="259" w:lineRule="auto"/>
      </w:pPr>
      <w:bookmarkStart w:id="527" w:name="_Toc143872385"/>
      <w:r w:rsidRPr="00113F13">
        <w:t>Individuals’ consent to collection from third parties, and to other information handling that requires consent under the PIPPs,</w:t>
      </w:r>
      <w:r w:rsidRPr="00113F13">
        <w:rPr>
          <w:rStyle w:val="FootnoteReference"/>
          <w:rFonts w:ascii="Times New Roman" w:hAnsi="Times New Roman"/>
        </w:rPr>
        <w:footnoteReference w:id="527"/>
      </w:r>
      <w:r w:rsidRPr="00113F13">
        <w:t xml:space="preserve"> must be valid. The TLRI considers it would be appropriate to amend the PIPA to define consent, using the definition of valid consent currently set out in the OAIC Guidelines on the Australian Privacy Principles. This corresponds with the Privacy Act Review’s proposal for amending the definition of consent in the Privacy Act.</w:t>
      </w:r>
      <w:bookmarkEnd w:id="527"/>
    </w:p>
    <w:p w14:paraId="7B276134" w14:textId="77777777" w:rsidR="00FF302D" w:rsidRPr="00113F13" w:rsidRDefault="00FF302D" w:rsidP="00B63604">
      <w:pPr>
        <w:pStyle w:val="NormalNumberedTextTLRI"/>
        <w:numPr>
          <w:ilvl w:val="2"/>
          <w:numId w:val="31"/>
        </w:numPr>
        <w:tabs>
          <w:tab w:val="clear" w:pos="720"/>
        </w:tabs>
        <w:spacing w:line="259" w:lineRule="auto"/>
      </w:pPr>
      <w:bookmarkStart w:id="528" w:name="_Toc143872386"/>
      <w:r w:rsidRPr="00113F13">
        <w:t>In light of the growing use of online consent processes by public and private entities, the TLRI also considers that the development of guidance on the design of consent requests for online services, recommended by the Privacy Act Review for entities bound by the Commonwealth legislation, could also be beneficial for Tasmanian personal information custodians.</w:t>
      </w:r>
      <w:r w:rsidRPr="00113F13">
        <w:rPr>
          <w:rStyle w:val="FootnoteReference"/>
          <w:rFonts w:ascii="Times New Roman" w:hAnsi="Times New Roman"/>
        </w:rPr>
        <w:footnoteReference w:id="528"/>
      </w:r>
      <w:bookmarkEnd w:id="528"/>
    </w:p>
    <w:p w14:paraId="30C910DC" w14:textId="77777777" w:rsidR="00FF302D" w:rsidRPr="00113F13" w:rsidRDefault="00FF302D" w:rsidP="00A142A1">
      <w:pPr>
        <w:pStyle w:val="Sub-HeadingTLRI"/>
      </w:pPr>
      <w:bookmarkStart w:id="529" w:name="_Toc164606617"/>
      <w:r w:rsidRPr="00113F13">
        <w:t>Collection of sensitive information (including health information)</w:t>
      </w:r>
      <w:bookmarkEnd w:id="529"/>
    </w:p>
    <w:p w14:paraId="2C98A343" w14:textId="77777777" w:rsidR="00FF302D" w:rsidRPr="00113F13" w:rsidRDefault="00FF302D" w:rsidP="00B63604">
      <w:pPr>
        <w:pStyle w:val="NormalNumberedTextTLRI"/>
        <w:numPr>
          <w:ilvl w:val="2"/>
          <w:numId w:val="31"/>
        </w:numPr>
        <w:tabs>
          <w:tab w:val="clear" w:pos="720"/>
        </w:tabs>
        <w:spacing w:line="259" w:lineRule="auto"/>
      </w:pPr>
      <w:bookmarkStart w:id="530" w:name="_Toc143872388"/>
      <w:r w:rsidRPr="00113F13">
        <w:t>The TLRI observes that PIPP 10, unlike APP 3, does not permit the collection of sensitive information for the purpose of a confidential alternative dispute resolution process. The TLRI has not received information or submissions about the significance, if any, of this difference in practice</w:t>
      </w:r>
      <w:bookmarkEnd w:id="530"/>
      <w:r w:rsidRPr="00113F13">
        <w:t xml:space="preserve"> and, accordingly, makes no recommendations.</w:t>
      </w:r>
    </w:p>
    <w:p w14:paraId="15F59024" w14:textId="74ED9F7C" w:rsidR="00A142A1" w:rsidRPr="00582C49" w:rsidRDefault="00FF302D" w:rsidP="00EA22F8">
      <w:pPr>
        <w:pStyle w:val="NormalNumberedTextTLRI"/>
        <w:numPr>
          <w:ilvl w:val="2"/>
          <w:numId w:val="31"/>
        </w:numPr>
        <w:tabs>
          <w:tab w:val="clear" w:pos="720"/>
        </w:tabs>
        <w:spacing w:line="259" w:lineRule="auto"/>
      </w:pPr>
      <w:bookmarkStart w:id="531" w:name="_Toc143872389"/>
      <w:r w:rsidRPr="00113F13">
        <w:t xml:space="preserve">The TLRI also observes that there are some minor differences between the PIPA and the Privacy Act in the exceptions to the consent requirement relating to the provision of health services. For example, the Privacy Act (but not the PIPA) permits collection from a third party where the information is about family, social </w:t>
      </w:r>
      <w:r w:rsidRPr="00113F13">
        <w:rPr>
          <w:i/>
          <w:iCs/>
        </w:rPr>
        <w:t>or medical</w:t>
      </w:r>
      <w:r w:rsidRPr="00113F13">
        <w:t xml:space="preserve"> history, whereas the PIPA only applies to family and social history.</w:t>
      </w:r>
      <w:r w:rsidRPr="00113F13">
        <w:rPr>
          <w:rStyle w:val="FootnoteReference"/>
          <w:rFonts w:ascii="Times New Roman" w:hAnsi="Times New Roman"/>
        </w:rPr>
        <w:footnoteReference w:id="529"/>
      </w:r>
      <w:r w:rsidRPr="00113F13">
        <w:t xml:space="preserve"> The TLRI did not receive any submissions on this point and also makes no recommendations.</w:t>
      </w:r>
      <w:bookmarkEnd w:id="531"/>
    </w:p>
    <w:p w14:paraId="2615CBCB" w14:textId="77777777" w:rsidR="00FF302D" w:rsidRPr="00113F13" w:rsidRDefault="00FF302D" w:rsidP="00A142A1">
      <w:pPr>
        <w:pStyle w:val="Sub-HeadingTLRI"/>
      </w:pPr>
      <w:bookmarkStart w:id="532" w:name="_Toc164606618"/>
      <w:r w:rsidRPr="00113F13">
        <w:t>Collection of unsolicited information</w:t>
      </w:r>
      <w:bookmarkEnd w:id="532"/>
    </w:p>
    <w:p w14:paraId="2D38008A" w14:textId="77777777" w:rsidR="00FF302D" w:rsidRPr="00113F13" w:rsidRDefault="00FF302D" w:rsidP="00B63604">
      <w:pPr>
        <w:pStyle w:val="NormalNumberedTextTLRI"/>
        <w:numPr>
          <w:ilvl w:val="2"/>
          <w:numId w:val="31"/>
        </w:numPr>
        <w:tabs>
          <w:tab w:val="clear" w:pos="720"/>
        </w:tabs>
        <w:spacing w:line="259" w:lineRule="auto"/>
      </w:pPr>
      <w:bookmarkStart w:id="533" w:name="_Toc143872390"/>
      <w:r w:rsidRPr="00113F13">
        <w:t>The TLRI observes that the explicit exclusion of unsolicited information from the PIPP 1 collection requirements</w:t>
      </w:r>
      <w:r w:rsidRPr="00113F13">
        <w:rPr>
          <w:rStyle w:val="FootnoteReference"/>
          <w:rFonts w:ascii="Times New Roman" w:hAnsi="Times New Roman"/>
        </w:rPr>
        <w:footnoteReference w:id="530"/>
      </w:r>
      <w:r w:rsidRPr="00113F13">
        <w:t xml:space="preserve"> means that personal information custodians are not obliged to inform an individual that the custodian holds their unsolicited personal information. The practical effect of this appears to be that a personal information custodian can use unsolicited information, even in circumstances where it could not have collected the information directly, and where the individual does not know the custodian has the information. Further, the PIPPs do not create a clear obligation for custodians to destroy or de-identify unsolicited information.</w:t>
      </w:r>
      <w:r w:rsidRPr="00113F13">
        <w:rPr>
          <w:rStyle w:val="FootnoteReference"/>
          <w:rFonts w:ascii="Times New Roman" w:hAnsi="Times New Roman"/>
        </w:rPr>
        <w:footnoteReference w:id="531"/>
      </w:r>
      <w:bookmarkEnd w:id="533"/>
      <w:r w:rsidRPr="00113F13">
        <w:t xml:space="preserve"> </w:t>
      </w:r>
    </w:p>
    <w:p w14:paraId="58798725" w14:textId="088014F5" w:rsidR="00FF302D" w:rsidRPr="00113F13" w:rsidRDefault="00FF302D" w:rsidP="00B63604">
      <w:pPr>
        <w:pStyle w:val="NormalNumberedTextTLRI"/>
        <w:numPr>
          <w:ilvl w:val="2"/>
          <w:numId w:val="31"/>
        </w:numPr>
        <w:tabs>
          <w:tab w:val="clear" w:pos="720"/>
        </w:tabs>
        <w:spacing w:line="259" w:lineRule="auto"/>
      </w:pPr>
      <w:r w:rsidRPr="00113F13">
        <w:t>The TLRI observes that PIPPS 2</w:t>
      </w:r>
      <w:r w:rsidR="008648FE">
        <w:t>–</w:t>
      </w:r>
      <w:r w:rsidRPr="00113F13">
        <w:t>10 (discussed in this</w:t>
      </w:r>
      <w:r w:rsidR="00CB2B89">
        <w:t xml:space="preserve"> Part</w:t>
      </w:r>
      <w:r w:rsidRPr="00113F13">
        <w:t xml:space="preserve">) apply by default to unsolicited personal information. However, three of these—PIPP 2 (on use and disclosure), PIPP 3 (on data quality), and PIPP 10 (on sensitive information)—assess the permissibility of handling by reference to </w:t>
      </w:r>
      <w:r w:rsidRPr="00113F13">
        <w:lastRenderedPageBreak/>
        <w:t>the purpose of collection. It is unclear how these PIPPs would apply to unsolicited information, given that no objective purpose of collection exists in such circumstances.</w:t>
      </w:r>
    </w:p>
    <w:p w14:paraId="49428E8D" w14:textId="77777777" w:rsidR="00FF302D" w:rsidRPr="00113F13" w:rsidRDefault="00FF302D" w:rsidP="00B63604">
      <w:pPr>
        <w:pStyle w:val="NormalNumberedTextTLRI"/>
        <w:numPr>
          <w:ilvl w:val="2"/>
          <w:numId w:val="31"/>
        </w:numPr>
        <w:tabs>
          <w:tab w:val="clear" w:pos="720"/>
        </w:tabs>
        <w:spacing w:line="259" w:lineRule="auto"/>
      </w:pPr>
      <w:r w:rsidRPr="00113F13">
        <w:t>The TLRI notes that the NSW legislation is similar to the PIPA in stating that personal information is not ‘collected’ if it is received unsolicited.</w:t>
      </w:r>
      <w:r w:rsidRPr="00113F13">
        <w:rPr>
          <w:rStyle w:val="FootnoteReference"/>
          <w:rFonts w:ascii="Times New Roman" w:hAnsi="Times New Roman"/>
        </w:rPr>
        <w:footnoteReference w:id="532"/>
      </w:r>
      <w:r w:rsidRPr="00113F13">
        <w:t xml:space="preserve"> Legislation in other jurisdictions, such as Victoria and Queensland, does not mention unsolicited information at all.</w:t>
      </w:r>
      <w:r w:rsidRPr="00113F13">
        <w:rPr>
          <w:rStyle w:val="FootnoteReference"/>
          <w:rFonts w:ascii="Times New Roman" w:hAnsi="Times New Roman"/>
        </w:rPr>
        <w:footnoteReference w:id="533"/>
      </w:r>
      <w:r w:rsidRPr="00113F13">
        <w:t xml:space="preserve"> In contrast, the Privacy Act’s APP 4 establishes an approach that provides the same level of protection to unsolicited information as is afforded to other forms of personal information. The Privacy Act Review did not propose any changes to this provision. </w:t>
      </w:r>
    </w:p>
    <w:p w14:paraId="19639795" w14:textId="77777777" w:rsidR="00FF302D" w:rsidRPr="00113F13" w:rsidRDefault="00FF302D" w:rsidP="00B63604">
      <w:pPr>
        <w:pStyle w:val="NormalNumberedTextTLRI"/>
        <w:numPr>
          <w:ilvl w:val="2"/>
          <w:numId w:val="31"/>
        </w:numPr>
        <w:tabs>
          <w:tab w:val="clear" w:pos="720"/>
        </w:tabs>
        <w:spacing w:line="259" w:lineRule="auto"/>
      </w:pPr>
      <w:bookmarkStart w:id="534" w:name="_Toc143872392"/>
      <w:r w:rsidRPr="00113F13">
        <w:t>The TLRI did not receive any submissions on this issue. Nevertheless, in light of the apparent gap in privacy protections relating to unsolicited information, the TLRI recommends that PIPP 1 should be amended to specify how personal information custodians should respond to receiving unsolicited information in a manner similar to APP 4.</w:t>
      </w:r>
      <w:bookmarkEnd w:id="534"/>
    </w:p>
    <w:p w14:paraId="1CBAF93C" w14:textId="77777777" w:rsidR="00FF302D" w:rsidRPr="00113F13" w:rsidRDefault="00FF302D" w:rsidP="00A142A1">
      <w:pPr>
        <w:pStyle w:val="Sub-HeadingTLRI"/>
      </w:pPr>
      <w:bookmarkStart w:id="535" w:name="_Toc164606619"/>
      <w:r w:rsidRPr="00113F13">
        <w:t>Use and disclosure of personal information (including sensitive information)</w:t>
      </w:r>
      <w:bookmarkEnd w:id="535"/>
    </w:p>
    <w:p w14:paraId="4BF83EEC" w14:textId="77777777" w:rsidR="00FF302D" w:rsidRPr="00113F13" w:rsidRDefault="00FF302D" w:rsidP="00B63604">
      <w:pPr>
        <w:pStyle w:val="NormalNumberedTextTLRI"/>
        <w:numPr>
          <w:ilvl w:val="2"/>
          <w:numId w:val="31"/>
        </w:numPr>
        <w:tabs>
          <w:tab w:val="clear" w:pos="720"/>
        </w:tabs>
        <w:spacing w:line="259" w:lineRule="auto"/>
      </w:pPr>
      <w:bookmarkStart w:id="536" w:name="_Toc143872393"/>
      <w:r w:rsidRPr="00113F13">
        <w:t>The TLRI observes that there are some minor differences between the PIPPs and the APPs in terms of the secondary purposes for which disclosure of personal information is permitted. Most notably, unlike the APPs, the PIPPs do not permit disclosure of personal information where it is reasonably necessary for a confidential alternative dispute resolution process. This was mentioned in the Issues Paper for this project, but no consultation questions were posed, or submissions received, on it. Accordingly, the TLRI makes no recommendation.</w:t>
      </w:r>
      <w:bookmarkEnd w:id="536"/>
    </w:p>
    <w:p w14:paraId="0D92D28F" w14:textId="25EAC67E" w:rsidR="00FF302D" w:rsidRPr="00113F13" w:rsidRDefault="00FF302D" w:rsidP="00B63604">
      <w:pPr>
        <w:pStyle w:val="NormalNumberedTextTLRI"/>
        <w:numPr>
          <w:ilvl w:val="2"/>
          <w:numId w:val="31"/>
        </w:numPr>
        <w:tabs>
          <w:tab w:val="clear" w:pos="720"/>
        </w:tabs>
        <w:spacing w:line="259" w:lineRule="auto"/>
      </w:pPr>
      <w:bookmarkStart w:id="537" w:name="_Toc143872395"/>
      <w:r w:rsidRPr="00113F13">
        <w:t xml:space="preserve">The TLRI observes that the PIPA is broader than the Privacy Act in the scope of the exception to the prohibition on secondary use or disclosure, with the PIPA permitting such practices for research in the public interest, rather than only for research relevant to public health or safety. The TLRI notes that the Privacy Act Review Report proposed (and the Government agreed) that further consideration </w:t>
      </w:r>
      <w:r w:rsidRPr="00091188">
        <w:t>be given to broadening the research exceptions in the Privacy Act (d</w:t>
      </w:r>
      <w:r w:rsidRPr="00EA22F8">
        <w:t>iscussed above at  [</w:t>
      </w:r>
      <w:r w:rsidR="00091188" w:rsidRPr="00EA22F8">
        <w:fldChar w:fldCharType="begin"/>
      </w:r>
      <w:r w:rsidR="00091188" w:rsidRPr="00EA22F8">
        <w:instrText xml:space="preserve"> REF _Ref149928096 \r \h </w:instrText>
      </w:r>
      <w:r w:rsidR="00091188">
        <w:instrText xml:space="preserve"> \* MERGEFORMAT </w:instrText>
      </w:r>
      <w:r w:rsidR="00091188" w:rsidRPr="00EA22F8">
        <w:fldChar w:fldCharType="separate"/>
      </w:r>
      <w:r w:rsidR="00462C30">
        <w:rPr>
          <w:cs/>
        </w:rPr>
        <w:t>‎</w:t>
      </w:r>
      <w:r w:rsidR="00462C30">
        <w:t>5.4.8</w:t>
      </w:r>
      <w:r w:rsidR="00091188" w:rsidRPr="00EA22F8">
        <w:fldChar w:fldCharType="end"/>
      </w:r>
      <w:r w:rsidRPr="00EA22F8">
        <w:t>] and foll</w:t>
      </w:r>
      <w:r w:rsidRPr="00091188">
        <w:t>owing</w:t>
      </w:r>
      <w:r w:rsidRPr="00113F13">
        <w:t>), indicating that the Privacy Act may in the future be amended to align more closely with the PIPA.</w:t>
      </w:r>
      <w:bookmarkEnd w:id="537"/>
    </w:p>
    <w:p w14:paraId="54A45DDD" w14:textId="7726D4B3" w:rsidR="00FF302D" w:rsidRDefault="288D8F58" w:rsidP="00B63604">
      <w:pPr>
        <w:pStyle w:val="NormalNumberedTextTLRI"/>
        <w:numPr>
          <w:ilvl w:val="2"/>
          <w:numId w:val="31"/>
        </w:numPr>
        <w:tabs>
          <w:tab w:val="clear" w:pos="720"/>
        </w:tabs>
        <w:spacing w:line="259" w:lineRule="auto"/>
      </w:pPr>
      <w:bookmarkStart w:id="538" w:name="_Toc143872396"/>
      <w:r w:rsidRPr="008D1D86">
        <w:t xml:space="preserve">The TLRI also notes that the Privacy Act presently provides stronger privacy protection for employee information held by public agencies than does the PIPA, the latter of which creates an exception to the consent requirement for use and disclosure of employee information for employment purposes. The Privacy Act exception is presently only available for non-public sector organisations, but the Privacy Act Review recommended that privacy protections be extended to these organisations. This is discussed, and recommendations are made, in </w:t>
      </w:r>
      <w:r w:rsidRPr="00EA22F8">
        <w:t>[</w:t>
      </w:r>
      <w:r w:rsidR="004001A0" w:rsidRPr="00EA22F8">
        <w:fldChar w:fldCharType="begin"/>
      </w:r>
      <w:r w:rsidR="004001A0" w:rsidRPr="00EA22F8">
        <w:instrText xml:space="preserve"> REF _Ref164780229 \r \h </w:instrText>
      </w:r>
      <w:r w:rsidR="008D1D86">
        <w:instrText xml:space="preserve"> \* MERGEFORMAT </w:instrText>
      </w:r>
      <w:r w:rsidR="004001A0" w:rsidRPr="00EA22F8">
        <w:fldChar w:fldCharType="separate"/>
      </w:r>
      <w:r w:rsidR="00462C30">
        <w:rPr>
          <w:cs/>
        </w:rPr>
        <w:t>‎</w:t>
      </w:r>
      <w:r w:rsidR="00462C30">
        <w:t>3.4</w:t>
      </w:r>
      <w:r w:rsidR="004001A0" w:rsidRPr="00EA22F8">
        <w:fldChar w:fldCharType="end"/>
      </w:r>
      <w:r w:rsidRPr="00EA22F8">
        <w:t>] of this Report.</w:t>
      </w:r>
      <w:bookmarkEnd w:id="538"/>
    </w:p>
    <w:p w14:paraId="40B1BDAE" w14:textId="77777777" w:rsidR="00FF302D" w:rsidRPr="00113F13" w:rsidRDefault="00FF302D" w:rsidP="00A142A1">
      <w:pPr>
        <w:pStyle w:val="Sub-HeadingTLRI"/>
      </w:pPr>
      <w:bookmarkStart w:id="539" w:name="_Toc164606620"/>
      <w:r w:rsidRPr="00113F13">
        <w:t>Cross-border disclosure</w:t>
      </w:r>
      <w:bookmarkEnd w:id="539"/>
    </w:p>
    <w:p w14:paraId="7DC6803E" w14:textId="77777777" w:rsidR="00FF302D" w:rsidRPr="00113F13" w:rsidRDefault="00FF302D" w:rsidP="00B63604">
      <w:pPr>
        <w:pStyle w:val="NormalNumberedTextTLRI"/>
        <w:numPr>
          <w:ilvl w:val="2"/>
          <w:numId w:val="31"/>
        </w:numPr>
        <w:tabs>
          <w:tab w:val="clear" w:pos="720"/>
        </w:tabs>
        <w:spacing w:line="259" w:lineRule="auto"/>
      </w:pPr>
      <w:bookmarkStart w:id="540" w:name="_Toc143872397"/>
      <w:r w:rsidRPr="00113F13">
        <w:t>The TLRI considers that the PIPA should be amended to align more closely with existing Privacy Act protections relating to cross-border disclosure. Such reforms would ensure consistency, and promote greater privacy protections, relating to:</w:t>
      </w:r>
      <w:bookmarkEnd w:id="540"/>
    </w:p>
    <w:p w14:paraId="4332C807" w14:textId="77777777" w:rsidR="00FF302D" w:rsidRPr="00113F13" w:rsidRDefault="00FF302D" w:rsidP="00A142A1">
      <w:pPr>
        <w:pStyle w:val="DotPointTLRI"/>
      </w:pPr>
      <w:r w:rsidRPr="00113F13">
        <w:lastRenderedPageBreak/>
        <w:t>whether personal information custodians should be required to hold a reasonable belief that there are mechanisms for the individual to enforce existing privacy protections prior to cross-border disclosure;</w:t>
      </w:r>
      <w:r w:rsidRPr="00113F13">
        <w:rPr>
          <w:rStyle w:val="FootnoteReference"/>
          <w:rFonts w:ascii="Times New Roman" w:hAnsi="Times New Roman"/>
        </w:rPr>
        <w:footnoteReference w:id="534"/>
      </w:r>
    </w:p>
    <w:p w14:paraId="0E3097FA" w14:textId="77777777" w:rsidR="00FF302D" w:rsidRPr="00113F13" w:rsidRDefault="00FF302D" w:rsidP="00A142A1">
      <w:pPr>
        <w:pStyle w:val="DotPointTLRI"/>
      </w:pPr>
      <w:r w:rsidRPr="00113F13">
        <w:t>whether personal information custodians should be required to expressly inform individuals that, if the individual consents to cross-border disclosure, the custodian will not be obliged to take reasonable steps to ensure the recipient does not breach the PIPPs</w:t>
      </w:r>
      <w:r w:rsidRPr="00113F13">
        <w:rPr>
          <w:rStyle w:val="FootnoteReference"/>
          <w:rFonts w:ascii="Times New Roman" w:hAnsi="Times New Roman"/>
        </w:rPr>
        <w:footnoteReference w:id="535"/>
      </w:r>
      <w:r w:rsidRPr="00113F13">
        <w:t xml:space="preserve"> (and, per the Privacy Act Review’s further proposal, that privacy protections may not apply to the recipient);</w:t>
      </w:r>
      <w:r w:rsidRPr="00113F13">
        <w:rPr>
          <w:rStyle w:val="FootnoteReference"/>
          <w:rFonts w:ascii="Times New Roman" w:hAnsi="Times New Roman"/>
        </w:rPr>
        <w:footnoteReference w:id="536"/>
      </w:r>
      <w:r w:rsidRPr="00113F13">
        <w:t xml:space="preserve"> and</w:t>
      </w:r>
    </w:p>
    <w:p w14:paraId="794306B7" w14:textId="77777777" w:rsidR="00FF302D" w:rsidRPr="00113F13" w:rsidRDefault="00FF302D" w:rsidP="00A142A1">
      <w:pPr>
        <w:pStyle w:val="DotPointTLRI"/>
      </w:pPr>
      <w:r w:rsidRPr="00113F13">
        <w:t>whether personal information custodians retain responsibility for breaches of the PIPPs after they have taken reasonable steps to ensure the recipient deals with the information consistently with the PIPPs.</w:t>
      </w:r>
      <w:r w:rsidRPr="00113F13">
        <w:rPr>
          <w:rStyle w:val="FootnoteReference"/>
          <w:rFonts w:ascii="Times New Roman" w:hAnsi="Times New Roman"/>
        </w:rPr>
        <w:footnoteReference w:id="537"/>
      </w:r>
    </w:p>
    <w:p w14:paraId="1B65A3D4" w14:textId="34B0AD6F" w:rsidR="00FF302D" w:rsidRPr="00113F13" w:rsidRDefault="00FF302D" w:rsidP="00B63604">
      <w:pPr>
        <w:pStyle w:val="NormalNumberedTextTLRI"/>
        <w:numPr>
          <w:ilvl w:val="2"/>
          <w:numId w:val="31"/>
        </w:numPr>
        <w:tabs>
          <w:tab w:val="clear" w:pos="720"/>
        </w:tabs>
        <w:spacing w:line="259" w:lineRule="auto"/>
      </w:pPr>
      <w:bookmarkStart w:id="541" w:name="_Toc143872399"/>
      <w:r w:rsidRPr="00113F13">
        <w:t>The TLRI recommends that the PIPA be amended to include a definition of ‘disclosure’ based on existing OAIC guidance, in line with the Privacy Act Review’s proposal for amending the Privacy Act (with which the Commonwealth Government agreed in-principle). This would clarify that PIPP 9 does not apply to entities that provide personal information to secure cloud service providers located outside Tasmania, on the basis that this constitutes ‘use’ rather than ‘disclosure’ and so is protected under other PIPPs.</w:t>
      </w:r>
      <w:r w:rsidRPr="00113F13">
        <w:rPr>
          <w:rStyle w:val="FootnoteReference"/>
          <w:rFonts w:ascii="Times New Roman" w:hAnsi="Times New Roman"/>
        </w:rPr>
        <w:footnoteReference w:id="538"/>
      </w:r>
      <w:bookmarkEnd w:id="541"/>
      <w:r w:rsidRPr="00113F13">
        <w:t xml:space="preserve"> The TLRI notes that other proposals of the Privacy Act Review—namely, that a mechanism to certify countries that provide similar protection to the Privacy Act, and standard contractual clauses that would constitute ‘reasonable steps’ where disclosure is to a non-certified country—could also assist Tasmanian personal information custodians to comply with the PIPA in relation to overseas disclosures (</w:t>
      </w:r>
      <w:r w:rsidRPr="00B951F6">
        <w:t xml:space="preserve">see </w:t>
      </w:r>
      <w:r w:rsidRPr="00EA22F8">
        <w:t>paragraph [</w:t>
      </w:r>
      <w:r w:rsidR="00B951F6">
        <w:fldChar w:fldCharType="begin"/>
      </w:r>
      <w:r w:rsidR="00B951F6" w:rsidRPr="00EA22F8">
        <w:instrText xml:space="preserve"> REF _Ref152228777 \r \h </w:instrText>
      </w:r>
      <w:r w:rsidR="00B951F6">
        <w:instrText xml:space="preserve"> \* MERGEFORMAT </w:instrText>
      </w:r>
      <w:r w:rsidR="00B951F6">
        <w:fldChar w:fldCharType="separate"/>
      </w:r>
      <w:r w:rsidR="00462C30">
        <w:rPr>
          <w:cs/>
        </w:rPr>
        <w:t>‎</w:t>
      </w:r>
      <w:r w:rsidR="00462C30">
        <w:t>5.4.17</w:t>
      </w:r>
      <w:r w:rsidR="00B951F6">
        <w:fldChar w:fldCharType="end"/>
      </w:r>
      <w:r w:rsidRPr="00EA22F8">
        <w:t>] above)</w:t>
      </w:r>
      <w:r w:rsidRPr="00B951F6">
        <w:t>.</w:t>
      </w:r>
      <w:r w:rsidRPr="00B951F6">
        <w:rPr>
          <w:rStyle w:val="FootnoteReference"/>
          <w:rFonts w:ascii="Times New Roman" w:hAnsi="Times New Roman"/>
        </w:rPr>
        <w:footnoteReference w:id="539"/>
      </w:r>
    </w:p>
    <w:p w14:paraId="254AAD8C" w14:textId="46C7A7B8" w:rsidR="00FF302D" w:rsidRPr="00113F13" w:rsidRDefault="00FF302D" w:rsidP="00A142A1">
      <w:pPr>
        <w:pStyle w:val="Sub-HeadingTLRI"/>
      </w:pPr>
      <w:bookmarkStart w:id="542" w:name="_Toc164606621"/>
      <w:r w:rsidRPr="00113F13">
        <w:t>Collection, use, and disclosure generally</w:t>
      </w:r>
      <w:bookmarkEnd w:id="542"/>
    </w:p>
    <w:p w14:paraId="3CF089CF" w14:textId="295ACA60" w:rsidR="00FF302D" w:rsidRPr="00113F13" w:rsidRDefault="00FF302D" w:rsidP="00B63604">
      <w:pPr>
        <w:pStyle w:val="NormalNumberedTextTLRI"/>
        <w:numPr>
          <w:ilvl w:val="2"/>
          <w:numId w:val="31"/>
        </w:numPr>
        <w:tabs>
          <w:tab w:val="clear" w:pos="720"/>
        </w:tabs>
        <w:spacing w:line="259" w:lineRule="auto"/>
      </w:pPr>
      <w:bookmarkStart w:id="543" w:name="_Toc143872400"/>
      <w:r w:rsidRPr="00113F13">
        <w:t>The TLRI observes that the PIPA currently only requires personal information custodians to collect information by lawful means. This is the same test as applies in NSW,</w:t>
      </w:r>
      <w:r w:rsidRPr="00113F13">
        <w:rPr>
          <w:rStyle w:val="FootnoteReference"/>
          <w:rFonts w:ascii="Times New Roman" w:hAnsi="Times New Roman"/>
        </w:rPr>
        <w:footnoteReference w:id="540"/>
      </w:r>
      <w:r w:rsidRPr="00113F13">
        <w:t xml:space="preserve"> which is a lower standard than applies to the collection of personal information under the Privacy Act (which must be by ‘fair means’) and similar provisions in other jurisdictions, such as Queensland and Victoria.</w:t>
      </w:r>
      <w:r w:rsidRPr="00113F13">
        <w:rPr>
          <w:rStyle w:val="FootnoteReference"/>
          <w:rFonts w:ascii="Times New Roman" w:hAnsi="Times New Roman"/>
        </w:rPr>
        <w:footnoteReference w:id="541"/>
      </w:r>
      <w:r w:rsidRPr="00113F13">
        <w:t xml:space="preserve"> It is also considerably lower than the standard of ‘fair and reasonable in the circumstances’ that was proposed by the Privacy Act Review as a test that should apply to collection, use, and disclosure of information under the Commonwealth legislation. </w:t>
      </w:r>
    </w:p>
    <w:p w14:paraId="72E39BA5" w14:textId="66E62C66" w:rsidR="00FF302D" w:rsidRPr="00113F13" w:rsidRDefault="00FF302D" w:rsidP="00B63604">
      <w:pPr>
        <w:pStyle w:val="NormalNumberedTextTLRI"/>
        <w:numPr>
          <w:ilvl w:val="2"/>
          <w:numId w:val="31"/>
        </w:numPr>
        <w:tabs>
          <w:tab w:val="clear" w:pos="720"/>
        </w:tabs>
        <w:spacing w:line="259" w:lineRule="auto"/>
      </w:pPr>
      <w:r w:rsidRPr="00EA22F8">
        <w:t>As discussed above at [</w:t>
      </w:r>
      <w:r w:rsidR="002464FC">
        <w:fldChar w:fldCharType="begin"/>
      </w:r>
      <w:r w:rsidR="002464FC" w:rsidRPr="00EA22F8">
        <w:instrText xml:space="preserve"> REF _Ref150165075 \r \h </w:instrText>
      </w:r>
      <w:r w:rsidR="002464FC">
        <w:instrText xml:space="preserve"> \* MERGEFORMAT </w:instrText>
      </w:r>
      <w:r w:rsidR="002464FC">
        <w:fldChar w:fldCharType="separate"/>
      </w:r>
      <w:r w:rsidR="00462C30">
        <w:rPr>
          <w:cs/>
        </w:rPr>
        <w:t>‎</w:t>
      </w:r>
      <w:r w:rsidR="00462C30">
        <w:t>5.4.24</w:t>
      </w:r>
      <w:r w:rsidR="002464FC">
        <w:fldChar w:fldCharType="end"/>
      </w:r>
      <w:r w:rsidRPr="00EA22F8">
        <w:t>],</w:t>
      </w:r>
      <w:r w:rsidRPr="00113F13">
        <w:t xml:space="preserve"> the Privacy Act Review agreed with submitters that, in the context of emerging digital privacy risks, it is appropriate to place greater obligations on information handlers to consider the impacts on individuals, and individuals’ expectations, in making decisions about collection, use, and disclosure. The TLRI observes that several submitters to the present project expressed concerns about the adequacy of Tasmanian privacy protections to deal with emerging digital risks.</w:t>
      </w:r>
      <w:r w:rsidRPr="00113F13">
        <w:rPr>
          <w:rStyle w:val="FootnoteReference"/>
          <w:rFonts w:ascii="Times New Roman" w:hAnsi="Times New Roman"/>
        </w:rPr>
        <w:footnoteReference w:id="542"/>
      </w:r>
      <w:r w:rsidR="00161B7D">
        <w:t xml:space="preserve"> </w:t>
      </w:r>
    </w:p>
    <w:p w14:paraId="20D6F3CB"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In the TLRI’s view, incorporating a ‘fair and reasonable’ standard for the collection, use, and disclosure of all forms of personal information into the PIPA, along with a set of guiding criteria for applying the standard, would enable Tasmania to better regulate the collection, use and disclosure of personal information. This would be consistent with, and in some respects exceed, the protection provided by the ‘fair means’ test that currently applies to collection of personal information under the Privacy Act and the Queensland and Victorian Acts. It would align with the proposed reform in the Privacy Act Review</w:t>
      </w:r>
      <w:bookmarkEnd w:id="543"/>
      <w:r w:rsidRPr="00113F13">
        <w:t>.</w:t>
      </w:r>
    </w:p>
    <w:p w14:paraId="7153671E" w14:textId="62BAA13A" w:rsidR="00FF302D" w:rsidRPr="00113F13" w:rsidRDefault="00FF302D" w:rsidP="00B63604">
      <w:pPr>
        <w:pStyle w:val="NormalNumberedTextTLRI"/>
        <w:numPr>
          <w:ilvl w:val="2"/>
          <w:numId w:val="31"/>
        </w:numPr>
        <w:tabs>
          <w:tab w:val="clear" w:pos="720"/>
        </w:tabs>
        <w:spacing w:line="259" w:lineRule="auto"/>
      </w:pPr>
      <w:bookmarkStart w:id="544" w:name="_Toc143872401"/>
      <w:r w:rsidRPr="00113F13">
        <w:t>The TLRI notes the Privacy Act Review Report’s proposal to require APP entities to determine and record the purposes of collection, use, and disclosure of personal information, including any secondary uses or disclosures, at or before the time of collection or of undertaking the secondary use or disclosure.</w:t>
      </w:r>
      <w:r w:rsidRPr="00113F13">
        <w:rPr>
          <w:rStyle w:val="FootnoteReference"/>
          <w:rFonts w:ascii="Times New Roman" w:hAnsi="Times New Roman"/>
        </w:rPr>
        <w:footnoteReference w:id="543"/>
      </w:r>
      <w:r w:rsidRPr="00113F13">
        <w:t xml:space="preserve"> The TLRI recommends that a corresponding amendment to PIPP 1 should be made, on the basis that it would support personal information custodians to comply with the PIPPs, to review and report on that compliance, and to respond to complaints or </w:t>
      </w:r>
      <w:r w:rsidRPr="003215A2">
        <w:t>concerns (</w:t>
      </w:r>
      <w:r w:rsidRPr="00EA22F8">
        <w:t xml:space="preserve">discussed further in </w:t>
      </w:r>
      <w:r w:rsidR="00AE2F10" w:rsidRPr="00EA22F8">
        <w:t>Part</w:t>
      </w:r>
      <w:r w:rsidRPr="00EA22F8">
        <w:t xml:space="preserve"> 6</w:t>
      </w:r>
      <w:r w:rsidRPr="003215A2">
        <w:t xml:space="preserve"> of</w:t>
      </w:r>
      <w:r w:rsidRPr="00113F13">
        <w:t xml:space="preserve"> this </w:t>
      </w:r>
      <w:r w:rsidR="002464FC">
        <w:t>R</w:t>
      </w:r>
      <w:r w:rsidRPr="00113F13">
        <w:t>eport).</w:t>
      </w:r>
      <w:r w:rsidRPr="00113F13" w:rsidDel="009309AB">
        <w:rPr>
          <w:rStyle w:val="FootnoteReference"/>
          <w:rFonts w:ascii="Times New Roman" w:hAnsi="Times New Roman"/>
        </w:rPr>
        <w:t xml:space="preserve"> </w:t>
      </w:r>
      <w:bookmarkEnd w:id="544"/>
    </w:p>
    <w:p w14:paraId="27A7E8D4" w14:textId="77777777" w:rsidR="00FF302D" w:rsidRPr="00113F13" w:rsidRDefault="00FF302D" w:rsidP="00A142A1">
      <w:pPr>
        <w:pStyle w:val="Sub-HeadingTLRI"/>
      </w:pPr>
      <w:bookmarkStart w:id="545" w:name="_Toc164606622"/>
      <w:r w:rsidRPr="00113F13">
        <w:t>Required or authorised by law</w:t>
      </w:r>
      <w:bookmarkEnd w:id="545"/>
    </w:p>
    <w:p w14:paraId="6F9BDB77" w14:textId="77777777" w:rsidR="00FF302D" w:rsidRPr="00113F13" w:rsidRDefault="00FF302D" w:rsidP="00B63604">
      <w:pPr>
        <w:pStyle w:val="NormalNumberedTextTLRI"/>
        <w:numPr>
          <w:ilvl w:val="2"/>
          <w:numId w:val="31"/>
        </w:numPr>
        <w:tabs>
          <w:tab w:val="clear" w:pos="720"/>
        </w:tabs>
        <w:spacing w:line="259" w:lineRule="auto"/>
      </w:pPr>
      <w:bookmarkStart w:id="546" w:name="_Toc143872402"/>
      <w:r w:rsidRPr="00113F13">
        <w:t>The TLRI’s view is that there is a lack of clarity in the scope of the exception to the prohibition on secondary use or disclosure of personal information where ‘it is required or authorised by or under law’ (under PIPP 2), the exception to the prohibition on collection of sensitive information where it ‘is required or permitted by law’ (under PIPP 10), and similar exceptions found in other PIPPs.</w:t>
      </w:r>
      <w:r w:rsidRPr="00113F13">
        <w:rPr>
          <w:rStyle w:val="FootnoteReference"/>
          <w:rFonts w:ascii="Times New Roman" w:hAnsi="Times New Roman"/>
        </w:rPr>
        <w:footnoteReference w:id="544"/>
      </w:r>
      <w:r w:rsidRPr="00113F13">
        <w:t xml:space="preserve"> Specifically, it is unclear whether the legal authorisation must be under legislation in order for an exception to apply, or whether it extends to authorisation under statutory instruments or contractual obligations created by custodians themselves. Further, the use of different but related terminology (for instance, in PIPP 2 and PIPP 10) raises questions about whether the two exceptions have a different scope.</w:t>
      </w:r>
      <w:r w:rsidRPr="00113F13">
        <w:rPr>
          <w:rStyle w:val="FootnoteReference"/>
          <w:rFonts w:ascii="Times New Roman" w:hAnsi="Times New Roman"/>
        </w:rPr>
        <w:footnoteReference w:id="545"/>
      </w:r>
      <w:bookmarkEnd w:id="546"/>
    </w:p>
    <w:p w14:paraId="493F44E3" w14:textId="77777777" w:rsidR="00FF302D" w:rsidRPr="00113F13" w:rsidRDefault="00FF302D" w:rsidP="00B63604">
      <w:pPr>
        <w:pStyle w:val="NormalNumberedTextTLRI"/>
        <w:numPr>
          <w:ilvl w:val="2"/>
          <w:numId w:val="31"/>
        </w:numPr>
        <w:tabs>
          <w:tab w:val="clear" w:pos="720"/>
        </w:tabs>
        <w:spacing w:line="259" w:lineRule="auto"/>
      </w:pPr>
      <w:bookmarkStart w:id="547" w:name="_Toc143872403"/>
      <w:r w:rsidRPr="00113F13">
        <w:t>The TLRI observes that the Privacy Act contains similar exceptions, using similar wording (albeit confined to ‘Australian law’), in several of the APPs, including APP 3 relating to collection of personal information and APP 6 relating to use and disclosure of personal information.</w:t>
      </w:r>
      <w:r w:rsidRPr="00113F13">
        <w:rPr>
          <w:rStyle w:val="FootnoteReference"/>
          <w:rFonts w:ascii="Times New Roman" w:hAnsi="Times New Roman"/>
        </w:rPr>
        <w:footnoteReference w:id="546"/>
      </w:r>
      <w:r w:rsidRPr="00113F13">
        <w:t xml:space="preserve"> This also reflects the approach in other Australian jurisdictions.</w:t>
      </w:r>
      <w:r w:rsidRPr="00113F13">
        <w:rPr>
          <w:rStyle w:val="FootnoteReference"/>
          <w:rFonts w:ascii="Times New Roman" w:hAnsi="Times New Roman"/>
        </w:rPr>
        <w:footnoteReference w:id="547"/>
      </w:r>
      <w:r w:rsidRPr="00113F13">
        <w:t xml:space="preserve"> </w:t>
      </w:r>
    </w:p>
    <w:p w14:paraId="1B429E98" w14:textId="77777777" w:rsidR="00FF302D" w:rsidRPr="00113F13" w:rsidRDefault="00FF302D" w:rsidP="00B63604">
      <w:pPr>
        <w:pStyle w:val="NormalNumberedTextTLRI"/>
        <w:numPr>
          <w:ilvl w:val="2"/>
          <w:numId w:val="31"/>
        </w:numPr>
        <w:tabs>
          <w:tab w:val="clear" w:pos="720"/>
        </w:tabs>
        <w:spacing w:line="259" w:lineRule="auto"/>
      </w:pPr>
      <w:r w:rsidRPr="00113F13">
        <w:t>OAIC guidelines to the Privacy Act provide guidance on the interpretation of the Commonwealth exceptions.</w:t>
      </w:r>
      <w:r w:rsidRPr="00113F13">
        <w:rPr>
          <w:rStyle w:val="FootnoteReference"/>
          <w:rFonts w:ascii="Times New Roman" w:hAnsi="Times New Roman"/>
        </w:rPr>
        <w:footnoteReference w:id="548"/>
      </w:r>
      <w:r w:rsidRPr="00113F13">
        <w:t xml:space="preserve"> The guidelines indicate that ‘required’ means an entity has no choice but to use or disclose the information, while ‘authorised’ means the entity is permitted, but not required, to do so. However, the guidelines clarify that an act or practice will not generally be ‘authorised’ where there is merely a </w:t>
      </w:r>
      <w:r w:rsidRPr="00113F13">
        <w:rPr>
          <w:i/>
          <w:iCs/>
        </w:rPr>
        <w:t>lack</w:t>
      </w:r>
      <w:r w:rsidRPr="00113F13">
        <w:t xml:space="preserve"> of prohibition on use or disclosure, or where it relies ‘solely on a general or incidental authority conferred by statute upon an agency to do anything necessary or convenient for, or incidental to or consequential upon, the specific functions and powers of the agency’.</w:t>
      </w:r>
      <w:r w:rsidRPr="00113F13">
        <w:rPr>
          <w:rStyle w:val="FootnoteReference"/>
          <w:rFonts w:ascii="Times New Roman" w:hAnsi="Times New Roman"/>
        </w:rPr>
        <w:footnoteReference w:id="549"/>
      </w:r>
      <w:r w:rsidRPr="00113F13">
        <w:rPr>
          <w:rStyle w:val="FootnoteReference"/>
          <w:rFonts w:ascii="Times New Roman" w:hAnsi="Times New Roman"/>
        </w:rPr>
        <w:t xml:space="preserve"> </w:t>
      </w:r>
      <w:r w:rsidRPr="00113F13">
        <w:rPr>
          <w:color w:val="000000" w:themeColor="text1"/>
        </w:rPr>
        <w:t xml:space="preserve">Australian law </w:t>
      </w:r>
      <w:r w:rsidRPr="00113F13">
        <w:rPr>
          <w:color w:val="000000" w:themeColor="text1"/>
        </w:rPr>
        <w:lastRenderedPageBreak/>
        <w:t>is defined as statutes, regulations, or other instruments made under such an Act and rules of the common law or equity.</w:t>
      </w:r>
      <w:r w:rsidRPr="00113F13">
        <w:rPr>
          <w:rStyle w:val="FootnoteReference"/>
          <w:rFonts w:ascii="Times New Roman" w:hAnsi="Times New Roman"/>
          <w:color w:val="000000" w:themeColor="text1"/>
        </w:rPr>
        <w:footnoteReference w:id="550"/>
      </w:r>
      <w:r w:rsidRPr="00113F13">
        <w:t xml:space="preserve"> </w:t>
      </w:r>
      <w:bookmarkEnd w:id="547"/>
    </w:p>
    <w:p w14:paraId="65CAF6CC" w14:textId="77777777" w:rsidR="00FF302D" w:rsidRPr="00113F13" w:rsidRDefault="00FF302D" w:rsidP="00B63604">
      <w:pPr>
        <w:pStyle w:val="NormalNumberedTextTLRI"/>
        <w:numPr>
          <w:ilvl w:val="2"/>
          <w:numId w:val="31"/>
        </w:numPr>
        <w:tabs>
          <w:tab w:val="clear" w:pos="720"/>
        </w:tabs>
        <w:spacing w:line="259" w:lineRule="auto"/>
      </w:pPr>
      <w:bookmarkStart w:id="548" w:name="_Toc143872404"/>
      <w:r w:rsidRPr="00113F13">
        <w:t>On this basis, the TLRI considers that the scope of existing PIPA information handling exceptions relating to requirement or authorisation under law</w:t>
      </w:r>
      <w:bookmarkEnd w:id="548"/>
      <w:r w:rsidRPr="00113F13">
        <w:t xml:space="preserve"> should be clarified through, for example, the development of guidance similar to the OAIC guidance published in the relation to the Commonwealth Act. </w:t>
      </w:r>
    </w:p>
    <w:p w14:paraId="366AD830" w14:textId="467E2C57" w:rsidR="00FF302D" w:rsidRPr="00113F13" w:rsidRDefault="00FF302D" w:rsidP="00A142A1">
      <w:pPr>
        <w:pStyle w:val="Sub-HeadingTLRI"/>
      </w:pPr>
      <w:bookmarkStart w:id="549" w:name="_Toc164606623"/>
      <w:r w:rsidRPr="00113F13">
        <w:t>Consent generally</w:t>
      </w:r>
      <w:bookmarkEnd w:id="549"/>
      <w:r w:rsidR="003817DE">
        <w:t xml:space="preserve"> </w:t>
      </w:r>
    </w:p>
    <w:p w14:paraId="3BF46861" w14:textId="1AE65FD0" w:rsidR="00FF302D" w:rsidRPr="00113F13" w:rsidRDefault="00FF302D" w:rsidP="00B63604">
      <w:pPr>
        <w:pStyle w:val="NormalNumberedTextTLRI"/>
        <w:numPr>
          <w:ilvl w:val="2"/>
          <w:numId w:val="31"/>
        </w:numPr>
        <w:tabs>
          <w:tab w:val="clear" w:pos="720"/>
        </w:tabs>
        <w:spacing w:line="259" w:lineRule="auto"/>
      </w:pPr>
      <w:bookmarkStart w:id="550" w:name="_Toc143872405"/>
      <w:r w:rsidRPr="00113F13">
        <w:t xml:space="preserve">Individuals can consent to the collection or use and disclosure of certain personal information that would otherwise be prohibited under the </w:t>
      </w:r>
      <w:r w:rsidRPr="00515866">
        <w:t>PIPA (</w:t>
      </w:r>
      <w:r w:rsidRPr="00EA22F8">
        <w:t>see [</w:t>
      </w:r>
      <w:r w:rsidRPr="00515866">
        <w:fldChar w:fldCharType="begin"/>
      </w:r>
      <w:r w:rsidRPr="00515866">
        <w:instrText xml:space="preserve"> REF _Ref150168728 \r \h  \* MERGEFORMAT </w:instrText>
      </w:r>
      <w:r w:rsidRPr="00515866">
        <w:fldChar w:fldCharType="separate"/>
      </w:r>
      <w:r w:rsidR="00462C30">
        <w:rPr>
          <w:cs/>
        </w:rPr>
        <w:t>‎</w:t>
      </w:r>
      <w:r w:rsidR="00462C30">
        <w:t>5.2.20</w:t>
      </w:r>
      <w:r w:rsidRPr="00515866">
        <w:fldChar w:fldCharType="end"/>
      </w:r>
      <w:r w:rsidRPr="00EA22F8">
        <w:t>]).</w:t>
      </w:r>
      <w:r w:rsidRPr="00113F13">
        <w:t xml:space="preserve"> However, the TLRI echoes the views expressed in the Privacy Act Review Final Report that, while consent plays an important role in some elements of privacy protection in the PIPA, over-reliance on consent as a mechanism for protecting individuals’ privacy is problematic and risks placing disproportionate responsibility on individuals.</w:t>
      </w:r>
      <w:r w:rsidRPr="00113F13">
        <w:rPr>
          <w:rStyle w:val="FootnoteReference"/>
          <w:rFonts w:ascii="Times New Roman" w:hAnsi="Times New Roman"/>
        </w:rPr>
        <w:footnoteReference w:id="551"/>
      </w:r>
      <w:bookmarkEnd w:id="550"/>
    </w:p>
    <w:p w14:paraId="2A551AE5" w14:textId="53107B8B" w:rsidR="00FF302D" w:rsidRPr="00113F13" w:rsidRDefault="00FF302D" w:rsidP="00B63604">
      <w:pPr>
        <w:pStyle w:val="NormalNumberedTextTLRI"/>
        <w:numPr>
          <w:ilvl w:val="2"/>
          <w:numId w:val="31"/>
        </w:numPr>
        <w:tabs>
          <w:tab w:val="clear" w:pos="720"/>
        </w:tabs>
        <w:spacing w:line="259" w:lineRule="auto"/>
      </w:pPr>
      <w:bookmarkStart w:id="551" w:name="_Toc143872406"/>
      <w:r w:rsidRPr="00113F13">
        <w:t xml:space="preserve">The TLRI’s view is that the introduction of a clear definition of consent in the PIPA could help ensure that, where consent is required, it is genuine. On this basis, the TLRI recommends that the amendments to the definition and treatment of ‘consent’ relating to collection, use and disclosure of personal information set out in the Privacy Act Review Final </w:t>
      </w:r>
      <w:r w:rsidRPr="000779FF">
        <w:t>Report (</w:t>
      </w:r>
      <w:r w:rsidRPr="00EA22F8">
        <w:t>see [</w:t>
      </w:r>
      <w:r w:rsidR="000779FF" w:rsidRPr="00EA22F8">
        <w:fldChar w:fldCharType="begin"/>
      </w:r>
      <w:r w:rsidR="000779FF" w:rsidRPr="00EA22F8">
        <w:instrText xml:space="preserve"> REF _Ref150169597 \r \h </w:instrText>
      </w:r>
      <w:r w:rsidR="000779FF">
        <w:instrText xml:space="preserve"> \* MERGEFORMAT </w:instrText>
      </w:r>
      <w:r w:rsidR="000779FF" w:rsidRPr="00EA22F8">
        <w:fldChar w:fldCharType="separate"/>
      </w:r>
      <w:r w:rsidR="00462C30">
        <w:rPr>
          <w:cs/>
        </w:rPr>
        <w:t>‎</w:t>
      </w:r>
      <w:r w:rsidR="00462C30">
        <w:t>5.4.30</w:t>
      </w:r>
      <w:r w:rsidR="000779FF" w:rsidRPr="00EA22F8">
        <w:fldChar w:fldCharType="end"/>
      </w:r>
      <w:r w:rsidRPr="00EA22F8">
        <w:t>] above)</w:t>
      </w:r>
      <w:r w:rsidRPr="00113F13">
        <w:t xml:space="preserve"> be implemented in the PIPA</w:t>
      </w:r>
      <w:bookmarkEnd w:id="551"/>
      <w:r w:rsidRPr="00113F13">
        <w:t>.</w:t>
      </w:r>
    </w:p>
    <w:p w14:paraId="1DF58BE0" w14:textId="77777777" w:rsidR="00FF302D" w:rsidRPr="00113F13" w:rsidRDefault="00FF302D" w:rsidP="00B63604">
      <w:pPr>
        <w:pStyle w:val="NormalNumberedTextTLRI"/>
        <w:numPr>
          <w:ilvl w:val="2"/>
          <w:numId w:val="31"/>
        </w:numPr>
        <w:tabs>
          <w:tab w:val="clear" w:pos="720"/>
        </w:tabs>
        <w:spacing w:line="259" w:lineRule="auto"/>
      </w:pPr>
      <w:bookmarkStart w:id="552" w:name="_Toc143872407"/>
      <w:r w:rsidRPr="00113F13">
        <w:t>The TLRI observes that some submissions in response to the Issues Paper, and to the Privacy Act Review, raised concerns that more prescriptive consent requirements, including via the definition of consent recommended above, might interfere with ethical and publicly beneficial research. The TLRI considers that exceptions to standard consent requirements for research purposes are necessary and appropriate.</w:t>
      </w:r>
    </w:p>
    <w:bookmarkEnd w:id="552"/>
    <w:p w14:paraId="7003CB31" w14:textId="77777777" w:rsidR="00FF302D" w:rsidRPr="00113F13" w:rsidRDefault="00FF302D" w:rsidP="00B63604">
      <w:pPr>
        <w:pStyle w:val="NormalNumberedTextTLRI"/>
        <w:numPr>
          <w:ilvl w:val="2"/>
          <w:numId w:val="31"/>
        </w:numPr>
        <w:tabs>
          <w:tab w:val="clear" w:pos="720"/>
        </w:tabs>
        <w:spacing w:line="259" w:lineRule="auto"/>
      </w:pPr>
      <w:r w:rsidRPr="00113F13">
        <w:t>The TLRI recommends that further consideration be given to the introduction in Tasmania of the ‘broad consent’ option proposed by the Privacy Act Review,</w:t>
      </w:r>
      <w:r w:rsidRPr="00113F13">
        <w:rPr>
          <w:rStyle w:val="FootnoteReference"/>
          <w:rFonts w:ascii="Times New Roman" w:hAnsi="Times New Roman"/>
        </w:rPr>
        <w:footnoteReference w:id="552"/>
      </w:r>
      <w:r w:rsidRPr="00113F13">
        <w:t xml:space="preserve"> and that the Tasmanian Government participate in any future work on the ‘scope and harmonisation of research exceptions’ across Australian jurisdictions</w:t>
      </w:r>
      <w:r w:rsidRPr="00113F13">
        <w:rPr>
          <w:rStyle w:val="FootnoteReference"/>
          <w:rFonts w:ascii="Times New Roman" w:hAnsi="Times New Roman"/>
        </w:rPr>
        <w:footnoteReference w:id="553"/>
      </w:r>
      <w:r w:rsidRPr="00113F13">
        <w:t xml:space="preserve"> proposed by the Privacy Act Review.</w:t>
      </w:r>
    </w:p>
    <w:p w14:paraId="5C970731" w14:textId="77777777" w:rsidR="00FF302D" w:rsidRPr="00113F13" w:rsidRDefault="00FF302D" w:rsidP="00A142A1">
      <w:pPr>
        <w:pStyle w:val="Sub-HeadingTLRI"/>
      </w:pPr>
      <w:bookmarkStart w:id="553" w:name="_Toc164606624"/>
      <w:r w:rsidRPr="00113F13">
        <w:t>Consent of children</w:t>
      </w:r>
      <w:bookmarkEnd w:id="553"/>
    </w:p>
    <w:p w14:paraId="28FBCE53" w14:textId="510A6578" w:rsidR="00FF302D" w:rsidRPr="00113F13" w:rsidRDefault="00FF302D" w:rsidP="00B63604">
      <w:pPr>
        <w:pStyle w:val="NormalNumberedTextTLRI"/>
        <w:numPr>
          <w:ilvl w:val="2"/>
          <w:numId w:val="31"/>
        </w:numPr>
        <w:tabs>
          <w:tab w:val="clear" w:pos="720"/>
        </w:tabs>
        <w:spacing w:line="259" w:lineRule="auto"/>
      </w:pPr>
      <w:bookmarkStart w:id="554" w:name="_Toc143872410"/>
      <w:r w:rsidRPr="00EA22F8">
        <w:t>As noted above,</w:t>
      </w:r>
      <w:r w:rsidRPr="00113F13">
        <w:t xml:space="preserve"> the Privacy Act Review emphasised that relying on consent to validate information handling practices runs the risk of placing responsibility on individuals rather than requiring information handlers to modify their practices.</w:t>
      </w:r>
      <w:r w:rsidRPr="00113F13">
        <w:rPr>
          <w:rStyle w:val="FootnoteReference"/>
          <w:rFonts w:ascii="Times New Roman" w:hAnsi="Times New Roman"/>
        </w:rPr>
        <w:footnoteReference w:id="554"/>
      </w:r>
      <w:bookmarkEnd w:id="554"/>
      <w:r w:rsidRPr="00113F13">
        <w:t xml:space="preserve"> This has particular significance in relation to consent of children and young people to handling of their personal information.</w:t>
      </w:r>
    </w:p>
    <w:p w14:paraId="5F2712BA" w14:textId="48398B48" w:rsidR="00FF302D" w:rsidRPr="00113F13" w:rsidRDefault="00FF302D" w:rsidP="00B63604">
      <w:pPr>
        <w:pStyle w:val="NormalNumberedTextTLRI"/>
        <w:numPr>
          <w:ilvl w:val="2"/>
          <w:numId w:val="31"/>
        </w:numPr>
        <w:tabs>
          <w:tab w:val="clear" w:pos="720"/>
        </w:tabs>
        <w:spacing w:line="259" w:lineRule="auto"/>
        <w:rPr>
          <w:rStyle w:val="FootnoteReference"/>
          <w:rFonts w:ascii="Times New Roman" w:eastAsiaTheme="minorHAnsi" w:hAnsi="Times New Roman"/>
          <w:kern w:val="2"/>
          <w:szCs w:val="22"/>
          <w14:ligatures w14:val="standardContextual"/>
        </w:rPr>
      </w:pPr>
      <w:bookmarkStart w:id="555" w:name="_Toc143872411"/>
      <w:r w:rsidRPr="00113F13">
        <w:t xml:space="preserve">The TLRI also observes that the PIPA does not contain child-specific privacy protections. It only contemplates consent for handling of children’s or young people’s personal information to a limited extent; namely, in the provisions relating to consent and disclosure of personal information about an individual who lacks </w:t>
      </w:r>
      <w:r w:rsidRPr="00FD4259">
        <w:t>capacity (</w:t>
      </w:r>
      <w:r w:rsidRPr="00EA22F8">
        <w:t>discussed at [</w:t>
      </w:r>
      <w:r w:rsidR="00FD4259">
        <w:fldChar w:fldCharType="begin"/>
      </w:r>
      <w:r w:rsidR="00FD4259" w:rsidRPr="00EA22F8">
        <w:instrText xml:space="preserve"> REF _Ref151475114 \r \h </w:instrText>
      </w:r>
      <w:r w:rsidR="00FD4259">
        <w:instrText xml:space="preserve"> \* MERGEFORMAT </w:instrText>
      </w:r>
      <w:r w:rsidR="00FD4259">
        <w:fldChar w:fldCharType="separate"/>
      </w:r>
      <w:r w:rsidR="00462C30">
        <w:rPr>
          <w:cs/>
        </w:rPr>
        <w:t>‎</w:t>
      </w:r>
      <w:r w:rsidR="00462C30">
        <w:t>5.2.21</w:t>
      </w:r>
      <w:r w:rsidR="00FD4259">
        <w:fldChar w:fldCharType="end"/>
      </w:r>
      <w:r w:rsidRPr="00EA22F8">
        <w:t>] above)</w:t>
      </w:r>
      <w:r w:rsidRPr="00FD4259">
        <w:t>. This</w:t>
      </w:r>
      <w:r w:rsidRPr="00113F13">
        <w:t xml:space="preserve"> is similar to the Privacy Act provisions but stands in contrast to the privacy principles in NSW, which explicitly permit the collection </w:t>
      </w:r>
      <w:r w:rsidRPr="00113F13">
        <w:lastRenderedPageBreak/>
        <w:t>of information from a person’s parent or guardian where the individual concerned is under the age of 16.</w:t>
      </w:r>
      <w:r w:rsidRPr="00113F13">
        <w:rPr>
          <w:rStyle w:val="FootnoteReference"/>
          <w:rFonts w:ascii="Times New Roman" w:hAnsi="Times New Roman"/>
        </w:rPr>
        <w:footnoteReference w:id="555"/>
      </w:r>
      <w:bookmarkEnd w:id="555"/>
    </w:p>
    <w:p w14:paraId="79065BD5" w14:textId="77777777" w:rsidR="00FF302D" w:rsidRPr="00113F13" w:rsidRDefault="00FF302D" w:rsidP="00B63604">
      <w:pPr>
        <w:pStyle w:val="NormalNumberedTextTLRI"/>
        <w:numPr>
          <w:ilvl w:val="2"/>
          <w:numId w:val="31"/>
        </w:numPr>
        <w:tabs>
          <w:tab w:val="clear" w:pos="720"/>
        </w:tabs>
        <w:spacing w:line="259" w:lineRule="auto"/>
      </w:pPr>
      <w:bookmarkStart w:id="556" w:name="_Toc143872412"/>
      <w:r w:rsidRPr="00113F13">
        <w:t>The TLRI agrees with several submitters in response to the Issues Paper that privacy regulation in Tasmania does not give adequate consideration to contemporary privacy risks affecting children, to the need to balance children’s rights to privacy and safety with their other rights (such as their rights to information, communication and free expression),or to the evolving capacities of children and young people.</w:t>
      </w:r>
      <w:bookmarkEnd w:id="556"/>
    </w:p>
    <w:p w14:paraId="03FDFAA9" w14:textId="77777777" w:rsidR="00FF302D" w:rsidRPr="00113F13" w:rsidRDefault="00FF302D" w:rsidP="00B63604">
      <w:pPr>
        <w:pStyle w:val="NormalNumberedTextTLRI"/>
        <w:numPr>
          <w:ilvl w:val="2"/>
          <w:numId w:val="31"/>
        </w:numPr>
        <w:tabs>
          <w:tab w:val="clear" w:pos="720"/>
        </w:tabs>
        <w:spacing w:line="259" w:lineRule="auto"/>
      </w:pPr>
      <w:bookmarkStart w:id="557" w:name="_Toc143872413"/>
      <w:r w:rsidRPr="00113F13">
        <w:t>The TLRI observes that changes similar to the proposals of the Privacy Act Review could address some of these issues with the PIPA in Tasmania. These include:</w:t>
      </w:r>
      <w:bookmarkEnd w:id="557"/>
    </w:p>
    <w:p w14:paraId="4185D7AC" w14:textId="77777777" w:rsidR="00FF302D" w:rsidRPr="00113F13" w:rsidRDefault="00FF302D" w:rsidP="00A142A1">
      <w:pPr>
        <w:pStyle w:val="DotPointTLRI"/>
      </w:pPr>
      <w:bookmarkStart w:id="558" w:name="_Toc143872414"/>
      <w:r w:rsidRPr="00113F13">
        <w:t>codification of the proviso that consent to information handling will only be valid where the individual has capacity to consent;</w:t>
      </w:r>
      <w:bookmarkEnd w:id="558"/>
    </w:p>
    <w:p w14:paraId="46AFB6C1" w14:textId="77777777" w:rsidR="00FF302D" w:rsidRPr="00113F13" w:rsidRDefault="00FF302D" w:rsidP="00A142A1">
      <w:pPr>
        <w:pStyle w:val="DotPointTLRI"/>
      </w:pPr>
      <w:bookmarkStart w:id="559" w:name="_Toc143872415"/>
      <w:r w:rsidRPr="00113F13">
        <w:t>exceptions to consent requirements, where seeking consent from a parent or guardian would be inappropriate or harmful for the child or young person; and</w:t>
      </w:r>
      <w:bookmarkEnd w:id="559"/>
    </w:p>
    <w:p w14:paraId="5E02D8B6" w14:textId="77777777" w:rsidR="00FF302D" w:rsidRPr="00113F13" w:rsidRDefault="00FF302D" w:rsidP="00A142A1">
      <w:pPr>
        <w:pStyle w:val="DotPointTLRI"/>
      </w:pPr>
      <w:bookmarkStart w:id="560" w:name="_Toc143872416"/>
      <w:r w:rsidRPr="00113F13">
        <w:t>publication of guidance for custodians to assess the capacity of children and young people on a case-by-case basis and to assume capacity for people aged 15 years and over.</w:t>
      </w:r>
      <w:bookmarkEnd w:id="560"/>
    </w:p>
    <w:p w14:paraId="2E40ACB6"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further consultation with stakeholders, including children and young people themselves, is necessary to ensure that such amendments would be appropriate to the Tasmanian position and are consistent with contemporary understandings of children’s decision-making capacity.</w:t>
      </w:r>
    </w:p>
    <w:p w14:paraId="022E9FDB" w14:textId="77777777" w:rsidR="00FF302D" w:rsidRPr="00113F13" w:rsidRDefault="00FF302D" w:rsidP="00B63604">
      <w:pPr>
        <w:pStyle w:val="NormalNumberedTextTLRI"/>
        <w:numPr>
          <w:ilvl w:val="2"/>
          <w:numId w:val="31"/>
        </w:numPr>
        <w:tabs>
          <w:tab w:val="clear" w:pos="720"/>
        </w:tabs>
        <w:spacing w:line="259" w:lineRule="auto"/>
      </w:pPr>
      <w:bookmarkStart w:id="561" w:name="_Toc143872417"/>
      <w:r w:rsidRPr="00113F13">
        <w:t>The TLRI shares the view of the Privacy Act Review that a Children’s Online Privacy Code, developed through consultation with children and young people, parents and guardians, and all other relevant stakeholders, could also enhance privacy protections for children and young people around Australia.</w:t>
      </w:r>
      <w:bookmarkEnd w:id="561"/>
      <w:r w:rsidRPr="00113F13">
        <w:rPr>
          <w:rStyle w:val="FootnoteReference"/>
          <w:rFonts w:ascii="Times New Roman" w:hAnsi="Times New Roman"/>
        </w:rPr>
        <w:footnoteReference w:id="556"/>
      </w:r>
    </w:p>
    <w:p w14:paraId="51B750F3" w14:textId="77777777" w:rsidR="00FF302D" w:rsidRPr="00113F13" w:rsidRDefault="00FF302D" w:rsidP="00B63604">
      <w:pPr>
        <w:pStyle w:val="NormalNumberedTextTLRI"/>
        <w:numPr>
          <w:ilvl w:val="2"/>
          <w:numId w:val="31"/>
        </w:numPr>
        <w:tabs>
          <w:tab w:val="clear" w:pos="720"/>
        </w:tabs>
        <w:spacing w:line="259" w:lineRule="auto"/>
      </w:pPr>
      <w:r w:rsidRPr="00113F13">
        <w:t>The TLRI also shares the view of the Privacy Act Review that guidance could assist regulated entities to ensure that they are aware of contemporary understandings of consumer vulnerability, consent, capacity, and supported decision-making to ensure that adults who might otherwise be deemed to lack capacity (such as some adults with cognitive disability) are supported to maximise their involvement in privacy-related decisions.</w:t>
      </w:r>
      <w:r w:rsidRPr="00113F13">
        <w:rPr>
          <w:rStyle w:val="FootnoteReference"/>
          <w:rFonts w:ascii="Times New Roman" w:hAnsi="Times New Roman"/>
        </w:rPr>
        <w:footnoteReference w:id="557"/>
      </w:r>
    </w:p>
    <w:p w14:paraId="00A9638F" w14:textId="77777777" w:rsidR="00FF302D" w:rsidRPr="00113F13" w:rsidRDefault="00FF302D" w:rsidP="00A142A1">
      <w:pPr>
        <w:pStyle w:val="Sub-HeadingTLRI"/>
      </w:pPr>
      <w:bookmarkStart w:id="562" w:name="_Toc164606625"/>
      <w:r w:rsidRPr="00113F13">
        <w:t>Right to object</w:t>
      </w:r>
      <w:bookmarkEnd w:id="562"/>
    </w:p>
    <w:p w14:paraId="7D5D10EE" w14:textId="77777777" w:rsidR="00FF302D" w:rsidRPr="00113F13" w:rsidRDefault="00FF302D" w:rsidP="00B63604">
      <w:pPr>
        <w:pStyle w:val="NormalNumberedTextTLRI"/>
        <w:numPr>
          <w:ilvl w:val="2"/>
          <w:numId w:val="31"/>
        </w:numPr>
        <w:tabs>
          <w:tab w:val="clear" w:pos="720"/>
        </w:tabs>
        <w:spacing w:line="259" w:lineRule="auto"/>
      </w:pPr>
      <w:bookmarkStart w:id="563" w:name="_Toc143872418"/>
      <w:bookmarkStart w:id="564" w:name="_Ref91615727"/>
      <w:r w:rsidRPr="00113F13">
        <w:t>In the TLRI’s view, a general right to object under the PIPA could usefully apply to a range of situations, including any use of personal information for direct marketing by non-government bodies, which is currently not addressed in the PIPPs.</w:t>
      </w:r>
      <w:bookmarkEnd w:id="563"/>
    </w:p>
    <w:p w14:paraId="765F6C33" w14:textId="59DCE739" w:rsidR="002B656D" w:rsidRDefault="00FF302D" w:rsidP="00B63604">
      <w:pPr>
        <w:pStyle w:val="NormalNumberedTextTLRI"/>
        <w:numPr>
          <w:ilvl w:val="2"/>
          <w:numId w:val="31"/>
        </w:numPr>
        <w:tabs>
          <w:tab w:val="clear" w:pos="720"/>
        </w:tabs>
        <w:spacing w:line="259" w:lineRule="auto"/>
      </w:pPr>
      <w:bookmarkStart w:id="565" w:name="_Toc143872419"/>
      <w:r w:rsidRPr="00113F13">
        <w:t>The right to object would also allow individuals to object where government entities have collected information from a source other than the individual concerned, without the individual’s consent; for example, where the government is using profiles of individuals based on information about their previous choices or browsing habits. If an objection is raised, the entity would then need to identify a compelling legitimate reason before it could continue using the information.</w:t>
      </w:r>
      <w:bookmarkEnd w:id="564"/>
      <w:bookmarkEnd w:id="565"/>
    </w:p>
    <w:p w14:paraId="45C6E1EE" w14:textId="77777777" w:rsidR="00FF302D" w:rsidRPr="00113F13" w:rsidRDefault="00FF302D" w:rsidP="00BF1FE7">
      <w:pPr>
        <w:pStyle w:val="NumberedHeadingTLRI"/>
      </w:pPr>
      <w:bookmarkStart w:id="566" w:name="_Toc143872420"/>
      <w:bookmarkStart w:id="567" w:name="_Toc152245431"/>
      <w:bookmarkStart w:id="568" w:name="_Toc164606626"/>
      <w:bookmarkStart w:id="569" w:name="_Ref165024166"/>
      <w:r w:rsidRPr="00113F13">
        <w:lastRenderedPageBreak/>
        <w:t>Recommendations</w:t>
      </w:r>
      <w:bookmarkEnd w:id="566"/>
      <w:bookmarkEnd w:id="567"/>
      <w:bookmarkEnd w:id="568"/>
      <w:bookmarkEnd w:id="569"/>
    </w:p>
    <w:tbl>
      <w:tblPr>
        <w:tblStyle w:val="TableGrid"/>
        <w:tblW w:w="0" w:type="auto"/>
        <w:tblLook w:val="04A0" w:firstRow="1" w:lastRow="0" w:firstColumn="1" w:lastColumn="0" w:noHBand="0" w:noVBand="1"/>
      </w:tblPr>
      <w:tblGrid>
        <w:gridCol w:w="9016"/>
      </w:tblGrid>
      <w:tr w:rsidR="009B24D8" w:rsidRPr="009B24D8" w14:paraId="1DCF8323" w14:textId="77777777" w:rsidTr="007525AE">
        <w:tc>
          <w:tcPr>
            <w:tcW w:w="9016" w:type="dxa"/>
            <w:tcBorders>
              <w:top w:val="nil"/>
              <w:left w:val="nil"/>
              <w:bottom w:val="nil"/>
              <w:right w:val="nil"/>
            </w:tcBorders>
            <w:shd w:val="clear" w:color="auto" w:fill="E8E8E8" w:themeFill="background2"/>
          </w:tcPr>
          <w:p w14:paraId="79D6359C" w14:textId="77777777" w:rsidR="00FF302D" w:rsidRPr="009B24D8" w:rsidRDefault="00FF302D" w:rsidP="00754A3F">
            <w:pPr>
              <w:spacing w:before="120"/>
              <w:rPr>
                <w:rFonts w:cs="Times New Roman"/>
              </w:rPr>
            </w:pPr>
            <w:r w:rsidRPr="009B24D8">
              <w:rPr>
                <w:rFonts w:cs="Times New Roman"/>
                <w:b/>
                <w:bCs/>
              </w:rPr>
              <w:t xml:space="preserve">Recommendation 16: </w:t>
            </w:r>
            <w:r w:rsidRPr="009B24D8">
              <w:rPr>
                <w:rFonts w:cs="Times New Roman"/>
              </w:rPr>
              <w:t>The term ‘collects’ should be defined in the PIPA, and the definition should include inferred and generated information.</w:t>
            </w:r>
          </w:p>
          <w:p w14:paraId="29D38CD2" w14:textId="77777777" w:rsidR="00FF302D" w:rsidRPr="009B24D8" w:rsidRDefault="00FF302D" w:rsidP="00754A3F">
            <w:pPr>
              <w:spacing w:before="120"/>
              <w:rPr>
                <w:rFonts w:cs="Times New Roman"/>
              </w:rPr>
            </w:pPr>
            <w:r w:rsidRPr="009B24D8">
              <w:rPr>
                <w:rFonts w:cs="Times New Roman"/>
                <w:b/>
                <w:bCs/>
              </w:rPr>
              <w:t xml:space="preserve">Recommendation 17: </w:t>
            </w:r>
            <w:r w:rsidRPr="009B24D8">
              <w:rPr>
                <w:rFonts w:cs="Times New Roman"/>
              </w:rPr>
              <w:t>PIPP 1(3) should be amended to require personal information custodians to disclose who else may have access to the information once collected.</w:t>
            </w:r>
          </w:p>
          <w:p w14:paraId="33CE248A" w14:textId="77777777" w:rsidR="00FF302D" w:rsidRPr="009B24D8" w:rsidRDefault="00FF302D" w:rsidP="00754A3F">
            <w:pPr>
              <w:spacing w:before="120"/>
              <w:rPr>
                <w:rFonts w:cs="Times New Roman"/>
              </w:rPr>
            </w:pPr>
            <w:r w:rsidRPr="009B24D8">
              <w:rPr>
                <w:rFonts w:cs="Times New Roman"/>
                <w:b/>
                <w:bCs/>
              </w:rPr>
              <w:t xml:space="preserve">Recommendation 18: </w:t>
            </w:r>
            <w:r w:rsidRPr="009B24D8">
              <w:rPr>
                <w:rFonts w:cs="Times New Roman"/>
              </w:rPr>
              <w:t>PIPP 1 should be amended to require personal information custodians to take reasonable steps to give notice of collection at or before the time of collection or, if that is not practicable, as soon as practicable after collection.</w:t>
            </w:r>
          </w:p>
          <w:p w14:paraId="065C8A38" w14:textId="77777777" w:rsidR="00FF302D" w:rsidRPr="009B24D8" w:rsidRDefault="00FF302D" w:rsidP="007525AE">
            <w:pPr>
              <w:spacing w:before="120"/>
              <w:rPr>
                <w:rFonts w:cs="Times New Roman"/>
              </w:rPr>
            </w:pPr>
            <w:r w:rsidRPr="009B24D8">
              <w:rPr>
                <w:rFonts w:cs="Times New Roman"/>
                <w:b/>
                <w:bCs/>
              </w:rPr>
              <w:t xml:space="preserve">Recommendation 19: </w:t>
            </w:r>
            <w:r w:rsidRPr="009B24D8">
              <w:rPr>
                <w:rFonts w:cs="Times New Roman"/>
              </w:rPr>
              <w:t>Further consideration should be given to the recommendations of the Commonwealth Privacy Act Review in relation to whether the PIPA requirements relating to collection notices should be amended to:</w:t>
            </w:r>
          </w:p>
          <w:p w14:paraId="272F2FC8" w14:textId="77777777" w:rsidR="00FF302D" w:rsidRPr="009B24D8" w:rsidRDefault="00FF302D" w:rsidP="007525AE">
            <w:pPr>
              <w:pStyle w:val="Dotpointlist"/>
              <w:numPr>
                <w:ilvl w:val="0"/>
                <w:numId w:val="38"/>
              </w:numPr>
              <w:spacing w:before="120" w:line="240" w:lineRule="auto"/>
              <w:jc w:val="both"/>
              <w:rPr>
                <w:rFonts w:ascii="Times New Roman" w:hAnsi="Times New Roman" w:cs="Times New Roman"/>
                <w:sz w:val="22"/>
              </w:rPr>
            </w:pPr>
            <w:r w:rsidRPr="009B24D8">
              <w:rPr>
                <w:rFonts w:ascii="Times New Roman" w:hAnsi="Times New Roman" w:cs="Times New Roman"/>
              </w:rPr>
              <w:t>require that collection notices should be clear and understandable (including where addressed to a child) and accessible; and</w:t>
            </w:r>
          </w:p>
          <w:p w14:paraId="5848D04A" w14:textId="77777777" w:rsidR="00FF302D" w:rsidRPr="009B24D8" w:rsidRDefault="00FF302D" w:rsidP="007525AE">
            <w:pPr>
              <w:pStyle w:val="Dotpointlist"/>
              <w:numPr>
                <w:ilvl w:val="0"/>
                <w:numId w:val="38"/>
              </w:numPr>
              <w:spacing w:before="120" w:line="240" w:lineRule="auto"/>
              <w:jc w:val="both"/>
              <w:rPr>
                <w:rFonts w:ascii="Times New Roman" w:hAnsi="Times New Roman" w:cs="Times New Roman"/>
                <w:sz w:val="22"/>
              </w:rPr>
            </w:pPr>
            <w:r w:rsidRPr="009B24D8">
              <w:rPr>
                <w:rFonts w:ascii="Times New Roman" w:hAnsi="Times New Roman" w:cs="Times New Roman"/>
              </w:rPr>
              <w:t>require that collection notices contain additional details, such as details of the circumstances of handling where a high-risk activity is involved, information about the privacy policy and what it contains, and information about individual rights and types of information that may be disclosed to cross-border recipients.</w:t>
            </w:r>
          </w:p>
          <w:p w14:paraId="7C6B8F68" w14:textId="77777777" w:rsidR="00FF302D" w:rsidRPr="009B24D8" w:rsidRDefault="00FF302D" w:rsidP="007525AE">
            <w:pPr>
              <w:spacing w:before="120"/>
              <w:rPr>
                <w:rFonts w:cs="Times New Roman"/>
              </w:rPr>
            </w:pPr>
            <w:r w:rsidRPr="009B24D8">
              <w:rPr>
                <w:rFonts w:cs="Times New Roman"/>
                <w:b/>
                <w:bCs/>
              </w:rPr>
              <w:t xml:space="preserve">Recommendation 20: </w:t>
            </w:r>
            <w:r w:rsidRPr="009B24D8">
              <w:rPr>
                <w:rFonts w:cs="Times New Roman"/>
              </w:rPr>
              <w:t>PIPP 1 should be amended to enable personal information custodians to collect personal information about an individual from a person other than the individual, where the individual has consented or the custodian is required by law to collect the information.</w:t>
            </w:r>
          </w:p>
          <w:p w14:paraId="45697188" w14:textId="77777777" w:rsidR="00FF302D" w:rsidRPr="009B24D8" w:rsidRDefault="00FF302D" w:rsidP="007525AE">
            <w:pPr>
              <w:spacing w:before="120"/>
              <w:rPr>
                <w:rFonts w:cs="Times New Roman"/>
              </w:rPr>
            </w:pPr>
            <w:r w:rsidRPr="009B24D8">
              <w:rPr>
                <w:rFonts w:cs="Times New Roman"/>
                <w:b/>
                <w:bCs/>
              </w:rPr>
              <w:t xml:space="preserve">Recommendation 21: </w:t>
            </w:r>
            <w:r w:rsidRPr="009B24D8">
              <w:rPr>
                <w:rFonts w:cs="Times New Roman"/>
              </w:rPr>
              <w:t>The PIPA should be amended to insert a definition of ‘consent’ consistent with the definition of valid consent in the OAIC Guidelines on the Australian Privacy Principles.</w:t>
            </w:r>
          </w:p>
          <w:p w14:paraId="793545D8" w14:textId="77777777" w:rsidR="00FF302D" w:rsidRPr="00EA22F8" w:rsidRDefault="00FF302D" w:rsidP="007525AE">
            <w:pPr>
              <w:pStyle w:val="Heading3"/>
              <w:numPr>
                <w:ilvl w:val="2"/>
                <w:numId w:val="0"/>
              </w:numPr>
              <w:spacing w:before="120"/>
              <w:rPr>
                <w:rFonts w:ascii="Times New Roman" w:hAnsi="Times New Roman" w:cs="Times New Roman"/>
                <w:color w:val="auto"/>
                <w:sz w:val="22"/>
                <w:szCs w:val="22"/>
              </w:rPr>
            </w:pPr>
            <w:bookmarkStart w:id="570" w:name="_Toc164600358"/>
            <w:r w:rsidRPr="00EA22F8">
              <w:rPr>
                <w:rFonts w:ascii="Times New Roman" w:hAnsi="Times New Roman" w:cs="Times New Roman"/>
                <w:b/>
                <w:color w:val="auto"/>
              </w:rPr>
              <w:t xml:space="preserve">Recommendation 22: </w:t>
            </w:r>
            <w:r w:rsidRPr="00EA22F8">
              <w:rPr>
                <w:rFonts w:ascii="Times New Roman" w:hAnsi="Times New Roman" w:cs="Times New Roman"/>
                <w:color w:val="auto"/>
              </w:rPr>
              <w:t>Guidance on the design of consent requests for online services should be available to personal information custodians.</w:t>
            </w:r>
            <w:bookmarkEnd w:id="570"/>
          </w:p>
          <w:p w14:paraId="0BC56EB3" w14:textId="77777777" w:rsidR="00FF302D" w:rsidRPr="009B24D8" w:rsidRDefault="00FF302D" w:rsidP="007525AE">
            <w:pPr>
              <w:spacing w:before="120"/>
              <w:rPr>
                <w:rFonts w:cs="Times New Roman"/>
              </w:rPr>
            </w:pPr>
            <w:r w:rsidRPr="009B24D8">
              <w:rPr>
                <w:rFonts w:cs="Times New Roman"/>
                <w:b/>
                <w:bCs/>
              </w:rPr>
              <w:t xml:space="preserve">Recommendation 23: </w:t>
            </w:r>
            <w:r w:rsidRPr="009B24D8">
              <w:rPr>
                <w:rFonts w:cs="Times New Roman"/>
              </w:rPr>
              <w:t>PIPP 1 should be amended to specify how personal information custodians should respond to receiving unsolicited information.</w:t>
            </w:r>
          </w:p>
          <w:p w14:paraId="30348CFD" w14:textId="77777777" w:rsidR="00FF302D" w:rsidRPr="009B24D8" w:rsidRDefault="00FF302D" w:rsidP="007525AE">
            <w:pPr>
              <w:spacing w:before="120"/>
              <w:rPr>
                <w:rFonts w:cs="Times New Roman"/>
              </w:rPr>
            </w:pPr>
            <w:r w:rsidRPr="009B24D8">
              <w:rPr>
                <w:rFonts w:cs="Times New Roman"/>
                <w:b/>
                <w:bCs/>
              </w:rPr>
              <w:t xml:space="preserve">Recommendation 24: </w:t>
            </w:r>
            <w:r w:rsidRPr="009B24D8">
              <w:rPr>
                <w:rFonts w:cs="Times New Roman"/>
              </w:rPr>
              <w:t>Further consideration should be given to aligning the PIPA with the Privacy Act in relation to cross-border in terms of:</w:t>
            </w:r>
          </w:p>
          <w:p w14:paraId="6B119615" w14:textId="77777777" w:rsidR="00FF302D" w:rsidRPr="009B24D8" w:rsidRDefault="00FF302D" w:rsidP="007525AE">
            <w:pPr>
              <w:pStyle w:val="Dotpointlist"/>
              <w:numPr>
                <w:ilvl w:val="0"/>
                <w:numId w:val="38"/>
              </w:numPr>
              <w:spacing w:before="120" w:line="240" w:lineRule="auto"/>
              <w:jc w:val="both"/>
              <w:rPr>
                <w:rFonts w:ascii="Times New Roman" w:hAnsi="Times New Roman" w:cs="Times New Roman"/>
                <w:sz w:val="22"/>
              </w:rPr>
            </w:pPr>
            <w:r w:rsidRPr="009B24D8">
              <w:rPr>
                <w:rFonts w:ascii="Times New Roman" w:hAnsi="Times New Roman" w:cs="Times New Roman"/>
              </w:rPr>
              <w:t>whether personal information custodians should be required to hold a reasonable belief that there are mechanisms for the individual to enforce existing privacy protections prior to cross-border disclosure;</w:t>
            </w:r>
          </w:p>
          <w:p w14:paraId="1CB78B1B" w14:textId="77777777" w:rsidR="00FF302D" w:rsidRPr="009B24D8" w:rsidRDefault="00FF302D" w:rsidP="007525AE">
            <w:pPr>
              <w:pStyle w:val="Dotpointlist"/>
              <w:numPr>
                <w:ilvl w:val="0"/>
                <w:numId w:val="38"/>
              </w:numPr>
              <w:spacing w:before="120" w:line="240" w:lineRule="auto"/>
              <w:jc w:val="both"/>
              <w:rPr>
                <w:rFonts w:ascii="Times New Roman" w:hAnsi="Times New Roman" w:cs="Times New Roman"/>
                <w:sz w:val="22"/>
              </w:rPr>
            </w:pPr>
            <w:r w:rsidRPr="009B24D8">
              <w:rPr>
                <w:rFonts w:ascii="Times New Roman" w:hAnsi="Times New Roman" w:cs="Times New Roman"/>
              </w:rPr>
              <w:t>whether personal information custodians should be required to expressly inform individuals that, if the individual consents to cross-border disclosure, the custodian will not be obliged to take reasonable steps to ensure the recipient does not breach the PIPP (and, per the Privacy Act Review’s further proposal, that privacy protections may not apply to the recipient); and</w:t>
            </w:r>
          </w:p>
          <w:p w14:paraId="48605ECE" w14:textId="77777777" w:rsidR="00FF302D" w:rsidRPr="009B24D8" w:rsidRDefault="00FF302D" w:rsidP="00B63604">
            <w:pPr>
              <w:pStyle w:val="Dotpointlist"/>
              <w:numPr>
                <w:ilvl w:val="0"/>
                <w:numId w:val="38"/>
              </w:numPr>
              <w:spacing w:before="120" w:line="240" w:lineRule="auto"/>
              <w:rPr>
                <w:rFonts w:ascii="Times New Roman" w:hAnsi="Times New Roman" w:cs="Times New Roman"/>
                <w:sz w:val="22"/>
              </w:rPr>
            </w:pPr>
            <w:r w:rsidRPr="009B24D8">
              <w:rPr>
                <w:rFonts w:ascii="Times New Roman" w:hAnsi="Times New Roman" w:cs="Times New Roman"/>
              </w:rPr>
              <w:t>whether personal information custodians retain responsibility for breaches of the PIPPs after they have taken reasonable steps to ensure the recipient deals with the information consistently with the PIPPs.</w:t>
            </w:r>
          </w:p>
          <w:p w14:paraId="3421D011" w14:textId="236CAD06" w:rsidR="00FF302D" w:rsidRPr="009B24D8" w:rsidRDefault="00FF302D" w:rsidP="00754A3F">
            <w:pPr>
              <w:spacing w:before="120"/>
              <w:rPr>
                <w:rFonts w:cs="Times New Roman"/>
              </w:rPr>
            </w:pPr>
            <w:r w:rsidRPr="009B24D8">
              <w:rPr>
                <w:rFonts w:cs="Times New Roman"/>
                <w:b/>
                <w:bCs/>
              </w:rPr>
              <w:t xml:space="preserve">Recommendation 25: </w:t>
            </w:r>
            <w:r w:rsidRPr="009B24D8">
              <w:rPr>
                <w:rFonts w:cs="Times New Roman"/>
              </w:rPr>
              <w:t xml:space="preserve">The PIPA should be amended to include a definition of ‘disclosure’ consistent with the current definition in the OAIC </w:t>
            </w:r>
            <w:r w:rsidR="000D20C4">
              <w:rPr>
                <w:rFonts w:cs="Times New Roman"/>
              </w:rPr>
              <w:t>G</w:t>
            </w:r>
            <w:r w:rsidRPr="009B24D8">
              <w:rPr>
                <w:rFonts w:cs="Times New Roman"/>
              </w:rPr>
              <w:t>uidelines on the A</w:t>
            </w:r>
            <w:r w:rsidR="000B2750">
              <w:rPr>
                <w:rFonts w:cs="Times New Roman"/>
              </w:rPr>
              <w:t>ustralian Privacy</w:t>
            </w:r>
            <w:r w:rsidRPr="009B24D8">
              <w:rPr>
                <w:rFonts w:cs="Times New Roman"/>
              </w:rPr>
              <w:t xml:space="preserve"> Principles.</w:t>
            </w:r>
          </w:p>
          <w:p w14:paraId="1037DDBE" w14:textId="77777777" w:rsidR="00FF302D" w:rsidRPr="009B24D8" w:rsidRDefault="00FF302D" w:rsidP="00754A3F">
            <w:pPr>
              <w:spacing w:before="120"/>
              <w:rPr>
                <w:rFonts w:cs="Times New Roman"/>
              </w:rPr>
            </w:pPr>
            <w:r w:rsidRPr="009B24D8">
              <w:rPr>
                <w:rFonts w:cs="Times New Roman"/>
                <w:b/>
                <w:bCs/>
              </w:rPr>
              <w:lastRenderedPageBreak/>
              <w:t>Recommendation 26</w:t>
            </w:r>
            <w:r w:rsidRPr="009B24D8">
              <w:rPr>
                <w:rFonts w:cs="Times New Roman"/>
              </w:rPr>
              <w:t>: The PIPA should be amended to require that collection, use, and disclosure of personal information must be fair and reasonable in the circumstances, in line with the recommendation of the Privacy Act Review.</w:t>
            </w:r>
            <w:r w:rsidRPr="082BF74E">
              <w:rPr>
                <w:rStyle w:val="FootnoteReference"/>
                <w:rFonts w:ascii="Times New Roman" w:hAnsi="Times New Roman" w:cs="Times New Roman"/>
                <w:sz w:val="22"/>
                <w:szCs w:val="22"/>
              </w:rPr>
              <w:footnoteReference w:id="558"/>
            </w:r>
          </w:p>
          <w:p w14:paraId="4A427307" w14:textId="77777777" w:rsidR="00FF302D" w:rsidRPr="009B24D8" w:rsidRDefault="00FF302D" w:rsidP="00754A3F">
            <w:pPr>
              <w:spacing w:before="120"/>
              <w:rPr>
                <w:rFonts w:cs="Times New Roman"/>
              </w:rPr>
            </w:pPr>
            <w:r w:rsidRPr="009B24D8">
              <w:rPr>
                <w:rFonts w:cs="Times New Roman"/>
                <w:b/>
                <w:bCs/>
              </w:rPr>
              <w:t xml:space="preserve">Recommendation 27: </w:t>
            </w:r>
            <w:r w:rsidRPr="009B24D8">
              <w:rPr>
                <w:rFonts w:cs="Times New Roman"/>
              </w:rPr>
              <w:t>The PIPA (PIPP 1) should be amended to require personal information custodians to determine and record the purposes of collection, use, and disclosure of personal information, including any secondary uses or disclosures.</w:t>
            </w:r>
          </w:p>
          <w:p w14:paraId="7243A570" w14:textId="77777777" w:rsidR="00FF302D" w:rsidRPr="009B24D8" w:rsidRDefault="00FF302D" w:rsidP="00754A3F">
            <w:pPr>
              <w:spacing w:before="120"/>
              <w:rPr>
                <w:rFonts w:cs="Times New Roman"/>
              </w:rPr>
            </w:pPr>
            <w:r w:rsidRPr="009B24D8">
              <w:rPr>
                <w:rFonts w:cs="Times New Roman"/>
                <w:b/>
                <w:bCs/>
              </w:rPr>
              <w:t>Recommendation 28</w:t>
            </w:r>
            <w:r w:rsidRPr="009B24D8">
              <w:rPr>
                <w:rFonts w:cs="Times New Roman"/>
              </w:rPr>
              <w:t xml:space="preserve">: The scope of PIPA information handling exceptions relating to requirement or authorisation under law should be clarified. </w:t>
            </w:r>
          </w:p>
          <w:p w14:paraId="282EA7FC" w14:textId="77777777" w:rsidR="00FF302D" w:rsidRPr="009B24D8" w:rsidRDefault="00FF302D" w:rsidP="00754A3F">
            <w:pPr>
              <w:spacing w:before="120"/>
              <w:rPr>
                <w:rFonts w:cs="Times New Roman"/>
              </w:rPr>
            </w:pPr>
            <w:r w:rsidRPr="009B24D8">
              <w:rPr>
                <w:rFonts w:cs="Times New Roman"/>
                <w:b/>
                <w:bCs/>
              </w:rPr>
              <w:t xml:space="preserve">Recommendation 29: </w:t>
            </w:r>
            <w:r w:rsidRPr="009B24D8">
              <w:rPr>
                <w:rFonts w:cs="Times New Roman"/>
              </w:rPr>
              <w:t>The PIPA should be amended to state that consent to personal information handling must be ‘voluntary, informed, current, specific, and unambiguous’, in line with the proposal of the Privacy Act Review</w:t>
            </w:r>
          </w:p>
          <w:p w14:paraId="21350B96" w14:textId="329293B9" w:rsidR="002B656D" w:rsidRPr="009B24D8" w:rsidRDefault="00FF302D" w:rsidP="002B656D">
            <w:pPr>
              <w:spacing w:before="120"/>
              <w:rPr>
                <w:rFonts w:cs="Times New Roman"/>
              </w:rPr>
            </w:pPr>
            <w:r w:rsidRPr="009B24D8">
              <w:rPr>
                <w:rFonts w:cs="Times New Roman"/>
                <w:b/>
                <w:bCs/>
              </w:rPr>
              <w:t xml:space="preserve">Recommendation 30: </w:t>
            </w:r>
            <w:r w:rsidRPr="009B24D8">
              <w:rPr>
                <w:rFonts w:cs="Times New Roman"/>
              </w:rPr>
              <w:t>The Tasmanian Government should participate in cross-jurisdictional work on the scope and harmonisation of research exceptions in privacy legislation (as proposed by the Privacy Act Review), including in relation to the introduction of a ‘broad consent’ option for research-related personal information handling.</w:t>
            </w:r>
          </w:p>
          <w:p w14:paraId="1320F906" w14:textId="77777777" w:rsidR="00FF302D" w:rsidRPr="00EA22F8" w:rsidRDefault="00FF302D" w:rsidP="00B63604">
            <w:pPr>
              <w:pStyle w:val="Heading3"/>
              <w:numPr>
                <w:ilvl w:val="0"/>
                <w:numId w:val="38"/>
              </w:numPr>
              <w:tabs>
                <w:tab w:val="num" w:pos="360"/>
              </w:tabs>
              <w:spacing w:before="120"/>
              <w:ind w:left="0"/>
              <w:rPr>
                <w:rFonts w:ascii="Times New Roman" w:hAnsi="Times New Roman" w:cs="Times New Roman"/>
                <w:color w:val="auto"/>
                <w:sz w:val="22"/>
                <w:szCs w:val="22"/>
              </w:rPr>
            </w:pPr>
            <w:bookmarkStart w:id="571" w:name="_Toc164600359"/>
            <w:r w:rsidRPr="00EA22F8">
              <w:rPr>
                <w:rFonts w:ascii="Times New Roman" w:hAnsi="Times New Roman" w:cs="Times New Roman"/>
                <w:b/>
                <w:bCs/>
                <w:color w:val="auto"/>
              </w:rPr>
              <w:t xml:space="preserve">Recommendation 31: </w:t>
            </w:r>
            <w:r w:rsidRPr="00EA22F8">
              <w:rPr>
                <w:rFonts w:ascii="Times New Roman" w:hAnsi="Times New Roman" w:cs="Times New Roman"/>
                <w:color w:val="auto"/>
              </w:rPr>
              <w:t>Further consultation with stakeholders, including children and young people and their parents and carers, should be undertaken to ensure that privacy protections under the PIPA are appropriate for children and young people and are consistent with contemporary understandings of children’s decision-making capacity. Matters for consultation may include:</w:t>
            </w:r>
            <w:bookmarkEnd w:id="571"/>
          </w:p>
          <w:p w14:paraId="72FE1C97" w14:textId="77777777" w:rsidR="00FF302D" w:rsidRPr="00EA22F8" w:rsidRDefault="00FF302D" w:rsidP="009F08F7">
            <w:pPr>
              <w:pStyle w:val="Heading3"/>
              <w:numPr>
                <w:ilvl w:val="0"/>
                <w:numId w:val="38"/>
              </w:numPr>
              <w:spacing w:before="120"/>
              <w:rPr>
                <w:rFonts w:ascii="Times New Roman" w:hAnsi="Times New Roman" w:cs="Times New Roman"/>
                <w:color w:val="auto"/>
                <w:sz w:val="22"/>
                <w:szCs w:val="22"/>
              </w:rPr>
            </w:pPr>
            <w:bookmarkStart w:id="572" w:name="_Toc164600360"/>
            <w:r w:rsidRPr="00EA22F8">
              <w:rPr>
                <w:rFonts w:ascii="Times New Roman" w:hAnsi="Times New Roman" w:cs="Times New Roman"/>
                <w:color w:val="auto"/>
              </w:rPr>
              <w:t>whether the PIPA should be amended to specify that consent to information handling will only be valid where the individual has capacity to consent;</w:t>
            </w:r>
            <w:bookmarkEnd w:id="572"/>
          </w:p>
          <w:p w14:paraId="199BBCA7" w14:textId="77777777" w:rsidR="00FF302D" w:rsidRPr="00EA22F8" w:rsidRDefault="00FF302D" w:rsidP="009F08F7">
            <w:pPr>
              <w:pStyle w:val="Heading3"/>
              <w:numPr>
                <w:ilvl w:val="0"/>
                <w:numId w:val="38"/>
              </w:numPr>
              <w:spacing w:before="120"/>
              <w:rPr>
                <w:rFonts w:ascii="Times New Roman" w:hAnsi="Times New Roman" w:cs="Times New Roman"/>
                <w:color w:val="auto"/>
                <w:sz w:val="22"/>
                <w:szCs w:val="22"/>
              </w:rPr>
            </w:pPr>
            <w:bookmarkStart w:id="573" w:name="_Toc164600361"/>
            <w:r w:rsidRPr="00EA22F8">
              <w:rPr>
                <w:rFonts w:ascii="Times New Roman" w:hAnsi="Times New Roman" w:cs="Times New Roman"/>
                <w:color w:val="auto"/>
              </w:rPr>
              <w:t>whether the PIPA should be amended to establish exceptions to consent requirements where seeking consent from a parent or guardian would be inappropriate or harmful for the child or young person; and</w:t>
            </w:r>
            <w:bookmarkEnd w:id="573"/>
          </w:p>
          <w:p w14:paraId="06A10672" w14:textId="77777777" w:rsidR="00FF302D" w:rsidRPr="00EA22F8" w:rsidRDefault="00FF302D" w:rsidP="009F08F7">
            <w:pPr>
              <w:pStyle w:val="Heading3"/>
              <w:numPr>
                <w:ilvl w:val="0"/>
                <w:numId w:val="38"/>
              </w:numPr>
              <w:spacing w:before="120"/>
              <w:rPr>
                <w:rFonts w:ascii="Times New Roman" w:hAnsi="Times New Roman" w:cs="Times New Roman"/>
                <w:color w:val="auto"/>
                <w:sz w:val="22"/>
                <w:szCs w:val="22"/>
              </w:rPr>
            </w:pPr>
            <w:bookmarkStart w:id="574" w:name="_Toc164600362"/>
            <w:r w:rsidRPr="00EA22F8">
              <w:rPr>
                <w:rFonts w:ascii="Times New Roman" w:hAnsi="Times New Roman" w:cs="Times New Roman"/>
                <w:color w:val="auto"/>
              </w:rPr>
              <w:t>whether guidance should be developed to assist personal information custodians to assess the capacity of children and young people on a case-by-case basis.</w:t>
            </w:r>
            <w:bookmarkEnd w:id="574"/>
          </w:p>
          <w:p w14:paraId="6A810A98" w14:textId="77777777" w:rsidR="00FF302D" w:rsidRPr="00EA22F8" w:rsidRDefault="00FF302D" w:rsidP="00754A3F">
            <w:pPr>
              <w:pStyle w:val="Heading3"/>
              <w:numPr>
                <w:ilvl w:val="2"/>
                <w:numId w:val="0"/>
              </w:numPr>
              <w:spacing w:before="120"/>
              <w:rPr>
                <w:rFonts w:ascii="Times New Roman" w:hAnsi="Times New Roman" w:cs="Times New Roman"/>
                <w:color w:val="auto"/>
                <w:sz w:val="22"/>
                <w:szCs w:val="22"/>
              </w:rPr>
            </w:pPr>
            <w:bookmarkStart w:id="575" w:name="_Toc164600363"/>
            <w:r w:rsidRPr="00EA22F8">
              <w:rPr>
                <w:rFonts w:ascii="Times New Roman" w:hAnsi="Times New Roman" w:cs="Times New Roman"/>
                <w:b/>
                <w:bCs/>
                <w:color w:val="auto"/>
              </w:rPr>
              <w:t>Recommendation 32:</w:t>
            </w:r>
            <w:r w:rsidRPr="00EA22F8">
              <w:rPr>
                <w:rFonts w:ascii="Times New Roman" w:hAnsi="Times New Roman" w:cs="Times New Roman"/>
                <w:color w:val="auto"/>
              </w:rPr>
              <w:t xml:space="preserve"> Guidance on capacity and consent, including guidance on recognising and facilitating supported decision-making, should be available to personal information custodians.</w:t>
            </w:r>
            <w:bookmarkEnd w:id="575"/>
          </w:p>
          <w:p w14:paraId="7380587C" w14:textId="77777777" w:rsidR="00FF302D" w:rsidRPr="009B24D8" w:rsidRDefault="00FF302D" w:rsidP="00754A3F">
            <w:pPr>
              <w:spacing w:before="120" w:after="160" w:line="259" w:lineRule="auto"/>
              <w:rPr>
                <w:rFonts w:cs="Times New Roman"/>
                <w:kern w:val="2"/>
                <w:sz w:val="22"/>
                <w:szCs w:val="22"/>
                <w:lang w:val="en-AU"/>
                <w14:ligatures w14:val="standardContextual"/>
              </w:rPr>
            </w:pPr>
            <w:r w:rsidRPr="009B24D8">
              <w:rPr>
                <w:rFonts w:cs="Times New Roman"/>
                <w:b/>
                <w:bCs/>
              </w:rPr>
              <w:t xml:space="preserve">Recommendation 33: </w:t>
            </w:r>
            <w:r w:rsidRPr="009B24D8">
              <w:rPr>
                <w:rFonts w:cs="Times New Roman"/>
              </w:rPr>
              <w:t>An individual ‘right to object’, with the same features as the right proposed by the Commonwealth Privacy Act Review, should be introduced in the PIPA.</w:t>
            </w:r>
          </w:p>
        </w:tc>
      </w:tr>
    </w:tbl>
    <w:p w14:paraId="3CE69362" w14:textId="77777777" w:rsidR="00FF302D" w:rsidRPr="00113F13" w:rsidRDefault="00FF302D" w:rsidP="00FF302D">
      <w:pPr>
        <w:rPr>
          <w:rFonts w:cs="Times New Roman"/>
        </w:rPr>
      </w:pPr>
    </w:p>
    <w:p w14:paraId="74B0DCE2" w14:textId="77777777" w:rsidR="00FF302D" w:rsidRPr="00113F13" w:rsidRDefault="00FF302D" w:rsidP="00FF302D">
      <w:pPr>
        <w:rPr>
          <w:rFonts w:cs="Times New Roman"/>
        </w:rPr>
      </w:pPr>
    </w:p>
    <w:p w14:paraId="4016B27A" w14:textId="77777777" w:rsidR="00FF302D" w:rsidRPr="00113F13" w:rsidRDefault="00FF302D" w:rsidP="00FF302D">
      <w:pPr>
        <w:rPr>
          <w:rFonts w:cs="Times New Roman"/>
        </w:rPr>
      </w:pPr>
    </w:p>
    <w:p w14:paraId="41C9CD35" w14:textId="08DEA482" w:rsidR="00FC58F2" w:rsidRDefault="00FC58F2">
      <w:pPr>
        <w:spacing w:after="200" w:line="276" w:lineRule="auto"/>
        <w:jc w:val="left"/>
        <w:rPr>
          <w:rFonts w:cs="Times New Roman"/>
        </w:rPr>
      </w:pPr>
      <w:r>
        <w:rPr>
          <w:rFonts w:cs="Times New Roman"/>
        </w:rPr>
        <w:br w:type="page"/>
      </w:r>
    </w:p>
    <w:p w14:paraId="6059D44F" w14:textId="77777777" w:rsidR="00FF302D" w:rsidRPr="00113F13" w:rsidRDefault="00FF302D" w:rsidP="00FF302D">
      <w:pPr>
        <w:rPr>
          <w:rFonts w:cs="Times New Roman"/>
        </w:rPr>
        <w:sectPr w:rsidR="00FF302D" w:rsidRPr="00113F13" w:rsidSect="00BC08AB">
          <w:headerReference w:type="default" r:id="rId30"/>
          <w:type w:val="continuous"/>
          <w:pgSz w:w="11906" w:h="16838" w:code="9"/>
          <w:pgMar w:top="1440" w:right="1440" w:bottom="1440" w:left="1440" w:header="708" w:footer="708" w:gutter="0"/>
          <w:cols w:space="708"/>
          <w:docGrid w:linePitch="360"/>
        </w:sectPr>
      </w:pPr>
    </w:p>
    <w:p w14:paraId="75D250C1" w14:textId="77777777" w:rsidR="00FF302D" w:rsidRPr="00113F13" w:rsidRDefault="00FF302D" w:rsidP="00B63604">
      <w:pPr>
        <w:pStyle w:val="PartNoTLRI"/>
        <w:numPr>
          <w:ilvl w:val="0"/>
          <w:numId w:val="31"/>
        </w:numPr>
        <w:spacing w:after="160" w:line="259" w:lineRule="auto"/>
      </w:pPr>
    </w:p>
    <w:p w14:paraId="2070E889" w14:textId="77777777" w:rsidR="00FF302D" w:rsidRPr="00113F13" w:rsidRDefault="00FF302D" w:rsidP="00FF302D">
      <w:pPr>
        <w:pStyle w:val="PartHeadingTLRI"/>
      </w:pPr>
      <w:bookmarkStart w:id="576" w:name="_Toc164606627"/>
      <w:r w:rsidRPr="00113F13">
        <w:t>Aligning the Personal Information Protection Principles with the Commonwealth Act: Data Quality, Data Security and Access and Correction</w:t>
      </w:r>
      <w:bookmarkEnd w:id="576"/>
    </w:p>
    <w:p w14:paraId="2695A351" w14:textId="60E376B4" w:rsidR="00FF302D" w:rsidRPr="00113F13" w:rsidRDefault="00FF302D" w:rsidP="00BF1FE7">
      <w:pPr>
        <w:pStyle w:val="NumberedHeadingTLRI"/>
      </w:pPr>
      <w:bookmarkStart w:id="577" w:name="_Toc164606628"/>
      <w:r w:rsidRPr="00113F13">
        <w:t xml:space="preserve">Overview of this </w:t>
      </w:r>
      <w:bookmarkEnd w:id="577"/>
      <w:r w:rsidR="000851C6">
        <w:t>Part</w:t>
      </w:r>
    </w:p>
    <w:p w14:paraId="55A72235" w14:textId="77777777" w:rsidR="00FF302D" w:rsidRPr="00113F13" w:rsidRDefault="00FF302D" w:rsidP="00B63604">
      <w:pPr>
        <w:pStyle w:val="NormalNumberedTextTLRI"/>
        <w:numPr>
          <w:ilvl w:val="2"/>
          <w:numId w:val="31"/>
        </w:numPr>
        <w:tabs>
          <w:tab w:val="clear" w:pos="720"/>
        </w:tabs>
        <w:spacing w:line="259" w:lineRule="auto"/>
      </w:pPr>
      <w:r w:rsidRPr="00113F13">
        <w:t>Data privacy legislation in Tasmania and other Australian jurisdictions imposes obligations on regulated bodies in relation to the quality of data (in terms of its accuracy, currency, and other features) and the security and protection of data. Legislation also enables individuals to access and correct personal information about them in certain circumstances.</w:t>
      </w:r>
    </w:p>
    <w:p w14:paraId="07D8258C" w14:textId="2936F2E4" w:rsidR="00FF302D" w:rsidRPr="00113F13" w:rsidRDefault="288D8F58" w:rsidP="00B63604">
      <w:pPr>
        <w:pStyle w:val="NormalNumberedTextTLRI"/>
        <w:numPr>
          <w:ilvl w:val="2"/>
          <w:numId w:val="31"/>
        </w:numPr>
        <w:tabs>
          <w:tab w:val="clear" w:pos="720"/>
        </w:tabs>
        <w:spacing w:line="259" w:lineRule="auto"/>
      </w:pPr>
      <w:r>
        <w:t xml:space="preserve">This </w:t>
      </w:r>
      <w:r w:rsidR="00CB2B89">
        <w:t xml:space="preserve">Part </w:t>
      </w:r>
      <w:r>
        <w:t xml:space="preserve">continues the TLRI’s consideration of the similarities and differences between the Personal Information Protection Principles (‘PIPPs’) and the Australian Privacy Principles (‘APPs’) </w:t>
      </w:r>
      <w:r w:rsidRPr="00252780">
        <w:t>(d</w:t>
      </w:r>
      <w:r w:rsidRPr="00EA22F8">
        <w:t>efined at [</w:t>
      </w:r>
      <w:r w:rsidR="00252780">
        <w:fldChar w:fldCharType="begin"/>
      </w:r>
      <w:r w:rsidR="00252780">
        <w:instrText xml:space="preserve"> REF _Ref164780999 \r \h </w:instrText>
      </w:r>
      <w:r w:rsidR="00252780">
        <w:fldChar w:fldCharType="separate"/>
      </w:r>
      <w:r w:rsidR="00462C30">
        <w:rPr>
          <w:cs/>
        </w:rPr>
        <w:t>‎</w:t>
      </w:r>
      <w:r w:rsidR="00462C30">
        <w:t>2.5</w:t>
      </w:r>
      <w:r w:rsidR="00252780">
        <w:fldChar w:fldCharType="end"/>
      </w:r>
      <w:r w:rsidRPr="00EA22F8">
        <w:t>]</w:t>
      </w:r>
      <w:r w:rsidRPr="00252780">
        <w:t>)</w:t>
      </w:r>
      <w:r>
        <w:t xml:space="preserve"> relating to data quality, data security, and access and correction, and the need for reform to the PIPPs arising from inconsistencies or other concerns with the adequacy of the Tasmanian protections.</w:t>
      </w:r>
    </w:p>
    <w:p w14:paraId="0A251A9E" w14:textId="77777777" w:rsidR="00FF302D" w:rsidRPr="00113F13" w:rsidRDefault="00FF302D" w:rsidP="00BF1FE7">
      <w:pPr>
        <w:pStyle w:val="NumberedHeadingTLRI"/>
      </w:pPr>
      <w:bookmarkStart w:id="578" w:name="_Toc164606629"/>
      <w:r w:rsidRPr="00113F13">
        <w:t>The Tasmanian position</w:t>
      </w:r>
      <w:bookmarkEnd w:id="578"/>
    </w:p>
    <w:p w14:paraId="4C7AE010" w14:textId="77777777" w:rsidR="00FF302D" w:rsidRPr="00113F13" w:rsidRDefault="00FF302D" w:rsidP="006551D3">
      <w:pPr>
        <w:pStyle w:val="Sub-HeadingTLRI"/>
      </w:pPr>
      <w:bookmarkStart w:id="579" w:name="_Toc164606630"/>
      <w:r w:rsidRPr="00113F13">
        <w:t>Data quality</w:t>
      </w:r>
      <w:bookmarkEnd w:id="579"/>
    </w:p>
    <w:p w14:paraId="20F2964A" w14:textId="77777777" w:rsidR="00FF302D" w:rsidRPr="00113F13" w:rsidRDefault="00FF302D" w:rsidP="00B63604">
      <w:pPr>
        <w:pStyle w:val="NormalNumberedTextTLRI"/>
        <w:numPr>
          <w:ilvl w:val="2"/>
          <w:numId w:val="31"/>
        </w:numPr>
        <w:tabs>
          <w:tab w:val="clear" w:pos="720"/>
        </w:tabs>
        <w:spacing w:line="259" w:lineRule="auto"/>
      </w:pPr>
      <w:bookmarkStart w:id="580" w:name="_Toc143872423"/>
      <w:r w:rsidRPr="00113F13">
        <w:t xml:space="preserve">Under the </w:t>
      </w:r>
      <w:r w:rsidRPr="00113F13">
        <w:rPr>
          <w:i/>
          <w:iCs/>
        </w:rPr>
        <w:t>Personal Information Protection Act 2004</w:t>
      </w:r>
      <w:r w:rsidRPr="00113F13">
        <w:t xml:space="preserve"> (Tas) (‘PIPA’), PIPP 3 obliges personal information custodians to take reasonable steps to ensure that, having regard to the purpose for which it is to be used, the personal information the custodian collects, uses, holds, or discloses is accurate, complete, up-to-date, and relevant to its functions or activities.</w:t>
      </w:r>
      <w:bookmarkEnd w:id="580"/>
    </w:p>
    <w:p w14:paraId="157C4B82" w14:textId="77777777" w:rsidR="00FF302D" w:rsidRPr="00113F13" w:rsidRDefault="00FF302D" w:rsidP="006551D3">
      <w:pPr>
        <w:pStyle w:val="Sub-HeadingTLRI"/>
      </w:pPr>
      <w:bookmarkStart w:id="581" w:name="_Toc164606631"/>
      <w:r w:rsidRPr="00113F13">
        <w:t>Data security</w:t>
      </w:r>
      <w:bookmarkEnd w:id="581"/>
    </w:p>
    <w:p w14:paraId="5C697DA9" w14:textId="77777777" w:rsidR="00FF302D" w:rsidRPr="00113F13" w:rsidRDefault="00FF302D" w:rsidP="00B63604">
      <w:pPr>
        <w:pStyle w:val="NormalNumberedTextTLRI"/>
        <w:numPr>
          <w:ilvl w:val="2"/>
          <w:numId w:val="31"/>
        </w:numPr>
        <w:tabs>
          <w:tab w:val="clear" w:pos="720"/>
        </w:tabs>
        <w:spacing w:line="259" w:lineRule="auto"/>
      </w:pPr>
      <w:bookmarkStart w:id="582" w:name="_Toc143872424"/>
      <w:r w:rsidRPr="00113F13">
        <w:t>PIPP 4 requires a custodian to take reasonable steps to protect the personal information it holds from misuse, loss, unauthorised access, modification, or disclosure.</w:t>
      </w:r>
      <w:r w:rsidRPr="00113F13">
        <w:rPr>
          <w:rStyle w:val="FootnoteReference"/>
          <w:rFonts w:ascii="Times New Roman" w:hAnsi="Times New Roman"/>
        </w:rPr>
        <w:footnoteReference w:id="559"/>
      </w:r>
      <w:bookmarkEnd w:id="582"/>
    </w:p>
    <w:p w14:paraId="5606A884" w14:textId="77777777" w:rsidR="00FF302D" w:rsidRPr="00113F13" w:rsidRDefault="00FF302D" w:rsidP="00B63604">
      <w:pPr>
        <w:pStyle w:val="NormalNumberedTextTLRI"/>
        <w:numPr>
          <w:ilvl w:val="2"/>
          <w:numId w:val="31"/>
        </w:numPr>
        <w:tabs>
          <w:tab w:val="clear" w:pos="720"/>
        </w:tabs>
        <w:spacing w:line="259" w:lineRule="auto"/>
      </w:pPr>
      <w:bookmarkStart w:id="583" w:name="_Toc143872425"/>
      <w:r w:rsidRPr="00113F13">
        <w:t xml:space="preserve">PIPP 4 also specifies that a personal information custodian must take reasonable steps to destroy or permanently de-identify personal information if it is no longer needed for any purpose, subject to any necessary approval from the State Archivist under the </w:t>
      </w:r>
      <w:r w:rsidRPr="00113F13">
        <w:rPr>
          <w:i/>
          <w:iCs/>
        </w:rPr>
        <w:t>Archives Act 1983</w:t>
      </w:r>
      <w:r w:rsidRPr="00113F13">
        <w:t xml:space="preserve"> (Tas).</w:t>
      </w:r>
      <w:r w:rsidRPr="00113F13">
        <w:rPr>
          <w:rStyle w:val="FootnoteReference"/>
          <w:rFonts w:ascii="Times New Roman" w:hAnsi="Times New Roman"/>
        </w:rPr>
        <w:footnoteReference w:id="560"/>
      </w:r>
      <w:bookmarkEnd w:id="583"/>
    </w:p>
    <w:p w14:paraId="587BADE9" w14:textId="77777777" w:rsidR="00FF302D" w:rsidRPr="00113F13" w:rsidRDefault="00FF302D" w:rsidP="006551D3">
      <w:pPr>
        <w:pStyle w:val="Sub-HeadingTLRI"/>
      </w:pPr>
      <w:bookmarkStart w:id="584" w:name="_Toc164606632"/>
      <w:r w:rsidRPr="00113F13">
        <w:lastRenderedPageBreak/>
        <w:t>Access and correction</w:t>
      </w:r>
      <w:bookmarkEnd w:id="584"/>
    </w:p>
    <w:p w14:paraId="1BCBBB4F" w14:textId="77777777" w:rsidR="00FF302D" w:rsidRPr="00113F13" w:rsidRDefault="00FF302D" w:rsidP="00B63604">
      <w:pPr>
        <w:pStyle w:val="NormalNumberedTextTLRI"/>
        <w:numPr>
          <w:ilvl w:val="2"/>
          <w:numId w:val="31"/>
        </w:numPr>
        <w:tabs>
          <w:tab w:val="clear" w:pos="720"/>
        </w:tabs>
        <w:spacing w:line="259" w:lineRule="auto"/>
      </w:pPr>
      <w:bookmarkStart w:id="585" w:name="_Toc143872426"/>
      <w:r w:rsidRPr="00113F13">
        <w:t>PIPP 6 allows—but does not require—a personal information custodian to provide access to personal information it holds upon request from the person concerned.</w:t>
      </w:r>
      <w:r w:rsidRPr="00113F13">
        <w:rPr>
          <w:rStyle w:val="FootnoteReference"/>
          <w:rFonts w:ascii="Times New Roman" w:hAnsi="Times New Roman"/>
        </w:rPr>
        <w:footnoteReference w:id="561"/>
      </w:r>
      <w:bookmarkEnd w:id="585"/>
    </w:p>
    <w:p w14:paraId="71DD7C3F" w14:textId="77777777" w:rsidR="00FF302D" w:rsidRPr="00113F13" w:rsidRDefault="00FF302D" w:rsidP="00B63604">
      <w:pPr>
        <w:pStyle w:val="NormalNumberedTextTLRI"/>
        <w:numPr>
          <w:ilvl w:val="2"/>
          <w:numId w:val="31"/>
        </w:numPr>
        <w:tabs>
          <w:tab w:val="clear" w:pos="720"/>
        </w:tabs>
        <w:spacing w:line="259" w:lineRule="auto"/>
      </w:pPr>
      <w:bookmarkStart w:id="586" w:name="_Toc143872427"/>
      <w:bookmarkStart w:id="587" w:name="_Ref151116263"/>
      <w:bookmarkStart w:id="588" w:name="_Ref151116523"/>
      <w:bookmarkStart w:id="589" w:name="_Ref164783316"/>
      <w:bookmarkStart w:id="590" w:name="_Ref164783364"/>
      <w:r w:rsidRPr="00113F13">
        <w:t xml:space="preserve">If a personal information custodian refuses such a request or does not respond to a request within 20working days, and the individual makes a further written request for access, the custodian must provide access ‘as if … the written request were an application for assessed disclosure of information under Section 13 of the </w:t>
      </w:r>
      <w:r w:rsidRPr="00113F13">
        <w:rPr>
          <w:i/>
          <w:iCs/>
        </w:rPr>
        <w:t>Right to Information Act 2009</w:t>
      </w:r>
      <w:r w:rsidRPr="00113F13">
        <w:t xml:space="preserve"> (Tas)’ and the custodian were subject to that Act.</w:t>
      </w:r>
      <w:r w:rsidRPr="00113F13">
        <w:rPr>
          <w:rStyle w:val="FootnoteReference"/>
          <w:rFonts w:ascii="Times New Roman" w:hAnsi="Times New Roman"/>
        </w:rPr>
        <w:footnoteReference w:id="562"/>
      </w:r>
      <w:bookmarkEnd w:id="586"/>
      <w:bookmarkEnd w:id="587"/>
      <w:bookmarkEnd w:id="588"/>
      <w:bookmarkEnd w:id="589"/>
      <w:bookmarkEnd w:id="590"/>
    </w:p>
    <w:p w14:paraId="58F45FB7" w14:textId="77777777" w:rsidR="00FF302D" w:rsidRPr="00113F13" w:rsidRDefault="00FF302D" w:rsidP="00B63604">
      <w:pPr>
        <w:pStyle w:val="NormalNumberedTextTLRI"/>
        <w:numPr>
          <w:ilvl w:val="2"/>
          <w:numId w:val="31"/>
        </w:numPr>
        <w:tabs>
          <w:tab w:val="clear" w:pos="720"/>
        </w:tabs>
        <w:spacing w:line="259" w:lineRule="auto"/>
      </w:pPr>
      <w:bookmarkStart w:id="591" w:name="_Ref150960140"/>
      <w:bookmarkStart w:id="592" w:name="_Toc143872428"/>
      <w:r w:rsidRPr="00113F13">
        <w:t>Under PIPP 6(2), a person can request their information be amended, if it is incorrect, incomplete, out of date, or misleading, in accordance with the provisions in Part 3A of the PIPA. Part 3A addresses matters such as when a person may request amendment of information, the form that such a request must take, how the personal information custodian can amend information, and what the personal information custodian must do if it refuses a request to amend information.</w:t>
      </w:r>
      <w:r w:rsidRPr="00113F13">
        <w:rPr>
          <w:rStyle w:val="FootnoteReference"/>
          <w:rFonts w:ascii="Times New Roman" w:hAnsi="Times New Roman"/>
        </w:rPr>
        <w:footnoteReference w:id="563"/>
      </w:r>
      <w:bookmarkEnd w:id="591"/>
      <w:r w:rsidRPr="00113F13">
        <w:t xml:space="preserve"> </w:t>
      </w:r>
    </w:p>
    <w:p w14:paraId="3208DFCD" w14:textId="77777777" w:rsidR="00FF302D" w:rsidRPr="00113F13" w:rsidRDefault="00FF302D" w:rsidP="00B63604">
      <w:pPr>
        <w:pStyle w:val="NormalNumberedTextTLRI"/>
        <w:numPr>
          <w:ilvl w:val="2"/>
          <w:numId w:val="31"/>
        </w:numPr>
        <w:tabs>
          <w:tab w:val="clear" w:pos="720"/>
        </w:tabs>
        <w:spacing w:line="259" w:lineRule="auto"/>
      </w:pPr>
      <w:r w:rsidRPr="00113F13">
        <w:t>Following receipt of an information amendment request in the appropriate form,</w:t>
      </w:r>
      <w:r w:rsidRPr="00113F13">
        <w:rPr>
          <w:rStyle w:val="FootnoteReference"/>
          <w:rFonts w:ascii="Times New Roman" w:hAnsi="Times New Roman"/>
        </w:rPr>
        <w:footnoteReference w:id="564"/>
      </w:r>
      <w:r w:rsidRPr="00113F13">
        <w:t xml:space="preserve"> a personal information custodian may amend the information by altering it or adding an appropriate notation to it.</w:t>
      </w:r>
      <w:r w:rsidRPr="00113F13">
        <w:rPr>
          <w:rStyle w:val="FootnoteReference"/>
          <w:rFonts w:ascii="Times New Roman" w:hAnsi="Times New Roman"/>
        </w:rPr>
        <w:footnoteReference w:id="565"/>
      </w:r>
      <w:r w:rsidRPr="00113F13">
        <w:t xml:space="preserve"> While the amendment may be in the form of a notation to the original document, amendments that delete or expunge information which has been amended, or which destroy the document, cannot be made unless the State Archivist agrees.</w:t>
      </w:r>
      <w:bookmarkEnd w:id="592"/>
      <w:r w:rsidRPr="00113F13">
        <w:rPr>
          <w:rStyle w:val="FootnoteReference"/>
          <w:rFonts w:ascii="Times New Roman" w:hAnsi="Times New Roman"/>
        </w:rPr>
        <w:footnoteReference w:id="566"/>
      </w:r>
    </w:p>
    <w:p w14:paraId="197E79AA" w14:textId="77777777" w:rsidR="00FF302D" w:rsidRPr="00113F13" w:rsidRDefault="00FF302D" w:rsidP="00B63604">
      <w:pPr>
        <w:pStyle w:val="NormalNumberedTextTLRI"/>
        <w:numPr>
          <w:ilvl w:val="2"/>
          <w:numId w:val="31"/>
        </w:numPr>
        <w:tabs>
          <w:tab w:val="clear" w:pos="720"/>
        </w:tabs>
        <w:spacing w:line="259" w:lineRule="auto"/>
      </w:pPr>
      <w:bookmarkStart w:id="593" w:name="_Toc143872429"/>
      <w:r w:rsidRPr="00113F13">
        <w:t>The personal information custodian must take all reasonable steps to notify the person of the decision on their information amendment request as soon as practicable, and no later than 20 working days after receipt of the request. Notice of a decision not to amend the information in the way requested must be in writing and state the reasons, name, and designation of the decision-maker, as well as information about the requester’s right to make a complaint to the Ombudsman.</w:t>
      </w:r>
      <w:r w:rsidRPr="00113F13">
        <w:rPr>
          <w:rStyle w:val="FootnoteReference"/>
          <w:rFonts w:ascii="Times New Roman" w:hAnsi="Times New Roman"/>
        </w:rPr>
        <w:footnoteReference w:id="567"/>
      </w:r>
      <w:bookmarkEnd w:id="593"/>
    </w:p>
    <w:p w14:paraId="240E3F75" w14:textId="77777777" w:rsidR="00FF302D" w:rsidRDefault="00FF302D" w:rsidP="00B63604">
      <w:pPr>
        <w:pStyle w:val="NormalNumberedTextTLRI"/>
        <w:numPr>
          <w:ilvl w:val="2"/>
          <w:numId w:val="31"/>
        </w:numPr>
        <w:tabs>
          <w:tab w:val="clear" w:pos="720"/>
        </w:tabs>
        <w:spacing w:line="259" w:lineRule="auto"/>
      </w:pPr>
      <w:bookmarkStart w:id="594" w:name="_Toc143872430"/>
      <w:r w:rsidRPr="00113F13">
        <w:t>If the personal information custodian refuses to amend the information following a request, the requester may give written notice, at any time, requiring the custodian to add a notation to the information which specifies the respects in which the information is claimed to be incomplete, incorrect, out of date, or misleading and (if applicable) setting out the information the requester claims is required to bring the information up to date.</w:t>
      </w:r>
      <w:r w:rsidRPr="00113F13">
        <w:rPr>
          <w:rStyle w:val="FootnoteReference"/>
          <w:rFonts w:ascii="Times New Roman" w:hAnsi="Times New Roman"/>
        </w:rPr>
        <w:footnoteReference w:id="568"/>
      </w:r>
      <w:r w:rsidRPr="00113F13">
        <w:t xml:space="preserve"> The custodian must subsequently notify any person to whom the affected information is disclosed about the requester’s claims about the information, the particulars of the notation, and, if the custodian considers it appropriate, reasons the custodian did not amend the information.</w:t>
      </w:r>
      <w:r w:rsidRPr="00113F13">
        <w:rPr>
          <w:rStyle w:val="FootnoteReference"/>
          <w:rFonts w:ascii="Times New Roman" w:hAnsi="Times New Roman"/>
        </w:rPr>
        <w:footnoteReference w:id="569"/>
      </w:r>
      <w:bookmarkEnd w:id="594"/>
    </w:p>
    <w:p w14:paraId="1659B020" w14:textId="77777777" w:rsidR="00FC58F2" w:rsidRPr="00113F13" w:rsidRDefault="00FC58F2" w:rsidP="00FC58F2">
      <w:pPr>
        <w:pStyle w:val="NormalNumberedTextTLRI"/>
        <w:numPr>
          <w:ilvl w:val="0"/>
          <w:numId w:val="0"/>
        </w:numPr>
        <w:spacing w:line="259" w:lineRule="auto"/>
      </w:pPr>
    </w:p>
    <w:p w14:paraId="51A53708" w14:textId="77777777" w:rsidR="00FF302D" w:rsidRPr="00113F13" w:rsidRDefault="00FF302D" w:rsidP="00BF1FE7">
      <w:pPr>
        <w:pStyle w:val="NumberedHeadingTLRI"/>
      </w:pPr>
      <w:bookmarkStart w:id="595" w:name="_Toc143872431"/>
      <w:bookmarkStart w:id="596" w:name="_Toc152245434"/>
      <w:bookmarkStart w:id="597" w:name="_Toc164606633"/>
      <w:bookmarkStart w:id="598" w:name="_Ref164779761"/>
      <w:r w:rsidRPr="00113F13">
        <w:lastRenderedPageBreak/>
        <w:t>The position in other jurisdictions</w:t>
      </w:r>
      <w:bookmarkEnd w:id="595"/>
      <w:bookmarkEnd w:id="596"/>
      <w:bookmarkEnd w:id="597"/>
      <w:bookmarkEnd w:id="598"/>
    </w:p>
    <w:p w14:paraId="4A3D0B57" w14:textId="77777777" w:rsidR="00FF302D" w:rsidRPr="00113F13" w:rsidRDefault="00FF302D" w:rsidP="006551D3">
      <w:pPr>
        <w:pStyle w:val="Sub-HeadingTLRI"/>
      </w:pPr>
      <w:bookmarkStart w:id="599" w:name="_Toc164606634"/>
      <w:r w:rsidRPr="00113F13">
        <w:t>Data quality</w:t>
      </w:r>
      <w:bookmarkEnd w:id="599"/>
    </w:p>
    <w:p w14:paraId="22E8F5DA" w14:textId="77777777" w:rsidR="00FF302D" w:rsidRPr="00113F13" w:rsidRDefault="00FF302D" w:rsidP="00B63604">
      <w:pPr>
        <w:pStyle w:val="NormalNumberedTextTLRI"/>
        <w:numPr>
          <w:ilvl w:val="2"/>
          <w:numId w:val="31"/>
        </w:numPr>
        <w:tabs>
          <w:tab w:val="clear" w:pos="720"/>
        </w:tabs>
        <w:spacing w:line="259" w:lineRule="auto"/>
      </w:pPr>
      <w:bookmarkStart w:id="600" w:name="_Toc143872432"/>
      <w:r w:rsidRPr="00113F13">
        <w:t xml:space="preserve">PIPP 3 is substantially similar to APP 10 in the Commonwealth </w:t>
      </w:r>
      <w:r w:rsidRPr="00113F13">
        <w:rPr>
          <w:i/>
          <w:iCs/>
        </w:rPr>
        <w:t xml:space="preserve">Privacy Act 1988 </w:t>
      </w:r>
      <w:r w:rsidRPr="00113F13">
        <w:t>(Cth) (‘Privacy Act’) in relation to entities’ obligations relating to data quality, although:</w:t>
      </w:r>
      <w:bookmarkEnd w:id="600"/>
    </w:p>
    <w:p w14:paraId="5E2C7F97" w14:textId="77777777" w:rsidR="00FF302D" w:rsidRPr="00113F13" w:rsidRDefault="00FF302D" w:rsidP="006551D3">
      <w:pPr>
        <w:pStyle w:val="DotPointTLRI"/>
      </w:pPr>
      <w:r w:rsidRPr="00113F13">
        <w:t>APP 10 only obliges responsible entities to take ‘such steps (if any) as are reasonable in the circumstances’ to ensure personal information it collects, uses, or discloses is accurate, up‑to‑date, complete, and relevant, rather than the ‘reasonable steps’ required under PIPP 3; and</w:t>
      </w:r>
    </w:p>
    <w:p w14:paraId="6C27A410" w14:textId="77777777" w:rsidR="00FF302D" w:rsidRPr="00113F13" w:rsidRDefault="00FF302D" w:rsidP="006551D3">
      <w:pPr>
        <w:pStyle w:val="DotPointTLRI"/>
      </w:pPr>
      <w:r w:rsidRPr="00113F13">
        <w:t>APP 10 only applies to the collection, use, and disclosure of information, while PIPP 3 extends further to information held by a personal information custodian.</w:t>
      </w:r>
      <w:r w:rsidRPr="00113F13">
        <w:rPr>
          <w:rStyle w:val="FootnoteReference"/>
          <w:rFonts w:ascii="Times New Roman" w:hAnsi="Times New Roman"/>
        </w:rPr>
        <w:footnoteReference w:id="570"/>
      </w:r>
    </w:p>
    <w:p w14:paraId="47CDDC58" w14:textId="77777777" w:rsidR="00FF302D" w:rsidRPr="00113F13" w:rsidRDefault="00FF302D" w:rsidP="00B63604">
      <w:pPr>
        <w:pStyle w:val="NormalNumberedTextTLRI"/>
        <w:numPr>
          <w:ilvl w:val="2"/>
          <w:numId w:val="31"/>
        </w:numPr>
        <w:tabs>
          <w:tab w:val="clear" w:pos="720"/>
        </w:tabs>
        <w:spacing w:line="259" w:lineRule="auto"/>
      </w:pPr>
      <w:r w:rsidRPr="00113F13">
        <w:t>Other jurisdictions also have provisions about data quality relating to the requirement to take reasonable steps to ensure that the information that is collected, used, or disclosure is accurate, complete, and up to date.</w:t>
      </w:r>
      <w:r w:rsidRPr="00113F13">
        <w:rPr>
          <w:rStyle w:val="FootnoteReference"/>
          <w:rFonts w:ascii="Times New Roman" w:hAnsi="Times New Roman"/>
        </w:rPr>
        <w:footnoteReference w:id="571"/>
      </w:r>
      <w:r w:rsidRPr="00113F13">
        <w:t xml:space="preserve"> </w:t>
      </w:r>
    </w:p>
    <w:p w14:paraId="3F8AF06A" w14:textId="77777777" w:rsidR="00FF302D" w:rsidRPr="00113F13" w:rsidRDefault="00FF302D" w:rsidP="006551D3">
      <w:pPr>
        <w:pStyle w:val="Sub-HeadingTLRI"/>
      </w:pPr>
      <w:bookmarkStart w:id="601" w:name="_Toc164606635"/>
      <w:r w:rsidRPr="00113F13">
        <w:t>Data security</w:t>
      </w:r>
      <w:bookmarkEnd w:id="601"/>
    </w:p>
    <w:p w14:paraId="5035E12F" w14:textId="77777777" w:rsidR="00FF302D" w:rsidRPr="00113F13" w:rsidRDefault="00FF302D" w:rsidP="00B63604">
      <w:pPr>
        <w:pStyle w:val="NormalNumberedTextTLRI"/>
        <w:numPr>
          <w:ilvl w:val="2"/>
          <w:numId w:val="31"/>
        </w:numPr>
        <w:tabs>
          <w:tab w:val="clear" w:pos="720"/>
        </w:tabs>
        <w:spacing w:line="259" w:lineRule="auto"/>
      </w:pPr>
      <w:bookmarkStart w:id="602" w:name="_Toc143872433"/>
      <w:r w:rsidRPr="00113F13">
        <w:t>The Privacy Act’s APP 11 addresses the security of personal information. It imposes similar security obligations to PIPP 4 in the PIPA. Other jurisdictions also have provisions that address data security.</w:t>
      </w:r>
      <w:r w:rsidRPr="00113F13">
        <w:rPr>
          <w:rStyle w:val="FootnoteReference"/>
          <w:rFonts w:ascii="Times New Roman" w:hAnsi="Times New Roman"/>
        </w:rPr>
        <w:footnoteReference w:id="572"/>
      </w:r>
    </w:p>
    <w:p w14:paraId="3E0C9746" w14:textId="6B6E1AEE" w:rsidR="00FF302D" w:rsidRPr="00113F13" w:rsidRDefault="00FF302D" w:rsidP="00B63604">
      <w:pPr>
        <w:pStyle w:val="NormalNumberedTextTLRI"/>
        <w:numPr>
          <w:ilvl w:val="2"/>
          <w:numId w:val="31"/>
        </w:numPr>
        <w:tabs>
          <w:tab w:val="clear" w:pos="720"/>
        </w:tabs>
        <w:spacing w:line="259" w:lineRule="auto"/>
      </w:pPr>
      <w:r w:rsidRPr="00113F13">
        <w:t>APP 11.1 obliges APP entities to ‘take such steps as are reasonable in the circumstances’ to protect information from misuse, interference, and loss, and from unauthorised access, modification, or disclosure.</w:t>
      </w:r>
      <w:r w:rsidRPr="00113F13">
        <w:rPr>
          <w:rStyle w:val="FootnoteReference"/>
          <w:rFonts w:ascii="Times New Roman" w:hAnsi="Times New Roman"/>
          <w:color w:val="000000"/>
        </w:rPr>
        <w:footnoteReference w:id="573"/>
      </w:r>
      <w:bookmarkEnd w:id="602"/>
      <w:r w:rsidRPr="00113F13">
        <w:t xml:space="preserve"> This is also the position in New South Wales, Queensland, the ACT, and the Northern Territory.</w:t>
      </w:r>
      <w:r w:rsidRPr="00113F13">
        <w:rPr>
          <w:rStyle w:val="FootnoteReference"/>
          <w:rFonts w:ascii="Times New Roman" w:hAnsi="Times New Roman"/>
          <w:color w:val="000000"/>
        </w:rPr>
        <w:footnoteReference w:id="574"/>
      </w:r>
      <w:r w:rsidRPr="00113F13">
        <w:t xml:space="preserve"> In contrast, PIPP</w:t>
      </w:r>
      <w:r w:rsidR="003D33C2">
        <w:t> </w:t>
      </w:r>
      <w:r w:rsidRPr="00113F13">
        <w:t xml:space="preserve">4 does not require regulated entities to take steps to protect information from interference. </w:t>
      </w:r>
    </w:p>
    <w:p w14:paraId="0414320C" w14:textId="77777777" w:rsidR="00FF302D" w:rsidRPr="00113F13" w:rsidRDefault="00FF302D" w:rsidP="00B63604">
      <w:pPr>
        <w:pStyle w:val="NormalNumberedTextTLRI"/>
        <w:numPr>
          <w:ilvl w:val="2"/>
          <w:numId w:val="31"/>
        </w:numPr>
        <w:tabs>
          <w:tab w:val="clear" w:pos="720"/>
        </w:tabs>
        <w:spacing w:line="259" w:lineRule="auto"/>
        <w:rPr>
          <w:i/>
          <w:iCs/>
        </w:rPr>
      </w:pPr>
      <w:bookmarkStart w:id="603" w:name="_Toc143872434"/>
      <w:r w:rsidRPr="00113F13">
        <w:t>Under APP 11.2, APP entities also have an obligation to take reasonable steps to destroy or de-identify information applies where</w:t>
      </w:r>
      <w:bookmarkEnd w:id="603"/>
      <w:r w:rsidRPr="00113F13">
        <w:t xml:space="preserve"> the information is:</w:t>
      </w:r>
    </w:p>
    <w:p w14:paraId="15D0B321" w14:textId="77777777" w:rsidR="00FF302D" w:rsidRPr="00113F13" w:rsidRDefault="00FF302D" w:rsidP="006551D3">
      <w:pPr>
        <w:pStyle w:val="DotPointTLRI"/>
        <w:rPr>
          <w:i/>
          <w:iCs/>
        </w:rPr>
      </w:pPr>
      <w:r w:rsidRPr="00113F13">
        <w:t xml:space="preserve">no longer needed by an entity for any purpose ‘for which the information may be used or disclosed by the entity under’ the APPs; and </w:t>
      </w:r>
    </w:p>
    <w:p w14:paraId="0274B862" w14:textId="77777777" w:rsidR="00FF302D" w:rsidRPr="00113F13" w:rsidRDefault="00FF302D" w:rsidP="006551D3">
      <w:pPr>
        <w:pStyle w:val="DotPointTLRI"/>
        <w:rPr>
          <w:i/>
          <w:iCs/>
        </w:rPr>
      </w:pPr>
      <w:r w:rsidRPr="00113F13">
        <w:lastRenderedPageBreak/>
        <w:t>not contained in a Commonwealth record or required under an Australian law or court/tribunal order to be retained.</w:t>
      </w:r>
      <w:r w:rsidRPr="00113F13">
        <w:rPr>
          <w:rStyle w:val="FootnoteReference"/>
          <w:rFonts w:ascii="Times New Roman" w:hAnsi="Times New Roman"/>
        </w:rPr>
        <w:footnoteReference w:id="575"/>
      </w:r>
    </w:p>
    <w:p w14:paraId="52D22E57" w14:textId="77777777" w:rsidR="00FF302D" w:rsidRPr="00113F13" w:rsidRDefault="00FF302D" w:rsidP="00B63604">
      <w:pPr>
        <w:pStyle w:val="NormalNumberedTextTLRI"/>
        <w:numPr>
          <w:ilvl w:val="2"/>
          <w:numId w:val="31"/>
        </w:numPr>
        <w:tabs>
          <w:tab w:val="clear" w:pos="720"/>
        </w:tabs>
        <w:spacing w:line="259" w:lineRule="auto"/>
      </w:pPr>
      <w:bookmarkStart w:id="604" w:name="_Toc143872435"/>
      <w:r w:rsidRPr="00113F13">
        <w:t>Provisions relating to the de-identification or destruction of information also exist in other jurisdictions.</w:t>
      </w:r>
      <w:r w:rsidRPr="00113F13">
        <w:rPr>
          <w:rStyle w:val="FootnoteReference"/>
          <w:rFonts w:ascii="Times New Roman" w:hAnsi="Times New Roman"/>
        </w:rPr>
        <w:footnoteReference w:id="576"/>
      </w:r>
    </w:p>
    <w:p w14:paraId="644895EC" w14:textId="3C097E43" w:rsidR="00FF302D" w:rsidRPr="00113F13" w:rsidRDefault="288D8F58" w:rsidP="00B63604">
      <w:pPr>
        <w:pStyle w:val="NormalNumberedTextTLRI"/>
        <w:numPr>
          <w:ilvl w:val="2"/>
          <w:numId w:val="31"/>
        </w:numPr>
        <w:tabs>
          <w:tab w:val="clear" w:pos="720"/>
        </w:tabs>
        <w:spacing w:line="259" w:lineRule="auto"/>
      </w:pPr>
      <w:r>
        <w:t xml:space="preserve">The Privacy Act also obliges APP entities to investigate and report certain data breaches involving unauthorised access to, disclosure of, or loss of personal information. The data breach notification scheme </w:t>
      </w:r>
      <w:r w:rsidRPr="00AE2F37">
        <w:t xml:space="preserve">is </w:t>
      </w:r>
      <w:r w:rsidRPr="00EA22F8">
        <w:t>discussed in [</w:t>
      </w:r>
      <w:r w:rsidR="00EA77E7">
        <w:fldChar w:fldCharType="begin"/>
      </w:r>
      <w:r w:rsidR="00EA77E7">
        <w:instrText xml:space="preserve"> REF _Ref164781148 \r \h </w:instrText>
      </w:r>
      <w:r w:rsidR="00EA77E7">
        <w:fldChar w:fldCharType="separate"/>
      </w:r>
      <w:r w:rsidR="00462C30">
        <w:rPr>
          <w:cs/>
        </w:rPr>
        <w:t>‎</w:t>
      </w:r>
      <w:r w:rsidR="00462C30">
        <w:t>8.12.1</w:t>
      </w:r>
      <w:r w:rsidR="00EA77E7">
        <w:fldChar w:fldCharType="end"/>
      </w:r>
      <w:r>
        <w:t>] of this Report.</w:t>
      </w:r>
    </w:p>
    <w:p w14:paraId="4FAC792B"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European Union’s </w:t>
      </w:r>
      <w:r w:rsidRPr="00113F13">
        <w:rPr>
          <w:i/>
          <w:iCs/>
        </w:rPr>
        <w:t xml:space="preserve">General Data Protection Regulation 2016/679 </w:t>
      </w:r>
      <w:r w:rsidRPr="00113F13">
        <w:t>(‘GDPR’) serves as a useful further point of comparison because it provides greater detail than the PIPA and Privacy Act principles on data security. Whereas Australian laws simply require entities to take ‘reasonable steps’ to protect the security of personal information, Article 32 of the GDPR provides for specific measures that should be taken to achieve such security. These include provisions relating to:</w:t>
      </w:r>
      <w:bookmarkEnd w:id="604"/>
    </w:p>
    <w:p w14:paraId="26B138D2" w14:textId="18EFE3A8" w:rsidR="00FF302D" w:rsidRPr="00113F13" w:rsidRDefault="288D8F58" w:rsidP="006551D3">
      <w:pPr>
        <w:pStyle w:val="DotPointTLRI"/>
      </w:pPr>
      <w:r>
        <w:t>the pseudonymisation (</w:t>
      </w:r>
      <w:r w:rsidRPr="0062608C">
        <w:t>s</w:t>
      </w:r>
      <w:r w:rsidRPr="00EA22F8">
        <w:t>ee above at [</w:t>
      </w:r>
      <w:r w:rsidR="0062608C" w:rsidRPr="00EA22F8">
        <w:fldChar w:fldCharType="begin"/>
      </w:r>
      <w:r w:rsidR="0062608C" w:rsidRPr="00EA22F8">
        <w:instrText xml:space="preserve"> REF _Ref164771064 \r \h </w:instrText>
      </w:r>
      <w:r w:rsidR="0062608C">
        <w:instrText xml:space="preserve"> \* MERGEFORMAT </w:instrText>
      </w:r>
      <w:r w:rsidR="0062608C" w:rsidRPr="00EA22F8">
        <w:fldChar w:fldCharType="separate"/>
      </w:r>
      <w:r w:rsidR="00462C30">
        <w:rPr>
          <w:cs/>
        </w:rPr>
        <w:t>‎</w:t>
      </w:r>
      <w:r w:rsidR="00462C30">
        <w:t>4.2.13</w:t>
      </w:r>
      <w:r w:rsidR="0062608C" w:rsidRPr="00EA22F8">
        <w:fldChar w:fldCharType="end"/>
      </w:r>
      <w:r w:rsidRPr="00EA22F8">
        <w:t>]</w:t>
      </w:r>
      <w:r w:rsidRPr="0062608C">
        <w:t>) and encryption</w:t>
      </w:r>
      <w:r>
        <w:t xml:space="preserve"> of personal data; </w:t>
      </w:r>
    </w:p>
    <w:p w14:paraId="77DD8DBA" w14:textId="77777777" w:rsidR="00FF302D" w:rsidRPr="00113F13" w:rsidRDefault="00FF302D" w:rsidP="006551D3">
      <w:pPr>
        <w:pStyle w:val="DotPointTLRI"/>
      </w:pPr>
      <w:r w:rsidRPr="00113F13">
        <w:t xml:space="preserve">the ability to ensure the ongoing confidentiality, integrity, availability, and resilience of systems and services that process the information; </w:t>
      </w:r>
    </w:p>
    <w:p w14:paraId="099316AE" w14:textId="77777777" w:rsidR="00FF302D" w:rsidRPr="00113F13" w:rsidRDefault="00FF302D" w:rsidP="006551D3">
      <w:pPr>
        <w:pStyle w:val="DotPointTLRI"/>
      </w:pPr>
      <w:r w:rsidRPr="00113F13">
        <w:t xml:space="preserve">the ability to restore the availability of, and access to, personal data in a timely manner in the event of a physical or technical incident; and  </w:t>
      </w:r>
    </w:p>
    <w:p w14:paraId="6AD9B94C" w14:textId="77777777" w:rsidR="00FF302D" w:rsidRPr="00113F13" w:rsidRDefault="00FF302D" w:rsidP="006551D3">
      <w:pPr>
        <w:pStyle w:val="DotPointTLRI"/>
      </w:pPr>
      <w:r w:rsidRPr="00113F13">
        <w:t xml:space="preserve">a process for regularly testing, assessing, and evaluating the effectiveness of technical and organisational measures for ensuring the security of the processing. </w:t>
      </w:r>
    </w:p>
    <w:p w14:paraId="3DA67944" w14:textId="77777777" w:rsidR="00FF302D" w:rsidRPr="00113F13" w:rsidRDefault="00FF302D" w:rsidP="00B63604">
      <w:pPr>
        <w:pStyle w:val="NormalNumberedTextTLRI"/>
        <w:numPr>
          <w:ilvl w:val="2"/>
          <w:numId w:val="31"/>
        </w:numPr>
        <w:tabs>
          <w:tab w:val="clear" w:pos="720"/>
        </w:tabs>
        <w:spacing w:line="259" w:lineRule="auto"/>
      </w:pPr>
      <w:bookmarkStart w:id="605" w:name="_Toc143872436"/>
      <w:r w:rsidRPr="00113F13">
        <w:t>The GDPR also allows entities to demonstrate compliance through adherence to an approved code of conduct or certification scheme.</w:t>
      </w:r>
      <w:bookmarkEnd w:id="605"/>
    </w:p>
    <w:p w14:paraId="36870BD5" w14:textId="77777777" w:rsidR="00FF302D" w:rsidRPr="00113F13" w:rsidRDefault="00FF302D" w:rsidP="00B63604">
      <w:pPr>
        <w:pStyle w:val="NormalNumberedTextTLRI"/>
        <w:numPr>
          <w:ilvl w:val="2"/>
          <w:numId w:val="31"/>
        </w:numPr>
        <w:tabs>
          <w:tab w:val="clear" w:pos="720"/>
        </w:tabs>
        <w:spacing w:line="259" w:lineRule="auto"/>
      </w:pPr>
      <w:bookmarkStart w:id="606" w:name="_Toc143872437"/>
      <w:r w:rsidRPr="00113F13">
        <w:t>Article 17 of the GDPR also provides for a ‘right to be forgotten’—also known as a right to erasure —in some circumstances. Where this GDPR right applies, it requires data controllers to erase personal information without delay if requested by the individual, and to take reasonable steps to inform other controllers.</w:t>
      </w:r>
      <w:bookmarkEnd w:id="606"/>
      <w:r w:rsidRPr="00113F13">
        <w:t xml:space="preserve"> </w:t>
      </w:r>
    </w:p>
    <w:p w14:paraId="75DDB3F5" w14:textId="77777777" w:rsidR="00FF302D" w:rsidRPr="00113F13" w:rsidRDefault="00FF302D" w:rsidP="00B63604">
      <w:pPr>
        <w:pStyle w:val="NormalNumberedTextTLRI"/>
        <w:numPr>
          <w:ilvl w:val="2"/>
          <w:numId w:val="31"/>
        </w:numPr>
        <w:tabs>
          <w:tab w:val="clear" w:pos="720"/>
        </w:tabs>
        <w:spacing w:line="259" w:lineRule="auto"/>
      </w:pPr>
      <w:bookmarkStart w:id="607" w:name="_Toc143872438"/>
      <w:r w:rsidRPr="00113F13">
        <w:t>The GDPR right applies where either:</w:t>
      </w:r>
      <w:bookmarkEnd w:id="607"/>
    </w:p>
    <w:p w14:paraId="554DA614" w14:textId="77777777" w:rsidR="00FF302D" w:rsidRPr="00113F13" w:rsidRDefault="00FF302D" w:rsidP="006551D3">
      <w:pPr>
        <w:pStyle w:val="DotPointTLRI"/>
      </w:pPr>
      <w:r w:rsidRPr="00113F13">
        <w:t>retaining the information is no longer necessary in relation to the purposes for which it was collected;</w:t>
      </w:r>
    </w:p>
    <w:p w14:paraId="1EE932A5" w14:textId="77777777" w:rsidR="00FF302D" w:rsidRPr="00113F13" w:rsidRDefault="00FF302D" w:rsidP="006551D3">
      <w:pPr>
        <w:pStyle w:val="DotPointTLRI"/>
      </w:pPr>
      <w:r w:rsidRPr="00113F13">
        <w:t xml:space="preserve">the request to erase the information amounts to a withdrawal of the consent that allowed the information to be collected or used in the first place; </w:t>
      </w:r>
    </w:p>
    <w:p w14:paraId="7348B490" w14:textId="24159C43" w:rsidR="00FF302D" w:rsidRPr="00113F13" w:rsidRDefault="288D8F58" w:rsidP="006551D3">
      <w:pPr>
        <w:pStyle w:val="DotPointTLRI"/>
      </w:pPr>
      <w:r>
        <w:t xml:space="preserve">the individual objects to the use under the right to object </w:t>
      </w:r>
      <w:r w:rsidRPr="0062608C">
        <w:t xml:space="preserve">(as </w:t>
      </w:r>
      <w:r w:rsidRPr="00EA22F8">
        <w:t>described at [</w:t>
      </w:r>
      <w:r w:rsidR="0062608C" w:rsidRPr="00EA22F8">
        <w:fldChar w:fldCharType="begin"/>
      </w:r>
      <w:r w:rsidR="0062608C" w:rsidRPr="00EA22F8">
        <w:instrText xml:space="preserve"> REF _Ref150959971 \r \h </w:instrText>
      </w:r>
      <w:r w:rsidR="0062608C">
        <w:instrText xml:space="preserve"> \* MERGEFORMAT </w:instrText>
      </w:r>
      <w:r w:rsidR="0062608C" w:rsidRPr="00EA22F8">
        <w:fldChar w:fldCharType="separate"/>
      </w:r>
      <w:r w:rsidR="00462C30">
        <w:rPr>
          <w:cs/>
        </w:rPr>
        <w:t>‎</w:t>
      </w:r>
      <w:r w:rsidR="00462C30">
        <w:t>5.4.40</w:t>
      </w:r>
      <w:r w:rsidR="0062608C" w:rsidRPr="00EA22F8">
        <w:fldChar w:fldCharType="end"/>
      </w:r>
      <w:r>
        <w:t>] and following);</w:t>
      </w:r>
    </w:p>
    <w:p w14:paraId="4743E33C" w14:textId="77777777" w:rsidR="00FF302D" w:rsidRPr="00113F13" w:rsidRDefault="00FF302D" w:rsidP="006551D3">
      <w:pPr>
        <w:pStyle w:val="DotPointTLRI"/>
      </w:pPr>
      <w:r w:rsidRPr="00113F13">
        <w:t>the information was collected through use of an online service by a child, including where the parent or guardian consented; or</w:t>
      </w:r>
    </w:p>
    <w:p w14:paraId="1271566E" w14:textId="77777777" w:rsidR="00FF302D" w:rsidRPr="00113F13" w:rsidRDefault="00FF302D" w:rsidP="006551D3">
      <w:pPr>
        <w:pStyle w:val="DotPointTLRI"/>
      </w:pPr>
      <w:r w:rsidRPr="00113F13">
        <w:t xml:space="preserve">the information was collected, used, disclosed, or otherwise handled in an unlawful way. </w:t>
      </w:r>
    </w:p>
    <w:p w14:paraId="210D8770" w14:textId="77777777" w:rsidR="00FF302D" w:rsidRPr="00113F13" w:rsidRDefault="00FF302D" w:rsidP="00B63604">
      <w:pPr>
        <w:pStyle w:val="NormalNumberedTextTLRI"/>
        <w:numPr>
          <w:ilvl w:val="2"/>
          <w:numId w:val="31"/>
        </w:numPr>
        <w:tabs>
          <w:tab w:val="clear" w:pos="720"/>
        </w:tabs>
        <w:spacing w:line="259" w:lineRule="auto"/>
      </w:pPr>
      <w:bookmarkStart w:id="608" w:name="_Toc143872439"/>
      <w:r w:rsidRPr="00113F13">
        <w:lastRenderedPageBreak/>
        <w:t>There are various exceptions where the information is nevertheless able to be retained, including where retention is necessary:</w:t>
      </w:r>
      <w:bookmarkEnd w:id="608"/>
    </w:p>
    <w:p w14:paraId="1F11A67C" w14:textId="77777777" w:rsidR="00FF302D" w:rsidRPr="00113F13" w:rsidRDefault="00FF302D" w:rsidP="006551D3">
      <w:pPr>
        <w:pStyle w:val="DotPointTLRI"/>
      </w:pPr>
      <w:r w:rsidRPr="00113F13">
        <w:t>for the exercise of the right to free expression;</w:t>
      </w:r>
    </w:p>
    <w:p w14:paraId="032CB1E0" w14:textId="77777777" w:rsidR="00FF302D" w:rsidRPr="00113F13" w:rsidRDefault="00FF302D" w:rsidP="006551D3">
      <w:pPr>
        <w:pStyle w:val="DotPointTLRI"/>
      </w:pPr>
      <w:r w:rsidRPr="00113F13">
        <w:t>for compliance with legal obligations or defence of legal claims;</w:t>
      </w:r>
    </w:p>
    <w:p w14:paraId="64B09525" w14:textId="77777777" w:rsidR="00FF302D" w:rsidRPr="00113F13" w:rsidRDefault="00FF302D" w:rsidP="006551D3">
      <w:pPr>
        <w:pStyle w:val="DotPointTLRI"/>
      </w:pPr>
      <w:r w:rsidRPr="00113F13">
        <w:t xml:space="preserve">for reasons of public interest in the area of public health; or </w:t>
      </w:r>
    </w:p>
    <w:p w14:paraId="6556A42D" w14:textId="77777777" w:rsidR="00FF302D" w:rsidRPr="00113F13" w:rsidRDefault="00FF302D" w:rsidP="006551D3">
      <w:pPr>
        <w:pStyle w:val="DotPointTLRI"/>
      </w:pPr>
      <w:r w:rsidRPr="00113F13">
        <w:t>to allow archiving that is otherwise authorised in the public interest, for scientific or historical research purposes, or for statistical purposes.</w:t>
      </w:r>
      <w:r w:rsidRPr="00113F13">
        <w:rPr>
          <w:rStyle w:val="FootnoteReference"/>
          <w:rFonts w:ascii="Times New Roman" w:hAnsi="Times New Roman"/>
        </w:rPr>
        <w:footnoteReference w:id="577"/>
      </w:r>
      <w:r w:rsidRPr="00113F13">
        <w:t xml:space="preserve"> </w:t>
      </w:r>
    </w:p>
    <w:p w14:paraId="47E54D3B" w14:textId="77777777" w:rsidR="00FF302D" w:rsidRPr="00113F13" w:rsidRDefault="00FF302D" w:rsidP="006551D3">
      <w:pPr>
        <w:pStyle w:val="Sub-HeadingTLRI"/>
      </w:pPr>
      <w:bookmarkStart w:id="609" w:name="_Toc164606636"/>
      <w:r w:rsidRPr="00113F13">
        <w:t>Access and correction</w:t>
      </w:r>
      <w:bookmarkEnd w:id="609"/>
    </w:p>
    <w:p w14:paraId="42D0A614" w14:textId="0177B364" w:rsidR="00FF302D" w:rsidRPr="00113F13" w:rsidRDefault="00FF302D" w:rsidP="00B63604">
      <w:pPr>
        <w:pStyle w:val="NormalNumberedTextTLRI"/>
        <w:numPr>
          <w:ilvl w:val="2"/>
          <w:numId w:val="31"/>
        </w:numPr>
        <w:tabs>
          <w:tab w:val="clear" w:pos="720"/>
        </w:tabs>
        <w:spacing w:line="259" w:lineRule="auto"/>
      </w:pPr>
      <w:bookmarkStart w:id="610" w:name="_Toc143872440"/>
      <w:bookmarkStart w:id="611" w:name="_Ref151384797"/>
      <w:bookmarkStart w:id="612" w:name="_Ref151384813"/>
      <w:bookmarkStart w:id="613" w:name="_Ref164783500"/>
      <w:bookmarkStart w:id="614" w:name="_Ref164783701"/>
      <w:r w:rsidRPr="00113F13">
        <w:t xml:space="preserve">Under Commonwealth law, APP 12 addresses access to personal information; APP 13 addresses correction of personal information. These principles contain similar provisions to PIPP 6 and Part 3A of the PIPA </w:t>
      </w:r>
      <w:r w:rsidRPr="00FE0152">
        <w:t>(</w:t>
      </w:r>
      <w:r w:rsidRPr="00EA22F8">
        <w:t>described above at [</w:t>
      </w:r>
      <w:r w:rsidR="00FE0152">
        <w:fldChar w:fldCharType="begin"/>
      </w:r>
      <w:r w:rsidR="00FE0152" w:rsidRPr="00EA22F8">
        <w:instrText xml:space="preserve"> REF _Ref150960140 \r \h </w:instrText>
      </w:r>
      <w:r w:rsidR="00FE0152">
        <w:instrText xml:space="preserve"> \* MERGEFORMAT </w:instrText>
      </w:r>
      <w:r w:rsidR="00FE0152">
        <w:fldChar w:fldCharType="separate"/>
      </w:r>
      <w:r w:rsidR="00462C30">
        <w:rPr>
          <w:cs/>
        </w:rPr>
        <w:t>‎</w:t>
      </w:r>
      <w:r w:rsidR="00462C30">
        <w:t>6.2.6</w:t>
      </w:r>
      <w:r w:rsidR="00FE0152">
        <w:fldChar w:fldCharType="end"/>
      </w:r>
      <w:r w:rsidRPr="00EA22F8">
        <w:t>] and fo</w:t>
      </w:r>
      <w:r w:rsidRPr="00FE0152">
        <w:t>llowing</w:t>
      </w:r>
      <w:r w:rsidRPr="00113F13">
        <w:t>). Access and correction are also addressed in other jurisdictions.</w:t>
      </w:r>
      <w:r w:rsidRPr="00113F13">
        <w:rPr>
          <w:rStyle w:val="FootnoteReference"/>
          <w:rFonts w:ascii="Times New Roman" w:hAnsi="Times New Roman"/>
        </w:rPr>
        <w:footnoteReference w:id="578"/>
      </w:r>
      <w:r w:rsidRPr="00113F13">
        <w:t xml:space="preserve"> APP 12 and 13 deal with the following matters.</w:t>
      </w:r>
      <w:bookmarkEnd w:id="610"/>
      <w:bookmarkEnd w:id="611"/>
      <w:bookmarkEnd w:id="612"/>
      <w:bookmarkEnd w:id="613"/>
      <w:bookmarkEnd w:id="614"/>
    </w:p>
    <w:p w14:paraId="59801858" w14:textId="77777777" w:rsidR="00FF302D" w:rsidRPr="00113F13" w:rsidRDefault="00FF302D" w:rsidP="006551D3">
      <w:pPr>
        <w:pStyle w:val="DotPointTLRI"/>
      </w:pPr>
      <w:r w:rsidRPr="00113F13">
        <w:rPr>
          <w:i/>
          <w:iCs/>
        </w:rPr>
        <w:t>Obligation to provide access:</w:t>
      </w:r>
      <w:r w:rsidRPr="00113F13">
        <w:t xml:space="preserve"> APP 12 is imperative, stating that an APP entity ‘must, on request by the individual, give the individual access to the information’, with specified exceptions applying to agencies where required or authorised under freedom of information legislation or other laws.</w:t>
      </w:r>
      <w:r w:rsidRPr="00113F13">
        <w:rPr>
          <w:rStyle w:val="FootnoteReference"/>
          <w:rFonts w:ascii="Times New Roman" w:hAnsi="Times New Roman"/>
        </w:rPr>
        <w:footnoteReference w:id="579"/>
      </w:r>
      <w:r w:rsidRPr="00113F13">
        <w:t xml:space="preserve"> This is in contrast to the permissive phrasing of PIPP 6, which states that a custodian ‘may provide’ access and does not discuss qualifications or exceptions.</w:t>
      </w:r>
    </w:p>
    <w:p w14:paraId="2232C1F6" w14:textId="77777777" w:rsidR="00FF302D" w:rsidRPr="00113F13" w:rsidRDefault="00FF302D" w:rsidP="006551D3">
      <w:pPr>
        <w:pStyle w:val="DotPointTLRI"/>
      </w:pPr>
      <w:r w:rsidRPr="00113F13">
        <w:rPr>
          <w:i/>
          <w:iCs/>
        </w:rPr>
        <w:t>Time limits:</w:t>
      </w:r>
      <w:r w:rsidRPr="00113F13">
        <w:t xml:space="preserve"> Under APPs 12 and 13, requests to access or correct personal information must be handled within 30 days, in contrast to the 20-working-day limit under PIPP 6.</w:t>
      </w:r>
      <w:r w:rsidRPr="00113F13">
        <w:rPr>
          <w:rStyle w:val="FootnoteReference"/>
          <w:rFonts w:ascii="Times New Roman" w:hAnsi="Times New Roman"/>
        </w:rPr>
        <w:footnoteReference w:id="580"/>
      </w:r>
    </w:p>
    <w:p w14:paraId="1047B39E" w14:textId="77777777" w:rsidR="00FF302D" w:rsidRPr="00113F13" w:rsidRDefault="00FF302D" w:rsidP="006551D3">
      <w:pPr>
        <w:pStyle w:val="DotPointTLRI"/>
      </w:pPr>
      <w:r w:rsidRPr="00113F13">
        <w:rPr>
          <w:i/>
          <w:iCs/>
        </w:rPr>
        <w:t>Notice of refusal to give access:</w:t>
      </w:r>
      <w:r w:rsidRPr="00113F13">
        <w:t xml:space="preserve"> Under APP 12, if an agency has refused to give access under one of the specific exceptions, it must give the requester written notice of the reasons for the refusal (except where it would be unreasonable to do so), the mechanisms to complain about the refusal, and other matters prescribed by regulations. There is no such notice requirement in the PIPA</w:t>
      </w:r>
      <w:r w:rsidRPr="00113F13">
        <w:rPr>
          <w:rStyle w:val="FootnoteReference"/>
          <w:rFonts w:ascii="Times New Roman" w:hAnsi="Times New Roman"/>
        </w:rPr>
        <w:footnoteReference w:id="581"/>
      </w:r>
      <w:r w:rsidRPr="00113F13">
        <w:t>.</w:t>
      </w:r>
    </w:p>
    <w:p w14:paraId="29C25F2F" w14:textId="77777777" w:rsidR="00FF302D" w:rsidRPr="00113F13" w:rsidRDefault="00FF302D" w:rsidP="006551D3">
      <w:pPr>
        <w:pStyle w:val="DotPointTLRI"/>
      </w:pPr>
      <w:r w:rsidRPr="00113F13">
        <w:rPr>
          <w:i/>
          <w:iCs/>
        </w:rPr>
        <w:t>Access charge:</w:t>
      </w:r>
      <w:r w:rsidRPr="00113F13">
        <w:t xml:space="preserve"> APPs 12 and 13 expressly provide that an agency cannot charge an individual for access to their information, for requesting a correction, for making a correction, or for </w:t>
      </w:r>
      <w:r w:rsidRPr="00113F13">
        <w:lastRenderedPageBreak/>
        <w:t>associating a statement (described below).</w:t>
      </w:r>
      <w:r w:rsidRPr="00113F13">
        <w:rPr>
          <w:rStyle w:val="FootnoteReference"/>
          <w:rFonts w:ascii="Times New Roman" w:hAnsi="Times New Roman"/>
        </w:rPr>
        <w:footnoteReference w:id="582"/>
      </w:r>
      <w:r w:rsidRPr="00113F13">
        <w:t xml:space="preserve"> The PIPA does not mention charges in relation to access or correction of information.</w:t>
      </w:r>
    </w:p>
    <w:p w14:paraId="20CA5D0D" w14:textId="77777777" w:rsidR="00FF302D" w:rsidRPr="00113F13" w:rsidRDefault="00FF302D" w:rsidP="006551D3">
      <w:pPr>
        <w:pStyle w:val="DotPointTLRI"/>
      </w:pPr>
      <w:r w:rsidRPr="00113F13">
        <w:rPr>
          <w:i/>
          <w:iCs/>
        </w:rPr>
        <w:t>Grounds for correction:</w:t>
      </w:r>
      <w:r w:rsidRPr="00113F13">
        <w:t xml:space="preserve"> APP 13 creates the same grounds for correction as the PIPA (namely, where information is inaccurate, out-of-date, incomplete, or misleading) and an additional ground allowing information to be corrected where it is ‘irrelevant’.</w:t>
      </w:r>
      <w:r w:rsidRPr="00113F13">
        <w:rPr>
          <w:rStyle w:val="FootnoteReference"/>
          <w:rFonts w:ascii="Times New Roman" w:hAnsi="Times New Roman"/>
        </w:rPr>
        <w:footnoteReference w:id="583"/>
      </w:r>
      <w:r w:rsidRPr="00113F13">
        <w:t xml:space="preserve"> It specifies that an entity must take reasonable steps in the circumstances (if any) to correct information where either the entity is satisfied it meets one of these grounds, or where the individual requests correction.</w:t>
      </w:r>
      <w:r w:rsidRPr="00113F13">
        <w:rPr>
          <w:rStyle w:val="FootnoteReference"/>
          <w:rFonts w:ascii="Times New Roman" w:hAnsi="Times New Roman"/>
        </w:rPr>
        <w:footnoteReference w:id="584"/>
      </w:r>
      <w:r w:rsidRPr="00113F13">
        <w:t xml:space="preserve"> In either of these circumstances, the entity must take reasonable steps (if any) to correct the information to ensure that, having regard to the purpose for which it is held, is accurate, up-to-date, complete, relevant, and not misleading.</w:t>
      </w:r>
      <w:r w:rsidRPr="00113F13">
        <w:rPr>
          <w:rStyle w:val="FootnoteReference"/>
          <w:rFonts w:ascii="Times New Roman" w:hAnsi="Times New Roman"/>
        </w:rPr>
        <w:footnoteReference w:id="585"/>
      </w:r>
    </w:p>
    <w:p w14:paraId="0E60806F" w14:textId="77777777" w:rsidR="00FF302D" w:rsidRPr="00113F13" w:rsidRDefault="00FF302D" w:rsidP="006551D3">
      <w:pPr>
        <w:pStyle w:val="DotPointTLRI"/>
      </w:pPr>
      <w:r w:rsidRPr="00113F13">
        <w:rPr>
          <w:i/>
          <w:iCs/>
        </w:rPr>
        <w:t>Request for notation following refusal to correct:</w:t>
      </w:r>
      <w:r w:rsidRPr="00113F13">
        <w:t xml:space="preserve"> APP 13 enables an individual whose request to correct information has been refused to subsequently request the entity associate with the information a statement that the information is inaccurate, out-of-date, incomplete, irrelevant, or misleading. The entity is required to ‘take such steps as are reasonable in the circumstances to associate the statement in such a way as to make the statement apparent to users of the information’.</w:t>
      </w:r>
      <w:r w:rsidRPr="00113F13">
        <w:rPr>
          <w:rStyle w:val="FootnoteReference"/>
          <w:rFonts w:ascii="Times New Roman" w:hAnsi="Times New Roman"/>
        </w:rPr>
        <w:footnoteReference w:id="586"/>
      </w:r>
      <w:r w:rsidRPr="00113F13">
        <w:t xml:space="preserve"> This phrasing differs from the corresponding PIPA provisions, which state that the requester may ‘require’ the notation and that custodians ‘must’ notify subsequent recipients of the information of the notation.</w:t>
      </w:r>
      <w:r w:rsidRPr="00113F13">
        <w:rPr>
          <w:rStyle w:val="FootnoteReference"/>
          <w:rFonts w:ascii="Times New Roman" w:hAnsi="Times New Roman"/>
        </w:rPr>
        <w:footnoteReference w:id="587"/>
      </w:r>
    </w:p>
    <w:p w14:paraId="272BEB75" w14:textId="220162CB" w:rsidR="00FF302D" w:rsidRPr="00113F13" w:rsidRDefault="00FF302D" w:rsidP="006551D3">
      <w:pPr>
        <w:pStyle w:val="DotPointTLRI"/>
      </w:pPr>
      <w:r w:rsidRPr="00113F13">
        <w:rPr>
          <w:i/>
          <w:iCs/>
        </w:rPr>
        <w:t>Notice to third parties of prior disclosure:</w:t>
      </w:r>
      <w:r w:rsidRPr="00113F13">
        <w:t xml:space="preserve"> Under APP 13, in circumstances where an individual’s personal information has previously been disclosed by one entity to another entity, the individual can request that the entity notify the other entity of the correction.</w:t>
      </w:r>
      <w:r w:rsidRPr="00113F13">
        <w:rPr>
          <w:rStyle w:val="FootnoteReference"/>
          <w:rFonts w:ascii="Times New Roman" w:hAnsi="Times New Roman"/>
        </w:rPr>
        <w:footnoteReference w:id="588"/>
      </w:r>
      <w:r w:rsidRPr="00113F13">
        <w:t xml:space="preserve"> Reasonable steps must be taken to comply with this request, unless doing so would be impracticable or unlawful.</w:t>
      </w:r>
      <w:r w:rsidRPr="00113F13">
        <w:rPr>
          <w:rStyle w:val="FootnoteReference"/>
          <w:rFonts w:ascii="Times New Roman" w:hAnsi="Times New Roman"/>
        </w:rPr>
        <w:footnoteReference w:id="589"/>
      </w:r>
      <w:r w:rsidRPr="00113F13">
        <w:t xml:space="preserve"> PIPP 6 and Part 3A of the PIPA only require custodians to notify persons to whom the information is disclosed about a notation added to the information under </w:t>
      </w:r>
      <w:r w:rsidR="009E4420">
        <w:t>Section</w:t>
      </w:r>
      <w:r w:rsidRPr="00113F13">
        <w:t xml:space="preserve"> 17G, where a request for correction has been refused.</w:t>
      </w:r>
      <w:r w:rsidRPr="00113F13">
        <w:rPr>
          <w:rStyle w:val="FootnoteReference"/>
          <w:rFonts w:ascii="Times New Roman" w:hAnsi="Times New Roman"/>
        </w:rPr>
        <w:footnoteReference w:id="590"/>
      </w:r>
    </w:p>
    <w:p w14:paraId="5AF4A5C5" w14:textId="22F61B3F" w:rsidR="00FF302D" w:rsidRPr="00113F13" w:rsidRDefault="00FF302D" w:rsidP="00B63604">
      <w:pPr>
        <w:pStyle w:val="NormalNumberedTextTLRI"/>
        <w:numPr>
          <w:ilvl w:val="2"/>
          <w:numId w:val="31"/>
        </w:numPr>
        <w:tabs>
          <w:tab w:val="clear" w:pos="720"/>
        </w:tabs>
        <w:spacing w:line="259" w:lineRule="auto"/>
      </w:pPr>
      <w:bookmarkStart w:id="615" w:name="_Toc143872441"/>
      <w:bookmarkStart w:id="616" w:name="_Ref152329321"/>
      <w:r w:rsidRPr="00113F13">
        <w:t>Under the Privacy Act, only personal information that the entity ‘holds’ may be accessed and corrected.</w:t>
      </w:r>
      <w:r w:rsidRPr="00113F13">
        <w:rPr>
          <w:rStyle w:val="FootnoteReference"/>
          <w:rFonts w:ascii="Times New Roman" w:hAnsi="Times New Roman"/>
        </w:rPr>
        <w:footnoteReference w:id="591"/>
      </w:r>
      <w:r w:rsidRPr="00113F13">
        <w:t xml:space="preserve"> This means that information published on social media falls outside the operation of the APPs. The Office of the Australian Information Commissioner (</w:t>
      </w:r>
      <w:r w:rsidR="009E4420">
        <w:t>‘</w:t>
      </w:r>
      <w:r w:rsidRPr="00113F13">
        <w:t>OAIC’) has stated that such information is no longer within an agency’s possession or control and is therefore not ‘held’ by that agency.</w:t>
      </w:r>
      <w:r w:rsidRPr="00113F13">
        <w:rPr>
          <w:rStyle w:val="FootnoteReference"/>
          <w:rFonts w:ascii="Times New Roman" w:hAnsi="Times New Roman"/>
        </w:rPr>
        <w:footnoteReference w:id="592"/>
      </w:r>
      <w:bookmarkStart w:id="617" w:name="_Toc143872442"/>
      <w:bookmarkEnd w:id="615"/>
      <w:r w:rsidRPr="00113F13">
        <w:t xml:space="preserve"> This is in contrast to the GDPR right to rectify inaccurate data, which applies even where the </w:t>
      </w:r>
      <w:r w:rsidRPr="00113F13">
        <w:lastRenderedPageBreak/>
        <w:t>personal data is publicly available. In Article 5(1)(d) of the GDPR, the ‘accuracy principle’ requires information to be accurate and up to date, and mandates that reasonable steps must be taken to rectify or erase inaccurate data.</w:t>
      </w:r>
      <w:bookmarkEnd w:id="616"/>
      <w:bookmarkEnd w:id="617"/>
    </w:p>
    <w:p w14:paraId="76884E3B" w14:textId="77777777" w:rsidR="00FF302D" w:rsidRPr="00113F13" w:rsidRDefault="00FF302D" w:rsidP="00B63604">
      <w:pPr>
        <w:pStyle w:val="NormalNumberedTextTLRI"/>
        <w:numPr>
          <w:ilvl w:val="2"/>
          <w:numId w:val="31"/>
        </w:numPr>
        <w:tabs>
          <w:tab w:val="clear" w:pos="720"/>
        </w:tabs>
        <w:spacing w:line="259" w:lineRule="auto"/>
      </w:pPr>
      <w:bookmarkStart w:id="618" w:name="_Toc143872443"/>
      <w:r w:rsidRPr="00113F13">
        <w:t>The GDPR also establishes a ‘right for individuals to confirm whether or not personal data concerning them are being processed, and, where that is the case, access to the personal data’, as well as information such as the purposes of the processing, categories of personal data concerned, and recipients or categories of recipient to whom the personal data have been, or will be, disclosed, among others.</w:t>
      </w:r>
      <w:r w:rsidRPr="00113F13">
        <w:rPr>
          <w:rStyle w:val="FootnoteReference"/>
          <w:rFonts w:ascii="Times New Roman" w:hAnsi="Times New Roman"/>
        </w:rPr>
        <w:footnoteReference w:id="593"/>
      </w:r>
      <w:bookmarkEnd w:id="618"/>
      <w:r w:rsidRPr="00113F13">
        <w:t xml:space="preserve"> </w:t>
      </w:r>
    </w:p>
    <w:p w14:paraId="662E1B34" w14:textId="77777777" w:rsidR="00FF302D" w:rsidRPr="00113F13" w:rsidRDefault="00FF302D" w:rsidP="00BF1FE7">
      <w:pPr>
        <w:pStyle w:val="NumberedHeadingTLRI"/>
      </w:pPr>
      <w:bookmarkStart w:id="619" w:name="_Toc143872444"/>
      <w:bookmarkStart w:id="620" w:name="_Toc152245435"/>
      <w:bookmarkStart w:id="621" w:name="_Toc164606637"/>
      <w:r w:rsidRPr="00113F13">
        <w:t>Proposals in the Commonwealth Privacy Act Review</w:t>
      </w:r>
      <w:bookmarkEnd w:id="619"/>
      <w:bookmarkEnd w:id="620"/>
      <w:bookmarkEnd w:id="621"/>
    </w:p>
    <w:p w14:paraId="11D677C7" w14:textId="19CDEF3B" w:rsidR="00FF302D" w:rsidRPr="00113F13" w:rsidRDefault="00FF302D" w:rsidP="00B63604">
      <w:pPr>
        <w:pStyle w:val="NormalNumberedTextTLRI"/>
        <w:numPr>
          <w:ilvl w:val="2"/>
          <w:numId w:val="31"/>
        </w:numPr>
        <w:tabs>
          <w:tab w:val="clear" w:pos="720"/>
        </w:tabs>
        <w:spacing w:line="259" w:lineRule="auto"/>
      </w:pPr>
      <w:bookmarkStart w:id="622" w:name="_Toc143872445"/>
      <w:r w:rsidRPr="00113F13">
        <w:t>The Privacy Act Review Final Report proposed the introduction to the Commonwealth legislation of a set of individual rights relating to data quality, security, access, and correction. The Review argued that these rights would enhance transparency and control over individuals’ privacy and strike a better balance between the protection of individuals’ privacy and the interests of entities ‘in carrying out their functions and activities’ than the existing legislation.</w:t>
      </w:r>
      <w:r w:rsidRPr="00113F13">
        <w:rPr>
          <w:rStyle w:val="FootnoteReference"/>
          <w:rFonts w:ascii="Times New Roman" w:hAnsi="Times New Roman"/>
        </w:rPr>
        <w:footnoteReference w:id="594"/>
      </w:r>
      <w:r w:rsidRPr="00113F13">
        <w:t xml:space="preserve"> It also recommended the introduction of some specific and general exceptions to these new rights.</w:t>
      </w:r>
      <w:bookmarkEnd w:id="622"/>
    </w:p>
    <w:p w14:paraId="6BBDD79F" w14:textId="77777777" w:rsidR="00FF302D" w:rsidRPr="00113F13" w:rsidRDefault="00FF302D" w:rsidP="00B63604">
      <w:pPr>
        <w:pStyle w:val="NormalNumberedTextTLRI"/>
        <w:numPr>
          <w:ilvl w:val="2"/>
          <w:numId w:val="31"/>
        </w:numPr>
        <w:tabs>
          <w:tab w:val="clear" w:pos="720"/>
        </w:tabs>
        <w:spacing w:line="259" w:lineRule="auto"/>
      </w:pPr>
      <w:bookmarkStart w:id="623" w:name="_Toc143872446"/>
      <w:r w:rsidRPr="00113F13">
        <w:t>The Review proposed that the individual privacy rights should be situated within a regulatory framework that enables APP entities and individuals to work together to determine the best resolution for individuals’ concerns, which may include finding the most appropriate right or combination of rights, rather than insisting on strict compliance with each right in all cases.</w:t>
      </w:r>
      <w:r w:rsidRPr="00113F13">
        <w:rPr>
          <w:rStyle w:val="FootnoteReference"/>
          <w:rFonts w:ascii="Times New Roman" w:hAnsi="Times New Roman"/>
        </w:rPr>
        <w:footnoteReference w:id="595"/>
      </w:r>
      <w:bookmarkEnd w:id="623"/>
    </w:p>
    <w:p w14:paraId="6D05CFCB" w14:textId="77777777" w:rsidR="00FF302D" w:rsidRPr="00113F13" w:rsidRDefault="00FF302D" w:rsidP="00B63604">
      <w:pPr>
        <w:pStyle w:val="NormalNumberedTextTLRI"/>
        <w:numPr>
          <w:ilvl w:val="2"/>
          <w:numId w:val="31"/>
        </w:numPr>
        <w:tabs>
          <w:tab w:val="clear" w:pos="720"/>
        </w:tabs>
        <w:spacing w:line="259" w:lineRule="auto"/>
      </w:pPr>
      <w:bookmarkStart w:id="624" w:name="_Toc143872447"/>
      <w:r w:rsidRPr="00113F13">
        <w:t xml:space="preserve">The Review proposed the introduction of five individual rights. These include, first, </w:t>
      </w:r>
      <w:bookmarkStart w:id="625" w:name="_Toc143872448"/>
      <w:r w:rsidRPr="00113F13">
        <w:t>three individual rights ‘directed at giving individuals more control over their information’ relating to data security, access, and correction:</w:t>
      </w:r>
      <w:bookmarkEnd w:id="625"/>
    </w:p>
    <w:p w14:paraId="13018148" w14:textId="6EB3F2D2" w:rsidR="00FF302D" w:rsidRPr="00356FA0" w:rsidRDefault="00FF302D" w:rsidP="006551D3">
      <w:pPr>
        <w:pStyle w:val="DotPointTLRI"/>
      </w:pPr>
      <w:r w:rsidRPr="00113F13">
        <w:t xml:space="preserve">a </w:t>
      </w:r>
      <w:r w:rsidRPr="00113F13">
        <w:rPr>
          <w:b/>
          <w:bCs/>
        </w:rPr>
        <w:t>right to erasure:</w:t>
      </w:r>
      <w:r w:rsidRPr="00113F13">
        <w:t xml:space="preserve"> ‘a right to have information deleted’ (</w:t>
      </w:r>
      <w:r w:rsidRPr="005918BE">
        <w:t>discu</w:t>
      </w:r>
      <w:r w:rsidRPr="00EA22F8">
        <w:t>ssed at [</w:t>
      </w:r>
      <w:r w:rsidR="005918BE" w:rsidRPr="00EA22F8">
        <w:fldChar w:fldCharType="begin"/>
      </w:r>
      <w:r w:rsidR="005918BE" w:rsidRPr="00EA22F8">
        <w:instrText xml:space="preserve"> REF _Ref164781391 \r \h </w:instrText>
      </w:r>
      <w:r w:rsidR="005918BE">
        <w:instrText xml:space="preserve"> \* MERGEFORMAT </w:instrText>
      </w:r>
      <w:r w:rsidR="005918BE" w:rsidRPr="00EA22F8">
        <w:fldChar w:fldCharType="separate"/>
      </w:r>
      <w:r w:rsidR="00462C30">
        <w:rPr>
          <w:cs/>
        </w:rPr>
        <w:t>‎</w:t>
      </w:r>
      <w:r w:rsidR="00462C30">
        <w:t>6.4.5</w:t>
      </w:r>
      <w:r w:rsidR="005918BE" w:rsidRPr="00EA22F8">
        <w:fldChar w:fldCharType="end"/>
      </w:r>
      <w:r w:rsidRPr="00EA22F8">
        <w:t>] below)</w:t>
      </w:r>
      <w:r w:rsidRPr="00356FA0">
        <w:t>;</w:t>
      </w:r>
    </w:p>
    <w:p w14:paraId="3BC9553D" w14:textId="64724B51" w:rsidR="00FF302D" w:rsidRPr="00356FA0" w:rsidRDefault="00FF302D" w:rsidP="006551D3">
      <w:pPr>
        <w:pStyle w:val="DotPointTLRI"/>
      </w:pPr>
      <w:r w:rsidRPr="00356FA0">
        <w:t xml:space="preserve">a </w:t>
      </w:r>
      <w:r w:rsidRPr="00356FA0">
        <w:rPr>
          <w:b/>
          <w:bCs/>
        </w:rPr>
        <w:t>right to correction:</w:t>
      </w:r>
      <w:r w:rsidRPr="00356FA0">
        <w:t xml:space="preserve"> ‘a right to require that information be accurate, up-to-date, complete; relevant and not misleading’ (d</w:t>
      </w:r>
      <w:r w:rsidRPr="00EA22F8">
        <w:t>iscussed at [</w:t>
      </w:r>
      <w:r w:rsidR="00787C5A" w:rsidRPr="00EA22F8">
        <w:fldChar w:fldCharType="begin"/>
      </w:r>
      <w:r w:rsidR="00787C5A" w:rsidRPr="00EA22F8">
        <w:instrText xml:space="preserve"> REF _Ref164781445 \r \h </w:instrText>
      </w:r>
      <w:r w:rsidR="00356FA0">
        <w:instrText xml:space="preserve"> \* MERGEFORMAT </w:instrText>
      </w:r>
      <w:r w:rsidR="00787C5A" w:rsidRPr="00EA22F8">
        <w:fldChar w:fldCharType="separate"/>
      </w:r>
      <w:r w:rsidR="00462C30">
        <w:rPr>
          <w:cs/>
        </w:rPr>
        <w:t>‎</w:t>
      </w:r>
      <w:r w:rsidR="00462C30">
        <w:t>6.4.19</w:t>
      </w:r>
      <w:r w:rsidR="00787C5A" w:rsidRPr="00EA22F8">
        <w:fldChar w:fldCharType="end"/>
      </w:r>
      <w:r w:rsidRPr="00EA22F8">
        <w:t>] below)</w:t>
      </w:r>
      <w:r w:rsidRPr="00356FA0">
        <w:t>; and</w:t>
      </w:r>
    </w:p>
    <w:p w14:paraId="35D7D3D6" w14:textId="61723938" w:rsidR="00FF302D" w:rsidRPr="00113F13" w:rsidRDefault="00FF302D" w:rsidP="006551D3">
      <w:pPr>
        <w:pStyle w:val="DotPointTLRI"/>
      </w:pPr>
      <w:r w:rsidRPr="00113F13">
        <w:t xml:space="preserve">a </w:t>
      </w:r>
      <w:r w:rsidRPr="00113F13">
        <w:rPr>
          <w:b/>
          <w:bCs/>
        </w:rPr>
        <w:t>right to de-index</w:t>
      </w:r>
      <w:r w:rsidRPr="00113F13">
        <w:t xml:space="preserve"> certain search results: ‘a narrow right to have internet search results about an individual de-indexed in specific </w:t>
      </w:r>
      <w:r w:rsidRPr="00356FA0">
        <w:t>circumstances’ (</w:t>
      </w:r>
      <w:r w:rsidRPr="00EA22F8">
        <w:t>discussed at [</w:t>
      </w:r>
      <w:r w:rsidR="00356FA0">
        <w:fldChar w:fldCharType="begin"/>
      </w:r>
      <w:r w:rsidR="00356FA0" w:rsidRPr="00EA22F8">
        <w:instrText xml:space="preserve"> REF _Ref164781507 \r \h </w:instrText>
      </w:r>
      <w:r w:rsidR="00356FA0">
        <w:instrText xml:space="preserve"> \* MERGEFORMAT </w:instrText>
      </w:r>
      <w:r w:rsidR="00356FA0">
        <w:fldChar w:fldCharType="separate"/>
      </w:r>
      <w:r w:rsidR="00462C30">
        <w:rPr>
          <w:cs/>
        </w:rPr>
        <w:t>‎</w:t>
      </w:r>
      <w:r w:rsidR="00462C30">
        <w:t>6.4.8</w:t>
      </w:r>
      <w:r w:rsidR="00356FA0">
        <w:fldChar w:fldCharType="end"/>
      </w:r>
      <w:r w:rsidRPr="00EA22F8">
        <w:t>]</w:t>
      </w:r>
      <w:r w:rsidRPr="00113F13">
        <w:t xml:space="preserve"> below).</w:t>
      </w:r>
      <w:r w:rsidRPr="00113F13">
        <w:rPr>
          <w:rStyle w:val="FootnoteReference"/>
          <w:rFonts w:ascii="Times New Roman" w:hAnsi="Times New Roman"/>
        </w:rPr>
        <w:footnoteReference w:id="596"/>
      </w:r>
      <w:r w:rsidRPr="00113F13">
        <w:t xml:space="preserve"> </w:t>
      </w:r>
    </w:p>
    <w:p w14:paraId="33E687F1" w14:textId="77777777" w:rsidR="00FF302D" w:rsidRPr="00113F13" w:rsidRDefault="00FF302D" w:rsidP="00B63604">
      <w:pPr>
        <w:pStyle w:val="NormalNumberedTextTLRI"/>
        <w:numPr>
          <w:ilvl w:val="2"/>
          <w:numId w:val="31"/>
        </w:numPr>
        <w:tabs>
          <w:tab w:val="clear" w:pos="720"/>
        </w:tabs>
        <w:spacing w:line="259" w:lineRule="auto"/>
      </w:pPr>
      <w:r w:rsidRPr="00113F13">
        <w:t>Second, the Review proposed that the Privacy Act be amended to create two rights to improve transparency:</w:t>
      </w:r>
      <w:bookmarkEnd w:id="624"/>
    </w:p>
    <w:p w14:paraId="2DFA022B" w14:textId="0C5F6614" w:rsidR="00FF302D" w:rsidRPr="00113F13" w:rsidRDefault="00FF302D">
      <w:pPr>
        <w:pStyle w:val="DotPointTLRI"/>
      </w:pPr>
      <w:r w:rsidRPr="00113F13">
        <w:t xml:space="preserve">a </w:t>
      </w:r>
      <w:r w:rsidRPr="00113F13">
        <w:rPr>
          <w:b/>
          <w:bCs/>
        </w:rPr>
        <w:t>right to access and explanation:</w:t>
      </w:r>
      <w:r w:rsidRPr="00113F13">
        <w:t xml:space="preserve"> ‘a right to know what personal information is held, where it came from, and what is being done with it (including meaningful information about how automated decisions using an individual’s personal information are </w:t>
      </w:r>
      <w:r w:rsidRPr="003F0B53">
        <w:t>made (</w:t>
      </w:r>
      <w:r w:rsidRPr="00EA22F8">
        <w:t>see [</w:t>
      </w:r>
      <w:r w:rsidR="288D8F58" w:rsidRPr="003F0B53">
        <w:t>7.3</w:t>
      </w:r>
      <w:r w:rsidRPr="00EA22F8">
        <w:t>7]</w:t>
      </w:r>
      <w:r w:rsidRPr="003F0B53">
        <w:t xml:space="preserve">); </w:t>
      </w:r>
      <w:r w:rsidRPr="00113F13">
        <w:t xml:space="preserve">this right is </w:t>
      </w:r>
      <w:r w:rsidRPr="006E6ACB">
        <w:t>d</w:t>
      </w:r>
      <w:r w:rsidRPr="00EA22F8">
        <w:t>iscussed at [</w:t>
      </w:r>
      <w:r w:rsidR="006E6ACB">
        <w:fldChar w:fldCharType="begin"/>
      </w:r>
      <w:r w:rsidR="006E6ACB" w:rsidRPr="00EA22F8">
        <w:instrText xml:space="preserve"> REF _Ref164781439 \r \h </w:instrText>
      </w:r>
      <w:r w:rsidR="006E6ACB">
        <w:instrText xml:space="preserve"> \* MERGEFORMAT </w:instrText>
      </w:r>
      <w:r w:rsidR="006E6ACB">
        <w:fldChar w:fldCharType="separate"/>
      </w:r>
      <w:r w:rsidR="00462C30">
        <w:rPr>
          <w:cs/>
        </w:rPr>
        <w:t>‎</w:t>
      </w:r>
      <w:r w:rsidR="00462C30">
        <w:t>6.4.15</w:t>
      </w:r>
      <w:r w:rsidR="006E6ACB">
        <w:fldChar w:fldCharType="end"/>
      </w:r>
      <w:r w:rsidRPr="00EA22F8">
        <w:t>] below;</w:t>
      </w:r>
      <w:r w:rsidRPr="006E6ACB">
        <w:rPr>
          <w:rStyle w:val="FootnoteReference"/>
          <w:rFonts w:ascii="Times New Roman" w:hAnsi="Times New Roman"/>
        </w:rPr>
        <w:footnoteReference w:id="597"/>
      </w:r>
      <w:r w:rsidRPr="00113F13">
        <w:t xml:space="preserve"> and</w:t>
      </w:r>
    </w:p>
    <w:p w14:paraId="6B31E863" w14:textId="42DBD738" w:rsidR="00FF302D" w:rsidRPr="00A346FC" w:rsidRDefault="00FF302D" w:rsidP="006551D3">
      <w:pPr>
        <w:pStyle w:val="DotPointTLRI"/>
      </w:pPr>
      <w:r w:rsidRPr="00113F13">
        <w:t xml:space="preserve">a </w:t>
      </w:r>
      <w:r w:rsidRPr="00113F13">
        <w:rPr>
          <w:b/>
          <w:bCs/>
        </w:rPr>
        <w:t>right to object</w:t>
      </w:r>
      <w:r w:rsidRPr="00113F13">
        <w:t xml:space="preserve"> to the collection, use, and disclosure of personal </w:t>
      </w:r>
      <w:r w:rsidRPr="00A346FC">
        <w:t>information (di</w:t>
      </w:r>
      <w:r w:rsidRPr="00EA22F8">
        <w:t xml:space="preserve">scussed at </w:t>
      </w:r>
      <w:r w:rsidR="00A346FC">
        <w:fldChar w:fldCharType="begin"/>
      </w:r>
      <w:r w:rsidR="00A346FC" w:rsidRPr="00EA22F8">
        <w:instrText xml:space="preserve"> REF _Ref150959971 \r \h </w:instrText>
      </w:r>
      <w:r w:rsidR="00A346FC">
        <w:instrText xml:space="preserve"> \* MERGEFORMAT </w:instrText>
      </w:r>
      <w:r w:rsidR="00A346FC">
        <w:fldChar w:fldCharType="separate"/>
      </w:r>
      <w:r w:rsidR="00462C30">
        <w:rPr>
          <w:cs/>
        </w:rPr>
        <w:t>‎</w:t>
      </w:r>
      <w:r w:rsidR="00462C30">
        <w:t>5.4.40</w:t>
      </w:r>
      <w:r w:rsidR="00A346FC">
        <w:fldChar w:fldCharType="end"/>
      </w:r>
      <w:r w:rsidRPr="00EA22F8">
        <w:t>] above)</w:t>
      </w:r>
      <w:r w:rsidRPr="00A346FC">
        <w:t>.</w:t>
      </w:r>
      <w:r w:rsidRPr="00A346FC">
        <w:rPr>
          <w:rStyle w:val="FootnoteReference"/>
          <w:rFonts w:ascii="Times New Roman" w:hAnsi="Times New Roman"/>
        </w:rPr>
        <w:footnoteReference w:id="598"/>
      </w:r>
    </w:p>
    <w:p w14:paraId="74AD03B7" w14:textId="77777777" w:rsidR="00FF302D" w:rsidRPr="00113F13" w:rsidRDefault="00FF302D" w:rsidP="006551D3">
      <w:pPr>
        <w:pStyle w:val="Sub-HeadingTLRI"/>
      </w:pPr>
      <w:bookmarkStart w:id="626" w:name="_Toc164606638"/>
      <w:r w:rsidRPr="00113F13">
        <w:lastRenderedPageBreak/>
        <w:t>Data security</w:t>
      </w:r>
      <w:bookmarkEnd w:id="626"/>
    </w:p>
    <w:p w14:paraId="2C747719" w14:textId="77777777" w:rsidR="00FF302D" w:rsidRPr="00113F13" w:rsidRDefault="00FF302D" w:rsidP="00B63604">
      <w:pPr>
        <w:pStyle w:val="NormalNumberedTextTLRI"/>
        <w:numPr>
          <w:ilvl w:val="2"/>
          <w:numId w:val="31"/>
        </w:numPr>
        <w:tabs>
          <w:tab w:val="clear" w:pos="720"/>
        </w:tabs>
        <w:spacing w:line="259" w:lineRule="auto"/>
      </w:pPr>
      <w:bookmarkStart w:id="627" w:name="_Toc143872449"/>
      <w:bookmarkStart w:id="628" w:name="_Ref150962767"/>
      <w:bookmarkStart w:id="629" w:name="_Ref151453486"/>
      <w:bookmarkStart w:id="630" w:name="_Ref164781391"/>
      <w:r w:rsidRPr="00113F13">
        <w:t xml:space="preserve">The Review recommended that a legislated </w:t>
      </w:r>
      <w:r w:rsidRPr="00113F13">
        <w:rPr>
          <w:b/>
          <w:bCs/>
        </w:rPr>
        <w:t>right to erasure</w:t>
      </w:r>
      <w:r w:rsidRPr="00113F13">
        <w:t xml:space="preserve"> should have three features:</w:t>
      </w:r>
      <w:bookmarkEnd w:id="627"/>
      <w:bookmarkEnd w:id="628"/>
      <w:bookmarkEnd w:id="629"/>
      <w:bookmarkEnd w:id="630"/>
    </w:p>
    <w:p w14:paraId="0B09B80D" w14:textId="77777777" w:rsidR="00FF302D" w:rsidRPr="00113F13" w:rsidRDefault="00FF302D" w:rsidP="006551D3">
      <w:pPr>
        <w:pStyle w:val="DotPointTLRI"/>
      </w:pPr>
      <w:r w:rsidRPr="00113F13">
        <w:t>individuals should be able to assert the right in relation to any of their personal information;</w:t>
      </w:r>
    </w:p>
    <w:p w14:paraId="0EE68685" w14:textId="77777777" w:rsidR="00FF302D" w:rsidRPr="00113F13" w:rsidRDefault="00FF302D" w:rsidP="006551D3">
      <w:pPr>
        <w:pStyle w:val="DotPointTLRI"/>
      </w:pPr>
      <w:r w:rsidRPr="00113F13">
        <w:t>where there has been an erasure request, APP entities who collected the personal information from, or disclosed it to, a third party must inform the individual about the third party and notify the third party of the request (except where this is impossible or involves disproportionate effort);</w:t>
      </w:r>
      <w:r w:rsidRPr="00113F13">
        <w:rPr>
          <w:rStyle w:val="FootnoteReference"/>
          <w:rFonts w:ascii="Times New Roman" w:hAnsi="Times New Roman"/>
        </w:rPr>
        <w:footnoteReference w:id="599"/>
      </w:r>
      <w:r w:rsidRPr="00113F13">
        <w:t xml:space="preserve"> and</w:t>
      </w:r>
    </w:p>
    <w:p w14:paraId="3CC34DD8" w14:textId="77777777" w:rsidR="00FF302D" w:rsidRPr="00113F13" w:rsidRDefault="00FF302D" w:rsidP="006551D3">
      <w:pPr>
        <w:pStyle w:val="DotPointTLRI"/>
      </w:pPr>
      <w:r w:rsidRPr="00113F13">
        <w:t>certain limited information (such as joint personal information, metadata, financial records, and rental or property records) should be quarantined rather than erased on request, to ensure it is available for law enforcement purposes and that the right is not exploited by those seeking to conceal criminal activity.</w:t>
      </w:r>
      <w:r w:rsidRPr="00113F13">
        <w:rPr>
          <w:rStyle w:val="FootnoteReference"/>
          <w:rFonts w:ascii="Times New Roman" w:hAnsi="Times New Roman"/>
        </w:rPr>
        <w:footnoteReference w:id="600"/>
      </w:r>
    </w:p>
    <w:p w14:paraId="2B8E33C8" w14:textId="77777777" w:rsidR="00FF302D" w:rsidRPr="00113F13" w:rsidRDefault="00FF302D" w:rsidP="00B63604">
      <w:pPr>
        <w:pStyle w:val="NormalNumberedTextTLRI"/>
        <w:numPr>
          <w:ilvl w:val="2"/>
          <w:numId w:val="31"/>
        </w:numPr>
        <w:tabs>
          <w:tab w:val="clear" w:pos="720"/>
        </w:tabs>
        <w:spacing w:line="259" w:lineRule="auto"/>
        <w:rPr>
          <w:iCs/>
        </w:rPr>
      </w:pPr>
      <w:bookmarkStart w:id="631" w:name="_Toc143872450"/>
      <w:r w:rsidRPr="00113F13">
        <w:t>The Review noted concerns expressed by ‘a large number and broad range of submitters’ about the effect of this right on APP entities’ activities in the public interest and suggested that there be further stakeholder engagement on the detail of exceptions.</w:t>
      </w:r>
      <w:r w:rsidRPr="00113F13">
        <w:rPr>
          <w:rStyle w:val="FootnoteReference"/>
          <w:rFonts w:ascii="Times New Roman" w:hAnsi="Times New Roman"/>
        </w:rPr>
        <w:footnoteReference w:id="601"/>
      </w:r>
    </w:p>
    <w:p w14:paraId="0965511B" w14:textId="77777777" w:rsidR="00FF302D" w:rsidRPr="00113F13" w:rsidRDefault="00FF302D" w:rsidP="00B63604">
      <w:pPr>
        <w:pStyle w:val="NormalNumberedTextTLRI"/>
        <w:numPr>
          <w:ilvl w:val="2"/>
          <w:numId w:val="31"/>
        </w:numPr>
        <w:tabs>
          <w:tab w:val="clear" w:pos="720"/>
        </w:tabs>
        <w:spacing w:line="259" w:lineRule="auto"/>
      </w:pPr>
      <w:r w:rsidRPr="00113F13">
        <w:t>The Final Report characterised the right to erasure as ‘effectively … an extension of APP 11.2 by requiring the entity to destroy the information upon request of the individual, rather than at the time the entity considers this is required’.</w:t>
      </w:r>
      <w:r w:rsidRPr="00113F13">
        <w:rPr>
          <w:rStyle w:val="FootnoteReference"/>
          <w:rFonts w:ascii="Times New Roman" w:hAnsi="Times New Roman"/>
        </w:rPr>
        <w:footnoteReference w:id="602"/>
      </w:r>
      <w:bookmarkEnd w:id="631"/>
      <w:r w:rsidRPr="00113F13">
        <w:t xml:space="preserve"> The Commonwealth Government agreed in-principle with this proposal.</w:t>
      </w:r>
      <w:r w:rsidRPr="00113F13">
        <w:rPr>
          <w:rStyle w:val="FootnoteReference"/>
          <w:rFonts w:ascii="Times New Roman" w:hAnsi="Times New Roman"/>
        </w:rPr>
        <w:footnoteReference w:id="603"/>
      </w:r>
    </w:p>
    <w:p w14:paraId="0EE53D4C" w14:textId="77777777" w:rsidR="00FF302D" w:rsidRPr="00113F13" w:rsidRDefault="00FF302D" w:rsidP="00B63604">
      <w:pPr>
        <w:pStyle w:val="NormalNumberedTextTLRI"/>
        <w:numPr>
          <w:ilvl w:val="2"/>
          <w:numId w:val="31"/>
        </w:numPr>
        <w:tabs>
          <w:tab w:val="clear" w:pos="720"/>
        </w:tabs>
        <w:spacing w:line="259" w:lineRule="auto"/>
      </w:pPr>
      <w:bookmarkStart w:id="633" w:name="_Toc143872452"/>
      <w:bookmarkStart w:id="634" w:name="_Ref150962830"/>
      <w:bookmarkStart w:id="635" w:name="_Ref164781507"/>
      <w:r w:rsidRPr="00113F13">
        <w:t xml:space="preserve">The right to </w:t>
      </w:r>
      <w:r w:rsidRPr="00113F13">
        <w:rPr>
          <w:b/>
          <w:bCs/>
        </w:rPr>
        <w:t xml:space="preserve">de-index search results </w:t>
      </w:r>
      <w:r w:rsidRPr="00113F13">
        <w:t>was characterised as ‘a sub-category of erasure’.</w:t>
      </w:r>
      <w:r w:rsidRPr="00113F13">
        <w:rPr>
          <w:rStyle w:val="FootnoteReference"/>
          <w:rFonts w:ascii="Times New Roman" w:hAnsi="Times New Roman"/>
        </w:rPr>
        <w:footnoteReference w:id="604"/>
      </w:r>
      <w:r w:rsidRPr="00113F13">
        <w:t xml:space="preserve"> The Review proposed the creation of a right, assertable against search engines, for search results containing personal information to be de-indexed, meaning they would not be listed in search results, regardless of whether the information continues to be published lawfully elsewhere online. As explained in the Report:</w:t>
      </w:r>
      <w:bookmarkEnd w:id="633"/>
      <w:bookmarkEnd w:id="634"/>
      <w:bookmarkEnd w:id="635"/>
    </w:p>
    <w:p w14:paraId="0B6D40D7" w14:textId="77777777" w:rsidR="00FF302D" w:rsidRPr="00113F13" w:rsidRDefault="00FF302D" w:rsidP="003F5CE4">
      <w:pPr>
        <w:pStyle w:val="Indentedquote"/>
        <w:jc w:val="left"/>
        <w:rPr>
          <w:rFonts w:cs="Times New Roman"/>
        </w:rPr>
      </w:pPr>
      <w:r w:rsidRPr="00113F13">
        <w:rPr>
          <w:rFonts w:cs="Times New Roman"/>
        </w:rPr>
        <w:t>The content remains at its source on the internet. The right regulates the ease of access to personal information through a search engine, not its removal from the internet.</w:t>
      </w:r>
      <w:r w:rsidRPr="00113F13">
        <w:rPr>
          <w:rStyle w:val="FootnoteReference"/>
          <w:rFonts w:ascii="Times New Roman" w:hAnsi="Times New Roman" w:cs="Times New Roman"/>
        </w:rPr>
        <w:footnoteReference w:id="605"/>
      </w:r>
      <w:r w:rsidRPr="00113F13">
        <w:rPr>
          <w:rFonts w:cs="Times New Roman"/>
        </w:rPr>
        <w:t xml:space="preserve"> </w:t>
      </w:r>
      <w:r w:rsidRPr="00113F13">
        <w:rPr>
          <w:rFonts w:cs="Times New Roman"/>
        </w:rPr>
        <w:br/>
      </w:r>
    </w:p>
    <w:p w14:paraId="795D1C5E" w14:textId="77777777" w:rsidR="00FF302D" w:rsidRPr="00113F13" w:rsidRDefault="00FF302D" w:rsidP="00B63604">
      <w:pPr>
        <w:pStyle w:val="NormalNumberedTextTLRI"/>
        <w:numPr>
          <w:ilvl w:val="2"/>
          <w:numId w:val="31"/>
        </w:numPr>
        <w:tabs>
          <w:tab w:val="clear" w:pos="720"/>
        </w:tabs>
        <w:spacing w:line="259" w:lineRule="auto"/>
      </w:pPr>
      <w:bookmarkStart w:id="636" w:name="_Toc143872453"/>
      <w:r w:rsidRPr="00113F13">
        <w:t xml:space="preserve">The Review recommended that, in keeping with similar grounds applying under the GDPR, the right to de-index search results should apply to personal information which is: sensitive information; information about a child; excessively detailed (such as home address or personal phone number); or </w:t>
      </w:r>
      <w:r w:rsidRPr="00113F13">
        <w:lastRenderedPageBreak/>
        <w:t>inaccurate, out-of-date, incomplete, irrelevant, or misleading.</w:t>
      </w:r>
      <w:r w:rsidRPr="00113F13">
        <w:rPr>
          <w:rStyle w:val="FootnoteReference"/>
          <w:rFonts w:ascii="Times New Roman" w:hAnsi="Times New Roman"/>
        </w:rPr>
        <w:footnoteReference w:id="606"/>
      </w:r>
      <w:bookmarkStart w:id="637" w:name="_Toc143872454"/>
      <w:bookmarkEnd w:id="636"/>
      <w:r w:rsidRPr="00113F13">
        <w:t xml:space="preserve"> The Commonwealth Government agreed in-principle with this proposal.</w:t>
      </w:r>
      <w:r w:rsidRPr="00113F13">
        <w:rPr>
          <w:rStyle w:val="FootnoteReference"/>
          <w:rFonts w:ascii="Times New Roman" w:hAnsi="Times New Roman"/>
        </w:rPr>
        <w:footnoteReference w:id="607"/>
      </w:r>
    </w:p>
    <w:p w14:paraId="04163F0F" w14:textId="77777777" w:rsidR="00FF302D" w:rsidRPr="00113F13" w:rsidRDefault="00FF302D" w:rsidP="00B63604">
      <w:pPr>
        <w:pStyle w:val="NormalNumberedTextTLRI"/>
        <w:numPr>
          <w:ilvl w:val="2"/>
          <w:numId w:val="31"/>
        </w:numPr>
        <w:tabs>
          <w:tab w:val="clear" w:pos="720"/>
        </w:tabs>
        <w:spacing w:line="259" w:lineRule="auto"/>
      </w:pPr>
      <w:bookmarkStart w:id="638" w:name="_Ref151392906"/>
      <w:r w:rsidRPr="00113F13">
        <w:t>A chapter of the Privacy Act Review Final Report was dedicated to security, destruction, and retention of personal information.</w:t>
      </w:r>
      <w:r w:rsidRPr="00113F13">
        <w:rPr>
          <w:rStyle w:val="FootnoteReference"/>
          <w:rFonts w:ascii="Times New Roman" w:hAnsi="Times New Roman"/>
        </w:rPr>
        <w:footnoteReference w:id="608"/>
      </w:r>
      <w:r w:rsidRPr="00113F13">
        <w:t xml:space="preserve"> The Review proposed some amendments to APP 11 relating to security measures, including amending APP 11 to:</w:t>
      </w:r>
      <w:bookmarkEnd w:id="637"/>
      <w:bookmarkEnd w:id="638"/>
    </w:p>
    <w:p w14:paraId="647DCE21" w14:textId="77777777" w:rsidR="00FF302D" w:rsidRPr="00113F13" w:rsidRDefault="00FF302D" w:rsidP="006551D3">
      <w:pPr>
        <w:pStyle w:val="DotPointTLRI"/>
      </w:pPr>
      <w:r w:rsidRPr="00113F13">
        <w:t>state in APP 11.1 that the ‘reasonable steps’ APP entities must take to protect information include technical security measures and organisational measures (such as those relating to governance, internal practices, processes, and systems), on the basis that this would improve certainty and understanding of what reasonable steps are required.</w:t>
      </w:r>
      <w:r w:rsidRPr="00113F13">
        <w:rPr>
          <w:rStyle w:val="FootnoteReference"/>
          <w:rFonts w:ascii="Times New Roman" w:hAnsi="Times New Roman"/>
        </w:rPr>
        <w:footnoteReference w:id="609"/>
      </w:r>
      <w:r w:rsidRPr="00113F13">
        <w:t xml:space="preserve"> The Government agreed with this proposal.</w:t>
      </w:r>
      <w:r w:rsidRPr="00113F13">
        <w:rPr>
          <w:rStyle w:val="FootnoteReference"/>
          <w:rFonts w:ascii="Times New Roman" w:hAnsi="Times New Roman"/>
        </w:rPr>
        <w:footnoteReference w:id="610"/>
      </w:r>
    </w:p>
    <w:p w14:paraId="4959C438" w14:textId="77777777" w:rsidR="00FF302D" w:rsidRPr="00113F13" w:rsidRDefault="00FF302D" w:rsidP="006551D3">
      <w:pPr>
        <w:pStyle w:val="DotPointTLRI"/>
      </w:pPr>
      <w:r w:rsidRPr="00113F13">
        <w:t>include a ‘set of baseline privacy outcomes’ that APP entities would need to ensure their practices enable them to meet, developed in consultation with industry and government.</w:t>
      </w:r>
      <w:r w:rsidRPr="00113F13">
        <w:rPr>
          <w:rStyle w:val="FootnoteReference"/>
          <w:rFonts w:ascii="Times New Roman" w:hAnsi="Times New Roman"/>
        </w:rPr>
        <w:footnoteReference w:id="611"/>
      </w:r>
      <w:r w:rsidRPr="00113F13">
        <w:t xml:space="preserve"> The Government agreed in-principle with this proposal.</w:t>
      </w:r>
      <w:r w:rsidRPr="00113F13">
        <w:rPr>
          <w:rStyle w:val="FootnoteReference"/>
          <w:rFonts w:ascii="Times New Roman" w:hAnsi="Times New Roman"/>
        </w:rPr>
        <w:footnoteReference w:id="612"/>
      </w:r>
    </w:p>
    <w:p w14:paraId="13C97854" w14:textId="77777777" w:rsidR="00FF302D" w:rsidRPr="00113F13" w:rsidRDefault="00FF302D" w:rsidP="006551D3">
      <w:pPr>
        <w:pStyle w:val="DotPointTLRI"/>
      </w:pPr>
      <w:r w:rsidRPr="00113F13">
        <w:t>require APP entities to establish and periodically review maximum and minimum retention periods for personal information which take into account: the type, sensitivity, and purpose of the information; the entity’s organisational needs; and any obligations entities have under other legal frameworks.</w:t>
      </w:r>
      <w:r w:rsidRPr="00113F13">
        <w:rPr>
          <w:rStyle w:val="FootnoteReference"/>
          <w:rFonts w:ascii="Times New Roman" w:hAnsi="Times New Roman"/>
        </w:rPr>
        <w:footnoteReference w:id="613"/>
      </w:r>
      <w:r w:rsidRPr="00113F13">
        <w:t xml:space="preserve"> The Government agreed in-principle with this proposal.</w:t>
      </w:r>
      <w:r w:rsidRPr="00113F13">
        <w:rPr>
          <w:rStyle w:val="FootnoteReference"/>
          <w:rFonts w:ascii="Times New Roman" w:hAnsi="Times New Roman"/>
        </w:rPr>
        <w:footnoteReference w:id="614"/>
      </w:r>
    </w:p>
    <w:p w14:paraId="3319FC24" w14:textId="77777777" w:rsidR="00FF302D" w:rsidRPr="00113F13" w:rsidRDefault="00FF302D" w:rsidP="00B63604">
      <w:pPr>
        <w:pStyle w:val="NormalNumberedTextTLRI"/>
        <w:numPr>
          <w:ilvl w:val="2"/>
          <w:numId w:val="31"/>
        </w:numPr>
        <w:tabs>
          <w:tab w:val="clear" w:pos="720"/>
        </w:tabs>
        <w:spacing w:line="259" w:lineRule="auto"/>
      </w:pPr>
      <w:bookmarkStart w:id="639" w:name="_Ref151119728"/>
      <w:bookmarkStart w:id="640" w:name="_Toc143872455"/>
      <w:r w:rsidRPr="00113F13">
        <w:t>The Review also proposed amendments to APP 11.1 to improve the security of de-identified information by obliging APP entities to take reasonable steps to protect de-identified information from misuse, interference, and loss, and from unauthorised re-identification, access, modification, or disclosure.</w:t>
      </w:r>
      <w:r w:rsidRPr="00113F13">
        <w:rPr>
          <w:rStyle w:val="FootnoteReference"/>
          <w:rFonts w:ascii="Times New Roman" w:hAnsi="Times New Roman"/>
        </w:rPr>
        <w:footnoteReference w:id="615"/>
      </w:r>
      <w:r w:rsidRPr="00113F13">
        <w:t xml:space="preserve"> The Government noted these proposals and undertook to further consider how the policy intent of protecting against re-identification risks could be achieved.</w:t>
      </w:r>
      <w:r w:rsidRPr="00113F13">
        <w:rPr>
          <w:rStyle w:val="FootnoteReference"/>
          <w:rFonts w:ascii="Times New Roman" w:hAnsi="Times New Roman"/>
        </w:rPr>
        <w:footnoteReference w:id="616"/>
      </w:r>
      <w:bookmarkEnd w:id="639"/>
    </w:p>
    <w:p w14:paraId="06EAD1D0" w14:textId="77777777" w:rsidR="00FF302D" w:rsidRPr="00113F13" w:rsidRDefault="00FF302D" w:rsidP="00B63604">
      <w:pPr>
        <w:pStyle w:val="NormalNumberedTextTLRI"/>
        <w:numPr>
          <w:ilvl w:val="2"/>
          <w:numId w:val="31"/>
        </w:numPr>
        <w:tabs>
          <w:tab w:val="clear" w:pos="720"/>
        </w:tabs>
        <w:spacing w:line="259" w:lineRule="auto"/>
      </w:pPr>
      <w:r w:rsidRPr="00113F13">
        <w:t>The Review further recommended changes to the regulation of the destruction and de-identification of personal information by improving OAIC guidance on APP 11 to clarify what reasonable steps may be undertaken to destroy or de-identify personal information, which could provide tailored guidance for ‘specific industry, method of destruction and/or the type or sensitivity of the information’.</w:t>
      </w:r>
      <w:r w:rsidRPr="00113F13">
        <w:rPr>
          <w:rStyle w:val="FootnoteReference"/>
          <w:rFonts w:ascii="Times New Roman" w:hAnsi="Times New Roman"/>
        </w:rPr>
        <w:footnoteReference w:id="617"/>
      </w:r>
      <w:bookmarkEnd w:id="640"/>
      <w:r w:rsidRPr="00113F13">
        <w:t xml:space="preserve"> The Government agreed with this proposal.</w:t>
      </w:r>
      <w:r w:rsidRPr="00113F13">
        <w:rPr>
          <w:rStyle w:val="FootnoteReference"/>
          <w:rFonts w:ascii="Times New Roman" w:hAnsi="Times New Roman"/>
        </w:rPr>
        <w:footnoteReference w:id="618"/>
      </w:r>
    </w:p>
    <w:p w14:paraId="797FDF24" w14:textId="77777777" w:rsidR="00FF302D" w:rsidRPr="00AA575E" w:rsidRDefault="00FF302D" w:rsidP="00B63604">
      <w:pPr>
        <w:pStyle w:val="NormalNumberedTextTLRI"/>
        <w:numPr>
          <w:ilvl w:val="2"/>
          <w:numId w:val="31"/>
        </w:numPr>
        <w:tabs>
          <w:tab w:val="clear" w:pos="720"/>
        </w:tabs>
        <w:spacing w:line="259" w:lineRule="auto"/>
      </w:pPr>
      <w:bookmarkStart w:id="641" w:name="_Toc143872456"/>
      <w:bookmarkStart w:id="642" w:name="_Ref151121859"/>
      <w:r w:rsidRPr="00113F13">
        <w:t xml:space="preserve">In light of the range of retention requirements imposed on APP entities in Australian laws other than the Privacy Act, and the changed risk landscape in the digital era, the Review proposed a separate Commonwealth review of ‘all legal provisions that require retention of personal information’ to ensure there is an appropriate balance between policy objectives and privacy and cyber security risks </w:t>
      </w:r>
      <w:r w:rsidRPr="00113F13">
        <w:lastRenderedPageBreak/>
        <w:t>of entities holding significant volumes of personal information, the scope and scale of which should be determined in consultation with the States and Territories.</w:t>
      </w:r>
      <w:r w:rsidRPr="00113F13">
        <w:rPr>
          <w:rStyle w:val="FootnoteReference"/>
          <w:rFonts w:ascii="Times New Roman" w:hAnsi="Times New Roman"/>
        </w:rPr>
        <w:footnoteReference w:id="619"/>
      </w:r>
      <w:bookmarkEnd w:id="641"/>
      <w:r w:rsidRPr="00113F13">
        <w:t xml:space="preserve"> The Government agreed in-principle with </w:t>
      </w:r>
      <w:r w:rsidRPr="00AA575E">
        <w:t>this proposal.</w:t>
      </w:r>
      <w:r w:rsidRPr="00AA575E">
        <w:rPr>
          <w:rStyle w:val="FootnoteReference"/>
          <w:rFonts w:ascii="Times New Roman" w:hAnsi="Times New Roman"/>
        </w:rPr>
        <w:footnoteReference w:id="620"/>
      </w:r>
      <w:bookmarkEnd w:id="642"/>
    </w:p>
    <w:p w14:paraId="39A06C54" w14:textId="4308DF98" w:rsidR="00FF302D" w:rsidRPr="00EA22F8" w:rsidRDefault="288D8F58" w:rsidP="00B63604">
      <w:pPr>
        <w:pStyle w:val="NormalNumberedTextTLRI"/>
        <w:numPr>
          <w:ilvl w:val="2"/>
          <w:numId w:val="31"/>
        </w:numPr>
        <w:tabs>
          <w:tab w:val="clear" w:pos="720"/>
        </w:tabs>
        <w:spacing w:line="259" w:lineRule="auto"/>
      </w:pPr>
      <w:r w:rsidRPr="00AA575E">
        <w:t>The Review also considered the adequacy of the Privacy Act’s notification of data breaches scheme. This is discussed</w:t>
      </w:r>
      <w:r w:rsidR="00AA575E" w:rsidRPr="00AA575E">
        <w:t xml:space="preserve"> at </w:t>
      </w:r>
      <w:r w:rsidR="00AA575E" w:rsidRPr="00EA22F8">
        <w:fldChar w:fldCharType="begin"/>
      </w:r>
      <w:r w:rsidR="00AA575E" w:rsidRPr="00EA22F8">
        <w:instrText xml:space="preserve"> REF _Ref164781979 \r \h </w:instrText>
      </w:r>
      <w:r w:rsidR="00AA575E">
        <w:instrText xml:space="preserve"> \* MERGEFORMAT </w:instrText>
      </w:r>
      <w:r w:rsidR="00AA575E" w:rsidRPr="00EA22F8">
        <w:fldChar w:fldCharType="separate"/>
      </w:r>
      <w:r w:rsidR="00462C30">
        <w:rPr>
          <w:cs/>
        </w:rPr>
        <w:t>‎</w:t>
      </w:r>
      <w:r w:rsidR="008C66D0">
        <w:t>[</w:t>
      </w:r>
      <w:r w:rsidR="00462C30">
        <w:t>8.13</w:t>
      </w:r>
      <w:r w:rsidR="00AA575E" w:rsidRPr="00EA22F8">
        <w:fldChar w:fldCharType="end"/>
      </w:r>
      <w:r w:rsidRPr="00EA22F8">
        <w:t>] of this Report.</w:t>
      </w:r>
      <w:r w:rsidRPr="00AA575E">
        <w:t xml:space="preserve"> </w:t>
      </w:r>
    </w:p>
    <w:p w14:paraId="5A689CEB" w14:textId="77777777" w:rsidR="00FF302D" w:rsidRPr="00113F13" w:rsidRDefault="00FF302D" w:rsidP="006551D3">
      <w:pPr>
        <w:pStyle w:val="Sub-HeadingTLRI"/>
      </w:pPr>
      <w:bookmarkStart w:id="643" w:name="_Toc164606639"/>
      <w:r w:rsidRPr="00113F13">
        <w:t>Access and correction</w:t>
      </w:r>
      <w:bookmarkEnd w:id="643"/>
    </w:p>
    <w:p w14:paraId="7A58CB5E" w14:textId="77777777" w:rsidR="00FF302D" w:rsidRPr="00113F13" w:rsidRDefault="00FF302D" w:rsidP="00B63604">
      <w:pPr>
        <w:pStyle w:val="NormalNumberedTextTLRI"/>
        <w:numPr>
          <w:ilvl w:val="2"/>
          <w:numId w:val="31"/>
        </w:numPr>
        <w:tabs>
          <w:tab w:val="clear" w:pos="720"/>
        </w:tabs>
        <w:spacing w:line="259" w:lineRule="auto"/>
      </w:pPr>
      <w:bookmarkStart w:id="644" w:name="_Toc143872457"/>
      <w:bookmarkStart w:id="645" w:name="_Ref150962909"/>
      <w:bookmarkStart w:id="646" w:name="_Ref164781439"/>
      <w:r w:rsidRPr="00113F13">
        <w:t xml:space="preserve">The Privacy Act Review recommended the introduction of a </w:t>
      </w:r>
      <w:r w:rsidRPr="00113F13">
        <w:rPr>
          <w:b/>
          <w:bCs/>
        </w:rPr>
        <w:t>right to access and explanation</w:t>
      </w:r>
      <w:r w:rsidRPr="00113F13">
        <w:t>, which expands on the existing right of access in APP 12.</w:t>
      </w:r>
      <w:bookmarkEnd w:id="644"/>
      <w:bookmarkEnd w:id="645"/>
      <w:r w:rsidRPr="00113F13">
        <w:rPr>
          <w:rStyle w:val="FootnoteReference"/>
          <w:rFonts w:ascii="Times New Roman" w:hAnsi="Times New Roman"/>
        </w:rPr>
        <w:footnoteReference w:id="621"/>
      </w:r>
      <w:bookmarkEnd w:id="646"/>
    </w:p>
    <w:p w14:paraId="3B7ED9D9" w14:textId="526EA862" w:rsidR="00FF302D" w:rsidRPr="00113F13" w:rsidRDefault="00FF302D" w:rsidP="00B63604">
      <w:pPr>
        <w:pStyle w:val="NormalNumberedTextTLRI"/>
        <w:numPr>
          <w:ilvl w:val="2"/>
          <w:numId w:val="31"/>
        </w:numPr>
        <w:tabs>
          <w:tab w:val="clear" w:pos="720"/>
        </w:tabs>
        <w:spacing w:line="259" w:lineRule="auto"/>
      </w:pPr>
      <w:bookmarkStart w:id="647" w:name="_Toc143872458"/>
      <w:r w:rsidRPr="00113F13">
        <w:t>The Final Report argued that a broader right of explanation than currently existed would be appropriate in order to enhance transparency and ensure that individuals can exercise their other rights.  This would also be consistent with regulation in Europe (via the GDPR), Canada, Singapore, and California.</w:t>
      </w:r>
      <w:r w:rsidRPr="00113F13">
        <w:rPr>
          <w:rStyle w:val="FootnoteReference"/>
          <w:rFonts w:ascii="Times New Roman" w:hAnsi="Times New Roman"/>
        </w:rPr>
        <w:footnoteReference w:id="622"/>
      </w:r>
      <w:r w:rsidRPr="00113F13">
        <w:t xml:space="preserve"> The Review characterised this as complementary to the enhanced collection notice requirements proposed elsewhere in its </w:t>
      </w:r>
      <w:r w:rsidRPr="003215A2">
        <w:t>Report (</w:t>
      </w:r>
      <w:r w:rsidRPr="00EA22F8">
        <w:t xml:space="preserve">discussed </w:t>
      </w:r>
      <w:r w:rsidR="00156C52" w:rsidRPr="00EA22F8">
        <w:t>at [</w:t>
      </w:r>
      <w:r w:rsidR="00156C52" w:rsidRPr="00EA22F8">
        <w:fldChar w:fldCharType="begin"/>
      </w:r>
      <w:r w:rsidR="00156C52" w:rsidRPr="00EA22F8">
        <w:instrText xml:space="preserve"> REF _Ref164782022 \r \h </w:instrText>
      </w:r>
      <w:r w:rsidR="00ED31E7">
        <w:instrText xml:space="preserve"> \* MERGEFORMAT </w:instrText>
      </w:r>
      <w:r w:rsidR="00156C52" w:rsidRPr="00EA22F8">
        <w:fldChar w:fldCharType="separate"/>
      </w:r>
      <w:r w:rsidR="00462C30">
        <w:rPr>
          <w:cs/>
        </w:rPr>
        <w:t>‎</w:t>
      </w:r>
      <w:r w:rsidR="00462C30">
        <w:t>7.3</w:t>
      </w:r>
      <w:r w:rsidR="00156C52" w:rsidRPr="00EA22F8">
        <w:fldChar w:fldCharType="end"/>
      </w:r>
      <w:r w:rsidRPr="00EA22F8">
        <w:t>],</w:t>
      </w:r>
      <w:r w:rsidRPr="003215A2">
        <w:t xml:space="preserve"> below</w:t>
      </w:r>
      <w:r w:rsidRPr="00113F13">
        <w:t>).</w:t>
      </w:r>
      <w:r w:rsidRPr="00113F13">
        <w:rPr>
          <w:rStyle w:val="FootnoteReference"/>
          <w:rFonts w:ascii="Times New Roman" w:hAnsi="Times New Roman"/>
        </w:rPr>
        <w:footnoteReference w:id="623"/>
      </w:r>
      <w:bookmarkEnd w:id="647"/>
    </w:p>
    <w:p w14:paraId="0C7827B0" w14:textId="77777777" w:rsidR="00FF302D" w:rsidRPr="00113F13" w:rsidRDefault="00FF302D" w:rsidP="00B63604">
      <w:pPr>
        <w:pStyle w:val="NormalNumberedTextTLRI"/>
        <w:numPr>
          <w:ilvl w:val="2"/>
          <w:numId w:val="31"/>
        </w:numPr>
        <w:tabs>
          <w:tab w:val="clear" w:pos="720"/>
        </w:tabs>
        <w:spacing w:line="259" w:lineRule="auto"/>
      </w:pPr>
      <w:bookmarkStart w:id="648" w:name="_Toc143872459"/>
      <w:r w:rsidRPr="00113F13">
        <w:t>The Review proposed that the right to access in APP 12 be retained, and that it be augmented with the following additional features:</w:t>
      </w:r>
      <w:bookmarkEnd w:id="648"/>
    </w:p>
    <w:p w14:paraId="789733D8" w14:textId="77777777" w:rsidR="00FF302D" w:rsidRPr="00113F13" w:rsidRDefault="00FF302D" w:rsidP="006551D3">
      <w:pPr>
        <w:pStyle w:val="DotPointTLRI"/>
      </w:pPr>
      <w:bookmarkStart w:id="649" w:name="_Toc143872460"/>
      <w:r w:rsidRPr="00113F13">
        <w:t>‘an APP entity must identify the source of the personal information it has collected indirectly, on request by the individual’;</w:t>
      </w:r>
      <w:bookmarkEnd w:id="649"/>
    </w:p>
    <w:p w14:paraId="5BACEC6A" w14:textId="77777777" w:rsidR="00FF302D" w:rsidRPr="00113F13" w:rsidRDefault="00FF302D" w:rsidP="006551D3">
      <w:pPr>
        <w:pStyle w:val="DotPointTLRI"/>
      </w:pPr>
      <w:bookmarkStart w:id="650" w:name="_Toc143872461"/>
      <w:r w:rsidRPr="00113F13">
        <w:t>‘an APP entity must provide an explanation or summary of what it has done with the personal information, on request by the individual’; and</w:t>
      </w:r>
      <w:bookmarkEnd w:id="650"/>
    </w:p>
    <w:p w14:paraId="13F67D98" w14:textId="77777777" w:rsidR="00FF302D" w:rsidRPr="00113F13" w:rsidRDefault="00FF302D" w:rsidP="006551D3">
      <w:pPr>
        <w:pStyle w:val="DotPointTLRI"/>
      </w:pPr>
      <w:r w:rsidRPr="00113F13">
        <w:t>‘the entity may consult with the individual about the format for responding to a request, and the format should reflect the underlying purpose of ensuring the individual is informed, as far as is reasonable, about what is being done with their information’.</w:t>
      </w:r>
      <w:r w:rsidRPr="00113F13">
        <w:rPr>
          <w:rStyle w:val="FootnoteReference"/>
          <w:rFonts w:ascii="Times New Roman" w:hAnsi="Times New Roman"/>
        </w:rPr>
        <w:footnoteReference w:id="624"/>
      </w:r>
    </w:p>
    <w:p w14:paraId="723CF6F3" w14:textId="77777777" w:rsidR="00FF302D" w:rsidRPr="00113F13" w:rsidRDefault="00FF302D" w:rsidP="00B63604">
      <w:pPr>
        <w:pStyle w:val="NormalNumberedTextTLRI"/>
        <w:numPr>
          <w:ilvl w:val="2"/>
          <w:numId w:val="31"/>
        </w:numPr>
        <w:tabs>
          <w:tab w:val="clear" w:pos="720"/>
        </w:tabs>
        <w:spacing w:line="259" w:lineRule="auto"/>
      </w:pPr>
      <w:bookmarkStart w:id="651" w:name="_Toc143872462"/>
      <w:bookmarkStart w:id="652" w:name="_Ref150962800"/>
      <w:r w:rsidRPr="00113F13">
        <w:t>The Government agreed in-principle with this recommendation.</w:t>
      </w:r>
      <w:r w:rsidRPr="00113F13">
        <w:rPr>
          <w:rStyle w:val="FootnoteReference"/>
          <w:rFonts w:ascii="Times New Roman" w:hAnsi="Times New Roman"/>
        </w:rPr>
        <w:footnoteReference w:id="625"/>
      </w:r>
    </w:p>
    <w:p w14:paraId="27DAB41A" w14:textId="77777777" w:rsidR="00FF302D" w:rsidRPr="00113F13" w:rsidRDefault="00FF302D" w:rsidP="00B63604">
      <w:pPr>
        <w:pStyle w:val="NormalNumberedTextTLRI"/>
        <w:numPr>
          <w:ilvl w:val="2"/>
          <w:numId w:val="31"/>
        </w:numPr>
        <w:tabs>
          <w:tab w:val="clear" w:pos="720"/>
        </w:tabs>
        <w:spacing w:line="259" w:lineRule="auto"/>
      </w:pPr>
      <w:bookmarkStart w:id="653" w:name="_Ref164781445"/>
      <w:r w:rsidRPr="00113F13">
        <w:t xml:space="preserve">The Privacy Act Review’s recommendation in relation to a </w:t>
      </w:r>
      <w:r w:rsidRPr="00113F13">
        <w:rPr>
          <w:b/>
          <w:bCs/>
        </w:rPr>
        <w:t>right to correction</w:t>
      </w:r>
      <w:r w:rsidRPr="00113F13">
        <w:t xml:space="preserve"> entailed extending the existing right (which is available when information is inaccurate, out-of-date, incomplete, irrelevant, or misleading) to generally available publications online over which the APP entity maintains control, such as webpages.</w:t>
      </w:r>
      <w:bookmarkEnd w:id="651"/>
      <w:bookmarkEnd w:id="652"/>
      <w:r w:rsidRPr="00113F13">
        <w:rPr>
          <w:rStyle w:val="FootnoteReference"/>
          <w:rFonts w:ascii="Times New Roman" w:hAnsi="Times New Roman"/>
        </w:rPr>
        <w:footnoteReference w:id="626"/>
      </w:r>
      <w:r w:rsidRPr="00113F13">
        <w:t xml:space="preserve"> The Government agreed in-principle with this proposal.</w:t>
      </w:r>
      <w:r w:rsidRPr="00113F13">
        <w:rPr>
          <w:rStyle w:val="FootnoteReference"/>
          <w:rFonts w:ascii="Times New Roman" w:hAnsi="Times New Roman"/>
        </w:rPr>
        <w:footnoteReference w:id="627"/>
      </w:r>
      <w:bookmarkEnd w:id="653"/>
    </w:p>
    <w:p w14:paraId="0C3C0B9C" w14:textId="2B899BF9" w:rsidR="00FF302D" w:rsidRPr="00113F13" w:rsidRDefault="00FF302D" w:rsidP="006551D3">
      <w:pPr>
        <w:pStyle w:val="Sub-HeadingTLRI"/>
      </w:pPr>
      <w:bookmarkStart w:id="654" w:name="_Toc164606640"/>
      <w:r w:rsidRPr="00113F13">
        <w:t>General exceptions to individual rights</w:t>
      </w:r>
      <w:bookmarkEnd w:id="654"/>
    </w:p>
    <w:p w14:paraId="7696220E" w14:textId="77777777" w:rsidR="00FF302D" w:rsidRPr="00113F13" w:rsidRDefault="00FF302D" w:rsidP="00B63604">
      <w:pPr>
        <w:pStyle w:val="NormalNumberedTextTLRI"/>
        <w:numPr>
          <w:ilvl w:val="2"/>
          <w:numId w:val="31"/>
        </w:numPr>
        <w:tabs>
          <w:tab w:val="clear" w:pos="720"/>
        </w:tabs>
        <w:spacing w:line="259" w:lineRule="auto"/>
      </w:pPr>
      <w:bookmarkStart w:id="655" w:name="_Ref151387137"/>
      <w:bookmarkStart w:id="656" w:name="_Toc143872463"/>
      <w:r w:rsidRPr="00113F13">
        <w:t>The Privacy Act Review recommended that general exceptions should apply to all five of the proposed individual rights in three circumstances:</w:t>
      </w:r>
      <w:bookmarkEnd w:id="655"/>
      <w:r w:rsidRPr="00113F13">
        <w:t xml:space="preserve"> </w:t>
      </w:r>
    </w:p>
    <w:p w14:paraId="78A570BD" w14:textId="77777777" w:rsidR="00FF302D" w:rsidRPr="00113F13" w:rsidRDefault="00FF302D" w:rsidP="006551D3">
      <w:pPr>
        <w:pStyle w:val="DotPointTLRI"/>
      </w:pPr>
      <w:r w:rsidRPr="00113F13">
        <w:lastRenderedPageBreak/>
        <w:t xml:space="preserve">where there are competing public interests; </w:t>
      </w:r>
    </w:p>
    <w:p w14:paraId="7DE2F406" w14:textId="77777777" w:rsidR="00FF302D" w:rsidRPr="00113F13" w:rsidRDefault="00FF302D" w:rsidP="006551D3">
      <w:pPr>
        <w:pStyle w:val="DotPointTLRI"/>
      </w:pPr>
      <w:r w:rsidRPr="00113F13">
        <w:t xml:space="preserve">where required or authorised by law and legal relationships; and </w:t>
      </w:r>
    </w:p>
    <w:p w14:paraId="06B883A4" w14:textId="77777777" w:rsidR="00FF302D" w:rsidRPr="00113F13" w:rsidRDefault="00FF302D" w:rsidP="006551D3">
      <w:pPr>
        <w:pStyle w:val="DotPointTLRI"/>
      </w:pPr>
      <w:r w:rsidRPr="00113F13">
        <w:t>where technically infeasible or an abuse of process.</w:t>
      </w:r>
      <w:bookmarkEnd w:id="656"/>
      <w:r w:rsidRPr="00113F13">
        <w:rPr>
          <w:rStyle w:val="FootnoteReference"/>
          <w:rFonts w:ascii="Times New Roman" w:hAnsi="Times New Roman"/>
        </w:rPr>
        <w:footnoteReference w:id="628"/>
      </w:r>
    </w:p>
    <w:p w14:paraId="6F9EEEFC" w14:textId="77777777" w:rsidR="00FF302D" w:rsidRPr="00113F13" w:rsidRDefault="00FF302D" w:rsidP="00B63604">
      <w:pPr>
        <w:pStyle w:val="NormalNumberedTextTLRI"/>
        <w:numPr>
          <w:ilvl w:val="2"/>
          <w:numId w:val="31"/>
        </w:numPr>
        <w:tabs>
          <w:tab w:val="clear" w:pos="720"/>
        </w:tabs>
        <w:spacing w:line="259" w:lineRule="auto"/>
      </w:pPr>
      <w:r w:rsidRPr="00113F13">
        <w:t>The Government agreed in-principle with these proposed exceptions.</w:t>
      </w:r>
      <w:r w:rsidRPr="00113F13">
        <w:rPr>
          <w:rStyle w:val="FootnoteReference"/>
          <w:rFonts w:ascii="Times New Roman" w:hAnsi="Times New Roman"/>
        </w:rPr>
        <w:footnoteReference w:id="629"/>
      </w:r>
    </w:p>
    <w:p w14:paraId="3F433388" w14:textId="77777777" w:rsidR="00FF302D" w:rsidRPr="00113F13" w:rsidRDefault="00FF302D" w:rsidP="00B63604">
      <w:pPr>
        <w:pStyle w:val="NormalNumberedTextTLRI"/>
        <w:numPr>
          <w:ilvl w:val="2"/>
          <w:numId w:val="31"/>
        </w:numPr>
        <w:tabs>
          <w:tab w:val="clear" w:pos="720"/>
        </w:tabs>
        <w:spacing w:line="259" w:lineRule="auto"/>
      </w:pPr>
      <w:bookmarkStart w:id="657" w:name="_Toc143872464"/>
      <w:r w:rsidRPr="00113F13">
        <w:t>The competing public interests exception would apply where ‘the public interest in a particular activity outweighed the public interest in protecting privacy’, the assessment of which would involve an evaluative, balancing exercise.</w:t>
      </w:r>
      <w:r w:rsidRPr="00113F13">
        <w:rPr>
          <w:rStyle w:val="FootnoteReference"/>
          <w:rFonts w:ascii="Times New Roman" w:hAnsi="Times New Roman"/>
        </w:rPr>
        <w:footnoteReference w:id="630"/>
      </w:r>
      <w:r w:rsidRPr="00113F13">
        <w:t xml:space="preserve"> Where the exception was found to apply, the Review recommended that rights should ‘continue to operate to the extent the balancing does not weigh against it’.</w:t>
      </w:r>
      <w:r w:rsidRPr="00113F13">
        <w:rPr>
          <w:rStyle w:val="FootnoteReference"/>
          <w:rFonts w:ascii="Times New Roman" w:hAnsi="Times New Roman"/>
        </w:rPr>
        <w:footnoteReference w:id="631"/>
      </w:r>
      <w:bookmarkEnd w:id="657"/>
    </w:p>
    <w:p w14:paraId="101CB729" w14:textId="77777777" w:rsidR="00FF302D" w:rsidRPr="00113F13" w:rsidRDefault="00FF302D" w:rsidP="00B63604">
      <w:pPr>
        <w:pStyle w:val="NormalNumberedTextTLRI"/>
        <w:numPr>
          <w:ilvl w:val="2"/>
          <w:numId w:val="31"/>
        </w:numPr>
        <w:tabs>
          <w:tab w:val="clear" w:pos="720"/>
        </w:tabs>
        <w:spacing w:line="259" w:lineRule="auto"/>
      </w:pPr>
      <w:bookmarkStart w:id="658" w:name="_Toc143872465"/>
      <w:r w:rsidRPr="00113F13">
        <w:t>The Review considered that the public interest exception should include an exception for freedom of expression, an exception where compliance would impact law enforcement, exceptions regarding health care and research, and exceptions concerning national security and missing persons.</w:t>
      </w:r>
      <w:r w:rsidRPr="00113F13">
        <w:rPr>
          <w:rStyle w:val="FootnoteReference"/>
          <w:rFonts w:ascii="Times New Roman" w:hAnsi="Times New Roman"/>
        </w:rPr>
        <w:footnoteReference w:id="632"/>
      </w:r>
      <w:bookmarkEnd w:id="658"/>
      <w:r w:rsidRPr="00113F13">
        <w:t xml:space="preserve"> </w:t>
      </w:r>
    </w:p>
    <w:p w14:paraId="38AB4FB3" w14:textId="77777777" w:rsidR="00FF302D" w:rsidRPr="00113F13" w:rsidRDefault="00FF302D" w:rsidP="00B63604">
      <w:pPr>
        <w:pStyle w:val="NormalNumberedTextTLRI"/>
        <w:numPr>
          <w:ilvl w:val="2"/>
          <w:numId w:val="31"/>
        </w:numPr>
        <w:tabs>
          <w:tab w:val="clear" w:pos="720"/>
        </w:tabs>
        <w:spacing w:line="259" w:lineRule="auto"/>
      </w:pPr>
      <w:bookmarkStart w:id="659" w:name="_Toc143872466"/>
      <w:r w:rsidRPr="00113F13">
        <w:t>The second general exception to individual rights, which would apply where required or authorised by law or where compliance would be unlawful, was intended to address relationships with a legal character and to:</w:t>
      </w:r>
      <w:bookmarkEnd w:id="659"/>
    </w:p>
    <w:p w14:paraId="1F1D5B86" w14:textId="77777777" w:rsidR="00FF302D" w:rsidRPr="00113F13" w:rsidRDefault="00FF302D" w:rsidP="006551D3">
      <w:pPr>
        <w:pStyle w:val="DotPointTLRI"/>
      </w:pPr>
      <w:r w:rsidRPr="00113F13">
        <w:t>ensure the rights cannot be exercised contrary to law, or displace obligations under other regulatory regimes; and</w:t>
      </w:r>
    </w:p>
    <w:p w14:paraId="444CE0D2" w14:textId="77777777" w:rsidR="00FF302D" w:rsidRPr="00113F13" w:rsidRDefault="00FF302D" w:rsidP="006551D3">
      <w:pPr>
        <w:pStyle w:val="DotPointTLRI"/>
      </w:pPr>
      <w:r w:rsidRPr="00113F13">
        <w:t>ensure the rights do not interfere with the performance of contractual or other like obligations.</w:t>
      </w:r>
      <w:r w:rsidRPr="082BF74E">
        <w:rPr>
          <w:rStyle w:val="FootnoteReference"/>
          <w:rFonts w:ascii="Times New Roman" w:hAnsi="Times New Roman"/>
        </w:rPr>
        <w:footnoteReference w:id="633"/>
      </w:r>
    </w:p>
    <w:p w14:paraId="5459BA85" w14:textId="77777777" w:rsidR="00FF302D" w:rsidRPr="00113F13" w:rsidRDefault="00FF302D" w:rsidP="00B63604">
      <w:pPr>
        <w:pStyle w:val="NormalNumberedTextTLRI"/>
        <w:numPr>
          <w:ilvl w:val="2"/>
          <w:numId w:val="31"/>
        </w:numPr>
        <w:tabs>
          <w:tab w:val="clear" w:pos="720"/>
        </w:tabs>
        <w:spacing w:line="259" w:lineRule="auto"/>
      </w:pPr>
      <w:bookmarkStart w:id="660" w:name="_Toc143872467"/>
      <w:bookmarkStart w:id="661" w:name="_Ref164779608"/>
      <w:r w:rsidRPr="00113F13">
        <w:t>The third exception, relating to technical infeasibility or abuse of process, was proposed in contemplation of circumstances where:</w:t>
      </w:r>
      <w:bookmarkEnd w:id="660"/>
      <w:bookmarkEnd w:id="661"/>
    </w:p>
    <w:p w14:paraId="11555F2E" w14:textId="77777777" w:rsidR="00FF302D" w:rsidRPr="00113F13" w:rsidRDefault="00FF302D" w:rsidP="006551D3">
      <w:pPr>
        <w:pStyle w:val="DotPointTLRI"/>
      </w:pPr>
      <w:bookmarkStart w:id="662" w:name="_Toc143872468"/>
      <w:r w:rsidRPr="00113F13">
        <w:t>technical limitations on how information is held or used, or the nature of the request and the information, would make actioning the request unreasonable; and</w:t>
      </w:r>
      <w:bookmarkEnd w:id="662"/>
    </w:p>
    <w:p w14:paraId="1331198B" w14:textId="77777777" w:rsidR="00FF302D" w:rsidRPr="00113F13" w:rsidRDefault="00FF302D" w:rsidP="006551D3">
      <w:pPr>
        <w:pStyle w:val="DotPointTLRI"/>
      </w:pPr>
      <w:r w:rsidRPr="00113F13">
        <w:t>requests are frivolous or vexatious (which would be an extension of the similar exception already applying to access in APP 12.3).</w:t>
      </w:r>
      <w:r w:rsidRPr="00113F13">
        <w:rPr>
          <w:rStyle w:val="FootnoteReference"/>
          <w:rFonts w:ascii="Times New Roman" w:hAnsi="Times New Roman"/>
        </w:rPr>
        <w:footnoteReference w:id="634"/>
      </w:r>
    </w:p>
    <w:p w14:paraId="5DAD94F4" w14:textId="77777777" w:rsidR="00FF302D" w:rsidRPr="00113F13" w:rsidRDefault="00FF302D" w:rsidP="006551D3">
      <w:pPr>
        <w:pStyle w:val="Sub-HeadingTLRI"/>
      </w:pPr>
      <w:bookmarkStart w:id="663" w:name="_Toc164606641"/>
      <w:r w:rsidRPr="00113F13">
        <w:t>Assisting and responding to the exercise of individual rights</w:t>
      </w:r>
      <w:bookmarkEnd w:id="663"/>
      <w:r w:rsidRPr="00113F13">
        <w:t xml:space="preserve"> </w:t>
      </w:r>
    </w:p>
    <w:p w14:paraId="67383BF7" w14:textId="77777777" w:rsidR="00FF302D" w:rsidRPr="00113F13" w:rsidRDefault="00FF302D" w:rsidP="00B63604">
      <w:pPr>
        <w:pStyle w:val="NormalNumberedTextTLRI"/>
        <w:numPr>
          <w:ilvl w:val="2"/>
          <w:numId w:val="31"/>
        </w:numPr>
        <w:tabs>
          <w:tab w:val="clear" w:pos="720"/>
        </w:tabs>
        <w:spacing w:line="259" w:lineRule="auto"/>
      </w:pPr>
      <w:r w:rsidRPr="00113F13">
        <w:t>The Privacy Act Review also proposed that APP entities should meet certain requirements when responding to the exercise of one or more of the proposed individual rights. The Review suggested these requirements would have several purposes, including: ‘address[ing] the imbalance in understanding between the APP entity and the individual, whilst facilitating the relationship between the parties’; balancing the enjoyment of individual rights with the administrative burden on APP entities; and supporting compliance by setting standards and providing guidance.</w:t>
      </w:r>
      <w:r w:rsidRPr="00113F13">
        <w:rPr>
          <w:rStyle w:val="FootnoteReference"/>
          <w:rFonts w:ascii="Times New Roman" w:hAnsi="Times New Roman"/>
        </w:rPr>
        <w:footnoteReference w:id="635"/>
      </w:r>
    </w:p>
    <w:p w14:paraId="73615F13" w14:textId="77777777" w:rsidR="00FF302D" w:rsidRPr="00113F13" w:rsidRDefault="00FF302D" w:rsidP="00B63604">
      <w:pPr>
        <w:pStyle w:val="NormalNumberedTextTLRI"/>
        <w:numPr>
          <w:ilvl w:val="2"/>
          <w:numId w:val="31"/>
        </w:numPr>
        <w:tabs>
          <w:tab w:val="clear" w:pos="720"/>
        </w:tabs>
        <w:spacing w:line="259" w:lineRule="auto"/>
      </w:pPr>
      <w:r w:rsidRPr="00113F13">
        <w:t>The Review recommended that APP entities should be required to:</w:t>
      </w:r>
    </w:p>
    <w:p w14:paraId="79894EC4" w14:textId="77777777"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lastRenderedPageBreak/>
        <w:t>provide ‘reasonable assistance’ to individuals in exercising their rights (in order to avoid APP entities taking ‘a technical or legalistic approach to the wording of a request, which may not be in the interests of either party’), which was modelled on a similar requirement in freedom of information legislation;</w:t>
      </w:r>
      <w:r w:rsidRPr="00113F13">
        <w:rPr>
          <w:rStyle w:val="FootnoteReference"/>
          <w:rFonts w:ascii="Times New Roman" w:hAnsi="Times New Roman" w:cs="Times New Roman"/>
        </w:rPr>
        <w:footnoteReference w:id="636"/>
      </w:r>
    </w:p>
    <w:p w14:paraId="239FA094" w14:textId="77777777"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take ‘reasonable steps to respond to an exercise’ of an individual right, including ensuring that a refusal of a request is accompanied by an explanation and information about how an individual can lodge a complaint;</w:t>
      </w:r>
      <w:r w:rsidRPr="00113F13">
        <w:rPr>
          <w:rStyle w:val="FootnoteReference"/>
          <w:rFonts w:ascii="Times New Roman" w:hAnsi="Times New Roman" w:cs="Times New Roman"/>
        </w:rPr>
        <w:footnoteReference w:id="637"/>
      </w:r>
      <w:r w:rsidRPr="00113F13">
        <w:rPr>
          <w:rFonts w:cs="Times New Roman"/>
        </w:rPr>
        <w:t xml:space="preserve"> and</w:t>
      </w:r>
    </w:p>
    <w:p w14:paraId="3DE00C7B" w14:textId="77777777" w:rsidR="00FF302D" w:rsidRPr="00113F13" w:rsidRDefault="00FF302D" w:rsidP="00B63604">
      <w:pPr>
        <w:pStyle w:val="ListParagraph"/>
        <w:numPr>
          <w:ilvl w:val="0"/>
          <w:numId w:val="20"/>
        </w:numPr>
        <w:spacing w:after="160" w:line="259" w:lineRule="auto"/>
        <w:rPr>
          <w:rFonts w:cs="Times New Roman"/>
        </w:rPr>
      </w:pPr>
      <w:r w:rsidRPr="00113F13">
        <w:rPr>
          <w:rFonts w:cs="Times New Roman"/>
        </w:rPr>
        <w:t>‘acknowledge receipt of a request to exercise an individual right within a reasonable time and provide a timeframe for responding’, with the default timeframe of 30 days for agencies.</w:t>
      </w:r>
      <w:r w:rsidRPr="00113F13">
        <w:rPr>
          <w:rStyle w:val="FootnoteReference"/>
          <w:rFonts w:ascii="Times New Roman" w:hAnsi="Times New Roman" w:cs="Times New Roman"/>
        </w:rPr>
        <w:footnoteReference w:id="638"/>
      </w:r>
    </w:p>
    <w:p w14:paraId="574BA5CC" w14:textId="77777777" w:rsidR="00FF302D" w:rsidRPr="00113F13" w:rsidRDefault="00FF302D" w:rsidP="00B63604">
      <w:pPr>
        <w:pStyle w:val="NormalNumberedTextTLRI"/>
        <w:numPr>
          <w:ilvl w:val="2"/>
          <w:numId w:val="31"/>
        </w:numPr>
        <w:tabs>
          <w:tab w:val="clear" w:pos="720"/>
        </w:tabs>
        <w:spacing w:line="259" w:lineRule="auto"/>
      </w:pPr>
      <w:r w:rsidRPr="00113F13">
        <w:t>The Government agreed in-principle with these recommendations.</w:t>
      </w:r>
      <w:r w:rsidRPr="00113F13">
        <w:rPr>
          <w:rStyle w:val="FootnoteReference"/>
          <w:rFonts w:ascii="Times New Roman" w:hAnsi="Times New Roman"/>
        </w:rPr>
        <w:footnoteReference w:id="639"/>
      </w:r>
    </w:p>
    <w:p w14:paraId="0C245828" w14:textId="77777777" w:rsidR="00FF302D" w:rsidRPr="00113F13" w:rsidRDefault="00FF302D" w:rsidP="00BF1FE7">
      <w:pPr>
        <w:pStyle w:val="NumberedHeadingTLRI"/>
      </w:pPr>
      <w:bookmarkStart w:id="664" w:name="_Toc143872470"/>
      <w:bookmarkStart w:id="665" w:name="_Toc152245436"/>
      <w:bookmarkStart w:id="666" w:name="_Toc164606642"/>
      <w:r w:rsidRPr="00113F13">
        <w:t>Consultation</w:t>
      </w:r>
      <w:bookmarkEnd w:id="664"/>
      <w:bookmarkEnd w:id="665"/>
      <w:bookmarkEnd w:id="666"/>
    </w:p>
    <w:p w14:paraId="6956B039" w14:textId="77777777" w:rsidR="00FF302D" w:rsidRPr="00113F13" w:rsidRDefault="00FF302D" w:rsidP="00B63604">
      <w:pPr>
        <w:pStyle w:val="NormalNumberedTextTLRI"/>
        <w:numPr>
          <w:ilvl w:val="2"/>
          <w:numId w:val="31"/>
        </w:numPr>
        <w:tabs>
          <w:tab w:val="clear" w:pos="720"/>
        </w:tabs>
        <w:spacing w:line="259" w:lineRule="auto"/>
      </w:pPr>
      <w:bookmarkStart w:id="667" w:name="_Toc143872471"/>
      <w:r w:rsidRPr="00113F13">
        <w:t>The TLRI Issues Paper contained several questions relating to data quality, security, and/or access and correction:</w:t>
      </w:r>
      <w:bookmarkEnd w:id="667"/>
    </w:p>
    <w:p w14:paraId="3DB375AA" w14:textId="77777777" w:rsidR="00FF302D" w:rsidRPr="00113F13" w:rsidRDefault="00FF302D" w:rsidP="006551D3">
      <w:pPr>
        <w:pStyle w:val="Indentedquote"/>
        <w:rPr>
          <w:rFonts w:cs="Times New Roman"/>
        </w:rPr>
      </w:pPr>
      <w:bookmarkStart w:id="668" w:name="_Toc143872472"/>
      <w:r w:rsidRPr="00113F13">
        <w:rPr>
          <w:rFonts w:cs="Times New Roman"/>
        </w:rPr>
        <w:t>Are there any other amendments to the PIPPs that you think should be made</w:t>
      </w:r>
      <w:bookmarkEnd w:id="668"/>
      <w:r w:rsidRPr="00113F13">
        <w:rPr>
          <w:rFonts w:cs="Times New Roman"/>
        </w:rPr>
        <w:t>?</w:t>
      </w:r>
      <w:r w:rsidRPr="00113F13">
        <w:rPr>
          <w:rStyle w:val="FootnoteReference"/>
          <w:rFonts w:ascii="Times New Roman" w:hAnsi="Times New Roman" w:cs="Times New Roman"/>
        </w:rPr>
        <w:footnoteReference w:id="640"/>
      </w:r>
    </w:p>
    <w:p w14:paraId="28B5D75F" w14:textId="77777777" w:rsidR="00FF302D" w:rsidRPr="00113F13" w:rsidRDefault="00FF302D" w:rsidP="006551D3">
      <w:pPr>
        <w:pStyle w:val="Indentedquote"/>
        <w:rPr>
          <w:rFonts w:cs="Times New Roman"/>
        </w:rPr>
      </w:pPr>
      <w:bookmarkStart w:id="669" w:name="_Toc143872473"/>
      <w:r w:rsidRPr="00113F13">
        <w:rPr>
          <w:rFonts w:cs="Times New Roman"/>
        </w:rPr>
        <w:t>Should any of the other potential reforms be introduced, including:</w:t>
      </w:r>
      <w:bookmarkEnd w:id="669"/>
      <w:r w:rsidRPr="00113F13">
        <w:rPr>
          <w:rFonts w:cs="Times New Roman"/>
        </w:rPr>
        <w:t xml:space="preserve"> </w:t>
      </w:r>
    </w:p>
    <w:p w14:paraId="15E1BBF6" w14:textId="17ABA069" w:rsidR="00FF302D" w:rsidRPr="00113F13" w:rsidRDefault="00FF302D" w:rsidP="006551D3">
      <w:pPr>
        <w:pStyle w:val="Indentedquote"/>
        <w:rPr>
          <w:rFonts w:cs="Times New Roman"/>
        </w:rPr>
      </w:pPr>
      <w:bookmarkStart w:id="670" w:name="_Toc143872474"/>
      <w:r w:rsidRPr="00113F13">
        <w:rPr>
          <w:rFonts w:cs="Times New Roman"/>
        </w:rPr>
        <w:t>…</w:t>
      </w:r>
      <w:bookmarkEnd w:id="670"/>
      <w:r w:rsidRPr="00113F13">
        <w:rPr>
          <w:rFonts w:cs="Times New Roman"/>
        </w:rPr>
        <w:t xml:space="preserve"> </w:t>
      </w:r>
      <w:bookmarkStart w:id="671" w:name="_Toc143872475"/>
      <w:r w:rsidRPr="00113F13">
        <w:rPr>
          <w:rFonts w:cs="Times New Roman"/>
        </w:rPr>
        <w:t>a right to be forgotten</w:t>
      </w:r>
      <w:bookmarkEnd w:id="671"/>
      <w:r w:rsidRPr="00113F13">
        <w:rPr>
          <w:rStyle w:val="FootnoteReference"/>
          <w:rFonts w:ascii="Times New Roman" w:hAnsi="Times New Roman" w:cs="Times New Roman"/>
        </w:rPr>
        <w:footnoteReference w:id="641"/>
      </w:r>
    </w:p>
    <w:p w14:paraId="0FF48218" w14:textId="26565B9E" w:rsidR="00FF302D" w:rsidRPr="00113F13" w:rsidRDefault="00FF302D" w:rsidP="006551D3">
      <w:pPr>
        <w:pStyle w:val="Sub-HeadingTLRI"/>
      </w:pPr>
      <w:bookmarkStart w:id="672" w:name="_Toc164606643"/>
      <w:r w:rsidRPr="00113F13">
        <w:t>Data security</w:t>
      </w:r>
      <w:bookmarkEnd w:id="672"/>
    </w:p>
    <w:p w14:paraId="322F8F43" w14:textId="5246E4F7" w:rsidR="00FF302D" w:rsidRPr="003215A2" w:rsidRDefault="00FF302D" w:rsidP="00B63604">
      <w:pPr>
        <w:pStyle w:val="NormalNumberedTextTLRI"/>
        <w:numPr>
          <w:ilvl w:val="2"/>
          <w:numId w:val="31"/>
        </w:numPr>
        <w:tabs>
          <w:tab w:val="clear" w:pos="720"/>
        </w:tabs>
        <w:spacing w:line="259" w:lineRule="auto"/>
      </w:pPr>
      <w:bookmarkStart w:id="673" w:name="_Toc143872482"/>
      <w:r w:rsidRPr="00113F13">
        <w:t xml:space="preserve">Dr Joel Scanlan expressed support for the introduction of a ‘right to be forgotten’. Dr Scanlan also observed that </w:t>
      </w:r>
      <w:r w:rsidRPr="003215A2">
        <w:t>the deletion of old data is costly.</w:t>
      </w:r>
      <w:r w:rsidRPr="003215A2">
        <w:rPr>
          <w:rStyle w:val="FootnoteReference"/>
          <w:rFonts w:ascii="Times New Roman" w:hAnsi="Times New Roman"/>
        </w:rPr>
        <w:footnoteReference w:id="642"/>
      </w:r>
      <w:bookmarkEnd w:id="673"/>
    </w:p>
    <w:p w14:paraId="6597CE2F" w14:textId="5429D19F" w:rsidR="00FF302D" w:rsidRPr="00113F13" w:rsidRDefault="288D8F58" w:rsidP="00B63604">
      <w:pPr>
        <w:pStyle w:val="NormalNumberedTextTLRI"/>
        <w:numPr>
          <w:ilvl w:val="2"/>
          <w:numId w:val="31"/>
        </w:numPr>
        <w:tabs>
          <w:tab w:val="clear" w:pos="720"/>
        </w:tabs>
        <w:spacing w:line="259" w:lineRule="auto"/>
      </w:pPr>
      <w:r w:rsidRPr="003215A2">
        <w:t xml:space="preserve">As discussed in </w:t>
      </w:r>
      <w:r w:rsidRPr="00EA22F8">
        <w:t>[4.4.4]</w:t>
      </w:r>
      <w:r w:rsidRPr="003215A2">
        <w:t>, academics</w:t>
      </w:r>
      <w:r>
        <w:t xml:space="preserve"> in the Centre for Law and Genetics at the University of Tasmania (Professor Margaret Otlowski, Emeritus Distinguished Professor Dianne Nicol, and Dr Lisa Eckstein) recommended that Tasmania follow the Privacy Act Review’s proposals to extend protections to de-identified information that are proportionate to the risk of the information being re-identified.</w:t>
      </w:r>
    </w:p>
    <w:p w14:paraId="0BCDE0E8" w14:textId="77777777" w:rsidR="00FF302D" w:rsidRPr="00113F13" w:rsidRDefault="00FF302D" w:rsidP="00B63604">
      <w:pPr>
        <w:pStyle w:val="NormalNumberedTextTLRI"/>
        <w:numPr>
          <w:ilvl w:val="2"/>
          <w:numId w:val="31"/>
        </w:numPr>
        <w:tabs>
          <w:tab w:val="clear" w:pos="720"/>
        </w:tabs>
        <w:spacing w:line="259" w:lineRule="auto"/>
      </w:pPr>
      <w:bookmarkStart w:id="674" w:name="_Toc143872477"/>
      <w:bookmarkStart w:id="675" w:name="_Ref164859698"/>
      <w:r w:rsidRPr="00113F13">
        <w:t xml:space="preserve">Richard Griggs proposed that PIPP 4(2) should be amended to make destruction or permanent de-identification of personal information that is no longer needed for any purpose </w:t>
      </w:r>
      <w:r w:rsidRPr="00113F13">
        <w:rPr>
          <w:i/>
          <w:iCs/>
        </w:rPr>
        <w:t>mandatory</w:t>
      </w:r>
      <w:r w:rsidRPr="00113F13">
        <w:t>, replacing the current requirement that custodians take ‘reasonable steps’</w:t>
      </w:r>
      <w:bookmarkEnd w:id="674"/>
      <w:r w:rsidRPr="00113F13">
        <w:t>.</w:t>
      </w:r>
      <w:bookmarkEnd w:id="675"/>
    </w:p>
    <w:p w14:paraId="7439D31C" w14:textId="77777777" w:rsidR="00FF302D" w:rsidRPr="00113F13" w:rsidRDefault="00FF302D" w:rsidP="006551D3">
      <w:pPr>
        <w:pStyle w:val="Sub-HeadingTLRI"/>
      </w:pPr>
      <w:bookmarkStart w:id="676" w:name="_Toc164606644"/>
      <w:r w:rsidRPr="00113F13">
        <w:t>Access and correction</w:t>
      </w:r>
      <w:bookmarkEnd w:id="676"/>
    </w:p>
    <w:p w14:paraId="6964C72A" w14:textId="77777777" w:rsidR="00FF302D" w:rsidRPr="00113F13" w:rsidRDefault="00FF302D" w:rsidP="00B63604">
      <w:pPr>
        <w:pStyle w:val="NormalNumberedTextTLRI"/>
        <w:numPr>
          <w:ilvl w:val="2"/>
          <w:numId w:val="31"/>
        </w:numPr>
        <w:tabs>
          <w:tab w:val="clear" w:pos="720"/>
        </w:tabs>
        <w:spacing w:line="259" w:lineRule="auto"/>
      </w:pPr>
      <w:bookmarkStart w:id="677" w:name="_Toc143872484"/>
      <w:r w:rsidRPr="00113F13">
        <w:t>Two submitters raised concerns about the operation of PIPP 6 in relation to access to personal information.</w:t>
      </w:r>
      <w:bookmarkEnd w:id="677"/>
    </w:p>
    <w:p w14:paraId="5A3988F9" w14:textId="08D3CB4F" w:rsidR="00FF302D" w:rsidRPr="00113F13" w:rsidRDefault="00FF302D" w:rsidP="00B63604">
      <w:pPr>
        <w:pStyle w:val="NormalNumberedTextTLRI"/>
        <w:numPr>
          <w:ilvl w:val="2"/>
          <w:numId w:val="31"/>
        </w:numPr>
        <w:tabs>
          <w:tab w:val="clear" w:pos="720"/>
        </w:tabs>
        <w:spacing w:line="259" w:lineRule="auto"/>
      </w:pPr>
      <w:bookmarkStart w:id="678" w:name="_Ref165023905"/>
      <w:bookmarkStart w:id="679" w:name="_Toc143872489"/>
      <w:r w:rsidRPr="00113F13">
        <w:lastRenderedPageBreak/>
        <w:t xml:space="preserve">The Tasmanian Ombudsman expressed concern about the problematic interaction between the PIPA and the </w:t>
      </w:r>
      <w:r w:rsidRPr="00113F13">
        <w:rPr>
          <w:i/>
          <w:iCs/>
        </w:rPr>
        <w:t>Right to Information Act 2009</w:t>
      </w:r>
      <w:r w:rsidRPr="00113F13">
        <w:t xml:space="preserve"> (Tas) (‘RTI Act’) in the application of PIPP 6, which requires personal information custodians to treat further written requests for access (where the original request was refused or not responded to within 20 working days) ‘as if … the written request were an application for assessed disclosure of information’ under </w:t>
      </w:r>
      <w:r w:rsidR="009E4420">
        <w:t>Section</w:t>
      </w:r>
      <w:r w:rsidRPr="00113F13">
        <w:t xml:space="preserve"> 13 of RTI Act </w:t>
      </w:r>
      <w:r w:rsidRPr="0086759C">
        <w:t>(</w:t>
      </w:r>
      <w:r w:rsidRPr="00EA22F8">
        <w:t>see [</w:t>
      </w:r>
      <w:r w:rsidR="0086759C">
        <w:fldChar w:fldCharType="begin"/>
      </w:r>
      <w:r w:rsidR="0086759C" w:rsidRPr="00EA22F8">
        <w:instrText xml:space="preserve"> REF _Ref164783316 \r \h </w:instrText>
      </w:r>
      <w:r w:rsidR="0086759C">
        <w:instrText xml:space="preserve"> \* MERGEFORMAT </w:instrText>
      </w:r>
      <w:r w:rsidR="0086759C">
        <w:fldChar w:fldCharType="separate"/>
      </w:r>
      <w:r w:rsidR="00462C30">
        <w:rPr>
          <w:cs/>
        </w:rPr>
        <w:t>‎</w:t>
      </w:r>
      <w:r w:rsidR="00462C30">
        <w:t>6.2.5</w:t>
      </w:r>
      <w:r w:rsidR="0086759C">
        <w:fldChar w:fldCharType="end"/>
      </w:r>
      <w:r w:rsidRPr="00EA22F8">
        <w:t>] above)</w:t>
      </w:r>
      <w:r w:rsidRPr="0086759C">
        <w:t>.</w:t>
      </w:r>
      <w:r w:rsidRPr="0086759C">
        <w:rPr>
          <w:rStyle w:val="FootnoteReference"/>
          <w:rFonts w:ascii="Times New Roman" w:hAnsi="Times New Roman"/>
        </w:rPr>
        <w:footnoteReference w:id="643"/>
      </w:r>
      <w:bookmarkEnd w:id="678"/>
    </w:p>
    <w:p w14:paraId="6C4895D1" w14:textId="77777777" w:rsidR="00FF302D" w:rsidRPr="00113F13" w:rsidRDefault="00FF302D" w:rsidP="00B63604">
      <w:pPr>
        <w:pStyle w:val="NormalNumberedTextTLRI"/>
        <w:numPr>
          <w:ilvl w:val="2"/>
          <w:numId w:val="31"/>
        </w:numPr>
        <w:tabs>
          <w:tab w:val="clear" w:pos="720"/>
        </w:tabs>
        <w:spacing w:line="259" w:lineRule="auto"/>
      </w:pPr>
      <w:r w:rsidRPr="00113F13">
        <w:t>According to the Tasmanian Ombudsman:</w:t>
      </w:r>
      <w:bookmarkEnd w:id="679"/>
    </w:p>
    <w:p w14:paraId="37A85934" w14:textId="4F39CADF" w:rsidR="00FF302D" w:rsidRPr="00113F13" w:rsidRDefault="00FF302D" w:rsidP="006551D3">
      <w:pPr>
        <w:pStyle w:val="Indentedquote"/>
        <w:rPr>
          <w:rFonts w:cs="Times New Roman"/>
        </w:rPr>
      </w:pPr>
      <w:r w:rsidRPr="00113F13">
        <w:rPr>
          <w:rFonts w:cs="Times New Roman"/>
        </w:rPr>
        <w:t>The use of the phrase ‘as if’</w:t>
      </w:r>
      <w:r w:rsidR="00492822">
        <w:rPr>
          <w:rFonts w:cs="Times New Roman"/>
        </w:rPr>
        <w:t xml:space="preserve"> </w:t>
      </w:r>
      <w:r w:rsidRPr="00113F13">
        <w:rPr>
          <w:rFonts w:cs="Times New Roman"/>
        </w:rPr>
        <w:t>[in PIPP 6(1)(b)] creates difficulty because it is not a deeming provision; it does not render a request under this provision an application under the RTI Act. A literal interpretation of the provision requires the personal information custodian to determine the matter in the same manner and having regard to the same principles as an application under section 13 of the RTI Act, but does not import the other provisions of the RTI Act. This means there are no review rights nor prescribed timeframes which, in a practical sense, leave applicants who have gone down the [PIPA] access path with no ability to seek external review of a failure to provide access or redress in respect of delay.</w:t>
      </w:r>
    </w:p>
    <w:p w14:paraId="5072F77B" w14:textId="77777777" w:rsidR="00FF302D" w:rsidRPr="00113F13" w:rsidRDefault="00FF302D" w:rsidP="00B63604">
      <w:pPr>
        <w:pStyle w:val="NormalNumberedTextTLRI"/>
        <w:numPr>
          <w:ilvl w:val="2"/>
          <w:numId w:val="31"/>
        </w:numPr>
        <w:tabs>
          <w:tab w:val="clear" w:pos="720"/>
        </w:tabs>
        <w:spacing w:line="259" w:lineRule="auto"/>
      </w:pPr>
      <w:bookmarkStart w:id="680" w:name="_Toc143872490"/>
      <w:r w:rsidRPr="00113F13">
        <w:t>The Ombudsman suggested that amendments to both the RTI Act and the PIPA would be necessary to address this issue.</w:t>
      </w:r>
      <w:bookmarkEnd w:id="680"/>
    </w:p>
    <w:p w14:paraId="658D107C" w14:textId="16DBAE7A" w:rsidR="00FF302D" w:rsidRPr="00113F13" w:rsidRDefault="00FF302D" w:rsidP="00B63604">
      <w:pPr>
        <w:pStyle w:val="NormalNumberedTextTLRI"/>
        <w:numPr>
          <w:ilvl w:val="2"/>
          <w:numId w:val="31"/>
        </w:numPr>
        <w:tabs>
          <w:tab w:val="clear" w:pos="720"/>
        </w:tabs>
        <w:spacing w:line="259" w:lineRule="auto"/>
      </w:pPr>
      <w:bookmarkStart w:id="681" w:name="_Toc143872485"/>
      <w:r w:rsidRPr="00113F13">
        <w:t xml:space="preserve">Alex Kendall of Phillips Taglieri Barristers &amp; Solicitors similarly argued that the wording of PIPP 6(1)(b) produced confusion about the interaction between the PIPA and the RTI Act, particularly in terms of whether the offence in </w:t>
      </w:r>
      <w:r w:rsidR="009E4420">
        <w:t>Section</w:t>
      </w:r>
      <w:r w:rsidRPr="00113F13">
        <w:t xml:space="preserve"> 50 of the RTI Act for failure to disclose information applies to requests made under the PIPA.</w:t>
      </w:r>
    </w:p>
    <w:p w14:paraId="6FBE46FA" w14:textId="77777777" w:rsidR="00FF302D" w:rsidRPr="00113F13" w:rsidRDefault="00FF302D" w:rsidP="00B63604">
      <w:pPr>
        <w:pStyle w:val="NormalNumberedTextTLRI"/>
        <w:numPr>
          <w:ilvl w:val="2"/>
          <w:numId w:val="31"/>
        </w:numPr>
        <w:tabs>
          <w:tab w:val="clear" w:pos="720"/>
        </w:tabs>
        <w:spacing w:line="259" w:lineRule="auto"/>
      </w:pPr>
      <w:r w:rsidRPr="00113F13">
        <w:t>Mr Kendall submitted that the current wording of the PIPA in this and other respects makes it difficult for lawyers to obtain their clients’ personal information, even with express written consent. Mr Kendall submitted that personal information custodians refuse access ‘on the basis of various excuses’ involving misconstructions or misapplications of the PIPPs.</w:t>
      </w:r>
      <w:bookmarkEnd w:id="681"/>
    </w:p>
    <w:p w14:paraId="71B5CE2B" w14:textId="77777777" w:rsidR="00FF302D" w:rsidRPr="00113F13" w:rsidRDefault="00FF302D" w:rsidP="00B63604">
      <w:pPr>
        <w:pStyle w:val="NormalNumberedTextTLRI"/>
        <w:numPr>
          <w:ilvl w:val="2"/>
          <w:numId w:val="31"/>
        </w:numPr>
        <w:tabs>
          <w:tab w:val="clear" w:pos="720"/>
        </w:tabs>
        <w:spacing w:line="259" w:lineRule="auto"/>
      </w:pPr>
      <w:bookmarkStart w:id="682" w:name="_Toc143872486"/>
      <w:r w:rsidRPr="00113F13">
        <w:t>On this basis, Mr Kendall suggested that PIPP 6 should be amended to provide individuals with unrestricted access to their personal information by:</w:t>
      </w:r>
      <w:bookmarkEnd w:id="682"/>
    </w:p>
    <w:p w14:paraId="66B33072" w14:textId="77777777" w:rsidR="00FF302D" w:rsidRPr="00113F13" w:rsidRDefault="00FF302D" w:rsidP="006551D3">
      <w:pPr>
        <w:pStyle w:val="DotPointTLRI"/>
      </w:pPr>
      <w:bookmarkStart w:id="683" w:name="_Toc143872487"/>
      <w:r w:rsidRPr="00113F13">
        <w:t>replacing ‘may provide that individual with access to his or her personal information’ with ‘must provide that individual with access to his or her personal information’ in PIPP 6(1)(a), to clarify that personal information custodians must disclose information on request;</w:t>
      </w:r>
      <w:bookmarkEnd w:id="683"/>
    </w:p>
    <w:p w14:paraId="035663C1" w14:textId="77777777" w:rsidR="00FF302D" w:rsidRPr="00113F13" w:rsidRDefault="00FF302D" w:rsidP="006551D3">
      <w:pPr>
        <w:pStyle w:val="DotPointTLRI"/>
      </w:pPr>
      <w:bookmarkStart w:id="684" w:name="_Toc143872488"/>
      <w:r w:rsidRPr="00113F13">
        <w:t>deleting paragraph (b) of PIPP 6(1);</w:t>
      </w:r>
      <w:bookmarkEnd w:id="684"/>
    </w:p>
    <w:p w14:paraId="243D8A87" w14:textId="77777777" w:rsidR="00FF302D" w:rsidRPr="00113F13" w:rsidRDefault="00FF302D" w:rsidP="006551D3">
      <w:pPr>
        <w:pStyle w:val="DotPointTLRI"/>
      </w:pPr>
      <w:r w:rsidRPr="00113F13">
        <w:t>imposing a requirement for personal information custodians to provide copies (rather than merely ‘access’) to the personal information; and</w:t>
      </w:r>
    </w:p>
    <w:p w14:paraId="67F82559" w14:textId="77777777" w:rsidR="00FF302D" w:rsidRPr="00113F13" w:rsidRDefault="00FF302D" w:rsidP="006551D3">
      <w:pPr>
        <w:pStyle w:val="DotPointTLRI"/>
      </w:pPr>
      <w:r w:rsidRPr="00113F13">
        <w:t>prescribing a fee for access and copies (in order to avoid personal information custodians ‘quoting excessive amounts’—with Phillips Taglieri indicating experience of fees ranging from $50 to over $1,000).</w:t>
      </w:r>
      <w:r w:rsidRPr="00113F13">
        <w:rPr>
          <w:rStyle w:val="FootnoteReference"/>
          <w:rFonts w:ascii="Times New Roman" w:hAnsi="Times New Roman"/>
        </w:rPr>
        <w:footnoteReference w:id="644"/>
      </w:r>
    </w:p>
    <w:p w14:paraId="35BDAC09" w14:textId="77777777" w:rsidR="00FF302D" w:rsidRPr="00113F13" w:rsidRDefault="00FF302D" w:rsidP="00FF302D">
      <w:pPr>
        <w:pStyle w:val="ListParagraph"/>
        <w:spacing w:after="0"/>
        <w:ind w:left="714"/>
        <w:rPr>
          <w:rFonts w:cs="Times New Roman"/>
        </w:rPr>
      </w:pPr>
    </w:p>
    <w:p w14:paraId="487DB3E7" w14:textId="6A02ECBB" w:rsidR="00FF302D" w:rsidRPr="00113F13" w:rsidRDefault="00FF302D" w:rsidP="00B63604">
      <w:pPr>
        <w:pStyle w:val="NormalNumberedTextTLRI"/>
        <w:numPr>
          <w:ilvl w:val="2"/>
          <w:numId w:val="31"/>
        </w:numPr>
        <w:tabs>
          <w:tab w:val="clear" w:pos="720"/>
        </w:tabs>
        <w:spacing w:line="259" w:lineRule="auto"/>
      </w:pPr>
      <w:bookmarkStart w:id="685" w:name="_Toc143872491"/>
      <w:r w:rsidRPr="00113F13">
        <w:t xml:space="preserve">The Tasmanian Ombudsman also described as ‘somewhat curious’ Part 3A of the PIPA—specifically, the provision that enables a person to ‘require’ a personal information custodian to add a notation to information where the custodian has refused a request to amend information that the person </w:t>
      </w:r>
      <w:r w:rsidRPr="00113F13">
        <w:lastRenderedPageBreak/>
        <w:t>considers is incorrect, incomplete, out-of-date, or misleading</w:t>
      </w:r>
      <w:bookmarkEnd w:id="685"/>
      <w:r w:rsidRPr="00113F13">
        <w:t xml:space="preserve"> </w:t>
      </w:r>
      <w:r w:rsidRPr="00A91494">
        <w:t>(</w:t>
      </w:r>
      <w:r w:rsidRPr="00EA22F8">
        <w:t>described above at paragraph [</w:t>
      </w:r>
      <w:r w:rsidR="00A91494">
        <w:fldChar w:fldCharType="begin"/>
      </w:r>
      <w:r w:rsidR="00A91494" w:rsidRPr="00EA22F8">
        <w:instrText xml:space="preserve"> REF _Ref164783364 \r \h </w:instrText>
      </w:r>
      <w:r w:rsidR="00A91494">
        <w:instrText xml:space="preserve"> \* MERGEFORMAT </w:instrText>
      </w:r>
      <w:r w:rsidR="00A91494">
        <w:fldChar w:fldCharType="separate"/>
      </w:r>
      <w:r w:rsidR="00462C30">
        <w:rPr>
          <w:cs/>
        </w:rPr>
        <w:t>‎</w:t>
      </w:r>
      <w:r w:rsidR="00462C30">
        <w:t>6.2.5</w:t>
      </w:r>
      <w:r w:rsidR="00A91494">
        <w:fldChar w:fldCharType="end"/>
      </w:r>
      <w:r w:rsidRPr="00EA22F8">
        <w:t>])</w:t>
      </w:r>
      <w:r w:rsidRPr="00A91494">
        <w:t>.</w:t>
      </w:r>
      <w:r w:rsidRPr="00113F13">
        <w:t xml:space="preserve"> </w:t>
      </w:r>
      <w:bookmarkStart w:id="686" w:name="_Toc143872492"/>
      <w:r w:rsidRPr="00113F13">
        <w:t>The Ombudsman observed that the PIPA neither permits custodians to refuse to add such a notation nor imposes any qualifications or limitations on the information that must be included (except insofar as it is limited to information related to personal information, and that it must specify the basis of the person’s claim and, if applicable, set out the information claimed to be necessary to bring it up to date).</w:t>
      </w:r>
      <w:r w:rsidRPr="00113F13">
        <w:rPr>
          <w:rStyle w:val="FootnoteReference"/>
          <w:rFonts w:ascii="Times New Roman" w:hAnsi="Times New Roman"/>
        </w:rPr>
        <w:footnoteReference w:id="645"/>
      </w:r>
      <w:r w:rsidRPr="00113F13">
        <w:t xml:space="preserve"> The Ombudsman described this as ‘problematic in practice’ because some ‘persistent and inflexible applicants’ utilise the provision in a manner that consumes considerable resources.</w:t>
      </w:r>
      <w:r w:rsidRPr="00113F13">
        <w:rPr>
          <w:rStyle w:val="FootnoteReference"/>
          <w:rFonts w:ascii="Times New Roman" w:hAnsi="Times New Roman"/>
        </w:rPr>
        <w:footnoteReference w:id="646"/>
      </w:r>
      <w:bookmarkEnd w:id="686"/>
    </w:p>
    <w:p w14:paraId="196B8E92" w14:textId="5B7DE38C" w:rsidR="00FF302D" w:rsidRPr="00EA22F8" w:rsidRDefault="288D8F58" w:rsidP="00B63604">
      <w:pPr>
        <w:pStyle w:val="NormalNumberedTextTLRI"/>
        <w:numPr>
          <w:ilvl w:val="2"/>
          <w:numId w:val="31"/>
        </w:numPr>
        <w:tabs>
          <w:tab w:val="clear" w:pos="720"/>
        </w:tabs>
        <w:spacing w:line="259" w:lineRule="auto"/>
        <w:rPr>
          <w:i/>
          <w:iCs/>
        </w:rPr>
      </w:pPr>
      <w:r w:rsidRPr="003215A2">
        <w:t xml:space="preserve">Several submissions also raised the possibility of the introduction of a data breach notification scheme under the PIPA. These are discussed at </w:t>
      </w:r>
      <w:r w:rsidRPr="00EA22F8">
        <w:t>[8.14] below.</w:t>
      </w:r>
    </w:p>
    <w:p w14:paraId="4E492EDC" w14:textId="77777777" w:rsidR="00FF302D" w:rsidRPr="00113F13" w:rsidRDefault="00FF302D" w:rsidP="00BF1FE7">
      <w:pPr>
        <w:pStyle w:val="NumberedHeadingTLRI"/>
      </w:pPr>
      <w:bookmarkStart w:id="687" w:name="_Toc143872493"/>
      <w:bookmarkStart w:id="688" w:name="_Toc152245437"/>
      <w:bookmarkStart w:id="689" w:name="_Toc164606645"/>
      <w:bookmarkStart w:id="690" w:name="_Ref164779772"/>
      <w:r w:rsidRPr="00113F13">
        <w:t>The TLRI’s view</w:t>
      </w:r>
      <w:bookmarkEnd w:id="687"/>
      <w:bookmarkEnd w:id="688"/>
      <w:bookmarkEnd w:id="689"/>
      <w:bookmarkEnd w:id="690"/>
    </w:p>
    <w:p w14:paraId="6897941F" w14:textId="77777777" w:rsidR="00FF302D" w:rsidRPr="00113F13" w:rsidRDefault="00FF302D" w:rsidP="006551D3">
      <w:pPr>
        <w:pStyle w:val="Sub-HeadingTLRI"/>
      </w:pPr>
      <w:bookmarkStart w:id="691" w:name="_Toc164606646"/>
      <w:r w:rsidRPr="00113F13">
        <w:t>Data quality</w:t>
      </w:r>
      <w:bookmarkEnd w:id="691"/>
    </w:p>
    <w:p w14:paraId="1A1A602D" w14:textId="0B15C0E5" w:rsidR="00FF302D" w:rsidRPr="00113F13" w:rsidRDefault="00FF302D" w:rsidP="00B63604">
      <w:pPr>
        <w:pStyle w:val="NormalNumberedTextTLRI"/>
        <w:numPr>
          <w:ilvl w:val="2"/>
          <w:numId w:val="31"/>
        </w:numPr>
        <w:tabs>
          <w:tab w:val="clear" w:pos="720"/>
        </w:tabs>
        <w:spacing w:line="259" w:lineRule="auto"/>
      </w:pPr>
      <w:bookmarkStart w:id="692" w:name="_Toc143872494"/>
      <w:r w:rsidRPr="00113F13">
        <w:t>The TLRI observes that the scope of PIPP 3 is wider than the scope of APP</w:t>
      </w:r>
      <w:r w:rsidR="003D6F9E">
        <w:t> </w:t>
      </w:r>
      <w:r w:rsidRPr="00113F13">
        <w:t>10 (the APP equivalent) because it applies to information held by a personal information custodian. Having neither sought nor received submissions on this point, the TLRI makes no recommendations in relation to it.</w:t>
      </w:r>
      <w:bookmarkEnd w:id="692"/>
    </w:p>
    <w:p w14:paraId="00E85BF1" w14:textId="77777777" w:rsidR="00FF302D" w:rsidRPr="00113F13" w:rsidRDefault="00FF302D" w:rsidP="006551D3">
      <w:pPr>
        <w:pStyle w:val="Sub-HeadingTLRI"/>
      </w:pPr>
      <w:bookmarkStart w:id="693" w:name="_Toc164606647"/>
      <w:r w:rsidRPr="00113F13">
        <w:t>Data security</w:t>
      </w:r>
      <w:bookmarkEnd w:id="693"/>
    </w:p>
    <w:p w14:paraId="6D1BEBDD" w14:textId="77777777" w:rsidR="00FF302D" w:rsidRPr="00113F13" w:rsidRDefault="00FF302D" w:rsidP="00B63604">
      <w:pPr>
        <w:pStyle w:val="NormalNumberedTextTLRI"/>
        <w:numPr>
          <w:ilvl w:val="2"/>
          <w:numId w:val="31"/>
        </w:numPr>
        <w:tabs>
          <w:tab w:val="clear" w:pos="720"/>
        </w:tabs>
        <w:spacing w:line="259" w:lineRule="auto"/>
      </w:pPr>
      <w:bookmarkStart w:id="694" w:name="_Toc143872495"/>
      <w:r w:rsidRPr="00113F13">
        <w:t>Data security was identified in some submissions to this project and in the Privacy Act Review as a matter of concern, especially in light of developments in overseas jurisdictions, changed community expectation, and increased risks associated with digital platforms’ collection and use of data.</w:t>
      </w:r>
      <w:r w:rsidRPr="00113F13">
        <w:rPr>
          <w:rStyle w:val="FootnoteReference"/>
          <w:rFonts w:ascii="Times New Roman" w:hAnsi="Times New Roman"/>
        </w:rPr>
        <w:footnoteReference w:id="647"/>
      </w:r>
    </w:p>
    <w:p w14:paraId="633469C8" w14:textId="77777777" w:rsidR="00FF302D" w:rsidRPr="00113F13" w:rsidRDefault="00FF302D" w:rsidP="00B63604">
      <w:pPr>
        <w:pStyle w:val="NormalNumberedTextTLRI"/>
        <w:numPr>
          <w:ilvl w:val="2"/>
          <w:numId w:val="31"/>
        </w:numPr>
        <w:tabs>
          <w:tab w:val="clear" w:pos="720"/>
        </w:tabs>
        <w:spacing w:line="259" w:lineRule="auto"/>
      </w:pPr>
      <w:r w:rsidRPr="00113F13">
        <w:t>The TLRI observes that PIPP 4 is slightly narrower than APP 11.1, in that it does not place obligations on custodians to take steps to protect information from ‘interference’. It is unclear whether this omission has significant consequences for data security in Tasmania; submissions were not sought or received on this point.</w:t>
      </w:r>
      <w:bookmarkEnd w:id="694"/>
    </w:p>
    <w:p w14:paraId="6CCB03A2" w14:textId="77777777" w:rsidR="00FF302D" w:rsidRPr="00113F13" w:rsidRDefault="00FF302D" w:rsidP="00B63604">
      <w:pPr>
        <w:pStyle w:val="NormalNumberedTextTLRI"/>
        <w:numPr>
          <w:ilvl w:val="2"/>
          <w:numId w:val="31"/>
        </w:numPr>
        <w:tabs>
          <w:tab w:val="clear" w:pos="720"/>
        </w:tabs>
        <w:spacing w:line="259" w:lineRule="auto"/>
      </w:pPr>
      <w:bookmarkStart w:id="695" w:name="_Toc143872496"/>
      <w:r w:rsidRPr="00113F13">
        <w:t xml:space="preserve">The TLRI notes that the Privacy Act Review recommendations to amend APP 11 to increase the level of detail and guidance on the steps that regulated entities must take, and baseline privacy outcomes these steps should enable them to meet, to protect personal information could bring Australian regulation more closely into line with regulation overseas. </w:t>
      </w:r>
      <w:bookmarkEnd w:id="695"/>
      <w:r w:rsidRPr="00113F13">
        <w:t>The TLRI notes that the Commonwealth Government agreed, or agreed in-principle, with these proposals. The TLRI recommends that corresponding amendments to PIPP 4 would also enhance both consistency across jurisdictions and the adequacy of data security measures in Tasmania.</w:t>
      </w:r>
    </w:p>
    <w:p w14:paraId="43573FDC" w14:textId="7B5FC2DE" w:rsidR="00FF302D" w:rsidRPr="00113F13" w:rsidRDefault="00FF302D" w:rsidP="00B63604">
      <w:pPr>
        <w:pStyle w:val="NormalNumberedTextTLRI"/>
        <w:numPr>
          <w:ilvl w:val="2"/>
          <w:numId w:val="31"/>
        </w:numPr>
        <w:tabs>
          <w:tab w:val="clear" w:pos="720"/>
        </w:tabs>
        <w:spacing w:line="259" w:lineRule="auto"/>
      </w:pPr>
      <w:bookmarkStart w:id="696" w:name="_Toc143872497"/>
      <w:r w:rsidRPr="00113F13">
        <w:t>The TLRI notes that the submission to this review by Richard Griggs,</w:t>
      </w:r>
      <w:r w:rsidR="009C483B" w:rsidRPr="005D294F">
        <w:rPr>
          <w:rStyle w:val="FootnoteReference"/>
          <w:rFonts w:ascii="Times New Roman" w:hAnsi="Times New Roman"/>
        </w:rPr>
        <w:footnoteReference w:id="648"/>
      </w:r>
      <w:r w:rsidRPr="00113F13">
        <w:t xml:space="preserve"> and submissions to the equivalent Commonwealth review, were critical of the ‘overly permissive nature’ of destruction and de-identification requirements</w:t>
      </w:r>
      <w:r w:rsidRPr="00DC446E">
        <w:t>,</w:t>
      </w:r>
      <w:r w:rsidR="005D294F" w:rsidRPr="00DC446E">
        <w:rPr>
          <w:rStyle w:val="FootnoteReference"/>
          <w:rFonts w:ascii="Times New Roman" w:hAnsi="Times New Roman"/>
        </w:rPr>
        <w:footnoteReference w:id="649"/>
      </w:r>
      <w:r w:rsidRPr="00DC446E">
        <w:t xml:space="preserve"> </w:t>
      </w:r>
      <w:r w:rsidRPr="00113F13">
        <w:t>which require regulated entities to take reasonable steps to destroy or de-identify information that is no longer needed.</w:t>
      </w:r>
      <w:r w:rsidR="00075EE9" w:rsidRPr="288D8F58">
        <w:rPr>
          <w:rStyle w:val="CommentReference"/>
          <w:rFonts w:eastAsiaTheme="minorEastAsia"/>
        </w:rPr>
        <w:t xml:space="preserve"> </w:t>
      </w:r>
    </w:p>
    <w:p w14:paraId="0539A4E1"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The TLRI observes that the Privacy Act Review did not propose any amendments to APP 11 to strengthen these requirements at the Commonwealth level. It did propose (and the Commonwealth Government accepted) that the OAIC should develop more detailed and tailored guidance on what constitutes reasonable steps</w:t>
      </w:r>
      <w:bookmarkEnd w:id="696"/>
      <w:r w:rsidRPr="00113F13">
        <w:t xml:space="preserve"> in this regard. </w:t>
      </w:r>
      <w:bookmarkStart w:id="697" w:name="_Toc143872498"/>
      <w:r w:rsidRPr="00113F13">
        <w:t>In the TLRI’s view, the development of such guidance (or equivalent, Tasmania-specific guidance) could assist personal information custodians to meet their obligations under PIPP 4.</w:t>
      </w:r>
      <w:bookmarkEnd w:id="697"/>
    </w:p>
    <w:p w14:paraId="0F7709EF" w14:textId="04D83342" w:rsidR="00FF302D" w:rsidRPr="00113F13" w:rsidRDefault="00FF302D" w:rsidP="00B63604">
      <w:pPr>
        <w:pStyle w:val="NormalNumberedTextTLRI"/>
        <w:numPr>
          <w:ilvl w:val="2"/>
          <w:numId w:val="31"/>
        </w:numPr>
        <w:tabs>
          <w:tab w:val="clear" w:pos="720"/>
        </w:tabs>
        <w:spacing w:line="259" w:lineRule="auto"/>
      </w:pPr>
      <w:r w:rsidRPr="00113F13">
        <w:t>The TLRI also notes the Privacy Act Review proposal that APP entities should be obliged to take steps to protect de-identified information from misuse, interference, and loss, and from unauthorised re-identification, access, modification; or disclosure,</w:t>
      </w:r>
      <w:r w:rsidRPr="00113F13">
        <w:rPr>
          <w:rStyle w:val="FootnoteReference"/>
          <w:rFonts w:ascii="Times New Roman" w:hAnsi="Times New Roman"/>
        </w:rPr>
        <w:footnoteReference w:id="650"/>
      </w:r>
      <w:r w:rsidRPr="00113F13">
        <w:t xml:space="preserve"> although the Commonwealth Government merely noted this </w:t>
      </w:r>
      <w:r w:rsidRPr="00BA2787">
        <w:t>proposal (</w:t>
      </w:r>
      <w:r w:rsidRPr="00EA22F8">
        <w:t>see [</w:t>
      </w:r>
      <w:r w:rsidR="00BA2787">
        <w:fldChar w:fldCharType="begin"/>
      </w:r>
      <w:r w:rsidR="00BA2787" w:rsidRPr="00EA22F8">
        <w:instrText xml:space="preserve"> REF _Ref151119728 \r \h </w:instrText>
      </w:r>
      <w:r w:rsidR="00BA2787">
        <w:instrText xml:space="preserve"> \* MERGEFORMAT </w:instrText>
      </w:r>
      <w:r w:rsidR="00BA2787">
        <w:fldChar w:fldCharType="separate"/>
      </w:r>
      <w:r w:rsidR="00462C30">
        <w:rPr>
          <w:cs/>
        </w:rPr>
        <w:t>‎</w:t>
      </w:r>
      <w:r w:rsidR="00462C30">
        <w:t>6.4.11</w:t>
      </w:r>
      <w:r w:rsidR="00BA2787">
        <w:fldChar w:fldCharType="end"/>
      </w:r>
      <w:r w:rsidRPr="00EA22F8">
        <w:t>] above)</w:t>
      </w:r>
      <w:r w:rsidRPr="00BA2787">
        <w:t>.</w:t>
      </w:r>
    </w:p>
    <w:p w14:paraId="64C4C028" w14:textId="77777777" w:rsidR="00FF302D" w:rsidRPr="00113F13" w:rsidRDefault="00FF302D" w:rsidP="00B63604">
      <w:pPr>
        <w:pStyle w:val="NormalNumberedTextTLRI"/>
        <w:numPr>
          <w:ilvl w:val="2"/>
          <w:numId w:val="31"/>
        </w:numPr>
        <w:tabs>
          <w:tab w:val="clear" w:pos="720"/>
        </w:tabs>
        <w:spacing w:line="259" w:lineRule="auto"/>
      </w:pPr>
      <w:bookmarkStart w:id="698" w:name="_Toc143872501"/>
      <w:r w:rsidRPr="00113F13">
        <w:t>The TLRI considers that the Privacy Act Review recommendation to introduce a qualified ‘right to erasure’ would also be appropriate for the PIPA because it would give Tasmanians greater control over their personal information.</w:t>
      </w:r>
      <w:bookmarkEnd w:id="698"/>
      <w:r w:rsidRPr="00113F13">
        <w:t xml:space="preserve"> </w:t>
      </w:r>
    </w:p>
    <w:p w14:paraId="6B0CB06C" w14:textId="77777777" w:rsidR="00FF302D" w:rsidRPr="00113F13" w:rsidRDefault="00FF302D" w:rsidP="00B63604">
      <w:pPr>
        <w:pStyle w:val="NormalNumberedTextTLRI"/>
        <w:numPr>
          <w:ilvl w:val="2"/>
          <w:numId w:val="31"/>
        </w:numPr>
        <w:tabs>
          <w:tab w:val="clear" w:pos="720"/>
        </w:tabs>
        <w:spacing w:line="259" w:lineRule="auto"/>
      </w:pPr>
      <w:bookmarkStart w:id="699" w:name="_Toc143872502"/>
      <w:r w:rsidRPr="00113F13">
        <w:t xml:space="preserve">The TLRI observes that the Privacy Act Review gave comprehensive consideration to the implications of this right for authorised archiving, law enforcement, and other purposes (such as the exercise of the right to free expression and public interest in the area of public health) and recommended appropriate exceptions or quarantining requirements to address such concerns. </w:t>
      </w:r>
      <w:bookmarkEnd w:id="699"/>
    </w:p>
    <w:p w14:paraId="60D8FCAB" w14:textId="1100C77C" w:rsidR="00FF302D" w:rsidRPr="00113F13" w:rsidRDefault="00FF302D" w:rsidP="00B63604">
      <w:pPr>
        <w:pStyle w:val="NormalNumberedTextTLRI"/>
        <w:numPr>
          <w:ilvl w:val="2"/>
          <w:numId w:val="31"/>
        </w:numPr>
        <w:tabs>
          <w:tab w:val="clear" w:pos="720"/>
        </w:tabs>
        <w:spacing w:line="259" w:lineRule="auto"/>
      </w:pPr>
      <w:r w:rsidRPr="00113F13">
        <w:t>The TLRI notes that, unlike the Privacy Act, the PIPA includes information about certain deceased persons within the definition of ‘personal information’ and empowers a deceased person’s next-of-kin to exercise the deceased person’s personal information rights.</w:t>
      </w:r>
      <w:r w:rsidRPr="00113F13">
        <w:rPr>
          <w:rStyle w:val="FootnoteReference"/>
          <w:rFonts w:ascii="Times New Roman" w:hAnsi="Times New Roman"/>
        </w:rPr>
        <w:footnoteReference w:id="651"/>
      </w:r>
      <w:r w:rsidRPr="00113F13">
        <w:t xml:space="preserve"> Consideration of the availability and exercise of the right to erasure in relation to deceased persons—and the other individual rights recommended for introduction in this </w:t>
      </w:r>
      <w:r w:rsidR="00EF0039">
        <w:t>R</w:t>
      </w:r>
      <w:r w:rsidRPr="00113F13">
        <w:t>eport—including in terms of individuals’ estate planning and the powers of executors, would be necessary prior to the introduction of the rights in the PIPA.</w:t>
      </w:r>
    </w:p>
    <w:p w14:paraId="7F621970" w14:textId="44C25E36" w:rsidR="00FF302D" w:rsidRPr="003F0B53" w:rsidRDefault="10DD744B" w:rsidP="00B63604">
      <w:pPr>
        <w:pStyle w:val="NormalNumberedTextTLRI"/>
        <w:numPr>
          <w:ilvl w:val="2"/>
          <w:numId w:val="31"/>
        </w:numPr>
        <w:tabs>
          <w:tab w:val="clear" w:pos="720"/>
        </w:tabs>
        <w:spacing w:line="259" w:lineRule="auto"/>
      </w:pPr>
      <w:r>
        <w:t>The TLRI also notes the Privacy Act Review’s recommendation that all Commonwealth laws which require retention of personal information should be reviewed in light of growing cyber-security risks associated with entities holding large volumes of information (see paragraph [</w:t>
      </w:r>
      <w:r w:rsidR="00FF302D">
        <w:fldChar w:fldCharType="begin"/>
      </w:r>
      <w:r w:rsidR="00FF302D">
        <w:instrText xml:space="preserve"> REF _Ref151121859 \r \h  \* MERGEFORMAT </w:instrText>
      </w:r>
      <w:r w:rsidR="00FF302D">
        <w:fldChar w:fldCharType="separate"/>
      </w:r>
      <w:r w:rsidR="00462C30">
        <w:rPr>
          <w:cs/>
        </w:rPr>
        <w:t>‎</w:t>
      </w:r>
      <w:r w:rsidR="00462C30">
        <w:t>6.4.13</w:t>
      </w:r>
      <w:r w:rsidR="00FF302D">
        <w:fldChar w:fldCharType="end"/>
      </w:r>
      <w:r>
        <w:t xml:space="preserve">] above). The TLRI notes that submissions to this review raised related concerns about data </w:t>
      </w:r>
      <w:r w:rsidRPr="003F0B53">
        <w:t xml:space="preserve">breaches (see </w:t>
      </w:r>
      <w:r w:rsidR="00D64CE1" w:rsidRPr="00EA22F8">
        <w:t>Part 8</w:t>
      </w:r>
      <w:r w:rsidR="00D64CE1" w:rsidRPr="003F0B53">
        <w:t xml:space="preserve"> below</w:t>
      </w:r>
      <w:r w:rsidRPr="003F0B53">
        <w:t>). The TLRI recommends a similar review process be undertaken in Tasmania.</w:t>
      </w:r>
    </w:p>
    <w:p w14:paraId="7176DE69" w14:textId="617DA4C9" w:rsidR="00FF302D" w:rsidRPr="00EA22F8" w:rsidRDefault="10DD744B" w:rsidP="00B63604">
      <w:pPr>
        <w:pStyle w:val="NormalNumberedTextTLRI"/>
        <w:numPr>
          <w:ilvl w:val="2"/>
          <w:numId w:val="31"/>
        </w:numPr>
        <w:tabs>
          <w:tab w:val="clear" w:pos="720"/>
        </w:tabs>
        <w:spacing w:line="259" w:lineRule="auto"/>
      </w:pPr>
      <w:bookmarkStart w:id="700" w:name="_Toc143872500"/>
      <w:r w:rsidRPr="003F0B53">
        <w:t>T</w:t>
      </w:r>
      <w:r>
        <w:t xml:space="preserve">he TLRI considers that strengthened data breach notification measures should be implemented in Tasmania. This is discussed in more detail in </w:t>
      </w:r>
      <w:r w:rsidRPr="00EA22F8">
        <w:t>Part 8 of this Final Report.</w:t>
      </w:r>
      <w:bookmarkEnd w:id="700"/>
    </w:p>
    <w:p w14:paraId="783F64BE" w14:textId="77777777" w:rsidR="00FF302D" w:rsidRPr="00113F13" w:rsidRDefault="00FF302D" w:rsidP="006551D3">
      <w:pPr>
        <w:pStyle w:val="Headingunnumbered"/>
        <w:rPr>
          <w:rFonts w:cs="Times New Roman"/>
        </w:rPr>
      </w:pPr>
      <w:bookmarkStart w:id="701" w:name="_Toc143872503"/>
      <w:bookmarkStart w:id="702" w:name="_Toc164606648"/>
      <w:r w:rsidRPr="00113F13">
        <w:rPr>
          <w:rFonts w:cs="Times New Roman"/>
        </w:rPr>
        <w:t>Access and correction</w:t>
      </w:r>
      <w:bookmarkEnd w:id="701"/>
      <w:bookmarkEnd w:id="702"/>
    </w:p>
    <w:p w14:paraId="3308BDF1" w14:textId="77777777" w:rsidR="00FF302D" w:rsidRPr="00113F13" w:rsidRDefault="00FF302D" w:rsidP="006551D3">
      <w:pPr>
        <w:pStyle w:val="Sub-HeadingTLRI"/>
        <w:spacing w:before="0"/>
      </w:pPr>
      <w:bookmarkStart w:id="703" w:name="_Toc164606649"/>
      <w:r w:rsidRPr="00113F13">
        <w:t>Access</w:t>
      </w:r>
      <w:bookmarkEnd w:id="703"/>
    </w:p>
    <w:p w14:paraId="716B9632" w14:textId="0BD70CAB" w:rsidR="00FF302D" w:rsidRPr="00113F13" w:rsidRDefault="00FF302D" w:rsidP="00B63604">
      <w:pPr>
        <w:pStyle w:val="NormalNumberedTextTLRI"/>
        <w:numPr>
          <w:ilvl w:val="2"/>
          <w:numId w:val="31"/>
        </w:numPr>
        <w:tabs>
          <w:tab w:val="clear" w:pos="720"/>
        </w:tabs>
        <w:spacing w:line="259" w:lineRule="auto"/>
      </w:pPr>
      <w:bookmarkStart w:id="704" w:name="_Ref165023301"/>
      <w:bookmarkStart w:id="705" w:name="_Toc143872504"/>
      <w:r w:rsidRPr="00113F13">
        <w:t xml:space="preserve">The TLRI observes that the Commission of Inquiry into the Tasmanian Government’s Responses to Child Sexual Abuse in Institutional Settings (‘CoI’) made a number of recommendations relating to access to information and records by victim-survivors of child sexual abuse under the PIPA and the RTI Act in its Final Report (‘CoI Final Report’). These included a recommendation that the operation of the RTI Act and the PIPA be reviewed and reformed to ‘ensure that people’s rights to </w:t>
      </w:r>
      <w:r w:rsidRPr="00113F13">
        <w:lastRenderedPageBreak/>
        <w:t>obtain information are observed in practice’ and that ‘access is as simple, efficient, transparent and trauma-informed as possible’.</w:t>
      </w:r>
      <w:r w:rsidRPr="00113F13">
        <w:rPr>
          <w:rStyle w:val="FootnoteReference"/>
          <w:rFonts w:ascii="Times New Roman" w:hAnsi="Times New Roman"/>
        </w:rPr>
        <w:footnoteReference w:id="652"/>
      </w:r>
      <w:bookmarkEnd w:id="704"/>
    </w:p>
    <w:p w14:paraId="476DFF97" w14:textId="77777777" w:rsidR="00FF302D" w:rsidRPr="00113F13" w:rsidRDefault="00FF302D" w:rsidP="00B63604">
      <w:pPr>
        <w:pStyle w:val="NormalNumberedTextTLRI"/>
        <w:numPr>
          <w:ilvl w:val="2"/>
          <w:numId w:val="31"/>
        </w:numPr>
        <w:tabs>
          <w:tab w:val="clear" w:pos="720"/>
        </w:tabs>
        <w:spacing w:line="259" w:lineRule="auto"/>
      </w:pPr>
      <w:r w:rsidRPr="00113F13">
        <w:t>The CoI recommended that such a review should consider a range of reforms to the RTI Act and the PIPA, including reforms to:</w:t>
      </w:r>
    </w:p>
    <w:p w14:paraId="61F30E68" w14:textId="77777777" w:rsidR="00FF302D" w:rsidRPr="00113F13" w:rsidRDefault="00FF302D" w:rsidP="006551D3">
      <w:pPr>
        <w:pStyle w:val="DotPointTLRI"/>
      </w:pPr>
      <w:r w:rsidRPr="00113F13">
        <w:t>‘include an explicit presumption in favour of disclosure’ in both Acts; and</w:t>
      </w:r>
    </w:p>
    <w:p w14:paraId="447CA1B8" w14:textId="77777777" w:rsidR="00FF302D" w:rsidRPr="00113F13" w:rsidRDefault="00FF302D" w:rsidP="006551D3">
      <w:pPr>
        <w:pStyle w:val="DotPointTLRI"/>
      </w:pPr>
      <w:r w:rsidRPr="00113F13">
        <w:t xml:space="preserve">‘require that a personal information custodian under the </w:t>
      </w:r>
      <w:r w:rsidRPr="003D7C6D">
        <w:rPr>
          <w:i/>
          <w:iCs/>
        </w:rPr>
        <w:t>Personal Information Protection Act 2004</w:t>
      </w:r>
      <w:r w:rsidRPr="00113F13">
        <w:t xml:space="preserve"> “must provide” rather than “may provide” personal information upon request from an individual who is the subject of that information, subject to any appropriate exemptions to that requirement’.</w:t>
      </w:r>
      <w:r w:rsidRPr="00113F13">
        <w:rPr>
          <w:rStyle w:val="FootnoteReference"/>
          <w:rFonts w:ascii="Times New Roman" w:hAnsi="Times New Roman"/>
        </w:rPr>
        <w:footnoteReference w:id="653"/>
      </w:r>
    </w:p>
    <w:p w14:paraId="7C54E5E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Taking into consideration submissions received in response to the TLRI Issues Paper, the recommendations of the CoI, and the inconsistencies between the PIPA and the Commonwealth Privacy Act, the TLRI considers that it would be appropriate for PIPP 6 to be amended in several respects. </w:t>
      </w:r>
    </w:p>
    <w:p w14:paraId="6005F6B6" w14:textId="77777777" w:rsidR="00FF302D" w:rsidRPr="00113F13" w:rsidRDefault="00FF302D" w:rsidP="00B63604">
      <w:pPr>
        <w:pStyle w:val="NormalNumberedTextTLRI"/>
        <w:numPr>
          <w:ilvl w:val="2"/>
          <w:numId w:val="31"/>
        </w:numPr>
        <w:tabs>
          <w:tab w:val="clear" w:pos="720"/>
        </w:tabs>
        <w:spacing w:line="259" w:lineRule="auto"/>
      </w:pPr>
      <w:r w:rsidRPr="00113F13">
        <w:t>First, PIPP 6 should be amended to mirror APP 12 by requiring personal information custodians to:</w:t>
      </w:r>
      <w:bookmarkEnd w:id="705"/>
    </w:p>
    <w:p w14:paraId="5FD68BBE" w14:textId="77777777" w:rsidR="00FF302D" w:rsidRPr="00113F13" w:rsidRDefault="00FF302D" w:rsidP="006551D3">
      <w:pPr>
        <w:pStyle w:val="DotPointTLRI"/>
      </w:pPr>
      <w:bookmarkStart w:id="706" w:name="_Toc143872505"/>
      <w:r w:rsidRPr="00113F13">
        <w:t>provide individuals with access to their personal information upon request;</w:t>
      </w:r>
      <w:r w:rsidRPr="082BF74E">
        <w:rPr>
          <w:rStyle w:val="FootnoteReference"/>
          <w:rFonts w:ascii="Times New Roman" w:hAnsi="Times New Roman"/>
        </w:rPr>
        <w:footnoteReference w:id="654"/>
      </w:r>
      <w:r w:rsidRPr="00113F13">
        <w:rPr>
          <w:szCs w:val="22"/>
        </w:rPr>
        <w:t xml:space="preserve"> </w:t>
      </w:r>
      <w:bookmarkEnd w:id="706"/>
    </w:p>
    <w:p w14:paraId="44BBD9E1" w14:textId="77777777" w:rsidR="00FF302D" w:rsidRPr="00113F13" w:rsidRDefault="00FF302D" w:rsidP="006551D3">
      <w:pPr>
        <w:pStyle w:val="DotPointTLRI"/>
      </w:pPr>
      <w:r w:rsidRPr="00113F13">
        <w:t>provide access to requested personal information in the manner requested by the individual, as long as this is reasonable and practicable, without charge;</w:t>
      </w:r>
      <w:r w:rsidRPr="082BF74E">
        <w:rPr>
          <w:rStyle w:val="FootnoteReference"/>
          <w:rFonts w:ascii="Times New Roman" w:hAnsi="Times New Roman"/>
        </w:rPr>
        <w:footnoteReference w:id="655"/>
      </w:r>
    </w:p>
    <w:p w14:paraId="75A26F1E" w14:textId="2F527B25" w:rsidR="00FF302D" w:rsidRPr="000B4F29" w:rsidRDefault="00FF302D" w:rsidP="006551D3">
      <w:pPr>
        <w:pStyle w:val="DotPointTLRI"/>
      </w:pPr>
      <w:r w:rsidRPr="00113F13">
        <w:t xml:space="preserve">give written notice of the reasons for a refusal to give access and the mechanisms available to complain about the </w:t>
      </w:r>
      <w:r w:rsidRPr="000B4F29">
        <w:t xml:space="preserve">refusal </w:t>
      </w:r>
      <w:r w:rsidRPr="00EA22F8">
        <w:t>(which are discussed further in Part 8 of this Report</w:t>
      </w:r>
      <w:r w:rsidRPr="000B4F29">
        <w:rPr>
          <w:szCs w:val="22"/>
        </w:rPr>
        <w:t>).</w:t>
      </w:r>
      <w:r w:rsidRPr="000B4F29">
        <w:rPr>
          <w:rStyle w:val="FootnoteReference"/>
          <w:rFonts w:ascii="Times New Roman" w:hAnsi="Times New Roman"/>
        </w:rPr>
        <w:footnoteReference w:id="656"/>
      </w:r>
    </w:p>
    <w:p w14:paraId="738DBEB1" w14:textId="56F6593F" w:rsidR="00FF302D" w:rsidRPr="00113F13" w:rsidRDefault="00FF302D" w:rsidP="00B63604">
      <w:pPr>
        <w:pStyle w:val="NormalNumberedTextTLRI"/>
        <w:numPr>
          <w:ilvl w:val="2"/>
          <w:numId w:val="31"/>
        </w:numPr>
        <w:tabs>
          <w:tab w:val="clear" w:pos="720"/>
        </w:tabs>
        <w:spacing w:line="259" w:lineRule="auto"/>
      </w:pPr>
      <w:bookmarkStart w:id="707" w:name="_Toc143872506"/>
      <w:r w:rsidRPr="00113F13">
        <w:t xml:space="preserve">The TLRI also recommends that, consistent with the CoI’s </w:t>
      </w:r>
      <w:r w:rsidR="00B371B0">
        <w:t>R</w:t>
      </w:r>
      <w:r w:rsidRPr="00113F13">
        <w:t>ecommendation 17.8, PIPP 6 be amended to include an explicit presumption in favour of disclosure. In light of the Tasmanian Ombudsman’s submission raising concerns about the possibility of misuse of access and correction rights, the TLRI considers that these reforms should be balanced against a need to provide protections against frivolous or vexatious requests.</w:t>
      </w:r>
    </w:p>
    <w:p w14:paraId="1FD9829D" w14:textId="77777777" w:rsidR="00FF302D" w:rsidRPr="00113F13" w:rsidRDefault="00FF302D" w:rsidP="00B63604">
      <w:pPr>
        <w:pStyle w:val="NormalNumberedTextTLRI"/>
        <w:numPr>
          <w:ilvl w:val="2"/>
          <w:numId w:val="31"/>
        </w:numPr>
        <w:tabs>
          <w:tab w:val="clear" w:pos="720"/>
        </w:tabs>
        <w:spacing w:line="259" w:lineRule="auto"/>
      </w:pPr>
      <w:bookmarkStart w:id="708" w:name="_Ref152245386"/>
      <w:r w:rsidRPr="00113F13">
        <w:t>The TLRI notes that the CoI also reported that Tasmanian public authorities have different processes and levels of resourcing for handling PIPA and RTI Act requests. It found that, generally, departments have dedicated teams to handle RTI Act requests but do not have centralised registers or designated staff appointed to deal with PIPA requests.</w:t>
      </w:r>
      <w:r w:rsidRPr="00113F13">
        <w:rPr>
          <w:rStyle w:val="FootnoteReference"/>
          <w:rFonts w:ascii="Times New Roman" w:hAnsi="Times New Roman"/>
        </w:rPr>
        <w:footnoteReference w:id="657"/>
      </w:r>
      <w:r w:rsidRPr="00113F13">
        <w:t xml:space="preserve"> Evidence to the CoI raised concerns about the capacity of departments to handle and accurately respond to requests in a timely manner.</w:t>
      </w:r>
      <w:r w:rsidRPr="00113F13">
        <w:rPr>
          <w:rStyle w:val="FootnoteReference"/>
          <w:rFonts w:ascii="Times New Roman" w:hAnsi="Times New Roman"/>
        </w:rPr>
        <w:footnoteReference w:id="658"/>
      </w:r>
      <w:bookmarkEnd w:id="708"/>
    </w:p>
    <w:p w14:paraId="767493AE" w14:textId="77777777" w:rsidR="00FF302D" w:rsidRPr="00113F13" w:rsidRDefault="00FF302D" w:rsidP="00B63604">
      <w:pPr>
        <w:pStyle w:val="NormalNumberedTextTLRI"/>
        <w:numPr>
          <w:ilvl w:val="2"/>
          <w:numId w:val="31"/>
        </w:numPr>
        <w:tabs>
          <w:tab w:val="clear" w:pos="720"/>
        </w:tabs>
        <w:spacing w:line="259" w:lineRule="auto"/>
      </w:pPr>
      <w:bookmarkStart w:id="709" w:name="_Ref164859515"/>
      <w:r w:rsidRPr="00113F13">
        <w:t xml:space="preserve">The TLRI notes and supports the CoI’s recommendation that ‘[t]he Tasmanian Government should consider centralising the management of access to information processes in a specialist unit or department, supported by access to information liaison officers located in government departments and </w:t>
      </w:r>
      <w:r w:rsidRPr="00113F13">
        <w:lastRenderedPageBreak/>
        <w:t>agencies’,</w:t>
      </w:r>
      <w:r w:rsidRPr="00113F13">
        <w:rPr>
          <w:rStyle w:val="FootnoteReference"/>
          <w:rFonts w:ascii="Times New Roman" w:hAnsi="Times New Roman"/>
        </w:rPr>
        <w:footnoteReference w:id="659"/>
      </w:r>
      <w:r w:rsidRPr="00113F13">
        <w:t xml:space="preserve"> and that funding be provided to government departments, agencies, and the Ombudsman to ensure access requests are processed within statutory timeframes, to speed up external review of decisions, and provide trauma-informed training to the Tasmanian State Service in relation to victim-survivors’ access to information.</w:t>
      </w:r>
      <w:r w:rsidRPr="00113F13">
        <w:rPr>
          <w:rStyle w:val="FootnoteReference"/>
          <w:rFonts w:ascii="Times New Roman" w:hAnsi="Times New Roman"/>
        </w:rPr>
        <w:footnoteReference w:id="660"/>
      </w:r>
      <w:r w:rsidRPr="00113F13">
        <w:t xml:space="preserve"> The TLRI considers that these recommendations could benefit all persons whose information privacy is protected by the PIPA.</w:t>
      </w:r>
      <w:bookmarkEnd w:id="709"/>
    </w:p>
    <w:p w14:paraId="71526176" w14:textId="77777777" w:rsidR="00FF302D" w:rsidRPr="00113F13" w:rsidRDefault="00FF302D" w:rsidP="00B63604">
      <w:pPr>
        <w:pStyle w:val="NormalNumberedTextTLRI"/>
        <w:numPr>
          <w:ilvl w:val="2"/>
          <w:numId w:val="31"/>
        </w:numPr>
        <w:tabs>
          <w:tab w:val="clear" w:pos="720"/>
        </w:tabs>
        <w:spacing w:line="259" w:lineRule="auto"/>
      </w:pPr>
      <w:bookmarkStart w:id="710" w:name="_Toc143872507"/>
      <w:bookmarkEnd w:id="707"/>
      <w:r w:rsidRPr="00113F13">
        <w:t>The TLRI considers that it would also be appropriate to amend PIPP 6 to introduce a right to explanation, consistent with the right to access and explanation proposed by the Commonwealth Privacy Act Review</w:t>
      </w:r>
      <w:bookmarkEnd w:id="710"/>
      <w:r w:rsidRPr="00113F13">
        <w:t>. This would augment the existing right to access by enabling individuals to request, in an appropriate format, explanations about the source of personal information that a custodian has collected indirectly, and explanations or summaries of what a custodian has done with personal information.</w:t>
      </w:r>
      <w:r w:rsidRPr="00113F13">
        <w:rPr>
          <w:rStyle w:val="FootnoteReference"/>
          <w:rFonts w:ascii="Times New Roman" w:hAnsi="Times New Roman"/>
        </w:rPr>
        <w:footnoteReference w:id="661"/>
      </w:r>
    </w:p>
    <w:p w14:paraId="0071D166" w14:textId="4F2D9671" w:rsidR="00FF302D" w:rsidRPr="00113F13" w:rsidRDefault="00FF302D" w:rsidP="00B63604">
      <w:pPr>
        <w:pStyle w:val="NormalNumberedTextTLRI"/>
        <w:numPr>
          <w:ilvl w:val="2"/>
          <w:numId w:val="31"/>
        </w:numPr>
        <w:tabs>
          <w:tab w:val="clear" w:pos="720"/>
        </w:tabs>
        <w:spacing w:line="259" w:lineRule="auto"/>
      </w:pPr>
      <w:bookmarkStart w:id="711" w:name="_Toc143872508"/>
      <w:r w:rsidRPr="00113F13">
        <w:t>The TLRI notes the criticisms by several submitters in response to the Issues Paper, including the Tasmanian Ombudsman, of the current process for requesting access to personal information in PIPP6. These criticisms focused on PIPP</w:t>
      </w:r>
      <w:r w:rsidR="00B371B0">
        <w:t> </w:t>
      </w:r>
      <w:r w:rsidRPr="00113F13">
        <w:t>6(1)(b) and argued that this provision creates two confusing and inconsistent pathways for requesting access to personal information. The TLRI notes that the CoI reported receiving similar submissions about the delays involved in the two-step PIPA process and recommended that consideration be given to reforming the PIPA and RTI Act to ‘streamline the interface between [the Acts] to overcome what has, by default, become a two-step process to obtain personal information’.</w:t>
      </w:r>
      <w:r w:rsidRPr="00113F13">
        <w:rPr>
          <w:rStyle w:val="FootnoteReference"/>
          <w:rFonts w:ascii="Times New Roman" w:hAnsi="Times New Roman"/>
        </w:rPr>
        <w:footnoteReference w:id="662"/>
      </w:r>
    </w:p>
    <w:p w14:paraId="297AEE54" w14:textId="7B957400" w:rsidR="00FF302D" w:rsidRPr="0052378A" w:rsidRDefault="10DD744B" w:rsidP="00B63604">
      <w:pPr>
        <w:pStyle w:val="NormalNumberedTextTLRI"/>
        <w:numPr>
          <w:ilvl w:val="2"/>
          <w:numId w:val="31"/>
        </w:numPr>
        <w:tabs>
          <w:tab w:val="clear" w:pos="720"/>
        </w:tabs>
        <w:spacing w:line="259" w:lineRule="auto"/>
      </w:pPr>
      <w:r>
        <w:t>On this basis, the TLRI recommends this provision be amended to simplify the access process, including to address the current lack of clarity around the interaction of the PIPA and the RTI Act where a custodian has refused an access request or has failed to respond within 20 days.</w:t>
      </w:r>
      <w:bookmarkEnd w:id="711"/>
      <w:r>
        <w:t xml:space="preserve"> The adequacy of complaint and review mechanisms where access requests are refused is discussed </w:t>
      </w:r>
      <w:r w:rsidRPr="0052378A">
        <w:t xml:space="preserve">further </w:t>
      </w:r>
      <w:r w:rsidRPr="00EA22F8">
        <w:t>in Part 8 of this Report.</w:t>
      </w:r>
    </w:p>
    <w:p w14:paraId="6C15CFCD" w14:textId="77777777" w:rsidR="00FF302D" w:rsidRPr="00113F13" w:rsidRDefault="00FF302D" w:rsidP="006551D3">
      <w:pPr>
        <w:pStyle w:val="Sub-HeadingTLRI"/>
      </w:pPr>
      <w:bookmarkStart w:id="712" w:name="_Toc164606650"/>
      <w:r w:rsidRPr="00113F13">
        <w:t>Correction</w:t>
      </w:r>
      <w:bookmarkEnd w:id="712"/>
    </w:p>
    <w:p w14:paraId="1BD1D529" w14:textId="09B91426" w:rsidR="00FF302D" w:rsidRPr="00113F13" w:rsidRDefault="00FF302D" w:rsidP="00B63604">
      <w:pPr>
        <w:pStyle w:val="NormalNumberedTextTLRI"/>
        <w:numPr>
          <w:ilvl w:val="2"/>
          <w:numId w:val="31"/>
        </w:numPr>
        <w:tabs>
          <w:tab w:val="clear" w:pos="720"/>
        </w:tabs>
        <w:spacing w:line="259" w:lineRule="auto"/>
      </w:pPr>
      <w:bookmarkStart w:id="713" w:name="_Toc143872512"/>
      <w:r w:rsidRPr="00113F13">
        <w:t>The TLRI considers that it would be appropriate to qualify the current entitlement in Section</w:t>
      </w:r>
      <w:r w:rsidR="0001118B">
        <w:t> </w:t>
      </w:r>
      <w:r w:rsidRPr="00113F13">
        <w:t xml:space="preserve">17G of the PIPA for individuals to </w:t>
      </w:r>
      <w:r w:rsidRPr="10DD744B">
        <w:rPr>
          <w:i/>
          <w:iCs/>
        </w:rPr>
        <w:t>require</w:t>
      </w:r>
      <w:r w:rsidRPr="00113F13">
        <w:t xml:space="preserve"> that a custodian add a notation to information where the custodian has refused a request to amend the information. The TLRI considers that it would be more appropriate to express this as a right to </w:t>
      </w:r>
      <w:r w:rsidRPr="10DD744B">
        <w:rPr>
          <w:i/>
          <w:iCs/>
        </w:rPr>
        <w:t>request</w:t>
      </w:r>
      <w:r w:rsidRPr="00113F13">
        <w:t xml:space="preserve"> (for no charge) the addition of a notation, which the personal information custodian must take reasonable steps to associate with the information in a manner that makes it apparent to future users and to which the custodian must respond within 30 days. This would be consistent with many other obligations imposed on personal information custodians under the PIPPs and with the Commonwealth Privacy Act. If accompanied by appropriate complaint and review mechanisms (</w:t>
      </w:r>
      <w:r w:rsidRPr="00EA22F8">
        <w:t>discussed in Part 8 of this report</w:t>
      </w:r>
      <w:r w:rsidRPr="00113F13">
        <w:t>), this would appropriately balance individuals’ rights with regulatory burden, addressing the concerns raised by the Tasmanian Ombudsman about use of this provision in a ‘persistent and inflexible’ manner that consumes considerable resources.</w:t>
      </w:r>
      <w:bookmarkEnd w:id="713"/>
      <w:r w:rsidRPr="00113F13">
        <w:rPr>
          <w:rStyle w:val="FootnoteReference"/>
          <w:rFonts w:ascii="Times New Roman" w:hAnsi="Times New Roman"/>
        </w:rPr>
        <w:footnoteReference w:id="663"/>
      </w:r>
    </w:p>
    <w:p w14:paraId="5BEB547E" w14:textId="2970CCF9" w:rsidR="00FF302D" w:rsidRPr="00113F13" w:rsidRDefault="00FF302D" w:rsidP="00B63604">
      <w:pPr>
        <w:pStyle w:val="NormalNumberedTextTLRI"/>
        <w:numPr>
          <w:ilvl w:val="2"/>
          <w:numId w:val="31"/>
        </w:numPr>
        <w:tabs>
          <w:tab w:val="clear" w:pos="720"/>
        </w:tabs>
        <w:spacing w:line="259" w:lineRule="auto"/>
      </w:pPr>
      <w:bookmarkStart w:id="714" w:name="_Toc143872513"/>
      <w:r w:rsidRPr="00113F13">
        <w:t xml:space="preserve">The TLRI observes that the equivalent right to request association of a statement in the Privacy Act does not impose a requirement for APP entities to give written notice of a refusal. This is inconsistent with other elements of the principles relating to access and </w:t>
      </w:r>
      <w:r w:rsidRPr="00005B90">
        <w:t>correction (</w:t>
      </w:r>
      <w:r w:rsidRPr="00EA22F8">
        <w:t>see [</w:t>
      </w:r>
      <w:r w:rsidR="00005B90" w:rsidRPr="00005B90">
        <w:fldChar w:fldCharType="begin"/>
      </w:r>
      <w:r w:rsidR="00005B90" w:rsidRPr="00005B90">
        <w:instrText xml:space="preserve"> REF _Ref164783500 \r \h </w:instrText>
      </w:r>
      <w:r w:rsidR="00005B90">
        <w:instrText xml:space="preserve"> \* MERGEFORMAT </w:instrText>
      </w:r>
      <w:r w:rsidR="00005B90" w:rsidRPr="00005B90">
        <w:fldChar w:fldCharType="separate"/>
      </w:r>
      <w:r w:rsidR="00462C30">
        <w:rPr>
          <w:cs/>
        </w:rPr>
        <w:t>‎</w:t>
      </w:r>
      <w:r w:rsidR="00462C30">
        <w:t>6.3.13</w:t>
      </w:r>
      <w:r w:rsidR="00005B90" w:rsidRPr="00005B90">
        <w:fldChar w:fldCharType="end"/>
      </w:r>
      <w:r w:rsidRPr="00EA22F8">
        <w:t>] above</w:t>
      </w:r>
      <w:r w:rsidRPr="00005B90">
        <w:t>).</w:t>
      </w:r>
      <w:r w:rsidRPr="00113F13">
        <w:t xml:space="preserve"> In the TLRI’s view, personal information custodians should be required to provide a written notice of </w:t>
      </w:r>
      <w:r w:rsidRPr="00113F13">
        <w:lastRenderedPageBreak/>
        <w:t>refusal to add a notation to personal information in order to support individuals to exercise their rights under the PIPA</w:t>
      </w:r>
      <w:bookmarkEnd w:id="714"/>
      <w:r w:rsidRPr="00113F13">
        <w:t>.</w:t>
      </w:r>
    </w:p>
    <w:p w14:paraId="6E15545D" w14:textId="77777777" w:rsidR="00FF302D" w:rsidRPr="00113F13" w:rsidRDefault="00FF302D" w:rsidP="00B63604">
      <w:pPr>
        <w:pStyle w:val="NormalNumberedTextTLRI"/>
        <w:numPr>
          <w:ilvl w:val="2"/>
          <w:numId w:val="31"/>
        </w:numPr>
        <w:tabs>
          <w:tab w:val="clear" w:pos="720"/>
        </w:tabs>
        <w:spacing w:line="259" w:lineRule="auto"/>
      </w:pPr>
      <w:bookmarkStart w:id="715" w:name="_Toc143872514"/>
      <w:r w:rsidRPr="00113F13">
        <w:t xml:space="preserve">The TLRI also notes the Commonwealth Privacy Act Review recommended that the existing ‘right to correction’ in the Privacy Act (which is similar to the </w:t>
      </w:r>
      <w:r w:rsidRPr="003215A2">
        <w:t xml:space="preserve">right in </w:t>
      </w:r>
      <w:r w:rsidRPr="00EA22F8">
        <w:t>s 17A</w:t>
      </w:r>
      <w:r w:rsidRPr="003215A2">
        <w:t xml:space="preserve"> of the PIPA</w:t>
      </w:r>
      <w:r w:rsidRPr="00113F13">
        <w:t>) be extended to generally available publications online over which APP entities main control, such as webpages. The TLRI considers that the right to correction in the PIPA should be similarly expanded to cover online publications over which personal information custodians maintain control, on the basis that this can provide important protection against the potential harms of misleading or inaccurate information online.</w:t>
      </w:r>
      <w:r w:rsidRPr="00113F13">
        <w:rPr>
          <w:rStyle w:val="FootnoteReference"/>
          <w:rFonts w:ascii="Times New Roman" w:hAnsi="Times New Roman"/>
        </w:rPr>
        <w:footnoteReference w:id="664"/>
      </w:r>
    </w:p>
    <w:p w14:paraId="435277E2" w14:textId="38CC2E42" w:rsidR="00FF302D" w:rsidRPr="00113F13" w:rsidRDefault="10DD744B" w:rsidP="00B63604">
      <w:pPr>
        <w:pStyle w:val="NormalNumberedTextTLRI"/>
        <w:numPr>
          <w:ilvl w:val="2"/>
          <w:numId w:val="31"/>
        </w:numPr>
        <w:tabs>
          <w:tab w:val="clear" w:pos="720"/>
        </w:tabs>
        <w:spacing w:line="259" w:lineRule="auto"/>
      </w:pPr>
      <w:r>
        <w:t>The TLRI observes the Privacy Act Review’s recommendation that individual rights in the Privacy Act should be accompanied by exceptions relating to the public interest, legal requirements and technical infeasibility and abuse of process (</w:t>
      </w:r>
      <w:r w:rsidRPr="00EA22F8">
        <w:t>see [</w:t>
      </w:r>
      <w:r w:rsidR="00FF302D" w:rsidRPr="001F4A0B">
        <w:fldChar w:fldCharType="begin"/>
      </w:r>
      <w:r w:rsidR="00FF302D" w:rsidRPr="001F4A0B">
        <w:instrText xml:space="preserve"> REF _Ref151387137 \r \h  \* MERGEFORMAT </w:instrText>
      </w:r>
      <w:r w:rsidR="00FF302D" w:rsidRPr="001F4A0B">
        <w:fldChar w:fldCharType="separate"/>
      </w:r>
      <w:r w:rsidR="00462C30">
        <w:rPr>
          <w:cs/>
        </w:rPr>
        <w:t>‎</w:t>
      </w:r>
      <w:r w:rsidR="00462C30">
        <w:t>6.4.20</w:t>
      </w:r>
      <w:r w:rsidR="00FF302D" w:rsidRPr="001F4A0B">
        <w:fldChar w:fldCharType="end"/>
      </w:r>
      <w:r w:rsidRPr="00EA22F8">
        <w:t>] above)</w:t>
      </w:r>
      <w:r w:rsidRPr="001F4A0B">
        <w:t>.</w:t>
      </w:r>
      <w:r>
        <w:t xml:space="preserve"> The TLRI considers that corresponding exceptions should accompany individual rights to access and explanation, erasure, and correction discussed in this sub-section, and to the right to object discussed </w:t>
      </w:r>
      <w:r w:rsidRPr="001445B9">
        <w:t xml:space="preserve">at </w:t>
      </w:r>
      <w:r w:rsidRPr="00EA22F8">
        <w:t>[</w:t>
      </w:r>
      <w:r w:rsidR="001445B9" w:rsidRPr="00EA22F8">
        <w:fldChar w:fldCharType="begin"/>
      </w:r>
      <w:r w:rsidR="001445B9" w:rsidRPr="00EA22F8">
        <w:instrText xml:space="preserve"> REF _Ref150959971 \r \h </w:instrText>
      </w:r>
      <w:r w:rsidR="001445B9">
        <w:instrText xml:space="preserve"> \* MERGEFORMAT </w:instrText>
      </w:r>
      <w:r w:rsidR="001445B9" w:rsidRPr="00EA22F8">
        <w:fldChar w:fldCharType="separate"/>
      </w:r>
      <w:r w:rsidR="00462C30">
        <w:rPr>
          <w:cs/>
        </w:rPr>
        <w:t>‎</w:t>
      </w:r>
      <w:r w:rsidR="00462C30">
        <w:t>5.4.40</w:t>
      </w:r>
      <w:r w:rsidR="001445B9" w:rsidRPr="00EA22F8">
        <w:fldChar w:fldCharType="end"/>
      </w:r>
      <w:r w:rsidRPr="00EA22F8">
        <w:t>] and following,</w:t>
      </w:r>
      <w:r>
        <w:t xml:space="preserve"> above.</w:t>
      </w:r>
    </w:p>
    <w:p w14:paraId="4DCDFBEE" w14:textId="44CC9F99" w:rsidR="00FF302D" w:rsidRPr="00C2787F" w:rsidRDefault="10DD744B" w:rsidP="00B63604">
      <w:pPr>
        <w:pStyle w:val="NormalNumberedTextTLRI"/>
        <w:numPr>
          <w:ilvl w:val="2"/>
          <w:numId w:val="31"/>
        </w:numPr>
        <w:tabs>
          <w:tab w:val="clear" w:pos="720"/>
        </w:tabs>
        <w:spacing w:line="259" w:lineRule="auto"/>
      </w:pPr>
      <w:bookmarkStart w:id="716" w:name="_Toc143872515"/>
      <w:bookmarkEnd w:id="715"/>
      <w:r>
        <w:t>The TLRI also considers that imposing requirements on personal information custodians to provide ‘reasonable assistance’ to individuals in exercising a right, take ‘reasonable steps’ to respond to an exercise of a right, and respond within a prescribed timeframe, unless a longer period is justified (also proposed by the Privacy Act Review), would be an appropriate way to balance individuals’ rights with the administrative burden of compliance, although only with adequate resourcing for personal information custodians (</w:t>
      </w:r>
      <w:r w:rsidRPr="00EA22F8">
        <w:t>discussed further at [</w:t>
      </w:r>
      <w:r w:rsidR="00FF302D" w:rsidRPr="00C2787F">
        <w:fldChar w:fldCharType="begin"/>
      </w:r>
      <w:r w:rsidR="00FF302D" w:rsidRPr="00C2787F">
        <w:instrText xml:space="preserve"> REF _Ref152245386 \r \h  \* MERGEFORMAT </w:instrText>
      </w:r>
      <w:r w:rsidR="00FF302D" w:rsidRPr="00C2787F">
        <w:fldChar w:fldCharType="separate"/>
      </w:r>
      <w:r w:rsidR="00462C30">
        <w:rPr>
          <w:cs/>
        </w:rPr>
        <w:t>‎</w:t>
      </w:r>
      <w:r w:rsidR="00462C30">
        <w:t>6.6.18</w:t>
      </w:r>
      <w:r w:rsidR="00FF302D" w:rsidRPr="00C2787F">
        <w:fldChar w:fldCharType="end"/>
      </w:r>
      <w:r w:rsidRPr="00EA22F8">
        <w:t xml:space="preserve">] </w:t>
      </w:r>
      <w:r w:rsidR="001563BA" w:rsidRPr="00EA22F8">
        <w:t>and [</w:t>
      </w:r>
      <w:r w:rsidR="001563BA" w:rsidRPr="00EA22F8">
        <w:fldChar w:fldCharType="begin"/>
      </w:r>
      <w:r w:rsidR="001563BA" w:rsidRPr="00EA22F8">
        <w:instrText xml:space="preserve"> REF _Ref164859515 \n \h </w:instrText>
      </w:r>
      <w:r w:rsidR="00C2787F">
        <w:instrText xml:space="preserve"> \* MERGEFORMAT </w:instrText>
      </w:r>
      <w:r w:rsidR="001563BA" w:rsidRPr="00EA22F8">
        <w:fldChar w:fldCharType="separate"/>
      </w:r>
      <w:r w:rsidR="00462C30">
        <w:rPr>
          <w:cs/>
        </w:rPr>
        <w:t>‎</w:t>
      </w:r>
      <w:r w:rsidR="00462C30">
        <w:t>6.6.19</w:t>
      </w:r>
      <w:r w:rsidR="001563BA" w:rsidRPr="00EA22F8">
        <w:fldChar w:fldCharType="end"/>
      </w:r>
      <w:r w:rsidRPr="00EA22F8">
        <w:t>] above)</w:t>
      </w:r>
      <w:r w:rsidRPr="00C2787F">
        <w:t>.</w:t>
      </w:r>
    </w:p>
    <w:p w14:paraId="7246C9B3" w14:textId="77777777" w:rsidR="00FF302D" w:rsidRPr="00113F13" w:rsidRDefault="00FF302D" w:rsidP="00B63604">
      <w:pPr>
        <w:pStyle w:val="NormalNumberedTextTLRI"/>
        <w:numPr>
          <w:ilvl w:val="2"/>
          <w:numId w:val="31"/>
        </w:numPr>
        <w:tabs>
          <w:tab w:val="clear" w:pos="720"/>
        </w:tabs>
        <w:spacing w:line="259" w:lineRule="auto"/>
      </w:pPr>
      <w:r w:rsidRPr="00113F13">
        <w:t>The TLRI notes that there are several other differences between PIPP 6 and APP 13 in relation to correction of personal information, but received no submissions on them and has subsequently not formed a view on their significance. They are:</w:t>
      </w:r>
      <w:bookmarkEnd w:id="716"/>
    </w:p>
    <w:p w14:paraId="20B4DBFA" w14:textId="77777777" w:rsidR="00FF302D" w:rsidRPr="00113F13" w:rsidRDefault="00FF302D" w:rsidP="006551D3">
      <w:pPr>
        <w:pStyle w:val="DotPointTLRI"/>
      </w:pPr>
      <w:r w:rsidRPr="00113F13">
        <w:t>the additional ground for correction of ‘irrelevant’ found in APP 13;</w:t>
      </w:r>
    </w:p>
    <w:p w14:paraId="5567DAB7" w14:textId="77777777" w:rsidR="00FF302D" w:rsidRPr="00113F13" w:rsidRDefault="00FF302D" w:rsidP="006551D3">
      <w:pPr>
        <w:pStyle w:val="DotPointTLRI"/>
      </w:pPr>
      <w:r w:rsidRPr="00113F13">
        <w:t>the additional obligation on APP entities to take reasonable steps, where practical and lawful, to notify third parties to whom personal information has previously been disclosed when the first entity has corrected that personal information.</w:t>
      </w:r>
      <w:r w:rsidRPr="00113F13">
        <w:rPr>
          <w:rStyle w:val="FootnoteReference"/>
          <w:rFonts w:ascii="Times New Roman" w:hAnsi="Times New Roman"/>
        </w:rPr>
        <w:footnoteReference w:id="665"/>
      </w:r>
    </w:p>
    <w:p w14:paraId="0C3E709B" w14:textId="77777777" w:rsidR="00FF302D" w:rsidRPr="00113F13" w:rsidRDefault="00FF302D" w:rsidP="00BF1FE7">
      <w:pPr>
        <w:pStyle w:val="NumberedHeadingTLRI"/>
      </w:pPr>
      <w:bookmarkStart w:id="717" w:name="_Toc143872516"/>
      <w:bookmarkStart w:id="718" w:name="_Toc152245438"/>
      <w:bookmarkStart w:id="719" w:name="_Toc164606651"/>
      <w:r w:rsidRPr="00113F13">
        <w:t>Recommendations</w:t>
      </w:r>
      <w:bookmarkEnd w:id="717"/>
      <w:bookmarkEnd w:id="718"/>
      <w:bookmarkEnd w:id="7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5A357ECE" w14:textId="77777777" w:rsidTr="00754A3F">
        <w:tc>
          <w:tcPr>
            <w:tcW w:w="9016" w:type="dxa"/>
            <w:shd w:val="clear" w:color="auto" w:fill="E8E8E8" w:themeFill="background2"/>
          </w:tcPr>
          <w:p w14:paraId="5272A0C8" w14:textId="77777777" w:rsidR="00FF302D" w:rsidRPr="00113F13" w:rsidRDefault="00FF302D" w:rsidP="00754A3F">
            <w:pPr>
              <w:spacing w:before="120"/>
              <w:rPr>
                <w:rFonts w:cs="Times New Roman"/>
              </w:rPr>
            </w:pPr>
            <w:r w:rsidRPr="00113F13">
              <w:rPr>
                <w:rFonts w:cs="Times New Roman"/>
                <w:b/>
                <w:bCs/>
              </w:rPr>
              <w:t xml:space="preserve">Recommendation 34: </w:t>
            </w:r>
            <w:r w:rsidRPr="00113F13">
              <w:rPr>
                <w:rFonts w:cs="Times New Roman"/>
              </w:rPr>
              <w:t>PIPP 4 should be amended, in line with the corresponding proposals of the Commonwealth Privacy Act Review, to:</w:t>
            </w:r>
          </w:p>
          <w:p w14:paraId="128EF485" w14:textId="77777777" w:rsidR="00FF302D" w:rsidRPr="00113F13" w:rsidRDefault="00FF302D" w:rsidP="00271BD7">
            <w:pPr>
              <w:pStyle w:val="ListParagraph"/>
              <w:numPr>
                <w:ilvl w:val="0"/>
                <w:numId w:val="20"/>
              </w:numPr>
              <w:spacing w:before="120" w:after="0"/>
              <w:rPr>
                <w:rFonts w:cs="Times New Roman"/>
                <w:sz w:val="22"/>
                <w:szCs w:val="22"/>
              </w:rPr>
            </w:pPr>
            <w:r w:rsidRPr="00113F13">
              <w:rPr>
                <w:rFonts w:cs="Times New Roman"/>
              </w:rPr>
              <w:t>provide further guidance to personal information custodians on the ‘reasonable steps’ they must take to protect personal information;</w:t>
            </w:r>
          </w:p>
          <w:p w14:paraId="11476052" w14:textId="77777777" w:rsidR="00FF302D" w:rsidRPr="00113F13" w:rsidRDefault="00FF302D" w:rsidP="00271BD7">
            <w:pPr>
              <w:pStyle w:val="ListParagraph"/>
              <w:numPr>
                <w:ilvl w:val="0"/>
                <w:numId w:val="20"/>
              </w:numPr>
              <w:spacing w:before="120" w:after="0"/>
              <w:rPr>
                <w:rFonts w:cs="Times New Roman"/>
                <w:sz w:val="22"/>
                <w:szCs w:val="22"/>
              </w:rPr>
            </w:pPr>
            <w:r w:rsidRPr="00113F13">
              <w:rPr>
                <w:rFonts w:cs="Times New Roman"/>
              </w:rPr>
              <w:t>set baseline privacy outcomes personal information custodians must meet to fulfil their data security obligations; and</w:t>
            </w:r>
          </w:p>
          <w:p w14:paraId="7A46E0A2" w14:textId="77777777" w:rsidR="00FF302D" w:rsidRPr="00113F13" w:rsidRDefault="00FF302D" w:rsidP="00271BD7">
            <w:pPr>
              <w:pStyle w:val="ListParagraph"/>
              <w:numPr>
                <w:ilvl w:val="0"/>
                <w:numId w:val="20"/>
              </w:numPr>
              <w:spacing w:before="120" w:after="0"/>
              <w:rPr>
                <w:rFonts w:cs="Times New Roman"/>
                <w:sz w:val="22"/>
                <w:szCs w:val="22"/>
              </w:rPr>
            </w:pPr>
            <w:r w:rsidRPr="00113F13">
              <w:rPr>
                <w:rFonts w:cs="Times New Roman"/>
              </w:rPr>
              <w:t>require personal information custodians to set and periodically review retention periods for personal information.</w:t>
            </w:r>
          </w:p>
          <w:p w14:paraId="0C24A58F" w14:textId="77777777" w:rsidR="00FF302D" w:rsidRPr="00113F13" w:rsidRDefault="00FF302D" w:rsidP="00754A3F">
            <w:pPr>
              <w:spacing w:before="120"/>
              <w:rPr>
                <w:rFonts w:cs="Times New Roman"/>
              </w:rPr>
            </w:pPr>
            <w:r w:rsidRPr="00113F13">
              <w:rPr>
                <w:rFonts w:cs="Times New Roman"/>
                <w:b/>
                <w:bCs/>
              </w:rPr>
              <w:lastRenderedPageBreak/>
              <w:t xml:space="preserve">Recommendation 35: </w:t>
            </w:r>
            <w:r w:rsidRPr="00113F13">
              <w:rPr>
                <w:rFonts w:cs="Times New Roman"/>
              </w:rPr>
              <w:t>Consideration should be given to whether further guidance on PIPA-compliant destruction and de-identification of personal information by personal information custodians, similar to the revised guidance proposed by the Commonwealth Privacy Act Review, is necessary.</w:t>
            </w:r>
          </w:p>
          <w:p w14:paraId="74F0186B" w14:textId="77777777" w:rsidR="00FF302D" w:rsidRPr="00113F13" w:rsidRDefault="00FF302D" w:rsidP="00754A3F">
            <w:pPr>
              <w:spacing w:before="120"/>
              <w:rPr>
                <w:rFonts w:cs="Times New Roman"/>
              </w:rPr>
            </w:pPr>
            <w:r w:rsidRPr="00113F13">
              <w:rPr>
                <w:rFonts w:cs="Times New Roman"/>
                <w:b/>
                <w:bCs/>
              </w:rPr>
              <w:t xml:space="preserve">Recommendation 36: </w:t>
            </w:r>
            <w:r w:rsidRPr="00113F13">
              <w:rPr>
                <w:rFonts w:cs="Times New Roman"/>
              </w:rPr>
              <w:t>An individual ‘right to erasure’, with the same features as the right proposed by the Commonwealth Privacy Act Review, should be introduced in the PIPA.</w:t>
            </w:r>
          </w:p>
          <w:p w14:paraId="39E5A6ED" w14:textId="77777777" w:rsidR="00FF302D" w:rsidRPr="00113F13" w:rsidRDefault="00FF302D" w:rsidP="00754A3F">
            <w:pPr>
              <w:spacing w:before="120"/>
              <w:rPr>
                <w:rFonts w:cs="Times New Roman"/>
              </w:rPr>
            </w:pPr>
            <w:r w:rsidRPr="00113F13">
              <w:rPr>
                <w:rFonts w:cs="Times New Roman"/>
                <w:b/>
                <w:bCs/>
              </w:rPr>
              <w:t>Recommendation 37:</w:t>
            </w:r>
            <w:r w:rsidRPr="00113F13">
              <w:rPr>
                <w:rFonts w:cs="Times New Roman"/>
              </w:rPr>
              <w:t xml:space="preserve"> There should be a review of all Tasmanian legislation that requires retention of personal information to ensure it appropriately balances policy objectives with privacy and cyber-security risks.</w:t>
            </w:r>
          </w:p>
          <w:p w14:paraId="3A4194DC" w14:textId="77777777" w:rsidR="00FF302D" w:rsidRPr="00113F13" w:rsidRDefault="00FF302D" w:rsidP="00754A3F">
            <w:pPr>
              <w:spacing w:before="120"/>
              <w:rPr>
                <w:rFonts w:cs="Times New Roman"/>
              </w:rPr>
            </w:pPr>
            <w:r w:rsidRPr="00113F13">
              <w:rPr>
                <w:rFonts w:cs="Times New Roman"/>
                <w:b/>
                <w:bCs/>
              </w:rPr>
              <w:t xml:space="preserve">Recommendation 38: </w:t>
            </w:r>
            <w:r w:rsidRPr="00113F13">
              <w:rPr>
                <w:rFonts w:cs="Times New Roman"/>
              </w:rPr>
              <w:t>PIPP 6 should be amended to require a personal information custodian to:</w:t>
            </w:r>
          </w:p>
          <w:p w14:paraId="00F88FB2" w14:textId="77777777" w:rsidR="00FF302D" w:rsidRPr="00113F13" w:rsidRDefault="00FF302D" w:rsidP="00271BD7">
            <w:pPr>
              <w:pStyle w:val="ListParagraph"/>
              <w:numPr>
                <w:ilvl w:val="0"/>
                <w:numId w:val="20"/>
              </w:numPr>
              <w:spacing w:before="120" w:after="0"/>
              <w:rPr>
                <w:rFonts w:cs="Times New Roman"/>
                <w:sz w:val="22"/>
                <w:szCs w:val="22"/>
              </w:rPr>
            </w:pPr>
            <w:r w:rsidRPr="00113F13">
              <w:rPr>
                <w:rFonts w:cs="Times New Roman"/>
              </w:rPr>
              <w:t>provide individuals with access to their personal information upon request;</w:t>
            </w:r>
          </w:p>
          <w:p w14:paraId="5AAD55FC" w14:textId="77777777" w:rsidR="00FF302D" w:rsidRPr="003215A2" w:rsidRDefault="00FF302D" w:rsidP="00271BD7">
            <w:pPr>
              <w:pStyle w:val="ListParagraph"/>
              <w:numPr>
                <w:ilvl w:val="0"/>
                <w:numId w:val="20"/>
              </w:numPr>
              <w:spacing w:before="120" w:after="0"/>
              <w:rPr>
                <w:rFonts w:cs="Times New Roman"/>
                <w:sz w:val="22"/>
                <w:szCs w:val="22"/>
              </w:rPr>
            </w:pPr>
            <w:r w:rsidRPr="00113F13">
              <w:rPr>
                <w:rFonts w:cs="Times New Roman"/>
              </w:rPr>
              <w:t xml:space="preserve">provide access to personal information in the manner requested by the individual, as long as this is reasonable and </w:t>
            </w:r>
            <w:r w:rsidRPr="003215A2">
              <w:rPr>
                <w:rFonts w:cs="Times New Roman"/>
              </w:rPr>
              <w:t>practicable, without charge;</w:t>
            </w:r>
          </w:p>
          <w:p w14:paraId="46C898D6" w14:textId="096BCC7F" w:rsidR="00FF302D" w:rsidRPr="003215A2" w:rsidRDefault="00FF302D" w:rsidP="00271BD7">
            <w:pPr>
              <w:pStyle w:val="ListParagraph"/>
              <w:numPr>
                <w:ilvl w:val="0"/>
                <w:numId w:val="20"/>
              </w:numPr>
              <w:spacing w:before="120" w:after="0"/>
              <w:rPr>
                <w:rFonts w:cs="Times New Roman"/>
                <w:sz w:val="22"/>
                <w:szCs w:val="22"/>
              </w:rPr>
            </w:pPr>
            <w:r w:rsidRPr="003215A2">
              <w:rPr>
                <w:rFonts w:cs="Times New Roman"/>
              </w:rPr>
              <w:t xml:space="preserve">give written notice of the reasons for a refusal to give access and the mechanisms available to complain about the refusal (which are </w:t>
            </w:r>
            <w:r w:rsidRPr="00EA22F8">
              <w:rPr>
                <w:rFonts w:cs="Times New Roman"/>
              </w:rPr>
              <w:t xml:space="preserve">discussed further in </w:t>
            </w:r>
            <w:r w:rsidR="00162D4E">
              <w:rPr>
                <w:rFonts w:cs="Times New Roman"/>
              </w:rPr>
              <w:t>Part</w:t>
            </w:r>
            <w:r w:rsidRPr="00EA22F8">
              <w:rPr>
                <w:rFonts w:cs="Times New Roman"/>
              </w:rPr>
              <w:t xml:space="preserve"> 8 of this Report</w:t>
            </w:r>
            <w:r w:rsidRPr="003215A2">
              <w:rPr>
                <w:rFonts w:cs="Times New Roman"/>
              </w:rPr>
              <w:t xml:space="preserve">); and </w:t>
            </w:r>
          </w:p>
          <w:p w14:paraId="189C2B74" w14:textId="77777777" w:rsidR="00FF302D" w:rsidRPr="003215A2" w:rsidRDefault="00FF302D" w:rsidP="00271BD7">
            <w:pPr>
              <w:pStyle w:val="ListParagraph"/>
              <w:numPr>
                <w:ilvl w:val="0"/>
                <w:numId w:val="20"/>
              </w:numPr>
              <w:spacing w:before="120" w:after="0"/>
              <w:rPr>
                <w:rFonts w:cs="Times New Roman"/>
                <w:sz w:val="22"/>
                <w:szCs w:val="22"/>
              </w:rPr>
            </w:pPr>
            <w:r w:rsidRPr="003215A2">
              <w:rPr>
                <w:rFonts w:cs="Times New Roman"/>
              </w:rPr>
              <w:t>adopt a presumption in favour of disclosure.</w:t>
            </w:r>
          </w:p>
          <w:p w14:paraId="3A3BAF39" w14:textId="77777777" w:rsidR="00FF302D" w:rsidRPr="003215A2" w:rsidRDefault="00FF302D" w:rsidP="00754A3F">
            <w:pPr>
              <w:spacing w:before="120"/>
              <w:rPr>
                <w:rFonts w:cs="Times New Roman"/>
              </w:rPr>
            </w:pPr>
            <w:r w:rsidRPr="003215A2">
              <w:rPr>
                <w:rFonts w:cs="Times New Roman"/>
                <w:b/>
                <w:bCs/>
              </w:rPr>
              <w:t xml:space="preserve">Recommendation 39: </w:t>
            </w:r>
            <w:r w:rsidRPr="003215A2">
              <w:rPr>
                <w:rFonts w:cs="Times New Roman"/>
              </w:rPr>
              <w:t xml:space="preserve">PIPP 6 should be amended to simplify the process for requesting access to personal information. These amendments should clarify the interaction of the PIPA and the RTI Act. </w:t>
            </w:r>
          </w:p>
          <w:p w14:paraId="1EBDEC62" w14:textId="77777777" w:rsidR="00FF302D" w:rsidRPr="003215A2" w:rsidRDefault="00FF302D" w:rsidP="00754A3F">
            <w:pPr>
              <w:spacing w:before="120"/>
              <w:rPr>
                <w:rFonts w:cs="Times New Roman"/>
              </w:rPr>
            </w:pPr>
            <w:r w:rsidRPr="003215A2">
              <w:rPr>
                <w:rFonts w:cs="Times New Roman"/>
                <w:b/>
                <w:bCs/>
              </w:rPr>
              <w:t xml:space="preserve">Recommendation 40: </w:t>
            </w:r>
            <w:r w:rsidRPr="003215A2">
              <w:rPr>
                <w:rFonts w:cs="Times New Roman"/>
              </w:rPr>
              <w:t>PIPP 6 should be amended to confer an individual right to explanation about personal information, including a right to explanation of the source of personal information collected indirectly, and a right to an explanation or summary of what a personal information custodian has done with the personal information.</w:t>
            </w:r>
            <w:r w:rsidRPr="003215A2">
              <w:rPr>
                <w:rStyle w:val="FootnoteReference"/>
                <w:rFonts w:ascii="Times New Roman" w:hAnsi="Times New Roman" w:cs="Times New Roman"/>
                <w:sz w:val="22"/>
                <w:szCs w:val="22"/>
              </w:rPr>
              <w:footnoteReference w:id="666"/>
            </w:r>
          </w:p>
          <w:p w14:paraId="77223ACC" w14:textId="77777777" w:rsidR="00FF302D" w:rsidRPr="003215A2" w:rsidRDefault="00FF302D" w:rsidP="00754A3F">
            <w:pPr>
              <w:spacing w:before="120"/>
              <w:rPr>
                <w:rFonts w:cs="Times New Roman"/>
              </w:rPr>
            </w:pPr>
            <w:r w:rsidRPr="003215A2">
              <w:rPr>
                <w:rFonts w:cs="Times New Roman"/>
                <w:b/>
                <w:bCs/>
              </w:rPr>
              <w:t xml:space="preserve">Recommendation 41: </w:t>
            </w:r>
            <w:r w:rsidRPr="003215A2">
              <w:rPr>
                <w:rFonts w:cs="Times New Roman"/>
              </w:rPr>
              <w:t>Part 3A of the PIPA should be amended to:</w:t>
            </w:r>
          </w:p>
          <w:p w14:paraId="7736A415" w14:textId="6AD081AA" w:rsidR="00FF302D" w:rsidRPr="003215A2" w:rsidRDefault="00FF302D" w:rsidP="00271BD7">
            <w:pPr>
              <w:pStyle w:val="ListParagraph"/>
              <w:numPr>
                <w:ilvl w:val="0"/>
                <w:numId w:val="20"/>
              </w:numPr>
              <w:spacing w:before="120" w:after="0"/>
              <w:rPr>
                <w:rFonts w:cs="Times New Roman"/>
                <w:sz w:val="22"/>
                <w:szCs w:val="22"/>
              </w:rPr>
            </w:pPr>
            <w:r w:rsidRPr="003215A2">
              <w:rPr>
                <w:rFonts w:cs="Times New Roman"/>
              </w:rPr>
              <w:t xml:space="preserve">modify the operation of </w:t>
            </w:r>
            <w:r w:rsidR="00E14ADE">
              <w:rPr>
                <w:rFonts w:cs="Times New Roman"/>
              </w:rPr>
              <w:t>Section</w:t>
            </w:r>
            <w:r w:rsidRPr="00EA22F8">
              <w:rPr>
                <w:rFonts w:cs="Times New Roman"/>
              </w:rPr>
              <w:t xml:space="preserve"> 17G</w:t>
            </w:r>
            <w:r w:rsidRPr="003215A2">
              <w:rPr>
                <w:rFonts w:cs="Times New Roman"/>
              </w:rPr>
              <w:t xml:space="preserve"> to enable a person to </w:t>
            </w:r>
            <w:r w:rsidRPr="00EA22F8">
              <w:rPr>
                <w:rFonts w:cs="Times New Roman"/>
              </w:rPr>
              <w:t>request (rather than require)</w:t>
            </w:r>
            <w:r w:rsidRPr="003215A2">
              <w:rPr>
                <w:rFonts w:cs="Times New Roman"/>
              </w:rPr>
              <w:t xml:space="preserve"> the personal information custodian to add information to a notation;</w:t>
            </w:r>
          </w:p>
          <w:p w14:paraId="0641C320" w14:textId="77777777" w:rsidR="00FF302D" w:rsidRPr="003215A2" w:rsidRDefault="00FF302D" w:rsidP="00271BD7">
            <w:pPr>
              <w:pStyle w:val="ListParagraph"/>
              <w:numPr>
                <w:ilvl w:val="0"/>
                <w:numId w:val="20"/>
              </w:numPr>
              <w:spacing w:before="120" w:after="0"/>
              <w:rPr>
                <w:rFonts w:cs="Times New Roman"/>
                <w:sz w:val="22"/>
                <w:szCs w:val="22"/>
              </w:rPr>
            </w:pPr>
            <w:r w:rsidRPr="003215A2">
              <w:rPr>
                <w:rFonts w:cs="Times New Roman"/>
              </w:rPr>
              <w:t>require a personal information custodian to provide a written notice of a refusal of a request to add information to a notation; and</w:t>
            </w:r>
          </w:p>
          <w:p w14:paraId="23E76217" w14:textId="3EF03D65" w:rsidR="00FF302D" w:rsidRPr="003215A2" w:rsidRDefault="00FF302D" w:rsidP="00271BD7">
            <w:pPr>
              <w:pStyle w:val="ListParagraph"/>
              <w:numPr>
                <w:ilvl w:val="0"/>
                <w:numId w:val="20"/>
              </w:numPr>
              <w:spacing w:before="120" w:after="0"/>
              <w:rPr>
                <w:rFonts w:cs="Times New Roman"/>
                <w:sz w:val="22"/>
                <w:szCs w:val="22"/>
              </w:rPr>
            </w:pPr>
            <w:r w:rsidRPr="003215A2">
              <w:rPr>
                <w:rFonts w:cs="Times New Roman"/>
              </w:rPr>
              <w:t xml:space="preserve">extend the right to correction in </w:t>
            </w:r>
            <w:r w:rsidR="00E14ADE">
              <w:rPr>
                <w:rFonts w:cs="Times New Roman"/>
              </w:rPr>
              <w:t>Section</w:t>
            </w:r>
            <w:r w:rsidRPr="00EA22F8">
              <w:rPr>
                <w:rFonts w:cs="Times New Roman"/>
              </w:rPr>
              <w:t xml:space="preserve"> 17A</w:t>
            </w:r>
            <w:r w:rsidRPr="003215A2">
              <w:rPr>
                <w:rFonts w:cs="Times New Roman"/>
              </w:rPr>
              <w:t xml:space="preserve"> to enable persons to request amendment of incorrect, incomplete, out-of-date, or misleading information in generally available publications online over which a personal information custodian maintains control.</w:t>
            </w:r>
          </w:p>
          <w:p w14:paraId="7EAAE06C" w14:textId="57D7DC65" w:rsidR="00FF302D" w:rsidRPr="00113F13" w:rsidRDefault="00FF302D" w:rsidP="00754A3F">
            <w:pPr>
              <w:spacing w:before="120"/>
              <w:rPr>
                <w:rFonts w:cs="Times New Roman"/>
              </w:rPr>
            </w:pPr>
            <w:r w:rsidRPr="003215A2">
              <w:rPr>
                <w:rFonts w:cs="Times New Roman"/>
                <w:b/>
                <w:bCs/>
              </w:rPr>
              <w:t xml:space="preserve">Recommendation 42: </w:t>
            </w:r>
            <w:r w:rsidRPr="003215A2">
              <w:rPr>
                <w:rFonts w:cs="Times New Roman"/>
              </w:rPr>
              <w:t xml:space="preserve">Individual rights to access and explanation, </w:t>
            </w:r>
            <w:r w:rsidRPr="00EA22F8">
              <w:rPr>
                <w:rFonts w:cs="Times New Roman"/>
              </w:rPr>
              <w:t>to object</w:t>
            </w:r>
            <w:r w:rsidRPr="003215A2">
              <w:rPr>
                <w:rFonts w:cs="Times New Roman"/>
              </w:rPr>
              <w:t>, to erasure, and to correction in the PIPA should be subject to the exceptions proposed by the Commonwealth Privacy Act Review; namely, where</w:t>
            </w:r>
            <w:r w:rsidR="00431D2C">
              <w:rPr>
                <w:rFonts w:cs="Times New Roman"/>
              </w:rPr>
              <w:t>:</w:t>
            </w:r>
          </w:p>
          <w:p w14:paraId="7C7087CA" w14:textId="77777777" w:rsidR="00FF302D" w:rsidRPr="00113F13" w:rsidRDefault="00FF302D" w:rsidP="004214CB">
            <w:pPr>
              <w:pStyle w:val="ListParagraph"/>
              <w:numPr>
                <w:ilvl w:val="0"/>
                <w:numId w:val="20"/>
              </w:numPr>
              <w:spacing w:before="120" w:after="0"/>
              <w:rPr>
                <w:rFonts w:cs="Times New Roman"/>
                <w:sz w:val="22"/>
                <w:szCs w:val="22"/>
              </w:rPr>
            </w:pPr>
            <w:r w:rsidRPr="00113F13">
              <w:rPr>
                <w:rFonts w:cs="Times New Roman"/>
              </w:rPr>
              <w:t>there are competing public interests;</w:t>
            </w:r>
          </w:p>
          <w:p w14:paraId="04165AA1" w14:textId="77777777" w:rsidR="00FF302D" w:rsidRPr="00113F13" w:rsidRDefault="00FF302D" w:rsidP="004214CB">
            <w:pPr>
              <w:pStyle w:val="ListParagraph"/>
              <w:numPr>
                <w:ilvl w:val="0"/>
                <w:numId w:val="20"/>
              </w:numPr>
              <w:spacing w:before="120" w:after="0"/>
              <w:rPr>
                <w:rFonts w:cs="Times New Roman"/>
                <w:sz w:val="22"/>
                <w:szCs w:val="22"/>
              </w:rPr>
            </w:pPr>
            <w:r w:rsidRPr="00113F13">
              <w:rPr>
                <w:rFonts w:cs="Times New Roman"/>
              </w:rPr>
              <w:t>required or authorised by law or legal relationships; and</w:t>
            </w:r>
          </w:p>
          <w:p w14:paraId="689F8AE8" w14:textId="77777777" w:rsidR="00FF302D" w:rsidRPr="00113F13" w:rsidRDefault="00FF302D" w:rsidP="004214CB">
            <w:pPr>
              <w:pStyle w:val="ListParagraph"/>
              <w:numPr>
                <w:ilvl w:val="0"/>
                <w:numId w:val="20"/>
              </w:numPr>
              <w:spacing w:before="120" w:after="0"/>
              <w:rPr>
                <w:rFonts w:cs="Times New Roman"/>
                <w:sz w:val="22"/>
                <w:szCs w:val="22"/>
              </w:rPr>
            </w:pPr>
            <w:r w:rsidRPr="00113F13">
              <w:rPr>
                <w:rFonts w:cs="Times New Roman"/>
              </w:rPr>
              <w:t>technically infeasible or an abuse of process.</w:t>
            </w:r>
          </w:p>
          <w:p w14:paraId="4BA0DDDE" w14:textId="77777777" w:rsidR="00FF302D" w:rsidRPr="00113F13" w:rsidRDefault="00FF302D" w:rsidP="00754A3F">
            <w:pPr>
              <w:spacing w:before="120"/>
              <w:rPr>
                <w:rFonts w:cs="Times New Roman"/>
              </w:rPr>
            </w:pPr>
            <w:r w:rsidRPr="00113F13">
              <w:rPr>
                <w:rFonts w:cs="Times New Roman"/>
                <w:b/>
                <w:bCs/>
              </w:rPr>
              <w:t xml:space="preserve">Recommendation 43: </w:t>
            </w:r>
            <w:r w:rsidRPr="00113F13">
              <w:rPr>
                <w:rFonts w:cs="Times New Roman"/>
              </w:rPr>
              <w:t>Personal information custodians should be required to provide ‘reasonable assistance’ to individuals in exercising a right, take ‘reasonable steps’ to respond to an exercise of a right, and respond within a prescribed timeframe, unless a longer period is justified.</w:t>
            </w:r>
          </w:p>
          <w:p w14:paraId="756C6397" w14:textId="77777777" w:rsidR="00FF302D" w:rsidRPr="00113F13" w:rsidRDefault="00FF302D" w:rsidP="00754A3F">
            <w:pPr>
              <w:spacing w:before="120"/>
              <w:rPr>
                <w:rFonts w:cs="Times New Roman"/>
                <w:sz w:val="22"/>
                <w:szCs w:val="22"/>
              </w:rPr>
            </w:pPr>
          </w:p>
        </w:tc>
      </w:tr>
    </w:tbl>
    <w:p w14:paraId="514E94DA" w14:textId="77777777" w:rsidR="00FF302D" w:rsidRPr="00113F13" w:rsidRDefault="00FF302D" w:rsidP="00FF302D">
      <w:pPr>
        <w:rPr>
          <w:rFonts w:cs="Times New Roman"/>
        </w:rPr>
      </w:pPr>
    </w:p>
    <w:p w14:paraId="4EB15E3D" w14:textId="77777777" w:rsidR="00FF302D" w:rsidRPr="00113F13" w:rsidRDefault="00FF302D" w:rsidP="00FF302D">
      <w:pPr>
        <w:rPr>
          <w:rFonts w:cs="Times New Roman"/>
        </w:rPr>
      </w:pPr>
    </w:p>
    <w:p w14:paraId="05792B59" w14:textId="77777777" w:rsidR="00FF302D" w:rsidRPr="00113F13" w:rsidRDefault="00FF302D" w:rsidP="00FF302D">
      <w:pPr>
        <w:rPr>
          <w:rFonts w:cs="Times New Roman"/>
        </w:rPr>
        <w:sectPr w:rsidR="00FF302D" w:rsidRPr="00113F13" w:rsidSect="00BC08AB">
          <w:headerReference w:type="default" r:id="rId31"/>
          <w:type w:val="continuous"/>
          <w:pgSz w:w="11906" w:h="16838" w:code="9"/>
          <w:pgMar w:top="1440" w:right="1440" w:bottom="1440" w:left="1440" w:header="708" w:footer="708" w:gutter="0"/>
          <w:cols w:space="708"/>
          <w:docGrid w:linePitch="360"/>
        </w:sectPr>
      </w:pPr>
    </w:p>
    <w:p w14:paraId="14809900" w14:textId="77777777" w:rsidR="00FF302D" w:rsidRPr="00113F13" w:rsidRDefault="00FF302D" w:rsidP="00B63604">
      <w:pPr>
        <w:pStyle w:val="PartNoTLRI"/>
        <w:numPr>
          <w:ilvl w:val="0"/>
          <w:numId w:val="31"/>
        </w:numPr>
        <w:spacing w:after="160" w:line="259" w:lineRule="auto"/>
      </w:pPr>
    </w:p>
    <w:p w14:paraId="247A5A29" w14:textId="77777777" w:rsidR="00FF302D" w:rsidRPr="00113F13" w:rsidRDefault="00FF302D" w:rsidP="00FF302D">
      <w:pPr>
        <w:pStyle w:val="PartHeadingTLRI"/>
      </w:pPr>
      <w:bookmarkStart w:id="720" w:name="_Toc164606652"/>
      <w:r w:rsidRPr="00113F13">
        <w:t>Aligning the Personal Information Protection Principles with the Commonwealth Act: Other Privacy Principles</w:t>
      </w:r>
      <w:bookmarkEnd w:id="720"/>
      <w:r w:rsidRPr="00113F13">
        <w:t xml:space="preserve"> </w:t>
      </w:r>
    </w:p>
    <w:p w14:paraId="04E1A37A" w14:textId="13E6DE93" w:rsidR="00FF302D" w:rsidRPr="00113F13" w:rsidRDefault="00FF302D" w:rsidP="00BF1FE7">
      <w:pPr>
        <w:pStyle w:val="NumberedHeadingTLRI"/>
      </w:pPr>
      <w:bookmarkStart w:id="721" w:name="_Toc164606653"/>
      <w:r w:rsidRPr="00113F13">
        <w:t xml:space="preserve">Overview of this </w:t>
      </w:r>
      <w:bookmarkEnd w:id="721"/>
      <w:r w:rsidR="00291DAB">
        <w:t>Part</w:t>
      </w:r>
    </w:p>
    <w:p w14:paraId="5F4924DC" w14:textId="5E483965" w:rsidR="00FF302D" w:rsidRPr="00113F13" w:rsidRDefault="00FF302D" w:rsidP="00B63604">
      <w:pPr>
        <w:pStyle w:val="NormalNumberedTextTLRI"/>
        <w:numPr>
          <w:ilvl w:val="2"/>
          <w:numId w:val="31"/>
        </w:numPr>
        <w:tabs>
          <w:tab w:val="clear" w:pos="720"/>
        </w:tabs>
        <w:spacing w:line="259" w:lineRule="auto"/>
      </w:pPr>
      <w:r w:rsidRPr="00113F13">
        <w:t xml:space="preserve">This </w:t>
      </w:r>
      <w:r w:rsidR="00514C40">
        <w:t>Part</w:t>
      </w:r>
      <w:r w:rsidRPr="00113F13">
        <w:t xml:space="preserve"> considers other issues that are dealt with in the Tasmanian Personal Informatio</w:t>
      </w:r>
      <w:r w:rsidR="00A8656E">
        <w:t>n</w:t>
      </w:r>
      <w:r w:rsidRPr="00113F13">
        <w:t xml:space="preserve"> Protection Principles (‘PIPPs’)—requirements relating to openness (which require personal information custodians to prepare and publicise privacy policies), limitations on personal information custodians’ use of unique identifiers, and obligations on custodians to give individuals the option of anonymity (PIPPs 5, 7 and 8)—and examines the adequacy of these principles </w:t>
      </w:r>
      <w:r w:rsidRPr="00113F13">
        <w:rPr>
          <w:i/>
          <w:iCs/>
        </w:rPr>
        <w:t>per se</w:t>
      </w:r>
      <w:r w:rsidRPr="00113F13">
        <w:t xml:space="preserve"> and in comparison to the Australian Privacy Principles (‘APPs’).</w:t>
      </w:r>
    </w:p>
    <w:p w14:paraId="1417E5D7" w14:textId="0C17741E" w:rsidR="00FF302D" w:rsidRPr="00113F13" w:rsidRDefault="10DD744B" w:rsidP="00B63604">
      <w:pPr>
        <w:pStyle w:val="NormalNumberedTextTLRI"/>
        <w:numPr>
          <w:ilvl w:val="2"/>
          <w:numId w:val="31"/>
        </w:numPr>
        <w:tabs>
          <w:tab w:val="clear" w:pos="720"/>
        </w:tabs>
        <w:spacing w:line="259" w:lineRule="auto"/>
      </w:pPr>
      <w:r>
        <w:t xml:space="preserve">This </w:t>
      </w:r>
      <w:r w:rsidR="00514C40">
        <w:t>Part</w:t>
      </w:r>
      <w:r>
        <w:t xml:space="preserve"> also discusses several matters raised in the Commonwealth Privacy Act Review which are not currently addressed in the Tasmanian privacy legislation but may have relevance for future reforms to the </w:t>
      </w:r>
      <w:r w:rsidRPr="10DD744B">
        <w:rPr>
          <w:i/>
          <w:iCs/>
        </w:rPr>
        <w:t>Personal Information Protection Act 2004</w:t>
      </w:r>
      <w:r>
        <w:t xml:space="preserve"> (Tas) (‘PIPA’). These concern use of personal information for targeting and direct marketing, and trading of information.</w:t>
      </w:r>
    </w:p>
    <w:p w14:paraId="73D91B61" w14:textId="77777777" w:rsidR="00FF302D" w:rsidRPr="00113F13" w:rsidRDefault="00FF302D" w:rsidP="00BF1FE7">
      <w:pPr>
        <w:pStyle w:val="NumberedHeadingTLRI"/>
      </w:pPr>
      <w:bookmarkStart w:id="722" w:name="_Toc143872517"/>
      <w:bookmarkStart w:id="723" w:name="_Toc152245439"/>
      <w:bookmarkStart w:id="724" w:name="_Toc164606654"/>
      <w:bookmarkStart w:id="725" w:name="_Ref164768716"/>
      <w:r w:rsidRPr="00113F13">
        <w:t>Openness and privacy policies</w:t>
      </w:r>
      <w:bookmarkEnd w:id="722"/>
      <w:bookmarkEnd w:id="723"/>
      <w:bookmarkEnd w:id="724"/>
      <w:bookmarkEnd w:id="725"/>
    </w:p>
    <w:p w14:paraId="6AFC53DE" w14:textId="77777777" w:rsidR="00FF302D" w:rsidRPr="00113F13" w:rsidRDefault="00FF302D" w:rsidP="006551D3">
      <w:pPr>
        <w:pStyle w:val="Sub-HeadingTLRI"/>
      </w:pPr>
      <w:bookmarkStart w:id="726" w:name="_Toc143872518"/>
      <w:bookmarkStart w:id="727" w:name="_Toc152245440"/>
      <w:bookmarkStart w:id="728" w:name="_Toc164606655"/>
      <w:r w:rsidRPr="00113F13">
        <w:t>The Tasmanian position</w:t>
      </w:r>
      <w:bookmarkEnd w:id="726"/>
      <w:bookmarkEnd w:id="727"/>
      <w:bookmarkEnd w:id="728"/>
    </w:p>
    <w:p w14:paraId="6D2A60C2" w14:textId="77777777" w:rsidR="00FF302D" w:rsidRPr="00113F13" w:rsidRDefault="00FF302D" w:rsidP="00B63604">
      <w:pPr>
        <w:pStyle w:val="NormalNumberedTextTLRI"/>
        <w:numPr>
          <w:ilvl w:val="2"/>
          <w:numId w:val="31"/>
        </w:numPr>
        <w:tabs>
          <w:tab w:val="clear" w:pos="720"/>
        </w:tabs>
        <w:spacing w:line="259" w:lineRule="auto"/>
      </w:pPr>
      <w:bookmarkStart w:id="729" w:name="_Toc143872519"/>
      <w:r w:rsidRPr="00113F13">
        <w:t>Under Tasmanian law, PIPP 5 on ‘openness’ specifies that a personal information custodian must:</w:t>
      </w:r>
    </w:p>
    <w:p w14:paraId="0DCEEF16" w14:textId="77777777" w:rsidR="00FF302D" w:rsidRPr="00113F13" w:rsidRDefault="00FF302D" w:rsidP="006551D3">
      <w:pPr>
        <w:pStyle w:val="DotPointTLRI"/>
      </w:pPr>
      <w:r w:rsidRPr="00113F13">
        <w:t>‘clearly set out in a document its policies on its management of personal information’;</w:t>
      </w:r>
    </w:p>
    <w:p w14:paraId="56B6D52A" w14:textId="77777777" w:rsidR="00FF302D" w:rsidRPr="00113F13" w:rsidRDefault="00FF302D" w:rsidP="006551D3">
      <w:pPr>
        <w:pStyle w:val="DotPointTLRI"/>
      </w:pPr>
      <w:r w:rsidRPr="00113F13">
        <w:t>‘make the document available to anyone who asks for it’; and</w:t>
      </w:r>
    </w:p>
    <w:p w14:paraId="3F1C929C" w14:textId="77777777" w:rsidR="00FF302D" w:rsidRPr="00113F13" w:rsidRDefault="00FF302D" w:rsidP="006551D3">
      <w:pPr>
        <w:pStyle w:val="DotPointTLRI"/>
      </w:pPr>
      <w:r w:rsidRPr="00113F13">
        <w:t>take reasonable steps to advise a person, on request, of the sort of information it holds, the purposes for which it holds the information, and how it collects, holds, uses, and disclose</w:t>
      </w:r>
      <w:bookmarkEnd w:id="729"/>
      <w:r w:rsidRPr="00113F13">
        <w:t>s that information.</w:t>
      </w:r>
    </w:p>
    <w:p w14:paraId="46314928" w14:textId="77777777" w:rsidR="00FF302D" w:rsidRPr="00113F13" w:rsidRDefault="00FF302D" w:rsidP="006551D3">
      <w:pPr>
        <w:pStyle w:val="Sub-HeadingTLRI"/>
      </w:pPr>
      <w:bookmarkStart w:id="730" w:name="_Toc143872520"/>
      <w:bookmarkStart w:id="731" w:name="_Toc152245441"/>
      <w:bookmarkStart w:id="732" w:name="_Toc164606656"/>
      <w:r w:rsidRPr="00113F13">
        <w:t>The position in other jurisdictions</w:t>
      </w:r>
      <w:bookmarkEnd w:id="730"/>
      <w:bookmarkEnd w:id="731"/>
      <w:bookmarkEnd w:id="732"/>
    </w:p>
    <w:p w14:paraId="6BD05F3E" w14:textId="77777777" w:rsidR="00FF302D" w:rsidRPr="00113F13" w:rsidRDefault="00FF302D" w:rsidP="00B63604">
      <w:pPr>
        <w:pStyle w:val="NormalNumberedTextTLRI"/>
        <w:numPr>
          <w:ilvl w:val="2"/>
          <w:numId w:val="31"/>
        </w:numPr>
        <w:tabs>
          <w:tab w:val="clear" w:pos="720"/>
        </w:tabs>
        <w:spacing w:line="259" w:lineRule="auto"/>
      </w:pPr>
      <w:bookmarkStart w:id="733" w:name="_Toc143872521"/>
      <w:r w:rsidRPr="00113F13">
        <w:t xml:space="preserve">Some other State and Territory jurisdictions, such as Victoria, the ACT, and the Northern Territory, articulate a similar privacy principle of openness, requiring regulated entities to clearly </w:t>
      </w:r>
      <w:r w:rsidRPr="00113F13">
        <w:lastRenderedPageBreak/>
        <w:t>express and make available their personal information management policies and to take reasonable steps to inform individuals about their practices upon request.</w:t>
      </w:r>
      <w:r w:rsidRPr="00113F13">
        <w:rPr>
          <w:rStyle w:val="FootnoteReference"/>
          <w:rFonts w:ascii="Times New Roman" w:hAnsi="Times New Roman"/>
        </w:rPr>
        <w:footnoteReference w:id="667"/>
      </w:r>
    </w:p>
    <w:p w14:paraId="33E2B3F4" w14:textId="77777777" w:rsidR="00FF302D" w:rsidRPr="00113F13" w:rsidRDefault="00FF302D" w:rsidP="00B63604">
      <w:pPr>
        <w:pStyle w:val="NormalNumberedTextTLRI"/>
        <w:numPr>
          <w:ilvl w:val="2"/>
          <w:numId w:val="31"/>
        </w:numPr>
        <w:tabs>
          <w:tab w:val="clear" w:pos="720"/>
        </w:tabs>
        <w:spacing w:line="259" w:lineRule="auto"/>
      </w:pPr>
      <w:r w:rsidRPr="00113F13">
        <w:t>The Commonwealth imposes similar but more expansive obligations relating to ‘open and transparent management of personal information’ in APP 1, which states that APP entities must have ‘a clearly expressed and up-to-date policy … about the management of personal information’. It further holds that APP entities must take reasonable steps to make these policies publicly available free of charge and in an appropriate form, and in the form requested.</w:t>
      </w:r>
      <w:r w:rsidRPr="00113F13">
        <w:rPr>
          <w:rStyle w:val="FootnoteReference"/>
          <w:rFonts w:ascii="Times New Roman" w:hAnsi="Times New Roman"/>
        </w:rPr>
        <w:footnoteReference w:id="668"/>
      </w:r>
      <w:bookmarkEnd w:id="733"/>
    </w:p>
    <w:p w14:paraId="1B1E56CF" w14:textId="77777777" w:rsidR="00FF302D" w:rsidRPr="00113F13" w:rsidRDefault="00FF302D" w:rsidP="00B63604">
      <w:pPr>
        <w:pStyle w:val="NormalNumberedTextTLRI"/>
        <w:numPr>
          <w:ilvl w:val="2"/>
          <w:numId w:val="31"/>
        </w:numPr>
        <w:tabs>
          <w:tab w:val="clear" w:pos="720"/>
        </w:tabs>
        <w:spacing w:line="259" w:lineRule="auto"/>
      </w:pPr>
      <w:bookmarkStart w:id="734" w:name="_Toc143872522"/>
      <w:bookmarkStart w:id="735" w:name="_Ref151478600"/>
      <w:r w:rsidRPr="00113F13">
        <w:t xml:space="preserve">Unlike PIPP 5, APP 1 specifies that privacy policies must contain </w:t>
      </w:r>
      <w:bookmarkEnd w:id="734"/>
      <w:r w:rsidRPr="00113F13">
        <w:t>certain information, including information on:</w:t>
      </w:r>
      <w:bookmarkEnd w:id="735"/>
    </w:p>
    <w:p w14:paraId="75F4FB64" w14:textId="77777777" w:rsidR="00FF302D" w:rsidRPr="00113F13" w:rsidRDefault="00FF302D" w:rsidP="006551D3">
      <w:pPr>
        <w:pStyle w:val="DotPointTLRI"/>
      </w:pPr>
      <w:r w:rsidRPr="00113F13">
        <w:t>the kinds of personal information the entity collects and holds;</w:t>
      </w:r>
    </w:p>
    <w:p w14:paraId="525D345F" w14:textId="77777777" w:rsidR="00FF302D" w:rsidRPr="00113F13" w:rsidRDefault="00FF302D" w:rsidP="006551D3">
      <w:pPr>
        <w:pStyle w:val="DotPointTLRI"/>
      </w:pPr>
      <w:r w:rsidRPr="00113F13">
        <w:t>how the entity collects and holds the information;</w:t>
      </w:r>
    </w:p>
    <w:p w14:paraId="5CAF02E4" w14:textId="77777777" w:rsidR="00FF302D" w:rsidRPr="00113F13" w:rsidRDefault="00FF302D" w:rsidP="006551D3">
      <w:pPr>
        <w:pStyle w:val="DotPointTLRI"/>
      </w:pPr>
      <w:r w:rsidRPr="00113F13">
        <w:t>the purposes for which the entity collects, uses, and discloses personal information;</w:t>
      </w:r>
    </w:p>
    <w:p w14:paraId="410ED1A0" w14:textId="77777777" w:rsidR="00FF302D" w:rsidRPr="00113F13" w:rsidRDefault="00FF302D" w:rsidP="006551D3">
      <w:pPr>
        <w:pStyle w:val="DotPointTLRI"/>
      </w:pPr>
      <w:r w:rsidRPr="00113F13">
        <w:t>how an individual may access their personal information and seek to have it corrected;</w:t>
      </w:r>
    </w:p>
    <w:p w14:paraId="708CB712" w14:textId="77777777" w:rsidR="00FF302D" w:rsidRPr="00113F13" w:rsidRDefault="00FF302D" w:rsidP="006551D3">
      <w:pPr>
        <w:pStyle w:val="DotPointTLRI"/>
      </w:pPr>
      <w:r w:rsidRPr="00113F13">
        <w:t xml:space="preserve">how an individual may complain about a privacy breach; and </w:t>
      </w:r>
    </w:p>
    <w:p w14:paraId="61582679" w14:textId="77777777" w:rsidR="00FF302D" w:rsidRPr="00113F13" w:rsidRDefault="00FF302D" w:rsidP="006551D3">
      <w:pPr>
        <w:pStyle w:val="DotPointTLRI"/>
      </w:pPr>
      <w:r w:rsidRPr="00113F13">
        <w:t>if the entity is likely to disclose personal information to overseas recipients, the countries in which recipients are likely to be located (where practicable).</w:t>
      </w:r>
      <w:r w:rsidRPr="00113F13">
        <w:rPr>
          <w:rStyle w:val="FootnoteReference"/>
          <w:rFonts w:ascii="Times New Roman" w:hAnsi="Times New Roman"/>
        </w:rPr>
        <w:footnoteReference w:id="669"/>
      </w:r>
    </w:p>
    <w:p w14:paraId="0DC8D065" w14:textId="00DCE3CF" w:rsidR="00FF302D" w:rsidRPr="00113F13" w:rsidRDefault="00FF302D" w:rsidP="00B63604">
      <w:pPr>
        <w:pStyle w:val="NormalNumberedTextTLRI"/>
        <w:numPr>
          <w:ilvl w:val="2"/>
          <w:numId w:val="31"/>
        </w:numPr>
        <w:tabs>
          <w:tab w:val="clear" w:pos="720"/>
        </w:tabs>
        <w:spacing w:line="259" w:lineRule="auto"/>
      </w:pPr>
      <w:bookmarkStart w:id="736" w:name="_Ref91150333"/>
      <w:bookmarkStart w:id="737" w:name="_Toc143872523"/>
      <w:r w:rsidRPr="00113F13">
        <w:t>Unlike PIPP 5, APP 1 also addresses wider governance and compliance mechanisms of APP entities. It requires APP entities to take reasonable steps to implement practices, procedures, and systems to ensure compliance with their privacy obligations and to enable the entity to deal with inquiries or complaints. To implement this requirement (found in APP 1.2), the Office of the Australian Information Commissioner (‘OAIC’) developed the Privacy (Australian Government Agencies – Governance) APP Code 2017 (‘2017 APP Code’).</w:t>
      </w:r>
      <w:r w:rsidRPr="00113F13">
        <w:rPr>
          <w:rStyle w:val="FootnoteReference"/>
          <w:rFonts w:ascii="Times New Roman" w:hAnsi="Times New Roman"/>
        </w:rPr>
        <w:footnoteReference w:id="670"/>
      </w:r>
      <w:r w:rsidRPr="00113F13">
        <w:t xml:space="preserve"> This is registered under the </w:t>
      </w:r>
      <w:r w:rsidRPr="00113F13">
        <w:rPr>
          <w:i/>
          <w:iCs/>
        </w:rPr>
        <w:t>Privacy Act 1988</w:t>
      </w:r>
      <w:r w:rsidRPr="00113F13">
        <w:t xml:space="preserve"> (Cth) (</w:t>
      </w:r>
      <w:r w:rsidR="007743B8">
        <w:t>‘</w:t>
      </w:r>
      <w:r w:rsidRPr="00113F13">
        <w:t>Privacy Act’) as an ‘APP code’—a code of practice that sets out how one or more of the APPs are to be complied with, and which has the same legally binding effect as the APPs themselves.</w:t>
      </w:r>
      <w:bookmarkEnd w:id="736"/>
      <w:bookmarkEnd w:id="737"/>
      <w:r w:rsidRPr="00113F13">
        <w:rPr>
          <w:rStyle w:val="FootnoteReference"/>
          <w:rFonts w:ascii="Times New Roman" w:hAnsi="Times New Roman"/>
        </w:rPr>
        <w:footnoteReference w:id="671"/>
      </w:r>
    </w:p>
    <w:p w14:paraId="6BEF5D66" w14:textId="77777777" w:rsidR="00FF302D" w:rsidRPr="00113F13" w:rsidRDefault="00FF302D" w:rsidP="00B63604">
      <w:pPr>
        <w:pStyle w:val="NormalNumberedTextTLRI"/>
        <w:numPr>
          <w:ilvl w:val="2"/>
          <w:numId w:val="31"/>
        </w:numPr>
        <w:tabs>
          <w:tab w:val="clear" w:pos="720"/>
        </w:tabs>
        <w:spacing w:line="259" w:lineRule="auto"/>
      </w:pPr>
      <w:bookmarkStart w:id="738" w:name="_Ref91150334"/>
      <w:bookmarkStart w:id="739" w:name="_Toc143872524"/>
      <w:r w:rsidRPr="00113F13">
        <w:t>The 2017 APP Code</w:t>
      </w:r>
      <w:r w:rsidRPr="00113F13">
        <w:rPr>
          <w:i/>
          <w:iCs/>
        </w:rPr>
        <w:t xml:space="preserve"> </w:t>
      </w:r>
      <w:r w:rsidRPr="00113F13">
        <w:t>establishes various measures that agencies must put in place in order to comply with APP 1.2, including obligations to:</w:t>
      </w:r>
      <w:bookmarkEnd w:id="738"/>
      <w:bookmarkEnd w:id="739"/>
    </w:p>
    <w:p w14:paraId="58DF006C" w14:textId="77777777" w:rsidR="00FF302D" w:rsidRPr="00113F13" w:rsidRDefault="00FF302D" w:rsidP="006551D3">
      <w:pPr>
        <w:pStyle w:val="DotPointTLRI"/>
      </w:pPr>
      <w:r w:rsidRPr="00113F13">
        <w:t>create a privacy management plan;</w:t>
      </w:r>
    </w:p>
    <w:p w14:paraId="7E201E80" w14:textId="77777777" w:rsidR="00FF302D" w:rsidRPr="00113F13" w:rsidRDefault="00FF302D" w:rsidP="006551D3">
      <w:pPr>
        <w:pStyle w:val="DotPointTLRI"/>
      </w:pPr>
      <w:r w:rsidRPr="00113F13">
        <w:t>designate privacy officers and privacy champions;</w:t>
      </w:r>
    </w:p>
    <w:p w14:paraId="313F0A97" w14:textId="77777777" w:rsidR="00FF302D" w:rsidRPr="00113F13" w:rsidRDefault="00FF302D" w:rsidP="006551D3">
      <w:pPr>
        <w:pStyle w:val="DotPointTLRI"/>
      </w:pPr>
      <w:r w:rsidRPr="00113F13">
        <w:t>provide appropriate privacy education and training for all new and continuing staff;</w:t>
      </w:r>
    </w:p>
    <w:p w14:paraId="5A860085" w14:textId="77777777" w:rsidR="00FF302D" w:rsidRPr="00113F13" w:rsidRDefault="00FF302D" w:rsidP="006551D3">
      <w:pPr>
        <w:pStyle w:val="DotPointTLRI"/>
      </w:pPr>
      <w:r w:rsidRPr="00113F13">
        <w:t xml:space="preserve">conduct regular reviews of internal privacy processes; and </w:t>
      </w:r>
    </w:p>
    <w:p w14:paraId="61CEDAF6" w14:textId="77777777" w:rsidR="00FF302D" w:rsidRPr="00113F13" w:rsidRDefault="00FF302D" w:rsidP="006551D3">
      <w:pPr>
        <w:pStyle w:val="DotPointTLRI"/>
      </w:pPr>
      <w:r w:rsidRPr="00113F13">
        <w:t>conduct a privacy impact assessment for all privacy projects which are likely to have a significant impact on the privacy of individuals (that is, high risk privacy projects), and to make the assessment publicly available and listed on a publicly available register.</w:t>
      </w:r>
    </w:p>
    <w:p w14:paraId="57B2F7BE" w14:textId="77777777" w:rsidR="00FF302D" w:rsidRPr="00113F13" w:rsidRDefault="00FF302D" w:rsidP="00BF1FE7">
      <w:pPr>
        <w:pStyle w:val="NumberedHeadingTLRI"/>
      </w:pPr>
      <w:bookmarkStart w:id="740" w:name="_Toc143872525"/>
      <w:bookmarkStart w:id="741" w:name="_Toc152245442"/>
      <w:bookmarkStart w:id="742" w:name="_Toc164606657"/>
      <w:bookmarkStart w:id="743" w:name="_Ref164782022"/>
      <w:bookmarkStart w:id="744" w:name="_Ref165022870"/>
      <w:r w:rsidRPr="00113F13">
        <w:lastRenderedPageBreak/>
        <w:t>Proposals in the Commonwealth Privacy Act Review</w:t>
      </w:r>
      <w:bookmarkEnd w:id="740"/>
      <w:bookmarkEnd w:id="741"/>
      <w:bookmarkEnd w:id="742"/>
      <w:bookmarkEnd w:id="743"/>
      <w:bookmarkEnd w:id="744"/>
    </w:p>
    <w:p w14:paraId="07D70ED7" w14:textId="77777777" w:rsidR="00FF302D" w:rsidRPr="00113F13" w:rsidRDefault="00FF302D" w:rsidP="00B63604">
      <w:pPr>
        <w:pStyle w:val="NormalNumberedTextTLRI"/>
        <w:numPr>
          <w:ilvl w:val="2"/>
          <w:numId w:val="31"/>
        </w:numPr>
        <w:tabs>
          <w:tab w:val="clear" w:pos="720"/>
        </w:tabs>
        <w:spacing w:line="259" w:lineRule="auto"/>
      </w:pPr>
      <w:bookmarkStart w:id="745" w:name="_Toc143872526"/>
      <w:r w:rsidRPr="00113F13">
        <w:t>The Privacy Act Review Final Report recommended a number of changes to the Privacy Act requirements relating to APP 1 privacy policies and</w:t>
      </w:r>
      <w:bookmarkEnd w:id="745"/>
      <w:r w:rsidRPr="00113F13">
        <w:t xml:space="preserve"> compliance policies, procedures, and systems. </w:t>
      </w:r>
    </w:p>
    <w:p w14:paraId="60610746" w14:textId="74D6EBE5" w:rsidR="00FF302D" w:rsidRPr="00113F13" w:rsidRDefault="00FF302D" w:rsidP="00B63604">
      <w:pPr>
        <w:pStyle w:val="NormalNumberedTextTLRI"/>
        <w:numPr>
          <w:ilvl w:val="2"/>
          <w:numId w:val="31"/>
        </w:numPr>
        <w:tabs>
          <w:tab w:val="clear" w:pos="720"/>
        </w:tabs>
        <w:spacing w:line="259" w:lineRule="auto"/>
      </w:pPr>
      <w:bookmarkStart w:id="746" w:name="_Ref151454288"/>
      <w:bookmarkStart w:id="747" w:name="_Toc143872527"/>
      <w:r w:rsidRPr="00113F13">
        <w:t>The Review recommended that APP entities’ personal information retention periods be added to the list of information that APP entities are required to include in their privacy policies (which related to the proposal that APP entities be required to specify data retention periods.</w:t>
      </w:r>
      <w:r w:rsidRPr="00113F13">
        <w:rPr>
          <w:rStyle w:val="FootnoteReference"/>
          <w:rFonts w:ascii="Times New Roman" w:hAnsi="Times New Roman"/>
        </w:rPr>
        <w:footnoteReference w:id="672"/>
      </w:r>
      <w:r w:rsidRPr="00113F13">
        <w:t xml:space="preserve"> The Government agreed in-principle with this proposal.</w:t>
      </w:r>
      <w:r w:rsidRPr="00113F13">
        <w:rPr>
          <w:rStyle w:val="FootnoteReference"/>
          <w:rFonts w:ascii="Times New Roman" w:hAnsi="Times New Roman"/>
        </w:rPr>
        <w:footnoteReference w:id="673"/>
      </w:r>
      <w:bookmarkEnd w:id="746"/>
    </w:p>
    <w:p w14:paraId="0560F8FA" w14:textId="3FAC77B6" w:rsidR="00FF302D" w:rsidRPr="00113F13" w:rsidRDefault="00FF302D" w:rsidP="00B63604">
      <w:pPr>
        <w:pStyle w:val="NormalNumberedTextTLRI"/>
        <w:numPr>
          <w:ilvl w:val="2"/>
          <w:numId w:val="31"/>
        </w:numPr>
        <w:tabs>
          <w:tab w:val="clear" w:pos="720"/>
        </w:tabs>
        <w:spacing w:line="259" w:lineRule="auto"/>
      </w:pPr>
      <w:r w:rsidRPr="00113F13">
        <w:t>The Review further proposed that standardised templates and layouts and related materials for collection notices and privacy policies should be developed through OAIC guidance or codes</w:t>
      </w:r>
      <w:bookmarkEnd w:id="747"/>
      <w:r w:rsidRPr="00113F13">
        <w:t>, on the basis that standardising communication with consumers could assist APP entities with compliance and consumers with comprehension of the content and meaning of notices and policies.</w:t>
      </w:r>
      <w:r w:rsidRPr="00113F13">
        <w:rPr>
          <w:rStyle w:val="FootnoteReference"/>
          <w:rFonts w:ascii="Times New Roman" w:hAnsi="Times New Roman"/>
        </w:rPr>
        <w:footnoteReference w:id="674"/>
      </w:r>
      <w:r w:rsidRPr="00113F13">
        <w:t xml:space="preserve"> The Government agreed in-principle with this proposal.</w:t>
      </w:r>
      <w:r w:rsidRPr="00113F13">
        <w:rPr>
          <w:rStyle w:val="FootnoteReference"/>
          <w:rFonts w:ascii="Times New Roman" w:hAnsi="Times New Roman"/>
        </w:rPr>
        <w:footnoteReference w:id="675"/>
      </w:r>
    </w:p>
    <w:p w14:paraId="743C3B8D" w14:textId="7CD7EC46" w:rsidR="00FF302D" w:rsidRPr="00113F13" w:rsidRDefault="00FF302D" w:rsidP="00B63604">
      <w:pPr>
        <w:pStyle w:val="NormalNumberedTextTLRI"/>
        <w:numPr>
          <w:ilvl w:val="2"/>
          <w:numId w:val="31"/>
        </w:numPr>
        <w:tabs>
          <w:tab w:val="clear" w:pos="720"/>
        </w:tabs>
        <w:spacing w:line="259" w:lineRule="auto"/>
      </w:pPr>
      <w:bookmarkStart w:id="748" w:name="_Toc143872528"/>
      <w:r w:rsidRPr="00113F13">
        <w:t xml:space="preserve">The Review also proposed that entities exempted from Privacy Act requirements under the political </w:t>
      </w:r>
      <w:r w:rsidRPr="003215A2">
        <w:t>exemption (</w:t>
      </w:r>
      <w:r w:rsidRPr="00EA22F8">
        <w:t xml:space="preserve">discussed in this </w:t>
      </w:r>
      <w:r w:rsidR="00EF0039">
        <w:t>R</w:t>
      </w:r>
      <w:r w:rsidRPr="00EA22F8">
        <w:t xml:space="preserve">eport </w:t>
      </w:r>
      <w:r w:rsidR="00EF0039">
        <w:t>at</w:t>
      </w:r>
      <w:r w:rsidRPr="00EA22F8">
        <w:t xml:space="preserve"> [5.4.5] and following)</w:t>
      </w:r>
      <w:r w:rsidRPr="003215A2">
        <w:t xml:space="preserve"> be required</w:t>
      </w:r>
      <w:r w:rsidRPr="00113F13">
        <w:t xml:space="preserve"> to publish a privacy policy, on the basis that this would enhance transparency about how political entities handle personal information and for what acts and practices.</w:t>
      </w:r>
      <w:r w:rsidRPr="00113F13">
        <w:rPr>
          <w:rStyle w:val="FootnoteReference"/>
          <w:rFonts w:ascii="Times New Roman" w:hAnsi="Times New Roman"/>
        </w:rPr>
        <w:footnoteReference w:id="676"/>
      </w:r>
      <w:bookmarkEnd w:id="748"/>
      <w:r w:rsidRPr="00113F13">
        <w:t xml:space="preserve"> The Government noted this proposal.</w:t>
      </w:r>
      <w:r w:rsidRPr="00113F13">
        <w:rPr>
          <w:rStyle w:val="FootnoteReference"/>
          <w:rFonts w:ascii="Times New Roman" w:hAnsi="Times New Roman"/>
        </w:rPr>
        <w:footnoteReference w:id="677"/>
      </w:r>
    </w:p>
    <w:p w14:paraId="45C57AEC" w14:textId="77777777" w:rsidR="00FF302D" w:rsidRPr="00113F13" w:rsidRDefault="00FF302D" w:rsidP="00B63604">
      <w:pPr>
        <w:pStyle w:val="NormalNumberedTextTLRI"/>
        <w:numPr>
          <w:ilvl w:val="2"/>
          <w:numId w:val="31"/>
        </w:numPr>
        <w:tabs>
          <w:tab w:val="clear" w:pos="720"/>
        </w:tabs>
        <w:spacing w:line="259" w:lineRule="auto"/>
      </w:pPr>
      <w:bookmarkStart w:id="749" w:name="_Toc143872529"/>
      <w:r w:rsidRPr="00113F13">
        <w:t>The Review further proposed that the requirement for agencies to undertake privacy impact assessments in relation to ‘high privacy risk projects’ (currently dealt with in the 2017 APP Code) be inserted into the Privacy Act and extended to apply to all APP entities in relation to all activities with high privacy risks.</w:t>
      </w:r>
      <w:r w:rsidRPr="00113F13">
        <w:rPr>
          <w:rStyle w:val="FootnoteReference"/>
          <w:rFonts w:ascii="Times New Roman" w:hAnsi="Times New Roman"/>
        </w:rPr>
        <w:footnoteReference w:id="678"/>
      </w:r>
      <w:r w:rsidRPr="00113F13">
        <w:t xml:space="preserve"> </w:t>
      </w:r>
      <w:bookmarkEnd w:id="749"/>
      <w:r w:rsidRPr="00113F13">
        <w:t>The Government agreed in-principle with this proposal.</w:t>
      </w:r>
      <w:r w:rsidRPr="00113F13">
        <w:rPr>
          <w:rStyle w:val="FootnoteReference"/>
          <w:rFonts w:ascii="Times New Roman" w:hAnsi="Times New Roman"/>
        </w:rPr>
        <w:footnoteReference w:id="679"/>
      </w:r>
      <w:r w:rsidRPr="00113F13">
        <w:t xml:space="preserve"> The Review defined high privacy risk activities as activities that are ‘likely to have a significant impact on the privacy of individuals’</w:t>
      </w:r>
      <w:r w:rsidRPr="00113F13">
        <w:rPr>
          <w:rStyle w:val="FootnoteReference"/>
          <w:rFonts w:ascii="Times New Roman" w:hAnsi="Times New Roman"/>
        </w:rPr>
        <w:footnoteReference w:id="680"/>
      </w:r>
      <w:r w:rsidRPr="00113F13">
        <w:t xml:space="preserve"> and indicated that high privacy risk activities may include practices such as the collection, use, or disclosure of sensitive information or children’s personal information on a large scale, ongoing or real-time tracking of individuals’ geolocation, and sale of personal information.</w:t>
      </w:r>
      <w:r w:rsidRPr="00113F13">
        <w:rPr>
          <w:rStyle w:val="FootnoteReference"/>
          <w:rFonts w:ascii="Times New Roman" w:hAnsi="Times New Roman"/>
        </w:rPr>
        <w:footnoteReference w:id="681"/>
      </w:r>
      <w:r w:rsidRPr="00113F13">
        <w:t xml:space="preserve"> </w:t>
      </w:r>
    </w:p>
    <w:p w14:paraId="44097C63" w14:textId="77777777" w:rsidR="00FF302D" w:rsidRPr="00113F13" w:rsidRDefault="00FF302D" w:rsidP="00B63604">
      <w:pPr>
        <w:pStyle w:val="NormalNumberedTextTLRI"/>
        <w:numPr>
          <w:ilvl w:val="2"/>
          <w:numId w:val="31"/>
        </w:numPr>
        <w:tabs>
          <w:tab w:val="clear" w:pos="720"/>
        </w:tabs>
        <w:spacing w:line="259" w:lineRule="auto"/>
      </w:pPr>
      <w:bookmarkStart w:id="750" w:name="_Toc143872533"/>
      <w:r w:rsidRPr="00113F13">
        <w:t xml:space="preserve">The Review further recommended that the Privacy Act be amended to require APP entities to appoint or designate a senior employee responsible for privacy. The report noted that this obligation already applies to public sector agencies by virtue of the 2017 APP Code, and that it is ‘an important </w:t>
      </w:r>
      <w:r w:rsidRPr="00113F13">
        <w:lastRenderedPageBreak/>
        <w:t>feature of overseas privacy frameworks’, such as the European Union’s General Data Protection Regulation 2016/679 (‘GDPR’).</w:t>
      </w:r>
      <w:r w:rsidRPr="00113F13">
        <w:rPr>
          <w:rStyle w:val="FootnoteReference"/>
          <w:rFonts w:ascii="Times New Roman" w:hAnsi="Times New Roman"/>
        </w:rPr>
        <w:footnoteReference w:id="682"/>
      </w:r>
      <w:bookmarkEnd w:id="750"/>
      <w:r w:rsidRPr="00113F13">
        <w:t xml:space="preserve"> The Government agreed in-principle with this proposal.</w:t>
      </w:r>
      <w:r w:rsidRPr="00113F13">
        <w:rPr>
          <w:rStyle w:val="FootnoteReference"/>
          <w:rFonts w:ascii="Times New Roman" w:hAnsi="Times New Roman"/>
        </w:rPr>
        <w:footnoteReference w:id="683"/>
      </w:r>
    </w:p>
    <w:p w14:paraId="3AF5B4D6" w14:textId="77777777" w:rsidR="00FF302D" w:rsidRPr="00113F13" w:rsidRDefault="00FF302D" w:rsidP="006551D3">
      <w:pPr>
        <w:pStyle w:val="Sub-HeadingTLRI"/>
      </w:pPr>
      <w:bookmarkStart w:id="751" w:name="_Toc164606658"/>
      <w:r w:rsidRPr="00113F13">
        <w:t>Automated decision-making</w:t>
      </w:r>
      <w:bookmarkEnd w:id="751"/>
    </w:p>
    <w:p w14:paraId="7F274B88" w14:textId="77777777" w:rsidR="00FF302D" w:rsidRPr="00113F13" w:rsidRDefault="00FF302D" w:rsidP="00B63604">
      <w:pPr>
        <w:pStyle w:val="NormalNumberedTextTLRI"/>
        <w:numPr>
          <w:ilvl w:val="2"/>
          <w:numId w:val="31"/>
        </w:numPr>
        <w:tabs>
          <w:tab w:val="clear" w:pos="720"/>
        </w:tabs>
        <w:spacing w:line="259" w:lineRule="auto"/>
      </w:pPr>
      <w:bookmarkStart w:id="752" w:name="_Toc143872534"/>
      <w:bookmarkStart w:id="753" w:name="_Ref151135009"/>
      <w:r w:rsidRPr="00113F13">
        <w:t>In the context of privacy policies and approaches to data management and privacy compliance, the Review also considered the potential privacy impacts of the proliferation of automated decision-making and artificial intelligence-enabled tools and their use by government and non-government entities.</w:t>
      </w:r>
    </w:p>
    <w:p w14:paraId="21899FC9" w14:textId="77777777" w:rsidR="00FF302D" w:rsidRPr="00113F13" w:rsidRDefault="00FF302D" w:rsidP="00B63604">
      <w:pPr>
        <w:pStyle w:val="NormalNumberedTextTLRI"/>
        <w:numPr>
          <w:ilvl w:val="2"/>
          <w:numId w:val="31"/>
        </w:numPr>
        <w:tabs>
          <w:tab w:val="clear" w:pos="720"/>
        </w:tabs>
        <w:spacing w:line="259" w:lineRule="auto"/>
      </w:pPr>
      <w:r w:rsidRPr="00113F13">
        <w:t>The Review defined automated decision-making as the ‘deployment of technology to automate a decision-making process’, ranging from simple rules-based systems to the use of artificial intelligence (‘AI’).</w:t>
      </w:r>
      <w:r w:rsidRPr="00113F13">
        <w:rPr>
          <w:rStyle w:val="FootnoteReference"/>
          <w:rFonts w:ascii="Times New Roman" w:hAnsi="Times New Roman"/>
        </w:rPr>
        <w:footnoteReference w:id="684"/>
      </w:r>
      <w:r w:rsidRPr="00113F13">
        <w:t xml:space="preserve"> The Review observed that submitters had noted both potential benefits and risks of the growing use of automated decision-making in the government and private sectors, including that they may promote efficiency, accuracy, and consistency of decisions, but may also entrench or produce bias leading to discrimination or unfair treatment.</w:t>
      </w:r>
      <w:r w:rsidRPr="00113F13">
        <w:rPr>
          <w:rStyle w:val="FootnoteReference"/>
          <w:rFonts w:ascii="Times New Roman" w:hAnsi="Times New Roman"/>
        </w:rPr>
        <w:footnoteReference w:id="685"/>
      </w:r>
      <w:bookmarkEnd w:id="752"/>
      <w:bookmarkEnd w:id="753"/>
    </w:p>
    <w:p w14:paraId="37C3B3C4" w14:textId="77777777" w:rsidR="00FF302D" w:rsidRPr="00113F13" w:rsidRDefault="00FF302D" w:rsidP="00B63604">
      <w:pPr>
        <w:pStyle w:val="NormalNumberedTextTLRI"/>
        <w:numPr>
          <w:ilvl w:val="2"/>
          <w:numId w:val="31"/>
        </w:numPr>
        <w:tabs>
          <w:tab w:val="clear" w:pos="720"/>
        </w:tabs>
        <w:spacing w:line="259" w:lineRule="auto"/>
      </w:pPr>
      <w:bookmarkStart w:id="754" w:name="_Ref91659614"/>
      <w:bookmarkStart w:id="755" w:name="_Toc143872535"/>
      <w:r w:rsidRPr="00113F13">
        <w:t>The Review discussed regulation of automated decisions under the GDPR. Article 22 of the GDPR provides various restrictions on the use of automated decision-making involving the use or generation of personal information, including profiling. Profiling involves using an automated process to analyse or predict a person’s attributes or characteristics based on their personal information, often in combination with information collected from others.</w:t>
      </w:r>
      <w:r w:rsidRPr="00113F13">
        <w:rPr>
          <w:rStyle w:val="FootnoteReference"/>
          <w:rFonts w:ascii="Times New Roman" w:hAnsi="Times New Roman"/>
        </w:rPr>
        <w:footnoteReference w:id="686"/>
      </w:r>
      <w:r w:rsidRPr="00113F13">
        <w:t xml:space="preserve"> Profiling can include using previous choices or behaviours, such as purchasing or browsing habits, to predict an individual’s economic situation, health, preferences, interests, behaviour, or location.</w:t>
      </w:r>
      <w:bookmarkEnd w:id="754"/>
      <w:bookmarkEnd w:id="755"/>
      <w:r w:rsidRPr="00113F13">
        <w:t xml:space="preserve"> </w:t>
      </w:r>
    </w:p>
    <w:p w14:paraId="69D4468F" w14:textId="77777777" w:rsidR="00FF302D" w:rsidRPr="00113F13" w:rsidRDefault="00FF302D" w:rsidP="00B63604">
      <w:pPr>
        <w:pStyle w:val="NormalNumberedTextTLRI"/>
        <w:numPr>
          <w:ilvl w:val="2"/>
          <w:numId w:val="31"/>
        </w:numPr>
        <w:tabs>
          <w:tab w:val="clear" w:pos="720"/>
        </w:tabs>
        <w:spacing w:line="259" w:lineRule="auto"/>
      </w:pPr>
      <w:bookmarkStart w:id="756" w:name="_Toc143872536"/>
      <w:r w:rsidRPr="00113F13">
        <w:t xml:space="preserve">Article 22 of the GDPR prevents a decision from being based </w:t>
      </w:r>
      <w:r w:rsidRPr="00113F13">
        <w:rPr>
          <w:i/>
          <w:iCs/>
        </w:rPr>
        <w:t>solely</w:t>
      </w:r>
      <w:r w:rsidRPr="00113F13">
        <w:t xml:space="preserve"> on automated processing, if that decision has legal or similarly significant effects on the person. Even where automated processes can be used, further requirements exist depending on the type of information being used, as follows:</w:t>
      </w:r>
      <w:bookmarkEnd w:id="756"/>
    </w:p>
    <w:p w14:paraId="0FA3CC6B" w14:textId="77777777" w:rsidR="00FF302D" w:rsidRPr="00113F13" w:rsidRDefault="00FF302D" w:rsidP="006551D3">
      <w:pPr>
        <w:pStyle w:val="DotPointTLRI"/>
      </w:pPr>
      <w:r w:rsidRPr="00113F13">
        <w:rPr>
          <w:i/>
          <w:iCs/>
        </w:rPr>
        <w:t xml:space="preserve">Sensitive </w:t>
      </w:r>
      <w:r w:rsidRPr="00113F13">
        <w:t>data: can only be used in automated processes where explicit consent has been given or it is authorised by legislation.</w:t>
      </w:r>
    </w:p>
    <w:p w14:paraId="19E5F100" w14:textId="77777777" w:rsidR="00FF302D" w:rsidRPr="00113F13" w:rsidRDefault="00FF302D" w:rsidP="006551D3">
      <w:pPr>
        <w:pStyle w:val="DotPointTLRI"/>
      </w:pPr>
      <w:r w:rsidRPr="00113F13">
        <w:rPr>
          <w:i/>
          <w:iCs/>
        </w:rPr>
        <w:t xml:space="preserve">Non-sensitive </w:t>
      </w:r>
      <w:r w:rsidRPr="00113F13">
        <w:t>data: can only be used where necessary for various purposes, including: the performance of a contract with the individual; where it is authorised by legislation; or where the individual has explicitly consented to that use of their data.</w:t>
      </w:r>
    </w:p>
    <w:p w14:paraId="255B5575" w14:textId="77777777" w:rsidR="00FF302D" w:rsidRPr="00113F13" w:rsidRDefault="00FF302D" w:rsidP="00B63604">
      <w:pPr>
        <w:pStyle w:val="NormalNumberedTextTLRI"/>
        <w:numPr>
          <w:ilvl w:val="2"/>
          <w:numId w:val="31"/>
        </w:numPr>
        <w:tabs>
          <w:tab w:val="clear" w:pos="720"/>
        </w:tabs>
        <w:spacing w:line="259" w:lineRule="auto"/>
      </w:pPr>
      <w:bookmarkStart w:id="757" w:name="_Toc143872537"/>
      <w:r w:rsidRPr="00113F13">
        <w:t>In all cases, suitable measures must be taken to safeguard the interests of the individual concerned. This includes enabling the individual to request that a human be involved before any final decision or action is taken, to express their point of view, and to contest the decision.</w:t>
      </w:r>
      <w:bookmarkEnd w:id="757"/>
      <w:r w:rsidRPr="00113F13">
        <w:t xml:space="preserve"> </w:t>
      </w:r>
    </w:p>
    <w:p w14:paraId="3BEA35C8" w14:textId="77777777" w:rsidR="00FF302D" w:rsidRPr="00113F13" w:rsidRDefault="00FF302D" w:rsidP="00B63604">
      <w:pPr>
        <w:pStyle w:val="NormalNumberedTextTLRI"/>
        <w:numPr>
          <w:ilvl w:val="2"/>
          <w:numId w:val="31"/>
        </w:numPr>
        <w:tabs>
          <w:tab w:val="clear" w:pos="720"/>
        </w:tabs>
        <w:spacing w:line="259" w:lineRule="auto"/>
      </w:pPr>
      <w:bookmarkStart w:id="758" w:name="_Toc143872538"/>
      <w:r w:rsidRPr="00113F13">
        <w:t xml:space="preserve">The Australian Human Rights Commission (‘AHRC’) has recognised the difficulties associated with regulating the use of AI, including the technical complexity of developing and understanding the operation of AI systems. In light of this, the AHRC made recommendations relating </w:t>
      </w:r>
      <w:r w:rsidRPr="00113F13">
        <w:lastRenderedPageBreak/>
        <w:t>to governments’ use of AI-informed decision-making systems for administrative decision-making.</w:t>
      </w:r>
      <w:r w:rsidRPr="00113F13">
        <w:rPr>
          <w:rStyle w:val="FootnoteReference"/>
          <w:rFonts w:ascii="Times New Roman" w:hAnsi="Times New Roman"/>
        </w:rPr>
        <w:footnoteReference w:id="687"/>
      </w:r>
      <w:r w:rsidRPr="00113F13">
        <w:t xml:space="preserve"> The recommendations included:</w:t>
      </w:r>
      <w:bookmarkEnd w:id="758"/>
    </w:p>
    <w:p w14:paraId="231E100D" w14:textId="77777777" w:rsidR="00FF302D" w:rsidRPr="00113F13" w:rsidRDefault="00FF302D" w:rsidP="006551D3">
      <w:pPr>
        <w:pStyle w:val="DotPointTLRI"/>
      </w:pPr>
      <w:r w:rsidRPr="00113F13">
        <w:t>carrying out a ‘Human Rights Impact Assessment’ before the system is used in order to evaluate its possible impacts on human rights, including how the system impacts privacy and whether it provides for appropriate review of decisions by human decision-makers;</w:t>
      </w:r>
      <w:r w:rsidRPr="00113F13">
        <w:rPr>
          <w:rStyle w:val="FootnoteReference"/>
          <w:rFonts w:ascii="Times New Roman" w:hAnsi="Times New Roman"/>
        </w:rPr>
        <w:footnoteReference w:id="688"/>
      </w:r>
      <w:r w:rsidRPr="00113F13">
        <w:t xml:space="preserve"> </w:t>
      </w:r>
    </w:p>
    <w:p w14:paraId="535A86C2" w14:textId="77777777" w:rsidR="00FF302D" w:rsidRPr="00113F13" w:rsidRDefault="00FF302D" w:rsidP="006551D3">
      <w:pPr>
        <w:pStyle w:val="DotPointTLRI"/>
      </w:pPr>
      <w:r w:rsidRPr="00113F13">
        <w:t>providing for mechanisms to independently review the merits of any decision made;</w:t>
      </w:r>
      <w:r w:rsidRPr="00113F13">
        <w:rPr>
          <w:rStyle w:val="FootnoteReference"/>
          <w:rFonts w:ascii="Times New Roman" w:hAnsi="Times New Roman"/>
        </w:rPr>
        <w:footnoteReference w:id="689"/>
      </w:r>
      <w:r w:rsidRPr="00113F13">
        <w:t xml:space="preserve"> </w:t>
      </w:r>
    </w:p>
    <w:p w14:paraId="52F0979E" w14:textId="77777777" w:rsidR="00FF302D" w:rsidRPr="00113F13" w:rsidRDefault="00FF302D" w:rsidP="006551D3">
      <w:pPr>
        <w:pStyle w:val="DotPointTLRI"/>
      </w:pPr>
      <w:r w:rsidRPr="00113F13">
        <w:t>requiring the use of AI to be specifically authorised and governed by legislation;</w:t>
      </w:r>
    </w:p>
    <w:p w14:paraId="72F56BC0" w14:textId="77777777" w:rsidR="00FF302D" w:rsidRPr="00113F13" w:rsidRDefault="00FF302D" w:rsidP="006551D3">
      <w:pPr>
        <w:pStyle w:val="DotPointTLRI"/>
      </w:pPr>
      <w:r w:rsidRPr="00113F13">
        <w:t>requiring individuals to be notified before AI is used in a material way in decisions which may affect an individual’s interests;</w:t>
      </w:r>
    </w:p>
    <w:p w14:paraId="4C339F68" w14:textId="77777777" w:rsidR="00FF302D" w:rsidRPr="00113F13" w:rsidRDefault="00FF302D" w:rsidP="006551D3">
      <w:pPr>
        <w:pStyle w:val="DotPointTLRI"/>
      </w:pPr>
      <w:r w:rsidRPr="00113F13">
        <w:t>informing individuals on how they can challenge a decision where AI has been used in a material way;</w:t>
      </w:r>
      <w:r w:rsidRPr="00113F13">
        <w:rPr>
          <w:rStyle w:val="FootnoteReference"/>
          <w:rFonts w:ascii="Times New Roman" w:hAnsi="Times New Roman"/>
        </w:rPr>
        <w:footnoteReference w:id="690"/>
      </w:r>
      <w:r w:rsidRPr="00113F13">
        <w:t xml:space="preserve"> and</w:t>
      </w:r>
    </w:p>
    <w:p w14:paraId="73773FF4" w14:textId="77777777" w:rsidR="00FF302D" w:rsidRPr="00113F13" w:rsidRDefault="00FF302D" w:rsidP="006551D3">
      <w:pPr>
        <w:pStyle w:val="DotPointTLRI"/>
      </w:pPr>
      <w:r w:rsidRPr="00113F13">
        <w:t>requiring reasons or a technical explanation of the decision to be given before a decision can be considered lawful.</w:t>
      </w:r>
      <w:r w:rsidRPr="00113F13">
        <w:rPr>
          <w:rStyle w:val="FootnoteReference"/>
          <w:rFonts w:ascii="Times New Roman" w:hAnsi="Times New Roman"/>
        </w:rPr>
        <w:footnoteReference w:id="691"/>
      </w:r>
      <w:r w:rsidRPr="00113F13" w:rsidDel="00905527">
        <w:t xml:space="preserve"> </w:t>
      </w:r>
      <w:r w:rsidRPr="00113F13">
        <w:t xml:space="preserve"> </w:t>
      </w:r>
    </w:p>
    <w:p w14:paraId="40DD786A" w14:textId="77777777" w:rsidR="00FF302D" w:rsidRPr="00113F13" w:rsidRDefault="00FF302D" w:rsidP="00B63604">
      <w:pPr>
        <w:pStyle w:val="NormalNumberedTextTLRI"/>
        <w:numPr>
          <w:ilvl w:val="2"/>
          <w:numId w:val="31"/>
        </w:numPr>
        <w:tabs>
          <w:tab w:val="clear" w:pos="720"/>
        </w:tabs>
        <w:spacing w:line="259" w:lineRule="auto"/>
      </w:pPr>
      <w:bookmarkStart w:id="759" w:name="_Toc143872540"/>
      <w:r w:rsidRPr="00113F13">
        <w:t>In response, the Review proposed in its Final Report that:</w:t>
      </w:r>
      <w:bookmarkEnd w:id="759"/>
    </w:p>
    <w:p w14:paraId="0B614F41" w14:textId="77777777" w:rsidR="00FF302D" w:rsidRPr="00113F13" w:rsidRDefault="00FF302D" w:rsidP="006551D3">
      <w:pPr>
        <w:pStyle w:val="DotPointTLRI"/>
      </w:pPr>
      <w:r w:rsidRPr="00113F13">
        <w:t>privacy policies should ‘set out the types of personal information that will be used in substantially automated decisions which have a legal or similarly significant effect on an individual’s rights’;</w:t>
      </w:r>
      <w:r w:rsidRPr="00113F13">
        <w:rPr>
          <w:rStyle w:val="FootnoteReference"/>
          <w:rFonts w:ascii="Times New Roman" w:hAnsi="Times New Roman"/>
        </w:rPr>
        <w:footnoteReference w:id="692"/>
      </w:r>
    </w:p>
    <w:p w14:paraId="2F2A34CD" w14:textId="77777777" w:rsidR="00FF302D" w:rsidRPr="00113F13" w:rsidRDefault="00FF302D" w:rsidP="006551D3">
      <w:pPr>
        <w:pStyle w:val="DotPointTLRI"/>
      </w:pPr>
      <w:r w:rsidRPr="00113F13">
        <w:t>the Privacy Act should be amended to include ‘[h]igh-level indicators of the types of decisions with a legal or similarly significant effect on an individual’s rights’, to be supplemented by OAIC guidance (which could be based on existing guidance produced overseas);</w:t>
      </w:r>
      <w:r w:rsidRPr="00113F13">
        <w:rPr>
          <w:rStyle w:val="FootnoteReference"/>
          <w:rFonts w:ascii="Times New Roman" w:hAnsi="Times New Roman"/>
        </w:rPr>
        <w:footnoteReference w:id="693"/>
      </w:r>
      <w:r w:rsidRPr="00113F13">
        <w:t xml:space="preserve"> and</w:t>
      </w:r>
    </w:p>
    <w:p w14:paraId="01385B31" w14:textId="77777777" w:rsidR="00FF302D" w:rsidRPr="00113F13" w:rsidRDefault="00FF302D" w:rsidP="006551D3">
      <w:pPr>
        <w:pStyle w:val="DotPointTLRI"/>
      </w:pPr>
      <w:r w:rsidRPr="00113F13">
        <w:t>a right of individuals to request meaningful information about how substantially automated decisions with legal or similarly significant effect are made should be introduced, as part of work underway by the Commonwealth Department of Industry, Science and Resources and wider work on the regulation of AI and automated decision-making (‘ADM’) (to ensure consistency and limit regulatory burden).</w:t>
      </w:r>
      <w:r w:rsidRPr="00113F13">
        <w:rPr>
          <w:rStyle w:val="FootnoteReference"/>
          <w:rFonts w:ascii="Times New Roman" w:hAnsi="Times New Roman"/>
        </w:rPr>
        <w:footnoteReference w:id="694"/>
      </w:r>
    </w:p>
    <w:p w14:paraId="6A0F1B8C" w14:textId="77777777" w:rsidR="00FF302D" w:rsidRPr="00113F13" w:rsidRDefault="00FF302D" w:rsidP="00BF1FE7">
      <w:pPr>
        <w:pStyle w:val="NumberedHeadingTLRI"/>
      </w:pPr>
      <w:bookmarkStart w:id="760" w:name="_Toc143872541"/>
      <w:bookmarkStart w:id="761" w:name="_Toc152245443"/>
      <w:bookmarkStart w:id="762" w:name="_Toc164606659"/>
      <w:r w:rsidRPr="00113F13">
        <w:t>Consultation</w:t>
      </w:r>
      <w:bookmarkEnd w:id="760"/>
      <w:bookmarkEnd w:id="761"/>
      <w:bookmarkEnd w:id="762"/>
    </w:p>
    <w:p w14:paraId="60A0C544" w14:textId="77777777" w:rsidR="00FF302D" w:rsidRPr="00113F13" w:rsidRDefault="00FF302D" w:rsidP="00B63604">
      <w:pPr>
        <w:pStyle w:val="NormalNumberedTextTLRI"/>
        <w:numPr>
          <w:ilvl w:val="2"/>
          <w:numId w:val="31"/>
        </w:numPr>
        <w:tabs>
          <w:tab w:val="clear" w:pos="720"/>
        </w:tabs>
        <w:spacing w:line="259" w:lineRule="auto"/>
      </w:pPr>
      <w:bookmarkStart w:id="763" w:name="_Toc143872542"/>
      <w:r w:rsidRPr="00113F13">
        <w:t>The TLRI Issues Paper did not pose any questions that explicitly dealt with privacy policies or openness more generally. It did pose one question about artificial intelligence:</w:t>
      </w:r>
      <w:bookmarkEnd w:id="763"/>
    </w:p>
    <w:p w14:paraId="12BCAD3A" w14:textId="77777777" w:rsidR="00FF302D" w:rsidRPr="00113F13" w:rsidRDefault="00FF302D" w:rsidP="006551D3">
      <w:pPr>
        <w:pStyle w:val="Indentedquote"/>
        <w:rPr>
          <w:rFonts w:cs="Times New Roman"/>
        </w:rPr>
      </w:pPr>
      <w:r w:rsidRPr="00113F13">
        <w:rPr>
          <w:rFonts w:cs="Times New Roman"/>
        </w:rPr>
        <w:t xml:space="preserve">Should any of the other potential reforms be introduced, including: </w:t>
      </w:r>
    </w:p>
    <w:p w14:paraId="6B4E56A5" w14:textId="4607276F" w:rsidR="00FF302D" w:rsidRPr="00113F13" w:rsidRDefault="00FF302D" w:rsidP="00FF302D">
      <w:pPr>
        <w:rPr>
          <w:rFonts w:cs="Times New Roman"/>
          <w:i/>
          <w:iCs/>
        </w:rPr>
      </w:pPr>
      <w:r w:rsidRPr="00113F13">
        <w:rPr>
          <w:rFonts w:cs="Times New Roman"/>
          <w:i/>
          <w:iCs/>
        </w:rPr>
        <w:tab/>
        <w:t>…</w:t>
      </w:r>
    </w:p>
    <w:p w14:paraId="375EEA35" w14:textId="77777777" w:rsidR="00FF302D" w:rsidRPr="00113F13" w:rsidRDefault="00FF302D" w:rsidP="006551D3">
      <w:pPr>
        <w:pStyle w:val="Indentedquote"/>
        <w:spacing w:after="480"/>
        <w:rPr>
          <w:rFonts w:cs="Times New Roman"/>
        </w:rPr>
      </w:pPr>
      <w:r w:rsidRPr="00113F13">
        <w:rPr>
          <w:rFonts w:cs="Times New Roman"/>
        </w:rPr>
        <w:lastRenderedPageBreak/>
        <w:t>specific restrictions on the use of artificial intelligence in automated administrative decision-making</w:t>
      </w:r>
      <w:r w:rsidRPr="00113F13">
        <w:rPr>
          <w:rStyle w:val="FootnoteReference"/>
          <w:rFonts w:ascii="Times New Roman" w:hAnsi="Times New Roman" w:cs="Times New Roman"/>
        </w:rPr>
        <w:footnoteReference w:id="695"/>
      </w:r>
    </w:p>
    <w:p w14:paraId="4F4BCD3E" w14:textId="61AA93A8" w:rsidR="00FF302D" w:rsidRPr="003215A2" w:rsidRDefault="00FF302D" w:rsidP="00B63604">
      <w:pPr>
        <w:pStyle w:val="NormalNumberedTextTLRI"/>
        <w:numPr>
          <w:ilvl w:val="2"/>
          <w:numId w:val="31"/>
        </w:numPr>
        <w:tabs>
          <w:tab w:val="clear" w:pos="720"/>
        </w:tabs>
        <w:spacing w:line="259" w:lineRule="auto"/>
      </w:pPr>
      <w:bookmarkStart w:id="764" w:name="_Toc143872543"/>
      <w:r w:rsidRPr="00113F13">
        <w:t>Meg Webb MLC expressed a concern about automated decision-making; Ms Webb and several other submitters raised the issue of the potential for profiling in relation to private sector use of facial recognition technology (‘FRT’).</w:t>
      </w:r>
      <w:r w:rsidRPr="00113F13">
        <w:rPr>
          <w:rStyle w:val="FootnoteReference"/>
          <w:rFonts w:ascii="Times New Roman" w:hAnsi="Times New Roman"/>
        </w:rPr>
        <w:footnoteReference w:id="696"/>
      </w:r>
      <w:r w:rsidRPr="00113F13">
        <w:t xml:space="preserve"> For example, the Tasmanian Council of Social Service (‘</w:t>
      </w:r>
      <w:bookmarkStart w:id="765" w:name="_Toc143872544"/>
      <w:r w:rsidRPr="00113F13">
        <w:t xml:space="preserve">TasCOSS’) cited the AHRC’s </w:t>
      </w:r>
      <w:r w:rsidRPr="10DD744B">
        <w:rPr>
          <w:i/>
          <w:iCs/>
        </w:rPr>
        <w:t xml:space="preserve">Human Rights and Technology </w:t>
      </w:r>
      <w:r w:rsidRPr="00113F13">
        <w:t xml:space="preserve">Final Report in support of its submission that FRT raises a range of concerns, including with the use of data </w:t>
      </w:r>
      <w:r w:rsidRPr="003215A2">
        <w:t>in police profiling and the disproportionate impact of errors with FRT and its use on ‘certain groups’</w:t>
      </w:r>
      <w:r w:rsidRPr="003215A2">
        <w:rPr>
          <w:rStyle w:val="FootnoteReference"/>
          <w:rFonts w:ascii="Times New Roman" w:hAnsi="Times New Roman"/>
        </w:rPr>
        <w:footnoteReference w:id="697"/>
      </w:r>
      <w:bookmarkEnd w:id="765"/>
      <w:r w:rsidRPr="003215A2">
        <w:t xml:space="preserve"> (see </w:t>
      </w:r>
      <w:r w:rsidRPr="00EA22F8">
        <w:t>further [4.9.3]</w:t>
      </w:r>
      <w:r w:rsidRPr="003215A2">
        <w:t xml:space="preserve"> of this </w:t>
      </w:r>
      <w:r w:rsidR="0097206F">
        <w:t>R</w:t>
      </w:r>
      <w:r w:rsidRPr="003215A2">
        <w:t>eport).</w:t>
      </w:r>
      <w:bookmarkEnd w:id="764"/>
    </w:p>
    <w:p w14:paraId="2A0DA322" w14:textId="7EE4948F" w:rsidR="00FF302D" w:rsidRPr="00113F13" w:rsidRDefault="00FF302D" w:rsidP="00B63604">
      <w:pPr>
        <w:pStyle w:val="NormalNumberedTextTLRI"/>
        <w:numPr>
          <w:ilvl w:val="2"/>
          <w:numId w:val="31"/>
        </w:numPr>
        <w:tabs>
          <w:tab w:val="clear" w:pos="720"/>
        </w:tabs>
        <w:spacing w:line="259" w:lineRule="auto"/>
      </w:pPr>
      <w:bookmarkStart w:id="766" w:name="_Toc143872479"/>
      <w:r w:rsidRPr="003215A2">
        <w:t>Also relevant to the design of privacy policies was Ms Webb’s submission (</w:t>
      </w:r>
      <w:r w:rsidR="0097206F">
        <w:t>[</w:t>
      </w:r>
      <w:r w:rsidRPr="00EA22F8">
        <w:t>5.6.6]</w:t>
      </w:r>
      <w:r w:rsidRPr="003215A2">
        <w:t xml:space="preserve"> above in relation to collection notices) that individuals should be informed</w:t>
      </w:r>
      <w:bookmarkEnd w:id="766"/>
      <w:r w:rsidRPr="003215A2">
        <w:t xml:space="preserve"> of the intended duration</w:t>
      </w:r>
      <w:r w:rsidRPr="00113F13">
        <w:t xml:space="preserve"> of data storage, expected timeframe for deletion or partial deletion (if appropriate), and when erasure has occurred.</w:t>
      </w:r>
      <w:r w:rsidRPr="00113F13">
        <w:rPr>
          <w:rStyle w:val="FootnoteReference"/>
          <w:rFonts w:ascii="Times New Roman" w:hAnsi="Times New Roman"/>
        </w:rPr>
        <w:footnoteReference w:id="698"/>
      </w:r>
    </w:p>
    <w:p w14:paraId="6838207F" w14:textId="77777777" w:rsidR="00FF302D" w:rsidRPr="00113F13" w:rsidRDefault="00FF302D" w:rsidP="00BF1FE7">
      <w:pPr>
        <w:pStyle w:val="NumberedHeadingTLRI"/>
      </w:pPr>
      <w:bookmarkStart w:id="767" w:name="_Toc143872545"/>
      <w:bookmarkStart w:id="768" w:name="_Toc152245444"/>
      <w:bookmarkStart w:id="769" w:name="_Toc164606660"/>
      <w:r w:rsidRPr="00113F13">
        <w:t>The TLRI’s view</w:t>
      </w:r>
      <w:bookmarkEnd w:id="767"/>
      <w:bookmarkEnd w:id="768"/>
      <w:bookmarkEnd w:id="769"/>
    </w:p>
    <w:p w14:paraId="4C439D79" w14:textId="77777777" w:rsidR="00FF302D" w:rsidRPr="00113F13" w:rsidRDefault="00FF302D" w:rsidP="00B63604">
      <w:pPr>
        <w:pStyle w:val="NormalNumberedTextTLRI"/>
        <w:numPr>
          <w:ilvl w:val="2"/>
          <w:numId w:val="31"/>
        </w:numPr>
        <w:tabs>
          <w:tab w:val="clear" w:pos="720"/>
        </w:tabs>
        <w:spacing w:line="259" w:lineRule="auto"/>
      </w:pPr>
      <w:bookmarkStart w:id="770" w:name="_Toc143872546"/>
      <w:r w:rsidRPr="00113F13">
        <w:t>The TLRI observes that the PIPA provisions relating to openness and privacy policies are very similar to those found in other State and Territory legislation. These provisions are, however, inconsistent with the Commonwealth Privacy Act, which contains a greater level of detail and prescribes additional requirements (either directly or via the APP Code 2017) relating to regulated entities’ protection of information and compliance with the legislation.</w:t>
      </w:r>
      <w:r w:rsidRPr="00113F13">
        <w:rPr>
          <w:rStyle w:val="FootnoteReference"/>
          <w:rFonts w:ascii="Times New Roman" w:hAnsi="Times New Roman"/>
        </w:rPr>
        <w:footnoteReference w:id="699"/>
      </w:r>
    </w:p>
    <w:p w14:paraId="58FD1607"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there may be advantages, in terms of providing clarity and guidance for personal information custodians and equipping individuals with more information about their privacy, to:</w:t>
      </w:r>
    </w:p>
    <w:p w14:paraId="0042FA0A" w14:textId="77777777" w:rsidR="00FF302D" w:rsidRPr="00113F13" w:rsidRDefault="00FF302D" w:rsidP="006551D3">
      <w:pPr>
        <w:pStyle w:val="DotPointTLRI"/>
      </w:pPr>
      <w:r w:rsidRPr="00113F13">
        <w:t>amending the PIPA to align more closely with the Privacy Act by specifying the types of information that must be included in privacy policies (similar to the list in APP 1.4, which the Privacy Act Review recommended should be amended to include information about retention periods); and</w:t>
      </w:r>
    </w:p>
    <w:p w14:paraId="247F0FE6" w14:textId="77777777" w:rsidR="00FF302D" w:rsidRPr="00113F13" w:rsidRDefault="00FF302D" w:rsidP="006551D3">
      <w:pPr>
        <w:pStyle w:val="DotPointTLRI"/>
      </w:pPr>
      <w:r w:rsidRPr="00113F13">
        <w:t>legislating the requirement for all personal information custodians to designate a privacy officer (similar to the requiremen</w:t>
      </w:r>
      <w:bookmarkEnd w:id="770"/>
      <w:r w:rsidRPr="00113F13">
        <w:t>t in 2017 APP Code, which the Privacy Act Review recommended be imported into the Privacy Act itself). It is acknowledged that Tasmanian agencies may already have privacy officers, although it is notable that the Commission of Inquiry into the Tasmanian Government’s Responses to Child Sexual Abuse in Institutional Settings (‘CoI’) commented on a lack of designated staff appointed to deal with PIPA requests.</w:t>
      </w:r>
      <w:r w:rsidRPr="00113F13">
        <w:rPr>
          <w:rStyle w:val="FootnoteReference"/>
          <w:rFonts w:ascii="Times New Roman" w:hAnsi="Times New Roman"/>
        </w:rPr>
        <w:footnoteReference w:id="700"/>
      </w:r>
    </w:p>
    <w:p w14:paraId="3991C239" w14:textId="77777777" w:rsidR="00FF302D" w:rsidRPr="00113F13" w:rsidRDefault="00FF302D" w:rsidP="00B63604">
      <w:pPr>
        <w:pStyle w:val="NormalNumberedTextTLRI"/>
        <w:numPr>
          <w:ilvl w:val="2"/>
          <w:numId w:val="31"/>
        </w:numPr>
        <w:tabs>
          <w:tab w:val="clear" w:pos="720"/>
        </w:tabs>
        <w:spacing w:line="259" w:lineRule="auto"/>
      </w:pPr>
      <w:bookmarkStart w:id="771" w:name="_Toc143872547"/>
      <w:r w:rsidRPr="00113F13">
        <w:t>As with other recommendations made in this Report, the implementation of these recommendations would require consideration of whether personal information custodians have adequate resources and support to implement them.</w:t>
      </w:r>
    </w:p>
    <w:p w14:paraId="27D4DA80"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 xml:space="preserve">The TLRI notes the concerns raised by multiple submitters about the privacy risks associated with emerging technology, such as FRT and ADM. The TLRI agrees with the findings of the Commonwealth Privacy Act Review and other recent projects (such as the AHRC’s </w:t>
      </w:r>
      <w:r w:rsidRPr="00113F13">
        <w:rPr>
          <w:i/>
          <w:iCs/>
        </w:rPr>
        <w:t xml:space="preserve">Human Rights and Technology </w:t>
      </w:r>
      <w:r w:rsidRPr="00113F13">
        <w:t>project) that the risks associated with these technologies justify reforms to privacy legislation.</w:t>
      </w:r>
    </w:p>
    <w:p w14:paraId="2BCF3984"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the PIPA should be strengthened by:</w:t>
      </w:r>
    </w:p>
    <w:p w14:paraId="47DE4EB3" w14:textId="77777777" w:rsidR="00FF302D" w:rsidRPr="00113F13" w:rsidRDefault="00FF302D" w:rsidP="006551D3">
      <w:pPr>
        <w:pStyle w:val="DotPointTLRI"/>
      </w:pPr>
      <w:r w:rsidRPr="00113F13">
        <w:t xml:space="preserve">requiring personal information custodians to specify types of personal information that will be used in ADM (with appropriate guidance for personal information custodians); and </w:t>
      </w:r>
    </w:p>
    <w:p w14:paraId="367E0963" w14:textId="77777777" w:rsidR="00FF302D" w:rsidRPr="00113F13" w:rsidRDefault="00FF302D" w:rsidP="006551D3">
      <w:pPr>
        <w:pStyle w:val="DotPointTLRI"/>
      </w:pPr>
      <w:r w:rsidRPr="00113F13">
        <w:t xml:space="preserve">establishing a right to request meaningful information about how such decisions are made. </w:t>
      </w:r>
    </w:p>
    <w:p w14:paraId="1C3AE512" w14:textId="77777777" w:rsidR="00FF302D" w:rsidRPr="00113F13" w:rsidRDefault="00FF302D" w:rsidP="00B63604">
      <w:pPr>
        <w:pStyle w:val="NormalNumberedTextTLRI"/>
        <w:numPr>
          <w:ilvl w:val="2"/>
          <w:numId w:val="31"/>
        </w:numPr>
        <w:tabs>
          <w:tab w:val="clear" w:pos="720"/>
        </w:tabs>
        <w:spacing w:line="259" w:lineRule="auto"/>
      </w:pPr>
      <w:r w:rsidRPr="00113F13">
        <w:t>The TLRI notes that the recommendations of the Privacy Act Review in this regard are similar to regulations in other data protection regulatory schemes, such as the GDPR.</w:t>
      </w:r>
      <w:r w:rsidRPr="00113F13">
        <w:rPr>
          <w:rStyle w:val="FootnoteReference"/>
          <w:rFonts w:ascii="Times New Roman" w:hAnsi="Times New Roman"/>
        </w:rPr>
        <w:footnoteReference w:id="701"/>
      </w:r>
      <w:bookmarkEnd w:id="771"/>
    </w:p>
    <w:p w14:paraId="1A72AFAB" w14:textId="77777777" w:rsidR="00FF302D" w:rsidRPr="00113F13" w:rsidRDefault="00FF302D" w:rsidP="00BF1FE7">
      <w:pPr>
        <w:pStyle w:val="NumberedHeadingTLRI"/>
      </w:pPr>
      <w:bookmarkStart w:id="772" w:name="_Toc143872548"/>
      <w:bookmarkStart w:id="773" w:name="_Toc152245445"/>
      <w:bookmarkStart w:id="774" w:name="_Toc164606661"/>
      <w:r w:rsidRPr="00113F13">
        <w:t>Recommendations</w:t>
      </w:r>
      <w:bookmarkEnd w:id="772"/>
      <w:bookmarkEnd w:id="773"/>
      <w:bookmarkEnd w:id="7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62596A7F" w14:textId="77777777" w:rsidTr="00AF27FA">
        <w:tc>
          <w:tcPr>
            <w:tcW w:w="9016" w:type="dxa"/>
            <w:shd w:val="clear" w:color="auto" w:fill="E8E8E8" w:themeFill="background2"/>
          </w:tcPr>
          <w:p w14:paraId="3CC9FB94" w14:textId="77777777" w:rsidR="00FF302D" w:rsidRPr="00113F13" w:rsidRDefault="00FF302D" w:rsidP="004214CB">
            <w:pPr>
              <w:pStyle w:val="Dotpointlist"/>
              <w:numPr>
                <w:ilvl w:val="0"/>
                <w:numId w:val="0"/>
              </w:numPr>
              <w:spacing w:before="120" w:after="0"/>
              <w:jc w:val="both"/>
              <w:rPr>
                <w:rFonts w:ascii="Times New Roman" w:hAnsi="Times New Roman" w:cs="Times New Roman"/>
              </w:rPr>
            </w:pPr>
            <w:r w:rsidRPr="00113F13">
              <w:rPr>
                <w:rFonts w:ascii="Times New Roman" w:hAnsi="Times New Roman" w:cs="Times New Roman"/>
                <w:b/>
                <w:bCs/>
              </w:rPr>
              <w:t>Recommendation 44:</w:t>
            </w:r>
            <w:r w:rsidRPr="00113F13">
              <w:rPr>
                <w:rFonts w:ascii="Times New Roman" w:hAnsi="Times New Roman" w:cs="Times New Roman"/>
              </w:rPr>
              <w:t xml:space="preserve"> There should be greater clarity around how personal information custodians should meet the requirements of PIPP 5. This should include:</w:t>
            </w:r>
          </w:p>
          <w:p w14:paraId="2BC5290B" w14:textId="77777777" w:rsidR="00FF302D" w:rsidRPr="00113F13" w:rsidRDefault="00FF302D" w:rsidP="004214CB">
            <w:pPr>
              <w:pStyle w:val="Dotpointlist"/>
              <w:numPr>
                <w:ilvl w:val="0"/>
                <w:numId w:val="3"/>
              </w:numPr>
              <w:spacing w:before="120" w:after="0" w:line="240" w:lineRule="auto"/>
              <w:jc w:val="both"/>
              <w:rPr>
                <w:rFonts w:ascii="Times New Roman" w:hAnsi="Times New Roman" w:cs="Times New Roman"/>
              </w:rPr>
            </w:pPr>
            <w:r w:rsidRPr="00113F13">
              <w:rPr>
                <w:rFonts w:ascii="Times New Roman" w:hAnsi="Times New Roman" w:cs="Times New Roman"/>
              </w:rPr>
              <w:t>specifying the type of information that must be included in privacy policies made under PIPP5; and</w:t>
            </w:r>
          </w:p>
          <w:p w14:paraId="45C46163" w14:textId="77777777" w:rsidR="00FF302D" w:rsidRPr="00113F13" w:rsidRDefault="00FF302D" w:rsidP="004214CB">
            <w:pPr>
              <w:pStyle w:val="Dotpointlist"/>
              <w:numPr>
                <w:ilvl w:val="0"/>
                <w:numId w:val="3"/>
              </w:numPr>
              <w:spacing w:before="120" w:after="0" w:line="240" w:lineRule="auto"/>
              <w:jc w:val="both"/>
              <w:rPr>
                <w:rFonts w:ascii="Times New Roman" w:hAnsi="Times New Roman" w:cs="Times New Roman"/>
              </w:rPr>
            </w:pPr>
            <w:r w:rsidRPr="00113F13">
              <w:rPr>
                <w:rFonts w:ascii="Times New Roman" w:hAnsi="Times New Roman" w:cs="Times New Roman"/>
              </w:rPr>
              <w:t>requiring personal information custodians to designate a senior employee as privacy officer responsible for compliance with the PIPA.</w:t>
            </w:r>
          </w:p>
          <w:p w14:paraId="19D8FD5E" w14:textId="77777777" w:rsidR="00FF302D" w:rsidRPr="00113F13" w:rsidRDefault="00FF302D" w:rsidP="004214CB">
            <w:pPr>
              <w:pStyle w:val="Dotpointlist"/>
              <w:numPr>
                <w:ilvl w:val="0"/>
                <w:numId w:val="0"/>
              </w:numPr>
              <w:spacing w:before="120" w:after="0"/>
              <w:jc w:val="both"/>
              <w:rPr>
                <w:rFonts w:ascii="Times New Roman" w:hAnsi="Times New Roman" w:cs="Times New Roman"/>
              </w:rPr>
            </w:pPr>
            <w:r w:rsidRPr="00113F13">
              <w:rPr>
                <w:rFonts w:ascii="Times New Roman" w:hAnsi="Times New Roman" w:cs="Times New Roman"/>
              </w:rPr>
              <w:t>This could be implemented by amendment to legislation or regulation, or the development of guidelines.</w:t>
            </w:r>
          </w:p>
          <w:p w14:paraId="347CAFEE" w14:textId="77777777" w:rsidR="00FF302D" w:rsidRPr="00113F13" w:rsidRDefault="00FF302D" w:rsidP="004214CB">
            <w:pPr>
              <w:pStyle w:val="Dotpointlist"/>
              <w:numPr>
                <w:ilvl w:val="0"/>
                <w:numId w:val="0"/>
              </w:numPr>
              <w:spacing w:before="120" w:after="0"/>
              <w:jc w:val="both"/>
              <w:rPr>
                <w:rFonts w:ascii="Times New Roman" w:hAnsi="Times New Roman" w:cs="Times New Roman"/>
              </w:rPr>
            </w:pPr>
            <w:r w:rsidRPr="00113F13">
              <w:rPr>
                <w:rFonts w:ascii="Times New Roman" w:hAnsi="Times New Roman" w:cs="Times New Roman"/>
                <w:b/>
                <w:bCs/>
              </w:rPr>
              <w:t>Recommendation 45:</w:t>
            </w:r>
            <w:r w:rsidRPr="00113F13">
              <w:rPr>
                <w:rFonts w:ascii="Times New Roman" w:hAnsi="Times New Roman" w:cs="Times New Roman"/>
              </w:rPr>
              <w:t xml:space="preserve"> The PIPA should be amended to:</w:t>
            </w:r>
          </w:p>
          <w:p w14:paraId="2E75FA74" w14:textId="77777777" w:rsidR="00FF302D" w:rsidRPr="00113F13" w:rsidRDefault="00FF302D" w:rsidP="004576A8">
            <w:pPr>
              <w:pStyle w:val="Dotpointlist"/>
              <w:numPr>
                <w:ilvl w:val="0"/>
                <w:numId w:val="2"/>
              </w:numPr>
              <w:spacing w:before="120" w:after="0" w:line="240" w:lineRule="auto"/>
              <w:jc w:val="both"/>
              <w:rPr>
                <w:rFonts w:ascii="Times New Roman" w:hAnsi="Times New Roman" w:cs="Times New Roman"/>
              </w:rPr>
            </w:pPr>
            <w:r w:rsidRPr="00113F13">
              <w:rPr>
                <w:rFonts w:ascii="Times New Roman" w:hAnsi="Times New Roman" w:cs="Times New Roman"/>
              </w:rPr>
              <w:t>require personal information custodians to specify the types of personal information that will be used in automated decision-making; and</w:t>
            </w:r>
          </w:p>
          <w:p w14:paraId="7F16086E" w14:textId="77777777" w:rsidR="00FF302D" w:rsidRPr="00113F13" w:rsidRDefault="00FF302D" w:rsidP="004576A8">
            <w:pPr>
              <w:pStyle w:val="Dotpointlist"/>
              <w:numPr>
                <w:ilvl w:val="0"/>
                <w:numId w:val="2"/>
              </w:numPr>
              <w:spacing w:before="120" w:after="0" w:line="240" w:lineRule="auto"/>
              <w:jc w:val="both"/>
              <w:rPr>
                <w:rFonts w:ascii="Times New Roman" w:hAnsi="Times New Roman" w:cs="Times New Roman"/>
              </w:rPr>
            </w:pPr>
            <w:r w:rsidRPr="00113F13">
              <w:rPr>
                <w:rFonts w:ascii="Times New Roman" w:hAnsi="Times New Roman" w:cs="Times New Roman"/>
              </w:rPr>
              <w:t>establish a right to request meaningful information about how such decisions are made.</w:t>
            </w:r>
          </w:p>
          <w:p w14:paraId="0B4E716E" w14:textId="77777777" w:rsidR="00FF302D" w:rsidRPr="00113F13" w:rsidRDefault="00FF302D" w:rsidP="00491B2D">
            <w:pPr>
              <w:pStyle w:val="Dotpointlist"/>
              <w:numPr>
                <w:ilvl w:val="0"/>
                <w:numId w:val="0"/>
              </w:numPr>
              <w:spacing w:before="120" w:after="0"/>
              <w:jc w:val="both"/>
              <w:rPr>
                <w:rFonts w:ascii="Times New Roman" w:hAnsi="Times New Roman" w:cs="Times New Roman"/>
              </w:rPr>
            </w:pPr>
            <w:r w:rsidRPr="00113F13">
              <w:rPr>
                <w:rFonts w:ascii="Times New Roman" w:hAnsi="Times New Roman" w:cs="Times New Roman"/>
                <w:b/>
                <w:bCs/>
              </w:rPr>
              <w:t>Recommendation 46</w:t>
            </w:r>
            <w:r w:rsidRPr="00113F13">
              <w:rPr>
                <w:rFonts w:ascii="Times New Roman" w:hAnsi="Times New Roman" w:cs="Times New Roman"/>
              </w:rPr>
              <w:t>: Guidance should be developed to support personal information custodians to meet new requirements relating to automated decision-making.</w:t>
            </w:r>
          </w:p>
          <w:p w14:paraId="5B623A0A" w14:textId="77777777" w:rsidR="00FF302D" w:rsidRPr="00113F13" w:rsidRDefault="00FF302D" w:rsidP="00754A3F">
            <w:pPr>
              <w:pStyle w:val="Dotpointlist"/>
              <w:numPr>
                <w:ilvl w:val="0"/>
                <w:numId w:val="0"/>
              </w:numPr>
              <w:spacing w:before="120" w:after="0"/>
              <w:rPr>
                <w:rFonts w:ascii="Times New Roman" w:hAnsi="Times New Roman" w:cs="Times New Roman"/>
                <w:b/>
                <w:bCs/>
              </w:rPr>
            </w:pPr>
          </w:p>
        </w:tc>
      </w:tr>
    </w:tbl>
    <w:p w14:paraId="1B577450" w14:textId="079F5382" w:rsidR="00FF302D" w:rsidRPr="00113F13" w:rsidRDefault="00FF302D" w:rsidP="00BF1FE7">
      <w:pPr>
        <w:pStyle w:val="NumberedHeadingTLRI"/>
      </w:pPr>
      <w:bookmarkStart w:id="775" w:name="_Toc143872549"/>
      <w:bookmarkStart w:id="776" w:name="_Toc152245446"/>
      <w:bookmarkStart w:id="777" w:name="_Toc164606662"/>
      <w:r w:rsidRPr="00113F13">
        <w:t>Unique identifiers</w:t>
      </w:r>
      <w:bookmarkEnd w:id="775"/>
      <w:bookmarkEnd w:id="776"/>
      <w:bookmarkEnd w:id="777"/>
    </w:p>
    <w:p w14:paraId="0515E34E" w14:textId="77777777" w:rsidR="00FF302D" w:rsidRPr="00113F13" w:rsidRDefault="00FF302D" w:rsidP="006551D3">
      <w:pPr>
        <w:pStyle w:val="Headingunnumbered"/>
        <w:rPr>
          <w:rFonts w:cs="Times New Roman"/>
        </w:rPr>
      </w:pPr>
      <w:bookmarkStart w:id="778" w:name="_Toc143872550"/>
      <w:bookmarkStart w:id="779" w:name="_Toc152245447"/>
      <w:bookmarkStart w:id="780" w:name="_Toc164606663"/>
      <w:r w:rsidRPr="00113F13">
        <w:rPr>
          <w:rFonts w:cs="Times New Roman"/>
        </w:rPr>
        <w:t>The Tasmanian position</w:t>
      </w:r>
      <w:bookmarkEnd w:id="778"/>
      <w:bookmarkEnd w:id="779"/>
      <w:bookmarkEnd w:id="780"/>
    </w:p>
    <w:p w14:paraId="33BDCA54" w14:textId="77777777" w:rsidR="00FF302D" w:rsidRPr="00113F13" w:rsidRDefault="00FF302D" w:rsidP="00B63604">
      <w:pPr>
        <w:pStyle w:val="NormalNumberedTextTLRI"/>
        <w:numPr>
          <w:ilvl w:val="2"/>
          <w:numId w:val="31"/>
        </w:numPr>
        <w:tabs>
          <w:tab w:val="clear" w:pos="720"/>
        </w:tabs>
        <w:spacing w:line="259" w:lineRule="auto"/>
      </w:pPr>
      <w:bookmarkStart w:id="781" w:name="_Toc143872551"/>
      <w:r w:rsidRPr="00113F13">
        <w:t>The PIPA defines an ‘identifier’ as ‘anything assigned by a personal information custodian to an individual to identify them for its operations, other than a name or ABN [Australian Business Number]’.</w:t>
      </w:r>
      <w:r w:rsidRPr="00113F13">
        <w:rPr>
          <w:rStyle w:val="FootnoteReference"/>
          <w:rFonts w:ascii="Times New Roman" w:hAnsi="Times New Roman"/>
        </w:rPr>
        <w:footnoteReference w:id="702"/>
      </w:r>
      <w:bookmarkEnd w:id="781"/>
    </w:p>
    <w:p w14:paraId="1307CBB0" w14:textId="77777777" w:rsidR="00FF302D" w:rsidRPr="00113F13" w:rsidRDefault="00FF302D" w:rsidP="006551D3">
      <w:pPr>
        <w:pStyle w:val="NormalNumberedTextTLRI"/>
      </w:pPr>
      <w:bookmarkStart w:id="782" w:name="_Toc143872552"/>
      <w:r w:rsidRPr="00113F13">
        <w:lastRenderedPageBreak/>
        <w:t>PIPP 7 restricts the use of unique identifiers. It prohibits a personal information custodian from assigning a unique identifier to an individual, unless it is necessary to carry out any of the custodian’s functions efficiently.</w:t>
      </w:r>
      <w:r w:rsidRPr="00113F13">
        <w:rPr>
          <w:rStyle w:val="FootnoteReference"/>
          <w:rFonts w:ascii="Times New Roman" w:hAnsi="Times New Roman"/>
        </w:rPr>
        <w:footnoteReference w:id="703"/>
      </w:r>
      <w:r w:rsidRPr="00113F13">
        <w:t xml:space="preserve">  </w:t>
      </w:r>
    </w:p>
    <w:p w14:paraId="2D1DEA3E" w14:textId="77777777" w:rsidR="00FF302D" w:rsidRPr="00113F13" w:rsidRDefault="00FF302D" w:rsidP="00B63604">
      <w:pPr>
        <w:pStyle w:val="NormalNumberedTextTLRI"/>
        <w:numPr>
          <w:ilvl w:val="2"/>
          <w:numId w:val="31"/>
        </w:numPr>
        <w:tabs>
          <w:tab w:val="clear" w:pos="720"/>
        </w:tabs>
        <w:spacing w:line="259" w:lineRule="auto"/>
      </w:pPr>
      <w:r w:rsidRPr="00113F13">
        <w:t>Further, a personal information custodian cannot adopt a unique identifier that was assigned by another personal information custodian, unless:</w:t>
      </w:r>
    </w:p>
    <w:p w14:paraId="6FB0150D" w14:textId="77777777" w:rsidR="00FF302D" w:rsidRPr="00113F13" w:rsidRDefault="00FF302D" w:rsidP="006551D3">
      <w:pPr>
        <w:pStyle w:val="DotPointTLRI"/>
      </w:pPr>
      <w:r w:rsidRPr="00113F13">
        <w:t xml:space="preserve">the adoption is necessary to carry out the personal information custodian’s functions; </w:t>
      </w:r>
    </w:p>
    <w:p w14:paraId="51248D55" w14:textId="77777777" w:rsidR="00FF302D" w:rsidRPr="00113F13" w:rsidRDefault="00FF302D" w:rsidP="006551D3">
      <w:pPr>
        <w:pStyle w:val="DotPointTLRI"/>
      </w:pPr>
      <w:r w:rsidRPr="00113F13">
        <w:t>the individual has consented; or</w:t>
      </w:r>
    </w:p>
    <w:p w14:paraId="024EC83B" w14:textId="77777777" w:rsidR="00FF302D" w:rsidRPr="00113F13" w:rsidRDefault="00FF302D" w:rsidP="006551D3">
      <w:pPr>
        <w:pStyle w:val="DotPointTLRI"/>
      </w:pPr>
      <w:r w:rsidRPr="00113F13">
        <w:t>the personal information custodian is ‘a body, organisation or individual adopting the identifier created by a personal information custodian in the performance of its obligations to the personal information custodian under a personal information contract’.</w:t>
      </w:r>
      <w:bookmarkEnd w:id="782"/>
      <w:r w:rsidRPr="00113F13">
        <w:rPr>
          <w:rStyle w:val="FootnoteReference"/>
          <w:rFonts w:ascii="Times New Roman" w:hAnsi="Times New Roman"/>
        </w:rPr>
        <w:footnoteReference w:id="704"/>
      </w:r>
    </w:p>
    <w:p w14:paraId="23642473" w14:textId="77777777" w:rsidR="00FF302D" w:rsidRPr="00EA22F8" w:rsidRDefault="00FF302D" w:rsidP="00B63604">
      <w:pPr>
        <w:pStyle w:val="NormalNumberedTextTLRI"/>
        <w:numPr>
          <w:ilvl w:val="2"/>
          <w:numId w:val="31"/>
        </w:numPr>
        <w:tabs>
          <w:tab w:val="clear" w:pos="720"/>
        </w:tabs>
        <w:spacing w:line="259" w:lineRule="auto"/>
      </w:pPr>
      <w:bookmarkStart w:id="783" w:name="_Toc143872553"/>
      <w:r w:rsidRPr="00AF3CCB">
        <w:t>PIPP 7 al</w:t>
      </w:r>
      <w:r w:rsidRPr="00113F13">
        <w:t xml:space="preserve">so specifies that a personal information custodian must not use or disclose a unique identifier assigned by another personal information custodian, unless it is necessary to fulfil its obligations to the other personal information custodian or PIPP 2(1) relating to permitted use and disclosure of personal information </w:t>
      </w:r>
      <w:r w:rsidRPr="00AF3CCB">
        <w:t>applies (s</w:t>
      </w:r>
      <w:r w:rsidRPr="00EA22F8">
        <w:t>ee Part 5 of this Report).</w:t>
      </w:r>
      <w:bookmarkEnd w:id="783"/>
    </w:p>
    <w:p w14:paraId="53D71F47" w14:textId="77777777" w:rsidR="00FF302D" w:rsidRPr="00113F13" w:rsidRDefault="00FF302D" w:rsidP="006551D3">
      <w:pPr>
        <w:pStyle w:val="Headingunnumbered"/>
        <w:spacing w:before="480"/>
        <w:rPr>
          <w:rFonts w:cs="Times New Roman"/>
          <w:szCs w:val="18"/>
        </w:rPr>
      </w:pPr>
      <w:bookmarkStart w:id="784" w:name="_Toc143872554"/>
      <w:bookmarkStart w:id="785" w:name="_Toc152245448"/>
      <w:bookmarkStart w:id="786" w:name="_Toc164606664"/>
      <w:r w:rsidRPr="00113F13">
        <w:rPr>
          <w:rFonts w:cs="Times New Roman"/>
        </w:rPr>
        <w:t>The position in other jurisdictions</w:t>
      </w:r>
      <w:bookmarkEnd w:id="784"/>
      <w:bookmarkEnd w:id="785"/>
      <w:bookmarkEnd w:id="786"/>
    </w:p>
    <w:p w14:paraId="7ED7CCEB" w14:textId="77777777" w:rsidR="00FF302D" w:rsidRPr="00113F13" w:rsidRDefault="00FF302D" w:rsidP="00B63604">
      <w:pPr>
        <w:pStyle w:val="NormalNumberedTextTLRI"/>
        <w:numPr>
          <w:ilvl w:val="2"/>
          <w:numId w:val="31"/>
        </w:numPr>
        <w:tabs>
          <w:tab w:val="clear" w:pos="720"/>
        </w:tabs>
        <w:spacing w:line="259" w:lineRule="auto"/>
      </w:pPr>
      <w:bookmarkStart w:id="787" w:name="_Toc143872555"/>
      <w:r w:rsidRPr="00113F13">
        <w:t>The Privacy Act defines an ‘identifier’ as a number, letter, or symbol, or combination of these, that is used to identify an individual or verify their identity.</w:t>
      </w:r>
      <w:r w:rsidRPr="00113F13">
        <w:rPr>
          <w:rStyle w:val="FootnoteReference"/>
          <w:rFonts w:ascii="Times New Roman" w:hAnsi="Times New Roman"/>
        </w:rPr>
        <w:footnoteReference w:id="705"/>
      </w:r>
      <w:r w:rsidRPr="00113F13">
        <w:t xml:space="preserve"> The privacy legislation in other jurisdictions also contains a definition of ‘identifier’ or ‘unique identifier’ as, variously, ‘an identifier … which is usually but need not be a number’,</w:t>
      </w:r>
      <w:r w:rsidRPr="00113F13">
        <w:rPr>
          <w:rStyle w:val="FootnoteReference"/>
          <w:rFonts w:ascii="Times New Roman" w:hAnsi="Times New Roman"/>
        </w:rPr>
        <w:footnoteReference w:id="706"/>
      </w:r>
      <w:r w:rsidRPr="00113F13">
        <w:t xml:space="preserve"> ‘usually a number’,</w:t>
      </w:r>
      <w:r w:rsidRPr="00113F13">
        <w:rPr>
          <w:rStyle w:val="FootnoteReference"/>
          <w:rFonts w:ascii="Times New Roman" w:hAnsi="Times New Roman"/>
        </w:rPr>
        <w:footnoteReference w:id="707"/>
      </w:r>
      <w:r w:rsidRPr="00113F13">
        <w:t xml:space="preserve"> or a code.</w:t>
      </w:r>
      <w:r w:rsidRPr="00113F13">
        <w:rPr>
          <w:rStyle w:val="FootnoteReference"/>
          <w:rFonts w:ascii="Times New Roman" w:hAnsi="Times New Roman"/>
        </w:rPr>
        <w:footnoteReference w:id="708"/>
      </w:r>
      <w:r w:rsidRPr="00113F13">
        <w:t xml:space="preserve"> A ‘government related identifier’ is defined as one that has been assigned by an agency, a State or Territory authority, an agent of either such body, or a contracted service provider for a Commonwealth contract or State contract, where acting in its capacity as a contracted service provider.</w:t>
      </w:r>
      <w:r w:rsidRPr="00113F13">
        <w:rPr>
          <w:rStyle w:val="FootnoteReference"/>
          <w:rFonts w:ascii="Times New Roman" w:hAnsi="Times New Roman"/>
        </w:rPr>
        <w:footnoteReference w:id="709"/>
      </w:r>
      <w:bookmarkEnd w:id="787"/>
    </w:p>
    <w:p w14:paraId="37DD4351" w14:textId="77777777" w:rsidR="00FF302D" w:rsidRPr="00113F13" w:rsidRDefault="00FF302D" w:rsidP="00B63604">
      <w:pPr>
        <w:pStyle w:val="NormalNumberedTextTLRI"/>
        <w:numPr>
          <w:ilvl w:val="2"/>
          <w:numId w:val="31"/>
        </w:numPr>
        <w:tabs>
          <w:tab w:val="clear" w:pos="720"/>
        </w:tabs>
        <w:spacing w:line="259" w:lineRule="auto"/>
      </w:pPr>
      <w:bookmarkStart w:id="788" w:name="_Toc143872556"/>
      <w:r w:rsidRPr="00113F13">
        <w:t>The relevant principles that apply to unique identifiers in Victoria and the Northern Territory are similar to the PIPA.</w:t>
      </w:r>
      <w:r w:rsidRPr="00113F13">
        <w:rPr>
          <w:rStyle w:val="FootnoteReference"/>
          <w:rFonts w:ascii="Times New Roman" w:hAnsi="Times New Roman"/>
        </w:rPr>
        <w:footnoteReference w:id="710"/>
      </w:r>
      <w:r w:rsidRPr="00113F13">
        <w:t xml:space="preserve"> In contrast, unlike the PIPA, the Privacy Act only addresses the adoption, use, or disclosure of government related identifiers. The relevant privacy principle (APP 9) restricts the use of such identifiers by </w:t>
      </w:r>
      <w:r w:rsidRPr="00113F13">
        <w:rPr>
          <w:i/>
          <w:iCs/>
        </w:rPr>
        <w:t>non-government</w:t>
      </w:r>
      <w:r w:rsidRPr="00113F13">
        <w:t xml:space="preserve"> organisations.</w:t>
      </w:r>
      <w:bookmarkEnd w:id="788"/>
      <w:r w:rsidRPr="00113F13">
        <w:rPr>
          <w:rStyle w:val="FootnoteReference"/>
          <w:rFonts w:ascii="Times New Roman" w:hAnsi="Times New Roman"/>
        </w:rPr>
        <w:footnoteReference w:id="711"/>
      </w:r>
    </w:p>
    <w:p w14:paraId="3E6C3C4A" w14:textId="77777777" w:rsidR="00FF302D" w:rsidRPr="00113F13" w:rsidRDefault="00FF302D" w:rsidP="00B63604">
      <w:pPr>
        <w:pStyle w:val="NormalNumberedTextTLRI"/>
        <w:numPr>
          <w:ilvl w:val="2"/>
          <w:numId w:val="31"/>
        </w:numPr>
        <w:tabs>
          <w:tab w:val="clear" w:pos="720"/>
        </w:tabs>
        <w:spacing w:line="259" w:lineRule="auto"/>
      </w:pPr>
      <w:bookmarkStart w:id="789" w:name="_Toc143872557"/>
      <w:r w:rsidRPr="00113F13">
        <w:t>APP 9 holds that an organisation cannot adopt a government related identifier, unless authorised by law, and cannot use or disclose a government related identified, unless it is:</w:t>
      </w:r>
      <w:bookmarkEnd w:id="789"/>
    </w:p>
    <w:p w14:paraId="5951AFC2" w14:textId="77777777" w:rsidR="00FF302D" w:rsidRPr="00113F13" w:rsidRDefault="00FF302D" w:rsidP="006551D3">
      <w:pPr>
        <w:pStyle w:val="DotPointTLRI"/>
      </w:pPr>
      <w:r w:rsidRPr="00113F13">
        <w:lastRenderedPageBreak/>
        <w:t>reasonably necessary to verify the individual’s identity for the purposes of the organisation’s activities or functions;</w:t>
      </w:r>
    </w:p>
    <w:p w14:paraId="2DD08D41" w14:textId="77777777" w:rsidR="00FF302D" w:rsidRPr="00113F13" w:rsidRDefault="00FF302D" w:rsidP="006551D3">
      <w:pPr>
        <w:pStyle w:val="DotPointTLRI"/>
      </w:pPr>
      <w:r w:rsidRPr="00113F13">
        <w:t>reasonably necessary for the organisation to fulfil its obligations to an agency or a State or Territory authority;</w:t>
      </w:r>
    </w:p>
    <w:p w14:paraId="34C7C00B" w14:textId="77777777" w:rsidR="00FF302D" w:rsidRPr="00113F13" w:rsidRDefault="00FF302D" w:rsidP="006551D3">
      <w:pPr>
        <w:pStyle w:val="DotPointTLRI"/>
      </w:pPr>
      <w:r w:rsidRPr="00113F13">
        <w:t>required or authorised under an Australian law or court or tribunal order;</w:t>
      </w:r>
    </w:p>
    <w:p w14:paraId="6E1F4022" w14:textId="77777777" w:rsidR="00FF302D" w:rsidRPr="00113F13" w:rsidRDefault="00FF302D" w:rsidP="006551D3">
      <w:pPr>
        <w:pStyle w:val="DotPointTLRI"/>
      </w:pPr>
      <w:r w:rsidRPr="00113F13">
        <w:t>a situation that constitutes a ‘permitted general situation’ where information or identifiers can be used or disclosed;</w:t>
      </w:r>
      <w:r w:rsidRPr="00113F13">
        <w:rPr>
          <w:rStyle w:val="FootnoteReference"/>
          <w:rFonts w:ascii="Times New Roman" w:hAnsi="Times New Roman"/>
        </w:rPr>
        <w:footnoteReference w:id="712"/>
      </w:r>
      <w:r w:rsidRPr="00113F13">
        <w:t xml:space="preserve"> or</w:t>
      </w:r>
    </w:p>
    <w:p w14:paraId="3FEC45E6" w14:textId="77777777" w:rsidR="00FF302D" w:rsidRPr="00113F13" w:rsidRDefault="00FF302D" w:rsidP="006551D3">
      <w:pPr>
        <w:pStyle w:val="DotPointTLRI"/>
      </w:pPr>
      <w:r w:rsidRPr="00113F13">
        <w:t>it is reasonably believed by the organisation to be necessary for one or more enforcement related activities conducted by or on behalf of an enforcement body.</w:t>
      </w:r>
      <w:r w:rsidRPr="00113F13">
        <w:rPr>
          <w:rStyle w:val="FootnoteReference"/>
          <w:rFonts w:ascii="Times New Roman" w:hAnsi="Times New Roman"/>
        </w:rPr>
        <w:footnoteReference w:id="713"/>
      </w:r>
    </w:p>
    <w:p w14:paraId="6642519C" w14:textId="77777777" w:rsidR="00FF302D" w:rsidRPr="00113F13" w:rsidRDefault="00FF302D" w:rsidP="00B63604">
      <w:pPr>
        <w:pStyle w:val="NormalNumberedTextTLRI"/>
        <w:numPr>
          <w:ilvl w:val="2"/>
          <w:numId w:val="31"/>
        </w:numPr>
        <w:tabs>
          <w:tab w:val="clear" w:pos="720"/>
        </w:tabs>
        <w:spacing w:line="259" w:lineRule="auto"/>
      </w:pPr>
      <w:bookmarkStart w:id="790" w:name="_Toc143872558"/>
      <w:r w:rsidRPr="00113F13">
        <w:t>In contrast to the restriction on the adoption, use, and disclosure of government related identified by organisations, the adoption, use, and disclosure of identifiers by (government) agencies is not generally restricted, except insofar as it is subject to the APPs where an identifier amounts to personal information.</w:t>
      </w:r>
      <w:r w:rsidRPr="00113F13">
        <w:rPr>
          <w:rStyle w:val="FootnoteReference"/>
          <w:rFonts w:ascii="Times New Roman" w:hAnsi="Times New Roman"/>
        </w:rPr>
        <w:footnoteReference w:id="714"/>
      </w:r>
      <w:bookmarkEnd w:id="790"/>
    </w:p>
    <w:p w14:paraId="1941AB56" w14:textId="77777777" w:rsidR="00FF302D" w:rsidRPr="00113F13" w:rsidRDefault="00FF302D" w:rsidP="00BF1FE7">
      <w:pPr>
        <w:pStyle w:val="NumberedHeadingTLRI"/>
      </w:pPr>
      <w:bookmarkStart w:id="792" w:name="_Toc143872560"/>
      <w:bookmarkStart w:id="793" w:name="_Toc152245449"/>
      <w:bookmarkStart w:id="794" w:name="_Toc164606665"/>
      <w:r w:rsidRPr="00113F13">
        <w:t>Proposals in the Commonwealth Privacy Act Review</w:t>
      </w:r>
      <w:bookmarkEnd w:id="792"/>
      <w:bookmarkEnd w:id="793"/>
      <w:bookmarkEnd w:id="794"/>
    </w:p>
    <w:p w14:paraId="0756B7AB" w14:textId="77777777" w:rsidR="00FF302D" w:rsidRPr="00113F13" w:rsidRDefault="00FF302D" w:rsidP="00B63604">
      <w:pPr>
        <w:pStyle w:val="NormalNumberedTextTLRI"/>
        <w:numPr>
          <w:ilvl w:val="2"/>
          <w:numId w:val="31"/>
        </w:numPr>
        <w:tabs>
          <w:tab w:val="clear" w:pos="720"/>
        </w:tabs>
        <w:spacing w:line="259" w:lineRule="auto"/>
      </w:pPr>
      <w:bookmarkStart w:id="795" w:name="_Toc143872561"/>
      <w:r w:rsidRPr="00113F13">
        <w:t>The Privacy Act Review Final Report did not make any recommendations in relation to APP9 or unique identifiers more generally.</w:t>
      </w:r>
      <w:bookmarkEnd w:id="795"/>
    </w:p>
    <w:p w14:paraId="24D0E228" w14:textId="77777777" w:rsidR="00FF302D" w:rsidRPr="00113F13" w:rsidRDefault="00FF302D" w:rsidP="00BF1FE7">
      <w:pPr>
        <w:pStyle w:val="NumberedHeadingTLRI"/>
      </w:pPr>
      <w:bookmarkStart w:id="796" w:name="_Toc143872562"/>
      <w:bookmarkStart w:id="797" w:name="_Toc152245450"/>
      <w:bookmarkStart w:id="798" w:name="_Toc164606666"/>
      <w:r w:rsidRPr="00113F13">
        <w:t>Consultation</w:t>
      </w:r>
      <w:bookmarkEnd w:id="796"/>
      <w:bookmarkEnd w:id="797"/>
      <w:bookmarkEnd w:id="798"/>
    </w:p>
    <w:p w14:paraId="7C80D37F" w14:textId="77777777" w:rsidR="00FF302D" w:rsidRPr="00113F13" w:rsidRDefault="00FF302D" w:rsidP="00B63604">
      <w:pPr>
        <w:pStyle w:val="NormalNumberedTextTLRI"/>
        <w:numPr>
          <w:ilvl w:val="2"/>
          <w:numId w:val="31"/>
        </w:numPr>
        <w:tabs>
          <w:tab w:val="clear" w:pos="720"/>
        </w:tabs>
        <w:spacing w:line="259" w:lineRule="auto"/>
      </w:pPr>
      <w:bookmarkStart w:id="799" w:name="_Toc143872563"/>
      <w:r w:rsidRPr="00113F13">
        <w:t>The TLRI Issues Paper did not pose any questions about PIPP 7 or unique identifiers. The TLRI did not receive any submissions that addressed this matter.</w:t>
      </w:r>
      <w:bookmarkEnd w:id="799"/>
    </w:p>
    <w:p w14:paraId="753EAD77" w14:textId="77777777" w:rsidR="00FF302D" w:rsidRPr="00113F13" w:rsidRDefault="00FF302D" w:rsidP="00BF1FE7">
      <w:pPr>
        <w:pStyle w:val="NumberedHeadingTLRI"/>
      </w:pPr>
      <w:bookmarkStart w:id="800" w:name="_Toc143872564"/>
      <w:bookmarkStart w:id="801" w:name="_Toc152245451"/>
      <w:bookmarkStart w:id="802" w:name="_Toc164606667"/>
      <w:r w:rsidRPr="00113F13">
        <w:t>The TLRI’s view</w:t>
      </w:r>
      <w:bookmarkEnd w:id="800"/>
      <w:bookmarkEnd w:id="801"/>
      <w:bookmarkEnd w:id="802"/>
    </w:p>
    <w:p w14:paraId="009191AA" w14:textId="77777777" w:rsidR="00FF302D" w:rsidRPr="00113F13" w:rsidRDefault="00FF302D" w:rsidP="00B63604">
      <w:pPr>
        <w:pStyle w:val="NormalNumberedTextTLRI"/>
        <w:numPr>
          <w:ilvl w:val="2"/>
          <w:numId w:val="31"/>
        </w:numPr>
        <w:tabs>
          <w:tab w:val="clear" w:pos="720"/>
        </w:tabs>
        <w:spacing w:line="259" w:lineRule="auto"/>
      </w:pPr>
      <w:bookmarkStart w:id="803" w:name="_Toc143872565"/>
      <w:r w:rsidRPr="00113F13">
        <w:t>The TLRI observes that the PIPA is more restrictive than the Privacy Act in its treatment of identifiers assigned by government or other public bodies. In light of the fact that no submitters raised concerns about this, and that PIPP 7 permits custodians to adopt identifiers where necessary to carry out the custodian’s functions, where the individual has consented, or where it is in the performance of obligations under a personal information contract, the TLRI is of the view that no reforms to PIPP 7 are necessary.</w:t>
      </w:r>
      <w:bookmarkEnd w:id="803"/>
    </w:p>
    <w:p w14:paraId="6B8DDBBB" w14:textId="77777777" w:rsidR="00FF302D" w:rsidRPr="00113F13" w:rsidRDefault="00FF302D" w:rsidP="00BF1FE7">
      <w:pPr>
        <w:pStyle w:val="NumberedHeadingTLRI"/>
      </w:pPr>
      <w:bookmarkStart w:id="804" w:name="_Toc143872566"/>
      <w:bookmarkStart w:id="805" w:name="_Toc152245452"/>
      <w:bookmarkStart w:id="806" w:name="_Toc164606668"/>
      <w:r w:rsidRPr="00113F13">
        <w:lastRenderedPageBreak/>
        <w:t>Recommendations</w:t>
      </w:r>
      <w:bookmarkEnd w:id="804"/>
      <w:bookmarkEnd w:id="805"/>
      <w:bookmarkEnd w:id="806"/>
    </w:p>
    <w:p w14:paraId="3C337EE2" w14:textId="77777777" w:rsidR="00FF302D" w:rsidRPr="00113F13" w:rsidRDefault="00FF302D" w:rsidP="0022429F">
      <w:pPr>
        <w:pStyle w:val="NormalNumberedTextTLRI"/>
      </w:pPr>
      <w:r w:rsidRPr="00113F13">
        <w:t>The TLRI makes no recommendations in relation to PIPP 7.</w:t>
      </w:r>
    </w:p>
    <w:p w14:paraId="35964EEA" w14:textId="77777777" w:rsidR="00FF302D" w:rsidRPr="00113F13" w:rsidRDefault="00FF302D" w:rsidP="00BF1FE7">
      <w:pPr>
        <w:pStyle w:val="NumberedHeadingTLRI"/>
      </w:pPr>
      <w:bookmarkStart w:id="807" w:name="_Toc164606669"/>
      <w:bookmarkStart w:id="808" w:name="_Toc143872567"/>
      <w:bookmarkStart w:id="809" w:name="_Toc152245453"/>
      <w:r w:rsidRPr="00113F13">
        <w:t>Anonymity</w:t>
      </w:r>
      <w:bookmarkEnd w:id="807"/>
      <w:r w:rsidRPr="00113F13">
        <w:t xml:space="preserve"> </w:t>
      </w:r>
      <w:bookmarkEnd w:id="808"/>
      <w:bookmarkEnd w:id="809"/>
    </w:p>
    <w:p w14:paraId="625E2439" w14:textId="77777777" w:rsidR="00FF302D" w:rsidRPr="00113F13" w:rsidRDefault="00FF302D" w:rsidP="0022429F">
      <w:pPr>
        <w:pStyle w:val="Headingunnumbered"/>
        <w:rPr>
          <w:rFonts w:cs="Times New Roman"/>
        </w:rPr>
      </w:pPr>
      <w:bookmarkStart w:id="810" w:name="_Toc143872568"/>
      <w:bookmarkStart w:id="811" w:name="_Toc152245454"/>
      <w:bookmarkStart w:id="812" w:name="_Toc164606670"/>
      <w:r w:rsidRPr="00113F13">
        <w:rPr>
          <w:rFonts w:cs="Times New Roman"/>
        </w:rPr>
        <w:t>The Tasmanian position</w:t>
      </w:r>
      <w:bookmarkEnd w:id="810"/>
      <w:bookmarkEnd w:id="811"/>
      <w:bookmarkEnd w:id="812"/>
    </w:p>
    <w:p w14:paraId="50A087E8" w14:textId="77777777" w:rsidR="00FF302D" w:rsidRPr="00113F13" w:rsidRDefault="00FF302D" w:rsidP="00B63604">
      <w:pPr>
        <w:pStyle w:val="NormalNumberedTextTLRI"/>
        <w:numPr>
          <w:ilvl w:val="2"/>
          <w:numId w:val="31"/>
        </w:numPr>
        <w:tabs>
          <w:tab w:val="clear" w:pos="720"/>
        </w:tabs>
        <w:spacing w:line="259" w:lineRule="auto"/>
      </w:pPr>
      <w:bookmarkStart w:id="813" w:name="_Toc143872569"/>
      <w:r w:rsidRPr="00113F13">
        <w:t>PIPP 8 addresses anonymity and states that, ‘[w]herever it is lawful and practicable, individuals must have the option of not identifying themselves when entering transactions with a personal information custodian’.</w:t>
      </w:r>
      <w:bookmarkEnd w:id="813"/>
    </w:p>
    <w:p w14:paraId="398AAA05" w14:textId="77777777" w:rsidR="00FF302D" w:rsidRPr="004D6AC5" w:rsidRDefault="00FF302D" w:rsidP="0022429F">
      <w:pPr>
        <w:pStyle w:val="Headingunnumbered"/>
        <w:spacing w:before="480"/>
        <w:rPr>
          <w:rFonts w:cs="Times New Roman"/>
          <w:szCs w:val="32"/>
        </w:rPr>
      </w:pPr>
      <w:bookmarkStart w:id="814" w:name="_Toc143872570"/>
      <w:bookmarkStart w:id="815" w:name="_Toc152245455"/>
      <w:bookmarkStart w:id="816" w:name="_Toc164606671"/>
      <w:r w:rsidRPr="004D6AC5">
        <w:rPr>
          <w:rFonts w:cs="Times New Roman"/>
          <w:szCs w:val="32"/>
        </w:rPr>
        <w:t>The position in other jurisdictions</w:t>
      </w:r>
      <w:bookmarkEnd w:id="814"/>
      <w:bookmarkEnd w:id="815"/>
      <w:bookmarkEnd w:id="816"/>
    </w:p>
    <w:p w14:paraId="17A95A62" w14:textId="77777777" w:rsidR="00FF302D" w:rsidRPr="00113F13" w:rsidRDefault="00FF302D" w:rsidP="00B63604">
      <w:pPr>
        <w:pStyle w:val="NormalNumberedTextTLRI"/>
        <w:numPr>
          <w:ilvl w:val="2"/>
          <w:numId w:val="31"/>
        </w:numPr>
        <w:tabs>
          <w:tab w:val="clear" w:pos="720"/>
        </w:tabs>
        <w:spacing w:line="259" w:lineRule="auto"/>
      </w:pPr>
      <w:bookmarkStart w:id="817" w:name="_Toc143872571"/>
      <w:r w:rsidRPr="00113F13">
        <w:t>Legislation in some other States and Territories, including Victoria, the ACT, and the Northern Territory, contains a near-identical provision to PIPP 8.</w:t>
      </w:r>
      <w:r w:rsidRPr="00113F13">
        <w:rPr>
          <w:rStyle w:val="FootnoteReference"/>
          <w:rFonts w:ascii="Times New Roman" w:hAnsi="Times New Roman"/>
        </w:rPr>
        <w:footnoteReference w:id="715"/>
      </w:r>
      <w:r w:rsidRPr="00113F13">
        <w:t xml:space="preserve"> </w:t>
      </w:r>
    </w:p>
    <w:p w14:paraId="56FD2FE7" w14:textId="77777777" w:rsidR="00FF302D" w:rsidRPr="00113F13" w:rsidRDefault="00FF302D" w:rsidP="00B63604">
      <w:pPr>
        <w:pStyle w:val="NormalNumberedTextTLRI"/>
        <w:numPr>
          <w:ilvl w:val="2"/>
          <w:numId w:val="31"/>
        </w:numPr>
        <w:tabs>
          <w:tab w:val="clear" w:pos="720"/>
        </w:tabs>
        <w:spacing w:line="259" w:lineRule="auto"/>
      </w:pPr>
      <w:r w:rsidRPr="00113F13">
        <w:t>Under the Commonwealth Privacy Act, APP 2 (titled ‘anonymity and pseudonymity’) states that, ‘[i]ndividuals must have the option of not identifying themselves, or of using a pseudonym, when dealing with an APP entity’.</w:t>
      </w:r>
      <w:r w:rsidRPr="00113F13">
        <w:rPr>
          <w:rStyle w:val="FootnoteReference"/>
          <w:rFonts w:ascii="Times New Roman" w:hAnsi="Times New Roman"/>
        </w:rPr>
        <w:footnoteReference w:id="716"/>
      </w:r>
      <w:r w:rsidRPr="00113F13">
        <w:t xml:space="preserve"> It holds that this does not apply where the entity is authorised or required by law to deal with individuals who have identified themselves, or where it is impracticable for the entity to deal with individuals who have not identified themselves or who have used a pseudonym. </w:t>
      </w:r>
    </w:p>
    <w:p w14:paraId="4A2383A3" w14:textId="77777777" w:rsidR="00FF302D" w:rsidRPr="00113F13" w:rsidRDefault="00FF302D" w:rsidP="00BF1FE7">
      <w:pPr>
        <w:pStyle w:val="NumberedHeadingTLRI"/>
      </w:pPr>
      <w:bookmarkStart w:id="818" w:name="_Toc143872572"/>
      <w:bookmarkStart w:id="819" w:name="_Toc152245456"/>
      <w:bookmarkStart w:id="820" w:name="_Toc164606672"/>
      <w:bookmarkEnd w:id="817"/>
      <w:r w:rsidRPr="00113F13">
        <w:t>The Commonwealth Privacy Act Review</w:t>
      </w:r>
      <w:bookmarkEnd w:id="818"/>
      <w:bookmarkEnd w:id="819"/>
      <w:bookmarkEnd w:id="820"/>
    </w:p>
    <w:p w14:paraId="4F7DF26F" w14:textId="77777777" w:rsidR="00FF302D" w:rsidRDefault="00FF302D" w:rsidP="00B63604">
      <w:pPr>
        <w:pStyle w:val="NormalNumberedTextTLRI"/>
        <w:numPr>
          <w:ilvl w:val="2"/>
          <w:numId w:val="31"/>
        </w:numPr>
        <w:tabs>
          <w:tab w:val="clear" w:pos="720"/>
        </w:tabs>
        <w:spacing w:line="259" w:lineRule="auto"/>
      </w:pPr>
      <w:bookmarkStart w:id="821" w:name="_Toc143872573"/>
      <w:r w:rsidRPr="00113F13">
        <w:t>The Privacy Act Review Final Report did not make any recommendations in relation to the option of anonymity or APP 2.</w:t>
      </w:r>
      <w:bookmarkEnd w:id="821"/>
    </w:p>
    <w:p w14:paraId="2DCA6D95" w14:textId="77777777" w:rsidR="00FF302D" w:rsidRPr="00113F13" w:rsidRDefault="00FF302D" w:rsidP="00BF1FE7">
      <w:pPr>
        <w:pStyle w:val="NumberedHeadingTLRI"/>
      </w:pPr>
      <w:bookmarkStart w:id="822" w:name="_Toc143872574"/>
      <w:bookmarkStart w:id="823" w:name="_Toc152245457"/>
      <w:bookmarkStart w:id="824" w:name="_Toc164606673"/>
      <w:r w:rsidRPr="00113F13">
        <w:t>Consultation</w:t>
      </w:r>
      <w:bookmarkEnd w:id="822"/>
      <w:bookmarkEnd w:id="823"/>
      <w:bookmarkEnd w:id="824"/>
    </w:p>
    <w:p w14:paraId="49DABE20" w14:textId="77777777" w:rsidR="00FF302D" w:rsidRPr="00113F13" w:rsidRDefault="00FF302D" w:rsidP="00B63604">
      <w:pPr>
        <w:pStyle w:val="NormalNumberedTextTLRI"/>
        <w:numPr>
          <w:ilvl w:val="2"/>
          <w:numId w:val="31"/>
        </w:numPr>
        <w:tabs>
          <w:tab w:val="clear" w:pos="720"/>
        </w:tabs>
        <w:spacing w:line="259" w:lineRule="auto"/>
      </w:pPr>
      <w:bookmarkStart w:id="825" w:name="_Toc143872575"/>
      <w:r w:rsidRPr="00113F13">
        <w:t>The TLRI Issues Paper did not pose any questions about anonymity. The TLRI did not receive any submissions that addressed this matter.</w:t>
      </w:r>
      <w:bookmarkEnd w:id="825"/>
    </w:p>
    <w:p w14:paraId="67BCB906" w14:textId="77777777" w:rsidR="00FF302D" w:rsidRPr="00113F13" w:rsidRDefault="00FF302D" w:rsidP="00BF1FE7">
      <w:pPr>
        <w:pStyle w:val="NumberedHeadingTLRI"/>
      </w:pPr>
      <w:bookmarkStart w:id="826" w:name="_Toc143872576"/>
      <w:bookmarkStart w:id="827" w:name="_Toc152245458"/>
      <w:bookmarkStart w:id="828" w:name="_Toc164606674"/>
      <w:r w:rsidRPr="00113F13">
        <w:t>The TLRI’s view</w:t>
      </w:r>
      <w:bookmarkEnd w:id="826"/>
      <w:bookmarkEnd w:id="827"/>
      <w:bookmarkEnd w:id="828"/>
    </w:p>
    <w:p w14:paraId="4E130E7E" w14:textId="09EB591F" w:rsidR="00FF302D" w:rsidRPr="00113F13" w:rsidRDefault="10DD744B" w:rsidP="00B63604">
      <w:pPr>
        <w:pStyle w:val="NormalNumberedTextTLRI"/>
        <w:numPr>
          <w:ilvl w:val="2"/>
          <w:numId w:val="31"/>
        </w:numPr>
        <w:tabs>
          <w:tab w:val="clear" w:pos="720"/>
        </w:tabs>
        <w:spacing w:line="259" w:lineRule="auto"/>
      </w:pPr>
      <w:bookmarkStart w:id="829" w:name="_Toc143872577"/>
      <w:r>
        <w:t xml:space="preserve">The TLRI observes that the inclusion in the Privacy Act’s APP 2 of optional use of a pseudonym may extend the range of lawful and practicable options available to individuals seeking to avoid identification beyond the option compared to the more general ‘option of not identifying </w:t>
      </w:r>
      <w:r>
        <w:lastRenderedPageBreak/>
        <w:t xml:space="preserve">themselves’ which must be offered under the PIPA and equivalent provisions in other State and Territory legislation. However, as </w:t>
      </w:r>
      <w:r w:rsidRPr="000005A2">
        <w:t xml:space="preserve">discussed </w:t>
      </w:r>
      <w:r w:rsidRPr="00EA22F8">
        <w:t xml:space="preserve">above </w:t>
      </w:r>
      <w:r w:rsidR="00824887" w:rsidRPr="000005A2">
        <w:t>at</w:t>
      </w:r>
      <w:r w:rsidR="00824887">
        <w:t xml:space="preserve"> </w:t>
      </w:r>
      <w:r w:rsidR="000005A2">
        <w:fldChar w:fldCharType="begin"/>
      </w:r>
      <w:r w:rsidR="000005A2">
        <w:instrText xml:space="preserve"> REF _Ref165021470 \r \h </w:instrText>
      </w:r>
      <w:r w:rsidR="000005A2">
        <w:fldChar w:fldCharType="separate"/>
      </w:r>
      <w:r w:rsidR="00462C30">
        <w:rPr>
          <w:cs/>
        </w:rPr>
        <w:t>‎</w:t>
      </w:r>
      <w:r w:rsidR="002162BF">
        <w:t>[</w:t>
      </w:r>
      <w:r w:rsidR="00462C30">
        <w:t>4.2.12</w:t>
      </w:r>
      <w:r w:rsidR="000005A2">
        <w:fldChar w:fldCharType="end"/>
      </w:r>
      <w:r w:rsidR="000005A2">
        <w:t xml:space="preserve">] </w:t>
      </w:r>
      <w:r>
        <w:t xml:space="preserve">regarding de-identification, pseudonymous information may no longer be considered ‘personal information’ and hence will not attract privacy protections, since the identity of an individual is no longer apparent or reasonably ascertainable. </w:t>
      </w:r>
    </w:p>
    <w:p w14:paraId="4C1FE684" w14:textId="77777777" w:rsidR="00FF302D" w:rsidRPr="00113F13" w:rsidRDefault="00FF302D" w:rsidP="00B63604">
      <w:pPr>
        <w:pStyle w:val="NormalNumberedTextTLRI"/>
        <w:numPr>
          <w:ilvl w:val="2"/>
          <w:numId w:val="31"/>
        </w:numPr>
        <w:tabs>
          <w:tab w:val="clear" w:pos="720"/>
        </w:tabs>
        <w:spacing w:line="259" w:lineRule="auto"/>
      </w:pPr>
      <w:r w:rsidRPr="00113F13">
        <w:t>The TLRI has not formed a view regarding whether the PIPA should be amended to align it with the Commonwealth Privacy Act by introducing the option for individuals to use a pseudonym where they do not want to be identified</w:t>
      </w:r>
      <w:bookmarkEnd w:id="829"/>
      <w:r w:rsidRPr="00113F13">
        <w:t>.</w:t>
      </w:r>
    </w:p>
    <w:p w14:paraId="7EDB419F" w14:textId="77777777" w:rsidR="00FF302D" w:rsidRPr="00113F13" w:rsidRDefault="00FF302D" w:rsidP="00BF1FE7">
      <w:pPr>
        <w:pStyle w:val="NumberedHeadingTLRI"/>
      </w:pPr>
      <w:bookmarkStart w:id="830" w:name="_Toc143872578"/>
      <w:bookmarkStart w:id="831" w:name="_Toc152245459"/>
      <w:bookmarkStart w:id="832" w:name="_Toc164606675"/>
      <w:r w:rsidRPr="00113F13">
        <w:t>Recommendations</w:t>
      </w:r>
      <w:bookmarkEnd w:id="830"/>
      <w:bookmarkEnd w:id="831"/>
      <w:bookmarkEnd w:id="832"/>
    </w:p>
    <w:p w14:paraId="3C7171A4" w14:textId="77777777" w:rsidR="00FF302D" w:rsidRPr="00113F13" w:rsidRDefault="00FF302D" w:rsidP="00B63604">
      <w:pPr>
        <w:pStyle w:val="NormalNumberedTextTLRI"/>
        <w:numPr>
          <w:ilvl w:val="2"/>
          <w:numId w:val="31"/>
        </w:numPr>
        <w:tabs>
          <w:tab w:val="clear" w:pos="720"/>
        </w:tabs>
        <w:spacing w:line="259" w:lineRule="auto"/>
      </w:pPr>
      <w:r w:rsidRPr="00113F13">
        <w:t>The TLRI makes no recommendations in relation to PIPP 8.</w:t>
      </w:r>
    </w:p>
    <w:p w14:paraId="6721643C" w14:textId="77777777" w:rsidR="00FF302D" w:rsidRPr="00113F13" w:rsidRDefault="00FF302D" w:rsidP="00BF1FE7">
      <w:pPr>
        <w:pStyle w:val="NumberedHeadingTLRI"/>
      </w:pPr>
      <w:bookmarkStart w:id="833" w:name="_Toc143872579"/>
      <w:bookmarkStart w:id="834" w:name="_Toc152245460"/>
      <w:bookmarkStart w:id="835" w:name="_Toc164606676"/>
      <w:r w:rsidRPr="00113F13">
        <w:t>Other PIPA-related issues requiring further consideration</w:t>
      </w:r>
      <w:bookmarkEnd w:id="833"/>
      <w:bookmarkEnd w:id="834"/>
      <w:bookmarkEnd w:id="835"/>
    </w:p>
    <w:p w14:paraId="070F52D4" w14:textId="77777777" w:rsidR="00FF302D" w:rsidRPr="00113F13" w:rsidRDefault="00FF302D" w:rsidP="00B63604">
      <w:pPr>
        <w:pStyle w:val="NormalNumberedTextTLRI"/>
        <w:numPr>
          <w:ilvl w:val="2"/>
          <w:numId w:val="31"/>
        </w:numPr>
        <w:tabs>
          <w:tab w:val="clear" w:pos="720"/>
        </w:tabs>
        <w:spacing w:line="259" w:lineRule="auto"/>
      </w:pPr>
      <w:bookmarkStart w:id="836" w:name="_Toc143872580"/>
      <w:r w:rsidRPr="00113F13">
        <w:t>Several other matters mentioned in the Privacy Act Review’s Final Report may have a bearing on any future reforms of Tasmania’s PIPA and will need to be considered once the shape of reforms to the Privacy Act is finalised. These include:</w:t>
      </w:r>
      <w:bookmarkEnd w:id="836"/>
    </w:p>
    <w:p w14:paraId="71E93A3F" w14:textId="77777777" w:rsidR="00FF302D" w:rsidRPr="00113F13" w:rsidRDefault="00FF302D" w:rsidP="0022429F">
      <w:pPr>
        <w:pStyle w:val="DotPointTLRI"/>
      </w:pPr>
      <w:r w:rsidRPr="00113F13">
        <w:t>proposals relating to targeting (where information is collected, used, or disclosed to tailor services, content, information, advertisements, or offers),</w:t>
      </w:r>
      <w:r w:rsidRPr="00113F13">
        <w:rPr>
          <w:rStyle w:val="FootnoteReference"/>
          <w:rFonts w:ascii="Times New Roman" w:hAnsi="Times New Roman"/>
        </w:rPr>
        <w:footnoteReference w:id="717"/>
      </w:r>
      <w:r w:rsidRPr="00113F13">
        <w:t xml:space="preserve"> such as proposals to give individuals a right to opt-out of receiving targeted advertising,</w:t>
      </w:r>
      <w:r w:rsidRPr="00113F13">
        <w:rPr>
          <w:rStyle w:val="FootnoteReference"/>
          <w:rFonts w:ascii="Times New Roman" w:hAnsi="Times New Roman"/>
        </w:rPr>
        <w:footnoteReference w:id="718"/>
      </w:r>
      <w:r w:rsidRPr="00113F13">
        <w:t xml:space="preserve"> to prohibit targeting to children except where in a child’s best interests,</w:t>
      </w:r>
      <w:r w:rsidRPr="00113F13">
        <w:rPr>
          <w:rStyle w:val="FootnoteReference"/>
          <w:rFonts w:ascii="Times New Roman" w:hAnsi="Times New Roman"/>
        </w:rPr>
        <w:footnoteReference w:id="719"/>
      </w:r>
      <w:r w:rsidRPr="00113F13">
        <w:t xml:space="preserve"> to prohibit targeting of individuals based on sensitive information,</w:t>
      </w:r>
      <w:r w:rsidRPr="00113F13">
        <w:rPr>
          <w:rStyle w:val="FootnoteReference"/>
          <w:rFonts w:ascii="Times New Roman" w:hAnsi="Times New Roman"/>
        </w:rPr>
        <w:footnoteReference w:id="720"/>
      </w:r>
      <w:r w:rsidRPr="00113F13">
        <w:t xml:space="preserve"> to require entities to provide information about targeting,</w:t>
      </w:r>
      <w:r w:rsidRPr="00113F13">
        <w:rPr>
          <w:rStyle w:val="FootnoteReference"/>
          <w:rFonts w:ascii="Times New Roman" w:hAnsi="Times New Roman"/>
        </w:rPr>
        <w:footnoteReference w:id="721"/>
      </w:r>
      <w:r w:rsidRPr="00113F13">
        <w:t xml:space="preserve"> and to make regulation of tailored content apply to de-identified information;</w:t>
      </w:r>
      <w:r w:rsidRPr="00113F13">
        <w:rPr>
          <w:rStyle w:val="FootnoteReference"/>
          <w:rFonts w:ascii="Times New Roman" w:hAnsi="Times New Roman"/>
        </w:rPr>
        <w:footnoteReference w:id="722"/>
      </w:r>
      <w:r w:rsidRPr="00113F13">
        <w:t xml:space="preserve"> and</w:t>
      </w:r>
    </w:p>
    <w:p w14:paraId="1B6C7BAC" w14:textId="77777777" w:rsidR="00FF302D" w:rsidRPr="00113F13" w:rsidRDefault="00FF302D" w:rsidP="0022429F">
      <w:pPr>
        <w:pStyle w:val="DotPointTLRI"/>
      </w:pPr>
      <w:r w:rsidRPr="00113F13">
        <w:t>proposals relating to trading (where information is disclosed for a benefit, service, or advantage),</w:t>
      </w:r>
      <w:r w:rsidRPr="00113F13">
        <w:rPr>
          <w:rStyle w:val="FootnoteReference"/>
          <w:rFonts w:ascii="Times New Roman" w:hAnsi="Times New Roman"/>
        </w:rPr>
        <w:footnoteReference w:id="723"/>
      </w:r>
      <w:r w:rsidRPr="00113F13">
        <w:t xml:space="preserve"> including proposals to restrict trading of personal information without an individual’s consent,</w:t>
      </w:r>
      <w:r w:rsidRPr="00113F13">
        <w:rPr>
          <w:rStyle w:val="FootnoteReference"/>
          <w:rFonts w:ascii="Times New Roman" w:hAnsi="Times New Roman"/>
        </w:rPr>
        <w:footnoteReference w:id="724"/>
      </w:r>
      <w:r w:rsidRPr="00113F13">
        <w:t xml:space="preserve"> and to prohibit trading in the personal information of children.</w:t>
      </w:r>
      <w:r w:rsidRPr="00113F13">
        <w:rPr>
          <w:rStyle w:val="FootnoteReference"/>
          <w:rFonts w:ascii="Times New Roman" w:hAnsi="Times New Roman"/>
        </w:rPr>
        <w:footnoteReference w:id="725"/>
      </w:r>
    </w:p>
    <w:p w14:paraId="2BD147D5" w14:textId="77777777" w:rsidR="00FF302D" w:rsidRPr="00113F13" w:rsidRDefault="00FF302D" w:rsidP="00B63604">
      <w:pPr>
        <w:pStyle w:val="NormalNumberedTextTLRI"/>
        <w:numPr>
          <w:ilvl w:val="2"/>
          <w:numId w:val="31"/>
        </w:numPr>
        <w:tabs>
          <w:tab w:val="clear" w:pos="720"/>
        </w:tabs>
        <w:spacing w:line="259" w:lineRule="auto"/>
      </w:pPr>
      <w:bookmarkStart w:id="837" w:name="_Toc143872581"/>
      <w:r w:rsidRPr="00113F13">
        <w:t>The Privacy Act Review also made several proposals relating to direct marketing (where information is handled for the purpose of communicating directly with an individual to promote advertising or marketing material).</w:t>
      </w:r>
      <w:r w:rsidRPr="00113F13">
        <w:rPr>
          <w:rStyle w:val="FootnoteReference"/>
          <w:rFonts w:ascii="Times New Roman" w:hAnsi="Times New Roman"/>
        </w:rPr>
        <w:footnoteReference w:id="726"/>
      </w:r>
      <w:r w:rsidRPr="00113F13">
        <w:t xml:space="preserve"> These included proposals to give individuals a right to opt-out</w:t>
      </w:r>
      <w:r w:rsidRPr="00113F13">
        <w:rPr>
          <w:rStyle w:val="FootnoteReference"/>
          <w:rFonts w:ascii="Times New Roman" w:hAnsi="Times New Roman"/>
        </w:rPr>
        <w:footnoteReference w:id="727"/>
      </w:r>
      <w:r w:rsidRPr="00113F13">
        <w:t xml:space="preserve"> and to prohibit direct marketing to children except in limited circumstances (such as where it is in the </w:t>
      </w:r>
      <w:r w:rsidRPr="00113F13">
        <w:lastRenderedPageBreak/>
        <w:t>best interests of the child).</w:t>
      </w:r>
      <w:r w:rsidRPr="00113F13">
        <w:rPr>
          <w:rStyle w:val="FootnoteReference"/>
          <w:rFonts w:ascii="Times New Roman" w:hAnsi="Times New Roman"/>
        </w:rPr>
        <w:footnoteReference w:id="728"/>
      </w:r>
      <w:bookmarkEnd w:id="837"/>
      <w:r w:rsidRPr="00113F13">
        <w:t xml:space="preserve"> The Commonwealth Government agreed in-principle with these proposals.</w:t>
      </w:r>
      <w:r w:rsidRPr="00113F13">
        <w:rPr>
          <w:rStyle w:val="FootnoteReference"/>
          <w:rFonts w:ascii="Times New Roman" w:hAnsi="Times New Roman"/>
        </w:rPr>
        <w:footnoteReference w:id="729"/>
      </w:r>
    </w:p>
    <w:p w14:paraId="16BD81C2" w14:textId="77777777" w:rsidR="00FF302D" w:rsidRPr="00113F13" w:rsidRDefault="00FF302D" w:rsidP="00B63604">
      <w:pPr>
        <w:pStyle w:val="NormalNumberedTextTLRI"/>
        <w:numPr>
          <w:ilvl w:val="2"/>
          <w:numId w:val="31"/>
        </w:numPr>
        <w:tabs>
          <w:tab w:val="clear" w:pos="720"/>
        </w:tabs>
        <w:spacing w:line="259" w:lineRule="auto"/>
      </w:pPr>
      <w:r w:rsidRPr="00113F13">
        <w:t xml:space="preserve"> </w:t>
      </w:r>
      <w:bookmarkStart w:id="838" w:name="_Toc143872582"/>
      <w:r w:rsidRPr="00113F13">
        <w:t>The TLRI also observes that the PIPA does not impose specific obligations regarding use and disclosure of personal information for direct marketing. This means that, while non-government contractors and their sub-contractors must comply with the PIPPs, they are not subject to additional restrictions regarding the use or disclosure of personal information for direct marketing purposes. If the direct marketing purpose is relevant to the primary purpose for collecting the information, the information does not have to be collected from the marketing subject, nor does the subject need to consent to the use of their information for direct marketing purposes. While the TLRI did not receive submissions on this point, it considers that further consideration of this gap in the legislation, in light of the Privacy Act Review Report proposals, may be warranted.</w:t>
      </w:r>
      <w:bookmarkEnd w:id="838"/>
    </w:p>
    <w:p w14:paraId="555586AF" w14:textId="41A9CB87" w:rsidR="00FF302D" w:rsidRPr="00113F13" w:rsidRDefault="00123054" w:rsidP="00123054">
      <w:pPr>
        <w:spacing w:after="200" w:line="276" w:lineRule="auto"/>
        <w:jc w:val="left"/>
        <w:rPr>
          <w:rFonts w:cs="Times New Roman"/>
        </w:rPr>
      </w:pPr>
      <w:r>
        <w:rPr>
          <w:rFonts w:cs="Times New Roman"/>
        </w:rPr>
        <w:br w:type="page"/>
      </w:r>
    </w:p>
    <w:p w14:paraId="622C558F" w14:textId="77777777" w:rsidR="00FF302D" w:rsidRPr="00113F13" w:rsidRDefault="00FF302D" w:rsidP="00FF302D">
      <w:pPr>
        <w:pStyle w:val="Heading1"/>
        <w:pBdr>
          <w:bottom w:val="single" w:sz="4" w:space="1" w:color="auto"/>
        </w:pBdr>
        <w:rPr>
          <w:rFonts w:ascii="Times New Roman" w:hAnsi="Times New Roman" w:cs="Times New Roman"/>
        </w:rPr>
        <w:sectPr w:rsidR="00FF302D" w:rsidRPr="00113F13" w:rsidSect="00BC08AB">
          <w:headerReference w:type="default" r:id="rId32"/>
          <w:type w:val="continuous"/>
          <w:pgSz w:w="11906" w:h="16838" w:code="9"/>
          <w:pgMar w:top="1440" w:right="1440" w:bottom="1440" w:left="1440" w:header="708" w:footer="708" w:gutter="0"/>
          <w:cols w:space="708"/>
          <w:docGrid w:linePitch="360"/>
        </w:sectPr>
      </w:pPr>
      <w:bookmarkStart w:id="839" w:name="_Toc91832004"/>
      <w:bookmarkStart w:id="840" w:name="_Ref129273534"/>
      <w:bookmarkStart w:id="841" w:name="_Ref129285561"/>
      <w:bookmarkStart w:id="842" w:name="_Ref129285664"/>
      <w:bookmarkStart w:id="843" w:name="_Toc130540438"/>
    </w:p>
    <w:bookmarkEnd w:id="839"/>
    <w:bookmarkEnd w:id="840"/>
    <w:bookmarkEnd w:id="841"/>
    <w:bookmarkEnd w:id="842"/>
    <w:bookmarkEnd w:id="843"/>
    <w:p w14:paraId="59DB3633" w14:textId="77777777" w:rsidR="00FF302D" w:rsidRPr="00113F13" w:rsidRDefault="00FF302D" w:rsidP="00B63604">
      <w:pPr>
        <w:pStyle w:val="PartNoTLRI"/>
        <w:numPr>
          <w:ilvl w:val="0"/>
          <w:numId w:val="31"/>
        </w:numPr>
        <w:spacing w:after="160" w:line="259" w:lineRule="auto"/>
      </w:pPr>
    </w:p>
    <w:p w14:paraId="49BB27E8" w14:textId="77777777" w:rsidR="00FF302D" w:rsidRPr="00113F13" w:rsidRDefault="00FF302D" w:rsidP="00FF302D">
      <w:pPr>
        <w:pStyle w:val="PartHeadingTLRI"/>
      </w:pPr>
      <w:bookmarkStart w:id="844" w:name="_Toc164606677"/>
      <w:r w:rsidRPr="00113F13">
        <w:t>The PIPA: Complaints, Monitoring, and Enforcement</w:t>
      </w:r>
      <w:bookmarkEnd w:id="844"/>
    </w:p>
    <w:p w14:paraId="2BF6BFE8" w14:textId="77777777" w:rsidR="00FF302D" w:rsidRPr="00113F13" w:rsidRDefault="00FF302D" w:rsidP="00BF1FE7">
      <w:pPr>
        <w:pStyle w:val="NumberedHeadingTLRI"/>
      </w:pPr>
      <w:bookmarkStart w:id="845" w:name="_Toc164606678"/>
      <w:r w:rsidRPr="00113F13">
        <w:t>Introduction</w:t>
      </w:r>
      <w:bookmarkEnd w:id="845"/>
    </w:p>
    <w:p w14:paraId="342CEBD7" w14:textId="0A0F5E1C" w:rsidR="00FF302D" w:rsidRPr="00113F13" w:rsidRDefault="00FF302D" w:rsidP="00B63604">
      <w:pPr>
        <w:pStyle w:val="NormalNumberedTextTLRI"/>
        <w:numPr>
          <w:ilvl w:val="2"/>
          <w:numId w:val="31"/>
        </w:numPr>
        <w:tabs>
          <w:tab w:val="clear" w:pos="720"/>
        </w:tabs>
        <w:spacing w:line="259" w:lineRule="auto"/>
      </w:pPr>
      <w:r w:rsidRPr="00113F13">
        <w:t xml:space="preserve">Complaints, monitoring, and enforcement mechanisms are essential elements of effective information privacy protections. This </w:t>
      </w:r>
      <w:r w:rsidR="00514C40">
        <w:t xml:space="preserve">Part </w:t>
      </w:r>
      <w:r w:rsidRPr="00113F13">
        <w:t xml:space="preserve">considers the adequacy of the complaints and appeals processes in the </w:t>
      </w:r>
      <w:r w:rsidRPr="00113F13">
        <w:rPr>
          <w:i/>
          <w:iCs/>
        </w:rPr>
        <w:t>Personal Information Protection Act 2004 (Tas)</w:t>
      </w:r>
      <w:r w:rsidRPr="00113F13">
        <w:t xml:space="preserve"> (‘PIPA’), remedies, and other enforcement action available in response to breaches (including data breach notification requirements), and the need for privacy codes or other rules in delegated legislation to be developed. </w:t>
      </w:r>
    </w:p>
    <w:p w14:paraId="3A6078AA" w14:textId="77777777" w:rsidR="00FF302D" w:rsidRPr="00113F13" w:rsidRDefault="00FF302D" w:rsidP="00BF1FE7">
      <w:pPr>
        <w:pStyle w:val="NumberedHeadingTLRI"/>
      </w:pPr>
      <w:bookmarkStart w:id="846" w:name="_Toc164606679"/>
      <w:bookmarkStart w:id="847" w:name="_Ref164781086"/>
      <w:r w:rsidRPr="00113F13">
        <w:t>Complaints and remedies</w:t>
      </w:r>
      <w:bookmarkEnd w:id="846"/>
      <w:bookmarkEnd w:id="847"/>
    </w:p>
    <w:p w14:paraId="2201D844" w14:textId="77777777" w:rsidR="00FF302D" w:rsidRPr="00113F13" w:rsidRDefault="00FF302D" w:rsidP="0022429F">
      <w:pPr>
        <w:pStyle w:val="Headingunnumbered"/>
        <w:rPr>
          <w:rFonts w:cs="Times New Roman"/>
        </w:rPr>
      </w:pPr>
      <w:bookmarkStart w:id="848" w:name="_Toc164606680"/>
      <w:r w:rsidRPr="00113F13">
        <w:rPr>
          <w:rFonts w:cs="Times New Roman"/>
        </w:rPr>
        <w:t>The Tasmanian position</w:t>
      </w:r>
      <w:bookmarkEnd w:id="848"/>
    </w:p>
    <w:p w14:paraId="3BD27F9F" w14:textId="77777777" w:rsidR="00FF302D" w:rsidRPr="00113F13" w:rsidRDefault="00FF302D" w:rsidP="0022429F">
      <w:pPr>
        <w:pStyle w:val="Sub-HeadingTLRI"/>
        <w:spacing w:before="0"/>
      </w:pPr>
      <w:bookmarkStart w:id="849" w:name="_Toc164606681"/>
      <w:r w:rsidRPr="00113F13">
        <w:t>The complaints process</w:t>
      </w:r>
      <w:bookmarkEnd w:id="849"/>
      <w:r w:rsidRPr="00113F13">
        <w:tab/>
      </w:r>
    </w:p>
    <w:p w14:paraId="1576C537" w14:textId="77777777" w:rsidR="00FF302D" w:rsidRPr="00113F13" w:rsidRDefault="00FF302D" w:rsidP="00B63604">
      <w:pPr>
        <w:pStyle w:val="NormalNumberedTextTLRI"/>
        <w:numPr>
          <w:ilvl w:val="2"/>
          <w:numId w:val="31"/>
        </w:numPr>
        <w:tabs>
          <w:tab w:val="clear" w:pos="720"/>
        </w:tabs>
        <w:spacing w:line="259" w:lineRule="auto"/>
      </w:pPr>
      <w:r w:rsidRPr="00113F13">
        <w:t>Under the Tasmanian PIPA, a person may make a complaint to the Tasmanian Ombudsman alleging that a personal information custodian has contravened a Personal Information Protection Principle (‘PIPP’) which applies to the person.</w:t>
      </w:r>
      <w:r w:rsidRPr="00113F13">
        <w:rPr>
          <w:rStyle w:val="FootnoteReference"/>
          <w:rFonts w:ascii="Times New Roman" w:hAnsi="Times New Roman"/>
        </w:rPr>
        <w:footnoteReference w:id="730"/>
      </w:r>
      <w:r w:rsidRPr="00113F13">
        <w:t xml:space="preserve"> Complaints must be made within six months from the date the person first became aware of the alleged breach, unless the Ombudsman permits additional time.</w:t>
      </w:r>
      <w:r w:rsidRPr="00113F13">
        <w:rPr>
          <w:rStyle w:val="FootnoteReference"/>
          <w:rFonts w:ascii="Times New Roman" w:hAnsi="Times New Roman"/>
        </w:rPr>
        <w:footnoteReference w:id="731"/>
      </w:r>
      <w:r w:rsidRPr="00113F13">
        <w:t xml:space="preserve"> </w:t>
      </w:r>
    </w:p>
    <w:p w14:paraId="08788947" w14:textId="77777777" w:rsidR="00FF302D" w:rsidRPr="00113F13" w:rsidRDefault="00FF302D" w:rsidP="00B63604">
      <w:pPr>
        <w:pStyle w:val="NormalNumberedTextTLRI"/>
        <w:numPr>
          <w:ilvl w:val="2"/>
          <w:numId w:val="31"/>
        </w:numPr>
        <w:tabs>
          <w:tab w:val="clear" w:pos="720"/>
        </w:tabs>
        <w:spacing w:line="259" w:lineRule="auto"/>
      </w:pPr>
      <w:r w:rsidRPr="00113F13">
        <w:t>Before a complainant can make a complaint to the Ombudsman, however, they must have raised the matter with the relevant personal information custodian and be unsatisfied with the response.</w:t>
      </w:r>
      <w:r w:rsidRPr="00113F13">
        <w:rPr>
          <w:rStyle w:val="FootnoteReference"/>
          <w:rFonts w:ascii="Times New Roman" w:hAnsi="Times New Roman"/>
        </w:rPr>
        <w:footnoteReference w:id="732"/>
      </w:r>
      <w:r w:rsidRPr="00113F13">
        <w:t xml:space="preserve"> </w:t>
      </w:r>
    </w:p>
    <w:p w14:paraId="13372869" w14:textId="77777777" w:rsidR="00FF302D" w:rsidRPr="00113F13" w:rsidRDefault="00FF302D" w:rsidP="00B63604">
      <w:pPr>
        <w:pStyle w:val="NormalNumberedTextTLRI"/>
        <w:numPr>
          <w:ilvl w:val="2"/>
          <w:numId w:val="31"/>
        </w:numPr>
        <w:tabs>
          <w:tab w:val="clear" w:pos="720"/>
        </w:tabs>
        <w:spacing w:line="259" w:lineRule="auto"/>
      </w:pPr>
      <w:r w:rsidRPr="00113F13">
        <w:t>If these requirements are met, the Ombudsman may conduct a preliminary assessment of the complaint for the purpose of deciding whether to deal with the complaint.</w:t>
      </w:r>
      <w:r w:rsidRPr="00113F13">
        <w:rPr>
          <w:rStyle w:val="FootnoteReference"/>
          <w:rFonts w:ascii="Times New Roman" w:hAnsi="Times New Roman"/>
        </w:rPr>
        <w:footnoteReference w:id="733"/>
      </w:r>
      <w:r w:rsidRPr="00113F13">
        <w:t xml:space="preserve"> If, following a preliminary assessment, the Ombudsman believes the complaint may be resolved expeditiously (having regard to the nature and seriousness of the complaint), the Ombudsman may resolve the complaint without investigating it further.</w:t>
      </w:r>
      <w:r w:rsidRPr="00113F13">
        <w:rPr>
          <w:rStyle w:val="FootnoteReference"/>
          <w:rFonts w:ascii="Times New Roman" w:hAnsi="Times New Roman"/>
        </w:rPr>
        <w:footnoteReference w:id="734"/>
      </w:r>
      <w:r w:rsidRPr="00113F13">
        <w:t xml:space="preserve"> </w:t>
      </w:r>
    </w:p>
    <w:p w14:paraId="4615FFCA" w14:textId="77777777" w:rsidR="00FF302D" w:rsidRPr="00113F13" w:rsidRDefault="00FF302D" w:rsidP="00B63604">
      <w:pPr>
        <w:pStyle w:val="NormalNumberedTextTLRI"/>
        <w:numPr>
          <w:ilvl w:val="2"/>
          <w:numId w:val="31"/>
        </w:numPr>
        <w:tabs>
          <w:tab w:val="clear" w:pos="720"/>
        </w:tabs>
        <w:spacing w:line="259" w:lineRule="auto"/>
      </w:pPr>
      <w:r w:rsidRPr="00113F13">
        <w:t>Alternatively, the Ombudsman may decide not to deal with a complaint, if satisfied that:</w:t>
      </w:r>
    </w:p>
    <w:p w14:paraId="5502B256" w14:textId="77777777" w:rsidR="00FF302D" w:rsidRPr="00113F13" w:rsidRDefault="00FF302D" w:rsidP="0022429F">
      <w:pPr>
        <w:pStyle w:val="DotPointTLRI"/>
      </w:pPr>
      <w:r w:rsidRPr="00113F13">
        <w:t xml:space="preserve">the complaint is frivolous, vexatious, lacking in substance, or not in good faith; </w:t>
      </w:r>
    </w:p>
    <w:p w14:paraId="638071CB" w14:textId="77777777" w:rsidR="00FF302D" w:rsidRPr="00113F13" w:rsidRDefault="00FF302D" w:rsidP="0022429F">
      <w:pPr>
        <w:pStyle w:val="DotPointTLRI"/>
      </w:pPr>
      <w:r w:rsidRPr="00113F13">
        <w:lastRenderedPageBreak/>
        <w:t>the subject matter of the complaint is trivial; or</w:t>
      </w:r>
    </w:p>
    <w:p w14:paraId="519A6FCE" w14:textId="77777777" w:rsidR="00FF302D" w:rsidRPr="00113F13" w:rsidRDefault="00FF302D" w:rsidP="0022429F">
      <w:pPr>
        <w:pStyle w:val="DotPointTLRI"/>
      </w:pPr>
      <w:r w:rsidRPr="00113F13">
        <w:t>the subject matter of the complaint relates to a matter permitted or required under any law.</w:t>
      </w:r>
      <w:r w:rsidRPr="00113F13">
        <w:rPr>
          <w:rStyle w:val="FootnoteReference"/>
          <w:rFonts w:ascii="Times New Roman" w:hAnsi="Times New Roman"/>
        </w:rPr>
        <w:footnoteReference w:id="735"/>
      </w:r>
    </w:p>
    <w:p w14:paraId="2CC023BA" w14:textId="77777777" w:rsidR="00FF302D" w:rsidRPr="00113F13" w:rsidRDefault="00FF302D" w:rsidP="00B63604">
      <w:pPr>
        <w:pStyle w:val="NormalNumberedTextTLRI"/>
        <w:numPr>
          <w:ilvl w:val="2"/>
          <w:numId w:val="31"/>
        </w:numPr>
        <w:tabs>
          <w:tab w:val="clear" w:pos="720"/>
        </w:tabs>
        <w:spacing w:line="259" w:lineRule="auto"/>
      </w:pPr>
      <w:r w:rsidRPr="00113F13">
        <w:t>The Ombudsman may also refer a complaint for investigation or other action to any person, body, or authority the Ombudsman considers appropriate; such referral must only take place after consultation of, and consideration of the views of, both the complainant and relevant person, body, or authority.</w:t>
      </w:r>
      <w:r w:rsidRPr="00113F13">
        <w:rPr>
          <w:rStyle w:val="FootnoteReference"/>
          <w:rFonts w:ascii="Times New Roman" w:hAnsi="Times New Roman"/>
        </w:rPr>
        <w:footnoteReference w:id="736"/>
      </w:r>
      <w:r w:rsidRPr="00113F13">
        <w:t xml:space="preserve"> </w:t>
      </w:r>
    </w:p>
    <w:p w14:paraId="62277401"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If the Ombudsman decides to deal with a complaint, the PIPA requires the Ombudsman to conduct any investigations in accordance with the process and powers set out in Division 3 of Part III of the </w:t>
      </w:r>
      <w:r w:rsidRPr="00113F13">
        <w:rPr>
          <w:i/>
          <w:iCs/>
        </w:rPr>
        <w:t>Ombudsman Act 1978</w:t>
      </w:r>
      <w:r w:rsidRPr="00113F13">
        <w:t xml:space="preserve"> (Tas).</w:t>
      </w:r>
      <w:r w:rsidRPr="00113F13">
        <w:rPr>
          <w:rStyle w:val="FootnoteReference"/>
          <w:rFonts w:ascii="Times New Roman" w:hAnsi="Times New Roman"/>
        </w:rPr>
        <w:footnoteReference w:id="737"/>
      </w:r>
      <w:r w:rsidRPr="00113F13">
        <w:t xml:space="preserve"> That Act provides, for example, that:</w:t>
      </w:r>
    </w:p>
    <w:p w14:paraId="1E9A379C" w14:textId="77777777" w:rsidR="00FF302D" w:rsidRPr="00113F13" w:rsidRDefault="00FF302D" w:rsidP="0022429F">
      <w:pPr>
        <w:pStyle w:val="DotPointTLRI"/>
      </w:pPr>
      <w:r w:rsidRPr="00113F13">
        <w:t>the Ombudsman</w:t>
      </w:r>
      <w:r w:rsidRPr="00113F13" w:rsidDel="00923A19">
        <w:t xml:space="preserve"> </w:t>
      </w:r>
      <w:r w:rsidRPr="00113F13">
        <w:t>must give written notice of the intention to investigate to the complainant and the public authority;</w:t>
      </w:r>
      <w:r w:rsidRPr="00113F13">
        <w:rPr>
          <w:rStyle w:val="FootnoteReference"/>
          <w:rFonts w:ascii="Times New Roman" w:hAnsi="Times New Roman"/>
        </w:rPr>
        <w:footnoteReference w:id="738"/>
      </w:r>
      <w:r w:rsidRPr="00113F13">
        <w:t xml:space="preserve"> </w:t>
      </w:r>
    </w:p>
    <w:p w14:paraId="1D542F12" w14:textId="77777777" w:rsidR="00FF302D" w:rsidRPr="00113F13" w:rsidRDefault="00FF302D" w:rsidP="0022429F">
      <w:pPr>
        <w:pStyle w:val="DotPointTLRI"/>
      </w:pPr>
      <w:r w:rsidRPr="00113F13">
        <w:t>the Ombudsman may regulate investigation procedure, obtain information, and make any inquiries in a manner they consider appropriate, and is not required to hold a hearing;</w:t>
      </w:r>
      <w:r w:rsidRPr="00113F13">
        <w:rPr>
          <w:rStyle w:val="FootnoteReference"/>
          <w:rFonts w:ascii="Times New Roman" w:hAnsi="Times New Roman"/>
        </w:rPr>
        <w:footnoteReference w:id="739"/>
      </w:r>
      <w:r w:rsidRPr="00113F13">
        <w:t xml:space="preserve"> </w:t>
      </w:r>
    </w:p>
    <w:p w14:paraId="419E7F62" w14:textId="77777777" w:rsidR="00FF302D" w:rsidRPr="00113F13" w:rsidRDefault="00FF302D" w:rsidP="0022429F">
      <w:pPr>
        <w:pStyle w:val="DotPointTLRI"/>
      </w:pPr>
      <w:r w:rsidRPr="00113F13">
        <w:t>an investigation by the Ombudsman must be conducted in private;</w:t>
      </w:r>
      <w:r w:rsidRPr="00113F13">
        <w:rPr>
          <w:rStyle w:val="FootnoteReference"/>
          <w:rFonts w:ascii="Times New Roman" w:hAnsi="Times New Roman"/>
        </w:rPr>
        <w:footnoteReference w:id="740"/>
      </w:r>
      <w:r w:rsidRPr="00113F13">
        <w:t xml:space="preserve"> </w:t>
      </w:r>
    </w:p>
    <w:p w14:paraId="7889B521" w14:textId="77777777" w:rsidR="00FF302D" w:rsidRPr="00113F13" w:rsidRDefault="00FF302D" w:rsidP="0022429F">
      <w:pPr>
        <w:pStyle w:val="DotPointTLRI"/>
      </w:pPr>
      <w:r w:rsidRPr="00113F13">
        <w:t>the Ombudsman must not make a report on an investigation containing adverse or derogatory comments in respect of a person, or a public authority, without giving the person, or the principal officer and principal decision-maker, the opportunity to appear before the Ombudsman or otherwise make representations</w:t>
      </w:r>
      <w:r w:rsidRPr="00113F13">
        <w:rPr>
          <w:rStyle w:val="FootnoteReference"/>
          <w:rFonts w:ascii="Times New Roman" w:hAnsi="Times New Roman"/>
        </w:rPr>
        <w:footnoteReference w:id="741"/>
      </w:r>
    </w:p>
    <w:p w14:paraId="55F6ADB8" w14:textId="77777777" w:rsidR="00FF302D" w:rsidRPr="00113F13" w:rsidRDefault="00FF302D" w:rsidP="0022429F">
      <w:pPr>
        <w:pStyle w:val="DotPointTLRI"/>
      </w:pPr>
      <w:r w:rsidRPr="00113F13">
        <w:t>the Ombudsman has extensive powers, including compelling people to provide information or give evidence,</w:t>
      </w:r>
      <w:r w:rsidRPr="00113F13">
        <w:rPr>
          <w:rStyle w:val="FootnoteReference"/>
          <w:rFonts w:ascii="Times New Roman" w:hAnsi="Times New Roman"/>
        </w:rPr>
        <w:footnoteReference w:id="742"/>
      </w:r>
      <w:r w:rsidRPr="00113F13">
        <w:t xml:space="preserve"> and entering the premises of public authorities.</w:t>
      </w:r>
      <w:r w:rsidRPr="00113F13">
        <w:rPr>
          <w:rStyle w:val="FootnoteReference"/>
          <w:rFonts w:ascii="Times New Roman" w:hAnsi="Times New Roman"/>
        </w:rPr>
        <w:footnoteReference w:id="743"/>
      </w:r>
    </w:p>
    <w:p w14:paraId="73735A0F" w14:textId="77777777" w:rsidR="00FF302D" w:rsidRPr="00113F13" w:rsidRDefault="00FF302D" w:rsidP="00B63604">
      <w:pPr>
        <w:pStyle w:val="NormalNumberedTextTLRI"/>
        <w:numPr>
          <w:ilvl w:val="2"/>
          <w:numId w:val="31"/>
        </w:numPr>
        <w:tabs>
          <w:tab w:val="clear" w:pos="720"/>
        </w:tabs>
        <w:spacing w:line="259" w:lineRule="auto"/>
      </w:pPr>
      <w:r w:rsidRPr="00113F13">
        <w:t>If the Ombudsman determines, upon completion of an investigation, that the custodian has breached a PIPP, the Ombudsman must advise the complainant and custodian of the reasons for that opinion and may make any recommendations the Ombudsman considers appropriate.</w:t>
      </w:r>
      <w:r w:rsidRPr="00113F13">
        <w:rPr>
          <w:rStyle w:val="FootnoteReference"/>
          <w:rFonts w:ascii="Times New Roman" w:hAnsi="Times New Roman"/>
        </w:rPr>
        <w:footnoteReference w:id="744"/>
      </w:r>
      <w:r w:rsidRPr="00113F13">
        <w:t xml:space="preserve"> The Ombudsman must provide the opinion and any recommendations to the Minister; these must be tabled in both Houses of Parliament within five sitting days of receipt.</w:t>
      </w:r>
      <w:r w:rsidRPr="00113F13">
        <w:rPr>
          <w:rStyle w:val="FootnoteReference"/>
          <w:rFonts w:ascii="Times New Roman" w:hAnsi="Times New Roman"/>
        </w:rPr>
        <w:footnoteReference w:id="745"/>
      </w:r>
    </w:p>
    <w:p w14:paraId="2B52F912" w14:textId="69B6FBB8" w:rsidR="00FF302D" w:rsidRPr="00113F13" w:rsidRDefault="00FF302D" w:rsidP="00B63604">
      <w:pPr>
        <w:pStyle w:val="NormalNumberedTextTLRI"/>
        <w:numPr>
          <w:ilvl w:val="2"/>
          <w:numId w:val="31"/>
        </w:numPr>
        <w:tabs>
          <w:tab w:val="clear" w:pos="720"/>
        </w:tabs>
        <w:spacing w:line="259" w:lineRule="auto"/>
      </w:pPr>
      <w:r w:rsidRPr="00113F13">
        <w:t xml:space="preserve">Table </w:t>
      </w:r>
      <w:r w:rsidR="00A5246A">
        <w:t>8.</w:t>
      </w:r>
      <w:r w:rsidRPr="00113F13">
        <w:t>1, below, sets out the number of privacy complaints received by agency type, according to the Ombudsman’s recent annual reports.</w:t>
      </w:r>
      <w:r w:rsidRPr="00113F13">
        <w:rPr>
          <w:rStyle w:val="FootnoteReference"/>
          <w:rFonts w:ascii="Times New Roman" w:hAnsi="Times New Roman"/>
        </w:rPr>
        <w:footnoteReference w:id="746"/>
      </w:r>
    </w:p>
    <w:p w14:paraId="6258AFF6" w14:textId="77777777" w:rsidR="0026630E" w:rsidRDefault="0026630E">
      <w:pPr>
        <w:spacing w:after="200" w:line="276" w:lineRule="auto"/>
        <w:jc w:val="left"/>
        <w:rPr>
          <w:rFonts w:cs="Times New Roman"/>
          <w:b/>
          <w:bCs/>
        </w:rPr>
      </w:pPr>
      <w:r>
        <w:rPr>
          <w:rFonts w:cs="Times New Roman"/>
          <w:b/>
          <w:bCs/>
        </w:rPr>
        <w:br w:type="page"/>
      </w:r>
    </w:p>
    <w:p w14:paraId="2571B2FA" w14:textId="58A9D9C9" w:rsidR="00FF302D" w:rsidRPr="00113F13" w:rsidRDefault="00FF302D" w:rsidP="00FF302D">
      <w:pPr>
        <w:rPr>
          <w:rFonts w:cs="Times New Roman"/>
        </w:rPr>
      </w:pPr>
      <w:r w:rsidRPr="00113F13">
        <w:rPr>
          <w:rFonts w:cs="Times New Roman"/>
          <w:b/>
          <w:bCs/>
        </w:rPr>
        <w:lastRenderedPageBreak/>
        <w:t xml:space="preserve">Table </w:t>
      </w:r>
      <w:r w:rsidR="00A5246A">
        <w:rPr>
          <w:rFonts w:cs="Times New Roman"/>
          <w:b/>
          <w:bCs/>
        </w:rPr>
        <w:t>8.</w:t>
      </w:r>
      <w:r w:rsidRPr="00113F13">
        <w:rPr>
          <w:rFonts w:cs="Times New Roman"/>
          <w:b/>
          <w:bCs/>
        </w:rPr>
        <w:t xml:space="preserve">1 </w:t>
      </w:r>
      <w:r w:rsidRPr="00113F13">
        <w:rPr>
          <w:rFonts w:cs="Times New Roman"/>
        </w:rPr>
        <w:t>Number of privacy complaints to Tasmanian Ombudsman 2018–23 by agency type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061"/>
        <w:gridCol w:w="1061"/>
        <w:gridCol w:w="1061"/>
        <w:gridCol w:w="1061"/>
        <w:gridCol w:w="1062"/>
      </w:tblGrid>
      <w:tr w:rsidR="00FF302D" w:rsidRPr="00113F13" w14:paraId="47F39372" w14:textId="77777777" w:rsidTr="00A71F55">
        <w:tc>
          <w:tcPr>
            <w:tcW w:w="212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5EBDF17" w14:textId="77777777" w:rsidR="00FF302D" w:rsidRPr="00113F13" w:rsidRDefault="00FF302D" w:rsidP="00EA22F8">
            <w:pPr>
              <w:spacing w:after="0" w:line="259" w:lineRule="auto"/>
              <w:rPr>
                <w:rFonts w:cs="Times New Roman"/>
                <w:b/>
                <w:bCs/>
                <w:sz w:val="20"/>
                <w:szCs w:val="20"/>
              </w:rPr>
            </w:pPr>
            <w:r w:rsidRPr="00113F13">
              <w:rPr>
                <w:rFonts w:cs="Times New Roman"/>
                <w:b/>
                <w:bCs/>
                <w:sz w:val="20"/>
                <w:szCs w:val="20"/>
              </w:rPr>
              <w:t>Agency</w:t>
            </w:r>
          </w:p>
        </w:tc>
        <w:tc>
          <w:tcPr>
            <w:tcW w:w="1061"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4DA26A9"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2018–19</w:t>
            </w:r>
          </w:p>
          <w:p w14:paraId="1009E8CE"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N (%)</w:t>
            </w:r>
          </w:p>
        </w:tc>
        <w:tc>
          <w:tcPr>
            <w:tcW w:w="1061"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734DE48"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2019–20</w:t>
            </w:r>
          </w:p>
          <w:p w14:paraId="724059E1"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N (%)</w:t>
            </w:r>
          </w:p>
        </w:tc>
        <w:tc>
          <w:tcPr>
            <w:tcW w:w="1061"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9C4F1E5"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2020–21</w:t>
            </w:r>
          </w:p>
          <w:p w14:paraId="03809A10"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N (%)</w:t>
            </w:r>
          </w:p>
        </w:tc>
        <w:tc>
          <w:tcPr>
            <w:tcW w:w="1061"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7A3104E"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2021–22</w:t>
            </w:r>
          </w:p>
          <w:p w14:paraId="45B57EE4"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N (%)</w:t>
            </w:r>
          </w:p>
        </w:tc>
        <w:tc>
          <w:tcPr>
            <w:tcW w:w="106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ED1C2B9" w14:textId="77777777" w:rsidR="00FF302D" w:rsidRPr="00113F13" w:rsidRDefault="00FF302D" w:rsidP="00A71F55">
            <w:pPr>
              <w:spacing w:before="120" w:after="120"/>
              <w:jc w:val="center"/>
              <w:rPr>
                <w:rFonts w:cs="Times New Roman"/>
                <w:b/>
                <w:bCs/>
                <w:sz w:val="20"/>
                <w:szCs w:val="20"/>
              </w:rPr>
            </w:pPr>
            <w:r w:rsidRPr="00113F13">
              <w:rPr>
                <w:rFonts w:cs="Times New Roman"/>
                <w:b/>
                <w:bCs/>
                <w:sz w:val="20"/>
                <w:szCs w:val="20"/>
              </w:rPr>
              <w:t>2022–23</w:t>
            </w:r>
          </w:p>
          <w:p w14:paraId="0E9A13BB" w14:textId="77777777" w:rsidR="00FF302D" w:rsidRPr="00113F13" w:rsidRDefault="00FF302D" w:rsidP="00A71F55">
            <w:pPr>
              <w:spacing w:before="120" w:after="120"/>
              <w:jc w:val="center"/>
              <w:rPr>
                <w:rFonts w:cs="Times New Roman"/>
                <w:b/>
                <w:bCs/>
                <w:sz w:val="20"/>
                <w:szCs w:val="20"/>
              </w:rPr>
            </w:pPr>
            <w:r w:rsidRPr="00113F13">
              <w:rPr>
                <w:rFonts w:cs="Times New Roman"/>
                <w:b/>
                <w:bCs/>
                <w:sz w:val="20"/>
                <w:szCs w:val="20"/>
              </w:rPr>
              <w:t>N (%)</w:t>
            </w:r>
          </w:p>
        </w:tc>
      </w:tr>
      <w:tr w:rsidR="00FF302D" w:rsidRPr="00113F13" w14:paraId="17E1CC1C" w14:textId="77777777" w:rsidTr="00A71F55">
        <w:tc>
          <w:tcPr>
            <w:tcW w:w="2122" w:type="dxa"/>
            <w:tcBorders>
              <w:top w:val="single" w:sz="4" w:space="0" w:color="auto"/>
              <w:left w:val="single" w:sz="4" w:space="0" w:color="auto"/>
              <w:right w:val="single" w:sz="4" w:space="0" w:color="auto"/>
            </w:tcBorders>
            <w:shd w:val="clear" w:color="auto" w:fill="E8E8E8" w:themeFill="background2"/>
            <w:vAlign w:val="center"/>
          </w:tcPr>
          <w:p w14:paraId="666C6430" w14:textId="77777777" w:rsidR="00FF302D" w:rsidRPr="00113F13" w:rsidRDefault="00FF302D" w:rsidP="00545E58">
            <w:pPr>
              <w:spacing w:after="160" w:line="259" w:lineRule="auto"/>
              <w:jc w:val="left"/>
              <w:rPr>
                <w:rFonts w:cs="Times New Roman"/>
                <w:sz w:val="20"/>
                <w:szCs w:val="20"/>
              </w:rPr>
            </w:pPr>
            <w:r w:rsidRPr="00113F13">
              <w:rPr>
                <w:rFonts w:cs="Times New Roman"/>
                <w:sz w:val="20"/>
                <w:szCs w:val="20"/>
              </w:rPr>
              <w:t>State government departments</w:t>
            </w:r>
          </w:p>
        </w:tc>
        <w:tc>
          <w:tcPr>
            <w:tcW w:w="1061" w:type="dxa"/>
            <w:tcBorders>
              <w:top w:val="single" w:sz="4" w:space="0" w:color="auto"/>
              <w:left w:val="single" w:sz="4" w:space="0" w:color="auto"/>
              <w:right w:val="single" w:sz="4" w:space="0" w:color="auto"/>
            </w:tcBorders>
            <w:vAlign w:val="center"/>
          </w:tcPr>
          <w:p w14:paraId="674C753A"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382 (52.5)</w:t>
            </w:r>
          </w:p>
        </w:tc>
        <w:tc>
          <w:tcPr>
            <w:tcW w:w="1061" w:type="dxa"/>
            <w:tcBorders>
              <w:top w:val="single" w:sz="4" w:space="0" w:color="auto"/>
              <w:left w:val="single" w:sz="4" w:space="0" w:color="auto"/>
              <w:right w:val="single" w:sz="4" w:space="0" w:color="auto"/>
            </w:tcBorders>
            <w:vAlign w:val="center"/>
          </w:tcPr>
          <w:p w14:paraId="7B3A3292"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344 (53.5)</w:t>
            </w:r>
          </w:p>
        </w:tc>
        <w:tc>
          <w:tcPr>
            <w:tcW w:w="1061" w:type="dxa"/>
            <w:tcBorders>
              <w:top w:val="single" w:sz="4" w:space="0" w:color="auto"/>
              <w:left w:val="single" w:sz="4" w:space="0" w:color="auto"/>
              <w:right w:val="single" w:sz="4" w:space="0" w:color="auto"/>
            </w:tcBorders>
            <w:vAlign w:val="center"/>
          </w:tcPr>
          <w:p w14:paraId="02B2F897"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378 (53)</w:t>
            </w:r>
          </w:p>
        </w:tc>
        <w:tc>
          <w:tcPr>
            <w:tcW w:w="1061" w:type="dxa"/>
            <w:tcBorders>
              <w:top w:val="single" w:sz="4" w:space="0" w:color="auto"/>
              <w:left w:val="single" w:sz="4" w:space="0" w:color="auto"/>
              <w:right w:val="single" w:sz="4" w:space="0" w:color="auto"/>
            </w:tcBorders>
            <w:vAlign w:val="center"/>
          </w:tcPr>
          <w:p w14:paraId="26F75B8D"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508 (56)</w:t>
            </w:r>
          </w:p>
        </w:tc>
        <w:tc>
          <w:tcPr>
            <w:tcW w:w="1062" w:type="dxa"/>
            <w:tcBorders>
              <w:top w:val="single" w:sz="4" w:space="0" w:color="auto"/>
              <w:left w:val="single" w:sz="4" w:space="0" w:color="auto"/>
              <w:right w:val="single" w:sz="4" w:space="0" w:color="auto"/>
            </w:tcBorders>
            <w:vAlign w:val="center"/>
          </w:tcPr>
          <w:p w14:paraId="7A7FE785" w14:textId="77777777" w:rsidR="00FF302D" w:rsidRPr="00113F13" w:rsidRDefault="00FF302D" w:rsidP="00A71F55">
            <w:pPr>
              <w:jc w:val="center"/>
              <w:rPr>
                <w:rFonts w:cs="Times New Roman"/>
                <w:sz w:val="20"/>
                <w:szCs w:val="20"/>
              </w:rPr>
            </w:pPr>
            <w:r w:rsidRPr="00113F13">
              <w:rPr>
                <w:rFonts w:cs="Times New Roman"/>
                <w:sz w:val="20"/>
                <w:szCs w:val="20"/>
              </w:rPr>
              <w:t>415 (55)</w:t>
            </w:r>
          </w:p>
        </w:tc>
      </w:tr>
      <w:tr w:rsidR="00FF302D" w:rsidRPr="00113F13" w14:paraId="15212715" w14:textId="77777777" w:rsidTr="00A71F55">
        <w:tc>
          <w:tcPr>
            <w:tcW w:w="2122" w:type="dxa"/>
            <w:tcBorders>
              <w:left w:val="single" w:sz="4" w:space="0" w:color="auto"/>
              <w:right w:val="single" w:sz="4" w:space="0" w:color="auto"/>
            </w:tcBorders>
            <w:shd w:val="clear" w:color="auto" w:fill="E8E8E8" w:themeFill="background2"/>
            <w:vAlign w:val="center"/>
          </w:tcPr>
          <w:p w14:paraId="4C600C23" w14:textId="77777777" w:rsidR="00FF302D" w:rsidRPr="00113F13" w:rsidRDefault="00FF302D" w:rsidP="00545E58">
            <w:pPr>
              <w:spacing w:after="160" w:line="259" w:lineRule="auto"/>
              <w:jc w:val="left"/>
              <w:rPr>
                <w:rFonts w:cs="Times New Roman"/>
                <w:sz w:val="20"/>
                <w:szCs w:val="20"/>
              </w:rPr>
            </w:pPr>
            <w:r w:rsidRPr="00113F13">
              <w:rPr>
                <w:rFonts w:cs="Times New Roman"/>
                <w:sz w:val="20"/>
                <w:szCs w:val="20"/>
              </w:rPr>
              <w:t>Local government</w:t>
            </w:r>
          </w:p>
        </w:tc>
        <w:tc>
          <w:tcPr>
            <w:tcW w:w="1061" w:type="dxa"/>
            <w:tcBorders>
              <w:left w:val="single" w:sz="4" w:space="0" w:color="auto"/>
              <w:right w:val="single" w:sz="4" w:space="0" w:color="auto"/>
            </w:tcBorders>
            <w:vAlign w:val="center"/>
          </w:tcPr>
          <w:p w14:paraId="1BBE7CE0"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76 (10.5)</w:t>
            </w:r>
          </w:p>
        </w:tc>
        <w:tc>
          <w:tcPr>
            <w:tcW w:w="1061" w:type="dxa"/>
            <w:tcBorders>
              <w:left w:val="single" w:sz="4" w:space="0" w:color="auto"/>
              <w:right w:val="single" w:sz="4" w:space="0" w:color="auto"/>
            </w:tcBorders>
            <w:vAlign w:val="center"/>
          </w:tcPr>
          <w:p w14:paraId="75C94EE6"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81 (12.7)</w:t>
            </w:r>
          </w:p>
        </w:tc>
        <w:tc>
          <w:tcPr>
            <w:tcW w:w="1061" w:type="dxa"/>
            <w:tcBorders>
              <w:left w:val="single" w:sz="4" w:space="0" w:color="auto"/>
              <w:right w:val="single" w:sz="4" w:space="0" w:color="auto"/>
            </w:tcBorders>
            <w:vAlign w:val="center"/>
          </w:tcPr>
          <w:p w14:paraId="46E4D03B"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77 (13)</w:t>
            </w:r>
          </w:p>
        </w:tc>
        <w:tc>
          <w:tcPr>
            <w:tcW w:w="1061" w:type="dxa"/>
            <w:tcBorders>
              <w:left w:val="single" w:sz="4" w:space="0" w:color="auto"/>
              <w:right w:val="single" w:sz="4" w:space="0" w:color="auto"/>
            </w:tcBorders>
            <w:vAlign w:val="center"/>
          </w:tcPr>
          <w:p w14:paraId="531538E1"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88 (10)</w:t>
            </w:r>
          </w:p>
        </w:tc>
        <w:tc>
          <w:tcPr>
            <w:tcW w:w="1062" w:type="dxa"/>
            <w:tcBorders>
              <w:left w:val="single" w:sz="4" w:space="0" w:color="auto"/>
              <w:right w:val="single" w:sz="4" w:space="0" w:color="auto"/>
            </w:tcBorders>
            <w:vAlign w:val="center"/>
          </w:tcPr>
          <w:p w14:paraId="7033FA95" w14:textId="77777777" w:rsidR="00FF302D" w:rsidRPr="00113F13" w:rsidRDefault="00FF302D" w:rsidP="00A71F55">
            <w:pPr>
              <w:jc w:val="center"/>
              <w:rPr>
                <w:rFonts w:cs="Times New Roman"/>
                <w:sz w:val="20"/>
                <w:szCs w:val="20"/>
              </w:rPr>
            </w:pPr>
            <w:r w:rsidRPr="00113F13">
              <w:rPr>
                <w:rFonts w:cs="Times New Roman"/>
                <w:sz w:val="20"/>
                <w:szCs w:val="20"/>
              </w:rPr>
              <w:t>74 (10)</w:t>
            </w:r>
          </w:p>
        </w:tc>
      </w:tr>
      <w:tr w:rsidR="00FF302D" w:rsidRPr="00113F13" w14:paraId="04FA5EF8" w14:textId="77777777" w:rsidTr="00A71F55">
        <w:tc>
          <w:tcPr>
            <w:tcW w:w="2122" w:type="dxa"/>
            <w:tcBorders>
              <w:left w:val="single" w:sz="4" w:space="0" w:color="auto"/>
              <w:right w:val="single" w:sz="4" w:space="0" w:color="auto"/>
            </w:tcBorders>
            <w:shd w:val="clear" w:color="auto" w:fill="E8E8E8" w:themeFill="background2"/>
            <w:vAlign w:val="center"/>
          </w:tcPr>
          <w:p w14:paraId="33E51B55" w14:textId="77777777" w:rsidR="00FF302D" w:rsidRPr="00113F13" w:rsidRDefault="00FF302D" w:rsidP="00545E58">
            <w:pPr>
              <w:spacing w:after="160" w:line="259" w:lineRule="auto"/>
              <w:jc w:val="left"/>
              <w:rPr>
                <w:rFonts w:cs="Times New Roman"/>
                <w:sz w:val="20"/>
                <w:szCs w:val="20"/>
              </w:rPr>
            </w:pPr>
            <w:r w:rsidRPr="00113F13">
              <w:rPr>
                <w:rFonts w:cs="Times New Roman"/>
                <w:sz w:val="20"/>
                <w:szCs w:val="20"/>
              </w:rPr>
              <w:t>Public authorities and GBEs</w:t>
            </w:r>
          </w:p>
        </w:tc>
        <w:tc>
          <w:tcPr>
            <w:tcW w:w="1061" w:type="dxa"/>
            <w:tcBorders>
              <w:left w:val="single" w:sz="4" w:space="0" w:color="auto"/>
              <w:right w:val="single" w:sz="4" w:space="0" w:color="auto"/>
            </w:tcBorders>
            <w:vAlign w:val="center"/>
          </w:tcPr>
          <w:p w14:paraId="77566963"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119 (16.2)</w:t>
            </w:r>
          </w:p>
        </w:tc>
        <w:tc>
          <w:tcPr>
            <w:tcW w:w="1061" w:type="dxa"/>
            <w:tcBorders>
              <w:left w:val="single" w:sz="4" w:space="0" w:color="auto"/>
              <w:right w:val="single" w:sz="4" w:space="0" w:color="auto"/>
            </w:tcBorders>
            <w:vAlign w:val="center"/>
          </w:tcPr>
          <w:p w14:paraId="4915EF2E"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66 (10.3)</w:t>
            </w:r>
          </w:p>
        </w:tc>
        <w:tc>
          <w:tcPr>
            <w:tcW w:w="1061" w:type="dxa"/>
            <w:tcBorders>
              <w:left w:val="single" w:sz="4" w:space="0" w:color="auto"/>
              <w:right w:val="single" w:sz="4" w:space="0" w:color="auto"/>
            </w:tcBorders>
            <w:vAlign w:val="center"/>
          </w:tcPr>
          <w:p w14:paraId="6985870F"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69 (10)</w:t>
            </w:r>
          </w:p>
        </w:tc>
        <w:tc>
          <w:tcPr>
            <w:tcW w:w="1061" w:type="dxa"/>
            <w:tcBorders>
              <w:left w:val="single" w:sz="4" w:space="0" w:color="auto"/>
              <w:right w:val="single" w:sz="4" w:space="0" w:color="auto"/>
            </w:tcBorders>
            <w:vAlign w:val="center"/>
          </w:tcPr>
          <w:p w14:paraId="429B3200"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93 (10)</w:t>
            </w:r>
          </w:p>
        </w:tc>
        <w:tc>
          <w:tcPr>
            <w:tcW w:w="1062" w:type="dxa"/>
            <w:tcBorders>
              <w:left w:val="single" w:sz="4" w:space="0" w:color="auto"/>
              <w:right w:val="single" w:sz="4" w:space="0" w:color="auto"/>
            </w:tcBorders>
            <w:vAlign w:val="center"/>
          </w:tcPr>
          <w:p w14:paraId="56DA04E3" w14:textId="77777777" w:rsidR="00FF302D" w:rsidRPr="00113F13" w:rsidRDefault="00FF302D" w:rsidP="00A71F55">
            <w:pPr>
              <w:jc w:val="center"/>
              <w:rPr>
                <w:rFonts w:cs="Times New Roman"/>
                <w:sz w:val="20"/>
                <w:szCs w:val="20"/>
              </w:rPr>
            </w:pPr>
            <w:r w:rsidRPr="00113F13">
              <w:rPr>
                <w:rFonts w:cs="Times New Roman"/>
                <w:sz w:val="20"/>
                <w:szCs w:val="20"/>
              </w:rPr>
              <w:t>71 (9)</w:t>
            </w:r>
          </w:p>
        </w:tc>
      </w:tr>
      <w:tr w:rsidR="00FF302D" w:rsidRPr="00113F13" w14:paraId="343827CF" w14:textId="77777777" w:rsidTr="00A71F55">
        <w:tc>
          <w:tcPr>
            <w:tcW w:w="2122" w:type="dxa"/>
            <w:tcBorders>
              <w:left w:val="single" w:sz="4" w:space="0" w:color="auto"/>
              <w:right w:val="single" w:sz="4" w:space="0" w:color="auto"/>
            </w:tcBorders>
            <w:shd w:val="clear" w:color="auto" w:fill="E8E8E8" w:themeFill="background2"/>
            <w:vAlign w:val="center"/>
          </w:tcPr>
          <w:p w14:paraId="141A1628" w14:textId="77777777" w:rsidR="00FF302D" w:rsidRPr="00113F13" w:rsidRDefault="00FF302D" w:rsidP="00545E58">
            <w:pPr>
              <w:spacing w:after="160" w:line="259" w:lineRule="auto"/>
              <w:jc w:val="left"/>
              <w:rPr>
                <w:rFonts w:cs="Times New Roman"/>
                <w:sz w:val="20"/>
                <w:szCs w:val="20"/>
              </w:rPr>
            </w:pPr>
            <w:r w:rsidRPr="00113F13">
              <w:rPr>
                <w:rFonts w:cs="Times New Roman"/>
                <w:sz w:val="20"/>
                <w:szCs w:val="20"/>
              </w:rPr>
              <w:t>Out of jurisdiction</w:t>
            </w:r>
          </w:p>
        </w:tc>
        <w:tc>
          <w:tcPr>
            <w:tcW w:w="1061" w:type="dxa"/>
            <w:tcBorders>
              <w:left w:val="single" w:sz="4" w:space="0" w:color="auto"/>
              <w:right w:val="single" w:sz="4" w:space="0" w:color="auto"/>
            </w:tcBorders>
            <w:vAlign w:val="center"/>
          </w:tcPr>
          <w:p w14:paraId="47D0A9A3"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150 (20.6)</w:t>
            </w:r>
          </w:p>
        </w:tc>
        <w:tc>
          <w:tcPr>
            <w:tcW w:w="1061" w:type="dxa"/>
            <w:tcBorders>
              <w:left w:val="single" w:sz="4" w:space="0" w:color="auto"/>
              <w:right w:val="single" w:sz="4" w:space="0" w:color="auto"/>
            </w:tcBorders>
            <w:vAlign w:val="center"/>
          </w:tcPr>
          <w:p w14:paraId="2B08B965"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131 (20.4)</w:t>
            </w:r>
          </w:p>
        </w:tc>
        <w:tc>
          <w:tcPr>
            <w:tcW w:w="1061" w:type="dxa"/>
            <w:tcBorders>
              <w:left w:val="single" w:sz="4" w:space="0" w:color="auto"/>
              <w:right w:val="single" w:sz="4" w:space="0" w:color="auto"/>
            </w:tcBorders>
            <w:vAlign w:val="center"/>
          </w:tcPr>
          <w:p w14:paraId="08BD0FBE"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170 (20)</w:t>
            </w:r>
          </w:p>
        </w:tc>
        <w:tc>
          <w:tcPr>
            <w:tcW w:w="1061" w:type="dxa"/>
            <w:tcBorders>
              <w:left w:val="single" w:sz="4" w:space="0" w:color="auto"/>
              <w:right w:val="single" w:sz="4" w:space="0" w:color="auto"/>
            </w:tcBorders>
            <w:vAlign w:val="center"/>
          </w:tcPr>
          <w:p w14:paraId="58119A67"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188 (21)</w:t>
            </w:r>
          </w:p>
        </w:tc>
        <w:tc>
          <w:tcPr>
            <w:tcW w:w="1062" w:type="dxa"/>
            <w:tcBorders>
              <w:left w:val="single" w:sz="4" w:space="0" w:color="auto"/>
              <w:right w:val="single" w:sz="4" w:space="0" w:color="auto"/>
            </w:tcBorders>
            <w:vAlign w:val="center"/>
          </w:tcPr>
          <w:p w14:paraId="365D4BF8" w14:textId="77777777" w:rsidR="00FF302D" w:rsidRPr="00113F13" w:rsidRDefault="00FF302D" w:rsidP="00A71F55">
            <w:pPr>
              <w:jc w:val="center"/>
              <w:rPr>
                <w:rFonts w:cs="Times New Roman"/>
                <w:sz w:val="20"/>
                <w:szCs w:val="20"/>
              </w:rPr>
            </w:pPr>
            <w:r w:rsidRPr="00113F13">
              <w:rPr>
                <w:rFonts w:cs="Times New Roman"/>
                <w:sz w:val="20"/>
                <w:szCs w:val="20"/>
              </w:rPr>
              <w:t>167 (22)</w:t>
            </w:r>
          </w:p>
        </w:tc>
      </w:tr>
      <w:tr w:rsidR="00FF302D" w:rsidRPr="00113F13" w14:paraId="198AE5DA" w14:textId="77777777" w:rsidTr="00A71F55">
        <w:tc>
          <w:tcPr>
            <w:tcW w:w="2122" w:type="dxa"/>
            <w:tcBorders>
              <w:left w:val="single" w:sz="4" w:space="0" w:color="auto"/>
              <w:right w:val="single" w:sz="4" w:space="0" w:color="auto"/>
            </w:tcBorders>
            <w:shd w:val="clear" w:color="auto" w:fill="E8E8E8" w:themeFill="background2"/>
            <w:vAlign w:val="center"/>
          </w:tcPr>
          <w:p w14:paraId="695C0B4F" w14:textId="77777777" w:rsidR="00FF302D" w:rsidRPr="00113F13" w:rsidRDefault="00FF302D" w:rsidP="00545E58">
            <w:pPr>
              <w:spacing w:after="160" w:line="259" w:lineRule="auto"/>
              <w:jc w:val="left"/>
              <w:rPr>
                <w:rFonts w:cs="Times New Roman"/>
                <w:sz w:val="20"/>
                <w:szCs w:val="20"/>
              </w:rPr>
            </w:pPr>
            <w:r w:rsidRPr="00113F13">
              <w:rPr>
                <w:rFonts w:cs="Times New Roman"/>
                <w:sz w:val="20"/>
                <w:szCs w:val="20"/>
              </w:rPr>
              <w:t>Personal Information Protection</w:t>
            </w:r>
          </w:p>
        </w:tc>
        <w:tc>
          <w:tcPr>
            <w:tcW w:w="1061" w:type="dxa"/>
            <w:tcBorders>
              <w:left w:val="single" w:sz="4" w:space="0" w:color="auto"/>
              <w:right w:val="single" w:sz="4" w:space="0" w:color="auto"/>
            </w:tcBorders>
            <w:vAlign w:val="center"/>
          </w:tcPr>
          <w:p w14:paraId="0B2AD11C"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4 (&lt;1)</w:t>
            </w:r>
          </w:p>
        </w:tc>
        <w:tc>
          <w:tcPr>
            <w:tcW w:w="1061" w:type="dxa"/>
            <w:tcBorders>
              <w:left w:val="single" w:sz="4" w:space="0" w:color="auto"/>
              <w:right w:val="single" w:sz="4" w:space="0" w:color="auto"/>
            </w:tcBorders>
            <w:vAlign w:val="center"/>
          </w:tcPr>
          <w:p w14:paraId="04A4D8DF"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14 (2.1)</w:t>
            </w:r>
          </w:p>
        </w:tc>
        <w:tc>
          <w:tcPr>
            <w:tcW w:w="1061" w:type="dxa"/>
            <w:tcBorders>
              <w:left w:val="single" w:sz="4" w:space="0" w:color="auto"/>
              <w:right w:val="single" w:sz="4" w:space="0" w:color="auto"/>
            </w:tcBorders>
            <w:vAlign w:val="center"/>
          </w:tcPr>
          <w:p w14:paraId="4320913E"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17 (3)</w:t>
            </w:r>
          </w:p>
        </w:tc>
        <w:tc>
          <w:tcPr>
            <w:tcW w:w="1061" w:type="dxa"/>
            <w:tcBorders>
              <w:left w:val="single" w:sz="4" w:space="0" w:color="auto"/>
              <w:right w:val="single" w:sz="4" w:space="0" w:color="auto"/>
            </w:tcBorders>
            <w:vAlign w:val="center"/>
          </w:tcPr>
          <w:p w14:paraId="5370D422"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11 (1)</w:t>
            </w:r>
          </w:p>
        </w:tc>
        <w:tc>
          <w:tcPr>
            <w:tcW w:w="1062" w:type="dxa"/>
            <w:tcBorders>
              <w:left w:val="single" w:sz="4" w:space="0" w:color="auto"/>
              <w:right w:val="single" w:sz="4" w:space="0" w:color="auto"/>
            </w:tcBorders>
            <w:vAlign w:val="center"/>
          </w:tcPr>
          <w:p w14:paraId="2A8709AC" w14:textId="77777777" w:rsidR="00FF302D" w:rsidRPr="00113F13" w:rsidRDefault="00FF302D" w:rsidP="00A71F55">
            <w:pPr>
              <w:jc w:val="center"/>
              <w:rPr>
                <w:rFonts w:cs="Times New Roman"/>
                <w:sz w:val="20"/>
                <w:szCs w:val="20"/>
              </w:rPr>
            </w:pPr>
            <w:r w:rsidRPr="00113F13">
              <w:rPr>
                <w:rFonts w:cs="Times New Roman"/>
                <w:sz w:val="20"/>
                <w:szCs w:val="20"/>
              </w:rPr>
              <w:t>19 (3)</w:t>
            </w:r>
          </w:p>
        </w:tc>
      </w:tr>
      <w:tr w:rsidR="00FF302D" w:rsidRPr="00113F13" w14:paraId="542636EE" w14:textId="77777777" w:rsidTr="00A71F55">
        <w:tc>
          <w:tcPr>
            <w:tcW w:w="2122" w:type="dxa"/>
            <w:tcBorders>
              <w:left w:val="single" w:sz="4" w:space="0" w:color="auto"/>
              <w:bottom w:val="single" w:sz="4" w:space="0" w:color="auto"/>
              <w:right w:val="single" w:sz="4" w:space="0" w:color="auto"/>
            </w:tcBorders>
            <w:shd w:val="clear" w:color="auto" w:fill="E8E8E8" w:themeFill="background2"/>
            <w:vAlign w:val="center"/>
          </w:tcPr>
          <w:p w14:paraId="00A091EC" w14:textId="77777777" w:rsidR="00FF302D" w:rsidRPr="00113F13" w:rsidRDefault="00FF302D" w:rsidP="00545E58">
            <w:pPr>
              <w:spacing w:after="160" w:line="259" w:lineRule="auto"/>
              <w:jc w:val="left"/>
              <w:rPr>
                <w:rFonts w:cs="Times New Roman"/>
                <w:sz w:val="20"/>
                <w:szCs w:val="20"/>
              </w:rPr>
            </w:pPr>
            <w:r w:rsidRPr="00113F13">
              <w:rPr>
                <w:rFonts w:cs="Times New Roman"/>
                <w:sz w:val="20"/>
                <w:szCs w:val="20"/>
              </w:rPr>
              <w:t>Public Interest Disclosure</w:t>
            </w:r>
          </w:p>
        </w:tc>
        <w:tc>
          <w:tcPr>
            <w:tcW w:w="1061" w:type="dxa"/>
            <w:tcBorders>
              <w:left w:val="single" w:sz="4" w:space="0" w:color="auto"/>
              <w:bottom w:val="single" w:sz="4" w:space="0" w:color="auto"/>
              <w:right w:val="single" w:sz="4" w:space="0" w:color="auto"/>
            </w:tcBorders>
            <w:vAlign w:val="center"/>
          </w:tcPr>
          <w:p w14:paraId="2B0AC747"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4 (&lt;1)</w:t>
            </w:r>
          </w:p>
        </w:tc>
        <w:tc>
          <w:tcPr>
            <w:tcW w:w="1061" w:type="dxa"/>
            <w:tcBorders>
              <w:left w:val="single" w:sz="4" w:space="0" w:color="auto"/>
              <w:bottom w:val="single" w:sz="4" w:space="0" w:color="auto"/>
              <w:right w:val="single" w:sz="4" w:space="0" w:color="auto"/>
            </w:tcBorders>
            <w:vAlign w:val="center"/>
          </w:tcPr>
          <w:p w14:paraId="578BBFA4"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6 (1)</w:t>
            </w:r>
          </w:p>
        </w:tc>
        <w:tc>
          <w:tcPr>
            <w:tcW w:w="1061" w:type="dxa"/>
            <w:tcBorders>
              <w:left w:val="single" w:sz="4" w:space="0" w:color="auto"/>
              <w:bottom w:val="single" w:sz="4" w:space="0" w:color="auto"/>
              <w:right w:val="single" w:sz="4" w:space="0" w:color="auto"/>
            </w:tcBorders>
            <w:vAlign w:val="center"/>
          </w:tcPr>
          <w:p w14:paraId="2743DB8C"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4 (1)</w:t>
            </w:r>
          </w:p>
        </w:tc>
        <w:tc>
          <w:tcPr>
            <w:tcW w:w="1061" w:type="dxa"/>
            <w:tcBorders>
              <w:left w:val="single" w:sz="4" w:space="0" w:color="auto"/>
              <w:bottom w:val="single" w:sz="4" w:space="0" w:color="auto"/>
              <w:right w:val="single" w:sz="4" w:space="0" w:color="auto"/>
            </w:tcBorders>
            <w:vAlign w:val="center"/>
          </w:tcPr>
          <w:p w14:paraId="714A474C" w14:textId="77777777" w:rsidR="00FF302D" w:rsidRPr="00113F13" w:rsidRDefault="00FF302D" w:rsidP="00A71F55">
            <w:pPr>
              <w:spacing w:after="160" w:line="259" w:lineRule="auto"/>
              <w:jc w:val="center"/>
              <w:rPr>
                <w:rFonts w:cs="Times New Roman"/>
                <w:sz w:val="20"/>
                <w:szCs w:val="20"/>
              </w:rPr>
            </w:pPr>
            <w:r w:rsidRPr="00113F13">
              <w:rPr>
                <w:rFonts w:cs="Times New Roman"/>
                <w:sz w:val="20"/>
                <w:szCs w:val="20"/>
              </w:rPr>
              <w:t>19 (2)</w:t>
            </w:r>
          </w:p>
        </w:tc>
        <w:tc>
          <w:tcPr>
            <w:tcW w:w="1062" w:type="dxa"/>
            <w:tcBorders>
              <w:left w:val="single" w:sz="4" w:space="0" w:color="auto"/>
              <w:bottom w:val="single" w:sz="4" w:space="0" w:color="auto"/>
              <w:right w:val="single" w:sz="4" w:space="0" w:color="auto"/>
            </w:tcBorders>
            <w:vAlign w:val="center"/>
          </w:tcPr>
          <w:p w14:paraId="499E2CB7" w14:textId="77777777" w:rsidR="00FF302D" w:rsidRPr="00113F13" w:rsidRDefault="00FF302D" w:rsidP="00A71F55">
            <w:pPr>
              <w:jc w:val="center"/>
              <w:rPr>
                <w:rFonts w:cs="Times New Roman"/>
                <w:sz w:val="20"/>
                <w:szCs w:val="20"/>
              </w:rPr>
            </w:pPr>
            <w:r w:rsidRPr="00113F13">
              <w:rPr>
                <w:rFonts w:cs="Times New Roman"/>
                <w:sz w:val="20"/>
                <w:szCs w:val="20"/>
              </w:rPr>
              <w:t>10 (1)</w:t>
            </w:r>
          </w:p>
        </w:tc>
      </w:tr>
      <w:tr w:rsidR="00FF302D" w:rsidRPr="00113F13" w14:paraId="37858995" w14:textId="77777777" w:rsidTr="00A71F55">
        <w:tc>
          <w:tcPr>
            <w:tcW w:w="212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916291E" w14:textId="77777777" w:rsidR="00FF302D" w:rsidRPr="00113F13" w:rsidRDefault="00FF302D" w:rsidP="00EA22F8">
            <w:pPr>
              <w:spacing w:before="120" w:after="120" w:line="259" w:lineRule="auto"/>
              <w:rPr>
                <w:rFonts w:cs="Times New Roman"/>
                <w:b/>
                <w:bCs/>
                <w:sz w:val="20"/>
                <w:szCs w:val="20"/>
              </w:rPr>
            </w:pPr>
            <w:r w:rsidRPr="00113F13">
              <w:rPr>
                <w:rFonts w:cs="Times New Roman"/>
                <w:b/>
                <w:bCs/>
                <w:sz w:val="20"/>
                <w:szCs w:val="20"/>
              </w:rPr>
              <w:t>Total</w:t>
            </w:r>
          </w:p>
        </w:tc>
        <w:tc>
          <w:tcPr>
            <w:tcW w:w="1061" w:type="dxa"/>
            <w:tcBorders>
              <w:top w:val="single" w:sz="4" w:space="0" w:color="auto"/>
              <w:left w:val="single" w:sz="4" w:space="0" w:color="auto"/>
              <w:bottom w:val="single" w:sz="4" w:space="0" w:color="auto"/>
              <w:right w:val="single" w:sz="4" w:space="0" w:color="auto"/>
            </w:tcBorders>
            <w:vAlign w:val="center"/>
          </w:tcPr>
          <w:p w14:paraId="423449E0"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735 (100)</w:t>
            </w:r>
          </w:p>
        </w:tc>
        <w:tc>
          <w:tcPr>
            <w:tcW w:w="1061" w:type="dxa"/>
            <w:tcBorders>
              <w:top w:val="single" w:sz="4" w:space="0" w:color="auto"/>
              <w:left w:val="single" w:sz="4" w:space="0" w:color="auto"/>
              <w:bottom w:val="single" w:sz="4" w:space="0" w:color="auto"/>
              <w:right w:val="single" w:sz="4" w:space="0" w:color="auto"/>
            </w:tcBorders>
            <w:vAlign w:val="center"/>
          </w:tcPr>
          <w:p w14:paraId="6B02F861"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642 (100)</w:t>
            </w:r>
          </w:p>
        </w:tc>
        <w:tc>
          <w:tcPr>
            <w:tcW w:w="1061" w:type="dxa"/>
            <w:tcBorders>
              <w:top w:val="single" w:sz="4" w:space="0" w:color="auto"/>
              <w:left w:val="single" w:sz="4" w:space="0" w:color="auto"/>
              <w:bottom w:val="single" w:sz="4" w:space="0" w:color="auto"/>
              <w:right w:val="single" w:sz="4" w:space="0" w:color="auto"/>
            </w:tcBorders>
            <w:vAlign w:val="center"/>
          </w:tcPr>
          <w:p w14:paraId="6BFF918E"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715 (100)</w:t>
            </w:r>
          </w:p>
        </w:tc>
        <w:tc>
          <w:tcPr>
            <w:tcW w:w="1061" w:type="dxa"/>
            <w:tcBorders>
              <w:top w:val="single" w:sz="4" w:space="0" w:color="auto"/>
              <w:left w:val="single" w:sz="4" w:space="0" w:color="auto"/>
              <w:bottom w:val="single" w:sz="4" w:space="0" w:color="auto"/>
              <w:right w:val="single" w:sz="4" w:space="0" w:color="auto"/>
            </w:tcBorders>
            <w:vAlign w:val="center"/>
          </w:tcPr>
          <w:p w14:paraId="467FD937" w14:textId="77777777" w:rsidR="00FF302D" w:rsidRPr="00113F13" w:rsidRDefault="00FF302D" w:rsidP="00A71F55">
            <w:pPr>
              <w:spacing w:before="120" w:after="120" w:line="259" w:lineRule="auto"/>
              <w:jc w:val="center"/>
              <w:rPr>
                <w:rFonts w:cs="Times New Roman"/>
                <w:b/>
                <w:bCs/>
                <w:sz w:val="20"/>
                <w:szCs w:val="20"/>
              </w:rPr>
            </w:pPr>
            <w:r w:rsidRPr="00113F13">
              <w:rPr>
                <w:rFonts w:cs="Times New Roman"/>
                <w:b/>
                <w:bCs/>
                <w:sz w:val="20"/>
                <w:szCs w:val="20"/>
              </w:rPr>
              <w:t>907 (100)</w:t>
            </w:r>
          </w:p>
        </w:tc>
        <w:tc>
          <w:tcPr>
            <w:tcW w:w="1062" w:type="dxa"/>
            <w:tcBorders>
              <w:top w:val="single" w:sz="4" w:space="0" w:color="auto"/>
              <w:left w:val="single" w:sz="4" w:space="0" w:color="auto"/>
              <w:bottom w:val="single" w:sz="4" w:space="0" w:color="auto"/>
              <w:right w:val="single" w:sz="4" w:space="0" w:color="auto"/>
            </w:tcBorders>
            <w:vAlign w:val="center"/>
          </w:tcPr>
          <w:p w14:paraId="31BCEAB9" w14:textId="77777777" w:rsidR="00FF302D" w:rsidRPr="00113F13" w:rsidRDefault="00FF302D" w:rsidP="00A71F55">
            <w:pPr>
              <w:spacing w:before="120" w:after="120"/>
              <w:jc w:val="center"/>
              <w:rPr>
                <w:rFonts w:cs="Times New Roman"/>
                <w:b/>
                <w:bCs/>
                <w:sz w:val="20"/>
                <w:szCs w:val="20"/>
              </w:rPr>
            </w:pPr>
            <w:r w:rsidRPr="00113F13">
              <w:rPr>
                <w:rFonts w:cs="Times New Roman"/>
                <w:b/>
                <w:bCs/>
                <w:sz w:val="20"/>
                <w:szCs w:val="20"/>
              </w:rPr>
              <w:t>756 (100)</w:t>
            </w:r>
          </w:p>
        </w:tc>
      </w:tr>
    </w:tbl>
    <w:p w14:paraId="149F2607" w14:textId="77777777" w:rsidR="00FF302D" w:rsidRPr="00113F13" w:rsidRDefault="00FF302D" w:rsidP="0022429F">
      <w:pPr>
        <w:pStyle w:val="Sub-HeadingTLRI"/>
      </w:pPr>
      <w:bookmarkStart w:id="850" w:name="_Toc91536660"/>
      <w:bookmarkStart w:id="851" w:name="_Toc164606682"/>
      <w:bookmarkEnd w:id="850"/>
      <w:r w:rsidRPr="00113F13">
        <w:t>The appeals process</w:t>
      </w:r>
      <w:bookmarkEnd w:id="851"/>
    </w:p>
    <w:p w14:paraId="388295D0" w14:textId="1757BAC3" w:rsidR="00FF302D" w:rsidRPr="00113F13" w:rsidRDefault="00FF302D" w:rsidP="00B63604">
      <w:pPr>
        <w:pStyle w:val="NormalNumberedTextTLRI"/>
        <w:numPr>
          <w:ilvl w:val="2"/>
          <w:numId w:val="31"/>
        </w:numPr>
        <w:tabs>
          <w:tab w:val="clear" w:pos="720"/>
        </w:tabs>
        <w:spacing w:line="259" w:lineRule="auto"/>
      </w:pPr>
      <w:r w:rsidRPr="00113F13">
        <w:t xml:space="preserve">The PIPA does not make provision </w:t>
      </w:r>
      <w:bookmarkStart w:id="852" w:name="_Ref91827370"/>
      <w:r w:rsidRPr="00113F13">
        <w:t>for an individual to seek merits review at the Tasmanian Civil and Administrative Tribunal (‘TasCAT’),</w:t>
      </w:r>
      <w:r w:rsidR="007743B8">
        <w:t xml:space="preserve"> </w:t>
      </w:r>
      <w:r w:rsidRPr="00113F13">
        <w:t>if they are dissatisfied with the actions or recommendations of the Ombudsman in response to a PIPA complaint.</w:t>
      </w:r>
      <w:bookmarkEnd w:id="852"/>
      <w:r w:rsidRPr="00113F13">
        <w:t xml:space="preserve"> Judicial review of findings made by the Ombudsman in relation to PIPA will be available in the Supreme Court of Tasmania.</w:t>
      </w:r>
      <w:r w:rsidRPr="00113F13">
        <w:rPr>
          <w:rStyle w:val="FootnoteReference"/>
          <w:rFonts w:ascii="Times New Roman" w:hAnsi="Times New Roman"/>
        </w:rPr>
        <w:footnoteReference w:id="747"/>
      </w:r>
    </w:p>
    <w:p w14:paraId="04BA1A0B" w14:textId="77777777" w:rsidR="00FF302D" w:rsidRPr="00113F13" w:rsidRDefault="00FF302D" w:rsidP="0022429F">
      <w:pPr>
        <w:pStyle w:val="Sub-HeadingTLRI"/>
      </w:pPr>
      <w:bookmarkStart w:id="853" w:name="_Toc164606683"/>
      <w:r w:rsidRPr="00113F13">
        <w:t>Own-motion investigations</w:t>
      </w:r>
      <w:bookmarkEnd w:id="853"/>
    </w:p>
    <w:p w14:paraId="7285C46D" w14:textId="77777777" w:rsidR="00FF302D" w:rsidRPr="00BE2B51" w:rsidRDefault="00FF302D" w:rsidP="00B63604">
      <w:pPr>
        <w:pStyle w:val="NormalNumberedTextTLRI"/>
        <w:numPr>
          <w:ilvl w:val="2"/>
          <w:numId w:val="31"/>
        </w:numPr>
        <w:tabs>
          <w:tab w:val="clear" w:pos="720"/>
        </w:tabs>
        <w:spacing w:line="259" w:lineRule="auto"/>
      </w:pPr>
      <w:bookmarkStart w:id="854" w:name="_Ref157699075"/>
      <w:r w:rsidRPr="00113F13">
        <w:t xml:space="preserve">The Ombudsman can initiate an own motion investigation into administrative action taken by public authorities and government contractors, including information handling practices, under the </w:t>
      </w:r>
      <w:r w:rsidRPr="00113F13">
        <w:rPr>
          <w:i/>
          <w:iCs/>
        </w:rPr>
        <w:t>Ombudsman Act</w:t>
      </w:r>
      <w:r w:rsidRPr="00113F13">
        <w:t xml:space="preserve"> </w:t>
      </w:r>
      <w:r w:rsidRPr="00113F13">
        <w:rPr>
          <w:i/>
          <w:iCs/>
        </w:rPr>
        <w:t xml:space="preserve">1978 </w:t>
      </w:r>
      <w:r w:rsidRPr="00113F13">
        <w:t>(Tas).</w:t>
      </w:r>
      <w:r w:rsidRPr="00113F13">
        <w:rPr>
          <w:rStyle w:val="FootnoteReference"/>
          <w:rFonts w:ascii="Times New Roman" w:hAnsi="Times New Roman"/>
        </w:rPr>
        <w:footnoteReference w:id="748"/>
      </w:r>
      <w:r w:rsidRPr="00113F13">
        <w:rPr>
          <w:rStyle w:val="FootnoteReference"/>
          <w:rFonts w:ascii="Times New Roman" w:hAnsi="Times New Roman"/>
        </w:rPr>
        <w:t xml:space="preserve">  </w:t>
      </w:r>
      <w:r w:rsidRPr="00113F13">
        <w:t xml:space="preserve">This appears to include powers of the Ombudsman to initiate own-motion investigations under the </w:t>
      </w:r>
      <w:r w:rsidRPr="00BE2B51">
        <w:t>PIPA</w:t>
      </w:r>
      <w:r w:rsidRPr="00EA22F8">
        <w:t>, although this is not made clear in the PIPA itself</w:t>
      </w:r>
      <w:r w:rsidRPr="00BE2B51">
        <w:t>.</w:t>
      </w:r>
      <w:r w:rsidRPr="00BE2B51">
        <w:rPr>
          <w:rStyle w:val="FootnoteReference"/>
          <w:rFonts w:ascii="Times New Roman" w:hAnsi="Times New Roman"/>
        </w:rPr>
        <w:footnoteReference w:id="749"/>
      </w:r>
      <w:bookmarkEnd w:id="854"/>
      <w:r w:rsidRPr="00BE2B51">
        <w:t xml:space="preserve"> </w:t>
      </w:r>
    </w:p>
    <w:p w14:paraId="10CD7ECA" w14:textId="77777777" w:rsidR="00FF302D" w:rsidRPr="00113F13" w:rsidRDefault="00FF302D" w:rsidP="0022429F">
      <w:pPr>
        <w:pStyle w:val="Sub-HeadingTLRI"/>
      </w:pPr>
      <w:bookmarkStart w:id="855" w:name="_Toc91832006"/>
      <w:bookmarkStart w:id="856" w:name="_Toc130540440"/>
      <w:bookmarkStart w:id="857" w:name="_Toc164606684"/>
      <w:r w:rsidRPr="00113F13">
        <w:t>Remedies for breach of privacy</w:t>
      </w:r>
      <w:bookmarkEnd w:id="855"/>
      <w:bookmarkEnd w:id="856"/>
      <w:bookmarkEnd w:id="857"/>
      <w:r w:rsidRPr="00113F13">
        <w:t xml:space="preserve"> </w:t>
      </w:r>
    </w:p>
    <w:p w14:paraId="3685C228" w14:textId="77777777" w:rsidR="00FF302D" w:rsidRPr="00113F13" w:rsidRDefault="00FF302D" w:rsidP="00B63604">
      <w:pPr>
        <w:pStyle w:val="NormalNumberedTextTLRI"/>
        <w:numPr>
          <w:ilvl w:val="2"/>
          <w:numId w:val="31"/>
        </w:numPr>
        <w:tabs>
          <w:tab w:val="clear" w:pos="720"/>
        </w:tabs>
        <w:spacing w:line="259" w:lineRule="auto"/>
      </w:pPr>
      <w:bookmarkStart w:id="858" w:name="_Ref91827433"/>
      <w:r w:rsidRPr="00113F13">
        <w:t>The PIPA does not empower the Ombudsman to make orders for compensation for a breach of the PIPPs,</w:t>
      </w:r>
      <w:bookmarkEnd w:id="858"/>
      <w:r w:rsidRPr="00113F13">
        <w:t xml:space="preserve"> nor does the PIPA provide </w:t>
      </w:r>
      <w:bookmarkStart w:id="859" w:name="_Ref91827540"/>
      <w:r w:rsidRPr="00113F13">
        <w:t>for any penalties when a PIPP is breached.</w:t>
      </w:r>
      <w:bookmarkEnd w:id="859"/>
    </w:p>
    <w:p w14:paraId="2CE34A9A" w14:textId="77777777" w:rsidR="00BE2B51" w:rsidRPr="00EA22F8" w:rsidRDefault="00BE2B51" w:rsidP="00EA22F8"/>
    <w:p w14:paraId="447649E7" w14:textId="20D76623" w:rsidR="00FF302D" w:rsidRPr="00113F13" w:rsidRDefault="00FF302D" w:rsidP="0022429F">
      <w:pPr>
        <w:pStyle w:val="Headingunnumbered"/>
        <w:rPr>
          <w:rFonts w:cs="Times New Roman"/>
          <w:szCs w:val="18"/>
        </w:rPr>
      </w:pPr>
      <w:bookmarkStart w:id="860" w:name="_Toc164606685"/>
      <w:r w:rsidRPr="00113F13">
        <w:rPr>
          <w:rFonts w:cs="Times New Roman"/>
        </w:rPr>
        <w:lastRenderedPageBreak/>
        <w:t>The position in other jurisdictions</w:t>
      </w:r>
      <w:bookmarkEnd w:id="860"/>
    </w:p>
    <w:p w14:paraId="08FE06CD" w14:textId="77777777" w:rsidR="00FF302D" w:rsidRPr="00113F13" w:rsidRDefault="00FF302D" w:rsidP="0022429F">
      <w:pPr>
        <w:pStyle w:val="Sub-HeadingTLRI"/>
        <w:spacing w:before="0"/>
      </w:pPr>
      <w:bookmarkStart w:id="861" w:name="_Toc164606686"/>
      <w:r w:rsidRPr="00113F13">
        <w:t>The complaints process</w:t>
      </w:r>
      <w:bookmarkEnd w:id="861"/>
    </w:p>
    <w:p w14:paraId="14579ED2" w14:textId="460302D6" w:rsidR="00FF302D" w:rsidRPr="00113F13" w:rsidRDefault="00FF302D" w:rsidP="00B63604">
      <w:pPr>
        <w:pStyle w:val="NormalNumberedTextTLRI"/>
        <w:numPr>
          <w:ilvl w:val="2"/>
          <w:numId w:val="31"/>
        </w:numPr>
        <w:tabs>
          <w:tab w:val="clear" w:pos="720"/>
        </w:tabs>
        <w:spacing w:line="259" w:lineRule="auto"/>
      </w:pPr>
      <w:r w:rsidRPr="00113F13">
        <w:t>Like the PIPA, information privacy legislation in other Australian States and Territories establishes complaint mechanisms for breaches. In some jurisdictions, the legislation establishes a privacy-specific office-holder, such as the New South Wales Privacy Commissioner (‘NSWPC’), who is responsible for dealing with complaints, among a range of other functions.</w:t>
      </w:r>
      <w:r w:rsidRPr="00113F13">
        <w:rPr>
          <w:rStyle w:val="FootnoteReference"/>
          <w:rFonts w:ascii="Times New Roman" w:hAnsi="Times New Roman"/>
        </w:rPr>
        <w:footnoteReference w:id="750"/>
      </w:r>
      <w:r w:rsidRPr="00113F13">
        <w:t xml:space="preserve"> In other jurisdictions, such as Victoria and Queensland, one office-holder—the Victorian Information Commissioner (‘VIC’) and the Queensland Information Commissioner (‘QIC’), respectively—is responsible for privacy and other areas of law relating to information and/or public administration, such as freedom of information.</w:t>
      </w:r>
      <w:r w:rsidRPr="00113F13">
        <w:rPr>
          <w:rStyle w:val="FootnoteReference"/>
          <w:rFonts w:ascii="Times New Roman" w:hAnsi="Times New Roman"/>
        </w:rPr>
        <w:footnoteReference w:id="751"/>
      </w:r>
    </w:p>
    <w:p w14:paraId="0074A88C" w14:textId="77777777" w:rsidR="00FF302D" w:rsidRPr="00113F13" w:rsidRDefault="00FF302D" w:rsidP="00B63604">
      <w:pPr>
        <w:pStyle w:val="NormalNumberedTextTLRI"/>
        <w:numPr>
          <w:ilvl w:val="2"/>
          <w:numId w:val="31"/>
        </w:numPr>
        <w:tabs>
          <w:tab w:val="clear" w:pos="720"/>
        </w:tabs>
        <w:spacing w:line="259" w:lineRule="auto"/>
      </w:pPr>
      <w:r w:rsidRPr="00113F13">
        <w:t>The legislation in other jurisdictions provides ways for an individual to initiate a review of a potential breach which are broadly like those available under Tasmania’s PIPA;</w:t>
      </w:r>
      <w:r w:rsidRPr="00113F13">
        <w:rPr>
          <w:rStyle w:val="FootnoteReference"/>
          <w:rFonts w:ascii="Times New Roman" w:hAnsi="Times New Roman"/>
        </w:rPr>
        <w:footnoteReference w:id="752"/>
      </w:r>
      <w:r w:rsidRPr="00113F13">
        <w:t xml:space="preserve"> for example</w:t>
      </w:r>
    </w:p>
    <w:p w14:paraId="1672B690" w14:textId="411A21F3" w:rsidR="00FF302D" w:rsidRPr="00EA22F8" w:rsidRDefault="00FF302D" w:rsidP="0022429F">
      <w:pPr>
        <w:pStyle w:val="DotPointTLRI"/>
      </w:pPr>
      <w:r w:rsidRPr="00A023F4">
        <w:t>At the Commonwealth level, the Information Commissioner (‘the Commissioner’) is responsible for handling individuals’ complaints about interferences with their privacy.</w:t>
      </w:r>
      <w:r w:rsidRPr="00A023F4">
        <w:rPr>
          <w:vertAlign w:val="superscript"/>
        </w:rPr>
        <w:footnoteReference w:id="753"/>
      </w:r>
      <w:r w:rsidRPr="00A023F4">
        <w:t xml:space="preserve"> The Commissioner must investigate complaints about acts or practices that ‘may be an interference’ with privacy, but generally only if the complainant has first complained to the respondent directly.</w:t>
      </w:r>
      <w:r w:rsidRPr="00A023F4">
        <w:rPr>
          <w:vertAlign w:val="superscript"/>
        </w:rPr>
        <w:footnoteReference w:id="754"/>
      </w:r>
      <w:r w:rsidRPr="00A023F4">
        <w:t xml:space="preserve"> The Commissioner must make a reasonable attempt to conciliate a complaint where they consider it reasonably possible the conciliation may be successful.</w:t>
      </w:r>
      <w:r w:rsidRPr="00A023F4">
        <w:rPr>
          <w:vertAlign w:val="superscript"/>
        </w:rPr>
        <w:footnoteReference w:id="755"/>
      </w:r>
      <w:r w:rsidRPr="00A023F4">
        <w:rPr>
          <w:vertAlign w:val="superscript"/>
        </w:rPr>
        <w:t xml:space="preserve"> </w:t>
      </w:r>
      <w:r w:rsidRPr="00A023F4">
        <w:t xml:space="preserve">After an investigation, the Commissioner may either dismiss the complaint or determine that the complaint is substantiated and make a declaration </w:t>
      </w:r>
      <w:r w:rsidRPr="00EA22F8">
        <w:t>(discussed below at [</w:t>
      </w:r>
      <w:r w:rsidRPr="00A023F4">
        <w:rPr>
          <w:szCs w:val="22"/>
        </w:rPr>
        <w:fldChar w:fldCharType="begin"/>
      </w:r>
      <w:r w:rsidRPr="00A023F4">
        <w:rPr>
          <w:szCs w:val="22"/>
        </w:rPr>
        <w:instrText xml:space="preserve"> REF _Ref151652648 \r \h  \* MERGEFORMAT </w:instrText>
      </w:r>
      <w:r w:rsidRPr="00A023F4">
        <w:rPr>
          <w:szCs w:val="22"/>
        </w:rPr>
      </w:r>
      <w:r w:rsidRPr="00A023F4">
        <w:rPr>
          <w:szCs w:val="22"/>
        </w:rPr>
        <w:fldChar w:fldCharType="separate"/>
      </w:r>
      <w:r w:rsidR="00462C30" w:rsidRPr="00462C30">
        <w:rPr>
          <w:cs/>
        </w:rPr>
        <w:t>‎</w:t>
      </w:r>
      <w:r w:rsidR="00462C30">
        <w:rPr>
          <w:szCs w:val="22"/>
        </w:rPr>
        <w:t>8.2.23</w:t>
      </w:r>
      <w:r w:rsidRPr="00A023F4">
        <w:rPr>
          <w:szCs w:val="22"/>
        </w:rPr>
        <w:fldChar w:fldCharType="end"/>
      </w:r>
      <w:r w:rsidRPr="00EA22F8">
        <w:t>]).</w:t>
      </w:r>
      <w:r w:rsidRPr="00EA22F8">
        <w:rPr>
          <w:rStyle w:val="FootnoteReference"/>
          <w:rFonts w:ascii="Times New Roman" w:hAnsi="Times New Roman"/>
        </w:rPr>
        <w:footnoteReference w:id="756"/>
      </w:r>
    </w:p>
    <w:p w14:paraId="49D27287" w14:textId="77777777" w:rsidR="00FF302D" w:rsidRPr="00113F13" w:rsidRDefault="00FF302D" w:rsidP="0022429F">
      <w:pPr>
        <w:pStyle w:val="DotPointTLRI"/>
      </w:pPr>
      <w:r w:rsidRPr="00A023F4">
        <w:t>In Victoria, complainants can make a complaint to the VIC if they have previously made a complaint to the organisation the subject of the complaint.</w:t>
      </w:r>
      <w:r w:rsidRPr="00A023F4">
        <w:rPr>
          <w:rStyle w:val="FootnoteReference"/>
          <w:rFonts w:ascii="Times New Roman" w:hAnsi="Times New Roman"/>
        </w:rPr>
        <w:footnoteReference w:id="757"/>
      </w:r>
      <w:r w:rsidRPr="00A023F4">
        <w:t xml:space="preserve"> If the VIC decides to entertain</w:t>
      </w:r>
      <w:r w:rsidRPr="00113F13">
        <w:t xml:space="preserve"> the complaint and considers it reasonably possible the complaint may be conciliated successfully, it must attempt to resolve it through conciliation.</w:t>
      </w:r>
      <w:r w:rsidRPr="082BF74E">
        <w:rPr>
          <w:rStyle w:val="FootnoteReference"/>
          <w:rFonts w:ascii="Times New Roman" w:hAnsi="Times New Roman"/>
        </w:rPr>
        <w:footnoteReference w:id="758"/>
      </w:r>
      <w:r w:rsidRPr="00113F13">
        <w:t xml:space="preserve"> If conciliation is successful, the outcome may, at the request of any party, be formalised in a written agreement.</w:t>
      </w:r>
      <w:r w:rsidRPr="082BF74E">
        <w:rPr>
          <w:rStyle w:val="FootnoteReference"/>
          <w:rFonts w:ascii="Times New Roman" w:hAnsi="Times New Roman"/>
        </w:rPr>
        <w:footnoteReference w:id="759"/>
      </w:r>
    </w:p>
    <w:p w14:paraId="29807D93" w14:textId="77777777" w:rsidR="00FF302D" w:rsidRPr="00113F13" w:rsidRDefault="00FF302D" w:rsidP="0022429F">
      <w:pPr>
        <w:pStyle w:val="DotPointTLRI"/>
      </w:pPr>
      <w:r w:rsidRPr="00113F13">
        <w:rPr>
          <w:lang w:val="en-US"/>
        </w:rPr>
        <w:t>In NSW, complaints may be made to (or by) the NSWPC about alleged violations of, or interference with, an individual’s privacy.</w:t>
      </w:r>
      <w:r w:rsidRPr="082BF74E">
        <w:rPr>
          <w:rStyle w:val="FootnoteReference"/>
          <w:rFonts w:ascii="Times New Roman" w:hAnsi="Times New Roman"/>
          <w:lang w:val="en-US"/>
        </w:rPr>
        <w:footnoteReference w:id="760"/>
      </w:r>
      <w:r w:rsidRPr="00113F13">
        <w:rPr>
          <w:lang w:val="en-US"/>
        </w:rPr>
        <w:t xml:space="preserve"> Complaints about certain conduct, including contraventions of an information protection principle, may alternatively be subject to ‘internal review’ by the public sector agency.</w:t>
      </w:r>
      <w:r w:rsidRPr="082BF74E">
        <w:rPr>
          <w:rStyle w:val="FootnoteReference"/>
          <w:rFonts w:ascii="Times New Roman" w:hAnsi="Times New Roman"/>
          <w:lang w:val="en-US"/>
        </w:rPr>
        <w:footnoteReference w:id="761"/>
      </w:r>
      <w:r w:rsidRPr="00113F13">
        <w:rPr>
          <w:lang w:val="en-US"/>
        </w:rPr>
        <w:t xml:space="preserve"> The NSWPC may decline to investigate a complaint about such conduct, if </w:t>
      </w:r>
      <w:r w:rsidRPr="00113F13">
        <w:t xml:space="preserve">it would be more appropriate for the complainant to make the application </w:t>
      </w:r>
      <w:r w:rsidRPr="00113F13">
        <w:lastRenderedPageBreak/>
        <w:t>directly to the agency.</w:t>
      </w:r>
      <w:r w:rsidRPr="082BF74E">
        <w:rPr>
          <w:rStyle w:val="FootnoteReference"/>
          <w:rFonts w:ascii="Times New Roman" w:hAnsi="Times New Roman"/>
          <w:lang w:val="en-US"/>
        </w:rPr>
        <w:footnoteReference w:id="762"/>
      </w:r>
      <w:r w:rsidRPr="00113F13">
        <w:rPr>
          <w:lang w:val="en-US"/>
        </w:rPr>
        <w:t xml:space="preserve"> Following a request for internal review, t</w:t>
      </w:r>
      <w:r w:rsidRPr="00113F13">
        <w:t>he NSWPC must be informed of the review and may make submissions or carry out the review at the request of the agency.</w:t>
      </w:r>
      <w:r w:rsidRPr="082BF74E">
        <w:rPr>
          <w:rStyle w:val="FootnoteReference"/>
          <w:rFonts w:ascii="Times New Roman" w:hAnsi="Times New Roman"/>
        </w:rPr>
        <w:footnoteReference w:id="763"/>
      </w:r>
      <w:r w:rsidRPr="00113F13">
        <w:t xml:space="preserve"> The NSWPC is required to ‘endeavour to resolve’ complaints via conciliation.</w:t>
      </w:r>
      <w:r w:rsidRPr="082BF74E">
        <w:rPr>
          <w:rStyle w:val="FootnoteReference"/>
          <w:rFonts w:ascii="Times New Roman" w:hAnsi="Times New Roman"/>
        </w:rPr>
        <w:footnoteReference w:id="764"/>
      </w:r>
    </w:p>
    <w:p w14:paraId="415E2800" w14:textId="77777777" w:rsidR="00FF302D" w:rsidRPr="00113F13" w:rsidRDefault="00FF302D" w:rsidP="0022429F">
      <w:pPr>
        <w:pStyle w:val="DotPointTLRI"/>
      </w:pPr>
      <w:r w:rsidRPr="00113F13">
        <w:t>In Queensland, individuals may make privacy complaints about a relevant entity to the QIC after they have first complained to an appropriate person within the entity.</w:t>
      </w:r>
      <w:r w:rsidRPr="00113F13">
        <w:rPr>
          <w:rStyle w:val="FootnoteReference"/>
          <w:rFonts w:ascii="Times New Roman" w:hAnsi="Times New Roman"/>
        </w:rPr>
        <w:footnoteReference w:id="765"/>
      </w:r>
      <w:r w:rsidRPr="00113F13">
        <w:t xml:space="preserve"> The QIC must take all reasonable steps to cause a complaint to be mediated if they consider mediation could resolve the complaint.</w:t>
      </w:r>
      <w:r w:rsidRPr="00113F13">
        <w:rPr>
          <w:rStyle w:val="FootnoteReference"/>
          <w:rFonts w:ascii="Times New Roman" w:hAnsi="Times New Roman"/>
        </w:rPr>
        <w:footnoteReference w:id="766"/>
      </w:r>
      <w:r w:rsidRPr="00113F13">
        <w:t xml:space="preserve"> Certain decisions made under the Queensland legislation are ‘reviewable decisions’, including a decision that an access or amendment application is outside the scope of the Act, a decision that an access or amendment application does not comply with application requirements, and a decision to refuse to deal with an access or amendment application, among others.</w:t>
      </w:r>
      <w:r w:rsidRPr="00113F13">
        <w:rPr>
          <w:rStyle w:val="FootnoteReference"/>
          <w:rFonts w:ascii="Times New Roman" w:hAnsi="Times New Roman"/>
        </w:rPr>
        <w:footnoteReference w:id="767"/>
      </w:r>
      <w:r w:rsidRPr="00113F13">
        <w:t xml:space="preserve"> A person affected by a reviewable decision can apply to:</w:t>
      </w:r>
    </w:p>
    <w:p w14:paraId="5431594C" w14:textId="77777777" w:rsidR="00FF302D" w:rsidRPr="00113F13" w:rsidRDefault="00FF302D" w:rsidP="00B63604">
      <w:pPr>
        <w:pStyle w:val="DotPointTLRI"/>
        <w:numPr>
          <w:ilvl w:val="1"/>
          <w:numId w:val="50"/>
        </w:numPr>
      </w:pPr>
      <w:r w:rsidRPr="00113F13">
        <w:t>have the decision reviewed by the agency or Minister dealing with the application (known as ‘internal review’), after which the reviewer must make a new decision;</w:t>
      </w:r>
      <w:r w:rsidRPr="00113F13">
        <w:rPr>
          <w:rStyle w:val="FootnoteReference"/>
          <w:rFonts w:ascii="Times New Roman" w:hAnsi="Times New Roman"/>
        </w:rPr>
        <w:footnoteReference w:id="768"/>
      </w:r>
      <w:r w:rsidRPr="00113F13">
        <w:t xml:space="preserve">  or </w:t>
      </w:r>
    </w:p>
    <w:p w14:paraId="043B9586" w14:textId="77777777" w:rsidR="00FF302D" w:rsidRPr="00113F13" w:rsidRDefault="00FF302D" w:rsidP="00B63604">
      <w:pPr>
        <w:pStyle w:val="DotPointTLRI"/>
        <w:numPr>
          <w:ilvl w:val="1"/>
          <w:numId w:val="50"/>
        </w:numPr>
      </w:pPr>
      <w:r w:rsidRPr="00113F13">
        <w:t>have the decision reviewed by the QIC,</w:t>
      </w:r>
      <w:r w:rsidRPr="00113F13">
        <w:rPr>
          <w:rStyle w:val="FootnoteReference"/>
          <w:rFonts w:ascii="Times New Roman" w:hAnsi="Times New Roman"/>
        </w:rPr>
        <w:footnoteReference w:id="769"/>
      </w:r>
      <w:r w:rsidRPr="00113F13">
        <w:t xml:space="preserve"> following which (unless the QIC declines to review the decision),</w:t>
      </w:r>
      <w:r w:rsidRPr="00113F13">
        <w:rPr>
          <w:rStyle w:val="FootnoteReference"/>
          <w:rFonts w:ascii="Times New Roman" w:hAnsi="Times New Roman"/>
        </w:rPr>
        <w:footnoteReference w:id="770"/>
      </w:r>
      <w:r w:rsidRPr="00113F13">
        <w:t xml:space="preserve"> the QIC must seek early resolution via mediation or settlement,</w:t>
      </w:r>
      <w:r w:rsidRPr="00113F13">
        <w:rPr>
          <w:rStyle w:val="FootnoteReference"/>
          <w:rFonts w:ascii="Times New Roman" w:hAnsi="Times New Roman"/>
        </w:rPr>
        <w:footnoteReference w:id="771"/>
      </w:r>
      <w:r w:rsidRPr="00113F13">
        <w:t xml:space="preserve"> or, if this does not occur, must make a written decisions either affirming, varying, or setting aside and making a decision in substitution.</w:t>
      </w:r>
      <w:r w:rsidRPr="00113F13">
        <w:rPr>
          <w:rStyle w:val="FootnoteReference"/>
          <w:rFonts w:ascii="Times New Roman" w:hAnsi="Times New Roman"/>
        </w:rPr>
        <w:footnoteReference w:id="772"/>
      </w:r>
    </w:p>
    <w:p w14:paraId="7CE3F225" w14:textId="77777777" w:rsidR="00FF302D" w:rsidRPr="00113F13" w:rsidRDefault="00FF302D" w:rsidP="0022429F">
      <w:pPr>
        <w:pStyle w:val="Sub-HeadingTLRI"/>
      </w:pPr>
      <w:bookmarkStart w:id="862" w:name="_Toc164606687"/>
      <w:r w:rsidRPr="00113F13">
        <w:t>The appeals process</w:t>
      </w:r>
      <w:bookmarkEnd w:id="862"/>
    </w:p>
    <w:p w14:paraId="4FCD65AF" w14:textId="77777777" w:rsidR="00FF302D" w:rsidRPr="00113F13" w:rsidRDefault="00FF302D" w:rsidP="00B63604">
      <w:pPr>
        <w:pStyle w:val="NormalNumberedTextTLRI"/>
        <w:numPr>
          <w:ilvl w:val="2"/>
          <w:numId w:val="31"/>
        </w:numPr>
        <w:tabs>
          <w:tab w:val="clear" w:pos="720"/>
        </w:tabs>
        <w:spacing w:line="259" w:lineRule="auto"/>
      </w:pPr>
      <w:r w:rsidRPr="00113F13">
        <w:t>Privacy legislation in other jurisdictions creates avenues for appealing initial decisions about privacy complaints.</w:t>
      </w:r>
    </w:p>
    <w:p w14:paraId="15C2C850" w14:textId="77777777" w:rsidR="00FF302D" w:rsidRPr="00113F13" w:rsidRDefault="00FF302D" w:rsidP="00B63604">
      <w:pPr>
        <w:pStyle w:val="NormalNumberedTextTLRI"/>
        <w:numPr>
          <w:ilvl w:val="2"/>
          <w:numId w:val="31"/>
        </w:numPr>
        <w:tabs>
          <w:tab w:val="clear" w:pos="720"/>
        </w:tabs>
        <w:spacing w:line="259" w:lineRule="auto"/>
      </w:pPr>
      <w:r w:rsidRPr="00113F13">
        <w:t>At the Commonwealth level, individuals can seek to have decisions of the Commissioner reviewed by the Administrative Appeals Tribunal (‘AAT’)</w:t>
      </w:r>
      <w:r w:rsidRPr="00113F13">
        <w:rPr>
          <w:rStyle w:val="FootnoteReference"/>
          <w:rFonts w:ascii="Times New Roman" w:hAnsi="Times New Roman"/>
        </w:rPr>
        <w:footnoteReference w:id="773"/>
      </w:r>
      <w:r w:rsidRPr="00113F13">
        <w:t xml:space="preserve"> or federal courts.</w:t>
      </w:r>
      <w:r w:rsidRPr="00113F13">
        <w:rPr>
          <w:rStyle w:val="FootnoteReference"/>
          <w:rFonts w:ascii="Times New Roman" w:hAnsi="Times New Roman"/>
        </w:rPr>
        <w:footnoteReference w:id="774"/>
      </w:r>
      <w:r w:rsidRPr="00113F13">
        <w:t xml:space="preserve"> The AAT conducts merits review—reviewing both the factual and legal basis for the Commissioner’s decision, and can set </w:t>
      </w:r>
      <w:r w:rsidRPr="00113F13">
        <w:lastRenderedPageBreak/>
        <w:t xml:space="preserve">aside, vary, or affirm the decision. The courts conduct judicial review—meaning they only determine whether or not the decision was </w:t>
      </w:r>
      <w:r w:rsidRPr="00113F13">
        <w:rPr>
          <w:i/>
          <w:iCs/>
        </w:rPr>
        <w:t>lawful</w:t>
      </w:r>
      <w:r w:rsidRPr="00113F13">
        <w:t xml:space="preserve"> (for example, whether the Commissioner properly exercised its powers under the law in arriving at the decision), not whether the decision held merit. If the review shows that the decision was </w:t>
      </w:r>
      <w:r w:rsidRPr="00113F13">
        <w:rPr>
          <w:i/>
          <w:iCs/>
        </w:rPr>
        <w:t xml:space="preserve">not </w:t>
      </w:r>
      <w:r w:rsidRPr="00113F13">
        <w:t xml:space="preserve">lawful, the court may refer the decision back to the Information Commissioner for re-consideration and decision, but cannot re-make the decision itself. </w:t>
      </w:r>
    </w:p>
    <w:p w14:paraId="6C8B6174" w14:textId="77777777" w:rsidR="00FF302D" w:rsidRPr="00113F13" w:rsidRDefault="00FF302D" w:rsidP="00B63604">
      <w:pPr>
        <w:pStyle w:val="NormalNumberedTextTLRI"/>
        <w:numPr>
          <w:ilvl w:val="2"/>
          <w:numId w:val="31"/>
        </w:numPr>
        <w:tabs>
          <w:tab w:val="clear" w:pos="720"/>
        </w:tabs>
        <w:spacing w:line="259" w:lineRule="auto"/>
      </w:pPr>
      <w:r w:rsidRPr="00113F13">
        <w:t>In Victoria, a complainant may require the VIC to refer their complaint to the Victorian Civil and Administrative Tribunal (‘VCAT’) for merits, review where conciliation is not appropriate or has failed.</w:t>
      </w:r>
      <w:r w:rsidRPr="00113F13">
        <w:rPr>
          <w:rStyle w:val="FootnoteReference"/>
          <w:rFonts w:ascii="Times New Roman" w:hAnsi="Times New Roman"/>
        </w:rPr>
        <w:footnoteReference w:id="775"/>
      </w:r>
      <w:r w:rsidRPr="00113F13">
        <w:t xml:space="preserve"> The Minister can also directly refer complaints to the Tribunal.</w:t>
      </w:r>
      <w:r w:rsidRPr="00113F13">
        <w:rPr>
          <w:rStyle w:val="FootnoteReference"/>
          <w:rFonts w:ascii="Times New Roman" w:hAnsi="Times New Roman"/>
        </w:rPr>
        <w:footnoteReference w:id="776"/>
      </w:r>
      <w:r w:rsidRPr="00113F13">
        <w:t xml:space="preserve">  </w:t>
      </w:r>
    </w:p>
    <w:p w14:paraId="3A26886A" w14:textId="77777777" w:rsidR="00FF302D" w:rsidRPr="00113F13" w:rsidRDefault="00FF302D" w:rsidP="00B63604">
      <w:pPr>
        <w:pStyle w:val="NormalNumberedTextTLRI"/>
        <w:numPr>
          <w:ilvl w:val="2"/>
          <w:numId w:val="31"/>
        </w:numPr>
        <w:tabs>
          <w:tab w:val="clear" w:pos="720"/>
        </w:tabs>
        <w:spacing w:line="259" w:lineRule="auto"/>
      </w:pPr>
      <w:r w:rsidRPr="00113F13">
        <w:t>In New South Wales, decisions from an internal review of a complaint about an agency can be reviewed by the NSW Civil and Administrative Tribunal (‘NCAT’).</w:t>
      </w:r>
      <w:r w:rsidRPr="00113F13">
        <w:rPr>
          <w:rStyle w:val="FootnoteReference"/>
          <w:rFonts w:ascii="Times New Roman" w:hAnsi="Times New Roman"/>
        </w:rPr>
        <w:footnoteReference w:id="777"/>
      </w:r>
    </w:p>
    <w:p w14:paraId="734C2C49" w14:textId="77777777" w:rsidR="00FF302D" w:rsidRPr="00113F13" w:rsidRDefault="00FF302D" w:rsidP="00B63604">
      <w:pPr>
        <w:pStyle w:val="NormalNumberedTextTLRI"/>
        <w:numPr>
          <w:ilvl w:val="2"/>
          <w:numId w:val="31"/>
        </w:numPr>
        <w:tabs>
          <w:tab w:val="clear" w:pos="720"/>
        </w:tabs>
        <w:spacing w:line="259" w:lineRule="auto"/>
      </w:pPr>
      <w:r w:rsidRPr="00113F13">
        <w:t>In Queensland, there is a referral pathway for privacy complaints from the information commissioner to the Queensland Civil and Administrative Tribunal (‘QCAT’).</w:t>
      </w:r>
      <w:r w:rsidRPr="00113F13">
        <w:rPr>
          <w:rStyle w:val="FootnoteReference"/>
          <w:rFonts w:ascii="Times New Roman" w:hAnsi="Times New Roman"/>
        </w:rPr>
        <w:footnoteReference w:id="778"/>
      </w:r>
    </w:p>
    <w:p w14:paraId="4C4BEE4B" w14:textId="50E4C51B" w:rsidR="00FF302D" w:rsidRPr="00113F13" w:rsidRDefault="00FF302D" w:rsidP="00B63604">
      <w:pPr>
        <w:pStyle w:val="NormalNumberedTextTLRI"/>
        <w:numPr>
          <w:ilvl w:val="2"/>
          <w:numId w:val="31"/>
        </w:numPr>
        <w:tabs>
          <w:tab w:val="clear" w:pos="720"/>
        </w:tabs>
        <w:spacing w:line="259" w:lineRule="auto"/>
      </w:pPr>
      <w:r w:rsidRPr="00113F13">
        <w:t xml:space="preserve">The scope of remedies and outcomes available to these bodies is </w:t>
      </w:r>
      <w:r w:rsidRPr="000D4118">
        <w:t>discussed</w:t>
      </w:r>
      <w:r w:rsidRPr="00EA22F8">
        <w:t xml:space="preserve"> </w:t>
      </w:r>
      <w:r w:rsidR="000D4118" w:rsidRPr="00EA22F8">
        <w:t>at</w:t>
      </w:r>
      <w:r w:rsidRPr="00EA22F8">
        <w:t xml:space="preserve"> [</w:t>
      </w:r>
      <w:r w:rsidRPr="000D4118">
        <w:fldChar w:fldCharType="begin"/>
      </w:r>
      <w:r w:rsidRPr="000D4118">
        <w:instrText xml:space="preserve"> REF _Ref151740002 \r \h  \* MERGEFORMAT </w:instrText>
      </w:r>
      <w:r w:rsidRPr="000D4118">
        <w:fldChar w:fldCharType="separate"/>
      </w:r>
      <w:r w:rsidR="00462C30">
        <w:rPr>
          <w:cs/>
        </w:rPr>
        <w:t>‎</w:t>
      </w:r>
      <w:r w:rsidR="00462C30">
        <w:t>8.2.22</w:t>
      </w:r>
      <w:r w:rsidRPr="000D4118">
        <w:fldChar w:fldCharType="end"/>
      </w:r>
      <w:r w:rsidRPr="00EA22F8">
        <w:t>]</w:t>
      </w:r>
      <w:r w:rsidRPr="00113F13">
        <w:t xml:space="preserve"> and following</w:t>
      </w:r>
      <w:r w:rsidR="000D4118">
        <w:t>,</w:t>
      </w:r>
      <w:r w:rsidRPr="00113F13">
        <w:t xml:space="preserve"> below.</w:t>
      </w:r>
    </w:p>
    <w:p w14:paraId="1801A42A" w14:textId="77777777" w:rsidR="00FF302D" w:rsidRPr="00113F13" w:rsidRDefault="00FF302D" w:rsidP="0022429F">
      <w:pPr>
        <w:pStyle w:val="Sub-HeadingTLRI"/>
      </w:pPr>
      <w:bookmarkStart w:id="863" w:name="_Toc164606688"/>
      <w:r w:rsidRPr="00113F13">
        <w:t>Own-motion investigations</w:t>
      </w:r>
      <w:bookmarkEnd w:id="863"/>
    </w:p>
    <w:p w14:paraId="1203AED6" w14:textId="596FEC48" w:rsidR="00FF302D" w:rsidRPr="00113F13" w:rsidRDefault="00FF302D" w:rsidP="00B63604">
      <w:pPr>
        <w:pStyle w:val="NormalNumberedTextTLRI"/>
        <w:numPr>
          <w:ilvl w:val="2"/>
          <w:numId w:val="31"/>
        </w:numPr>
        <w:tabs>
          <w:tab w:val="clear" w:pos="720"/>
        </w:tabs>
        <w:spacing w:line="259" w:lineRule="auto"/>
      </w:pPr>
      <w:r w:rsidRPr="00113F13">
        <w:t>Authorities in other jurisdictions also have some powers to initiate investigations, regardless of whether a complaint has been made. For example, under the Commonwealth Privacy Act, the Commissioner may conduct an investigation on its own initiative, if the act or practice being investigated may constitute an interference with an individual’s privacy or of APP 1 and the Commissioner thinks an investigation desirable.</w:t>
      </w:r>
      <w:r w:rsidRPr="00113F13">
        <w:rPr>
          <w:rStyle w:val="FootnoteReference"/>
          <w:rFonts w:ascii="Times New Roman" w:hAnsi="Times New Roman"/>
        </w:rPr>
        <w:footnoteReference w:id="779"/>
      </w:r>
      <w:r w:rsidRPr="00113F13">
        <w:t xml:space="preserve"> After such an investigation, the Commissioner may make a determination similar to the determinations that may arise from the investigation of a complaint (see </w:t>
      </w:r>
      <w:r w:rsidRPr="00EA22F8">
        <w:t>[</w:t>
      </w:r>
      <w:r w:rsidRPr="000D4118">
        <w:fldChar w:fldCharType="begin"/>
      </w:r>
      <w:r w:rsidRPr="000D4118">
        <w:instrText xml:space="preserve"> REF _Ref151740507 \r \h  \* MERGEFORMAT </w:instrText>
      </w:r>
      <w:r w:rsidRPr="000D4118">
        <w:fldChar w:fldCharType="separate"/>
      </w:r>
      <w:r w:rsidR="00462C30">
        <w:rPr>
          <w:cs/>
        </w:rPr>
        <w:t>‎</w:t>
      </w:r>
      <w:r w:rsidR="00462C30">
        <w:t>8.2.23</w:t>
      </w:r>
      <w:r w:rsidRPr="000D4118">
        <w:fldChar w:fldCharType="end"/>
      </w:r>
      <w:r w:rsidRPr="00EA22F8">
        <w:t>]</w:t>
      </w:r>
      <w:r w:rsidR="00523B05">
        <w:t>,</w:t>
      </w:r>
      <w:r w:rsidRPr="00EA22F8">
        <w:t xml:space="preserve"> below</w:t>
      </w:r>
      <w:r w:rsidRPr="000D4118">
        <w:t>).</w:t>
      </w:r>
      <w:r w:rsidRPr="000D4118">
        <w:rPr>
          <w:rStyle w:val="FootnoteReference"/>
          <w:rFonts w:ascii="Times New Roman" w:hAnsi="Times New Roman"/>
        </w:rPr>
        <w:footnoteReference w:id="780"/>
      </w:r>
    </w:p>
    <w:p w14:paraId="3256F779" w14:textId="7C909565" w:rsidR="00FF302D" w:rsidRPr="00113F13" w:rsidRDefault="00FF302D" w:rsidP="00B63604">
      <w:pPr>
        <w:pStyle w:val="NormalNumberedTextTLRI"/>
        <w:numPr>
          <w:ilvl w:val="2"/>
          <w:numId w:val="31"/>
        </w:numPr>
        <w:tabs>
          <w:tab w:val="clear" w:pos="720"/>
        </w:tabs>
        <w:spacing w:line="259" w:lineRule="auto"/>
      </w:pPr>
      <w:bookmarkStart w:id="864" w:name="_Ref151725320"/>
      <w:r w:rsidRPr="00113F13">
        <w:t>The NSWPC may ‘conduct such inquiries, and make such investigations, into privacy related matters as the Privacy Commissioner thinks appropriate’.</w:t>
      </w:r>
      <w:r w:rsidRPr="00113F13">
        <w:rPr>
          <w:rStyle w:val="FootnoteReference"/>
          <w:rFonts w:ascii="Times New Roman" w:hAnsi="Times New Roman"/>
        </w:rPr>
        <w:footnoteReference w:id="781"/>
      </w:r>
      <w:r w:rsidRPr="00113F13">
        <w:t xml:space="preserve"> The Act clarifies that, where the Privacy Commissioner has declined to deal with, or has referred, a complaint, the Commissioner may still conduct an inquiry or investigation into general issues or matters raised in connection with the complaint.</w:t>
      </w:r>
      <w:r w:rsidRPr="00113F13">
        <w:rPr>
          <w:rStyle w:val="FootnoteReference"/>
          <w:rFonts w:ascii="Times New Roman" w:hAnsi="Times New Roman"/>
        </w:rPr>
        <w:footnoteReference w:id="782"/>
      </w:r>
      <w:bookmarkEnd w:id="864"/>
      <w:r w:rsidRPr="00113F13">
        <w:t xml:space="preserve"> The QIC also has powers to conduct reviews into information handling practices of relevant agencies.</w:t>
      </w:r>
      <w:r w:rsidRPr="00113F13">
        <w:rPr>
          <w:rStyle w:val="FootnoteReference"/>
          <w:rFonts w:ascii="Times New Roman" w:hAnsi="Times New Roman"/>
        </w:rPr>
        <w:footnoteReference w:id="783"/>
      </w:r>
      <w:r w:rsidRPr="00113F13">
        <w:t xml:space="preserve"> Similarly, in Victoria, the VIC has the powers to examine the practice of an organisation with respect to personal information (amongst other powers).</w:t>
      </w:r>
      <w:r w:rsidRPr="00113F13">
        <w:rPr>
          <w:rStyle w:val="FootnoteReference"/>
          <w:rFonts w:ascii="Times New Roman" w:hAnsi="Times New Roman"/>
        </w:rPr>
        <w:footnoteReference w:id="784"/>
      </w:r>
      <w:r w:rsidRPr="00113F13">
        <w:t xml:space="preserve"> In addition, in</w:t>
      </w:r>
      <w:bookmarkStart w:id="865" w:name="_Ref151725313"/>
      <w:r w:rsidRPr="00113F13" w:rsidDel="00CE1D06">
        <w:t xml:space="preserve"> </w:t>
      </w:r>
      <w:r w:rsidRPr="00113F13">
        <w:t xml:space="preserve">Victoria, </w:t>
      </w:r>
      <w:r w:rsidRPr="00113F13">
        <w:lastRenderedPageBreak/>
        <w:t>the VIC can conduct investigations for the purpose of issuing a compliance notice for a serious, flagrant, or repeated breach of a Victorian privacy principle, code of practice (</w:t>
      </w:r>
      <w:r w:rsidRPr="00523B05">
        <w:t xml:space="preserve">described at </w:t>
      </w:r>
      <w:r w:rsidRPr="00EA22F8">
        <w:t>[</w:t>
      </w:r>
      <w:r w:rsidRPr="00523B05">
        <w:fldChar w:fldCharType="begin"/>
      </w:r>
      <w:r w:rsidRPr="00523B05">
        <w:instrText xml:space="preserve"> REF _Ref151710975 \r \h  \* MERGEFORMAT </w:instrText>
      </w:r>
      <w:r w:rsidRPr="00523B05">
        <w:fldChar w:fldCharType="separate"/>
      </w:r>
      <w:r w:rsidR="00462C30">
        <w:rPr>
          <w:cs/>
        </w:rPr>
        <w:t>‎</w:t>
      </w:r>
      <w:r w:rsidR="00462C30">
        <w:t>8.2.32</w:t>
      </w:r>
      <w:r w:rsidRPr="00523B05">
        <w:fldChar w:fldCharType="end"/>
      </w:r>
      <w:r w:rsidRPr="00EA22F8">
        <w:t>] below</w:t>
      </w:r>
      <w:r w:rsidRPr="00523B05">
        <w:t>),</w:t>
      </w:r>
      <w:r w:rsidRPr="00113F13">
        <w:t xml:space="preserve"> or approved information usage arrangement.</w:t>
      </w:r>
      <w:r w:rsidRPr="00113F13">
        <w:rPr>
          <w:rStyle w:val="FootnoteReference"/>
          <w:rFonts w:ascii="Times New Roman" w:hAnsi="Times New Roman"/>
        </w:rPr>
        <w:footnoteReference w:id="785"/>
      </w:r>
      <w:bookmarkEnd w:id="865"/>
      <w:r w:rsidRPr="00113F13">
        <w:t xml:space="preserve"> </w:t>
      </w:r>
    </w:p>
    <w:p w14:paraId="4D60AB7B" w14:textId="77777777" w:rsidR="00FF302D" w:rsidRPr="00113F13" w:rsidRDefault="00FF302D" w:rsidP="00BD446B">
      <w:pPr>
        <w:pStyle w:val="Sub-HeadingTLRI"/>
      </w:pPr>
      <w:bookmarkStart w:id="866" w:name="_Toc164606689"/>
      <w:r w:rsidRPr="00BD446B">
        <w:t>Remedies for breaches of privacy</w:t>
      </w:r>
      <w:bookmarkEnd w:id="866"/>
      <w:r w:rsidRPr="00113F13">
        <w:t xml:space="preserve"> </w:t>
      </w:r>
    </w:p>
    <w:p w14:paraId="109F7550" w14:textId="77777777" w:rsidR="00FF302D" w:rsidRPr="00113F13" w:rsidRDefault="00FF302D" w:rsidP="00B63604">
      <w:pPr>
        <w:pStyle w:val="NormalNumberedTextTLRI"/>
        <w:numPr>
          <w:ilvl w:val="2"/>
          <w:numId w:val="31"/>
        </w:numPr>
        <w:tabs>
          <w:tab w:val="clear" w:pos="720"/>
        </w:tabs>
        <w:spacing w:line="259" w:lineRule="auto"/>
      </w:pPr>
      <w:bookmarkStart w:id="867" w:name="_Ref151740002"/>
      <w:r w:rsidRPr="00113F13">
        <w:t>The absence of a compensation mechanism and other remedies for breaches of the PIPA stands in contrast to the availability of a range of remedies under privacy legislation in other Australian jurisdictions.</w:t>
      </w:r>
      <w:bookmarkEnd w:id="867"/>
    </w:p>
    <w:p w14:paraId="5064398E" w14:textId="77777777" w:rsidR="00FF302D" w:rsidRPr="00113F13" w:rsidRDefault="00FF302D" w:rsidP="00B63604">
      <w:pPr>
        <w:pStyle w:val="NormalNumberedTextTLRI"/>
        <w:numPr>
          <w:ilvl w:val="2"/>
          <w:numId w:val="31"/>
        </w:numPr>
        <w:tabs>
          <w:tab w:val="clear" w:pos="720"/>
        </w:tabs>
        <w:spacing w:line="259" w:lineRule="auto"/>
      </w:pPr>
      <w:bookmarkStart w:id="868" w:name="_Ref151740507"/>
      <w:bookmarkStart w:id="869" w:name="_Ref151652648"/>
      <w:r w:rsidRPr="00113F13">
        <w:t>At the Commonwealth level, after an investigation under the Privacy Act, the Commissioner can make a range of declarations,</w:t>
      </w:r>
      <w:r w:rsidRPr="00113F13">
        <w:rPr>
          <w:rStyle w:val="FootnoteReference"/>
          <w:rFonts w:ascii="Times New Roman" w:hAnsi="Times New Roman"/>
          <w:color w:val="000000"/>
          <w:shd w:val="clear" w:color="auto" w:fill="FFFFFF"/>
        </w:rPr>
        <w:footnoteReference w:id="786"/>
      </w:r>
      <w:r w:rsidRPr="00113F13">
        <w:t xml:space="preserve"> including a declaration of one or more of the following:</w:t>
      </w:r>
      <w:bookmarkEnd w:id="868"/>
    </w:p>
    <w:p w14:paraId="3000DEF8" w14:textId="77777777" w:rsidR="00FF302D" w:rsidRPr="00113F13" w:rsidRDefault="00FF302D" w:rsidP="0022429F">
      <w:pPr>
        <w:pStyle w:val="DotPointTLRI"/>
      </w:pPr>
      <w:r w:rsidRPr="00113F13">
        <w:t>that there has been interference with the privacy of an individual and that the respondent must not repeat or continue such conduct;</w:t>
      </w:r>
    </w:p>
    <w:p w14:paraId="2C769687" w14:textId="77777777" w:rsidR="00FF302D" w:rsidRPr="00113F13" w:rsidRDefault="00FF302D" w:rsidP="0022429F">
      <w:pPr>
        <w:pStyle w:val="DotPointTLRI"/>
      </w:pPr>
      <w:r w:rsidRPr="00113F13">
        <w:t>that the respondent must take specified steps within a specified period to ensure the conduct is not repeated or continue;</w:t>
      </w:r>
    </w:p>
    <w:p w14:paraId="5C7988FD" w14:textId="77777777" w:rsidR="00FF302D" w:rsidRPr="00113F13" w:rsidRDefault="00FF302D" w:rsidP="0022429F">
      <w:pPr>
        <w:pStyle w:val="DotPointTLRI"/>
      </w:pPr>
      <w:r w:rsidRPr="00113F13">
        <w:t xml:space="preserve">that the respondent must perform any reasonable act or course of conduct to redress loss or damage (including humiliation or injury to feelings); </w:t>
      </w:r>
    </w:p>
    <w:p w14:paraId="3D894AD8" w14:textId="77777777" w:rsidR="00FF302D" w:rsidRPr="00113F13" w:rsidRDefault="00FF302D" w:rsidP="0022429F">
      <w:pPr>
        <w:pStyle w:val="DotPointTLRI"/>
      </w:pPr>
      <w:r w:rsidRPr="00113F13">
        <w:t xml:space="preserve">that the respondent must prepare and publish, or otherwise communicate, a statement about the conduct; </w:t>
      </w:r>
    </w:p>
    <w:p w14:paraId="570920C0" w14:textId="77777777" w:rsidR="00FF302D" w:rsidRPr="00113F13" w:rsidRDefault="00FF302D" w:rsidP="0022429F">
      <w:pPr>
        <w:pStyle w:val="DotPointTLRI"/>
      </w:pPr>
      <w:r w:rsidRPr="00113F13">
        <w:t>that the complainant is entitled to ‘a specified amount by way of compensation’ for loss or damage suffered (including for humiliation and injury to feelings);</w:t>
      </w:r>
      <w:r w:rsidRPr="00113F13">
        <w:rPr>
          <w:vertAlign w:val="superscript"/>
        </w:rPr>
        <w:footnoteReference w:id="787"/>
      </w:r>
      <w:r w:rsidRPr="00113F13">
        <w:rPr>
          <w:vertAlign w:val="superscript"/>
        </w:rPr>
        <w:t xml:space="preserve"> </w:t>
      </w:r>
      <w:r w:rsidRPr="00113F13">
        <w:t>and</w:t>
      </w:r>
    </w:p>
    <w:p w14:paraId="143A4F41" w14:textId="77777777" w:rsidR="00FF302D" w:rsidRPr="00113F13" w:rsidRDefault="00FF302D" w:rsidP="0022429F">
      <w:pPr>
        <w:pStyle w:val="DotPointTLRI"/>
      </w:pPr>
      <w:r w:rsidRPr="00113F13">
        <w:t>that any further action would be inappropriate.</w:t>
      </w:r>
      <w:r w:rsidRPr="00113F13">
        <w:rPr>
          <w:rStyle w:val="FootnoteReference"/>
          <w:rFonts w:ascii="Times New Roman" w:hAnsi="Times New Roman"/>
        </w:rPr>
        <w:footnoteReference w:id="788"/>
      </w:r>
    </w:p>
    <w:p w14:paraId="1BFF1A80" w14:textId="77777777" w:rsidR="00FF302D" w:rsidRPr="00113F13" w:rsidRDefault="00FF302D" w:rsidP="00B63604">
      <w:pPr>
        <w:pStyle w:val="NormalNumberedTextTLRI"/>
        <w:numPr>
          <w:ilvl w:val="2"/>
          <w:numId w:val="31"/>
        </w:numPr>
        <w:tabs>
          <w:tab w:val="clear" w:pos="720"/>
        </w:tabs>
        <w:spacing w:line="259" w:lineRule="auto"/>
      </w:pPr>
      <w:r w:rsidRPr="00113F13">
        <w:t>If compensation is ordered, the payable amount is enforceable as a debt due.</w:t>
      </w:r>
      <w:r w:rsidRPr="00113F13">
        <w:rPr>
          <w:rStyle w:val="FootnoteReference"/>
          <w:rFonts w:ascii="Times New Roman" w:hAnsi="Times New Roman"/>
        </w:rPr>
        <w:footnoteReference w:id="789"/>
      </w:r>
      <w:bookmarkEnd w:id="869"/>
    </w:p>
    <w:p w14:paraId="24A86895" w14:textId="77777777" w:rsidR="00FF302D" w:rsidRPr="00113F13" w:rsidRDefault="00FF302D" w:rsidP="00B63604">
      <w:pPr>
        <w:pStyle w:val="NormalNumberedTextTLRI"/>
        <w:numPr>
          <w:ilvl w:val="2"/>
          <w:numId w:val="31"/>
        </w:numPr>
        <w:tabs>
          <w:tab w:val="clear" w:pos="720"/>
        </w:tabs>
        <w:spacing w:line="259" w:lineRule="auto"/>
      </w:pPr>
      <w:r w:rsidRPr="00113F13">
        <w:t>In the period 2020–21, the Office of the Australian Information Commissioner (‘OAIC’) reported 71 conciliated privacy complaints in which compensation was an agreed remedy, with 11 complaints involving compensation of over $10,000.</w:t>
      </w:r>
      <w:r w:rsidRPr="00113F13">
        <w:rPr>
          <w:rStyle w:val="FootnoteReference"/>
          <w:rFonts w:ascii="Times New Roman" w:hAnsi="Times New Roman"/>
        </w:rPr>
        <w:footnoteReference w:id="790"/>
      </w:r>
      <w:r w:rsidRPr="00113F13">
        <w:t xml:space="preserve"> Conciliated privacy complaints are where the OAIC assists parties to resolve the complaint between themselves, rather than determining it for them.</w:t>
      </w:r>
    </w:p>
    <w:p w14:paraId="6BC0EBED" w14:textId="77777777" w:rsidR="00FF302D" w:rsidRPr="00113F13" w:rsidRDefault="00FF302D" w:rsidP="00B63604">
      <w:pPr>
        <w:pStyle w:val="NormalNumberedTextTLRI"/>
        <w:numPr>
          <w:ilvl w:val="2"/>
          <w:numId w:val="31"/>
        </w:numPr>
        <w:tabs>
          <w:tab w:val="clear" w:pos="720"/>
        </w:tabs>
        <w:spacing w:line="259" w:lineRule="auto"/>
      </w:pPr>
      <w:r w:rsidRPr="00113F13">
        <w:t>The Privacy Act also provides for a range of civil penalty measures associated with certain breaches under the Act; namely, in relation to a serious or repeated interference with privacy, or in relation to contravention of certain provisions relating to credit reporting.</w:t>
      </w:r>
      <w:r w:rsidRPr="00113F13">
        <w:rPr>
          <w:rStyle w:val="FootnoteReference"/>
          <w:rFonts w:ascii="Times New Roman" w:hAnsi="Times New Roman"/>
        </w:rPr>
        <w:footnoteReference w:id="791"/>
      </w:r>
      <w:r w:rsidRPr="00113F13">
        <w:t xml:space="preserve"> These civil penalty provisions are enforceable via the Commissioner seeking a court order that the contravener pay a pecuniary penalty.</w:t>
      </w:r>
      <w:r w:rsidRPr="00113F13">
        <w:rPr>
          <w:rStyle w:val="FootnoteReference"/>
          <w:rFonts w:ascii="Times New Roman" w:hAnsi="Times New Roman"/>
        </w:rPr>
        <w:footnoteReference w:id="792"/>
      </w:r>
      <w:r w:rsidRPr="00113F13">
        <w:t xml:space="preserve"> The OAIC has stated that, even if a civil penalty order is available, it will not decide in every case that such an order is the appropriate enforcement option</w:t>
      </w:r>
      <w:bookmarkStart w:id="870" w:name="_Ref91831571"/>
      <w:r w:rsidRPr="00113F13">
        <w:t>.</w:t>
      </w:r>
      <w:r w:rsidRPr="00113F13">
        <w:rPr>
          <w:rStyle w:val="FootnoteReference"/>
          <w:rFonts w:ascii="Times New Roman" w:hAnsi="Times New Roman"/>
        </w:rPr>
        <w:footnoteReference w:id="793"/>
      </w:r>
      <w:bookmarkEnd w:id="870"/>
      <w:r w:rsidRPr="00113F13">
        <w:t xml:space="preserve"> According to the Final </w:t>
      </w:r>
      <w:r w:rsidRPr="00113F13">
        <w:lastRenderedPageBreak/>
        <w:t>Report of the Privacy Act Review, the Commissioner has previously commenced one civil penalty proceeding for serious or repeated interferences with privacy.</w:t>
      </w:r>
      <w:r w:rsidRPr="00113F13">
        <w:rPr>
          <w:rStyle w:val="FootnoteReference"/>
          <w:rFonts w:ascii="Times New Roman" w:hAnsi="Times New Roman"/>
        </w:rPr>
        <w:footnoteReference w:id="794"/>
      </w:r>
    </w:p>
    <w:p w14:paraId="6327CE18" w14:textId="77777777" w:rsidR="00FF302D" w:rsidRPr="00113F13" w:rsidRDefault="00FF302D" w:rsidP="00B63604">
      <w:pPr>
        <w:pStyle w:val="NormalNumberedTextTLRI"/>
        <w:numPr>
          <w:ilvl w:val="2"/>
          <w:numId w:val="31"/>
        </w:numPr>
        <w:tabs>
          <w:tab w:val="clear" w:pos="720"/>
        </w:tabs>
        <w:spacing w:line="259" w:lineRule="auto"/>
      </w:pPr>
      <w:r w:rsidRPr="00113F13">
        <w:t>The Commissioner can also enforce provisions of the Privacy Act</w:t>
      </w:r>
      <w:r w:rsidRPr="00113F13">
        <w:rPr>
          <w:i/>
          <w:iCs/>
        </w:rPr>
        <w:t xml:space="preserve"> </w:t>
      </w:r>
      <w:r w:rsidRPr="00113F13">
        <w:t xml:space="preserve">by </w:t>
      </w:r>
      <w:r w:rsidRPr="00113F13">
        <w:rPr>
          <w:color w:val="000000" w:themeColor="text1"/>
        </w:rPr>
        <w:t>seeking an injunction before, during, or after an investigation or exercise of other regulatory powers,</w:t>
      </w:r>
      <w:r w:rsidRPr="00113F13">
        <w:rPr>
          <w:rStyle w:val="FootnoteReference"/>
          <w:rFonts w:ascii="Times New Roman" w:hAnsi="Times New Roman"/>
          <w:color w:val="000000" w:themeColor="text1"/>
        </w:rPr>
        <w:footnoteReference w:id="795"/>
      </w:r>
      <w:r w:rsidRPr="00113F13">
        <w:rPr>
          <w:color w:val="000000" w:themeColor="text1"/>
        </w:rPr>
        <w:t xml:space="preserve"> </w:t>
      </w:r>
      <w:r w:rsidRPr="00113F13">
        <w:t>or by accepting an enforceable undertaking.</w:t>
      </w:r>
      <w:r w:rsidRPr="00113F13">
        <w:rPr>
          <w:rStyle w:val="FootnoteReference"/>
          <w:rFonts w:ascii="Times New Roman" w:hAnsi="Times New Roman"/>
        </w:rPr>
        <w:footnoteReference w:id="796"/>
      </w:r>
      <w:r w:rsidRPr="00113F13">
        <w:t xml:space="preserve"> Enforceable undertakings are used where there has already been, or appears to have been, a privacy interference. An enforceable undertaking seeks to have the entity voluntarily agree to modify its acts, remedy any damage the breach caused, and commit to future measures to comply with privacy obligations.</w:t>
      </w:r>
      <w:r w:rsidRPr="00113F13">
        <w:rPr>
          <w:rStyle w:val="FootnoteReference"/>
          <w:rFonts w:ascii="Times New Roman" w:hAnsi="Times New Roman"/>
        </w:rPr>
        <w:footnoteReference w:id="797"/>
      </w:r>
      <w:r w:rsidRPr="00113F13">
        <w:t xml:space="preserve"> The terms of an enforceable undertaking are negotiated between the entity and the OAIC and, if accepted by the Commissioner, are ultimately enforceable in court.</w:t>
      </w:r>
      <w:r w:rsidRPr="00113F13">
        <w:rPr>
          <w:rStyle w:val="FootnoteReference"/>
          <w:rFonts w:ascii="Times New Roman" w:hAnsi="Times New Roman"/>
        </w:rPr>
        <w:footnoteReference w:id="798"/>
      </w:r>
    </w:p>
    <w:p w14:paraId="091A573F" w14:textId="77777777" w:rsidR="00FF302D" w:rsidRPr="00113F13" w:rsidRDefault="00FF302D" w:rsidP="00B63604">
      <w:pPr>
        <w:pStyle w:val="NormalNumberedTextTLRI"/>
        <w:numPr>
          <w:ilvl w:val="2"/>
          <w:numId w:val="31"/>
        </w:numPr>
        <w:tabs>
          <w:tab w:val="clear" w:pos="720"/>
        </w:tabs>
        <w:spacing w:line="259" w:lineRule="auto"/>
      </w:pPr>
      <w:r w:rsidRPr="00113F13">
        <w:t>The Privacy Act also permits individuals to seek an injunction in court to restrain an entity from contravening any provision in the Act or to require the entity to do a certain thing.</w:t>
      </w:r>
      <w:r w:rsidRPr="00113F13">
        <w:rPr>
          <w:rStyle w:val="FootnoteReference"/>
          <w:rFonts w:ascii="Times New Roman" w:hAnsi="Times New Roman"/>
        </w:rPr>
        <w:footnoteReference w:id="799"/>
      </w:r>
      <w:r w:rsidRPr="00113F13">
        <w:t xml:space="preserve"> Other than these injunctions, there is no direct right of action to seek compensation or other orders from the court under the Privacy Act.</w:t>
      </w:r>
    </w:p>
    <w:p w14:paraId="5291CE46" w14:textId="77777777" w:rsidR="00FF302D" w:rsidRPr="00113F13" w:rsidRDefault="00FF302D" w:rsidP="00B63604">
      <w:pPr>
        <w:pStyle w:val="NormalNumberedTextTLRI"/>
        <w:numPr>
          <w:ilvl w:val="2"/>
          <w:numId w:val="31"/>
        </w:numPr>
        <w:tabs>
          <w:tab w:val="clear" w:pos="720"/>
        </w:tabs>
        <w:spacing w:line="259" w:lineRule="auto"/>
      </w:pPr>
      <w:r w:rsidRPr="00113F13">
        <w:t>At the State and Territory level, tribunals (but not Privacy Commissioners or the equivalent) are empowered to making enforceable declarations in response to an appeal about a privacy complaint; for example</w:t>
      </w:r>
    </w:p>
    <w:p w14:paraId="3EA32AB9" w14:textId="77777777" w:rsidR="00FF302D" w:rsidRPr="00113F13" w:rsidRDefault="00FF302D" w:rsidP="0022429F">
      <w:pPr>
        <w:pStyle w:val="DotPointTLRI"/>
      </w:pPr>
      <w:r w:rsidRPr="00113F13">
        <w:t>In NSW, NCAT is empowered to make various orders against the public sector agency, including orders to stop or refrain from conduct, to perform a privacy principle, to apologise to the complainant, or to take steps to remedy any loss or damage.</w:t>
      </w:r>
      <w:r w:rsidRPr="00113F13">
        <w:rPr>
          <w:rStyle w:val="FootnoteReference"/>
          <w:rFonts w:ascii="Times New Roman" w:hAnsi="Times New Roman"/>
        </w:rPr>
        <w:footnoteReference w:id="800"/>
      </w:r>
      <w:r w:rsidRPr="00113F13">
        <w:t xml:space="preserve"> NCAT may award damages not exceeding $40,000 as compensation for loss or damage.</w:t>
      </w:r>
      <w:r w:rsidRPr="00113F13">
        <w:rPr>
          <w:rStyle w:val="FootnoteReference"/>
          <w:rFonts w:ascii="Times New Roman" w:hAnsi="Times New Roman"/>
        </w:rPr>
        <w:footnoteReference w:id="801"/>
      </w:r>
      <w:r w:rsidRPr="00113F13">
        <w:t xml:space="preserve"> Such decisions are enforceable. </w:t>
      </w:r>
    </w:p>
    <w:p w14:paraId="14AAC623" w14:textId="77777777" w:rsidR="00FF302D" w:rsidRPr="00113F13" w:rsidRDefault="00FF302D" w:rsidP="0022429F">
      <w:pPr>
        <w:pStyle w:val="DotPointTLRI"/>
      </w:pPr>
      <w:r w:rsidRPr="00113F13">
        <w:t>In Victoria, if VCAT finds part or all of a complaint proven, it may make a range of orders, including orders requiring the organisation to change its practices, to refrain from repeating or continuing the act or practice, to redress loss or damage suffered by the complainant (including humiliation or injury to the complainant’s feelings), and to pay compensation not exceeding $100,000 for loss or damage.</w:t>
      </w:r>
      <w:r w:rsidRPr="00113F13">
        <w:rPr>
          <w:rStyle w:val="FootnoteReference"/>
          <w:rFonts w:ascii="Times New Roman" w:hAnsi="Times New Roman"/>
        </w:rPr>
        <w:footnoteReference w:id="802"/>
      </w:r>
      <w:r w:rsidRPr="00113F13">
        <w:t xml:space="preserve"> </w:t>
      </w:r>
    </w:p>
    <w:p w14:paraId="767FF8C4" w14:textId="77777777" w:rsidR="00FF302D" w:rsidRPr="00113F13" w:rsidRDefault="00FF302D" w:rsidP="0022429F">
      <w:pPr>
        <w:pStyle w:val="DotPointTLRI"/>
      </w:pPr>
      <w:r w:rsidRPr="00113F13">
        <w:t>In Queensland, QCAT has the power to order that the respondent not repeat or continue a practice, must engage in a stated reasonable act or practice to compensate for loss or damages suffered, apologise, or make an award of damages not exceeding $100,000 for loss or damages, including for any injury to the complainant’s feelings or humiliation suffered.</w:t>
      </w:r>
      <w:r w:rsidRPr="00113F13">
        <w:rPr>
          <w:rStyle w:val="FootnoteReference"/>
          <w:rFonts w:ascii="Times New Roman" w:hAnsi="Times New Roman"/>
        </w:rPr>
        <w:footnoteReference w:id="803"/>
      </w:r>
      <w:r w:rsidRPr="00113F13">
        <w:t xml:space="preserve"> </w:t>
      </w:r>
    </w:p>
    <w:p w14:paraId="26775F0E" w14:textId="77777777" w:rsidR="00FF302D" w:rsidRPr="00113F13" w:rsidRDefault="00FF302D" w:rsidP="00B63604">
      <w:pPr>
        <w:pStyle w:val="NormalNumberedTextTLRI"/>
        <w:numPr>
          <w:ilvl w:val="2"/>
          <w:numId w:val="31"/>
        </w:numPr>
        <w:tabs>
          <w:tab w:val="clear" w:pos="720"/>
        </w:tabs>
        <w:spacing w:line="259" w:lineRule="auto"/>
      </w:pPr>
      <w:r w:rsidRPr="00113F13">
        <w:t>As in the federal jurisdiction, there is a limited right for parties to appeal privacy decisions by State tribunals to the relevant Supreme Court on a point of law.</w:t>
      </w:r>
      <w:r w:rsidRPr="00113F13">
        <w:rPr>
          <w:rStyle w:val="FootnoteReference"/>
          <w:rFonts w:ascii="Times New Roman" w:hAnsi="Times New Roman"/>
        </w:rPr>
        <w:footnoteReference w:id="804"/>
      </w:r>
    </w:p>
    <w:p w14:paraId="4C866CA2"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Offences are created in State and Territory legislation. For example, in NSW, Queensland, and Victoria, offences are created predominantly for interference with the duties of the regulatory body (including in relation to investigations) and misconduct by the regulator’s office or staff.</w:t>
      </w:r>
      <w:r w:rsidRPr="00113F13">
        <w:rPr>
          <w:rStyle w:val="FootnoteReference"/>
          <w:rFonts w:ascii="Times New Roman" w:hAnsi="Times New Roman"/>
        </w:rPr>
        <w:footnoteReference w:id="805"/>
      </w:r>
    </w:p>
    <w:p w14:paraId="5C0266CE" w14:textId="77777777" w:rsidR="00FF302D" w:rsidRPr="00113F13" w:rsidRDefault="00FF302D" w:rsidP="00B63604">
      <w:pPr>
        <w:pStyle w:val="NormalNumberedTextTLRI"/>
        <w:numPr>
          <w:ilvl w:val="2"/>
          <w:numId w:val="31"/>
        </w:numPr>
        <w:tabs>
          <w:tab w:val="clear" w:pos="720"/>
        </w:tabs>
        <w:spacing w:line="259" w:lineRule="auto"/>
      </w:pPr>
      <w:bookmarkStart w:id="871" w:name="_Ref151710975"/>
      <w:r w:rsidRPr="00113F13">
        <w:t>The Victorian legislation creates an additional enforcement option not found in legislation in other jurisdictions</w:t>
      </w:r>
      <w:r w:rsidRPr="00113F13">
        <w:rPr>
          <w:i/>
          <w:iCs/>
        </w:rPr>
        <w:t xml:space="preserve">. </w:t>
      </w:r>
      <w:r w:rsidRPr="00113F13">
        <w:t>This gives the VIC the option to conduct an investigation for the purpose of serving a compliance notice for a serious, flagrant, or repeated breach of a privacy principle or certain other contraventions.</w:t>
      </w:r>
      <w:r w:rsidRPr="00113F13">
        <w:rPr>
          <w:rStyle w:val="FootnoteReference"/>
          <w:rFonts w:ascii="Times New Roman" w:hAnsi="Times New Roman"/>
        </w:rPr>
        <w:footnoteReference w:id="806"/>
      </w:r>
      <w:r w:rsidRPr="00113F13">
        <w:t xml:space="preserve"> The VIC may become aware of issues or allegations of non-compliance through complaints or inquiries from the public or Members of Parliament, information from an informant, publicly available information (such as the media), internal or external referrals, or certain other means.</w:t>
      </w:r>
      <w:r w:rsidRPr="00113F13">
        <w:rPr>
          <w:rStyle w:val="FootnoteReference"/>
          <w:rFonts w:ascii="Times New Roman" w:hAnsi="Times New Roman"/>
        </w:rPr>
        <w:footnoteReference w:id="807"/>
      </w:r>
      <w:r w:rsidRPr="00113F13">
        <w:t xml:space="preserve"> Failure to comply with a notice will incur a penalty and is an indictable offence.</w:t>
      </w:r>
      <w:r w:rsidRPr="00113F13">
        <w:rPr>
          <w:rStyle w:val="FootnoteReference"/>
          <w:rFonts w:ascii="Times New Roman" w:hAnsi="Times New Roman"/>
        </w:rPr>
        <w:footnoteReference w:id="808"/>
      </w:r>
      <w:r w:rsidRPr="00113F13">
        <w:t xml:space="preserve"> Individuals and organisations have a right to seek review of a decision to serve a compliance notice.</w:t>
      </w:r>
      <w:r w:rsidRPr="00113F13">
        <w:rPr>
          <w:rStyle w:val="FootnoteReference"/>
          <w:rFonts w:ascii="Times New Roman" w:hAnsi="Times New Roman"/>
        </w:rPr>
        <w:footnoteReference w:id="809"/>
      </w:r>
      <w:bookmarkEnd w:id="871"/>
    </w:p>
    <w:p w14:paraId="632ED283" w14:textId="77777777" w:rsidR="00FF302D" w:rsidRPr="00113F13" w:rsidRDefault="00FF302D" w:rsidP="00BF1FE7">
      <w:pPr>
        <w:pStyle w:val="NumberedHeadingTLRI"/>
      </w:pPr>
      <w:bookmarkStart w:id="872" w:name="_Toc164606690"/>
      <w:r w:rsidRPr="00113F13">
        <w:t>The Commonwealth Privacy Act Review</w:t>
      </w:r>
      <w:bookmarkEnd w:id="872"/>
    </w:p>
    <w:p w14:paraId="164ED817" w14:textId="77777777" w:rsidR="00FF302D" w:rsidRPr="00113F13" w:rsidRDefault="00FF302D" w:rsidP="00B63604">
      <w:pPr>
        <w:pStyle w:val="NormalNumberedTextTLRI"/>
        <w:numPr>
          <w:ilvl w:val="2"/>
          <w:numId w:val="31"/>
        </w:numPr>
        <w:tabs>
          <w:tab w:val="clear" w:pos="720"/>
        </w:tabs>
        <w:spacing w:line="259" w:lineRule="auto"/>
      </w:pPr>
      <w:r w:rsidRPr="00113F13">
        <w:t>The Privacy Act Review considered whether existing Privacy Act enforcement mechanisms were adequate in light of ‘the scale and sophistication of the use of personal information by APP entities’.</w:t>
      </w:r>
      <w:r w:rsidRPr="00113F13">
        <w:rPr>
          <w:rStyle w:val="FootnoteReference"/>
          <w:rFonts w:ascii="Times New Roman" w:hAnsi="Times New Roman"/>
        </w:rPr>
        <w:footnoteReference w:id="810"/>
      </w:r>
      <w:r w:rsidRPr="00113F13">
        <w:t xml:space="preserve"> It sought submissions on a proposal to create a direct right of action, whereby individuals or groups of individuals could initiate action directly in the Federal Court or Federal Circuit and Family Court of Australia for remedies for loss or damage.</w:t>
      </w:r>
      <w:r w:rsidRPr="00113F13">
        <w:rPr>
          <w:rStyle w:val="FootnoteReference"/>
          <w:rFonts w:ascii="Times New Roman" w:hAnsi="Times New Roman"/>
        </w:rPr>
        <w:footnoteReference w:id="811"/>
      </w:r>
    </w:p>
    <w:p w14:paraId="69C49E6E" w14:textId="77777777" w:rsidR="00FF302D" w:rsidRPr="00113F13" w:rsidRDefault="00FF302D" w:rsidP="00B63604">
      <w:pPr>
        <w:pStyle w:val="NormalNumberedTextTLRI"/>
        <w:numPr>
          <w:ilvl w:val="2"/>
          <w:numId w:val="31"/>
        </w:numPr>
        <w:tabs>
          <w:tab w:val="clear" w:pos="720"/>
        </w:tabs>
        <w:spacing w:line="259" w:lineRule="auto"/>
      </w:pPr>
      <w:bookmarkStart w:id="873" w:name="_Ref151724773"/>
      <w:r w:rsidRPr="00113F13">
        <w:t>The Review observed that there was broad support for a direct right of action among submitters, on the basis that it would give individuals greater control over their information and incentivise compliance with the Privacy Act,</w:t>
      </w:r>
      <w:r w:rsidRPr="00113F13">
        <w:rPr>
          <w:rStyle w:val="FootnoteReference"/>
          <w:rFonts w:ascii="Times New Roman" w:hAnsi="Times New Roman"/>
        </w:rPr>
        <w:footnoteReference w:id="812"/>
      </w:r>
      <w:r w:rsidRPr="00113F13">
        <w:t xml:space="preserve"> although some raised concerns about burdening the courts and causing adverse impacts on business.</w:t>
      </w:r>
      <w:r w:rsidRPr="00113F13">
        <w:rPr>
          <w:rStyle w:val="FootnoteReference"/>
          <w:rFonts w:ascii="Times New Roman" w:hAnsi="Times New Roman"/>
        </w:rPr>
        <w:footnoteReference w:id="813"/>
      </w:r>
      <w:r w:rsidRPr="00113F13">
        <w:t xml:space="preserve"> The Review also observed that, unlike State and Territory tribunals, the AAT cannot exercise judicial power in its review of the Commissioner’s decisions and, on that basis, would not be an appropriate forum for a direct right of action.</w:t>
      </w:r>
      <w:r w:rsidRPr="00113F13">
        <w:rPr>
          <w:rStyle w:val="FootnoteReference"/>
          <w:rFonts w:ascii="Times New Roman" w:hAnsi="Times New Roman"/>
        </w:rPr>
        <w:footnoteReference w:id="814"/>
      </w:r>
      <w:bookmarkEnd w:id="873"/>
    </w:p>
    <w:p w14:paraId="36FEC504" w14:textId="77777777" w:rsidR="00FF302D" w:rsidRPr="00113F13" w:rsidRDefault="00FF302D" w:rsidP="00B63604">
      <w:pPr>
        <w:pStyle w:val="NormalNumberedTextTLRI"/>
        <w:numPr>
          <w:ilvl w:val="2"/>
          <w:numId w:val="31"/>
        </w:numPr>
        <w:tabs>
          <w:tab w:val="clear" w:pos="720"/>
        </w:tabs>
        <w:spacing w:line="259" w:lineRule="auto"/>
      </w:pPr>
      <w:r w:rsidRPr="00113F13">
        <w:t>The Review ultimately recommended the introduction of a direct right of action that would enable complainants to seek damages or other remedies for loss or damage (including injury to feelings and humiliation) in relation to interference with privacy.</w:t>
      </w:r>
      <w:r w:rsidRPr="00113F13">
        <w:rPr>
          <w:rStyle w:val="FootnoteReference"/>
          <w:rFonts w:ascii="Times New Roman" w:hAnsi="Times New Roman"/>
        </w:rPr>
        <w:footnoteReference w:id="815"/>
      </w:r>
      <w:r w:rsidRPr="00113F13">
        <w:t xml:space="preserve"> The Review explained that this ‘would be an important measure to enhance individuals’ control of their personal information, and reflect current community expectations’, as well as being consistent with rights available under overseas data </w:t>
      </w:r>
      <w:r w:rsidRPr="00113F13">
        <w:lastRenderedPageBreak/>
        <w:t>protection laws.</w:t>
      </w:r>
      <w:r w:rsidRPr="00113F13">
        <w:rPr>
          <w:rStyle w:val="FootnoteReference"/>
          <w:rFonts w:ascii="Times New Roman" w:hAnsi="Times New Roman"/>
        </w:rPr>
        <w:footnoteReference w:id="816"/>
      </w:r>
      <w:r w:rsidRPr="00113F13">
        <w:t xml:space="preserve"> The Government agreed in-principle with this proposal, stating that the right ‘would be an important measure to enhance individuals’ control over their personal information’.</w:t>
      </w:r>
      <w:r w:rsidRPr="00113F13">
        <w:rPr>
          <w:rStyle w:val="FootnoteReference"/>
          <w:rFonts w:ascii="Times New Roman" w:hAnsi="Times New Roman"/>
        </w:rPr>
        <w:footnoteReference w:id="817"/>
      </w:r>
    </w:p>
    <w:p w14:paraId="66D9093C" w14:textId="77777777" w:rsidR="00FF302D" w:rsidRPr="00113F13" w:rsidRDefault="00FF302D" w:rsidP="00B63604">
      <w:pPr>
        <w:pStyle w:val="NormalNumberedTextTLRI"/>
        <w:numPr>
          <w:ilvl w:val="2"/>
          <w:numId w:val="31"/>
        </w:numPr>
        <w:tabs>
          <w:tab w:val="clear" w:pos="720"/>
        </w:tabs>
        <w:spacing w:line="259" w:lineRule="auto"/>
      </w:pPr>
      <w:r w:rsidRPr="00113F13">
        <w:t>In order to mitigate the impact of such a reform on court resources, the Review proposed a ‘gateway’ model, wherein complainants must first complain to the Commissioner (or other complaint-handling body) to have the complaint assessed for conciliation. The complainant could seek the leave of the court in circumstances where the Commissioner determined that conciliation was unsuitable or had terminated the matter, where conciliation had failed, or where the complainant chose not to pursue conciliation at all.</w:t>
      </w:r>
      <w:r w:rsidRPr="00113F13">
        <w:rPr>
          <w:rStyle w:val="FootnoteReference"/>
          <w:rFonts w:ascii="Times New Roman" w:hAnsi="Times New Roman"/>
        </w:rPr>
        <w:footnoteReference w:id="818"/>
      </w:r>
    </w:p>
    <w:p w14:paraId="2F443A62" w14:textId="77777777" w:rsidR="00FF302D" w:rsidRPr="00113F13" w:rsidRDefault="00FF302D" w:rsidP="00B63604">
      <w:pPr>
        <w:pStyle w:val="NormalNumberedTextTLRI"/>
        <w:numPr>
          <w:ilvl w:val="2"/>
          <w:numId w:val="31"/>
        </w:numPr>
        <w:tabs>
          <w:tab w:val="clear" w:pos="720"/>
        </w:tabs>
        <w:spacing w:line="259" w:lineRule="auto"/>
      </w:pPr>
      <w:r w:rsidRPr="00113F13">
        <w:t>The Review also recommended that a range of changes be made to the civil penalty provisions in the Privacy Act for the purpose of ‘better targeted regulatory responses’ and to incentivise improved compliance.</w:t>
      </w:r>
      <w:r w:rsidRPr="00113F13">
        <w:rPr>
          <w:rStyle w:val="FootnoteReference"/>
          <w:rFonts w:ascii="Times New Roman" w:hAnsi="Times New Roman"/>
        </w:rPr>
        <w:footnoteReference w:id="819"/>
      </w:r>
      <w:r w:rsidRPr="00113F13">
        <w:t xml:space="preserve"> The Review concluded that the lack of civil penalties for interferences with privacy that are not serious and/or repeated was ‘a gap in the regulatory framework’</w:t>
      </w:r>
      <w:r w:rsidRPr="00113F13">
        <w:rPr>
          <w:rStyle w:val="FootnoteReference"/>
          <w:rFonts w:ascii="Times New Roman" w:hAnsi="Times New Roman"/>
        </w:rPr>
        <w:footnoteReference w:id="820"/>
      </w:r>
      <w:r w:rsidRPr="00113F13">
        <w:t xml:space="preserve"> and proposed introducing:</w:t>
      </w:r>
    </w:p>
    <w:p w14:paraId="6780978B" w14:textId="77777777" w:rsidR="00FF302D" w:rsidRPr="00113F13" w:rsidRDefault="00FF302D" w:rsidP="0022429F">
      <w:pPr>
        <w:pStyle w:val="DotPointTLRI"/>
      </w:pPr>
      <w:r w:rsidRPr="00113F13">
        <w:t>‘a new low-level civil penalty provision for specific administrative breaches of the Act and the APPs’ with attached powers for the Commissioner to issue infringement notices (as an alternative to litigation) and set penalties;</w:t>
      </w:r>
      <w:r w:rsidRPr="00113F13">
        <w:rPr>
          <w:rStyle w:val="FootnoteReference"/>
          <w:rFonts w:ascii="Times New Roman" w:hAnsi="Times New Roman"/>
        </w:rPr>
        <w:footnoteReference w:id="821"/>
      </w:r>
      <w:r w:rsidRPr="00113F13">
        <w:t xml:space="preserve"> and </w:t>
      </w:r>
    </w:p>
    <w:p w14:paraId="4B429672" w14:textId="77777777" w:rsidR="00FF302D" w:rsidRPr="00113F13" w:rsidRDefault="00FF302D" w:rsidP="0022429F">
      <w:pPr>
        <w:pStyle w:val="DotPointTLRI"/>
      </w:pPr>
      <w:r w:rsidRPr="00113F13">
        <w:t>‘a new mid-tier civil penalty provision to cover interferences with privacy without a “serious” element, excluding the new low-level civil penalty provision’, and which would provide for ‘penalties high enough to ensure deterrence’.</w:t>
      </w:r>
      <w:r w:rsidRPr="00113F13">
        <w:rPr>
          <w:rStyle w:val="FootnoteReference"/>
          <w:rFonts w:ascii="Times New Roman" w:hAnsi="Times New Roman"/>
        </w:rPr>
        <w:footnoteReference w:id="822"/>
      </w:r>
    </w:p>
    <w:p w14:paraId="54928348" w14:textId="77777777" w:rsidR="00FF302D" w:rsidRPr="00113F13" w:rsidRDefault="00FF302D" w:rsidP="00B63604">
      <w:pPr>
        <w:pStyle w:val="NormalNumberedTextTLRI"/>
        <w:numPr>
          <w:ilvl w:val="2"/>
          <w:numId w:val="31"/>
        </w:numPr>
        <w:tabs>
          <w:tab w:val="clear" w:pos="720"/>
        </w:tabs>
        <w:spacing w:line="259" w:lineRule="auto"/>
      </w:pPr>
      <w:r w:rsidRPr="00113F13">
        <w:t>The Government agreed that low-level and mid-tier civil penalty provisions should be introduced.</w:t>
      </w:r>
      <w:r w:rsidRPr="00113F13">
        <w:rPr>
          <w:rStyle w:val="FootnoteReference"/>
          <w:rFonts w:ascii="Times New Roman" w:hAnsi="Times New Roman"/>
        </w:rPr>
        <w:footnoteReference w:id="823"/>
      </w:r>
    </w:p>
    <w:p w14:paraId="13C34244" w14:textId="77777777" w:rsidR="00FF302D" w:rsidRPr="00113F13" w:rsidRDefault="00FF302D" w:rsidP="00B63604">
      <w:pPr>
        <w:pStyle w:val="NormalNumberedTextTLRI"/>
        <w:numPr>
          <w:ilvl w:val="2"/>
          <w:numId w:val="31"/>
        </w:numPr>
        <w:tabs>
          <w:tab w:val="clear" w:pos="720"/>
        </w:tabs>
        <w:spacing w:line="259" w:lineRule="auto"/>
      </w:pPr>
      <w:r w:rsidRPr="00113F13">
        <w:t>The Review observed that there has been no judicial guidance on the interpretation of the civil penalty provisions applying to serious or repeated breaches and proposed that the provision be amended to remove the word ‘repeated’ and clarify what amounts to a ‘serious’ interference, with supporting guidance developed by the OAIC.</w:t>
      </w:r>
      <w:r w:rsidRPr="00113F13">
        <w:rPr>
          <w:rStyle w:val="FootnoteReference"/>
          <w:rFonts w:ascii="Times New Roman" w:hAnsi="Times New Roman"/>
        </w:rPr>
        <w:footnoteReference w:id="824"/>
      </w:r>
      <w:r w:rsidRPr="00113F13">
        <w:t xml:space="preserve"> The Government agreed with this proposal.</w:t>
      </w:r>
      <w:r w:rsidRPr="00113F13">
        <w:rPr>
          <w:rStyle w:val="FootnoteReference"/>
          <w:rFonts w:ascii="Times New Roman" w:hAnsi="Times New Roman"/>
        </w:rPr>
        <w:footnoteReference w:id="825"/>
      </w:r>
    </w:p>
    <w:p w14:paraId="44D1EDC4"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The Review also proposed reforms, with which the Government agreed,</w:t>
      </w:r>
      <w:r w:rsidRPr="00113F13">
        <w:rPr>
          <w:rStyle w:val="FootnoteReference"/>
          <w:rFonts w:ascii="Times New Roman" w:hAnsi="Times New Roman"/>
        </w:rPr>
        <w:footnoteReference w:id="826"/>
      </w:r>
      <w:r w:rsidRPr="00113F13">
        <w:t xml:space="preserve"> that would enable the Commissioner to be more proactive in relation to assessments, investigations and inquiries by:</w:t>
      </w:r>
    </w:p>
    <w:p w14:paraId="449B417C" w14:textId="77777777" w:rsidR="00FF302D" w:rsidRPr="00113F13" w:rsidRDefault="00FF302D" w:rsidP="0022429F">
      <w:pPr>
        <w:pStyle w:val="DotPointTLRI"/>
      </w:pPr>
      <w:r w:rsidRPr="00113F13">
        <w:t>enhancing its powers of investigation of civil penalty provisions;</w:t>
      </w:r>
      <w:r w:rsidRPr="00113F13">
        <w:rPr>
          <w:rStyle w:val="FootnoteReference"/>
          <w:rFonts w:ascii="Times New Roman" w:hAnsi="Times New Roman"/>
        </w:rPr>
        <w:footnoteReference w:id="827"/>
      </w:r>
    </w:p>
    <w:p w14:paraId="132BFE41" w14:textId="77777777" w:rsidR="00FF302D" w:rsidRPr="00113F13" w:rsidRDefault="00FF302D" w:rsidP="0022429F">
      <w:pPr>
        <w:pStyle w:val="DotPointTLRI"/>
      </w:pPr>
      <w:r w:rsidRPr="00113F13">
        <w:t>introducing a new power for the Commissioner to undertake public inquiries and reviews on the approval or direction of the Attorney-General (in relation to systemic issues or issues in specific industry sectors);</w:t>
      </w:r>
      <w:r w:rsidRPr="00113F13">
        <w:rPr>
          <w:rStyle w:val="FootnoteReference"/>
          <w:rFonts w:ascii="Times New Roman" w:hAnsi="Times New Roman"/>
        </w:rPr>
        <w:footnoteReference w:id="828"/>
      </w:r>
      <w:r w:rsidRPr="00113F13">
        <w:rPr>
          <w:rStyle w:val="FootnoteReference"/>
          <w:rFonts w:ascii="Times New Roman" w:hAnsi="Times New Roman"/>
        </w:rPr>
        <w:t xml:space="preserve"> </w:t>
      </w:r>
      <w:r w:rsidRPr="000F62E1">
        <w:rPr>
          <w:rStyle w:val="FootnoteReference"/>
          <w:rFonts w:ascii="Times New Roman" w:hAnsi="Times New Roman"/>
          <w:vertAlign w:val="baseline"/>
        </w:rPr>
        <w:t>and</w:t>
      </w:r>
    </w:p>
    <w:p w14:paraId="19C5ACAD" w14:textId="77777777" w:rsidR="00FF302D" w:rsidRPr="00113F13" w:rsidRDefault="00FF302D" w:rsidP="0022429F">
      <w:pPr>
        <w:pStyle w:val="DotPointTLRI"/>
      </w:pPr>
      <w:r w:rsidRPr="00113F13">
        <w:t>empowering the Commissioner to make declarations requiring the entity to identify, mitigate (and not just redress) loss or damage, and in relation to both actual and reasonably foreseeable loss or damage.</w:t>
      </w:r>
      <w:r w:rsidRPr="00113F13">
        <w:rPr>
          <w:rStyle w:val="FootnoteReference"/>
          <w:rFonts w:ascii="Times New Roman" w:hAnsi="Times New Roman"/>
        </w:rPr>
        <w:footnoteReference w:id="829"/>
      </w:r>
      <w:r w:rsidRPr="00113F13">
        <w:t xml:space="preserve"> </w:t>
      </w:r>
    </w:p>
    <w:p w14:paraId="4F7E3101" w14:textId="1EA80E7B" w:rsidR="00FF302D" w:rsidRPr="00113F13" w:rsidRDefault="00FF302D" w:rsidP="00B63604">
      <w:pPr>
        <w:pStyle w:val="NormalNumberedTextTLRI"/>
        <w:numPr>
          <w:ilvl w:val="2"/>
          <w:numId w:val="31"/>
        </w:numPr>
        <w:tabs>
          <w:tab w:val="clear" w:pos="720"/>
        </w:tabs>
        <w:spacing w:line="259" w:lineRule="auto"/>
      </w:pPr>
      <w:r w:rsidRPr="00113F13">
        <w:t xml:space="preserve">The Review observed that the Federal Court can impose a pecuniary penalty, but not an order for compensation, upon a finding that an entity has engaged in serious and/or repeated breaches in contravention </w:t>
      </w:r>
      <w:r w:rsidRPr="00ED5F94">
        <w:t xml:space="preserve">of </w:t>
      </w:r>
      <w:r w:rsidR="00E14ADE">
        <w:t>Section</w:t>
      </w:r>
      <w:r w:rsidRPr="00EA22F8">
        <w:t xml:space="preserve"> 13G</w:t>
      </w:r>
      <w:r w:rsidRPr="00113F13">
        <w:t xml:space="preserve"> of the Privacy Act.</w:t>
      </w:r>
      <w:r w:rsidRPr="00113F13">
        <w:rPr>
          <w:rStyle w:val="FootnoteReference"/>
          <w:rFonts w:ascii="Times New Roman" w:hAnsi="Times New Roman"/>
        </w:rPr>
        <w:footnoteReference w:id="830"/>
      </w:r>
      <w:r w:rsidRPr="00113F13">
        <w:t xml:space="preserve"> It proposed, and the Government agreed, that it would be appropriate for the Privacy Act to be amended to give the Federal Court and Federal Circuit and Family Court of Australia the power to make ‘any order it sees fit’, following such a finding.</w:t>
      </w:r>
      <w:r w:rsidRPr="00113F13">
        <w:rPr>
          <w:rStyle w:val="FootnoteReference"/>
          <w:rFonts w:ascii="Times New Roman" w:hAnsi="Times New Roman"/>
        </w:rPr>
        <w:footnoteReference w:id="831"/>
      </w:r>
    </w:p>
    <w:p w14:paraId="372ACA22" w14:textId="03299357" w:rsidR="00FF302D" w:rsidRPr="00113F13" w:rsidRDefault="00FF302D" w:rsidP="00B63604">
      <w:pPr>
        <w:pStyle w:val="NormalNumberedTextTLRI"/>
        <w:numPr>
          <w:ilvl w:val="2"/>
          <w:numId w:val="31"/>
        </w:numPr>
        <w:tabs>
          <w:tab w:val="clear" w:pos="720"/>
        </w:tabs>
        <w:spacing w:line="259" w:lineRule="auto"/>
      </w:pPr>
      <w:r w:rsidRPr="00113F13">
        <w:t>The Review acknowledged the importance of the OAIC being adequately resourced to carry out its regulatory functions, including enforcement functions, effectively. It recommended further consideration be given to the introduction of an industry funding model for the OAIC,</w:t>
      </w:r>
      <w:r w:rsidRPr="00113F13">
        <w:rPr>
          <w:rStyle w:val="FootnoteReference"/>
          <w:rFonts w:ascii="Times New Roman" w:hAnsi="Times New Roman"/>
        </w:rPr>
        <w:footnoteReference w:id="832"/>
      </w:r>
      <w:r w:rsidRPr="00113F13">
        <w:t xml:space="preserve"> a contingency litigation fund (similar to the one available to the Australian Competition and Consumer Commission (</w:t>
      </w:r>
      <w:r w:rsidR="00ED5F94">
        <w:t>‘</w:t>
      </w:r>
      <w:r w:rsidRPr="00113F13">
        <w:t>ACCC</w:t>
      </w:r>
      <w:r w:rsidR="00ED5F94">
        <w:t>’</w:t>
      </w:r>
      <w:r w:rsidRPr="00113F13">
        <w:t>)) to fund litigation costs orders made against it, and an enforcement special account (such as those held by Australian Prudential Regulation Authority (</w:t>
      </w:r>
      <w:r w:rsidR="00ED5F94">
        <w:t>‘</w:t>
      </w:r>
      <w:r w:rsidRPr="00113F13">
        <w:t>APRA’) and the Australian Securities and Investments Commission (</w:t>
      </w:r>
      <w:r w:rsidR="00ED5F94">
        <w:t>‘</w:t>
      </w:r>
      <w:r w:rsidRPr="00113F13">
        <w:t>ASIC’)) to fund high-cost litigation.</w:t>
      </w:r>
      <w:r w:rsidRPr="00113F13">
        <w:rPr>
          <w:rStyle w:val="FootnoteReference"/>
          <w:rFonts w:ascii="Times New Roman" w:hAnsi="Times New Roman"/>
        </w:rPr>
        <w:footnoteReference w:id="833"/>
      </w:r>
      <w:r w:rsidRPr="00113F13">
        <w:t xml:space="preserve"> The Government agreed with this proposal in-principle.</w:t>
      </w:r>
      <w:r w:rsidRPr="00113F13">
        <w:rPr>
          <w:rStyle w:val="FootnoteReference"/>
          <w:rFonts w:ascii="Times New Roman" w:hAnsi="Times New Roman"/>
        </w:rPr>
        <w:footnoteReference w:id="834"/>
      </w:r>
    </w:p>
    <w:p w14:paraId="6EA5CFDA" w14:textId="759AC408" w:rsidR="00A14160" w:rsidRDefault="00FF302D" w:rsidP="00E0059A">
      <w:pPr>
        <w:pStyle w:val="NormalNumberedTextTLRI"/>
        <w:numPr>
          <w:ilvl w:val="2"/>
          <w:numId w:val="31"/>
        </w:numPr>
        <w:tabs>
          <w:tab w:val="clear" w:pos="720"/>
        </w:tabs>
        <w:spacing w:line="259" w:lineRule="auto"/>
      </w:pPr>
      <w:r w:rsidRPr="00113F13">
        <w:t>The Review recommended that the OAIC’s annual reporting obligations be adjusted to require the OAIC to report on all complaint outcomes, on the basis that this would provide greater transparency (including in relation to the grounds on which complaints are dismissed).</w:t>
      </w:r>
      <w:r w:rsidRPr="00113F13">
        <w:rPr>
          <w:rStyle w:val="FootnoteReference"/>
          <w:rFonts w:ascii="Times New Roman" w:hAnsi="Times New Roman"/>
        </w:rPr>
        <w:footnoteReference w:id="835"/>
      </w:r>
      <w:r w:rsidRPr="00113F13">
        <w:t xml:space="preserve"> The Government agreed with this proposal.</w:t>
      </w:r>
      <w:r w:rsidRPr="00113F13">
        <w:rPr>
          <w:rStyle w:val="FootnoteReference"/>
          <w:rFonts w:ascii="Times New Roman" w:hAnsi="Times New Roman"/>
        </w:rPr>
        <w:footnoteReference w:id="836"/>
      </w:r>
      <w:r w:rsidRPr="00113F13">
        <w:t xml:space="preserve"> The Review made several other recommendations to enhance the OAIC’s capacity to exercise its complaint handling and enforcement functions, including a strategic internal organisational review.</w:t>
      </w:r>
      <w:r w:rsidRPr="00113F13">
        <w:rPr>
          <w:rStyle w:val="FootnoteReference"/>
          <w:rFonts w:ascii="Times New Roman" w:hAnsi="Times New Roman"/>
        </w:rPr>
        <w:footnoteReference w:id="837"/>
      </w:r>
    </w:p>
    <w:p w14:paraId="0E8014B0" w14:textId="77777777" w:rsidR="002E47D2" w:rsidRDefault="002E47D2" w:rsidP="002E47D2">
      <w:pPr>
        <w:pStyle w:val="NormalNumberedTextTLRI"/>
        <w:numPr>
          <w:ilvl w:val="0"/>
          <w:numId w:val="0"/>
        </w:numPr>
        <w:spacing w:line="259" w:lineRule="auto"/>
      </w:pPr>
    </w:p>
    <w:p w14:paraId="2545CEB9" w14:textId="77777777" w:rsidR="002E47D2" w:rsidRPr="00113F13" w:rsidRDefault="002E47D2" w:rsidP="002E47D2">
      <w:pPr>
        <w:pStyle w:val="NormalNumberedTextTLRI"/>
        <w:numPr>
          <w:ilvl w:val="0"/>
          <w:numId w:val="0"/>
        </w:numPr>
        <w:spacing w:line="259" w:lineRule="auto"/>
      </w:pPr>
    </w:p>
    <w:p w14:paraId="34741930" w14:textId="77777777" w:rsidR="00FF302D" w:rsidRPr="00113F13" w:rsidRDefault="00FF302D" w:rsidP="00BF1FE7">
      <w:pPr>
        <w:pStyle w:val="NumberedHeadingTLRI"/>
      </w:pPr>
      <w:bookmarkStart w:id="874" w:name="_Toc164606691"/>
      <w:r w:rsidRPr="00113F13">
        <w:lastRenderedPageBreak/>
        <w:t>Consultation</w:t>
      </w:r>
      <w:bookmarkEnd w:id="874"/>
    </w:p>
    <w:p w14:paraId="64F7054D" w14:textId="77777777" w:rsidR="00FF302D" w:rsidRPr="00113F13" w:rsidRDefault="00FF302D" w:rsidP="00B63604">
      <w:pPr>
        <w:pStyle w:val="NormalNumberedTextTLRI"/>
        <w:numPr>
          <w:ilvl w:val="2"/>
          <w:numId w:val="31"/>
        </w:numPr>
        <w:tabs>
          <w:tab w:val="clear" w:pos="720"/>
        </w:tabs>
        <w:spacing w:line="259" w:lineRule="auto"/>
      </w:pPr>
      <w:r w:rsidRPr="00113F13">
        <w:t>The TLRI posed four questions in the Issues Paper relating to complaints, remedies, and other enforcement action under the PIPA:</w:t>
      </w:r>
    </w:p>
    <w:p w14:paraId="73934405" w14:textId="77777777" w:rsidR="00FF302D" w:rsidRPr="00113F13" w:rsidRDefault="00FF302D" w:rsidP="0022429F">
      <w:pPr>
        <w:pStyle w:val="Indentedquote"/>
        <w:rPr>
          <w:rFonts w:cs="Times New Roman"/>
        </w:rPr>
      </w:pPr>
      <w:r w:rsidRPr="00113F13">
        <w:rPr>
          <w:rFonts w:cs="Times New Roman"/>
        </w:rPr>
        <w:t>How effective is the current complaints process in enforcing obligations under the PIPA?</w:t>
      </w:r>
      <w:r w:rsidRPr="00113F13">
        <w:rPr>
          <w:rStyle w:val="FootnoteReference"/>
          <w:rFonts w:ascii="Times New Roman" w:hAnsi="Times New Roman" w:cs="Times New Roman"/>
        </w:rPr>
        <w:footnoteReference w:id="838"/>
      </w:r>
    </w:p>
    <w:p w14:paraId="73A566FA" w14:textId="77777777" w:rsidR="00FF302D" w:rsidRPr="00113F13" w:rsidRDefault="00FF302D" w:rsidP="0022429F">
      <w:pPr>
        <w:pStyle w:val="Indentedquote"/>
        <w:rPr>
          <w:rFonts w:cs="Times New Roman"/>
        </w:rPr>
      </w:pPr>
      <w:r w:rsidRPr="00113F13">
        <w:rPr>
          <w:rFonts w:cs="Times New Roman"/>
        </w:rPr>
        <w:t>Should consideration be given to amending the PIPA to include provision for an individual to appeal or seek review if they are dissatisfied with the actions or recommendations of the Ombudsman in investigations of privacy complaints?</w:t>
      </w:r>
      <w:r w:rsidRPr="00113F13">
        <w:rPr>
          <w:rStyle w:val="FootnoteReference"/>
          <w:rFonts w:ascii="Times New Roman" w:hAnsi="Times New Roman" w:cs="Times New Roman"/>
        </w:rPr>
        <w:footnoteReference w:id="839"/>
      </w:r>
    </w:p>
    <w:p w14:paraId="2B6C8C11" w14:textId="77777777" w:rsidR="00FF302D" w:rsidRPr="00113F13" w:rsidRDefault="00FF302D" w:rsidP="0022429F">
      <w:pPr>
        <w:pStyle w:val="Indentedquote"/>
        <w:rPr>
          <w:rFonts w:cs="Times New Roman"/>
        </w:rPr>
      </w:pPr>
      <w:r w:rsidRPr="00113F13">
        <w:rPr>
          <w:rFonts w:cs="Times New Roman"/>
        </w:rPr>
        <w:t>What other remedies should be available to individuals affected by a breach of the PIPA?</w:t>
      </w:r>
      <w:r w:rsidRPr="00113F13">
        <w:rPr>
          <w:rStyle w:val="FootnoteReference"/>
          <w:rFonts w:ascii="Times New Roman" w:hAnsi="Times New Roman" w:cs="Times New Roman"/>
        </w:rPr>
        <w:footnoteReference w:id="840"/>
      </w:r>
    </w:p>
    <w:p w14:paraId="7E463CC4" w14:textId="77777777" w:rsidR="00FF302D" w:rsidRPr="00113F13" w:rsidRDefault="00FF302D" w:rsidP="0022429F">
      <w:pPr>
        <w:pStyle w:val="Indentedquote"/>
        <w:rPr>
          <w:rFonts w:cs="Times New Roman"/>
        </w:rPr>
      </w:pPr>
      <w:r w:rsidRPr="00113F13">
        <w:rPr>
          <w:rFonts w:cs="Times New Roman"/>
        </w:rPr>
        <w:t>Are there other forms of enforcement action that should be introduced?</w:t>
      </w:r>
      <w:r w:rsidRPr="00113F13">
        <w:rPr>
          <w:rStyle w:val="FootnoteReference"/>
          <w:rFonts w:ascii="Times New Roman" w:hAnsi="Times New Roman" w:cs="Times New Roman"/>
        </w:rPr>
        <w:footnoteReference w:id="841"/>
      </w:r>
    </w:p>
    <w:p w14:paraId="67962E2D" w14:textId="77777777" w:rsidR="00FF302D" w:rsidRPr="00113F13" w:rsidRDefault="00FF302D" w:rsidP="00B63604">
      <w:pPr>
        <w:pStyle w:val="NormalNumberedTextTLRI"/>
        <w:numPr>
          <w:ilvl w:val="2"/>
          <w:numId w:val="31"/>
        </w:numPr>
        <w:tabs>
          <w:tab w:val="clear" w:pos="720"/>
        </w:tabs>
        <w:spacing w:line="259" w:lineRule="auto"/>
      </w:pPr>
      <w:r w:rsidRPr="00113F13">
        <w:t>The Tasmanian Ombudsman was critical of the approach to enforcement and remedies in the PIPA, stating that:</w:t>
      </w:r>
    </w:p>
    <w:p w14:paraId="077661AC" w14:textId="49FADD40" w:rsidR="00FF302D" w:rsidRPr="00113F13" w:rsidRDefault="00FF302D" w:rsidP="0022429F">
      <w:pPr>
        <w:pStyle w:val="Indentedquote"/>
        <w:rPr>
          <w:rFonts w:cs="Times New Roman"/>
        </w:rPr>
      </w:pPr>
      <w:r w:rsidRPr="00113F13">
        <w:rPr>
          <w:rFonts w:cs="Times New Roman"/>
        </w:rPr>
        <w:t>The absence of remedies or enforcement provisions in the event of a breach is an unusual feature of the Act.… In practice I have found it to be quite ineffective because, although I can make recommendations, I am unable to achieve outcomes that might satisfy a complainant and offer some sort of recompense for damage suffered.</w:t>
      </w:r>
    </w:p>
    <w:p w14:paraId="638DB77C" w14:textId="77777777" w:rsidR="00FF302D" w:rsidRPr="00113F13" w:rsidRDefault="00FF302D" w:rsidP="00B63604">
      <w:pPr>
        <w:pStyle w:val="NormalNumberedTextTLRI"/>
        <w:numPr>
          <w:ilvl w:val="2"/>
          <w:numId w:val="31"/>
        </w:numPr>
        <w:tabs>
          <w:tab w:val="clear" w:pos="720"/>
        </w:tabs>
        <w:spacing w:line="259" w:lineRule="auto"/>
      </w:pPr>
      <w:r w:rsidRPr="00113F13">
        <w:t>Meg Webb MLC expressed the view that it is difficult to assess the quality of the current complaints process under the PIPA due to a lack of data on:</w:t>
      </w:r>
    </w:p>
    <w:p w14:paraId="4EC4EC22" w14:textId="77777777" w:rsidR="00FF302D" w:rsidRPr="00113F13" w:rsidRDefault="00FF302D" w:rsidP="0022429F">
      <w:pPr>
        <w:pStyle w:val="DotPointTLRI"/>
      </w:pPr>
      <w:r w:rsidRPr="00113F13">
        <w:t>whether the Ombudsman’s recommendations are acted upon and effectively implemented; and</w:t>
      </w:r>
    </w:p>
    <w:p w14:paraId="73A3B741" w14:textId="77777777" w:rsidR="00FF302D" w:rsidRPr="00113F13" w:rsidRDefault="00FF302D" w:rsidP="0022429F">
      <w:pPr>
        <w:pStyle w:val="DotPointTLRI"/>
      </w:pPr>
      <w:r w:rsidRPr="00113F13">
        <w:t>whether the recommendations have a long-term educative influence on personal information custodians subject to complaints.</w:t>
      </w:r>
      <w:r w:rsidRPr="00113F13">
        <w:rPr>
          <w:rStyle w:val="FootnoteReference"/>
          <w:rFonts w:ascii="Times New Roman" w:hAnsi="Times New Roman"/>
        </w:rPr>
        <w:footnoteReference w:id="842"/>
      </w:r>
    </w:p>
    <w:p w14:paraId="6ABA2FD2" w14:textId="77777777" w:rsidR="00FF302D" w:rsidRPr="00113F13" w:rsidRDefault="00FF302D" w:rsidP="00B63604">
      <w:pPr>
        <w:pStyle w:val="NormalNumberedTextTLRI"/>
        <w:numPr>
          <w:ilvl w:val="2"/>
          <w:numId w:val="31"/>
        </w:numPr>
        <w:tabs>
          <w:tab w:val="clear" w:pos="720"/>
        </w:tabs>
        <w:spacing w:line="259" w:lineRule="auto"/>
      </w:pPr>
      <w:r w:rsidRPr="00113F13">
        <w:t>TasCOSS and Meg Webb MLC also expressed support for reforms to empower the Ombudsman to initiate own-motion investigations, with Ms Webb arguing that this would add rigour to PIPA compliance in general.</w:t>
      </w:r>
      <w:r w:rsidRPr="00113F13">
        <w:rPr>
          <w:rStyle w:val="FootnoteReference"/>
          <w:rFonts w:ascii="Times New Roman" w:hAnsi="Times New Roman"/>
        </w:rPr>
        <w:footnoteReference w:id="843"/>
      </w:r>
    </w:p>
    <w:p w14:paraId="03C98B32"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Tasmanian Ombudsman indicated support for amendments to the PIPA to make Ombudsman decisions reviewable by TasCAT. TasCOSS also expressed support for the creation of avenues of appeal of the Ombudsman’s decisions by an independent tribunal. Meg Webb MLC observed that appeals processes are available in other Australian jurisdictions and submitted that understanding of, and confidence in, appeals and redress mechanisms is an element of informed consent. </w:t>
      </w:r>
    </w:p>
    <w:p w14:paraId="65EDB2F6" w14:textId="736CDD3F" w:rsidR="00FF302D" w:rsidRPr="00113F13" w:rsidRDefault="00FF302D" w:rsidP="00B63604">
      <w:pPr>
        <w:pStyle w:val="NormalNumberedTextTLRI"/>
        <w:numPr>
          <w:ilvl w:val="2"/>
          <w:numId w:val="31"/>
        </w:numPr>
        <w:tabs>
          <w:tab w:val="clear" w:pos="720"/>
        </w:tabs>
        <w:spacing w:line="259" w:lineRule="auto"/>
      </w:pPr>
      <w:r w:rsidRPr="00113F13">
        <w:t xml:space="preserve">As noted elsewhere in this </w:t>
      </w:r>
      <w:r w:rsidR="00EF0039">
        <w:t>R</w:t>
      </w:r>
      <w:r w:rsidRPr="00113F13">
        <w:t xml:space="preserve">eport, the Tasmanian Ombudsman suggested a ‘wholesale review’ of the PIPA. The Ombudsman submitted that this should include ‘serious consideration [as] to </w:t>
      </w:r>
      <w:r w:rsidRPr="00113F13">
        <w:lastRenderedPageBreak/>
        <w:t>whether a discrete body should be established to administer the Act, investigate potential breaches and take enforcement action’.</w:t>
      </w:r>
    </w:p>
    <w:p w14:paraId="6AF7713D" w14:textId="77777777" w:rsidR="00FF302D" w:rsidRPr="00113F13" w:rsidRDefault="00FF302D" w:rsidP="00B63604">
      <w:pPr>
        <w:pStyle w:val="NormalNumberedTextTLRI"/>
        <w:numPr>
          <w:ilvl w:val="2"/>
          <w:numId w:val="31"/>
        </w:numPr>
        <w:tabs>
          <w:tab w:val="clear" w:pos="720"/>
        </w:tabs>
        <w:spacing w:line="259" w:lineRule="auto"/>
      </w:pPr>
      <w:r w:rsidRPr="00113F13">
        <w:t>The Ombudsman emphasised that the implementation of reforms to insert penalty and compensation provisions, and to make the Ombudsman’s decisions reviewable by TasCAT, would be ‘impossible’ with the current resourcing (staffing) of the Ombudsman’s office.</w:t>
      </w:r>
      <w:r w:rsidRPr="00113F13">
        <w:rPr>
          <w:rStyle w:val="FootnoteReference"/>
          <w:rFonts w:ascii="Times New Roman" w:hAnsi="Times New Roman"/>
        </w:rPr>
        <w:footnoteReference w:id="844"/>
      </w:r>
      <w:r w:rsidRPr="00113F13">
        <w:t xml:space="preserve"> TasCOSS also strongly recommended that any reforms to the Ombudsman’s powers should be accompanied by additional funding and resourcing.</w:t>
      </w:r>
      <w:r w:rsidRPr="00113F13">
        <w:rPr>
          <w:rStyle w:val="FootnoteReference"/>
          <w:rFonts w:ascii="Times New Roman" w:hAnsi="Times New Roman"/>
        </w:rPr>
        <w:footnoteReference w:id="845"/>
      </w:r>
    </w:p>
    <w:p w14:paraId="31C02440" w14:textId="77777777" w:rsidR="00FF302D" w:rsidRPr="00113F13" w:rsidRDefault="00FF302D" w:rsidP="00B63604">
      <w:pPr>
        <w:pStyle w:val="NormalNumberedTextTLRI"/>
        <w:numPr>
          <w:ilvl w:val="2"/>
          <w:numId w:val="31"/>
        </w:numPr>
        <w:tabs>
          <w:tab w:val="clear" w:pos="720"/>
        </w:tabs>
        <w:spacing w:line="259" w:lineRule="auto"/>
      </w:pPr>
      <w:r w:rsidRPr="00113F13">
        <w:t>Meg Webb MLC submitted that consideration should be given to amending the PIPA to provide for compensation for a breach of a PIPP, consistent with legislation in Queensland, NSW, and Victoria.</w:t>
      </w:r>
      <w:r w:rsidRPr="00113F13">
        <w:rPr>
          <w:rStyle w:val="FootnoteReference"/>
          <w:rFonts w:ascii="Times New Roman" w:hAnsi="Times New Roman"/>
        </w:rPr>
        <w:footnoteReference w:id="846"/>
      </w:r>
      <w:r w:rsidRPr="00113F13">
        <w:t xml:space="preserve"> TasCOSS expressed support for reforms to empower the Tasmanian Ombudsman to award compensation for privacy breaches. Youth Law Australia called for reparation (including compensation) for breaches of the privacy of children and young people.</w:t>
      </w:r>
      <w:r w:rsidRPr="00113F13">
        <w:rPr>
          <w:rStyle w:val="FootnoteReference"/>
          <w:rFonts w:ascii="Times New Roman" w:hAnsi="Times New Roman"/>
        </w:rPr>
        <w:footnoteReference w:id="847"/>
      </w:r>
    </w:p>
    <w:p w14:paraId="333B8517" w14:textId="77777777" w:rsidR="00FF302D" w:rsidRPr="00113F13" w:rsidRDefault="00FF302D" w:rsidP="00B63604">
      <w:pPr>
        <w:pStyle w:val="NormalNumberedTextTLRI"/>
        <w:numPr>
          <w:ilvl w:val="2"/>
          <w:numId w:val="31"/>
        </w:numPr>
        <w:tabs>
          <w:tab w:val="clear" w:pos="720"/>
        </w:tabs>
        <w:spacing w:line="259" w:lineRule="auto"/>
      </w:pPr>
      <w:r w:rsidRPr="00113F13">
        <w:t>In terms of other types of enforcement action, Meg Webb MLC submitted that the inclusion in the PIPA of civil penalty provisions, such as those found in the Commonwealth Privacy Act, should be investigated. TasCOSS suggested that the Ombudsman should have ‘broader enforcement powers’, including the power to make orders to mitigate potential privacy risks, to delete personal information collected unlawfully or inappropriately, to seek an injunction at various stages of a complaints process, and to impose penalties.</w:t>
      </w:r>
    </w:p>
    <w:p w14:paraId="0D6D9508" w14:textId="37B1CBB8" w:rsidR="00FF302D" w:rsidRPr="00113F13" w:rsidRDefault="00FF302D" w:rsidP="00B63604">
      <w:pPr>
        <w:pStyle w:val="NormalNumberedTextTLRI"/>
        <w:numPr>
          <w:ilvl w:val="2"/>
          <w:numId w:val="31"/>
        </w:numPr>
        <w:tabs>
          <w:tab w:val="clear" w:pos="720"/>
        </w:tabs>
        <w:spacing w:line="259" w:lineRule="auto"/>
      </w:pPr>
      <w:r w:rsidRPr="00113F13">
        <w:t>Alex Kendall of Phillips Taglieri Barristers &amp; Solicitors submitted that the PIPA should be amended to permit a suitable court or tribunal to make an order requiring a personal information custodian to provide access or produce an individual’s personal information.</w:t>
      </w:r>
      <w:r w:rsidRPr="00113F13">
        <w:rPr>
          <w:rStyle w:val="FootnoteReference"/>
          <w:rFonts w:ascii="Times New Roman" w:hAnsi="Times New Roman"/>
        </w:rPr>
        <w:footnoteReference w:id="848"/>
      </w:r>
      <w:r w:rsidRPr="00113F13">
        <w:t xml:space="preserve"> As discussed in more </w:t>
      </w:r>
      <w:r w:rsidRPr="00886340">
        <w:t xml:space="preserve">detail in </w:t>
      </w:r>
      <w:r w:rsidR="007C007A" w:rsidRPr="00886340">
        <w:t>[</w:t>
      </w:r>
      <w:r w:rsidRPr="00EA22F8">
        <w:t>6.5.6] and following</w:t>
      </w:r>
      <w:r w:rsidRPr="00886340">
        <w:t>, the</w:t>
      </w:r>
      <w:r w:rsidRPr="00113F13">
        <w:t xml:space="preserve"> Tasmanian Ombudsman expressed support for the PIPA to be amended to either clarify the relationship between PIPP 6(1) </w:t>
      </w:r>
      <w:r w:rsidRPr="007C007A">
        <w:t xml:space="preserve">and </w:t>
      </w:r>
      <w:r w:rsidR="00E14ADE">
        <w:t>Section</w:t>
      </w:r>
      <w:r w:rsidRPr="00EA22F8">
        <w:t xml:space="preserve"> 13</w:t>
      </w:r>
      <w:r w:rsidRPr="007C007A">
        <w:t xml:space="preserve"> of</w:t>
      </w:r>
      <w:r w:rsidRPr="00113F13">
        <w:t xml:space="preserve"> the </w:t>
      </w:r>
      <w:r w:rsidRPr="10DD744B">
        <w:rPr>
          <w:i/>
          <w:iCs/>
        </w:rPr>
        <w:t>Right to Information Act 2009</w:t>
      </w:r>
      <w:r w:rsidRPr="00113F13">
        <w:t xml:space="preserve"> (Tas) (</w:t>
      </w:r>
      <w:r w:rsidR="00D61F22">
        <w:t>‘</w:t>
      </w:r>
      <w:r w:rsidRPr="00113F13">
        <w:t>RTI Act</w:t>
      </w:r>
      <w:r w:rsidR="00D61F22">
        <w:t>’</w:t>
      </w:r>
      <w:r w:rsidRPr="00113F13">
        <w:t xml:space="preserve">) (to make it a deeming provision and hence make review rights and prescribed timeframes under the RTI Act applicable), or to prescribe timeframes and create a separate right to seek external review for a failure to provide access and to seek redress for a delay in doing so. This is consistent with the </w:t>
      </w:r>
      <w:r w:rsidRPr="00EA22F8">
        <w:t>Commission of Inquiry into the Tasmanian Government’s Responses to Child Sexual Abuse in Institutional Settings (‘CoI’)</w:t>
      </w:r>
      <w:r w:rsidRPr="007C007A">
        <w:t xml:space="preserve"> recommendation</w:t>
      </w:r>
      <w:r w:rsidRPr="00113F13">
        <w:t xml:space="preserve"> that consideration be given to reforming the PIPA and RTI Act to ‘streamline the interface between [the Acts]’.</w:t>
      </w:r>
      <w:r w:rsidRPr="00113F13">
        <w:rPr>
          <w:rStyle w:val="FootnoteReference"/>
          <w:rFonts w:ascii="Times New Roman" w:hAnsi="Times New Roman"/>
        </w:rPr>
        <w:footnoteReference w:id="849"/>
      </w:r>
    </w:p>
    <w:p w14:paraId="3FFB06EF" w14:textId="0F4BC2E8" w:rsidR="00FF302D" w:rsidRPr="00113F13" w:rsidRDefault="00FF302D" w:rsidP="00EA22F8">
      <w:pPr>
        <w:pStyle w:val="NormalNumberedTextTLRI"/>
        <w:numPr>
          <w:ilvl w:val="2"/>
          <w:numId w:val="31"/>
        </w:numPr>
        <w:tabs>
          <w:tab w:val="clear" w:pos="720"/>
        </w:tabs>
        <w:spacing w:line="259" w:lineRule="auto"/>
      </w:pPr>
      <w:r w:rsidRPr="00113F13">
        <w:t>TasCOSS submitted that independent oversight of police complaints is required to ensure the appropriate exercise of powers and enhance public confidence in the police.</w:t>
      </w:r>
      <w:r w:rsidRPr="00113F13">
        <w:rPr>
          <w:rStyle w:val="FootnoteReference"/>
          <w:rFonts w:ascii="Times New Roman" w:hAnsi="Times New Roman"/>
        </w:rPr>
        <w:footnoteReference w:id="850"/>
      </w:r>
      <w:r w:rsidRPr="00113F13">
        <w:t xml:space="preserve"> This submitter noted calls by some Victorian community organisations for the introduction of an independent police ombudsman to respond to complaints, achieve timely and fair outcomes, and promote systemic change, and indicated its support for the creation of a similar entity in Tasmania.</w:t>
      </w:r>
      <w:r w:rsidRPr="00113F13">
        <w:rPr>
          <w:rStyle w:val="FootnoteReference"/>
          <w:rFonts w:ascii="Times New Roman" w:hAnsi="Times New Roman"/>
        </w:rPr>
        <w:footnoteReference w:id="851"/>
      </w:r>
      <w:r w:rsidRPr="00113F13">
        <w:t xml:space="preserve"> This issue is discussed further </w:t>
      </w:r>
      <w:r w:rsidR="00BB7543">
        <w:t>at</w:t>
      </w:r>
      <w:r w:rsidRPr="00113F13">
        <w:t xml:space="preserve"> [</w:t>
      </w:r>
      <w:r w:rsidR="10DD744B">
        <w:t xml:space="preserve">10.2] and following </w:t>
      </w:r>
      <w:r w:rsidRPr="00113F13">
        <w:t>of this Report.</w:t>
      </w:r>
    </w:p>
    <w:p w14:paraId="1C45CD0D" w14:textId="77777777" w:rsidR="00FF302D" w:rsidRPr="00113F13" w:rsidRDefault="10DD744B" w:rsidP="00B63604">
      <w:pPr>
        <w:pStyle w:val="NormalNumberedTextTLRI"/>
        <w:numPr>
          <w:ilvl w:val="2"/>
          <w:numId w:val="31"/>
        </w:numPr>
        <w:tabs>
          <w:tab w:val="clear" w:pos="720"/>
        </w:tabs>
        <w:spacing w:line="259" w:lineRule="auto"/>
      </w:pPr>
      <w:bookmarkStart w:id="875" w:name="_Ref165024891"/>
      <w:r>
        <w:lastRenderedPageBreak/>
        <w:t>Youth Law Australia cited the United Nations Committee on the Rights of Children (‘CRC’) in calling for appeal options and remedies for breaches of privacy rights that are accessible and appropriate for children and young people. According to the CRC:</w:t>
      </w:r>
      <w:bookmarkEnd w:id="875"/>
    </w:p>
    <w:p w14:paraId="3CD8377A" w14:textId="77777777" w:rsidR="00FF302D" w:rsidRPr="00113F13" w:rsidRDefault="00FF302D" w:rsidP="0022429F">
      <w:pPr>
        <w:pStyle w:val="Indentedquote"/>
        <w:rPr>
          <w:rFonts w:cs="Times New Roman"/>
        </w:rPr>
      </w:pPr>
      <w:r w:rsidRPr="00113F13">
        <w:rPr>
          <w:rFonts w:cs="Times New Roman"/>
        </w:rPr>
        <w:t>For rights to have meaning, effective remedies must be available to redress violations … States need to give particular attention to ensuring that there are effective, child-sensitive procedures available to children and their representatives. These should include the provision of child-friendly information, advice, advocacy, including support for self-advocacy, and access to independent complaints procedures and to the courts with necessary legal and other assistance. Where rights are found to have been breached, there should be appropriate reparation, including compensation …</w:t>
      </w:r>
      <w:r w:rsidRPr="00113F13">
        <w:rPr>
          <w:rStyle w:val="FootnoteReference"/>
          <w:rFonts w:ascii="Times New Roman" w:hAnsi="Times New Roman" w:cs="Times New Roman"/>
        </w:rPr>
        <w:footnoteReference w:id="852"/>
      </w:r>
    </w:p>
    <w:p w14:paraId="4DD50F4C" w14:textId="77777777" w:rsidR="00FF302D" w:rsidRPr="00113F13" w:rsidRDefault="00FF302D" w:rsidP="00BF1FE7">
      <w:pPr>
        <w:pStyle w:val="NumberedHeadingTLRI"/>
      </w:pPr>
      <w:bookmarkStart w:id="876" w:name="_Toc164606692"/>
      <w:r w:rsidRPr="00113F13">
        <w:t>The TLRI’s view</w:t>
      </w:r>
      <w:bookmarkEnd w:id="876"/>
    </w:p>
    <w:p w14:paraId="01B8B77F" w14:textId="77777777" w:rsidR="00FF302D" w:rsidRPr="00113F13" w:rsidRDefault="00FF302D" w:rsidP="00B63604">
      <w:pPr>
        <w:pStyle w:val="NormalNumberedTextTLRI"/>
        <w:numPr>
          <w:ilvl w:val="2"/>
          <w:numId w:val="31"/>
        </w:numPr>
        <w:tabs>
          <w:tab w:val="clear" w:pos="720"/>
        </w:tabs>
        <w:spacing w:line="259" w:lineRule="auto"/>
      </w:pPr>
      <w:r w:rsidRPr="00113F13">
        <w:t>In the TLRI’s view, there is considerable scope to strengthen the PIPA complaints process, and to make provision for remedies for breaches of the PIPA, in order to enhance privacy protections for individuals and foster personal information custodians’ compliance with the PIPA.</w:t>
      </w:r>
    </w:p>
    <w:p w14:paraId="2664314B" w14:textId="6E398BED" w:rsidR="00FF302D" w:rsidRPr="00113F13" w:rsidRDefault="00FF302D" w:rsidP="00B63604">
      <w:pPr>
        <w:pStyle w:val="NormalNumberedTextTLRI"/>
        <w:numPr>
          <w:ilvl w:val="2"/>
          <w:numId w:val="31"/>
        </w:numPr>
        <w:tabs>
          <w:tab w:val="clear" w:pos="720"/>
        </w:tabs>
        <w:spacing w:line="259" w:lineRule="auto"/>
      </w:pPr>
      <w:r w:rsidRPr="00113F13">
        <w:t xml:space="preserve">The changes recommended in this </w:t>
      </w:r>
      <w:r w:rsidR="00514C40">
        <w:t xml:space="preserve">Part </w:t>
      </w:r>
      <w:r w:rsidRPr="00113F13">
        <w:t>will have considerable resource implications. The TLRI recommends, consistent with the Tasmanian Ombudsman’s submission, that consideration be given to the most appropriate form that a body responsible for broadened enforcement and compliance functions should take, and to ensuring adequate resourcing for that body.</w:t>
      </w:r>
    </w:p>
    <w:p w14:paraId="6CC3DFE4" w14:textId="77777777" w:rsidR="00FF302D" w:rsidRPr="00113F13" w:rsidRDefault="00FF302D" w:rsidP="00B63604">
      <w:pPr>
        <w:pStyle w:val="NormalNumberedTextTLRI"/>
        <w:numPr>
          <w:ilvl w:val="2"/>
          <w:numId w:val="31"/>
        </w:numPr>
        <w:tabs>
          <w:tab w:val="clear" w:pos="720"/>
        </w:tabs>
        <w:spacing w:line="259" w:lineRule="auto"/>
      </w:pPr>
      <w:r w:rsidRPr="00113F13">
        <w:t>In terms of the complaints process, the TLRI notes that the Commonwealth Privacy Act and privacy legislation in Victoria, Queensland, and NSW requires the relevant commissioner to consider the appropriateness of conciliation when dealing with a complaint. The Ombudsman is not so obliged under the PIPA. The TLRI did not seek, and did not receive, submissions directly on this point. The TLRI recommends further consideration be given to the introduction of a similar requirement in the PIPA, on the basis that it may foster timely and efficient resolution of complaints.</w:t>
      </w:r>
    </w:p>
    <w:p w14:paraId="31710FE9" w14:textId="77777777" w:rsidR="00FF302D" w:rsidRPr="00113F13" w:rsidRDefault="00FF302D" w:rsidP="00B63604">
      <w:pPr>
        <w:pStyle w:val="NormalNumberedTextTLRI"/>
        <w:numPr>
          <w:ilvl w:val="2"/>
          <w:numId w:val="31"/>
        </w:numPr>
        <w:tabs>
          <w:tab w:val="clear" w:pos="720"/>
        </w:tabs>
        <w:spacing w:line="259" w:lineRule="auto"/>
      </w:pPr>
      <w:r w:rsidRPr="00113F13">
        <w:t xml:space="preserve">Several submissions in response to the Issues Paper queried the effectiveness of the existing PIPA complaints process and its accessibility to all Tasmanians, such as children and young people. The TLRI recommends that any changes made to the complaints and review process arising from this Review needs to consider the accessibility and availability of those mechanisms to all in the community. </w:t>
      </w:r>
    </w:p>
    <w:p w14:paraId="597C2EA4" w14:textId="20A4D920" w:rsidR="00FF302D" w:rsidRPr="00113F13" w:rsidRDefault="00FF302D" w:rsidP="00B63604">
      <w:pPr>
        <w:pStyle w:val="NormalNumberedTextTLRI"/>
        <w:numPr>
          <w:ilvl w:val="2"/>
          <w:numId w:val="31"/>
        </w:numPr>
        <w:tabs>
          <w:tab w:val="clear" w:pos="720"/>
        </w:tabs>
        <w:spacing w:line="259" w:lineRule="auto"/>
      </w:pPr>
      <w:r w:rsidRPr="00113F13">
        <w:t xml:space="preserve">The TLRI observes that privacy complaints processes in the other Australian jurisdictions discussed in this </w:t>
      </w:r>
      <w:r w:rsidR="00514C40">
        <w:t xml:space="preserve">Part </w:t>
      </w:r>
      <w:r w:rsidRPr="00113F13">
        <w:t>are accompanied by:</w:t>
      </w:r>
    </w:p>
    <w:p w14:paraId="0C1630FC" w14:textId="77777777" w:rsidR="00FF302D" w:rsidRPr="00113F13" w:rsidRDefault="00FF302D" w:rsidP="0022429F">
      <w:pPr>
        <w:pStyle w:val="DotPointTLRI"/>
      </w:pPr>
      <w:r w:rsidRPr="00113F13">
        <w:t>avenues to appeal initial decisions about complaints to a tribunal;</w:t>
      </w:r>
    </w:p>
    <w:p w14:paraId="4A61DA22" w14:textId="77777777" w:rsidR="00FF302D" w:rsidRPr="00113F13" w:rsidRDefault="00FF302D" w:rsidP="0022429F">
      <w:pPr>
        <w:pStyle w:val="DotPointTLRI"/>
      </w:pPr>
      <w:r w:rsidRPr="00113F13">
        <w:t>powers for privacy complaints to be referred to a tribunal; and</w:t>
      </w:r>
    </w:p>
    <w:p w14:paraId="26FA3919" w14:textId="77777777" w:rsidR="00FF302D" w:rsidRPr="00113F13" w:rsidRDefault="00FF302D" w:rsidP="0022429F">
      <w:pPr>
        <w:pStyle w:val="DotPointTLRI"/>
      </w:pPr>
      <w:r w:rsidRPr="00113F13">
        <w:t>powers for either the initial decision-maker (at the Commonwealth level) or the tribunal (in Victoria, Queensland, and NSW) to make one or more of a range of determinations or orders by way of remedy.</w:t>
      </w:r>
    </w:p>
    <w:p w14:paraId="686D3963"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further observes that the CoI recommended in its final report that reforms to the PIPA and RTI Act be considered to ‘strengthen and streamline internal and external review processes </w:t>
      </w:r>
      <w:r w:rsidRPr="00113F13">
        <w:lastRenderedPageBreak/>
        <w:t>… with a focus on options to enforce decisions of the Ombudsman and to apply for review by the Tasmanian Civil and Administrative Tribunal’.</w:t>
      </w:r>
      <w:r w:rsidRPr="00113F13">
        <w:rPr>
          <w:rStyle w:val="FootnoteReference"/>
          <w:rFonts w:ascii="Times New Roman" w:hAnsi="Times New Roman"/>
        </w:rPr>
        <w:footnoteReference w:id="853"/>
      </w:r>
    </w:p>
    <w:p w14:paraId="413F8BD7" w14:textId="77777777" w:rsidR="00FF302D" w:rsidRPr="00113F13" w:rsidRDefault="00FF302D" w:rsidP="00B63604">
      <w:pPr>
        <w:pStyle w:val="NormalNumberedTextTLRI"/>
        <w:numPr>
          <w:ilvl w:val="2"/>
          <w:numId w:val="31"/>
        </w:numPr>
        <w:tabs>
          <w:tab w:val="clear" w:pos="720"/>
        </w:tabs>
        <w:spacing w:line="259" w:lineRule="auto"/>
      </w:pPr>
      <w:r w:rsidRPr="00113F13">
        <w:t>The TLRI recommends that decisions of the Tasmanian Ombudsman (or other complaint handling body) about PIPA complaints should be reviewable by TasCAT, consistent with the approach in Victoria, NSW, and Queensland. In addition, there should be provision for the matter to be referred to TasCAT if resolution of the complaint cannot be achieved through mediation, as exists in Queensland and Victoria.</w:t>
      </w:r>
      <w:r w:rsidRPr="00113F13">
        <w:rPr>
          <w:rStyle w:val="FootnoteReference"/>
          <w:rFonts w:ascii="Times New Roman" w:hAnsi="Times New Roman"/>
        </w:rPr>
        <w:footnoteReference w:id="854"/>
      </w:r>
    </w:p>
    <w:p w14:paraId="3DE4A121"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further considers that TasCAT should be empowered to make one or more of a range of orders against a personal information custodian if part or all of a PIPA complaint is proven, such as orders that entities act, or refrain from acting, so as to comply with a privacy principle, change their practices, or remedy loss or damage, including through payment of compensation. This is consistent with the approach taken in Victoria, Queensland, and NSW.  </w:t>
      </w:r>
    </w:p>
    <w:p w14:paraId="070649A8" w14:textId="77777777" w:rsidR="00FF302D" w:rsidRPr="00113F13" w:rsidRDefault="00FF302D" w:rsidP="00B63604">
      <w:pPr>
        <w:pStyle w:val="NormalNumberedTextTLRI"/>
        <w:numPr>
          <w:ilvl w:val="2"/>
          <w:numId w:val="31"/>
        </w:numPr>
        <w:tabs>
          <w:tab w:val="clear" w:pos="720"/>
        </w:tabs>
        <w:spacing w:line="259" w:lineRule="auto"/>
      </w:pPr>
      <w:r w:rsidRPr="00113F13">
        <w:t>The TLRI notes the Privacy Act Review’s recommendations relating to expanding the scope of determinations (orders) available in the Commonwealth jurisdiction, by enabling the Commissioner to make orders requiring the respondent to identify and mitigate loss or damage, and to make orders relating to both actual and reasonably foreseeable loss or damage.</w:t>
      </w:r>
      <w:r w:rsidRPr="00113F13">
        <w:rPr>
          <w:rStyle w:val="FootnoteReference"/>
          <w:rFonts w:ascii="Times New Roman" w:hAnsi="Times New Roman"/>
        </w:rPr>
        <w:footnoteReference w:id="855"/>
      </w:r>
      <w:r w:rsidRPr="00113F13">
        <w:t xml:space="preserve"> In its submission in response to the Issues Paper to the present project, TasCOSS made a similar suggestion that orders to mitigate potential privacy risks be available. The TLRI considers that it may also be appropriate to make orders of this nature available to TasCAT, because they would provide greater protection or remediation of individuals’ privacy and stronger incentives for custodians to comply with the PIPPs.</w:t>
      </w:r>
    </w:p>
    <w:p w14:paraId="17445D45"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it may also be appropriate to create a scheme in the PIPA setting out offences for certain conduct (as exists in New South Wales, Victoria, and Queensland) and/or a civil penalty regime (as exists in the Privacy Act) in order to foster compliance and appropriately penalise serious breaches of the PIPPs.</w:t>
      </w:r>
    </w:p>
    <w:p w14:paraId="34BACC20" w14:textId="77777777" w:rsidR="00FF302D" w:rsidRPr="00113F13" w:rsidRDefault="00FF302D" w:rsidP="00B63604">
      <w:pPr>
        <w:pStyle w:val="NormalNumberedTextTLRI"/>
        <w:numPr>
          <w:ilvl w:val="2"/>
          <w:numId w:val="31"/>
        </w:numPr>
        <w:tabs>
          <w:tab w:val="clear" w:pos="720"/>
        </w:tabs>
        <w:spacing w:line="259" w:lineRule="auto"/>
      </w:pPr>
      <w:r w:rsidRPr="00113F13">
        <w:t>The TLRI notes that the Privacy Act Review proposed the introduction of a tiered system of civil penalties for ‘low’, ‘mid’, and ‘serious’ breaches for this purpose. Under the proposed reforms, the OAIC would be empowered to take civil penalty proceedings in the Federal Court or Federal Circuit and Family Court of Australia.</w:t>
      </w:r>
      <w:r w:rsidRPr="00113F13">
        <w:rPr>
          <w:rStyle w:val="FootnoteReference"/>
          <w:rFonts w:ascii="Times New Roman" w:hAnsi="Times New Roman"/>
        </w:rPr>
        <w:footnoteReference w:id="856"/>
      </w:r>
      <w:r w:rsidRPr="00113F13">
        <w:t xml:space="preserve"> This will be a more comprehensive regime than currently exists at the Commonwealth level. The TLRI considers that further consideration should be given to the appropriate form that a civil penalty scheme should take in Tasmania, if any. </w:t>
      </w:r>
    </w:p>
    <w:p w14:paraId="7D35B9F8" w14:textId="77777777" w:rsidR="00FF302D" w:rsidRPr="00113F13" w:rsidRDefault="00FF302D" w:rsidP="00B63604">
      <w:pPr>
        <w:pStyle w:val="NormalNumberedTextTLRI"/>
        <w:numPr>
          <w:ilvl w:val="2"/>
          <w:numId w:val="31"/>
        </w:numPr>
        <w:tabs>
          <w:tab w:val="clear" w:pos="720"/>
        </w:tabs>
        <w:spacing w:line="259" w:lineRule="auto"/>
      </w:pPr>
      <w:r w:rsidRPr="00113F13">
        <w:t>The TLRI observes that other enforcement mechanisms, including injunctions and enforceable undertakings, are available in other jurisdictions. One submission (from TasCOSS) supported empowering the Ombudsman to seek injunctions ‘at various stages of a complaints process’. The TLRI considers that consideration should be given to the appropriate scope of enforcement mechanisms available to the Ombudsman or other administering body.</w:t>
      </w:r>
    </w:p>
    <w:p w14:paraId="112C50D7" w14:textId="59607E88" w:rsidR="00FF302D" w:rsidRPr="00113F13" w:rsidRDefault="00FF302D" w:rsidP="00B63604">
      <w:pPr>
        <w:pStyle w:val="NormalNumberedTextTLRI"/>
        <w:numPr>
          <w:ilvl w:val="2"/>
          <w:numId w:val="31"/>
        </w:numPr>
        <w:tabs>
          <w:tab w:val="clear" w:pos="720"/>
        </w:tabs>
        <w:spacing w:line="259" w:lineRule="auto"/>
      </w:pPr>
      <w:r w:rsidRPr="00113F13">
        <w:t xml:space="preserve">The TLRI did not seek, and did not receive, submissions on whether a direct right of action to seek compensation or other orders from Tasmanian courts for breaches of the PIPA should be introduced. The TLRI notes the recommendation of the Privacy Act Review for the introduction of such a direct right of action at the Federal level, and the Review’s conclusion that such a right of action </w:t>
      </w:r>
      <w:r w:rsidRPr="00113F13">
        <w:lastRenderedPageBreak/>
        <w:t>would be justified in light of the ‘potential benefits for individuals and for compliance with the Act’</w:t>
      </w:r>
      <w:r w:rsidRPr="00113F13">
        <w:rPr>
          <w:rStyle w:val="FootnoteReference"/>
          <w:rFonts w:ascii="Times New Roman" w:hAnsi="Times New Roman"/>
        </w:rPr>
        <w:footnoteReference w:id="857"/>
      </w:r>
      <w:r w:rsidRPr="00113F13">
        <w:t xml:space="preserve"> in giving individuals greater control over their private information and in creating another incentive for regulated entities to comply with the Privacy Act. However, the TLRI also notes that the Privacy Act Review’s recommendation was underpinned, in part, by the AAT’s lack of judicial powers, in contrast to the powers of the State and Territory </w:t>
      </w:r>
      <w:r w:rsidRPr="00987211">
        <w:t>tribunals (</w:t>
      </w:r>
      <w:r w:rsidRPr="00EA22F8">
        <w:t>see [</w:t>
      </w:r>
      <w:r w:rsidRPr="00987211">
        <w:fldChar w:fldCharType="begin"/>
      </w:r>
      <w:r w:rsidRPr="00987211">
        <w:instrText xml:space="preserve"> REF _Ref151724773 \r \h  \* MERGEFORMAT </w:instrText>
      </w:r>
      <w:r w:rsidRPr="00987211">
        <w:fldChar w:fldCharType="separate"/>
      </w:r>
      <w:r w:rsidR="00462C30">
        <w:rPr>
          <w:cs/>
        </w:rPr>
        <w:t>‎</w:t>
      </w:r>
      <w:r w:rsidR="00462C30">
        <w:t>8.3.2</w:t>
      </w:r>
      <w:r w:rsidRPr="00987211">
        <w:fldChar w:fldCharType="end"/>
      </w:r>
      <w:r w:rsidRPr="00EA22F8">
        <w:t>])</w:t>
      </w:r>
      <w:r w:rsidRPr="00987211">
        <w:t>.</w:t>
      </w:r>
      <w:r w:rsidRPr="00987211">
        <w:rPr>
          <w:rStyle w:val="FootnoteReference"/>
          <w:rFonts w:ascii="Times New Roman" w:hAnsi="Times New Roman"/>
        </w:rPr>
        <w:footnoteReference w:id="858"/>
      </w:r>
      <w:r w:rsidRPr="00113F13">
        <w:t xml:space="preserve"> On this basis, the TLRI does not make any recommendations about the introduction of a direct right of action to seek compensation or other orders from Tasmanian courts. The TLRI does recommend that the enforcement provisions in PIPA be strengthened to provide for orders that can be made by TasCAT, in the event that a complaint is proven. Judicial review of TasCAT decisions would then be available through the courts.</w:t>
      </w:r>
    </w:p>
    <w:p w14:paraId="6C25F163" w14:textId="5300E50C" w:rsidR="00FF302D" w:rsidRPr="00113F13" w:rsidRDefault="00FF302D" w:rsidP="00B63604">
      <w:pPr>
        <w:pStyle w:val="NormalNumberedTextTLRI"/>
        <w:numPr>
          <w:ilvl w:val="2"/>
          <w:numId w:val="31"/>
        </w:numPr>
        <w:tabs>
          <w:tab w:val="clear" w:pos="720"/>
        </w:tabs>
        <w:spacing w:line="259" w:lineRule="auto"/>
      </w:pPr>
      <w:r w:rsidRPr="00113F13">
        <w:t>The TLRI observes that regulatory bodies in some Australian jurisdictions are empowered to conduct investigations on their own initiative in some circumstances. For example, the VIC can investigate potential serious, flagrant, or repeated breaches of the Victorian Act for the purpose of issuing a compliance notice, while the NSWPC can conduct inquiries and investigations into privacy related matters as they consider appropriate (</w:t>
      </w:r>
      <w:r w:rsidRPr="00EA22F8">
        <w:t>see [</w:t>
      </w:r>
      <w:r w:rsidRPr="00987211">
        <w:fldChar w:fldCharType="begin"/>
      </w:r>
      <w:r w:rsidRPr="00987211">
        <w:instrText xml:space="preserve"> REF _Ref151725313 \r \h  \* MERGEFORMAT </w:instrText>
      </w:r>
      <w:r w:rsidRPr="00987211">
        <w:fldChar w:fldCharType="separate"/>
      </w:r>
      <w:r w:rsidR="00462C30">
        <w:rPr>
          <w:cs/>
        </w:rPr>
        <w:t>‎</w:t>
      </w:r>
      <w:r w:rsidR="00462C30">
        <w:t>8.2.21</w:t>
      </w:r>
      <w:r w:rsidRPr="00987211">
        <w:fldChar w:fldCharType="end"/>
      </w:r>
      <w:r w:rsidRPr="00EA22F8">
        <w:t>])</w:t>
      </w:r>
      <w:r w:rsidRPr="00987211">
        <w:t>.</w:t>
      </w:r>
      <w:r w:rsidRPr="00113F13">
        <w:t xml:space="preserve"> It is also noted that the </w:t>
      </w:r>
      <w:r w:rsidRPr="00113F13">
        <w:rPr>
          <w:i/>
          <w:iCs/>
        </w:rPr>
        <w:t>Information Privacy and Other Legislation Amendment Act 2023</w:t>
      </w:r>
      <w:r w:rsidRPr="00113F13">
        <w:t xml:space="preserve"> (Qld) will provide the Information Commissioner with the power to conduct own-motion investigations once it has been commenced. The TLRI further notes that the Privacy Act Review also recommended broadening the Commissioner’s powers to enable it to conduct public inquiries and reviews regarding systemic issues. </w:t>
      </w:r>
    </w:p>
    <w:p w14:paraId="06AA6665" w14:textId="5EFEC913" w:rsidR="007D599B" w:rsidRDefault="00FF302D" w:rsidP="00B63604">
      <w:pPr>
        <w:pStyle w:val="NormalNumberedTextTLRI"/>
        <w:numPr>
          <w:ilvl w:val="2"/>
          <w:numId w:val="31"/>
        </w:numPr>
        <w:tabs>
          <w:tab w:val="clear" w:pos="720"/>
        </w:tabs>
        <w:spacing w:line="259" w:lineRule="auto"/>
      </w:pPr>
      <w:r w:rsidRPr="00113F13">
        <w:t>In the TLRI’s view</w:t>
      </w:r>
      <w:r w:rsidRPr="00154B00">
        <w:t xml:space="preserve">, the Tasmanian Ombudsman (or other complaints-handling body) </w:t>
      </w:r>
      <w:r w:rsidRPr="00EA22F8">
        <w:t>should clearly be provided with a legislative power</w:t>
      </w:r>
      <w:r w:rsidRPr="00154B00">
        <w:t xml:space="preserve"> to conduct investigations into breaches of the PIPPs, regardless of whether a complaint has been received</w:t>
      </w:r>
      <w:r w:rsidRPr="00113F13">
        <w:t xml:space="preserve">. If a civil penalty regime is introduced, then the PIPA should enable the Ombudsman to seek penalties if such an investigation establishes that there has been a breach. Alternatively, consideration could be given to creating a compliance notice scheme as exists in Victoria. It is noted that the </w:t>
      </w:r>
      <w:r w:rsidRPr="00113F13">
        <w:rPr>
          <w:i/>
          <w:iCs/>
        </w:rPr>
        <w:t>Information Privacy and Other Legislation Amendment Act 2023</w:t>
      </w:r>
      <w:r w:rsidRPr="00113F13">
        <w:t xml:space="preserve"> (Qld) will create a mandatory data breach scheme once it is commenced.</w:t>
      </w:r>
      <w:r w:rsidRPr="00113F13">
        <w:rPr>
          <w:rStyle w:val="FootnoteReference"/>
          <w:rFonts w:ascii="Times New Roman" w:hAnsi="Times New Roman"/>
        </w:rPr>
        <w:footnoteReference w:id="859"/>
      </w:r>
      <w:r w:rsidRPr="00113F13">
        <w:t xml:space="preserve"> </w:t>
      </w:r>
    </w:p>
    <w:p w14:paraId="5226D4E2" w14:textId="77777777" w:rsidR="00FF302D" w:rsidRPr="00113F13" w:rsidRDefault="00FF302D" w:rsidP="00BF1FE7">
      <w:pPr>
        <w:pStyle w:val="NumberedHeadingTLRI"/>
      </w:pPr>
      <w:bookmarkStart w:id="877" w:name="_Toc164606693"/>
      <w:r w:rsidRPr="00113F13">
        <w:t>Recommendations</w:t>
      </w:r>
      <w:bookmarkEnd w:id="8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632E4430" w14:textId="77777777" w:rsidTr="00754A3F">
        <w:tc>
          <w:tcPr>
            <w:tcW w:w="9016" w:type="dxa"/>
            <w:shd w:val="clear" w:color="auto" w:fill="E8E8E8" w:themeFill="background2"/>
          </w:tcPr>
          <w:p w14:paraId="36C1B1AD" w14:textId="77777777" w:rsidR="00FF302D" w:rsidRPr="00113F13" w:rsidRDefault="00FF302D" w:rsidP="00754A3F">
            <w:pPr>
              <w:spacing w:before="120"/>
              <w:rPr>
                <w:rFonts w:cs="Times New Roman"/>
              </w:rPr>
            </w:pPr>
            <w:r w:rsidRPr="00113F13">
              <w:rPr>
                <w:rFonts w:cs="Times New Roman"/>
                <w:b/>
                <w:bCs/>
              </w:rPr>
              <w:t xml:space="preserve">Recommendation 47: </w:t>
            </w:r>
            <w:r w:rsidRPr="00113F13">
              <w:rPr>
                <w:rFonts w:cs="Times New Roman"/>
              </w:rPr>
              <w:t>Consideration should be given to:</w:t>
            </w:r>
          </w:p>
          <w:p w14:paraId="3FCA0FF1" w14:textId="77777777" w:rsidR="00FF302D" w:rsidRPr="00113F13" w:rsidRDefault="00FF302D" w:rsidP="00073A03">
            <w:pPr>
              <w:pStyle w:val="ListParagraph"/>
              <w:numPr>
                <w:ilvl w:val="0"/>
                <w:numId w:val="40"/>
              </w:numPr>
              <w:spacing w:before="120" w:after="0"/>
              <w:rPr>
                <w:rFonts w:cs="Times New Roman"/>
                <w:sz w:val="22"/>
                <w:szCs w:val="22"/>
              </w:rPr>
            </w:pPr>
            <w:r w:rsidRPr="00113F13">
              <w:rPr>
                <w:rFonts w:cs="Times New Roman"/>
              </w:rPr>
              <w:t xml:space="preserve">the most appropriate form that a body responsible for broadened enforcement and compliance functions under the PIPA should take; and </w:t>
            </w:r>
          </w:p>
          <w:p w14:paraId="45D25F13" w14:textId="77777777" w:rsidR="00FF302D" w:rsidRPr="00113F13" w:rsidRDefault="00FF302D" w:rsidP="00073A03">
            <w:pPr>
              <w:pStyle w:val="ListParagraph"/>
              <w:numPr>
                <w:ilvl w:val="0"/>
                <w:numId w:val="40"/>
              </w:numPr>
              <w:spacing w:before="120" w:after="0"/>
              <w:rPr>
                <w:rFonts w:cs="Times New Roman"/>
                <w:sz w:val="22"/>
                <w:szCs w:val="22"/>
              </w:rPr>
            </w:pPr>
            <w:r w:rsidRPr="00113F13">
              <w:rPr>
                <w:rFonts w:cs="Times New Roman"/>
              </w:rPr>
              <w:t>ensuring adequate resourcing for that body.</w:t>
            </w:r>
          </w:p>
          <w:p w14:paraId="32964388" w14:textId="77777777" w:rsidR="00FF302D" w:rsidRPr="00113F13" w:rsidRDefault="00FF302D" w:rsidP="00754A3F">
            <w:pPr>
              <w:spacing w:before="120"/>
              <w:rPr>
                <w:rFonts w:cs="Times New Roman"/>
              </w:rPr>
            </w:pPr>
            <w:r w:rsidRPr="00113F13">
              <w:rPr>
                <w:rFonts w:cs="Times New Roman"/>
                <w:b/>
                <w:bCs/>
              </w:rPr>
              <w:t xml:space="preserve">Recommendation 48: </w:t>
            </w:r>
            <w:r w:rsidRPr="00113F13">
              <w:rPr>
                <w:rFonts w:cs="Times New Roman"/>
              </w:rPr>
              <w:t>Consideration should be given to the introduction of a requirement for the Ombudsman (or other complaints-handling body) to consider the appropriateness of conciliation when dealing with a complaint. There should also be jurisdiction for TasCAT to hear a complaint, if the Ombudsman (or other complaints-handling body) decides that it is not reasonably possible that a complaint be conciliated successfully.</w:t>
            </w:r>
          </w:p>
          <w:p w14:paraId="49A973E6" w14:textId="77777777" w:rsidR="00FF302D" w:rsidRPr="00113F13" w:rsidRDefault="00FF302D" w:rsidP="00754A3F">
            <w:pPr>
              <w:spacing w:before="120"/>
              <w:rPr>
                <w:rFonts w:cs="Times New Roman"/>
              </w:rPr>
            </w:pPr>
            <w:r w:rsidRPr="00113F13">
              <w:rPr>
                <w:rFonts w:cs="Times New Roman"/>
                <w:b/>
                <w:bCs/>
              </w:rPr>
              <w:t xml:space="preserve">Recommendation 49: </w:t>
            </w:r>
            <w:r w:rsidRPr="00113F13">
              <w:rPr>
                <w:rFonts w:cs="Times New Roman"/>
              </w:rPr>
              <w:t>Community consultation should be undertaken to ensure that changes to complaints and review processes under the PIPA are available and accessible to all in the community.</w:t>
            </w:r>
          </w:p>
          <w:p w14:paraId="04D020F1" w14:textId="77777777" w:rsidR="00FF302D" w:rsidRPr="00113F13" w:rsidRDefault="00FF302D" w:rsidP="00754A3F">
            <w:pPr>
              <w:spacing w:before="120"/>
              <w:rPr>
                <w:rFonts w:cs="Times New Roman"/>
              </w:rPr>
            </w:pPr>
            <w:r w:rsidRPr="00113F13">
              <w:rPr>
                <w:rFonts w:cs="Times New Roman"/>
                <w:b/>
                <w:bCs/>
              </w:rPr>
              <w:t xml:space="preserve">Recommendation 50: </w:t>
            </w:r>
            <w:r w:rsidRPr="00113F13">
              <w:rPr>
                <w:rFonts w:cs="Times New Roman"/>
              </w:rPr>
              <w:t xml:space="preserve">Decisions of the Ombudsman (or other complaints-handling body) in relation to PIPA complaints should be reviewable by TasCAT. </w:t>
            </w:r>
          </w:p>
          <w:p w14:paraId="3F8C5D9F" w14:textId="77777777" w:rsidR="00FF302D" w:rsidRPr="00113F13" w:rsidRDefault="00FF302D" w:rsidP="00754A3F">
            <w:pPr>
              <w:spacing w:before="120"/>
              <w:rPr>
                <w:rFonts w:cs="Times New Roman"/>
                <w:strike/>
              </w:rPr>
            </w:pPr>
            <w:r w:rsidRPr="00113F13">
              <w:rPr>
                <w:rFonts w:cs="Times New Roman"/>
                <w:b/>
                <w:bCs/>
              </w:rPr>
              <w:lastRenderedPageBreak/>
              <w:t xml:space="preserve">Recommendation 51: </w:t>
            </w:r>
            <w:r w:rsidRPr="00113F13">
              <w:rPr>
                <w:rFonts w:cs="Times New Roman"/>
              </w:rPr>
              <w:t xml:space="preserve">TasCAT should be empowered to make appropriate orders against personal information custodians, where all or part of a PIPA complaint has been proven. </w:t>
            </w:r>
          </w:p>
          <w:p w14:paraId="06F06CB7" w14:textId="77777777" w:rsidR="00FF302D" w:rsidRPr="00113F13" w:rsidRDefault="00FF302D" w:rsidP="00754A3F">
            <w:pPr>
              <w:spacing w:before="120"/>
              <w:rPr>
                <w:rFonts w:cs="Times New Roman"/>
              </w:rPr>
            </w:pPr>
            <w:r w:rsidRPr="00113F13">
              <w:rPr>
                <w:rFonts w:cs="Times New Roman"/>
                <w:b/>
                <w:bCs/>
              </w:rPr>
              <w:t xml:space="preserve">Recommendation 52: </w:t>
            </w:r>
            <w:r w:rsidRPr="00113F13">
              <w:rPr>
                <w:rFonts w:cs="Times New Roman"/>
              </w:rPr>
              <w:t>Consideration should be given to strengthening the enforcement regime through:</w:t>
            </w:r>
          </w:p>
          <w:p w14:paraId="508754B0" w14:textId="77777777" w:rsidR="00FF302D" w:rsidRPr="00113F13" w:rsidRDefault="00FF302D" w:rsidP="00073A03">
            <w:pPr>
              <w:pStyle w:val="ListParagraph"/>
              <w:numPr>
                <w:ilvl w:val="0"/>
                <w:numId w:val="40"/>
              </w:numPr>
              <w:spacing w:before="120" w:after="0"/>
              <w:rPr>
                <w:rFonts w:cs="Times New Roman"/>
                <w:sz w:val="22"/>
                <w:szCs w:val="22"/>
              </w:rPr>
            </w:pPr>
            <w:r w:rsidRPr="00113F13">
              <w:rPr>
                <w:rFonts w:cs="Times New Roman"/>
              </w:rPr>
              <w:t>the creation of offences for certain conduct;</w:t>
            </w:r>
          </w:p>
          <w:p w14:paraId="72C8C438" w14:textId="77777777" w:rsidR="00FF302D" w:rsidRPr="00113F13" w:rsidRDefault="00FF302D" w:rsidP="00073A03">
            <w:pPr>
              <w:pStyle w:val="ListParagraph"/>
              <w:numPr>
                <w:ilvl w:val="0"/>
                <w:numId w:val="40"/>
              </w:numPr>
              <w:spacing w:before="120" w:after="0"/>
              <w:rPr>
                <w:rFonts w:cs="Times New Roman"/>
                <w:sz w:val="22"/>
                <w:szCs w:val="22"/>
              </w:rPr>
            </w:pPr>
            <w:r w:rsidRPr="00113F13">
              <w:rPr>
                <w:rFonts w:cs="Times New Roman"/>
              </w:rPr>
              <w:t>a civil penalty regime; and/or</w:t>
            </w:r>
          </w:p>
          <w:p w14:paraId="1B1C81D8" w14:textId="77777777" w:rsidR="00FF302D" w:rsidRPr="00113F13" w:rsidRDefault="00FF302D" w:rsidP="00073A03">
            <w:pPr>
              <w:pStyle w:val="ListParagraph"/>
              <w:numPr>
                <w:ilvl w:val="0"/>
                <w:numId w:val="40"/>
              </w:numPr>
              <w:spacing w:before="120" w:after="0"/>
              <w:rPr>
                <w:rFonts w:cs="Times New Roman"/>
                <w:sz w:val="22"/>
                <w:szCs w:val="22"/>
              </w:rPr>
            </w:pPr>
            <w:r w:rsidRPr="00113F13">
              <w:rPr>
                <w:rFonts w:cs="Times New Roman"/>
              </w:rPr>
              <w:t>the creation of additional enforcement mechanisms, such as injunctions and enforceable undertakings.</w:t>
            </w:r>
          </w:p>
          <w:p w14:paraId="2FAE0BB8" w14:textId="77777777" w:rsidR="00FF302D" w:rsidRPr="00113F13" w:rsidRDefault="00FF302D" w:rsidP="00754A3F">
            <w:pPr>
              <w:spacing w:before="120"/>
              <w:rPr>
                <w:rFonts w:cs="Times New Roman"/>
                <w:sz w:val="22"/>
                <w:szCs w:val="22"/>
              </w:rPr>
            </w:pPr>
            <w:r w:rsidRPr="00113F13">
              <w:rPr>
                <w:rFonts w:cs="Times New Roman"/>
              </w:rPr>
              <w:t>Guidance can be sought from the provision in other Australian jurisdictions as to the scope of the regimes.</w:t>
            </w:r>
          </w:p>
          <w:p w14:paraId="18FAA8E6" w14:textId="28237A82" w:rsidR="00FF302D" w:rsidRPr="00060639" w:rsidRDefault="00FF302D" w:rsidP="00754A3F">
            <w:pPr>
              <w:spacing w:before="120"/>
              <w:rPr>
                <w:rFonts w:cs="Times New Roman"/>
              </w:rPr>
            </w:pPr>
            <w:r w:rsidRPr="00113F13">
              <w:rPr>
                <w:rFonts w:cs="Times New Roman"/>
                <w:b/>
                <w:bCs/>
              </w:rPr>
              <w:t xml:space="preserve">Recommendation 53: </w:t>
            </w:r>
            <w:r w:rsidRPr="00113F13">
              <w:rPr>
                <w:rFonts w:cs="Times New Roman"/>
              </w:rPr>
              <w:t>The power of the Ombudsman (or other complaints-handling body) to conduct investigations into breaches of the PIPPs, regardless of whether a complaint has been received, should be clarified.</w:t>
            </w:r>
          </w:p>
        </w:tc>
      </w:tr>
    </w:tbl>
    <w:p w14:paraId="30BC3F1E" w14:textId="1845F03F" w:rsidR="00FF302D" w:rsidRPr="00113F13" w:rsidRDefault="00FF302D" w:rsidP="00BF1FE7">
      <w:pPr>
        <w:pStyle w:val="NumberedHeadingTLRI"/>
      </w:pPr>
      <w:bookmarkStart w:id="878" w:name="_Toc91832007"/>
      <w:bookmarkStart w:id="879" w:name="_Toc130540441"/>
      <w:bookmarkStart w:id="880" w:name="_Toc164606694"/>
      <w:r w:rsidRPr="00113F13">
        <w:lastRenderedPageBreak/>
        <w:t>Other regulatory action</w:t>
      </w:r>
      <w:bookmarkEnd w:id="878"/>
      <w:bookmarkEnd w:id="879"/>
      <w:bookmarkEnd w:id="880"/>
    </w:p>
    <w:p w14:paraId="40CE3931" w14:textId="77777777" w:rsidR="00FF302D" w:rsidRPr="00113F13" w:rsidRDefault="00FF302D" w:rsidP="0022429F">
      <w:pPr>
        <w:pStyle w:val="Headingunnumbered"/>
        <w:rPr>
          <w:rFonts w:cs="Times New Roman"/>
        </w:rPr>
      </w:pPr>
      <w:bookmarkStart w:id="881" w:name="_Toc164606695"/>
      <w:r w:rsidRPr="00113F13">
        <w:rPr>
          <w:rFonts w:cs="Times New Roman"/>
        </w:rPr>
        <w:t>The Tasmanian position</w:t>
      </w:r>
      <w:bookmarkEnd w:id="881"/>
    </w:p>
    <w:p w14:paraId="4274E33B" w14:textId="77777777" w:rsidR="00FF302D" w:rsidRPr="00113F13" w:rsidRDefault="00FF302D" w:rsidP="00B63604">
      <w:pPr>
        <w:pStyle w:val="NormalNumberedTextTLRI"/>
        <w:numPr>
          <w:ilvl w:val="2"/>
          <w:numId w:val="31"/>
        </w:numPr>
        <w:tabs>
          <w:tab w:val="clear" w:pos="720"/>
        </w:tabs>
        <w:spacing w:line="259" w:lineRule="auto"/>
      </w:pPr>
      <w:r w:rsidRPr="00113F13">
        <w:t>Two additional forms of regulatory action currently absent from the PIPA are available in Commonwealth and/or other State and Territory legislation: privacy codes and privacy impact assessments.</w:t>
      </w:r>
    </w:p>
    <w:p w14:paraId="193E2919" w14:textId="77777777" w:rsidR="00FF302D" w:rsidRPr="00113F13" w:rsidRDefault="00FF302D" w:rsidP="0022429F">
      <w:pPr>
        <w:pStyle w:val="Headingunnumbered"/>
        <w:rPr>
          <w:rFonts w:cs="Times New Roman"/>
          <w:szCs w:val="18"/>
        </w:rPr>
      </w:pPr>
      <w:bookmarkStart w:id="882" w:name="_Toc164606696"/>
      <w:r w:rsidRPr="00113F13">
        <w:rPr>
          <w:rFonts w:cs="Times New Roman"/>
        </w:rPr>
        <w:t>The position in other jurisdictions</w:t>
      </w:r>
      <w:bookmarkEnd w:id="882"/>
    </w:p>
    <w:p w14:paraId="00BB75AF" w14:textId="77777777" w:rsidR="00FF302D" w:rsidRPr="00113F13" w:rsidRDefault="00FF302D" w:rsidP="00B63604">
      <w:pPr>
        <w:pStyle w:val="NormalNumberedTextTLRI"/>
        <w:numPr>
          <w:ilvl w:val="2"/>
          <w:numId w:val="31"/>
        </w:numPr>
        <w:tabs>
          <w:tab w:val="clear" w:pos="720"/>
        </w:tabs>
        <w:spacing w:line="259" w:lineRule="auto"/>
      </w:pPr>
      <w:r w:rsidRPr="00113F13">
        <w:t>Commonwealth, NSW, and Victorian privacy legislation provide for mechanisms to develop and approve ‘privacy codes’, or codes of practices about information privacy.</w:t>
      </w:r>
      <w:r w:rsidRPr="00113F13">
        <w:rPr>
          <w:rStyle w:val="FootnoteReference"/>
          <w:rFonts w:ascii="Times New Roman" w:hAnsi="Times New Roman"/>
        </w:rPr>
        <w:footnoteReference w:id="860"/>
      </w:r>
      <w:r w:rsidRPr="00113F13">
        <w:t xml:space="preserve"> </w:t>
      </w:r>
    </w:p>
    <w:p w14:paraId="329E66A2" w14:textId="3A0C4CBD" w:rsidR="00FF302D" w:rsidRPr="00113F13" w:rsidRDefault="00FF302D" w:rsidP="00B63604">
      <w:pPr>
        <w:pStyle w:val="NormalNumberedTextTLRI"/>
        <w:numPr>
          <w:ilvl w:val="2"/>
          <w:numId w:val="31"/>
        </w:numPr>
        <w:tabs>
          <w:tab w:val="clear" w:pos="720"/>
        </w:tabs>
        <w:spacing w:line="259" w:lineRule="auto"/>
      </w:pPr>
      <w:r w:rsidRPr="00113F13">
        <w:t xml:space="preserve">At the Commonwealth level, an ‘APP code’ does not replace the APPs but operates in addition to the APP requirements discussed in </w:t>
      </w:r>
      <w:r w:rsidR="00514C40">
        <w:t>Parts</w:t>
      </w:r>
      <w:r w:rsidRPr="00113F13">
        <w:t xml:space="preserve"> 4</w:t>
      </w:r>
      <w:r w:rsidR="00514C40">
        <w:t>–</w:t>
      </w:r>
      <w:r w:rsidRPr="00113F13">
        <w:t>7 of this Report.</w:t>
      </w:r>
      <w:r w:rsidRPr="00113F13">
        <w:rPr>
          <w:rStyle w:val="FootnoteReference"/>
          <w:rFonts w:ascii="Times New Roman" w:hAnsi="Times New Roman"/>
        </w:rPr>
        <w:footnoteReference w:id="861"/>
      </w:r>
      <w:r w:rsidRPr="00113F13">
        <w:t xml:space="preserve"> According to the OAIC, such codes augment the APPs and provide greater transparency on how personal information is handled. A breach of a code generally has the same legal effect as a breach of the privacy principles.</w:t>
      </w:r>
      <w:r w:rsidRPr="00113F13">
        <w:rPr>
          <w:rStyle w:val="FootnoteReference"/>
          <w:rFonts w:ascii="Times New Roman" w:hAnsi="Times New Roman"/>
        </w:rPr>
        <w:footnoteReference w:id="862"/>
      </w:r>
    </w:p>
    <w:p w14:paraId="01D42734" w14:textId="77777777" w:rsidR="00FF302D" w:rsidRPr="00113F13" w:rsidRDefault="00FF302D" w:rsidP="00B63604">
      <w:pPr>
        <w:pStyle w:val="NormalNumberedTextTLRI"/>
        <w:numPr>
          <w:ilvl w:val="2"/>
          <w:numId w:val="31"/>
        </w:numPr>
        <w:tabs>
          <w:tab w:val="clear" w:pos="720"/>
        </w:tabs>
        <w:spacing w:line="259" w:lineRule="auto"/>
      </w:pPr>
      <w:r w:rsidRPr="00113F13">
        <w:t>Under the Privacy Act, APP codes may be developed by entities (termed ‘APP code developers’), either on their own initiative or upon request by the Australian Information Commissioner.</w:t>
      </w:r>
      <w:r w:rsidRPr="00113F13">
        <w:rPr>
          <w:rStyle w:val="FootnoteReference"/>
          <w:rFonts w:ascii="Times New Roman" w:hAnsi="Times New Roman"/>
        </w:rPr>
        <w:footnoteReference w:id="863"/>
      </w:r>
      <w:r w:rsidRPr="00113F13">
        <w:t xml:space="preserve"> The Commissioner may only develop an APP code where an APP code developer has not complied with a request to develop a code, or the Commissioner has decided not to register an APP code that has been developed as requested.</w:t>
      </w:r>
      <w:r w:rsidRPr="00113F13">
        <w:rPr>
          <w:rStyle w:val="FootnoteReference"/>
          <w:rFonts w:ascii="Times New Roman" w:hAnsi="Times New Roman"/>
        </w:rPr>
        <w:footnoteReference w:id="864"/>
      </w:r>
      <w:r w:rsidRPr="00113F13">
        <w:t xml:space="preserve"> The codes set out how one or more APPs are to be applied or complied with, and </w:t>
      </w:r>
      <w:r w:rsidRPr="00113F13">
        <w:rPr>
          <w:color w:val="000000" w:themeColor="text1"/>
        </w:rPr>
        <w:t>may also impose additional requirements</w:t>
      </w:r>
      <w:r w:rsidRPr="00113F13">
        <w:t>.</w:t>
      </w:r>
      <w:r w:rsidRPr="00113F13">
        <w:rPr>
          <w:rStyle w:val="FootnoteReference"/>
          <w:rFonts w:ascii="Times New Roman" w:hAnsi="Times New Roman"/>
        </w:rPr>
        <w:footnoteReference w:id="865"/>
      </w:r>
      <w:r w:rsidRPr="00113F13">
        <w:t xml:space="preserve"> The Commissioner registers </w:t>
      </w:r>
      <w:r w:rsidRPr="00113F13">
        <w:lastRenderedPageBreak/>
        <w:t>approved codes on a Codes Register.</w:t>
      </w:r>
      <w:r w:rsidRPr="00113F13">
        <w:rPr>
          <w:rStyle w:val="FootnoteReference"/>
          <w:rFonts w:ascii="Times New Roman" w:hAnsi="Times New Roman"/>
        </w:rPr>
        <w:footnoteReference w:id="866"/>
      </w:r>
      <w:r w:rsidRPr="00113F13">
        <w:t xml:space="preserve"> As at 1 February 2024, there were three registered privacy codes in force.</w:t>
      </w:r>
      <w:r w:rsidRPr="00113F13">
        <w:rPr>
          <w:rStyle w:val="FootnoteReference"/>
          <w:rFonts w:ascii="Times New Roman" w:hAnsi="Times New Roman"/>
        </w:rPr>
        <w:footnoteReference w:id="867"/>
      </w:r>
    </w:p>
    <w:p w14:paraId="42F0A668" w14:textId="4B9EB366" w:rsidR="00FF302D" w:rsidRPr="00B05EB9" w:rsidRDefault="10DD744B" w:rsidP="00B63604">
      <w:pPr>
        <w:pStyle w:val="NormalNumberedTextTLRI"/>
        <w:numPr>
          <w:ilvl w:val="2"/>
          <w:numId w:val="31"/>
        </w:numPr>
        <w:tabs>
          <w:tab w:val="clear" w:pos="720"/>
        </w:tabs>
        <w:spacing w:line="259" w:lineRule="auto"/>
      </w:pPr>
      <w:r>
        <w:t xml:space="preserve">One such code is the </w:t>
      </w:r>
      <w:r w:rsidRPr="00EA22F8">
        <w:t>Privacy (Australian Government Agencies – Governance) APP Code 2017</w:t>
      </w:r>
      <w:r>
        <w:t>, which ‘prescribes the steps that Australian government agencies must take to comply with APP</w:t>
      </w:r>
      <w:r w:rsidR="004C6CE9">
        <w:t> </w:t>
      </w:r>
      <w:r>
        <w:t xml:space="preserve">1.2’; that is, to take reasonable steps to implement practices, procedures, and systems to ensure compliance with the APPs </w:t>
      </w:r>
      <w:r w:rsidRPr="00B05EB9">
        <w:t>(</w:t>
      </w:r>
      <w:r w:rsidRPr="00EA22F8">
        <w:t>see [</w:t>
      </w:r>
      <w:r w:rsidR="00B05EB9" w:rsidRPr="00EA22F8">
        <w:fldChar w:fldCharType="begin"/>
      </w:r>
      <w:r w:rsidR="00B05EB9" w:rsidRPr="00EA22F8">
        <w:instrText xml:space="preserve"> REF _Ref91150334 \r \h </w:instrText>
      </w:r>
      <w:r w:rsidR="00B05EB9">
        <w:instrText xml:space="preserve"> \* MERGEFORMAT </w:instrText>
      </w:r>
      <w:r w:rsidR="00B05EB9" w:rsidRPr="00EA22F8">
        <w:fldChar w:fldCharType="separate"/>
      </w:r>
      <w:r w:rsidR="00462C30">
        <w:rPr>
          <w:cs/>
        </w:rPr>
        <w:t>‎</w:t>
      </w:r>
      <w:r w:rsidR="00462C30">
        <w:t>7.2.6</w:t>
      </w:r>
      <w:r w:rsidR="00B05EB9" w:rsidRPr="00EA22F8">
        <w:fldChar w:fldCharType="end"/>
      </w:r>
      <w:r w:rsidRPr="00EA22F8">
        <w:t>] and following for a detailed discussion)</w:t>
      </w:r>
      <w:r w:rsidRPr="00B05EB9">
        <w:t>.</w:t>
      </w:r>
    </w:p>
    <w:p w14:paraId="252CC1EF" w14:textId="77777777" w:rsidR="00FF302D" w:rsidRPr="00113F13" w:rsidRDefault="00FF302D" w:rsidP="00B63604">
      <w:pPr>
        <w:pStyle w:val="NormalNumberedTextTLRI"/>
        <w:numPr>
          <w:ilvl w:val="2"/>
          <w:numId w:val="31"/>
        </w:numPr>
        <w:tabs>
          <w:tab w:val="clear" w:pos="720"/>
        </w:tabs>
        <w:spacing w:line="259" w:lineRule="auto"/>
      </w:pPr>
      <w:bookmarkStart w:id="884" w:name="_Ref164772324"/>
      <w:r w:rsidRPr="00113F13">
        <w:t>One requirement imposed by 2017 APP Code is that agencies must complete a privacy impact assessment where they undertake ‘high risk privacy projects’.</w:t>
      </w:r>
      <w:r w:rsidRPr="00113F13">
        <w:rPr>
          <w:rStyle w:val="FootnoteReference"/>
          <w:rFonts w:ascii="Times New Roman" w:hAnsi="Times New Roman"/>
        </w:rPr>
        <w:footnoteReference w:id="868"/>
      </w:r>
      <w:r w:rsidRPr="00113F13">
        <w:t xml:space="preserve"> Section 33D of the Privacy Act also empowers the Commissioner to direct government agencies to undertake a privacy impact assessment.</w:t>
      </w:r>
      <w:r w:rsidRPr="00113F13">
        <w:rPr>
          <w:rStyle w:val="FootnoteReference"/>
          <w:rFonts w:ascii="Times New Roman" w:hAnsi="Times New Roman"/>
        </w:rPr>
        <w:footnoteReference w:id="869"/>
      </w:r>
      <w:r w:rsidRPr="00113F13">
        <w:t xml:space="preserve"> The Privacy Act defines ‘privacy impact assessment’ as ‘a written assessment of an activity or function that … identifies the impact the activity or function might have on the privacy of individuals; and … sets out recommendations for managing, minimising, or eliminating that impact’.</w:t>
      </w:r>
      <w:r w:rsidRPr="00113F13">
        <w:rPr>
          <w:rStyle w:val="FootnoteReference"/>
          <w:rFonts w:ascii="Times New Roman" w:hAnsi="Times New Roman"/>
        </w:rPr>
        <w:footnoteReference w:id="870"/>
      </w:r>
      <w:r w:rsidRPr="00113F13">
        <w:t xml:space="preserve"> Agencies must maintain a register of their privacy impact assessments and publish them on their websites.</w:t>
      </w:r>
      <w:r w:rsidRPr="00113F13">
        <w:rPr>
          <w:rStyle w:val="FootnoteReference"/>
          <w:rFonts w:ascii="Times New Roman" w:hAnsi="Times New Roman"/>
        </w:rPr>
        <w:footnoteReference w:id="871"/>
      </w:r>
      <w:bookmarkEnd w:id="884"/>
    </w:p>
    <w:p w14:paraId="4118ADF7" w14:textId="77777777" w:rsidR="00FF302D" w:rsidRPr="00113F13" w:rsidRDefault="00FF302D" w:rsidP="00B63604">
      <w:pPr>
        <w:pStyle w:val="NormalNumberedTextTLRI"/>
        <w:numPr>
          <w:ilvl w:val="2"/>
          <w:numId w:val="31"/>
        </w:numPr>
        <w:tabs>
          <w:tab w:val="clear" w:pos="720"/>
        </w:tabs>
        <w:spacing w:line="259" w:lineRule="auto"/>
      </w:pPr>
      <w:r w:rsidRPr="00113F13">
        <w:t xml:space="preserve">Legislation in other Australian jurisdictions also provides for the development of privacy codes of practice, although the purpose and effect of these differ from those made under the Privacy Act. For example, in Victoria and NSW, codes of practice can </w:t>
      </w:r>
      <w:r w:rsidRPr="00113F13">
        <w:rPr>
          <w:i/>
          <w:iCs/>
        </w:rPr>
        <w:t>modify</w:t>
      </w:r>
      <w:r w:rsidRPr="00113F13">
        <w:t xml:space="preserve"> the application of one or more of the applicable privacy principles in relation to specified information, a specific public sector body, or a specific activity (or classes thereof).</w:t>
      </w:r>
      <w:r w:rsidRPr="00113F13">
        <w:rPr>
          <w:rStyle w:val="FootnoteReference"/>
          <w:rFonts w:ascii="Times New Roman" w:hAnsi="Times New Roman"/>
        </w:rPr>
        <w:footnoteReference w:id="872"/>
      </w:r>
      <w:r w:rsidRPr="00113F13">
        <w:t xml:space="preserve"> </w:t>
      </w:r>
    </w:p>
    <w:p w14:paraId="6AD6A2C9" w14:textId="77777777" w:rsidR="00FF302D" w:rsidRPr="00113F13" w:rsidRDefault="00FF302D" w:rsidP="00B63604">
      <w:pPr>
        <w:pStyle w:val="NormalNumberedTextTLRI"/>
        <w:numPr>
          <w:ilvl w:val="2"/>
          <w:numId w:val="31"/>
        </w:numPr>
        <w:tabs>
          <w:tab w:val="clear" w:pos="720"/>
        </w:tabs>
        <w:spacing w:line="259" w:lineRule="auto"/>
      </w:pPr>
      <w:r w:rsidRPr="00113F13">
        <w:t>The Victorian legislation specifies that a code of practice may only prescribe standards that are at least as stringent as the standards prescribed in the information privacy principle.</w:t>
      </w:r>
      <w:r w:rsidRPr="00113F13">
        <w:rPr>
          <w:rStyle w:val="FootnoteReference"/>
          <w:rFonts w:ascii="Times New Roman" w:hAnsi="Times New Roman"/>
        </w:rPr>
        <w:footnoteReference w:id="873"/>
      </w:r>
      <w:r w:rsidRPr="00113F13">
        <w:t xml:space="preserve"> In addition to modifying the application of one or more privacy principles, Victorian codes of practice can prescribe how one or more of the principles should be applied or complied with, set guidelines on charging, and prescribe procedures for complaints and remedies, among other things.</w:t>
      </w:r>
      <w:r w:rsidRPr="00113F13">
        <w:rPr>
          <w:rStyle w:val="FootnoteReference"/>
          <w:rFonts w:ascii="Times New Roman" w:hAnsi="Times New Roman"/>
        </w:rPr>
        <w:footnoteReference w:id="874"/>
      </w:r>
      <w:r w:rsidRPr="00113F13">
        <w:t xml:space="preserve"> Public sector organisations can discharge their duty to comply with the privacy principles by complying with an approved code of practice.</w:t>
      </w:r>
      <w:r w:rsidRPr="00113F13">
        <w:rPr>
          <w:rStyle w:val="FootnoteReference"/>
          <w:rFonts w:ascii="Times New Roman" w:hAnsi="Times New Roman"/>
        </w:rPr>
        <w:footnoteReference w:id="875"/>
      </w:r>
      <w:r w:rsidRPr="00113F13">
        <w:t xml:space="preserve"> Contraventions of a code are taken to be contraventions of the privacy principles and can be dealt with as provided by the code and the legislation.</w:t>
      </w:r>
      <w:r w:rsidRPr="00113F13">
        <w:rPr>
          <w:rStyle w:val="FootnoteReference"/>
          <w:rFonts w:ascii="Times New Roman" w:hAnsi="Times New Roman"/>
        </w:rPr>
        <w:footnoteReference w:id="876"/>
      </w:r>
    </w:p>
    <w:p w14:paraId="472FF2DA" w14:textId="77777777" w:rsidR="00FF302D" w:rsidRPr="00113F13" w:rsidRDefault="00FF302D" w:rsidP="00B63604">
      <w:pPr>
        <w:pStyle w:val="NormalNumberedTextTLRI"/>
        <w:numPr>
          <w:ilvl w:val="2"/>
          <w:numId w:val="31"/>
        </w:numPr>
        <w:tabs>
          <w:tab w:val="clear" w:pos="720"/>
        </w:tabs>
        <w:spacing w:line="259" w:lineRule="auto"/>
      </w:pPr>
      <w:r w:rsidRPr="00113F13">
        <w:t>Conversely, the NSW legislation specifies that requirements imposed under a code must not impose requirements that are more stringent than the information privacy principles.</w:t>
      </w:r>
      <w:r w:rsidRPr="00113F13">
        <w:rPr>
          <w:rStyle w:val="FootnoteReference"/>
          <w:rFonts w:ascii="Times New Roman" w:hAnsi="Times New Roman"/>
        </w:rPr>
        <w:footnoteReference w:id="877"/>
      </w:r>
      <w:r w:rsidRPr="00113F13">
        <w:t xml:space="preserve"> Such a code may specify different requirements from the requirements set out in the principles, exempt any activity or conduct from compliance with any principle, specify how one or more principles are to be applied or </w:t>
      </w:r>
      <w:r w:rsidRPr="00113F13">
        <w:lastRenderedPageBreak/>
        <w:t>followed, and exempt an agency or class of agency from the requirement to comply with one or more principles altogether.</w:t>
      </w:r>
      <w:r w:rsidRPr="00113F13">
        <w:rPr>
          <w:rStyle w:val="FootnoteReference"/>
          <w:rFonts w:ascii="Times New Roman" w:hAnsi="Times New Roman"/>
        </w:rPr>
        <w:footnoteReference w:id="878"/>
      </w:r>
      <w:r w:rsidRPr="00113F13">
        <w:t xml:space="preserve"> Codes are binding on agencies subject to them, and complaints can be made for breaches of a code under the same provisions that address complaints for breaches of the privacy principles.</w:t>
      </w:r>
      <w:r w:rsidRPr="00113F13">
        <w:rPr>
          <w:rStyle w:val="FootnoteReference"/>
          <w:rFonts w:ascii="Times New Roman" w:hAnsi="Times New Roman"/>
        </w:rPr>
        <w:footnoteReference w:id="879"/>
      </w:r>
    </w:p>
    <w:p w14:paraId="15847C86" w14:textId="77777777" w:rsidR="00FF302D" w:rsidRPr="00113F13" w:rsidRDefault="00FF302D" w:rsidP="00B63604">
      <w:pPr>
        <w:pStyle w:val="NormalNumberedTextTLRI"/>
        <w:numPr>
          <w:ilvl w:val="2"/>
          <w:numId w:val="31"/>
        </w:numPr>
        <w:tabs>
          <w:tab w:val="clear" w:pos="720"/>
        </w:tabs>
        <w:spacing w:line="259" w:lineRule="auto"/>
      </w:pPr>
      <w:r w:rsidRPr="00113F13">
        <w:t>The process for developing privacy codes is similar in Victoria and NSW. A public sector body bound by the legislation may initiate the development of a code and the relevant commissioner must be involved.</w:t>
      </w:r>
      <w:r w:rsidRPr="00113F13">
        <w:rPr>
          <w:rStyle w:val="FootnoteReference"/>
          <w:rFonts w:ascii="Times New Roman" w:hAnsi="Times New Roman"/>
        </w:rPr>
        <w:footnoteReference w:id="880"/>
      </w:r>
      <w:r w:rsidRPr="00113F13">
        <w:t xml:space="preserve"> In NSW, the Minister is empowered to decide whether a code should be made;</w:t>
      </w:r>
      <w:r w:rsidRPr="00113F13">
        <w:rPr>
          <w:rStyle w:val="FootnoteReference"/>
          <w:rFonts w:ascii="Times New Roman" w:hAnsi="Times New Roman"/>
        </w:rPr>
        <w:footnoteReference w:id="881"/>
      </w:r>
      <w:r w:rsidRPr="00113F13">
        <w:t xml:space="preserve"> in Victoria, the Information Commissioner may advise the Minister to recommend the making of the code to the Governor in Council if certain requirements are met.</w:t>
      </w:r>
      <w:r w:rsidRPr="00113F13">
        <w:rPr>
          <w:rStyle w:val="FootnoteReference"/>
          <w:rFonts w:ascii="Times New Roman" w:hAnsi="Times New Roman"/>
        </w:rPr>
        <w:footnoteReference w:id="882"/>
      </w:r>
      <w:r w:rsidRPr="00113F13">
        <w:t xml:space="preserve"> The </w:t>
      </w:r>
      <w:r w:rsidRPr="00113F13">
        <w:rPr>
          <w:i/>
          <w:iCs/>
        </w:rPr>
        <w:t xml:space="preserve">Health Records Information Privacy Act 2002 </w:t>
      </w:r>
      <w:r w:rsidRPr="00113F13">
        <w:t>(NSW) makes similar provision for the making of Health Privacy Codes of Practice to modify the application of one of more of the Health Privacy Principles.</w:t>
      </w:r>
      <w:r w:rsidRPr="00113F13">
        <w:rPr>
          <w:rStyle w:val="FootnoteReference"/>
          <w:rFonts w:ascii="Times New Roman" w:hAnsi="Times New Roman"/>
        </w:rPr>
        <w:footnoteReference w:id="883"/>
      </w:r>
    </w:p>
    <w:p w14:paraId="16A9E6AA" w14:textId="77777777" w:rsidR="00FF302D" w:rsidRPr="00113F13" w:rsidRDefault="00FF302D" w:rsidP="00B63604">
      <w:pPr>
        <w:pStyle w:val="NormalNumberedTextTLRI"/>
        <w:numPr>
          <w:ilvl w:val="2"/>
          <w:numId w:val="31"/>
        </w:numPr>
        <w:tabs>
          <w:tab w:val="clear" w:pos="720"/>
        </w:tabs>
        <w:spacing w:line="259" w:lineRule="auto"/>
      </w:pPr>
      <w:r w:rsidRPr="00113F13">
        <w:t>The Office of the Victorian Information Commissioner (‘OVIC’) has reported that no organisations have applied for approval of a code of conduct under the Victorian legislation.</w:t>
      </w:r>
      <w:r w:rsidRPr="00113F13">
        <w:rPr>
          <w:rStyle w:val="FootnoteReference"/>
          <w:rFonts w:ascii="Times New Roman" w:hAnsi="Times New Roman"/>
        </w:rPr>
        <w:footnoteReference w:id="884"/>
      </w:r>
      <w:r w:rsidRPr="00113F13">
        <w:t xml:space="preserve"> The NSWPC lists 17 privacy codes of practice, and 5 health privacy codes of practice, that have been approved and gazetted.</w:t>
      </w:r>
      <w:r w:rsidRPr="00113F13">
        <w:rPr>
          <w:rStyle w:val="FootnoteReference"/>
          <w:rFonts w:ascii="Times New Roman" w:hAnsi="Times New Roman"/>
        </w:rPr>
        <w:footnoteReference w:id="885"/>
      </w:r>
      <w:r w:rsidRPr="00113F13">
        <w:t xml:space="preserve"> These include, for example:</w:t>
      </w:r>
    </w:p>
    <w:p w14:paraId="0F02D443" w14:textId="77777777" w:rsidR="00FF302D" w:rsidRPr="00113F13" w:rsidRDefault="00FF302D" w:rsidP="0022429F">
      <w:pPr>
        <w:pStyle w:val="DotPointTLRI"/>
      </w:pPr>
      <w:r w:rsidRPr="00113F13">
        <w:t>Privacy Code of Practice for the Judicial Commission of NSW (22 October 2021)</w:t>
      </w:r>
    </w:p>
    <w:p w14:paraId="7A95D345" w14:textId="77777777" w:rsidR="00FF302D" w:rsidRPr="00113F13" w:rsidRDefault="00FF302D" w:rsidP="0022429F">
      <w:pPr>
        <w:pStyle w:val="DotPointTLRI"/>
      </w:pPr>
      <w:r w:rsidRPr="00113F13">
        <w:t>Privacy Code of Practice for Local Government revised (20 December 2019)</w:t>
      </w:r>
    </w:p>
    <w:p w14:paraId="60D70277" w14:textId="77777777" w:rsidR="00FF302D" w:rsidRPr="00113F13" w:rsidRDefault="00FF302D" w:rsidP="0022429F">
      <w:pPr>
        <w:pStyle w:val="DotPointTLRI"/>
      </w:pPr>
      <w:r w:rsidRPr="00113F13">
        <w:t>Privacy Code of Practice for the Office of the Director of Public Prosecutions (30 June 2000)</w:t>
      </w:r>
    </w:p>
    <w:p w14:paraId="33866792" w14:textId="6CBA8AED" w:rsidR="00FF302D" w:rsidRPr="00113F13" w:rsidRDefault="00FF302D" w:rsidP="0022429F">
      <w:pPr>
        <w:pStyle w:val="DotPointTLRI"/>
      </w:pPr>
      <w:r w:rsidRPr="00113F13">
        <w:t>Health Privacy Code of Practice for the Public Service Commission (28</w:t>
      </w:r>
      <w:r w:rsidR="00D46863">
        <w:t> </w:t>
      </w:r>
      <w:r w:rsidRPr="00113F13">
        <w:t>September 2018)</w:t>
      </w:r>
    </w:p>
    <w:p w14:paraId="46402BCC" w14:textId="77777777" w:rsidR="00FF302D" w:rsidRPr="00113F13" w:rsidRDefault="00FF302D" w:rsidP="0022429F">
      <w:pPr>
        <w:pStyle w:val="DotPointTLRI"/>
      </w:pPr>
      <w:r w:rsidRPr="00113F13">
        <w:t>Privacy Code of Practice for NSW Health (30 June 2000)</w:t>
      </w:r>
    </w:p>
    <w:p w14:paraId="26DD1032" w14:textId="77777777" w:rsidR="00FF302D" w:rsidRPr="00113F13" w:rsidRDefault="00FF302D" w:rsidP="00B63604">
      <w:pPr>
        <w:pStyle w:val="NormalNumberedTextTLRI"/>
        <w:numPr>
          <w:ilvl w:val="2"/>
          <w:numId w:val="31"/>
        </w:numPr>
        <w:tabs>
          <w:tab w:val="clear" w:pos="720"/>
        </w:tabs>
        <w:spacing w:line="259" w:lineRule="auto"/>
      </w:pPr>
      <w:r w:rsidRPr="00113F13">
        <w:t>State legislation does not oblige regulated entities to undertake privacy impact assessments, although bodies such as the VIC, the NSWPC, and the QIC recommend that such assessments be completed to support compliance with privacy principles, and have published guidance to support the conduct of these assessments.</w:t>
      </w:r>
      <w:r w:rsidRPr="00113F13">
        <w:rPr>
          <w:rStyle w:val="FootnoteReference"/>
          <w:rFonts w:ascii="Times New Roman" w:hAnsi="Times New Roman"/>
        </w:rPr>
        <w:footnoteReference w:id="886"/>
      </w:r>
    </w:p>
    <w:p w14:paraId="09C314E6"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 xml:space="preserve">In Queensland, it is noted that the </w:t>
      </w:r>
      <w:r w:rsidRPr="00113F13">
        <w:rPr>
          <w:i/>
          <w:iCs/>
        </w:rPr>
        <w:t>Information Privacy and Other Legislation Amendment Act 2023</w:t>
      </w:r>
      <w:r w:rsidRPr="00113F13">
        <w:t xml:space="preserve"> (Qld) contains provisions in relation </w:t>
      </w:r>
      <w:r w:rsidRPr="00651882">
        <w:t xml:space="preserve">to a </w:t>
      </w:r>
      <w:r w:rsidRPr="00EA22F8">
        <w:t>QPP</w:t>
      </w:r>
      <w:r w:rsidRPr="00113F13">
        <w:t xml:space="preserve"> code.</w:t>
      </w:r>
      <w:r w:rsidRPr="00113F13">
        <w:rPr>
          <w:rStyle w:val="FootnoteReference"/>
          <w:rFonts w:ascii="Times New Roman" w:hAnsi="Times New Roman"/>
        </w:rPr>
        <w:footnoteReference w:id="887"/>
      </w:r>
      <w:r w:rsidRPr="00113F13">
        <w:t xml:space="preserve"> </w:t>
      </w:r>
    </w:p>
    <w:p w14:paraId="1C058104" w14:textId="77777777" w:rsidR="00FF302D" w:rsidRPr="00113F13" w:rsidRDefault="00FF302D" w:rsidP="00BF1FE7">
      <w:pPr>
        <w:pStyle w:val="NumberedHeadingTLRI"/>
      </w:pPr>
      <w:bookmarkStart w:id="885" w:name="_Toc164606697"/>
      <w:r w:rsidRPr="00113F13">
        <w:t>The Commonwealth Privacy Act Review</w:t>
      </w:r>
      <w:bookmarkEnd w:id="885"/>
    </w:p>
    <w:p w14:paraId="1A33388B" w14:textId="77777777" w:rsidR="00FF302D" w:rsidRPr="00113F13" w:rsidRDefault="00FF302D" w:rsidP="00B63604">
      <w:pPr>
        <w:pStyle w:val="NormalNumberedTextTLRI"/>
        <w:numPr>
          <w:ilvl w:val="2"/>
          <w:numId w:val="31"/>
        </w:numPr>
        <w:tabs>
          <w:tab w:val="clear" w:pos="720"/>
        </w:tabs>
        <w:spacing w:line="259" w:lineRule="auto"/>
      </w:pPr>
      <w:r w:rsidRPr="00113F13">
        <w:t>According to the Privacy Act Review, the OAIC made a submission that the Privacy Act’s limitations on when the Commissioner can make an APP code were affecting the efficacy of the code-making powers. The Review consequently proposed that the Commissioner be empowered to make APP codes where the Attorney-General has directed or approved the making of a code in circumstances where: (a) it is in the public interest for a code to be developed; and (b) there is unlikely to be an appropriate industry representative to develop the code.</w:t>
      </w:r>
      <w:r w:rsidRPr="082BF74E">
        <w:rPr>
          <w:rStyle w:val="FootnoteReference"/>
          <w:rFonts w:ascii="Times New Roman" w:eastAsia="Times New Roman" w:hAnsi="Times New Roman"/>
        </w:rPr>
        <w:footnoteReference w:id="888"/>
      </w:r>
    </w:p>
    <w:p w14:paraId="3A0CE7EA" w14:textId="77777777" w:rsidR="00FF302D" w:rsidRPr="00113F13" w:rsidRDefault="00FF302D" w:rsidP="00B63604">
      <w:pPr>
        <w:pStyle w:val="NormalNumberedTextTLRI"/>
        <w:numPr>
          <w:ilvl w:val="2"/>
          <w:numId w:val="31"/>
        </w:numPr>
        <w:tabs>
          <w:tab w:val="clear" w:pos="720"/>
        </w:tabs>
        <w:spacing w:line="259" w:lineRule="auto"/>
      </w:pPr>
      <w:r w:rsidRPr="00113F13">
        <w:t>In response to submissions that stronger consultation requirements would be necessary to ensure adequate industry involvement in the development of APP codes, the Review further proposed that codes must be made available for public consultation for at least 40 days and that the Commissioner must be able to consult any person the Commissioner considers appropriate, and consider matters specified in relevant guidelines, at any stage during the process.</w:t>
      </w:r>
      <w:r w:rsidRPr="00113F13">
        <w:rPr>
          <w:rStyle w:val="FootnoteReference"/>
          <w:rFonts w:ascii="Times New Roman" w:hAnsi="Times New Roman"/>
        </w:rPr>
        <w:footnoteReference w:id="889"/>
      </w:r>
      <w:r w:rsidRPr="00113F13">
        <w:t xml:space="preserve"> </w:t>
      </w:r>
    </w:p>
    <w:p w14:paraId="1C29D76C" w14:textId="77777777" w:rsidR="00FF302D" w:rsidRPr="00113F13" w:rsidRDefault="00FF302D" w:rsidP="00B63604">
      <w:pPr>
        <w:pStyle w:val="NormalNumberedTextTLRI"/>
        <w:numPr>
          <w:ilvl w:val="2"/>
          <w:numId w:val="31"/>
        </w:numPr>
        <w:tabs>
          <w:tab w:val="clear" w:pos="720"/>
        </w:tabs>
        <w:spacing w:line="259" w:lineRule="auto"/>
      </w:pPr>
      <w:r w:rsidRPr="00113F13">
        <w:t>The Review further proposed the creation of a new power for the Commissioner to issue temporary APP codes for a maximum period of 12 months, either as directed by the Attorney-General or with the Attorney-General’s approval, where the code is urgently required and its issuance is in the public interest.</w:t>
      </w:r>
      <w:r w:rsidRPr="00113F13">
        <w:rPr>
          <w:rStyle w:val="FootnoteReference"/>
          <w:rFonts w:ascii="Times New Roman" w:hAnsi="Times New Roman"/>
        </w:rPr>
        <w:footnoteReference w:id="890"/>
      </w:r>
      <w:r w:rsidRPr="00113F13">
        <w:t xml:space="preserve"> This proposal addressed concerns about the potentially lengthy process of APP code development which makes it difficult to address urgent situations (such as the COVID-19 pandemic).</w:t>
      </w:r>
      <w:r w:rsidRPr="00113F13">
        <w:rPr>
          <w:rStyle w:val="FootnoteReference"/>
          <w:rFonts w:ascii="Times New Roman" w:hAnsi="Times New Roman"/>
        </w:rPr>
        <w:footnoteReference w:id="891"/>
      </w:r>
    </w:p>
    <w:p w14:paraId="0C3A14CB" w14:textId="77777777" w:rsidR="00FF302D" w:rsidRPr="00113F13" w:rsidRDefault="00FF302D" w:rsidP="00B63604">
      <w:pPr>
        <w:pStyle w:val="NormalNumberedTextTLRI"/>
        <w:numPr>
          <w:ilvl w:val="2"/>
          <w:numId w:val="31"/>
        </w:numPr>
        <w:tabs>
          <w:tab w:val="clear" w:pos="720"/>
        </w:tabs>
        <w:spacing w:line="259" w:lineRule="auto"/>
      </w:pPr>
      <w:r w:rsidRPr="00113F13">
        <w:rPr>
          <w:rFonts w:eastAsia="Times New Roman"/>
        </w:rPr>
        <w:t xml:space="preserve">The Government </w:t>
      </w:r>
      <w:r w:rsidRPr="00113F13">
        <w:t>agreed</w:t>
      </w:r>
      <w:r w:rsidRPr="00113F13">
        <w:rPr>
          <w:rFonts w:eastAsia="Times New Roman"/>
        </w:rPr>
        <w:t xml:space="preserve"> with each of these proposals.</w:t>
      </w:r>
      <w:r w:rsidRPr="00113F13">
        <w:rPr>
          <w:rStyle w:val="FootnoteReference"/>
          <w:rFonts w:ascii="Times New Roman" w:eastAsia="Times New Roman" w:hAnsi="Times New Roman"/>
        </w:rPr>
        <w:footnoteReference w:id="892"/>
      </w:r>
    </w:p>
    <w:p w14:paraId="2B3C58F5" w14:textId="49DB3FD7" w:rsidR="00FF302D" w:rsidRPr="00113F13" w:rsidRDefault="00E91127" w:rsidP="10DD744B">
      <w:pPr>
        <w:pStyle w:val="NormalNumberedTextTLRI"/>
        <w:numPr>
          <w:ilvl w:val="2"/>
          <w:numId w:val="31"/>
        </w:numPr>
        <w:tabs>
          <w:tab w:val="clear" w:pos="720"/>
        </w:tabs>
        <w:spacing w:line="259" w:lineRule="auto"/>
        <w:rPr>
          <w:rFonts w:eastAsia="Times New Roman"/>
          <w:sz w:val="20"/>
        </w:rPr>
      </w:pPr>
      <w:r>
        <w:t>T</w:t>
      </w:r>
      <w:r w:rsidR="00FF302D" w:rsidRPr="00113F13">
        <w:t>he Privacy Act Review also contemplated the development of several new APP codes. It proposed that a Children’s Online Privacy Code be developed in consultation with a range of stakeholders,</w:t>
      </w:r>
      <w:r w:rsidR="00FF302D" w:rsidRPr="00113F13">
        <w:rPr>
          <w:rStyle w:val="FootnoteReference"/>
          <w:rFonts w:ascii="Times New Roman" w:hAnsi="Times New Roman"/>
        </w:rPr>
        <w:footnoteReference w:id="893"/>
      </w:r>
      <w:r w:rsidR="00FF302D" w:rsidRPr="00113F13">
        <w:t xml:space="preserve"> and that further guidance on standardisation of templates, layouts, terminology, and icons used for privacy policies and collection notices online may be appropriately housed in an APP code, such as an ‘Online Privacy Code’ (</w:t>
      </w:r>
      <w:r w:rsidR="00FF302D" w:rsidRPr="00C2787F">
        <w:t xml:space="preserve">see </w:t>
      </w:r>
      <w:r w:rsidR="00FF302D" w:rsidRPr="00EA22F8">
        <w:t>[5.4.40]</w:t>
      </w:r>
      <w:r w:rsidR="00FF302D" w:rsidRPr="00C2787F">
        <w:t>).</w:t>
      </w:r>
      <w:r w:rsidR="00FF302D" w:rsidRPr="00C2787F">
        <w:rPr>
          <w:rStyle w:val="FootnoteReference"/>
          <w:rFonts w:ascii="Times New Roman" w:hAnsi="Times New Roman"/>
        </w:rPr>
        <w:footnoteReference w:id="894"/>
      </w:r>
    </w:p>
    <w:p w14:paraId="452D8519" w14:textId="066D3D36" w:rsidR="00FF302D" w:rsidRPr="00C2787F" w:rsidRDefault="00FF302D" w:rsidP="00B63604">
      <w:pPr>
        <w:pStyle w:val="NormalNumberedTextTLRI"/>
        <w:numPr>
          <w:ilvl w:val="2"/>
          <w:numId w:val="31"/>
        </w:numPr>
        <w:tabs>
          <w:tab w:val="clear" w:pos="720"/>
        </w:tabs>
        <w:spacing w:line="259" w:lineRule="auto"/>
      </w:pPr>
      <w:r w:rsidRPr="00113F13">
        <w:t>The Review also suggested that consideration be given to the development of codes of practice to ‘clarify obligations regarding collection, use and disclosure of personal and sensitive information’, if enhanced privacy protections for employee data are extended to private sector employees (</w:t>
      </w:r>
      <w:r w:rsidRPr="00C2787F">
        <w:t xml:space="preserve">see </w:t>
      </w:r>
      <w:r w:rsidRPr="00EA22F8">
        <w:t>[4.13.1] and following</w:t>
      </w:r>
      <w:r w:rsidRPr="00C2787F">
        <w:t>).</w:t>
      </w:r>
      <w:r w:rsidRPr="00C2787F">
        <w:rPr>
          <w:rStyle w:val="FootnoteReference"/>
          <w:rFonts w:ascii="Times New Roman" w:hAnsi="Times New Roman"/>
        </w:rPr>
        <w:footnoteReference w:id="895"/>
      </w:r>
    </w:p>
    <w:p w14:paraId="7E57DE9A" w14:textId="0BAF880F" w:rsidR="00FF302D" w:rsidRPr="00113F13" w:rsidRDefault="00FF302D" w:rsidP="00B63604">
      <w:pPr>
        <w:pStyle w:val="NormalNumberedTextTLRI"/>
        <w:numPr>
          <w:ilvl w:val="2"/>
          <w:numId w:val="31"/>
        </w:numPr>
        <w:tabs>
          <w:tab w:val="clear" w:pos="720"/>
        </w:tabs>
        <w:spacing w:line="259" w:lineRule="auto"/>
      </w:pPr>
      <w:r w:rsidRPr="00113F13">
        <w:t xml:space="preserve">As discussed </w:t>
      </w:r>
      <w:r w:rsidR="00D46863">
        <w:t>at</w:t>
      </w:r>
      <w:r w:rsidRPr="00113F13">
        <w:t xml:space="preserve"> </w:t>
      </w:r>
      <w:r w:rsidRPr="00EA22F8">
        <w:t>[</w:t>
      </w:r>
      <w:r w:rsidR="00AE5109" w:rsidRPr="00EA22F8">
        <w:fldChar w:fldCharType="begin"/>
      </w:r>
      <w:r w:rsidR="00AE5109" w:rsidRPr="00EA22F8">
        <w:instrText xml:space="preserve"> REF _Ref165022870 \r \h </w:instrText>
      </w:r>
      <w:r w:rsidR="00AE5109">
        <w:instrText xml:space="preserve"> \* MERGEFORMAT </w:instrText>
      </w:r>
      <w:r w:rsidR="00AE5109" w:rsidRPr="00EA22F8">
        <w:fldChar w:fldCharType="separate"/>
      </w:r>
      <w:r w:rsidR="00462C30">
        <w:rPr>
          <w:cs/>
        </w:rPr>
        <w:t>‎</w:t>
      </w:r>
      <w:r w:rsidR="00462C30">
        <w:t>7.3</w:t>
      </w:r>
      <w:r w:rsidR="00AE5109" w:rsidRPr="00EA22F8">
        <w:fldChar w:fldCharType="end"/>
      </w:r>
      <w:r w:rsidRPr="00EA22F8">
        <w:t>]</w:t>
      </w:r>
      <w:r w:rsidRPr="00AE5109">
        <w:t>, the</w:t>
      </w:r>
      <w:r w:rsidRPr="00113F13">
        <w:t xml:space="preserve"> Privacy Act Review proposed—and the Government agreed in-principle—that the obligation on agencies to conduct privacy impact assessments in relation to high risk privacy projects be moved from the APP code to the Privacy Act itself, and extended to apply to all APP entities in relation to all activities that are ‘likely to have a significant impact on the privacy of </w:t>
      </w:r>
      <w:r w:rsidRPr="00113F13">
        <w:lastRenderedPageBreak/>
        <w:t>individuals’.</w:t>
      </w:r>
      <w:r w:rsidRPr="00113F13">
        <w:rPr>
          <w:rStyle w:val="FootnoteReference"/>
          <w:rFonts w:ascii="Times New Roman" w:hAnsi="Times New Roman"/>
        </w:rPr>
        <w:footnoteReference w:id="896"/>
      </w:r>
      <w:r w:rsidRPr="00113F13">
        <w:t xml:space="preserve"> The Review proposed that assessments should be undertaken prior to the high-risk activity being undertaken, and that entities should be required to produce assessments to the OAIC upon request.</w:t>
      </w:r>
      <w:r w:rsidRPr="00113F13">
        <w:rPr>
          <w:rStyle w:val="FootnoteReference"/>
          <w:rFonts w:ascii="Times New Roman" w:hAnsi="Times New Roman"/>
        </w:rPr>
        <w:footnoteReference w:id="897"/>
      </w:r>
      <w:r w:rsidRPr="00113F13">
        <w:t xml:space="preserve"> The Review also proposed the development of OAIC guidance to assist entities to determine whether a privacy impact assessment is required, and contemplated the inclusion of specific high-risk practices in the Privacy Act.</w:t>
      </w:r>
      <w:r w:rsidRPr="00113F13">
        <w:rPr>
          <w:rStyle w:val="FootnoteReference"/>
          <w:rFonts w:ascii="Times New Roman" w:hAnsi="Times New Roman"/>
        </w:rPr>
        <w:footnoteReference w:id="898"/>
      </w:r>
    </w:p>
    <w:p w14:paraId="0C03C7F0" w14:textId="77777777" w:rsidR="00FF302D" w:rsidRPr="00113F13" w:rsidRDefault="00FF302D" w:rsidP="00BF1FE7">
      <w:pPr>
        <w:pStyle w:val="NumberedHeadingTLRI"/>
      </w:pPr>
      <w:bookmarkStart w:id="886" w:name="_Toc164606698"/>
      <w:r w:rsidRPr="00113F13">
        <w:t>Consultation</w:t>
      </w:r>
      <w:bookmarkEnd w:id="886"/>
    </w:p>
    <w:p w14:paraId="0819FDC2"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invited responses to the following question:</w:t>
      </w:r>
    </w:p>
    <w:p w14:paraId="6828BE76" w14:textId="77777777" w:rsidR="00FF302D" w:rsidRPr="00113F13" w:rsidRDefault="00FF302D" w:rsidP="0022429F">
      <w:pPr>
        <w:pStyle w:val="Indentedquote"/>
        <w:rPr>
          <w:rFonts w:cs="Times New Roman"/>
        </w:rPr>
      </w:pPr>
      <w:r w:rsidRPr="00113F13">
        <w:rPr>
          <w:rFonts w:cs="Times New Roman"/>
        </w:rPr>
        <w:t>Should consideration be given to the development of privacy codes by amendment to the PIPA or by providing for similar rules to be made in delegated legislation?</w:t>
      </w:r>
      <w:r w:rsidRPr="00113F13">
        <w:rPr>
          <w:rStyle w:val="FootnoteReference"/>
          <w:rFonts w:ascii="Times New Roman" w:hAnsi="Times New Roman" w:cs="Times New Roman"/>
        </w:rPr>
        <w:footnoteReference w:id="899"/>
      </w:r>
    </w:p>
    <w:p w14:paraId="7E1F9D8A" w14:textId="77777777" w:rsidR="00FF302D" w:rsidRPr="00113F13" w:rsidRDefault="00FF302D" w:rsidP="00B63604">
      <w:pPr>
        <w:pStyle w:val="NormalNumberedTextTLRI"/>
        <w:numPr>
          <w:ilvl w:val="2"/>
          <w:numId w:val="31"/>
        </w:numPr>
        <w:tabs>
          <w:tab w:val="clear" w:pos="720"/>
        </w:tabs>
        <w:spacing w:line="259" w:lineRule="auto"/>
      </w:pPr>
      <w:r w:rsidRPr="00113F13">
        <w:t>One submission addressed this question. Meg Webb MLC expressed support for the amendment of the PIPA to provide mechanisms and processes for the development of binding privacy codes, a breach of which should have the same legal effect as a breach of the PIPPs at a minimum.</w:t>
      </w:r>
      <w:r w:rsidRPr="00113F13">
        <w:rPr>
          <w:rStyle w:val="FootnoteReference"/>
          <w:rFonts w:ascii="Times New Roman" w:hAnsi="Times New Roman"/>
        </w:rPr>
        <w:footnoteReference w:id="900"/>
      </w:r>
      <w:r w:rsidRPr="00113F13">
        <w:t xml:space="preserve"> </w:t>
      </w:r>
    </w:p>
    <w:p w14:paraId="1DEBADD2" w14:textId="77777777" w:rsidR="00FF302D" w:rsidRPr="00113F13" w:rsidRDefault="00FF302D" w:rsidP="00BF1FE7">
      <w:pPr>
        <w:pStyle w:val="NumberedHeadingTLRI"/>
      </w:pPr>
      <w:bookmarkStart w:id="887" w:name="_Toc164606699"/>
      <w:r w:rsidRPr="00113F13">
        <w:t>The TLRI’s view</w:t>
      </w:r>
      <w:bookmarkEnd w:id="887"/>
    </w:p>
    <w:p w14:paraId="75782056" w14:textId="77777777" w:rsidR="00FF302D" w:rsidRPr="00113F13" w:rsidRDefault="00FF302D" w:rsidP="00B63604">
      <w:pPr>
        <w:pStyle w:val="NormalNumberedTextTLRI"/>
        <w:numPr>
          <w:ilvl w:val="2"/>
          <w:numId w:val="31"/>
        </w:numPr>
        <w:tabs>
          <w:tab w:val="clear" w:pos="720"/>
        </w:tabs>
        <w:spacing w:line="259" w:lineRule="auto"/>
      </w:pPr>
      <w:r w:rsidRPr="00113F13">
        <w:t>Existing regulatory schemes in other jurisdictions, and the recommendations of the Commonwealth Privacy Act Review, suggest that amendments to the Tasmanian PIPA to provide for the development of privacy codes, or to provide for similar rules to be made in delegated legislation, could have a number of advantages in terms of:</w:t>
      </w:r>
    </w:p>
    <w:p w14:paraId="1C7D7549" w14:textId="77777777" w:rsidR="00FF302D" w:rsidRPr="00113F13" w:rsidRDefault="00FF302D" w:rsidP="0022429F">
      <w:pPr>
        <w:pStyle w:val="DotPointTLRI"/>
      </w:pPr>
      <w:r w:rsidRPr="00113F13">
        <w:t xml:space="preserve">transparency for individuals, because codes may clarify how particular information is handled, or how particular agencies or classes of agencies handle information (elements of which are found in the equivalent schemes in the Privacy Act and Victorian and NSW legislation); </w:t>
      </w:r>
    </w:p>
    <w:p w14:paraId="140936AE" w14:textId="77777777" w:rsidR="00FF302D" w:rsidRPr="00113F13" w:rsidRDefault="00FF302D" w:rsidP="0022429F">
      <w:pPr>
        <w:pStyle w:val="DotPointTLRI"/>
      </w:pPr>
      <w:r w:rsidRPr="00113F13">
        <w:t>flexibility for agencies on PIPP compliance, where codes enable agencies to seek modification of the requirements that apply to them and even exemption from certain requirements (as in the NSW legislation); and/or</w:t>
      </w:r>
    </w:p>
    <w:p w14:paraId="40837DCA" w14:textId="77777777" w:rsidR="00FF302D" w:rsidRPr="00113F13" w:rsidRDefault="00FF302D" w:rsidP="0022429F">
      <w:pPr>
        <w:pStyle w:val="DotPointTLRI"/>
      </w:pPr>
      <w:r w:rsidRPr="00113F13">
        <w:t>agility for the Ombudsman or other administering body in responding promptly to emerging or urgent privacy issues, where codes can be developed at that body’s instigation and on a temporary basis where it is in the public interest (as proposed by the Commonwealth Privacy Act Review).</w:t>
      </w:r>
    </w:p>
    <w:p w14:paraId="0F7D7A4A" w14:textId="77777777" w:rsidR="00FF302D" w:rsidRPr="00113F13" w:rsidRDefault="00FF302D" w:rsidP="00B63604">
      <w:pPr>
        <w:pStyle w:val="NormalNumberedTextTLRI"/>
        <w:numPr>
          <w:ilvl w:val="2"/>
          <w:numId w:val="31"/>
        </w:numPr>
        <w:tabs>
          <w:tab w:val="clear" w:pos="720"/>
        </w:tabs>
        <w:spacing w:line="259" w:lineRule="auto"/>
      </w:pPr>
      <w:r w:rsidRPr="00113F13">
        <w:t>For these reasons, the TLRI recommends that a privacy codes function be introduced in the PIPA. The TLRI observes that there are significant differences between the scope and nature of privacy codes of practice that can be made under Commonwealth, Victorian, and NSW legislation, and in the extent to which these schemes have been utilised. In light of the limited submissions received on this issue, further consideration should be given to the precise form this function should take.</w:t>
      </w:r>
    </w:p>
    <w:p w14:paraId="5BC91C6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did not pose a question in the Issues Paper on whether privacy impact assessments should be encouraged or required in certain circumstances under the PIPA. The TLRI observes the </w:t>
      </w:r>
      <w:r w:rsidRPr="00113F13">
        <w:lastRenderedPageBreak/>
        <w:t>Privacy Act Review’s recommendations about increasing the use of high risk privacy impact assessments, especially in the context of growing digital privacy risks, and the existing (non-binding) guidance from other state commissioners that recommends and facilitates privacy impact assessments to support regulated entities’ compliance with privacy protections.</w:t>
      </w:r>
    </w:p>
    <w:p w14:paraId="4D54A6F7"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similar privacy impact assessments could be a useful tool for personal information custodians to identify and manage privacy risks associated with their functions and activities.</w:t>
      </w:r>
    </w:p>
    <w:p w14:paraId="43962700" w14:textId="77777777" w:rsidR="00FF302D" w:rsidRPr="00113F13" w:rsidRDefault="00FF302D" w:rsidP="00BF1FE7">
      <w:pPr>
        <w:pStyle w:val="NumberedHeadingTLRI"/>
      </w:pPr>
      <w:bookmarkStart w:id="888" w:name="_Toc164606700"/>
      <w:r w:rsidRPr="00113F13">
        <w:t>Recommendations</w:t>
      </w:r>
      <w:bookmarkEnd w:id="8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5A0E512D" w14:textId="77777777" w:rsidTr="00754A3F">
        <w:tc>
          <w:tcPr>
            <w:tcW w:w="9016" w:type="dxa"/>
            <w:shd w:val="clear" w:color="auto" w:fill="E8E8E8" w:themeFill="background2"/>
          </w:tcPr>
          <w:p w14:paraId="7262F999" w14:textId="77777777" w:rsidR="00FF302D" w:rsidRPr="00113F13" w:rsidRDefault="00FF302D" w:rsidP="00754A3F">
            <w:pPr>
              <w:spacing w:before="120" w:after="120"/>
              <w:rPr>
                <w:rFonts w:cs="Times New Roman"/>
                <w:b/>
                <w:bCs/>
              </w:rPr>
            </w:pPr>
            <w:r w:rsidRPr="00113F13">
              <w:rPr>
                <w:rFonts w:cs="Times New Roman"/>
                <w:b/>
                <w:bCs/>
              </w:rPr>
              <w:t xml:space="preserve">Recommendation 54: </w:t>
            </w:r>
            <w:r w:rsidRPr="00113F13">
              <w:rPr>
                <w:rFonts w:cs="Times New Roman"/>
              </w:rPr>
              <w:t>The PIPA should be amended to enable the creation of privacy codes.</w:t>
            </w:r>
          </w:p>
        </w:tc>
      </w:tr>
    </w:tbl>
    <w:p w14:paraId="724D0915" w14:textId="77777777" w:rsidR="00FF302D" w:rsidRPr="00113F13" w:rsidRDefault="00FF302D" w:rsidP="00BF1FE7">
      <w:pPr>
        <w:pStyle w:val="NumberedHeadingTLRI"/>
      </w:pPr>
      <w:bookmarkStart w:id="889" w:name="_Mandatory_Data_Breach"/>
      <w:bookmarkStart w:id="890" w:name="_Toc91832008"/>
      <w:bookmarkStart w:id="891" w:name="_Toc130540442"/>
      <w:bookmarkStart w:id="892" w:name="_Toc164606701"/>
      <w:bookmarkStart w:id="893" w:name="_Ref164765700"/>
      <w:bookmarkStart w:id="894" w:name="_Ref164768983"/>
      <w:bookmarkEnd w:id="889"/>
      <w:r w:rsidRPr="00113F13">
        <w:t>Mandatory data breach notification</w:t>
      </w:r>
      <w:bookmarkEnd w:id="890"/>
      <w:bookmarkEnd w:id="891"/>
      <w:bookmarkEnd w:id="892"/>
      <w:bookmarkEnd w:id="893"/>
      <w:bookmarkEnd w:id="894"/>
    </w:p>
    <w:p w14:paraId="10624D63" w14:textId="77777777" w:rsidR="00FF302D" w:rsidRPr="00113F13" w:rsidRDefault="00FF302D" w:rsidP="0022429F">
      <w:pPr>
        <w:pStyle w:val="Headingunnumbered"/>
        <w:rPr>
          <w:rFonts w:cs="Times New Roman"/>
        </w:rPr>
      </w:pPr>
      <w:bookmarkStart w:id="895" w:name="_Toc164606702"/>
      <w:r w:rsidRPr="00113F13">
        <w:rPr>
          <w:rFonts w:cs="Times New Roman"/>
        </w:rPr>
        <w:t>The Tasmanian position</w:t>
      </w:r>
      <w:bookmarkEnd w:id="895"/>
    </w:p>
    <w:p w14:paraId="263F9207" w14:textId="77777777" w:rsidR="00FF302D" w:rsidRPr="00113F13" w:rsidRDefault="00FF302D" w:rsidP="00B63604">
      <w:pPr>
        <w:pStyle w:val="NormalNumberedTextTLRI"/>
        <w:numPr>
          <w:ilvl w:val="2"/>
          <w:numId w:val="31"/>
        </w:numPr>
        <w:tabs>
          <w:tab w:val="clear" w:pos="720"/>
        </w:tabs>
        <w:spacing w:line="259" w:lineRule="auto"/>
      </w:pPr>
      <w:bookmarkStart w:id="896" w:name="_Ref164781148"/>
      <w:bookmarkStart w:id="897" w:name="_Ref91827650"/>
      <w:r w:rsidRPr="00113F13">
        <w:t>Under Tasmanian law, if a personal information custodian deals with information in a manner that breaches the PIPPs, it is not obliged under the PIPA to inform the Ombudsman or the individual concerned. In contrast, other jurisdictions in Australia and overseas have recently introduced schemes for mandatory reporting of certain breaches.</w:t>
      </w:r>
      <w:bookmarkEnd w:id="896"/>
      <w:r w:rsidRPr="00113F13">
        <w:t xml:space="preserve"> </w:t>
      </w:r>
    </w:p>
    <w:p w14:paraId="6FD1DFD2" w14:textId="77777777" w:rsidR="00FF302D" w:rsidRPr="00113F13" w:rsidRDefault="00FF302D" w:rsidP="0022429F">
      <w:pPr>
        <w:pStyle w:val="Headingunnumbered"/>
        <w:rPr>
          <w:rFonts w:cs="Times New Roman"/>
        </w:rPr>
      </w:pPr>
      <w:bookmarkStart w:id="898" w:name="_Toc164606703"/>
      <w:r w:rsidRPr="00113F13">
        <w:rPr>
          <w:rFonts w:cs="Times New Roman"/>
        </w:rPr>
        <w:t>The position in other jurisdictions</w:t>
      </w:r>
      <w:bookmarkEnd w:id="898"/>
    </w:p>
    <w:p w14:paraId="61846DDA" w14:textId="77777777" w:rsidR="00FF302D" w:rsidRPr="00113F13" w:rsidRDefault="00FF302D" w:rsidP="00B63604">
      <w:pPr>
        <w:pStyle w:val="NormalNumberedTextTLRI"/>
        <w:numPr>
          <w:ilvl w:val="2"/>
          <w:numId w:val="31"/>
        </w:numPr>
        <w:tabs>
          <w:tab w:val="clear" w:pos="720"/>
        </w:tabs>
        <w:spacing w:line="259" w:lineRule="auto"/>
      </w:pPr>
      <w:r w:rsidRPr="00113F13">
        <w:t>A mandatory data breach notification scheme has operated under Commonwealth privacy law since February 2018.</w:t>
      </w:r>
      <w:r w:rsidRPr="00113F13">
        <w:rPr>
          <w:rStyle w:val="FootnoteReference"/>
          <w:rFonts w:ascii="Times New Roman" w:hAnsi="Times New Roman"/>
        </w:rPr>
        <w:footnoteReference w:id="901"/>
      </w:r>
      <w:r w:rsidRPr="00113F13">
        <w:t xml:space="preserve"> The scheme requires all entities subject to the Privacy Act</w:t>
      </w:r>
      <w:r w:rsidRPr="00113F13">
        <w:rPr>
          <w:i/>
          <w:iCs/>
        </w:rPr>
        <w:t xml:space="preserve"> </w:t>
      </w:r>
      <w:r w:rsidRPr="00113F13">
        <w:t>to investigate and report ‘eligible data breaches’ to the Commissioner and to the individuals in the information. This is meant to allow affected individuals to take steps to minimise any harm, to encourage entities to better comply with privacy obligations, and to promote transparency of information handling practices.</w:t>
      </w:r>
      <w:r w:rsidRPr="00113F13">
        <w:rPr>
          <w:rStyle w:val="FootnoteReference"/>
          <w:rFonts w:ascii="Times New Roman" w:hAnsi="Times New Roman"/>
        </w:rPr>
        <w:footnoteReference w:id="902"/>
      </w:r>
      <w:bookmarkEnd w:id="897"/>
      <w:r w:rsidRPr="00113F13">
        <w:t xml:space="preserve"> It applies to personal information, tax file number information, and credit information.</w:t>
      </w:r>
      <w:r w:rsidRPr="00113F13">
        <w:rPr>
          <w:rStyle w:val="FootnoteReference"/>
          <w:rFonts w:ascii="Times New Roman" w:hAnsi="Times New Roman"/>
        </w:rPr>
        <w:footnoteReference w:id="903"/>
      </w:r>
    </w:p>
    <w:p w14:paraId="30773A0F" w14:textId="77777777" w:rsidR="00FF302D" w:rsidRPr="00113F13" w:rsidRDefault="00FF302D" w:rsidP="00B63604">
      <w:pPr>
        <w:pStyle w:val="NormalNumberedTextTLRI"/>
        <w:numPr>
          <w:ilvl w:val="2"/>
          <w:numId w:val="31"/>
        </w:numPr>
        <w:tabs>
          <w:tab w:val="clear" w:pos="720"/>
        </w:tabs>
        <w:spacing w:line="259" w:lineRule="auto"/>
      </w:pPr>
      <w:r w:rsidRPr="00113F13">
        <w:t>‘Eligible data breaches’ arise when the following three conditions are satisfied:</w:t>
      </w:r>
      <w:r w:rsidRPr="00113F13">
        <w:rPr>
          <w:rStyle w:val="FootnoteReference"/>
          <w:rFonts w:ascii="Times New Roman" w:hAnsi="Times New Roman"/>
        </w:rPr>
        <w:footnoteReference w:id="904"/>
      </w:r>
    </w:p>
    <w:p w14:paraId="68FB2092" w14:textId="77777777" w:rsidR="00FF302D" w:rsidRPr="00113F13" w:rsidRDefault="00FF302D" w:rsidP="0022429F">
      <w:pPr>
        <w:pStyle w:val="DotPointTLRI"/>
      </w:pPr>
      <w:r w:rsidRPr="00113F13">
        <w:t xml:space="preserve">there has been unauthorised access to, or disclosure of, personal information or, alternatively, information has been </w:t>
      </w:r>
      <w:r w:rsidRPr="00113F13">
        <w:rPr>
          <w:i/>
          <w:iCs/>
        </w:rPr>
        <w:t xml:space="preserve">lost </w:t>
      </w:r>
      <w:r w:rsidRPr="00113F13">
        <w:t>in circumstances where such access or disclosure is likely to occur;</w:t>
      </w:r>
    </w:p>
    <w:p w14:paraId="051D7A0D" w14:textId="77777777" w:rsidR="00FF302D" w:rsidRPr="00113F13" w:rsidRDefault="00FF302D" w:rsidP="0022429F">
      <w:pPr>
        <w:pStyle w:val="DotPointTLRI"/>
      </w:pPr>
      <w:r w:rsidRPr="00113F13">
        <w:t>a reasonable person would conclude that such access or disclosure is likely to result in serious harm to those individuals related to the information, with degree of harm being determined by reference to a list of factors;</w:t>
      </w:r>
      <w:r w:rsidRPr="00113F13">
        <w:rPr>
          <w:rStyle w:val="FootnoteReference"/>
          <w:rFonts w:ascii="Times New Roman" w:hAnsi="Times New Roman"/>
        </w:rPr>
        <w:footnoteReference w:id="905"/>
      </w:r>
      <w:r w:rsidRPr="00113F13">
        <w:t xml:space="preserve"> and</w:t>
      </w:r>
    </w:p>
    <w:p w14:paraId="56E0059C" w14:textId="77777777" w:rsidR="00FF302D" w:rsidRPr="00113F13" w:rsidRDefault="00FF302D" w:rsidP="0022429F">
      <w:pPr>
        <w:pStyle w:val="DotPointTLRI"/>
      </w:pPr>
      <w:r w:rsidRPr="00113F13">
        <w:lastRenderedPageBreak/>
        <w:t>the entity has not taken remedial action prior to serious harm be caused and, as a result of that action, a reasonable person would conclude that the access or disclosure would not be likely to result in serious harm.</w:t>
      </w:r>
      <w:r w:rsidRPr="00113F13">
        <w:rPr>
          <w:rStyle w:val="FootnoteReference"/>
          <w:rFonts w:ascii="Times New Roman" w:hAnsi="Times New Roman"/>
        </w:rPr>
        <w:footnoteReference w:id="906"/>
      </w:r>
    </w:p>
    <w:p w14:paraId="6B44170C" w14:textId="77777777" w:rsidR="00FF302D" w:rsidRPr="00113F13" w:rsidRDefault="00FF302D" w:rsidP="00B63604">
      <w:pPr>
        <w:pStyle w:val="NormalNumberedTextTLRI"/>
        <w:numPr>
          <w:ilvl w:val="2"/>
          <w:numId w:val="31"/>
        </w:numPr>
        <w:tabs>
          <w:tab w:val="clear" w:pos="720"/>
        </w:tabs>
        <w:spacing w:line="259" w:lineRule="auto"/>
      </w:pPr>
      <w:r w:rsidRPr="00113F13">
        <w:t>Where an entity reasonably believes that such a breach has occurred, it must, as soon as practicable, prepare a statement and provide a copy to the Commissioner.</w:t>
      </w:r>
      <w:r w:rsidRPr="00113F13">
        <w:rPr>
          <w:rStyle w:val="FootnoteReference"/>
          <w:rFonts w:ascii="Times New Roman" w:hAnsi="Times New Roman"/>
        </w:rPr>
        <w:footnoteReference w:id="907"/>
      </w:r>
      <w:r w:rsidRPr="00113F13">
        <w:t xml:space="preserve"> After notifying the Commissioner, the entity must take reasonable steps to inform the individuals affected, either by communicating directly with them or, where direct communication is not practicable, through general publicity.</w:t>
      </w:r>
      <w:r w:rsidRPr="00113F13">
        <w:rPr>
          <w:rStyle w:val="FootnoteReference"/>
          <w:rFonts w:ascii="Times New Roman" w:hAnsi="Times New Roman"/>
        </w:rPr>
        <w:footnoteReference w:id="908"/>
      </w:r>
    </w:p>
    <w:p w14:paraId="2E351E59"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If an entity becomes aware of reasonable grounds to </w:t>
      </w:r>
      <w:r w:rsidRPr="00113F13">
        <w:rPr>
          <w:i/>
          <w:iCs/>
        </w:rPr>
        <w:t>suspect</w:t>
      </w:r>
      <w:r w:rsidRPr="00113F13">
        <w:t xml:space="preserve"> there has been an eligible data breach, it must investigate to determine whether there are reasonable grounds to </w:t>
      </w:r>
      <w:r w:rsidRPr="00113F13">
        <w:rPr>
          <w:i/>
          <w:iCs/>
        </w:rPr>
        <w:t>believe</w:t>
      </w:r>
      <w:r w:rsidRPr="00113F13">
        <w:t xml:space="preserve"> it has occurred and the above process must be followed.</w:t>
      </w:r>
      <w:r w:rsidRPr="00113F13">
        <w:rPr>
          <w:rStyle w:val="FootnoteReference"/>
          <w:rFonts w:ascii="Times New Roman" w:hAnsi="Times New Roman"/>
        </w:rPr>
        <w:footnoteReference w:id="909"/>
      </w:r>
      <w:r w:rsidRPr="00113F13">
        <w:t xml:space="preserve"> The entity must take all reasonable steps to complete this assessment within 30 days.</w:t>
      </w:r>
      <w:r w:rsidRPr="00113F13">
        <w:rPr>
          <w:rStyle w:val="FootnoteReference"/>
          <w:rFonts w:ascii="Times New Roman" w:hAnsi="Times New Roman"/>
        </w:rPr>
        <w:footnoteReference w:id="910"/>
      </w:r>
      <w:r w:rsidRPr="00113F13">
        <w:t xml:space="preserve"> The Privacy Act does establish a process for such assessments—entities develop their own processes.</w:t>
      </w:r>
      <w:bookmarkStart w:id="899" w:name="_Ref91759980"/>
      <w:r w:rsidRPr="00113F13">
        <w:rPr>
          <w:rStyle w:val="FootnoteReference"/>
          <w:rFonts w:ascii="Times New Roman" w:hAnsi="Times New Roman"/>
        </w:rPr>
        <w:footnoteReference w:id="911"/>
      </w:r>
      <w:bookmarkEnd w:id="899"/>
    </w:p>
    <w:p w14:paraId="46DA00E4" w14:textId="77777777" w:rsidR="00FF302D" w:rsidRPr="00113F13" w:rsidRDefault="00FF302D" w:rsidP="00FF302D">
      <w:pPr>
        <w:rPr>
          <w:rFonts w:cs="Times New Roman"/>
        </w:rPr>
      </w:pPr>
      <w:r w:rsidRPr="00113F13">
        <w:rPr>
          <w:rFonts w:cs="Times New Roman"/>
          <w:b/>
          <w:bCs/>
        </w:rPr>
        <w:t>Figure 8.1</w:t>
      </w:r>
      <w:r w:rsidRPr="00113F13">
        <w:rPr>
          <w:rFonts w:cs="Times New Roman"/>
        </w:rPr>
        <w:t xml:space="preserve"> Mandatory eligible data breach notification scheme (simplified)</w:t>
      </w:r>
    </w:p>
    <w:p w14:paraId="34610C63" w14:textId="77777777" w:rsidR="00FF302D" w:rsidRPr="00113F13" w:rsidRDefault="00FF302D" w:rsidP="00FF302D">
      <w:pPr>
        <w:rPr>
          <w:rFonts w:cs="Times New Roman"/>
        </w:rPr>
      </w:pPr>
      <w:r w:rsidRPr="00113F13">
        <w:rPr>
          <w:rFonts w:cs="Times New Roman"/>
          <w:noProof/>
        </w:rPr>
        <w:drawing>
          <wp:inline distT="0" distB="0" distL="0" distR="0" wp14:anchorId="6882D785" wp14:editId="416D2106">
            <wp:extent cx="6060332" cy="1896894"/>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A24F87A" w14:textId="77777777" w:rsidR="00FF302D" w:rsidRPr="00113F13" w:rsidRDefault="00FF302D" w:rsidP="00B63604">
      <w:pPr>
        <w:pStyle w:val="NormalNumberedTextTLRI"/>
        <w:numPr>
          <w:ilvl w:val="2"/>
          <w:numId w:val="31"/>
        </w:numPr>
        <w:tabs>
          <w:tab w:val="clear" w:pos="720"/>
        </w:tabs>
        <w:spacing w:line="259" w:lineRule="auto"/>
      </w:pPr>
      <w:bookmarkStart w:id="900" w:name="_Toc91536688"/>
      <w:bookmarkEnd w:id="900"/>
      <w:r w:rsidRPr="00113F13">
        <w:t>A failure to meet the Privacy Act’s data breach notification requirements constitutes an interference with an individual’s privacy, meaning individuals can complain to the Commissioner and the Commissioner’s enforcement powers (such as powers to make a determination, accept an enforceable undertaking, and seek an injunction), described above, are available.</w:t>
      </w:r>
      <w:r w:rsidRPr="00113F13">
        <w:rPr>
          <w:rStyle w:val="FootnoteReference"/>
          <w:rFonts w:ascii="Times New Roman" w:hAnsi="Times New Roman"/>
        </w:rPr>
        <w:footnoteReference w:id="912"/>
      </w:r>
      <w:r w:rsidRPr="00113F13">
        <w:t xml:space="preserve"> </w:t>
      </w:r>
    </w:p>
    <w:p w14:paraId="475D10E0" w14:textId="77777777" w:rsidR="00FF302D" w:rsidRPr="00113F13" w:rsidRDefault="00FF302D" w:rsidP="00B63604">
      <w:pPr>
        <w:pStyle w:val="NormalNumberedTextTLRI"/>
        <w:numPr>
          <w:ilvl w:val="2"/>
          <w:numId w:val="31"/>
        </w:numPr>
        <w:tabs>
          <w:tab w:val="clear" w:pos="720"/>
        </w:tabs>
        <w:spacing w:line="259" w:lineRule="auto"/>
      </w:pPr>
      <w:r w:rsidRPr="00113F13">
        <w:t>On the whole, the obligations under the Commonwealth scheme are less onerous in terms of timeframes than those imposed by the European Union’s General Data Protection Regulation 2016/679 (‘GDPR’). Generally, the GDPR requires notification of personal data breaches</w:t>
      </w:r>
      <w:r w:rsidRPr="00113F13">
        <w:rPr>
          <w:rStyle w:val="FootnoteReference"/>
          <w:rFonts w:ascii="Times New Roman" w:hAnsi="Times New Roman"/>
        </w:rPr>
        <w:footnoteReference w:id="913"/>
      </w:r>
      <w:r w:rsidRPr="00113F13">
        <w:t xml:space="preserve"> without undue delay </w:t>
      </w:r>
      <w:r w:rsidRPr="00113F13">
        <w:lastRenderedPageBreak/>
        <w:t>and, where feasible, within 72 hours of the entity having become aware of it.</w:t>
      </w:r>
      <w:r w:rsidRPr="00113F13">
        <w:rPr>
          <w:rStyle w:val="FootnoteReference"/>
          <w:rFonts w:ascii="Times New Roman" w:hAnsi="Times New Roman"/>
        </w:rPr>
        <w:footnoteReference w:id="914"/>
      </w:r>
      <w:r w:rsidRPr="00113F13">
        <w:t xml:space="preserve"> The individuals affected must be informed whenever the breach is likely to result in a high risk to their privacy rights.</w:t>
      </w:r>
      <w:r w:rsidRPr="00113F13">
        <w:rPr>
          <w:rStyle w:val="FootnoteReference"/>
          <w:rFonts w:ascii="Times New Roman" w:hAnsi="Times New Roman"/>
        </w:rPr>
        <w:footnoteReference w:id="915"/>
      </w:r>
      <w:r w:rsidRPr="00113F13">
        <w:t xml:space="preserve"> </w:t>
      </w:r>
    </w:p>
    <w:p w14:paraId="585D2FD3" w14:textId="77777777" w:rsidR="00FF302D" w:rsidRPr="00113F13" w:rsidRDefault="00FF302D" w:rsidP="00B63604">
      <w:pPr>
        <w:pStyle w:val="NormalNumberedTextTLRI"/>
        <w:numPr>
          <w:ilvl w:val="2"/>
          <w:numId w:val="31"/>
        </w:numPr>
        <w:tabs>
          <w:tab w:val="clear" w:pos="720"/>
        </w:tabs>
        <w:spacing w:line="259" w:lineRule="auto"/>
      </w:pPr>
      <w:r w:rsidRPr="00113F13">
        <w:t>In the first 12 months after the scheme was introduced in February 2018, there were 964 mandatory data breach notifications—a 712% increase compared with the previous 12 months, when notification was voluntary.</w:t>
      </w:r>
      <w:r w:rsidRPr="00113F13">
        <w:rPr>
          <w:rStyle w:val="FootnoteReference"/>
          <w:rFonts w:ascii="Times New Roman" w:hAnsi="Times New Roman"/>
        </w:rPr>
        <w:footnoteReference w:id="916"/>
      </w:r>
      <w:r w:rsidRPr="00113F13">
        <w:t xml:space="preserve"> In the most recent reporting period (January to June 2023), there were 409 notifications, with the top 5 sectors notifying data breaches being health service providers, finance, recruitment agencies, legal, accounting and management services, and insurance. Sources of breaches were identified as follows: 70% arose from a malicious or criminal attack; 26% arose from human error; and 4% were due to a system fault.</w:t>
      </w:r>
      <w:r w:rsidRPr="00113F13">
        <w:rPr>
          <w:rStyle w:val="FootnoteReference"/>
          <w:rFonts w:ascii="Times New Roman" w:hAnsi="Times New Roman"/>
        </w:rPr>
        <w:footnoteReference w:id="917"/>
      </w:r>
    </w:p>
    <w:p w14:paraId="0A009250" w14:textId="37B35507" w:rsidR="001F0878" w:rsidRDefault="00FF302D" w:rsidP="00B63604">
      <w:pPr>
        <w:pStyle w:val="NormalNumberedTextTLRI"/>
        <w:numPr>
          <w:ilvl w:val="2"/>
          <w:numId w:val="31"/>
        </w:numPr>
        <w:tabs>
          <w:tab w:val="clear" w:pos="720"/>
        </w:tabs>
        <w:spacing w:line="259" w:lineRule="auto"/>
      </w:pPr>
      <w:bookmarkStart w:id="901" w:name="_Ref165022559"/>
      <w:r w:rsidRPr="00113F13">
        <w:t>Australian State and Territory jurisdictions have also begun making moves to implement mandatory data breach notification schemes modelled on the Commonwealth model. The NSW Mandatory Notification of Data Breach (‘MNDB’) Scheme came into effect on 28 November 2023, following extensive community consultation.</w:t>
      </w:r>
      <w:r w:rsidRPr="00113F13">
        <w:rPr>
          <w:rStyle w:val="FootnoteReference"/>
          <w:rFonts w:ascii="Times New Roman" w:hAnsi="Times New Roman"/>
        </w:rPr>
        <w:footnoteReference w:id="918"/>
      </w:r>
      <w:r w:rsidRPr="00113F13">
        <w:t xml:space="preserve"> In Queensland, a mandatory breach scheme was introduced in the </w:t>
      </w:r>
      <w:r w:rsidRPr="00113F13">
        <w:rPr>
          <w:i/>
          <w:iCs/>
        </w:rPr>
        <w:t xml:space="preserve">Information Privacy and Other Legislation Amendment Act 2023 </w:t>
      </w:r>
      <w:r w:rsidRPr="00113F13">
        <w:t>(Qld), which is yet to be commenced</w:t>
      </w:r>
      <w:r w:rsidRPr="00BF1FE7">
        <w:t>.</w:t>
      </w:r>
      <w:r w:rsidRPr="00EA22F8">
        <w:rPr>
          <w:rStyle w:val="FootnoteReference"/>
          <w:rFonts w:ascii="Times New Roman" w:hAnsi="Times New Roman"/>
        </w:rPr>
        <w:footnoteReference w:id="919"/>
      </w:r>
      <w:bookmarkEnd w:id="901"/>
      <w:r w:rsidRPr="00EA22F8">
        <w:t xml:space="preserve"> </w:t>
      </w:r>
    </w:p>
    <w:p w14:paraId="52F9C6AD" w14:textId="77777777" w:rsidR="00FF302D" w:rsidRPr="00113F13" w:rsidRDefault="00FF302D" w:rsidP="00BF1FE7">
      <w:pPr>
        <w:pStyle w:val="NumberedHeadingTLRI"/>
      </w:pPr>
      <w:bookmarkStart w:id="902" w:name="_Toc164606704"/>
      <w:bookmarkStart w:id="903" w:name="_Ref164781979"/>
      <w:r w:rsidRPr="00113F13">
        <w:t>The Commonwealth Privacy Act Review</w:t>
      </w:r>
      <w:bookmarkEnd w:id="902"/>
      <w:bookmarkEnd w:id="903"/>
    </w:p>
    <w:p w14:paraId="5347BCDA" w14:textId="77777777" w:rsidR="00FF302D" w:rsidRPr="00113F13" w:rsidRDefault="00FF302D" w:rsidP="00B63604">
      <w:pPr>
        <w:pStyle w:val="NormalNumberedTextTLRI"/>
        <w:numPr>
          <w:ilvl w:val="2"/>
          <w:numId w:val="31"/>
        </w:numPr>
        <w:tabs>
          <w:tab w:val="clear" w:pos="720"/>
        </w:tabs>
        <w:spacing w:line="259" w:lineRule="auto"/>
      </w:pPr>
      <w:bookmarkStart w:id="904" w:name="_Ref128939536"/>
      <w:r w:rsidRPr="00113F13">
        <w:t>The Commonwealth Privacy Act Review considered the effectiveness and operation of mandatory data breach notifications. This included inquiring into whether data security practices and awareness have changed since their introduction, and whether there have been challenges for entities that are required to comply with notification requirements in other jurisdictions (for example, the GDPR) on top of the Privacy Act obligations.</w:t>
      </w:r>
      <w:r w:rsidRPr="00113F13">
        <w:rPr>
          <w:rStyle w:val="FootnoteReference"/>
          <w:rFonts w:ascii="Times New Roman" w:hAnsi="Times New Roman"/>
        </w:rPr>
        <w:footnoteReference w:id="920"/>
      </w:r>
      <w:r w:rsidRPr="00113F13">
        <w:t xml:space="preserve"> The Review reported that submitters ‘indicated that the NDB scheme has raised awareness about the importance of effective data security and changed entities’ data security practices’ in a manner that did not impose an undue burden on regulated entities.</w:t>
      </w:r>
      <w:r w:rsidRPr="00113F13">
        <w:rPr>
          <w:rStyle w:val="FootnoteReference"/>
          <w:rFonts w:ascii="Times New Roman" w:hAnsi="Times New Roman"/>
        </w:rPr>
        <w:footnoteReference w:id="921"/>
      </w:r>
    </w:p>
    <w:p w14:paraId="0224E784" w14:textId="77777777" w:rsidR="00FF302D" w:rsidRPr="00113F13" w:rsidRDefault="00FF302D" w:rsidP="00B63604">
      <w:pPr>
        <w:pStyle w:val="NormalNumberedTextTLRI"/>
        <w:numPr>
          <w:ilvl w:val="2"/>
          <w:numId w:val="31"/>
        </w:numPr>
        <w:tabs>
          <w:tab w:val="clear" w:pos="720"/>
        </w:tabs>
        <w:spacing w:line="259" w:lineRule="auto"/>
      </w:pPr>
      <w:r w:rsidRPr="00113F13">
        <w:t>In response to submissions expressing concern about a potential lack of alignment between the Commonwealth notification scheme and future schemes in other Australian jurisdictions, the Review recommended that further work be undertaken to facilitate reporting processes for notifiable data breaches for regulators and regulated entities.</w:t>
      </w:r>
      <w:r w:rsidRPr="00113F13">
        <w:rPr>
          <w:rStyle w:val="FootnoteReference"/>
          <w:rFonts w:ascii="Times New Roman" w:hAnsi="Times New Roman"/>
        </w:rPr>
        <w:footnoteReference w:id="922"/>
      </w:r>
      <w:r w:rsidRPr="00113F13">
        <w:t xml:space="preserve"> The Government agreed with this proposal.</w:t>
      </w:r>
      <w:r w:rsidRPr="00113F13">
        <w:rPr>
          <w:rStyle w:val="FootnoteReference"/>
          <w:rFonts w:ascii="Times New Roman" w:hAnsi="Times New Roman"/>
        </w:rPr>
        <w:footnoteReference w:id="923"/>
      </w:r>
    </w:p>
    <w:p w14:paraId="5CD27124" w14:textId="77777777" w:rsidR="00FF302D" w:rsidRPr="00113F13" w:rsidRDefault="00FF302D" w:rsidP="00B63604">
      <w:pPr>
        <w:pStyle w:val="NormalNumberedTextTLRI"/>
        <w:numPr>
          <w:ilvl w:val="2"/>
          <w:numId w:val="31"/>
        </w:numPr>
        <w:tabs>
          <w:tab w:val="clear" w:pos="720"/>
        </w:tabs>
        <w:spacing w:line="259" w:lineRule="auto"/>
      </w:pPr>
      <w:r w:rsidRPr="00113F13">
        <w:t>The Review also recommended amendments to the scheme to:</w:t>
      </w:r>
    </w:p>
    <w:p w14:paraId="104B6925" w14:textId="77777777" w:rsidR="00FF302D" w:rsidRPr="00113F13" w:rsidRDefault="00FF302D" w:rsidP="0022429F">
      <w:pPr>
        <w:pStyle w:val="DotPointTLRI"/>
      </w:pPr>
      <w:r w:rsidRPr="00113F13">
        <w:lastRenderedPageBreak/>
        <w:t>require notification to the Commissioner to take place within 72 hours after the entity becomes aware that there are reasonable grounds to believe that there has been an eligible data breach, with allowance for further information to be provided if it is not available within that time period;</w:t>
      </w:r>
      <w:r w:rsidRPr="00113F13">
        <w:rPr>
          <w:rStyle w:val="FootnoteReference"/>
          <w:rFonts w:ascii="Times New Roman" w:hAnsi="Times New Roman"/>
        </w:rPr>
        <w:footnoteReference w:id="924"/>
      </w:r>
      <w:r w:rsidRPr="00113F13">
        <w:t xml:space="preserve"> this was characterised as being in line with ‘community expectation… that individuals will be notified quickly if their personal information has been compromised’;</w:t>
      </w:r>
      <w:r w:rsidRPr="00113F13">
        <w:rPr>
          <w:rStyle w:val="FootnoteReference"/>
          <w:rFonts w:ascii="Times New Roman" w:hAnsi="Times New Roman"/>
        </w:rPr>
        <w:footnoteReference w:id="925"/>
      </w:r>
      <w:r w:rsidRPr="00113F13">
        <w:t xml:space="preserve"> </w:t>
      </w:r>
    </w:p>
    <w:p w14:paraId="380D6C9C" w14:textId="77777777" w:rsidR="00FF302D" w:rsidRPr="00113F13" w:rsidRDefault="00FF302D" w:rsidP="0022429F">
      <w:pPr>
        <w:pStyle w:val="DotPointTLRI"/>
      </w:pPr>
      <w:r w:rsidRPr="00113F13">
        <w:t>require notification of individuals as soon as practicable and, where it is not possible to provide all information at the same time, to provide the information in phases as soon as practicable;</w:t>
      </w:r>
      <w:r w:rsidRPr="00113F13">
        <w:rPr>
          <w:rStyle w:val="FootnoteReference"/>
          <w:rFonts w:ascii="Times New Roman" w:hAnsi="Times New Roman"/>
        </w:rPr>
        <w:footnoteReference w:id="926"/>
      </w:r>
      <w:r w:rsidRPr="00113F13">
        <w:rPr>
          <w:rStyle w:val="FootnoteReference"/>
          <w:rFonts w:ascii="Times New Roman" w:hAnsi="Times New Roman"/>
        </w:rPr>
        <w:t xml:space="preserve"> </w:t>
      </w:r>
      <w:r w:rsidRPr="00E309F4">
        <w:rPr>
          <w:rStyle w:val="FootnoteReference"/>
          <w:rFonts w:ascii="Times New Roman" w:hAnsi="Times New Roman"/>
          <w:vertAlign w:val="baseline"/>
        </w:rPr>
        <w:t>and</w:t>
      </w:r>
    </w:p>
    <w:p w14:paraId="760C710A" w14:textId="77777777" w:rsidR="00FF302D" w:rsidRPr="00113F13" w:rsidRDefault="00FF302D" w:rsidP="0022429F">
      <w:pPr>
        <w:pStyle w:val="DotPointTLRI"/>
      </w:pPr>
      <w:r w:rsidRPr="00113F13">
        <w:t>oblige entities to ‘take reasonable steps to implement practices, procedures and systems’ to enable them to respond to a data breach quickly.</w:t>
      </w:r>
      <w:r w:rsidRPr="00113F13">
        <w:rPr>
          <w:rStyle w:val="FootnoteReference"/>
          <w:rFonts w:ascii="Times New Roman" w:hAnsi="Times New Roman"/>
        </w:rPr>
        <w:footnoteReference w:id="927"/>
      </w:r>
      <w:r w:rsidRPr="00113F13">
        <w:t xml:space="preserve"> </w:t>
      </w:r>
    </w:p>
    <w:p w14:paraId="56597AB4" w14:textId="77777777" w:rsidR="00FF302D" w:rsidRPr="00113F13" w:rsidRDefault="00FF302D" w:rsidP="00B63604">
      <w:pPr>
        <w:pStyle w:val="NormalNumberedTextTLRI"/>
        <w:numPr>
          <w:ilvl w:val="2"/>
          <w:numId w:val="31"/>
        </w:numPr>
        <w:tabs>
          <w:tab w:val="clear" w:pos="720"/>
        </w:tabs>
        <w:spacing w:line="259" w:lineRule="auto"/>
      </w:pPr>
      <w:r w:rsidRPr="00113F13">
        <w:t>The Government agreed in-principle with these proposals.</w:t>
      </w:r>
    </w:p>
    <w:p w14:paraId="41C51EC9" w14:textId="77777777" w:rsidR="00FF302D" w:rsidRPr="00113F13" w:rsidRDefault="00FF302D" w:rsidP="00B63604">
      <w:pPr>
        <w:pStyle w:val="NormalNumberedTextTLRI"/>
        <w:numPr>
          <w:ilvl w:val="2"/>
          <w:numId w:val="31"/>
        </w:numPr>
        <w:tabs>
          <w:tab w:val="clear" w:pos="720"/>
        </w:tabs>
        <w:spacing w:line="259" w:lineRule="auto"/>
      </w:pPr>
      <w:r w:rsidRPr="00113F13">
        <w:t>Also in response to perceived community expectations, the Review recommended that a requirement be placed on entities to state the steps they have taken or intend to take in response to a breach ‘including, where appropriate, steps to reduce any adverse impacts on the individuals to whom the relevant information relates’.</w:t>
      </w:r>
      <w:r w:rsidRPr="00113F13">
        <w:rPr>
          <w:rStyle w:val="FootnoteReference"/>
          <w:rFonts w:ascii="Times New Roman" w:hAnsi="Times New Roman"/>
        </w:rPr>
        <w:footnoteReference w:id="928"/>
      </w:r>
      <w:r w:rsidRPr="00113F13">
        <w:t xml:space="preserve"> The Review recommended that further consideration be given to whether entities should be required to take reasonable steps to prevent or reduce harm likely to arise for individuals, on the basis that this would complement the existing obligation on entities to notify individuals so they can take action to protect themselves.</w:t>
      </w:r>
      <w:r w:rsidRPr="00113F13">
        <w:rPr>
          <w:rStyle w:val="FootnoteReference"/>
          <w:rFonts w:ascii="Times New Roman" w:hAnsi="Times New Roman"/>
        </w:rPr>
        <w:footnoteReference w:id="929"/>
      </w:r>
    </w:p>
    <w:p w14:paraId="423AE53A" w14:textId="77777777" w:rsidR="00FF302D" w:rsidRPr="00113F13" w:rsidRDefault="00FF302D" w:rsidP="00B63604">
      <w:pPr>
        <w:pStyle w:val="NormalNumberedTextTLRI"/>
        <w:numPr>
          <w:ilvl w:val="2"/>
          <w:numId w:val="31"/>
        </w:numPr>
        <w:tabs>
          <w:tab w:val="clear" w:pos="720"/>
        </w:tabs>
        <w:spacing w:line="259" w:lineRule="auto"/>
      </w:pPr>
      <w:r w:rsidRPr="00113F13">
        <w:t xml:space="preserve">Finally, the Review proposed the introduction of a provision enabling the Attorney-General to permit the sharing of personal information with appropriate entities (for limited purposes and durations), where doing so would reduce the risk of harm from an eligible data breach. This would mirror changes made to the </w:t>
      </w:r>
      <w:r w:rsidRPr="00113F13">
        <w:rPr>
          <w:i/>
          <w:iCs/>
        </w:rPr>
        <w:t>Telecommunications Regulations 2021</w:t>
      </w:r>
      <w:r w:rsidRPr="00113F13">
        <w:t xml:space="preserve"> in late-2022 to improve responses to large-scale telecommunications company data breaches by permitting the companies to share information with financial services entities, so they could apply enhanced monitoring and safeguards for customers whose information had been compromised.</w:t>
      </w:r>
      <w:r w:rsidRPr="00113F13">
        <w:rPr>
          <w:rStyle w:val="FootnoteReference"/>
          <w:rFonts w:ascii="Times New Roman" w:hAnsi="Times New Roman"/>
        </w:rPr>
        <w:footnoteReference w:id="930"/>
      </w:r>
    </w:p>
    <w:p w14:paraId="6878C499" w14:textId="77777777" w:rsidR="00FF302D" w:rsidRPr="00113F13" w:rsidRDefault="00FF302D" w:rsidP="00BF1FE7">
      <w:pPr>
        <w:pStyle w:val="NumberedHeadingTLRI"/>
      </w:pPr>
      <w:bookmarkStart w:id="905" w:name="_Toc164606705"/>
      <w:bookmarkEnd w:id="904"/>
      <w:r w:rsidRPr="00113F13">
        <w:t>Consultation</w:t>
      </w:r>
      <w:bookmarkEnd w:id="905"/>
    </w:p>
    <w:p w14:paraId="7C1B1C50"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sought stakeholders’ views on data breach notification requirements as follows:</w:t>
      </w:r>
    </w:p>
    <w:p w14:paraId="371A1722" w14:textId="77777777" w:rsidR="00FF302D" w:rsidRPr="00113F13" w:rsidRDefault="00FF302D" w:rsidP="0022429F">
      <w:pPr>
        <w:pStyle w:val="Indentedquote"/>
        <w:rPr>
          <w:rFonts w:cs="Times New Roman"/>
        </w:rPr>
      </w:pPr>
      <w:r w:rsidRPr="00113F13">
        <w:rPr>
          <w:rFonts w:cs="Times New Roman"/>
        </w:rPr>
        <w:t>Should a form of data breach notification requirement be introduced? If so, what models of mandatory reporting schemes should be considered?</w:t>
      </w:r>
      <w:r w:rsidRPr="00113F13">
        <w:rPr>
          <w:rStyle w:val="FootnoteReference"/>
          <w:rFonts w:ascii="Times New Roman" w:hAnsi="Times New Roman" w:cs="Times New Roman"/>
        </w:rPr>
        <w:footnoteReference w:id="931"/>
      </w:r>
    </w:p>
    <w:p w14:paraId="7EF646BE" w14:textId="77777777" w:rsidR="00FF302D" w:rsidRPr="00113F13" w:rsidRDefault="00FF302D" w:rsidP="00B63604">
      <w:pPr>
        <w:pStyle w:val="NormalNumberedTextTLRI"/>
        <w:numPr>
          <w:ilvl w:val="2"/>
          <w:numId w:val="31"/>
        </w:numPr>
        <w:tabs>
          <w:tab w:val="clear" w:pos="720"/>
        </w:tabs>
        <w:spacing w:line="259" w:lineRule="auto"/>
      </w:pPr>
      <w:r w:rsidRPr="00113F13">
        <w:t>Several submissions, including those of Meg Webb MLC, Dr Joel Scanlan, Richard Griggs, and Youth Law Australia, expressed support for the introduction of a data breach notification requirement in the PIPA.</w:t>
      </w:r>
    </w:p>
    <w:p w14:paraId="4904ED98"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Youth Law Australia and Meg Webb MLC each submitted that recent data breaches in Tasmania (such as the announcement by the Tasmanian Department of Education, Children and Young People of a possible theft of data in March 2023)</w:t>
      </w:r>
      <w:r w:rsidRPr="00113F13">
        <w:rPr>
          <w:rStyle w:val="FootnoteReference"/>
          <w:rFonts w:ascii="Times New Roman" w:hAnsi="Times New Roman"/>
        </w:rPr>
        <w:footnoteReference w:id="932"/>
      </w:r>
      <w:r w:rsidRPr="00113F13">
        <w:t xml:space="preserve"> highlighted the importance of data breach notification laws and public expectations that affected individuals will be notified by authorities respectively. Richard Griggs made a similar point that the damage that can be caused by data breaches is now understood, and expressed his expectation that data breach notification requirements would be consistent with public sentiment and good privacy practice.</w:t>
      </w:r>
    </w:p>
    <w:p w14:paraId="5D1BC2BF" w14:textId="14FF31D0" w:rsidR="00FF302D" w:rsidRPr="00113F13" w:rsidRDefault="00FF302D" w:rsidP="00B63604">
      <w:pPr>
        <w:pStyle w:val="NormalNumberedTextTLRI"/>
        <w:numPr>
          <w:ilvl w:val="2"/>
          <w:numId w:val="31"/>
        </w:numPr>
        <w:tabs>
          <w:tab w:val="clear" w:pos="720"/>
        </w:tabs>
        <w:spacing w:line="259" w:lineRule="auto"/>
      </w:pPr>
      <w:r w:rsidRPr="00113F13">
        <w:t xml:space="preserve">Richard Griggs submitted that PIPP 4(2) (also discussed </w:t>
      </w:r>
      <w:r w:rsidR="00E91127">
        <w:t>at [</w:t>
      </w:r>
      <w:r w:rsidR="00E91127">
        <w:fldChar w:fldCharType="begin"/>
      </w:r>
      <w:r w:rsidR="00E91127">
        <w:instrText xml:space="preserve"> REF _Ref164859698 \n \h </w:instrText>
      </w:r>
      <w:r w:rsidR="00E91127">
        <w:fldChar w:fldCharType="separate"/>
      </w:r>
      <w:r w:rsidR="00462C30">
        <w:rPr>
          <w:cs/>
        </w:rPr>
        <w:t>‎</w:t>
      </w:r>
      <w:r w:rsidR="00462C30">
        <w:t>6.5.4</w:t>
      </w:r>
      <w:r w:rsidR="00E91127">
        <w:fldChar w:fldCharType="end"/>
      </w:r>
      <w:r w:rsidR="00E91127">
        <w:t>]</w:t>
      </w:r>
      <w:r w:rsidRPr="00113F13">
        <w:t xml:space="preserve"> </w:t>
      </w:r>
      <w:r w:rsidR="00E91127">
        <w:t>above</w:t>
      </w:r>
      <w:r w:rsidRPr="00113F13">
        <w:t xml:space="preserve">) should be expanded to require notification of data breaches; that is, notification of individuals where there is misuse, loss, unauthorised access, modification, or disclosure of personal information. Mr Griggs suggested that </w:t>
      </w:r>
      <w:bookmarkStart w:id="906" w:name="_Toc143872478"/>
      <w:r w:rsidRPr="00113F13">
        <w:t>such mandatory disclosure should ‘contain practical and useful information that can be understood and acted upon by the individual’.</w:t>
      </w:r>
      <w:r w:rsidRPr="00113F13">
        <w:rPr>
          <w:rStyle w:val="FootnoteReference"/>
          <w:rFonts w:ascii="Times New Roman" w:hAnsi="Times New Roman"/>
        </w:rPr>
        <w:footnoteReference w:id="933"/>
      </w:r>
      <w:bookmarkEnd w:id="906"/>
    </w:p>
    <w:p w14:paraId="0D0B141F" w14:textId="77777777" w:rsidR="00FF302D" w:rsidRPr="00113F13" w:rsidRDefault="00FF302D" w:rsidP="00B63604">
      <w:pPr>
        <w:pStyle w:val="NormalNumberedTextTLRI"/>
        <w:numPr>
          <w:ilvl w:val="2"/>
          <w:numId w:val="31"/>
        </w:numPr>
        <w:tabs>
          <w:tab w:val="clear" w:pos="720"/>
        </w:tabs>
        <w:spacing w:line="259" w:lineRule="auto"/>
      </w:pPr>
      <w:r w:rsidRPr="00113F13">
        <w:t>Meg Webb MLC proposed an additional notification requirement that would apply where an entity has reasonable grounds to suspect there has been a data breach, whereby the entity must ascertain whether there are reasonable grounds to consider the breach did occur.</w:t>
      </w:r>
    </w:p>
    <w:p w14:paraId="7D0FB0F7" w14:textId="77777777" w:rsidR="00FF302D" w:rsidRPr="00113F13" w:rsidRDefault="00FF302D" w:rsidP="00B63604">
      <w:pPr>
        <w:pStyle w:val="NormalNumberedTextTLRI"/>
        <w:numPr>
          <w:ilvl w:val="2"/>
          <w:numId w:val="31"/>
        </w:numPr>
        <w:tabs>
          <w:tab w:val="clear" w:pos="720"/>
        </w:tabs>
        <w:spacing w:line="259" w:lineRule="auto"/>
      </w:pPr>
      <w:r w:rsidRPr="00113F13">
        <w:t>Dr Joel Scanlan submitted that simplicity is important in regulation, suggesting that a 28- or 30-day requirement to notify authorities of a breach, and principles such as the APPs, are fairly understandable to regulated entities.</w:t>
      </w:r>
      <w:r w:rsidRPr="00113F13">
        <w:rPr>
          <w:rStyle w:val="FootnoteReference"/>
          <w:rFonts w:ascii="Times New Roman" w:hAnsi="Times New Roman"/>
        </w:rPr>
        <w:footnoteReference w:id="934"/>
      </w:r>
      <w:r w:rsidRPr="00113F13">
        <w:t xml:space="preserve"> </w:t>
      </w:r>
    </w:p>
    <w:p w14:paraId="5E04ED6A" w14:textId="77777777" w:rsidR="00FF302D" w:rsidRPr="00113F13" w:rsidRDefault="00FF302D" w:rsidP="00B63604">
      <w:pPr>
        <w:pStyle w:val="NormalNumberedTextTLRI"/>
        <w:numPr>
          <w:ilvl w:val="2"/>
          <w:numId w:val="31"/>
        </w:numPr>
        <w:tabs>
          <w:tab w:val="clear" w:pos="720"/>
        </w:tabs>
        <w:spacing w:line="259" w:lineRule="auto"/>
      </w:pPr>
      <w:r w:rsidRPr="00113F13">
        <w:t>Dr Scanlan also noted advantages of schemes that enable regulators to issue or seek fines for a data breach, suggesting that a ‘hammer’ communicates to custodians that they are taking on a liability if they do not actually need information that they are collecting or otherwise handling. Dr Scanlan also noted that, in other jurisdictions, disclosure under notification schemes enables custodians to avoid fines.</w:t>
      </w:r>
      <w:r w:rsidRPr="00113F13">
        <w:rPr>
          <w:rStyle w:val="FootnoteReference"/>
          <w:rFonts w:ascii="Times New Roman" w:hAnsi="Times New Roman"/>
        </w:rPr>
        <w:footnoteReference w:id="935"/>
      </w:r>
    </w:p>
    <w:p w14:paraId="7E14D4BE" w14:textId="77777777" w:rsidR="00FF302D" w:rsidRPr="00113F13" w:rsidRDefault="00FF302D" w:rsidP="00B63604">
      <w:pPr>
        <w:pStyle w:val="NormalNumberedTextTLRI"/>
        <w:numPr>
          <w:ilvl w:val="2"/>
          <w:numId w:val="31"/>
        </w:numPr>
        <w:tabs>
          <w:tab w:val="clear" w:pos="720"/>
        </w:tabs>
        <w:spacing w:line="259" w:lineRule="auto"/>
      </w:pPr>
      <w:r w:rsidRPr="00113F13">
        <w:t>Dr Scanlan noted the importance of aligning data breach notification regulations across jurisdictions (including international jurisdictions), observing that Australian and Tasmanian bodies may be fined under the GDPR in relation to the data of European Union citizens.</w:t>
      </w:r>
    </w:p>
    <w:p w14:paraId="00328A0B" w14:textId="77777777" w:rsidR="00FF302D" w:rsidRPr="00113F13" w:rsidRDefault="00FF302D" w:rsidP="00BF1FE7">
      <w:pPr>
        <w:pStyle w:val="NumberedHeadingTLRI"/>
      </w:pPr>
      <w:bookmarkStart w:id="907" w:name="_Toc164606706"/>
      <w:bookmarkStart w:id="908" w:name="_Ref164765723"/>
      <w:r w:rsidRPr="00113F13">
        <w:t>The TLRI position</w:t>
      </w:r>
      <w:bookmarkEnd w:id="907"/>
      <w:bookmarkEnd w:id="908"/>
    </w:p>
    <w:p w14:paraId="2DE675C7" w14:textId="77777777" w:rsidR="00FF302D" w:rsidRDefault="00FF302D" w:rsidP="00B63604">
      <w:pPr>
        <w:pStyle w:val="NormalNumberedTextTLRI"/>
        <w:numPr>
          <w:ilvl w:val="2"/>
          <w:numId w:val="31"/>
        </w:numPr>
        <w:tabs>
          <w:tab w:val="clear" w:pos="720"/>
        </w:tabs>
        <w:spacing w:line="259" w:lineRule="auto"/>
      </w:pPr>
      <w:r w:rsidRPr="00113F13">
        <w:t>The TLRI is of the view that data breach notification schemes are an important tool for improving transparency and protection from privacy-related harm for individuals, as well as improving accountability and practices among regulated bodies and enhancing consistency across jurisdictions within Australia and internationally. Additional resources would need to be made available to enable personal information custodians to comply with data breach notification requirements.</w:t>
      </w:r>
    </w:p>
    <w:p w14:paraId="782FA7B0" w14:textId="77777777" w:rsidR="005E0C5F" w:rsidRDefault="005E0C5F" w:rsidP="005E0C5F">
      <w:pPr>
        <w:pStyle w:val="NormalNumberedTextTLRI"/>
        <w:numPr>
          <w:ilvl w:val="0"/>
          <w:numId w:val="0"/>
        </w:numPr>
        <w:spacing w:line="259" w:lineRule="auto"/>
      </w:pPr>
    </w:p>
    <w:p w14:paraId="7D412C75" w14:textId="77777777" w:rsidR="00FF302D" w:rsidRPr="00113F13" w:rsidRDefault="00FF302D" w:rsidP="00BF1FE7">
      <w:pPr>
        <w:pStyle w:val="NumberedHeadingTLRI"/>
      </w:pPr>
      <w:bookmarkStart w:id="909" w:name="_Toc164606707"/>
      <w:r w:rsidRPr="00113F13">
        <w:lastRenderedPageBreak/>
        <w:t>Recommendations</w:t>
      </w:r>
      <w:bookmarkEnd w:id="90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445F44CC" w14:textId="77777777" w:rsidTr="00754A3F">
        <w:tc>
          <w:tcPr>
            <w:tcW w:w="9016" w:type="dxa"/>
            <w:shd w:val="clear" w:color="auto" w:fill="E8E8E8" w:themeFill="background2"/>
          </w:tcPr>
          <w:p w14:paraId="48537293" w14:textId="77777777" w:rsidR="00FF302D" w:rsidRPr="00EA22F8" w:rsidRDefault="00FF302D" w:rsidP="00754A3F">
            <w:pPr>
              <w:pStyle w:val="Heading3"/>
              <w:numPr>
                <w:ilvl w:val="2"/>
                <w:numId w:val="0"/>
              </w:numPr>
              <w:spacing w:before="120"/>
              <w:rPr>
                <w:rFonts w:ascii="Times New Roman" w:hAnsi="Times New Roman" w:cs="Times New Roman"/>
                <w:b/>
                <w:color w:val="auto"/>
              </w:rPr>
            </w:pPr>
            <w:bookmarkStart w:id="910" w:name="_Toc164600442"/>
            <w:r w:rsidRPr="00EA22F8">
              <w:rPr>
                <w:rFonts w:ascii="Times New Roman" w:hAnsi="Times New Roman" w:cs="Times New Roman"/>
                <w:b/>
                <w:color w:val="auto"/>
              </w:rPr>
              <w:t xml:space="preserve">Recommendation 55: </w:t>
            </w:r>
            <w:r w:rsidRPr="00EA22F8">
              <w:rPr>
                <w:rFonts w:ascii="Times New Roman" w:hAnsi="Times New Roman" w:cs="Times New Roman"/>
                <w:color w:val="auto"/>
              </w:rPr>
              <w:t>The TLRI recommends that Tasmania introduce a data breach notification scheme based on the Commonwealth model.</w:t>
            </w:r>
            <w:bookmarkEnd w:id="910"/>
          </w:p>
        </w:tc>
      </w:tr>
    </w:tbl>
    <w:p w14:paraId="15DF2652" w14:textId="473D9AD8" w:rsidR="005E0C5F" w:rsidRDefault="005E0C5F" w:rsidP="00FF302D">
      <w:pPr>
        <w:pStyle w:val="Heading3"/>
        <w:rPr>
          <w:rFonts w:ascii="Times New Roman" w:hAnsi="Times New Roman" w:cs="Times New Roman"/>
          <w:b/>
        </w:rPr>
      </w:pPr>
    </w:p>
    <w:p w14:paraId="1F02BDF1" w14:textId="038EC487" w:rsidR="00FF302D" w:rsidRPr="00113F13" w:rsidRDefault="005E0C5F" w:rsidP="005E0C5F">
      <w:pPr>
        <w:spacing w:after="200" w:line="276" w:lineRule="auto"/>
        <w:jc w:val="left"/>
        <w:rPr>
          <w:rFonts w:cs="Times New Roman"/>
          <w:b/>
        </w:rPr>
      </w:pPr>
      <w:r>
        <w:rPr>
          <w:rFonts w:cs="Times New Roman"/>
          <w:b/>
        </w:rPr>
        <w:br w:type="page"/>
      </w:r>
    </w:p>
    <w:p w14:paraId="2CCDD3F5" w14:textId="77777777" w:rsidR="00FF302D" w:rsidRPr="00113F13" w:rsidRDefault="00FF302D" w:rsidP="00FF302D">
      <w:pPr>
        <w:pStyle w:val="Heading1"/>
        <w:jc w:val="center"/>
        <w:rPr>
          <w:rFonts w:ascii="Times New Roman" w:hAnsi="Times New Roman" w:cs="Times New Roman"/>
        </w:rPr>
        <w:sectPr w:rsidR="00FF302D" w:rsidRPr="00113F13" w:rsidSect="00BC08AB">
          <w:headerReference w:type="default" r:id="rId38"/>
          <w:type w:val="continuous"/>
          <w:pgSz w:w="11906" w:h="16838" w:code="9"/>
          <w:pgMar w:top="1440" w:right="1440" w:bottom="1440" w:left="1440" w:header="708" w:footer="708" w:gutter="0"/>
          <w:cols w:space="708"/>
          <w:docGrid w:linePitch="360"/>
        </w:sectPr>
      </w:pPr>
      <w:bookmarkStart w:id="911" w:name="_Ref56441073"/>
      <w:bookmarkStart w:id="912" w:name="_Ref55034886"/>
    </w:p>
    <w:p w14:paraId="6F49325F" w14:textId="77777777" w:rsidR="00FF302D" w:rsidRPr="00113F13" w:rsidRDefault="00FF302D" w:rsidP="00B63604">
      <w:pPr>
        <w:pStyle w:val="PartNoTLRI"/>
        <w:numPr>
          <w:ilvl w:val="0"/>
          <w:numId w:val="31"/>
        </w:numPr>
        <w:spacing w:after="160" w:line="259" w:lineRule="auto"/>
      </w:pPr>
      <w:bookmarkStart w:id="913" w:name="_Toc91685219"/>
      <w:bookmarkStart w:id="914" w:name="_Toc91691976"/>
      <w:bookmarkStart w:id="915" w:name="_Toc91769157"/>
      <w:bookmarkStart w:id="916" w:name="_Toc91770069"/>
      <w:bookmarkStart w:id="917" w:name="_Toc91830034"/>
      <w:bookmarkStart w:id="918" w:name="_Toc91685220"/>
      <w:bookmarkStart w:id="919" w:name="_Toc91691977"/>
      <w:bookmarkStart w:id="920" w:name="_Toc91769158"/>
      <w:bookmarkStart w:id="921" w:name="_Toc91770070"/>
      <w:bookmarkStart w:id="922" w:name="_Toc91830035"/>
      <w:bookmarkStart w:id="923" w:name="_Other_legislation_impacting"/>
      <w:bookmarkStart w:id="924" w:name="_Ref91825727"/>
      <w:bookmarkStart w:id="925" w:name="_Toc91832009"/>
      <w:bookmarkStart w:id="926" w:name="_Toc130540443"/>
      <w:bookmarkEnd w:id="911"/>
      <w:bookmarkEnd w:id="912"/>
      <w:bookmarkEnd w:id="913"/>
      <w:bookmarkEnd w:id="914"/>
      <w:bookmarkEnd w:id="915"/>
      <w:bookmarkEnd w:id="916"/>
      <w:bookmarkEnd w:id="917"/>
      <w:bookmarkEnd w:id="918"/>
      <w:bookmarkEnd w:id="919"/>
      <w:bookmarkEnd w:id="920"/>
      <w:bookmarkEnd w:id="921"/>
      <w:bookmarkEnd w:id="922"/>
      <w:bookmarkEnd w:id="923"/>
    </w:p>
    <w:p w14:paraId="661E5494" w14:textId="373A6A01" w:rsidR="00FF302D" w:rsidRPr="00113F13" w:rsidRDefault="00FF302D" w:rsidP="00FF302D">
      <w:pPr>
        <w:pStyle w:val="PartHeadingTLRI"/>
      </w:pPr>
      <w:bookmarkStart w:id="927" w:name="_Toc164606708"/>
      <w:r w:rsidRPr="00113F13">
        <w:t>Other Legislation Impacting the Privacy of Government</w:t>
      </w:r>
      <w:r w:rsidR="00F9383C">
        <w:t>-</w:t>
      </w:r>
      <w:r w:rsidRPr="00113F13">
        <w:t>held Information</w:t>
      </w:r>
      <w:bookmarkEnd w:id="924"/>
      <w:bookmarkEnd w:id="925"/>
      <w:bookmarkEnd w:id="926"/>
      <w:bookmarkEnd w:id="927"/>
    </w:p>
    <w:p w14:paraId="349FAB86" w14:textId="39085D23" w:rsidR="00FF302D" w:rsidRPr="00113F13" w:rsidRDefault="00FF302D" w:rsidP="00BF1FE7">
      <w:pPr>
        <w:pStyle w:val="NumberedHeadingTLRI"/>
      </w:pPr>
      <w:bookmarkStart w:id="928" w:name="_Toc164606709"/>
      <w:r w:rsidRPr="00113F13">
        <w:t xml:space="preserve">Overview of </w:t>
      </w:r>
      <w:bookmarkEnd w:id="928"/>
      <w:r w:rsidR="003850D2">
        <w:t>this Part</w:t>
      </w:r>
    </w:p>
    <w:p w14:paraId="6C8413E3" w14:textId="052F1177" w:rsidR="00FF302D" w:rsidRPr="00113F13" w:rsidRDefault="00FF302D" w:rsidP="00B63604">
      <w:pPr>
        <w:pStyle w:val="NormalNumberedTextTLRI"/>
        <w:numPr>
          <w:ilvl w:val="2"/>
          <w:numId w:val="31"/>
        </w:numPr>
        <w:tabs>
          <w:tab w:val="clear" w:pos="720"/>
        </w:tabs>
        <w:spacing w:line="259" w:lineRule="auto"/>
      </w:pPr>
      <w:r w:rsidRPr="00113F13">
        <w:t xml:space="preserve">In the TLRI </w:t>
      </w:r>
      <w:r w:rsidR="0018662C">
        <w:t>I</w:t>
      </w:r>
      <w:r w:rsidRPr="00113F13">
        <w:t xml:space="preserve">ssues </w:t>
      </w:r>
      <w:r w:rsidR="0018662C">
        <w:t>P</w:t>
      </w:r>
      <w:r w:rsidRPr="00113F13">
        <w:t xml:space="preserve">aper, consideration was given to other legislative provisions outside the </w:t>
      </w:r>
      <w:r w:rsidR="00E915F0">
        <w:t>P</w:t>
      </w:r>
      <w:r w:rsidRPr="00113F13">
        <w:rPr>
          <w:i/>
          <w:iCs/>
        </w:rPr>
        <w:t xml:space="preserve">ersonal </w:t>
      </w:r>
      <w:r w:rsidR="00E915F0">
        <w:rPr>
          <w:i/>
          <w:iCs/>
        </w:rPr>
        <w:t>I</w:t>
      </w:r>
      <w:r w:rsidRPr="00113F13">
        <w:rPr>
          <w:i/>
          <w:iCs/>
        </w:rPr>
        <w:t xml:space="preserve">nformation </w:t>
      </w:r>
      <w:r w:rsidR="00E915F0">
        <w:rPr>
          <w:i/>
          <w:iCs/>
        </w:rPr>
        <w:t>P</w:t>
      </w:r>
      <w:r w:rsidRPr="00113F13">
        <w:rPr>
          <w:i/>
          <w:iCs/>
        </w:rPr>
        <w:t xml:space="preserve">rotection </w:t>
      </w:r>
      <w:r w:rsidR="002F0F21">
        <w:rPr>
          <w:i/>
          <w:iCs/>
        </w:rPr>
        <w:t>A</w:t>
      </w:r>
      <w:r w:rsidRPr="00113F13">
        <w:rPr>
          <w:i/>
          <w:iCs/>
        </w:rPr>
        <w:t>ct 2004</w:t>
      </w:r>
      <w:r w:rsidRPr="00113F13">
        <w:t xml:space="preserve"> (Tas) (</w:t>
      </w:r>
      <w:r w:rsidRPr="00113F13">
        <w:rPr>
          <w:i/>
          <w:iCs/>
        </w:rPr>
        <w:t>‘</w:t>
      </w:r>
      <w:r w:rsidRPr="00113F13">
        <w:t>PIPA’) that impact the privacy of government-held information. The issues paper raised three areas of focus which are further discussed in this</w:t>
      </w:r>
      <w:r w:rsidR="00514C40">
        <w:t xml:space="preserve"> Part</w:t>
      </w:r>
      <w:r w:rsidRPr="00113F13">
        <w:t xml:space="preserve">: </w:t>
      </w:r>
    </w:p>
    <w:p w14:paraId="21FBCDFF" w14:textId="77777777" w:rsidR="00FF302D" w:rsidRPr="00113F13" w:rsidRDefault="00FF302D" w:rsidP="0022429F">
      <w:pPr>
        <w:pStyle w:val="DotPointTLRI"/>
      </w:pPr>
      <w:r w:rsidRPr="00113F13">
        <w:t>situations where legislation may override the privacy protections in the PIPA;</w:t>
      </w:r>
      <w:r w:rsidRPr="082BF74E">
        <w:rPr>
          <w:rStyle w:val="FootnoteReference"/>
          <w:rFonts w:ascii="Times New Roman" w:hAnsi="Times New Roman"/>
        </w:rPr>
        <w:footnoteReference w:id="936"/>
      </w:r>
      <w:r w:rsidRPr="00113F13">
        <w:rPr>
          <w:szCs w:val="22"/>
        </w:rPr>
        <w:t xml:space="preserve"> </w:t>
      </w:r>
    </w:p>
    <w:p w14:paraId="541A8414" w14:textId="77777777" w:rsidR="00FF302D" w:rsidRPr="00113F13" w:rsidRDefault="00FF302D" w:rsidP="0022429F">
      <w:pPr>
        <w:pStyle w:val="DotPointTLRI"/>
      </w:pPr>
      <w:r w:rsidRPr="00113F13">
        <w:t>situations where legislation may impose secrecy obligations that can serve as privacy protections;</w:t>
      </w:r>
      <w:r w:rsidRPr="082BF74E">
        <w:rPr>
          <w:rStyle w:val="FootnoteReference"/>
          <w:rFonts w:ascii="Times New Roman" w:hAnsi="Times New Roman"/>
        </w:rPr>
        <w:footnoteReference w:id="937"/>
      </w:r>
      <w:r w:rsidRPr="00113F13">
        <w:t xml:space="preserve"> and</w:t>
      </w:r>
    </w:p>
    <w:p w14:paraId="1849E84E" w14:textId="77777777" w:rsidR="00FF302D" w:rsidRPr="00113F13" w:rsidRDefault="00FF302D" w:rsidP="0022429F">
      <w:pPr>
        <w:pStyle w:val="DotPointTLRI"/>
      </w:pPr>
      <w:r w:rsidRPr="00113F13">
        <w:t xml:space="preserve">situations where legislation provides for the gathering of personal information </w:t>
      </w:r>
      <w:r w:rsidRPr="00113F13">
        <w:rPr>
          <w:i/>
          <w:iCs/>
        </w:rPr>
        <w:t>without</w:t>
      </w:r>
      <w:r w:rsidRPr="00113F13">
        <w:t xml:space="preserve"> specifically setting limits on its use or sharing, focusing on the context of sharing information within and between government agencies.</w:t>
      </w:r>
      <w:r w:rsidRPr="082BF74E">
        <w:rPr>
          <w:rStyle w:val="FootnoteReference"/>
          <w:rFonts w:ascii="Times New Roman" w:hAnsi="Times New Roman"/>
        </w:rPr>
        <w:footnoteReference w:id="938"/>
      </w:r>
    </w:p>
    <w:p w14:paraId="6661C788" w14:textId="77777777" w:rsidR="00FF302D" w:rsidRPr="00113F13" w:rsidRDefault="00FF302D" w:rsidP="00BF1FE7">
      <w:pPr>
        <w:pStyle w:val="NumberedHeadingTLRI"/>
      </w:pPr>
      <w:bookmarkStart w:id="929" w:name="_Toc91832010"/>
      <w:bookmarkStart w:id="930" w:name="_Ref129294541"/>
      <w:bookmarkStart w:id="931" w:name="_Toc130540445"/>
      <w:bookmarkStart w:id="932" w:name="_Toc164606710"/>
      <w:r w:rsidRPr="00113F13">
        <w:t>Legislation which may override the PIPA</w:t>
      </w:r>
      <w:bookmarkStart w:id="933" w:name="_Ref91319938"/>
      <w:bookmarkEnd w:id="929"/>
      <w:bookmarkEnd w:id="930"/>
      <w:bookmarkEnd w:id="931"/>
      <w:bookmarkEnd w:id="932"/>
      <w:bookmarkEnd w:id="933"/>
    </w:p>
    <w:p w14:paraId="5030AC62" w14:textId="77777777" w:rsidR="00FF302D" w:rsidRPr="00113F13" w:rsidRDefault="00FF302D" w:rsidP="0022429F">
      <w:pPr>
        <w:pStyle w:val="Headingunnumbered"/>
        <w:rPr>
          <w:rFonts w:cs="Times New Roman"/>
        </w:rPr>
      </w:pPr>
      <w:bookmarkStart w:id="934" w:name="_Toc164606711"/>
      <w:r w:rsidRPr="00113F13">
        <w:rPr>
          <w:rFonts w:cs="Times New Roman"/>
        </w:rPr>
        <w:t>The Tasmanian position</w:t>
      </w:r>
      <w:bookmarkEnd w:id="934"/>
    </w:p>
    <w:p w14:paraId="76520EBB" w14:textId="77777777" w:rsidR="00FF302D" w:rsidRPr="00113F13" w:rsidRDefault="00FF302D" w:rsidP="00B63604">
      <w:pPr>
        <w:pStyle w:val="NormalNumberedTextTLRI"/>
        <w:numPr>
          <w:ilvl w:val="2"/>
          <w:numId w:val="31"/>
        </w:numPr>
        <w:tabs>
          <w:tab w:val="clear" w:pos="720"/>
        </w:tabs>
        <w:spacing w:line="259" w:lineRule="auto"/>
      </w:pPr>
      <w:bookmarkStart w:id="935" w:name="Five"/>
      <w:bookmarkEnd w:id="935"/>
      <w:r w:rsidRPr="00113F13">
        <w:t>Section 4 of the PIPA holds that provisions of the PIPA can be overridden by any inconsistent provisions in any other legislation.</w:t>
      </w:r>
      <w:r w:rsidRPr="00113F13">
        <w:rPr>
          <w:rStyle w:val="FootnoteReference"/>
          <w:rFonts w:ascii="Times New Roman" w:hAnsi="Times New Roman"/>
        </w:rPr>
        <w:footnoteReference w:id="939"/>
      </w:r>
      <w:r w:rsidRPr="00113F13">
        <w:t xml:space="preserve"> This means that, where other legislation authorises the collection, use, or disclosure of personal information in a manner that would breach the PIPA, its requirements will not apply. However, it may not always be clear whether other legislation is inconsistent such as to override the PIPA. For example, legislation may authorise the collection of certain types of information without specifying how it can be collected or used. Alternatively, legislation may provide for restrictions which differ slightly from those in the PIPA. </w:t>
      </w:r>
    </w:p>
    <w:p w14:paraId="450C01B0" w14:textId="77777777" w:rsidR="00FF302D" w:rsidRPr="00113F13" w:rsidRDefault="00FF302D" w:rsidP="00B63604">
      <w:pPr>
        <w:pStyle w:val="NormalNumberedTextTLRI"/>
        <w:numPr>
          <w:ilvl w:val="2"/>
          <w:numId w:val="31"/>
        </w:numPr>
        <w:tabs>
          <w:tab w:val="clear" w:pos="720"/>
        </w:tabs>
        <w:spacing w:line="259" w:lineRule="auto"/>
      </w:pPr>
      <w:r w:rsidRPr="00113F13">
        <w:t>For example, the Right to Information Act 2009</w:t>
      </w:r>
      <w:r w:rsidRPr="00113F13">
        <w:rPr>
          <w:i/>
          <w:iCs/>
        </w:rPr>
        <w:t xml:space="preserve"> </w:t>
      </w:r>
      <w:r w:rsidRPr="00113F13">
        <w:t>(Tas) provides a legally enforceable right for a person to be provided with information possessed by a public authority or a Minister.</w:t>
      </w:r>
      <w:r w:rsidRPr="00113F13">
        <w:rPr>
          <w:rStyle w:val="FootnoteReference"/>
          <w:rFonts w:ascii="Times New Roman" w:hAnsi="Times New Roman"/>
        </w:rPr>
        <w:footnoteReference w:id="940"/>
      </w:r>
      <w:r w:rsidRPr="00113F13">
        <w:t xml:space="preserve"> The Act creates various exemptions that allow information to be withheld, where the public authority’s principal officer or the Minister considers the disclosure to be contrary to the public interest.</w:t>
      </w:r>
      <w:r w:rsidRPr="00113F13">
        <w:rPr>
          <w:rStyle w:val="FootnoteReference"/>
          <w:rFonts w:ascii="Times New Roman" w:hAnsi="Times New Roman"/>
        </w:rPr>
        <w:footnoteReference w:id="941"/>
      </w:r>
      <w:r w:rsidRPr="00113F13">
        <w:t xml:space="preserve"> For example, information can be withheld if disclosure would include a third party’s personal information or </w:t>
      </w:r>
      <w:r w:rsidRPr="00113F13">
        <w:lastRenderedPageBreak/>
        <w:t>information related to the business affairs of a third party.</w:t>
      </w:r>
      <w:r w:rsidRPr="00113F13">
        <w:rPr>
          <w:rStyle w:val="FootnoteReference"/>
          <w:rFonts w:ascii="Times New Roman" w:hAnsi="Times New Roman"/>
        </w:rPr>
        <w:footnoteReference w:id="942"/>
      </w:r>
      <w:r w:rsidRPr="00113F13">
        <w:t xml:space="preserve"> While the public interest could nevertheless weigh in favour of disclosure, the principal officer or Minister must first consult the third party; the third party may apply for review of any decision to disclose their information. The legislation sets out 25 ‘matters to be considered when assessing if disclosure of particular information would be contrary to the public interest’, which cover considerations such as accessibility and understanding of government decisions, public health or safety, the administration of justice, equity and fair treatment, and security and good order.</w:t>
      </w:r>
      <w:r w:rsidRPr="00113F13">
        <w:rPr>
          <w:rStyle w:val="FootnoteReference"/>
          <w:rFonts w:ascii="Times New Roman" w:hAnsi="Times New Roman"/>
        </w:rPr>
        <w:footnoteReference w:id="943"/>
      </w:r>
      <w:r w:rsidRPr="00113F13">
        <w:t xml:space="preserve"> This list does not explicitly identify personal privacy as a matter to be taken into account in the application of the public interest test.</w:t>
      </w:r>
    </w:p>
    <w:p w14:paraId="78A98A2F" w14:textId="635C3DD4" w:rsidR="00FF302D" w:rsidRPr="00113F13" w:rsidRDefault="00FF302D" w:rsidP="00B63604">
      <w:pPr>
        <w:pStyle w:val="NormalNumberedTextTLRI"/>
        <w:numPr>
          <w:ilvl w:val="2"/>
          <w:numId w:val="31"/>
        </w:numPr>
        <w:tabs>
          <w:tab w:val="clear" w:pos="720"/>
        </w:tabs>
        <w:spacing w:line="259" w:lineRule="auto"/>
      </w:pPr>
      <w:r w:rsidRPr="00113F13">
        <w:t xml:space="preserve">It is unclear whether the terms of the </w:t>
      </w:r>
      <w:r w:rsidRPr="00113F13">
        <w:rPr>
          <w:i/>
          <w:iCs/>
        </w:rPr>
        <w:t>Right to Information Act 2009</w:t>
      </w:r>
      <w:r w:rsidRPr="00113F13">
        <w:t xml:space="preserve"> (TAS) (‘RTI Act’) is ‘inconsistent’ with the PIPA in the sense contemplated </w:t>
      </w:r>
      <w:r w:rsidRPr="00E16642">
        <w:t xml:space="preserve">in </w:t>
      </w:r>
      <w:r w:rsidR="00E14ADE">
        <w:t>Section</w:t>
      </w:r>
      <w:r w:rsidRPr="00EA22F8">
        <w:t xml:space="preserve"> 4</w:t>
      </w:r>
      <w:r w:rsidRPr="00E16642">
        <w:t xml:space="preserve"> of</w:t>
      </w:r>
      <w:r w:rsidRPr="00113F13">
        <w:t xml:space="preserve"> the PIPA. Specifically, it is not clear whether the exemption from RTI Act disclosure requirements, where it is contrary to the ‘public interest’, would limit disclosure to the various circumstances where disclosure is also permitted under the Personal Information Protection Principles (‘PIPPs’). In other words, it is unclear whether disclosure that would breach the PIPPs would be deemed </w:t>
      </w:r>
      <w:r w:rsidRPr="00113F13">
        <w:rPr>
          <w:i/>
          <w:iCs/>
        </w:rPr>
        <w:t xml:space="preserve">against </w:t>
      </w:r>
      <w:r w:rsidRPr="00113F13">
        <w:t>the public interest under the RTA Act, or whether there are circumstances in which disclosure that would not be permitted under the PIPA is permitted under the RTI Act—in which case, the RTI Act would prevail.</w:t>
      </w:r>
    </w:p>
    <w:p w14:paraId="1B2737B2" w14:textId="77777777" w:rsidR="00FF302D" w:rsidRPr="00113F13" w:rsidRDefault="00FF302D" w:rsidP="00B63604">
      <w:pPr>
        <w:pStyle w:val="NormalNumberedTextTLRI"/>
        <w:numPr>
          <w:ilvl w:val="2"/>
          <w:numId w:val="31"/>
        </w:numPr>
        <w:tabs>
          <w:tab w:val="clear" w:pos="720"/>
        </w:tabs>
        <w:spacing w:line="259" w:lineRule="auto"/>
      </w:pPr>
      <w:r w:rsidRPr="00113F13">
        <w:t xml:space="preserve">A clearer and direct example of inconsistency is found in legislation relating to Stolen Generation investigations. </w:t>
      </w:r>
      <w:r w:rsidRPr="00113F13">
        <w:rPr>
          <w:i/>
          <w:iCs/>
        </w:rPr>
        <w:t>The Stolen Generations of Aboriginal Children Act 2006</w:t>
      </w:r>
      <w:r w:rsidRPr="00113F13">
        <w:t xml:space="preserve"> (Tas) expressly provides that the Stolen Generations Assessor (responsible for assessing information relevant to the investigations) is empowered to exercise their powers, notwithstanding legislative protections of confidentiality or privacy.</w:t>
      </w:r>
      <w:r w:rsidRPr="00113F13">
        <w:rPr>
          <w:rStyle w:val="FootnoteReference"/>
          <w:rFonts w:ascii="Times New Roman" w:hAnsi="Times New Roman"/>
        </w:rPr>
        <w:footnoteReference w:id="944"/>
      </w:r>
      <w:r w:rsidRPr="00113F13">
        <w:t xml:space="preserve"> Another example is the information sharing framework created in Part 5 of the </w:t>
      </w:r>
      <w:r w:rsidRPr="00113F13">
        <w:rPr>
          <w:i/>
          <w:iCs/>
        </w:rPr>
        <w:t>Child and Youth Safe Organisations Act 2023</w:t>
      </w:r>
      <w:r w:rsidRPr="00113F13">
        <w:t xml:space="preserve"> (Tas).</w:t>
      </w:r>
      <w:r w:rsidRPr="00113F13">
        <w:rPr>
          <w:rStyle w:val="FootnoteReference"/>
          <w:rFonts w:ascii="Times New Roman" w:hAnsi="Times New Roman"/>
        </w:rPr>
        <w:footnoteReference w:id="945"/>
      </w:r>
      <w:r w:rsidRPr="00113F13">
        <w:t xml:space="preserve"> This allows for the sharing of personal information as permitted under the Act, and specifically states that the PIPA does not apply in certain circumstances connected with the obtaining or possession of information or to information obtained or possessed for the purposes of the </w:t>
      </w:r>
      <w:r w:rsidRPr="00113F13">
        <w:rPr>
          <w:i/>
          <w:iCs/>
        </w:rPr>
        <w:t>Child and Youth Safe Organisations Act 2023</w:t>
      </w:r>
      <w:r w:rsidRPr="00113F13">
        <w:t xml:space="preserve"> (Tas).</w:t>
      </w:r>
      <w:r w:rsidRPr="00113F13">
        <w:rPr>
          <w:rStyle w:val="FootnoteReference"/>
          <w:rFonts w:ascii="Times New Roman" w:hAnsi="Times New Roman"/>
        </w:rPr>
        <w:footnoteReference w:id="946"/>
      </w:r>
      <w:r w:rsidRPr="00113F13">
        <w:t xml:space="preserve"> The </w:t>
      </w:r>
      <w:r w:rsidRPr="00113F13">
        <w:rPr>
          <w:i/>
          <w:iCs/>
        </w:rPr>
        <w:t>Commissions of Inquiry Act 1995</w:t>
      </w:r>
      <w:r w:rsidRPr="00113F13">
        <w:t xml:space="preserve"> (Tas) also provides that the PIPA does not apply to any information collected for communication to, or communicated to, the Commission of Inquiry into Institutional Child Sexual Abuse’.</w:t>
      </w:r>
      <w:r w:rsidRPr="00113F13">
        <w:rPr>
          <w:rStyle w:val="FootnoteReference"/>
          <w:rFonts w:ascii="Times New Roman" w:hAnsi="Times New Roman"/>
        </w:rPr>
        <w:footnoteReference w:id="947"/>
      </w:r>
    </w:p>
    <w:p w14:paraId="4A905CA3" w14:textId="77777777" w:rsidR="00FF302D" w:rsidRPr="00113F13" w:rsidRDefault="00FF302D" w:rsidP="00B63604">
      <w:pPr>
        <w:pStyle w:val="NormalNumberedTextTLRI"/>
        <w:numPr>
          <w:ilvl w:val="2"/>
          <w:numId w:val="31"/>
        </w:numPr>
        <w:tabs>
          <w:tab w:val="clear" w:pos="720"/>
        </w:tabs>
        <w:spacing w:line="259" w:lineRule="auto"/>
      </w:pPr>
      <w:bookmarkStart w:id="936" w:name="_Ref151978226"/>
      <w:r w:rsidRPr="00113F13">
        <w:t xml:space="preserve">A number of other Acts address the application of the PIPA in various ways. For example, some provide that the Act overrides PIPA, while others hold that the provisions of the Act have effect despite PIPA or to the extent of any inconsistency. </w:t>
      </w:r>
      <w:bookmarkEnd w:id="936"/>
    </w:p>
    <w:p w14:paraId="1F3EC32A" w14:textId="77777777" w:rsidR="00FF302D" w:rsidRPr="00113F13" w:rsidRDefault="00FF302D" w:rsidP="0022429F">
      <w:pPr>
        <w:pStyle w:val="DotPointTLRI"/>
      </w:pPr>
      <w:r w:rsidRPr="00113F13">
        <w:t xml:space="preserve">The </w:t>
      </w:r>
      <w:r w:rsidRPr="00113F13">
        <w:rPr>
          <w:i/>
          <w:iCs/>
        </w:rPr>
        <w:t xml:space="preserve">Family Violence Act 2004 </w:t>
      </w:r>
      <w:r w:rsidRPr="00113F13">
        <w:t xml:space="preserve">(Tas) provides that a personal information custodian acting in good faith does not commit a breach of the PIPA ‘by reason only of collecting, using, disclosing or otherwise dealing with personal information for the purpose of furthering the objects of [the </w:t>
      </w:r>
      <w:r w:rsidRPr="00113F13">
        <w:rPr>
          <w:i/>
          <w:iCs/>
        </w:rPr>
        <w:t>Family Violence Act 2004</w:t>
      </w:r>
      <w:r w:rsidRPr="00113F13">
        <w:t>]’.</w:t>
      </w:r>
      <w:r w:rsidRPr="00113F13">
        <w:rPr>
          <w:rStyle w:val="FootnoteReference"/>
          <w:rFonts w:ascii="Times New Roman" w:hAnsi="Times New Roman"/>
        </w:rPr>
        <w:footnoteReference w:id="948"/>
      </w:r>
      <w:r w:rsidRPr="00113F13">
        <w:t xml:space="preserve"> </w:t>
      </w:r>
    </w:p>
    <w:p w14:paraId="45D1F5F4" w14:textId="77777777" w:rsidR="00FF302D" w:rsidRPr="00113F13" w:rsidRDefault="00FF302D" w:rsidP="0022429F">
      <w:pPr>
        <w:pStyle w:val="DotPointTLRI"/>
      </w:pPr>
      <w:r w:rsidRPr="00113F13">
        <w:lastRenderedPageBreak/>
        <w:t xml:space="preserve">The </w:t>
      </w:r>
      <w:r w:rsidRPr="00113F13">
        <w:rPr>
          <w:i/>
          <w:iCs/>
        </w:rPr>
        <w:t xml:space="preserve">Children, Young Persons and Their Families Act 1997 </w:t>
      </w:r>
      <w:r w:rsidRPr="00113F13">
        <w:t>(Tas) provides that the PIPA applies to ‘information received and provided under this Act to the extent that it is not inconsistent with the provisions of the Act’.</w:t>
      </w:r>
      <w:r w:rsidRPr="00113F13">
        <w:rPr>
          <w:rStyle w:val="FootnoteReference"/>
          <w:rFonts w:ascii="Times New Roman" w:hAnsi="Times New Roman"/>
        </w:rPr>
        <w:footnoteReference w:id="949"/>
      </w:r>
    </w:p>
    <w:p w14:paraId="22D5675C" w14:textId="77777777" w:rsidR="00FF302D" w:rsidRPr="00113F13" w:rsidRDefault="00FF302D" w:rsidP="0022429F">
      <w:pPr>
        <w:pStyle w:val="DotPointTLRI"/>
      </w:pPr>
      <w:r w:rsidRPr="00113F13">
        <w:t xml:space="preserve">The </w:t>
      </w:r>
      <w:r w:rsidRPr="00113F13">
        <w:rPr>
          <w:i/>
          <w:iCs/>
        </w:rPr>
        <w:t xml:space="preserve">Corrections Act 1997 </w:t>
      </w:r>
      <w:r w:rsidRPr="00113F13">
        <w:t xml:space="preserve">(Tas) relates to disclosure of critical health information by health officials and provides that the relevant subsection ‘has effect </w:t>
      </w:r>
      <w:bookmarkStart w:id="937" w:name="_Hlk144371820"/>
      <w:r w:rsidRPr="00113F13">
        <w:t>despite the [PIPA] or other law relating to confidentiality or privacy of information</w:t>
      </w:r>
      <w:bookmarkEnd w:id="937"/>
      <w:r w:rsidRPr="00113F13">
        <w:t>’.</w:t>
      </w:r>
      <w:r w:rsidRPr="00113F13">
        <w:rPr>
          <w:rStyle w:val="FootnoteReference"/>
          <w:rFonts w:ascii="Times New Roman" w:hAnsi="Times New Roman"/>
        </w:rPr>
        <w:footnoteReference w:id="950"/>
      </w:r>
    </w:p>
    <w:p w14:paraId="6FEB0677" w14:textId="77777777" w:rsidR="00FF302D" w:rsidRPr="00113F13" w:rsidRDefault="00FF302D" w:rsidP="0022429F">
      <w:pPr>
        <w:pStyle w:val="DotPointTLRI"/>
      </w:pPr>
      <w:r w:rsidRPr="00113F13">
        <w:t xml:space="preserve">The </w:t>
      </w:r>
      <w:r w:rsidRPr="00113F13">
        <w:rPr>
          <w:i/>
          <w:iCs/>
        </w:rPr>
        <w:t xml:space="preserve">Dangerous Criminals and High Risk Offenders Act 2021 </w:t>
      </w:r>
      <w:r w:rsidRPr="00113F13">
        <w:t xml:space="preserve">(Tas), which provides that a person who is a personal information custodian within the meaning of the [PIPA] is not taken to contravene that Act by reason only of collecting, using, disclosing, or otherwise dealing with, personal information, for the purposes of [the </w:t>
      </w:r>
      <w:r w:rsidRPr="00113F13">
        <w:rPr>
          <w:i/>
          <w:iCs/>
        </w:rPr>
        <w:t>Dangerous Criminals and High Risk Offenders Act 2021</w:t>
      </w:r>
      <w:r w:rsidRPr="00E309F4">
        <w:t>]</w:t>
      </w:r>
      <w:r w:rsidRPr="00113F13">
        <w:t>.</w:t>
      </w:r>
      <w:r w:rsidRPr="00113F13">
        <w:rPr>
          <w:rStyle w:val="FootnoteReference"/>
          <w:rFonts w:ascii="Times New Roman" w:hAnsi="Times New Roman"/>
        </w:rPr>
        <w:footnoteReference w:id="951"/>
      </w:r>
    </w:p>
    <w:p w14:paraId="2663FF77" w14:textId="77777777" w:rsidR="00FF302D" w:rsidRPr="00113F13" w:rsidRDefault="00FF302D" w:rsidP="0022429F">
      <w:pPr>
        <w:pStyle w:val="DotPointTLRI"/>
      </w:pPr>
      <w:r w:rsidRPr="00113F13">
        <w:t xml:space="preserve">The </w:t>
      </w:r>
      <w:r w:rsidRPr="00113F13">
        <w:rPr>
          <w:i/>
          <w:iCs/>
        </w:rPr>
        <w:t>End-of-Life Choices (Voluntary Assisted Dying) Act 2021</w:t>
      </w:r>
      <w:r w:rsidRPr="00113F13">
        <w:t xml:space="preserve"> (Tas) provides that the Commission may require evidence to be lodged and that this provision applies, despite the PIPA and any rule of law relating to privilege or the public interest in relation to the production of documents.</w:t>
      </w:r>
      <w:r w:rsidRPr="00113F13">
        <w:rPr>
          <w:rStyle w:val="FootnoteReference"/>
          <w:rFonts w:ascii="Times New Roman" w:hAnsi="Times New Roman"/>
        </w:rPr>
        <w:footnoteReference w:id="952"/>
      </w:r>
    </w:p>
    <w:p w14:paraId="654C3200" w14:textId="77777777" w:rsidR="00FF302D" w:rsidRPr="00113F13" w:rsidRDefault="00FF302D" w:rsidP="0022429F">
      <w:pPr>
        <w:pStyle w:val="DotPointTLRI"/>
      </w:pPr>
      <w:r w:rsidRPr="00113F13">
        <w:t xml:space="preserve">The </w:t>
      </w:r>
      <w:r w:rsidRPr="00113F13">
        <w:rPr>
          <w:i/>
          <w:iCs/>
        </w:rPr>
        <w:t xml:space="preserve">Sentencing Act 1997 </w:t>
      </w:r>
      <w:r w:rsidRPr="00113F13">
        <w:t>(Tas) provides that, in relation to drug treatment orders, a ‘person who is a personal information custodian within the meaning of the [PIPA] is not taken to contravene that Act by reason only of collecting, using or disclosing or otherwise dealing with personal information for the purposes of this Part’.</w:t>
      </w:r>
      <w:r w:rsidRPr="00113F13">
        <w:rPr>
          <w:rStyle w:val="FootnoteReference"/>
          <w:rFonts w:ascii="Times New Roman" w:hAnsi="Times New Roman"/>
        </w:rPr>
        <w:footnoteReference w:id="953"/>
      </w:r>
      <w:r w:rsidRPr="00113F13">
        <w:t xml:space="preserve"> </w:t>
      </w:r>
    </w:p>
    <w:p w14:paraId="37270590" w14:textId="77777777" w:rsidR="00FF302D" w:rsidRPr="00113F13" w:rsidRDefault="00FF302D" w:rsidP="0022429F">
      <w:pPr>
        <w:pStyle w:val="DotPointTLRI"/>
      </w:pPr>
      <w:r w:rsidRPr="00113F13">
        <w:t xml:space="preserve">The </w:t>
      </w:r>
      <w:r w:rsidRPr="00113F13">
        <w:rPr>
          <w:i/>
          <w:iCs/>
        </w:rPr>
        <w:t xml:space="preserve">Youth Justice Act 1997 </w:t>
      </w:r>
      <w:r w:rsidRPr="00113F13">
        <w:t>(Tas) provides for protection against prosecution in relation to certain disclosures of information and that the provision has effect ‘despite the [PIPA] or any other law relating to the confidentiality or privacy of information’.</w:t>
      </w:r>
      <w:r w:rsidRPr="00113F13">
        <w:rPr>
          <w:rStyle w:val="FootnoteReference"/>
          <w:rFonts w:ascii="Times New Roman" w:hAnsi="Times New Roman"/>
        </w:rPr>
        <w:footnoteReference w:id="954"/>
      </w:r>
    </w:p>
    <w:p w14:paraId="6F0D3DCD" w14:textId="77777777" w:rsidR="00FF302D" w:rsidRPr="00113F13" w:rsidRDefault="00FF302D" w:rsidP="0022429F">
      <w:pPr>
        <w:pStyle w:val="DotPointTLRI"/>
      </w:pPr>
      <w:r w:rsidRPr="00113F13">
        <w:t xml:space="preserve">The </w:t>
      </w:r>
      <w:r w:rsidRPr="00113F13">
        <w:rPr>
          <w:i/>
          <w:iCs/>
        </w:rPr>
        <w:t xml:space="preserve">Registration to Work with Vulnerable People Act 2013 </w:t>
      </w:r>
      <w:r w:rsidRPr="00113F13">
        <w:t>(Tas) provides that the ‘[PIPA] does not apply to the obtaining or possession of information by an official for the purposes of this Act’.</w:t>
      </w:r>
      <w:r w:rsidRPr="00113F13">
        <w:rPr>
          <w:rStyle w:val="FootnoteReference"/>
          <w:rFonts w:ascii="Times New Roman" w:hAnsi="Times New Roman"/>
        </w:rPr>
        <w:footnoteReference w:id="955"/>
      </w:r>
    </w:p>
    <w:p w14:paraId="6A08CF2A" w14:textId="77777777" w:rsidR="00FF302D" w:rsidRPr="00113F13" w:rsidRDefault="00FF302D" w:rsidP="00B63604">
      <w:pPr>
        <w:pStyle w:val="NormalNumberedTextTLRI"/>
        <w:numPr>
          <w:ilvl w:val="2"/>
          <w:numId w:val="31"/>
        </w:numPr>
        <w:tabs>
          <w:tab w:val="clear" w:pos="720"/>
        </w:tabs>
        <w:spacing w:line="259" w:lineRule="auto"/>
      </w:pPr>
      <w:bookmarkStart w:id="938" w:name="_Hlk144373330"/>
      <w:r w:rsidRPr="00113F13">
        <w:t xml:space="preserve">As noted, some legislation does not specifically refer to the PIPA but may contain provisions that are inconsistent with it. For example, Part VI of the </w:t>
      </w:r>
      <w:r w:rsidRPr="00113F13">
        <w:rPr>
          <w:i/>
          <w:iCs/>
        </w:rPr>
        <w:t xml:space="preserve">Adoption Act 1988 </w:t>
      </w:r>
      <w:r w:rsidRPr="00113F13">
        <w:t>(Tas)</w:t>
      </w:r>
      <w:bookmarkEnd w:id="938"/>
      <w:r w:rsidRPr="00113F13">
        <w:t xml:space="preserve"> allows for access to information under the Act, and protects privacy other than where information can be disclosed under the Part. However, it does not specifically refer to the PIPA.</w:t>
      </w:r>
      <w:r w:rsidRPr="00113F13">
        <w:rPr>
          <w:rStyle w:val="FootnoteReference"/>
          <w:rFonts w:ascii="Times New Roman" w:hAnsi="Times New Roman"/>
        </w:rPr>
        <w:footnoteReference w:id="956"/>
      </w:r>
    </w:p>
    <w:p w14:paraId="6F007B76"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contrast, the </w:t>
      </w:r>
      <w:r w:rsidRPr="00113F13">
        <w:rPr>
          <w:i/>
          <w:iCs/>
        </w:rPr>
        <w:t>Education Act 2016</w:t>
      </w:r>
      <w:r w:rsidRPr="00113F13">
        <w:t xml:space="preserve"> (Tas) provides that obligations to provide information are subject to the obligations under the PIPA.</w:t>
      </w:r>
      <w:r w:rsidRPr="00113F13">
        <w:rPr>
          <w:rStyle w:val="FootnoteReference"/>
          <w:rFonts w:ascii="Times New Roman" w:hAnsi="Times New Roman"/>
        </w:rPr>
        <w:footnoteReference w:id="957"/>
      </w:r>
      <w:r w:rsidRPr="00113F13">
        <w:t xml:space="preserve"> Information sharing by the Teachers Registration Board is permitted under the provisions of the </w:t>
      </w:r>
      <w:r w:rsidRPr="00113F13">
        <w:rPr>
          <w:i/>
          <w:iCs/>
        </w:rPr>
        <w:t xml:space="preserve">Teachers Registration Act 2000 </w:t>
      </w:r>
      <w:r w:rsidRPr="00113F13">
        <w:t xml:space="preserve">(Tas), which sets out the </w:t>
      </w:r>
      <w:r w:rsidRPr="00113F13">
        <w:lastRenderedPageBreak/>
        <w:t>circumstances in which the Board can share information.</w:t>
      </w:r>
      <w:r w:rsidRPr="00113F13">
        <w:rPr>
          <w:rStyle w:val="FootnoteReference"/>
          <w:rFonts w:ascii="Times New Roman" w:hAnsi="Times New Roman"/>
        </w:rPr>
        <w:footnoteReference w:id="958"/>
      </w:r>
      <w:r w:rsidRPr="00113F13">
        <w:t xml:space="preserve"> In exercising its functions, the Final Report of the Commission of Inquiry into the Tasmanian Government’s Responses to Child Sexual Abuse in Institutional Settings (‘CoI’) set out the difficulties that the Board had experienced in receiving information from other agencies about teachers regulated by the Board. It was noted that legal advice based on the interpretation of the PIPA meant that the Department of Education’s view was that it could not disclose information collected in its investigation to a third party.</w:t>
      </w:r>
      <w:r w:rsidRPr="00113F13">
        <w:rPr>
          <w:rStyle w:val="FootnoteReference"/>
          <w:rFonts w:ascii="Times New Roman" w:hAnsi="Times New Roman"/>
        </w:rPr>
        <w:footnoteReference w:id="959"/>
      </w:r>
      <w:r w:rsidRPr="00113F13">
        <w:t xml:space="preserve"> To address this, the CoI made recommendations to better facilitate information sharing and the disclosure of information.</w:t>
      </w:r>
      <w:r w:rsidRPr="00113F13">
        <w:rPr>
          <w:rStyle w:val="FootnoteReference"/>
          <w:rFonts w:ascii="Times New Roman" w:hAnsi="Times New Roman"/>
        </w:rPr>
        <w:footnoteReference w:id="960"/>
      </w:r>
    </w:p>
    <w:p w14:paraId="008D4BB7" w14:textId="77777777" w:rsidR="00FF302D" w:rsidRPr="00113F13" w:rsidRDefault="00FF302D" w:rsidP="0022429F">
      <w:pPr>
        <w:pStyle w:val="Headingunnumbered"/>
        <w:rPr>
          <w:rFonts w:cs="Times New Roman"/>
        </w:rPr>
      </w:pPr>
      <w:bookmarkStart w:id="939" w:name="_Toc164606712"/>
      <w:r w:rsidRPr="00113F13">
        <w:rPr>
          <w:rFonts w:cs="Times New Roman"/>
        </w:rPr>
        <w:t>The position in other jurisdictions</w:t>
      </w:r>
      <w:bookmarkEnd w:id="939"/>
    </w:p>
    <w:p w14:paraId="479E6A0C" w14:textId="77777777" w:rsidR="00FF302D" w:rsidRPr="00113F13" w:rsidRDefault="00FF302D" w:rsidP="00B63604">
      <w:pPr>
        <w:pStyle w:val="NormalNumberedTextTLRI"/>
        <w:numPr>
          <w:ilvl w:val="2"/>
          <w:numId w:val="31"/>
        </w:numPr>
        <w:tabs>
          <w:tab w:val="clear" w:pos="720"/>
        </w:tabs>
        <w:spacing w:line="259" w:lineRule="auto"/>
      </w:pPr>
      <w:r w:rsidRPr="00113F13">
        <w:t>In other jurisdictions, although approaches differ, there is generally greater legislative clarity about the relationship between privacy constraints and legislation providing for freedom of information (and the operation of the public interest test) than is provided in the equivalent Tasmanian legislation. There is also specific legislative direction as to how matters of privacy are to be taken into account when applying the public interest test.</w:t>
      </w:r>
    </w:p>
    <w:p w14:paraId="23571B8A" w14:textId="77777777" w:rsidR="00FF302D" w:rsidRPr="00113F13" w:rsidRDefault="00FF302D" w:rsidP="00B63604">
      <w:pPr>
        <w:pStyle w:val="NormalNumberedTextTLRI"/>
        <w:numPr>
          <w:ilvl w:val="2"/>
          <w:numId w:val="31"/>
        </w:numPr>
        <w:tabs>
          <w:tab w:val="clear" w:pos="720"/>
        </w:tabs>
        <w:spacing w:line="259" w:lineRule="auto"/>
      </w:pPr>
      <w:r w:rsidRPr="00113F13">
        <w:t xml:space="preserve">For example, in Victoria, the </w:t>
      </w:r>
      <w:r w:rsidRPr="288D8F58">
        <w:rPr>
          <w:i/>
          <w:iCs/>
        </w:rPr>
        <w:t>Privacy and Data Protection Act 2014</w:t>
      </w:r>
      <w:r w:rsidRPr="00113F13">
        <w:t xml:space="preserve"> (Vic) provides that nothing in that Act affects the operation of the </w:t>
      </w:r>
      <w:r w:rsidRPr="288D8F58">
        <w:rPr>
          <w:i/>
          <w:iCs/>
        </w:rPr>
        <w:t>Freedom of Information Act 1982</w:t>
      </w:r>
      <w:r w:rsidRPr="00113F13">
        <w:t xml:space="preserve"> (Vic) or any right, privilege, obligation, or liability conferred or imposed under that Act or any exemption arising under that Act.</w:t>
      </w:r>
      <w:r w:rsidRPr="00113F13">
        <w:rPr>
          <w:rStyle w:val="FootnoteReference"/>
          <w:rFonts w:ascii="Times New Roman" w:hAnsi="Times New Roman"/>
        </w:rPr>
        <w:footnoteReference w:id="961"/>
      </w:r>
      <w:r w:rsidRPr="00113F13">
        <w:t xml:space="preserve"> The </w:t>
      </w:r>
      <w:r w:rsidRPr="288D8F58">
        <w:rPr>
          <w:i/>
          <w:iCs/>
        </w:rPr>
        <w:t>Freedom of Information Act 1982</w:t>
      </w:r>
      <w:r w:rsidRPr="00113F13">
        <w:t xml:space="preserve"> (Vic) provides that personal affairs information is exempt from disclosure, where disclosure would be unreasonable in the circumstances.</w:t>
      </w:r>
      <w:r w:rsidRPr="00113F13">
        <w:rPr>
          <w:rStyle w:val="FootnoteReference"/>
          <w:rFonts w:ascii="Times New Roman" w:hAnsi="Times New Roman"/>
        </w:rPr>
        <w:footnoteReference w:id="962"/>
      </w:r>
      <w:r w:rsidRPr="00113F13">
        <w:t xml:space="preserve"> As with Victoria, under the </w:t>
      </w:r>
      <w:r w:rsidRPr="288D8F58">
        <w:rPr>
          <w:i/>
          <w:iCs/>
        </w:rPr>
        <w:t>Freedom of Information Act 1982</w:t>
      </w:r>
      <w:r w:rsidRPr="00113F13">
        <w:t xml:space="preserve"> (Cth), personal information is conditionally exempt from disclosure, if it would involve the unreasonable disclosure of personal information.</w:t>
      </w:r>
      <w:r w:rsidRPr="00113F13">
        <w:rPr>
          <w:rStyle w:val="FootnoteReference"/>
          <w:rFonts w:ascii="Times New Roman" w:hAnsi="Times New Roman"/>
        </w:rPr>
        <w:footnoteReference w:id="963"/>
      </w:r>
    </w:p>
    <w:p w14:paraId="5FC83F85" w14:textId="77777777" w:rsidR="00FF302D" w:rsidRPr="00113F13" w:rsidRDefault="00FF302D" w:rsidP="00B63604">
      <w:pPr>
        <w:pStyle w:val="NormalNumberedTextTLRI"/>
        <w:numPr>
          <w:ilvl w:val="2"/>
          <w:numId w:val="31"/>
        </w:numPr>
        <w:tabs>
          <w:tab w:val="clear" w:pos="720"/>
        </w:tabs>
        <w:spacing w:line="259" w:lineRule="auto"/>
      </w:pPr>
      <w:r w:rsidRPr="00113F13">
        <w:t xml:space="preserve">As in Victoria, New South Wales legislation makes it clear that the </w:t>
      </w:r>
      <w:r w:rsidRPr="00113F13">
        <w:rPr>
          <w:i/>
          <w:iCs/>
        </w:rPr>
        <w:t>Privacy and Personal Information Protection Act 1998</w:t>
      </w:r>
      <w:r w:rsidRPr="00113F13">
        <w:t xml:space="preserve"> (NSW) does not affect the operation of or lessen any obligations of a public sector agency under the </w:t>
      </w:r>
      <w:r w:rsidRPr="00113F13">
        <w:rPr>
          <w:i/>
          <w:iCs/>
        </w:rPr>
        <w:t>Government Information (Public Access) Act 2009</w:t>
      </w:r>
      <w:r w:rsidRPr="00113F13">
        <w:t xml:space="preserve"> (NSW).</w:t>
      </w:r>
      <w:r w:rsidRPr="00113F13">
        <w:rPr>
          <w:rStyle w:val="FootnoteReference"/>
          <w:rFonts w:ascii="Times New Roman" w:hAnsi="Times New Roman"/>
        </w:rPr>
        <w:footnoteReference w:id="964"/>
      </w:r>
      <w:r w:rsidRPr="00113F13">
        <w:t xml:space="preserve"> There is also a provision that establishes the relevance of privacy considerations arising under the </w:t>
      </w:r>
      <w:r w:rsidRPr="00113F13">
        <w:rPr>
          <w:i/>
          <w:iCs/>
        </w:rPr>
        <w:t>Privacy and Personal Information Protection Act 1998</w:t>
      </w:r>
      <w:r w:rsidRPr="00113F13">
        <w:t xml:space="preserve"> (NSW) to the public interest test for disclosure under </w:t>
      </w:r>
      <w:r w:rsidRPr="00113F13">
        <w:rPr>
          <w:i/>
          <w:iCs/>
        </w:rPr>
        <w:t>Government Information (Public Access) Act 2009</w:t>
      </w:r>
      <w:r w:rsidRPr="00113F13">
        <w:t xml:space="preserve"> (NSW).</w:t>
      </w:r>
      <w:r w:rsidRPr="00113F13">
        <w:rPr>
          <w:rStyle w:val="FootnoteReference"/>
          <w:rFonts w:ascii="Times New Roman" w:hAnsi="Times New Roman"/>
        </w:rPr>
        <w:footnoteReference w:id="965"/>
      </w:r>
      <w:r w:rsidRPr="00113F13">
        <w:t xml:space="preserve"> Similarly, in Queensland, the </w:t>
      </w:r>
      <w:r w:rsidRPr="00113F13">
        <w:rPr>
          <w:i/>
          <w:iCs/>
        </w:rPr>
        <w:t>Right to Information Act 2009</w:t>
      </w:r>
      <w:r w:rsidRPr="00113F13">
        <w:t xml:space="preserve"> (Qld) states that the Act ‘overrides the provisions of other Acts prohibiting the </w:t>
      </w:r>
      <w:r w:rsidRPr="00113F13">
        <w:lastRenderedPageBreak/>
        <w:t>disclosure of information (however described)’.</w:t>
      </w:r>
      <w:r w:rsidRPr="00113F13">
        <w:rPr>
          <w:rStyle w:val="FootnoteReference"/>
          <w:rFonts w:ascii="Times New Roman" w:hAnsi="Times New Roman"/>
        </w:rPr>
        <w:footnoteReference w:id="966"/>
      </w:r>
      <w:r w:rsidRPr="00113F13">
        <w:t xml:space="preserve"> It also specifies that the right to privacy of an individual is a factor favouring non-disclosure in the public interest test.</w:t>
      </w:r>
      <w:r w:rsidRPr="00113F13">
        <w:rPr>
          <w:rStyle w:val="FootnoteReference"/>
          <w:rFonts w:ascii="Times New Roman" w:hAnsi="Times New Roman"/>
        </w:rPr>
        <w:footnoteReference w:id="967"/>
      </w:r>
    </w:p>
    <w:p w14:paraId="2039A89C" w14:textId="77777777" w:rsidR="00FF302D" w:rsidRPr="00113F13" w:rsidRDefault="00FF302D" w:rsidP="00BF1FE7">
      <w:pPr>
        <w:pStyle w:val="NumberedHeadingTLRI"/>
      </w:pPr>
      <w:bookmarkStart w:id="940" w:name="_Toc164606713"/>
      <w:r w:rsidRPr="00113F13">
        <w:t>The Commonwealth Privacy Act Review</w:t>
      </w:r>
      <w:bookmarkEnd w:id="940"/>
    </w:p>
    <w:p w14:paraId="5F063399" w14:textId="46079E22" w:rsidR="00FF302D" w:rsidRPr="00113F13" w:rsidRDefault="00FF302D" w:rsidP="00B63604">
      <w:pPr>
        <w:pStyle w:val="NormalNumberedTextTLRI"/>
        <w:numPr>
          <w:ilvl w:val="2"/>
          <w:numId w:val="31"/>
        </w:numPr>
        <w:tabs>
          <w:tab w:val="clear" w:pos="720"/>
        </w:tabs>
        <w:spacing w:line="259" w:lineRule="auto"/>
      </w:pPr>
      <w:r w:rsidRPr="00113F13">
        <w:t xml:space="preserve">As part of the Commonwealth Privacy Act Review, feedback was sought on proposals to deal with interactions between the </w:t>
      </w:r>
      <w:r w:rsidRPr="00113F13">
        <w:rPr>
          <w:i/>
          <w:iCs/>
        </w:rPr>
        <w:t xml:space="preserve">Privacy Act 1988 </w:t>
      </w:r>
      <w:r w:rsidRPr="00113F13">
        <w:t>(Cth)</w:t>
      </w:r>
      <w:r w:rsidRPr="00113F13">
        <w:rPr>
          <w:i/>
          <w:iCs/>
        </w:rPr>
        <w:t xml:space="preserve"> </w:t>
      </w:r>
      <w:r w:rsidRPr="00113F13">
        <w:t>and other privacy legislation or schemes that contain privacy protections.</w:t>
      </w:r>
      <w:r w:rsidRPr="00113F13">
        <w:rPr>
          <w:rStyle w:val="FootnoteReference"/>
          <w:rFonts w:ascii="Times New Roman" w:hAnsi="Times New Roman"/>
        </w:rPr>
        <w:footnoteReference w:id="968"/>
      </w:r>
      <w:r w:rsidRPr="00113F13">
        <w:t xml:space="preserve"> In response, it was proposed that the Attorney-General’s Department develop a ‘privacy law design guide’ to support Commonwealth agencies when developing new schemes with privacy-related obligations. This was seen to be a ‘good first step to providing a more structured framework for considering the privacy legislation landscape’ and that ‘[o]nce developed, it would be open for there to be further consideration about whether there would be benefit in reviewing existing legislative schemes to achieve greater harmonisation’.</w:t>
      </w:r>
      <w:r w:rsidRPr="00113F13">
        <w:rPr>
          <w:rStyle w:val="FootnoteReference"/>
          <w:rFonts w:ascii="Times New Roman" w:hAnsi="Times New Roman"/>
        </w:rPr>
        <w:footnoteReference w:id="969"/>
      </w:r>
      <w:r w:rsidRPr="00113F13">
        <w:t xml:space="preserve"> The Government agreed in-principle with this proposal.</w:t>
      </w:r>
      <w:r w:rsidRPr="00113F13">
        <w:rPr>
          <w:rStyle w:val="FootnoteReference"/>
          <w:rFonts w:ascii="Times New Roman" w:hAnsi="Times New Roman"/>
        </w:rPr>
        <w:footnoteReference w:id="970"/>
      </w:r>
    </w:p>
    <w:p w14:paraId="0BF66700" w14:textId="77777777" w:rsidR="00FF302D" w:rsidRPr="00113F13" w:rsidRDefault="00FF302D" w:rsidP="00BF1FE7">
      <w:pPr>
        <w:pStyle w:val="NumberedHeadingTLRI"/>
      </w:pPr>
      <w:bookmarkStart w:id="941" w:name="_Toc164606714"/>
      <w:bookmarkStart w:id="942" w:name="_Ref91319976"/>
      <w:bookmarkStart w:id="943" w:name="_Toc91832011"/>
      <w:bookmarkStart w:id="944" w:name="_Toc130540446"/>
      <w:r w:rsidRPr="00113F13">
        <w:t>Consultation</w:t>
      </w:r>
      <w:bookmarkEnd w:id="941"/>
      <w:r w:rsidRPr="00113F13">
        <w:t xml:space="preserve"> </w:t>
      </w:r>
    </w:p>
    <w:p w14:paraId="06DA2C7E" w14:textId="70879841" w:rsidR="00FF302D" w:rsidRPr="00113F13" w:rsidRDefault="00FF302D" w:rsidP="00B63604">
      <w:pPr>
        <w:pStyle w:val="NormalNumberedTextTLRI"/>
        <w:numPr>
          <w:ilvl w:val="2"/>
          <w:numId w:val="31"/>
        </w:numPr>
        <w:tabs>
          <w:tab w:val="clear" w:pos="720"/>
        </w:tabs>
        <w:spacing w:line="259" w:lineRule="auto"/>
        <w:rPr>
          <w:rStyle w:val="FootnoteReference"/>
          <w:rFonts w:ascii="Times New Roman" w:hAnsi="Times New Roman"/>
        </w:rPr>
      </w:pPr>
      <w:r w:rsidRPr="00113F13">
        <w:t>The TLRI Issues Paper did not ask any questions relating to legislation that may override the PIPA or, more specifically, about the scope of the public interest exception under the RTI Act. However, some submissions identified issues concerning the relationship between the PIPA and the RTI Act that make the interpretation and application of provisions problematic.</w:t>
      </w:r>
      <w:r w:rsidRPr="00793305">
        <w:rPr>
          <w:rStyle w:val="FootnoteReference"/>
          <w:rFonts w:ascii="Times New Roman" w:hAnsi="Times New Roman"/>
        </w:rPr>
        <w:footnoteReference w:id="971"/>
      </w:r>
      <w:r w:rsidRPr="00113F13">
        <w:rPr>
          <w:rStyle w:val="FootnoteReference"/>
          <w:rFonts w:ascii="Times New Roman" w:hAnsi="Times New Roman"/>
        </w:rPr>
        <w:t xml:space="preserve"> </w:t>
      </w:r>
    </w:p>
    <w:p w14:paraId="7AE987CE" w14:textId="71A0E05A" w:rsidR="00FF302D" w:rsidRPr="00EA22F8" w:rsidRDefault="10DD744B" w:rsidP="00B63604">
      <w:pPr>
        <w:pStyle w:val="NormalNumberedTextTLRI"/>
        <w:numPr>
          <w:ilvl w:val="2"/>
          <w:numId w:val="31"/>
        </w:numPr>
        <w:tabs>
          <w:tab w:val="clear" w:pos="720"/>
        </w:tabs>
        <w:spacing w:line="259" w:lineRule="auto"/>
      </w:pPr>
      <w:r w:rsidRPr="00B63A56">
        <w:t xml:space="preserve">The Commissioner for Children and Young People also noted that privacy considerations (and the PIPA) are relevant to the </w:t>
      </w:r>
      <w:r w:rsidRPr="00B63A56">
        <w:rPr>
          <w:i/>
          <w:iCs/>
        </w:rPr>
        <w:t xml:space="preserve">Children Young Persons and their Families Act 1997 </w:t>
      </w:r>
      <w:r w:rsidRPr="00B63A56">
        <w:t xml:space="preserve">(Tas) and the </w:t>
      </w:r>
      <w:r w:rsidRPr="00B63A56">
        <w:rPr>
          <w:i/>
          <w:iCs/>
        </w:rPr>
        <w:t xml:space="preserve">Youth Justice Act 1997 </w:t>
      </w:r>
      <w:r w:rsidRPr="00B63A56">
        <w:t xml:space="preserve">(Tas), and that there was a need to balance the right to privacy with the right to be safe in setting limits on information sharing. Information sharing was also raised in the Tasmania Legal Aid submission. </w:t>
      </w:r>
      <w:r w:rsidRPr="00EA22F8">
        <w:t>This issue is discussed at [</w:t>
      </w:r>
      <w:r w:rsidR="0002695D" w:rsidRPr="00EA22F8">
        <w:fldChar w:fldCharType="begin"/>
      </w:r>
      <w:r w:rsidR="0002695D" w:rsidRPr="00EA22F8">
        <w:instrText xml:space="preserve"> REF _Ref91685494 \r \h </w:instrText>
      </w:r>
      <w:r w:rsidR="00B63A56">
        <w:instrText xml:space="preserve"> \* MERGEFORMAT </w:instrText>
      </w:r>
      <w:r w:rsidR="0002695D" w:rsidRPr="00EA22F8">
        <w:fldChar w:fldCharType="separate"/>
      </w:r>
      <w:r w:rsidR="00462C30">
        <w:rPr>
          <w:cs/>
        </w:rPr>
        <w:t>‎</w:t>
      </w:r>
      <w:r w:rsidR="00462C30">
        <w:t>9.10</w:t>
      </w:r>
      <w:r w:rsidR="0002695D" w:rsidRPr="00EA22F8">
        <w:fldChar w:fldCharType="end"/>
      </w:r>
      <w:r w:rsidRPr="00EA22F8">
        <w:t>]</w:t>
      </w:r>
      <w:r w:rsidR="00B86F36" w:rsidRPr="00EA22F8">
        <w:t xml:space="preserve"> below</w:t>
      </w:r>
      <w:r w:rsidRPr="00EA22F8">
        <w:t>.</w:t>
      </w:r>
    </w:p>
    <w:p w14:paraId="6C0BE637"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Commissioner for Children and Young People observed that the Issues Paper for this project did not examine in detail the </w:t>
      </w:r>
      <w:r w:rsidRPr="00113F13">
        <w:rPr>
          <w:i/>
          <w:iCs/>
        </w:rPr>
        <w:t xml:space="preserve">Children </w:t>
      </w:r>
      <w:r w:rsidRPr="003215A2">
        <w:rPr>
          <w:i/>
          <w:iCs/>
        </w:rPr>
        <w:t>Yo</w:t>
      </w:r>
      <w:r w:rsidRPr="00EA22F8">
        <w:rPr>
          <w:i/>
          <w:iCs/>
        </w:rPr>
        <w:t>ung Persons and their Families Act 1997</w:t>
      </w:r>
      <w:r w:rsidRPr="00113F13">
        <w:t xml:space="preserve"> (Tas), the </w:t>
      </w:r>
      <w:r w:rsidRPr="00EA22F8">
        <w:rPr>
          <w:i/>
          <w:iCs/>
        </w:rPr>
        <w:t>Youth Justice Act 1997</w:t>
      </w:r>
      <w:r w:rsidRPr="00113F13">
        <w:t xml:space="preserve"> (Tas), or other legislation that raises privacy issues in relation to children and submitted that children’s privacy must be considered in future reviews of those Acts.</w:t>
      </w:r>
    </w:p>
    <w:p w14:paraId="1F8BB9E7"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 xml:space="preserve">The relationship between the </w:t>
      </w:r>
      <w:r w:rsidRPr="00EA22F8">
        <w:rPr>
          <w:i/>
          <w:iCs/>
        </w:rPr>
        <w:t>Family Violence Act 2004</w:t>
      </w:r>
      <w:r w:rsidRPr="00113F13">
        <w:t xml:space="preserve"> (Tas) and the PIPA was also raised in one submission.</w:t>
      </w:r>
      <w:r w:rsidRPr="00113F13">
        <w:rPr>
          <w:rStyle w:val="FootnoteReference"/>
          <w:rFonts w:ascii="Times New Roman" w:hAnsi="Times New Roman"/>
        </w:rPr>
        <w:footnoteReference w:id="972"/>
      </w:r>
    </w:p>
    <w:p w14:paraId="4E679860" w14:textId="691E2F82" w:rsidR="001F0878" w:rsidRDefault="00FF302D" w:rsidP="00B63604">
      <w:pPr>
        <w:pStyle w:val="NormalNumberedTextTLRI"/>
        <w:numPr>
          <w:ilvl w:val="2"/>
          <w:numId w:val="31"/>
        </w:numPr>
        <w:tabs>
          <w:tab w:val="clear" w:pos="720"/>
        </w:tabs>
        <w:spacing w:line="259" w:lineRule="auto"/>
      </w:pPr>
      <w:r w:rsidRPr="00113F13">
        <w:t>Other feedback received highlighted a lack of clarity in relation to where the PIPA sits in the hierarchy of legislation and that there is a possibility that the number of other pieces of legislation which exempt themselves from the PIPA is too broad.</w:t>
      </w:r>
      <w:r w:rsidRPr="00113F13">
        <w:rPr>
          <w:rStyle w:val="FootnoteReference"/>
          <w:rFonts w:ascii="Times New Roman" w:hAnsi="Times New Roman"/>
        </w:rPr>
        <w:footnoteReference w:id="973"/>
      </w:r>
      <w:r w:rsidRPr="00113F13">
        <w:t xml:space="preserve"> It was also noted that the 2021 Independent Review of the State Service recommended that ‘the government develop and fund a stronger whole-of-government capacity for sharing, linking and analysing data’.</w:t>
      </w:r>
      <w:r w:rsidRPr="00113F13">
        <w:rPr>
          <w:rStyle w:val="FootnoteReference"/>
          <w:rFonts w:ascii="Times New Roman" w:hAnsi="Times New Roman"/>
        </w:rPr>
        <w:footnoteReference w:id="974"/>
      </w:r>
    </w:p>
    <w:p w14:paraId="774D8352" w14:textId="77777777" w:rsidR="00FF302D" w:rsidRPr="00113F13" w:rsidRDefault="00FF302D" w:rsidP="00BF1FE7">
      <w:pPr>
        <w:pStyle w:val="NumberedHeadingTLRI"/>
      </w:pPr>
      <w:bookmarkStart w:id="945" w:name="_Toc164606715"/>
      <w:r w:rsidRPr="00113F13">
        <w:t>The TLRI’s view</w:t>
      </w:r>
      <w:bookmarkEnd w:id="945"/>
    </w:p>
    <w:p w14:paraId="73B3E8EE" w14:textId="77777777" w:rsidR="00FF302D" w:rsidRPr="00113F13" w:rsidRDefault="00FF302D" w:rsidP="00B63604">
      <w:pPr>
        <w:pStyle w:val="NormalNumberedTextTLRI"/>
        <w:numPr>
          <w:ilvl w:val="2"/>
          <w:numId w:val="31"/>
        </w:numPr>
        <w:tabs>
          <w:tab w:val="clear" w:pos="720"/>
        </w:tabs>
        <w:spacing w:line="259" w:lineRule="auto"/>
      </w:pPr>
      <w:r w:rsidRPr="00113F13">
        <w:t>As has been recognised, rights relating to the handling of personal information and right to information held by government are closely related.</w:t>
      </w:r>
      <w:r w:rsidRPr="00113F13">
        <w:rPr>
          <w:rStyle w:val="FootnoteReference"/>
          <w:rFonts w:ascii="Times New Roman" w:eastAsiaTheme="majorEastAsia" w:hAnsi="Times New Roman"/>
          <w:color w:val="0D0D0D" w:themeColor="text1" w:themeTint="F2"/>
        </w:rPr>
        <w:footnoteReference w:id="975"/>
      </w:r>
      <w:r w:rsidRPr="00113F13">
        <w:t xml:space="preserve"> However, unlike other jurisdictions, in Tasmania there is a lack of clarity as to relationship between the privacy protections in the PIPA and freedom of information rights in the RTI Act.</w:t>
      </w:r>
    </w:p>
    <w:p w14:paraId="57FBF44F" w14:textId="77777777" w:rsidR="00FF302D" w:rsidRPr="00113F13" w:rsidRDefault="00FF302D" w:rsidP="00B63604">
      <w:pPr>
        <w:pStyle w:val="NormalNumberedTextTLRI"/>
        <w:numPr>
          <w:ilvl w:val="2"/>
          <w:numId w:val="31"/>
        </w:numPr>
        <w:tabs>
          <w:tab w:val="clear" w:pos="720"/>
        </w:tabs>
        <w:spacing w:line="259" w:lineRule="auto"/>
      </w:pPr>
      <w:r w:rsidRPr="00113F13">
        <w:t>There is also uncertainty regarding the interaction of the PIPA with other legislative schemes that have provisions restricting the sharing of government-held information or provide for access to information. For example, it is difficult for custodians of information to know how other legislation interacts with or overrides the PIPA.</w:t>
      </w:r>
    </w:p>
    <w:p w14:paraId="77D872A8"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also notes the comments made by the Commissioner for Children and Young People in relation to information sharing about sharing in the context of child protection under the </w:t>
      </w:r>
      <w:r w:rsidRPr="00113F13">
        <w:rPr>
          <w:i/>
          <w:iCs/>
        </w:rPr>
        <w:t xml:space="preserve">Children, Young Persons and their Families Act 1997 </w:t>
      </w:r>
      <w:r w:rsidRPr="00113F13">
        <w:t xml:space="preserve">(Tas) and of youth justice under the </w:t>
      </w:r>
      <w:r w:rsidRPr="00113F13">
        <w:rPr>
          <w:i/>
          <w:iCs/>
        </w:rPr>
        <w:t>Youth Justice Act 1997</w:t>
      </w:r>
      <w:r w:rsidRPr="00113F13">
        <w:t xml:space="preserve"> (Tas). As part of the recently released, </w:t>
      </w:r>
      <w:r w:rsidRPr="00113F13">
        <w:rPr>
          <w:i/>
          <w:iCs/>
        </w:rPr>
        <w:t>Youth Justice Blueprint</w:t>
      </w:r>
      <w:r w:rsidRPr="00113F13">
        <w:t>,</w:t>
      </w:r>
      <w:r w:rsidRPr="00113F13">
        <w:rPr>
          <w:i/>
          <w:iCs/>
        </w:rPr>
        <w:t xml:space="preserve"> </w:t>
      </w:r>
      <w:r w:rsidRPr="00113F13">
        <w:t>Strategy 4 was to integrate and connect whole-of-government and community service systems though active communication between agencies and the sharing of information.</w:t>
      </w:r>
      <w:r w:rsidRPr="00113F13">
        <w:rPr>
          <w:rStyle w:val="FootnoteReference"/>
          <w:rFonts w:ascii="Times New Roman" w:hAnsi="Times New Roman"/>
        </w:rPr>
        <w:footnoteReference w:id="976"/>
      </w:r>
      <w:r w:rsidRPr="00113F13">
        <w:t xml:space="preserve"> In doing so, the Blueprint adopts the CoI’s proposal that the privacy and secrecy provisions in legislation such as the </w:t>
      </w:r>
      <w:r w:rsidRPr="00113F13">
        <w:rPr>
          <w:i/>
          <w:iCs/>
        </w:rPr>
        <w:t xml:space="preserve">Children, Young Persons and Their Families Act 1997 </w:t>
      </w:r>
      <w:r w:rsidRPr="00113F13">
        <w:t>(Tas) and the PIPA should be reviewed to assist agencies and statutory bodies to work effectively with one another and share information.</w:t>
      </w:r>
      <w:r w:rsidRPr="00113F13">
        <w:rPr>
          <w:rStyle w:val="FootnoteReference"/>
          <w:rFonts w:ascii="Times New Roman" w:hAnsi="Times New Roman"/>
        </w:rPr>
        <w:footnoteReference w:id="977"/>
      </w:r>
    </w:p>
    <w:p w14:paraId="45B38FD1" w14:textId="3AD56CC6" w:rsidR="00FF302D" w:rsidRPr="00113F13" w:rsidRDefault="00FF302D" w:rsidP="00B63604">
      <w:pPr>
        <w:pStyle w:val="NormalNumberedTextTLRI"/>
        <w:numPr>
          <w:ilvl w:val="2"/>
          <w:numId w:val="31"/>
        </w:numPr>
        <w:tabs>
          <w:tab w:val="clear" w:pos="720"/>
        </w:tabs>
        <w:spacing w:line="259" w:lineRule="auto"/>
      </w:pPr>
      <w:r w:rsidRPr="00113F13">
        <w:t>The TLRI notes the extensive consultation process undertaken by the CoI and its conclusion that there is a need for greater clarity in the relationship between the RTI Act</w:t>
      </w:r>
      <w:r w:rsidRPr="10DD744B">
        <w:rPr>
          <w:i/>
          <w:iCs/>
        </w:rPr>
        <w:t xml:space="preserve"> </w:t>
      </w:r>
      <w:r w:rsidRPr="00113F13">
        <w:t xml:space="preserve">and the PIPA </w:t>
      </w:r>
      <w:r w:rsidRPr="00EA22F8">
        <w:t xml:space="preserve">(discussed further at </w:t>
      </w:r>
      <w:r w:rsidR="00D937D9" w:rsidRPr="00EA22F8">
        <w:t>[</w:t>
      </w:r>
      <w:r w:rsidR="00D937D9" w:rsidRPr="00EA22F8">
        <w:fldChar w:fldCharType="begin"/>
      </w:r>
      <w:r w:rsidR="00D937D9" w:rsidRPr="00EA22F8">
        <w:instrText xml:space="preserve"> REF _Ref165023301 \r \h </w:instrText>
      </w:r>
      <w:r w:rsidR="00C023B5">
        <w:instrText xml:space="preserve"> \* MERGEFORMAT </w:instrText>
      </w:r>
      <w:r w:rsidR="00D937D9" w:rsidRPr="00EA22F8">
        <w:fldChar w:fldCharType="separate"/>
      </w:r>
      <w:r w:rsidR="00462C30">
        <w:rPr>
          <w:cs/>
        </w:rPr>
        <w:t>‎</w:t>
      </w:r>
      <w:r w:rsidR="00462C30">
        <w:t>6.6.13</w:t>
      </w:r>
      <w:r w:rsidR="00D937D9" w:rsidRPr="00EA22F8">
        <w:fldChar w:fldCharType="end"/>
      </w:r>
      <w:r w:rsidRPr="00EA22F8">
        <w:t>] and following</w:t>
      </w:r>
      <w:r w:rsidRPr="00C023B5">
        <w:t>), as well as the need to identify and respond to legislative</w:t>
      </w:r>
      <w:r w:rsidRPr="00113F13">
        <w:t xml:space="preserve"> barriers to information sharing relating to child safety, and to address cultural barriers that exist in Tasmanian government departments.</w:t>
      </w:r>
      <w:r w:rsidRPr="00113F13">
        <w:rPr>
          <w:rStyle w:val="FootnoteReference"/>
          <w:rFonts w:ascii="Times New Roman" w:hAnsi="Times New Roman"/>
        </w:rPr>
        <w:footnoteReference w:id="978"/>
      </w:r>
      <w:r w:rsidRPr="00113F13">
        <w:t xml:space="preserve"> </w:t>
      </w:r>
    </w:p>
    <w:p w14:paraId="14A11746" w14:textId="77777777" w:rsidR="00FF302D" w:rsidRPr="00113F13" w:rsidRDefault="00FF302D" w:rsidP="00B63604">
      <w:pPr>
        <w:pStyle w:val="NormalNumberedTextTLRI"/>
        <w:numPr>
          <w:ilvl w:val="2"/>
          <w:numId w:val="31"/>
        </w:numPr>
        <w:tabs>
          <w:tab w:val="clear" w:pos="720"/>
        </w:tabs>
        <w:spacing w:line="259" w:lineRule="auto"/>
      </w:pPr>
      <w:bookmarkStart w:id="946" w:name="_Ref151981385"/>
      <w:r w:rsidRPr="00113F13">
        <w:t xml:space="preserve">Accordingly, it is the TLRI’s view that there should be a close examination of the relationship between the provisions of the PIPA and other Tasmanian legislation with a view to obtaining greater </w:t>
      </w:r>
      <w:r w:rsidRPr="00113F13">
        <w:lastRenderedPageBreak/>
        <w:t>harmonisation and consistency between them. A model to consider in such a review may be to develop a privacy law design guide as a starting point for evaluation, in line with the proposal of the Privacy Act Review.</w:t>
      </w:r>
      <w:bookmarkEnd w:id="946"/>
    </w:p>
    <w:p w14:paraId="0306A3D0" w14:textId="77777777" w:rsidR="00FF302D" w:rsidRPr="00113F13" w:rsidRDefault="00FF302D" w:rsidP="00BF1FE7">
      <w:pPr>
        <w:pStyle w:val="NumberedHeadingTLRI"/>
      </w:pPr>
      <w:bookmarkStart w:id="947" w:name="_Toc164606716"/>
      <w:r w:rsidRPr="00113F13">
        <w:t>Recommendation</w:t>
      </w:r>
      <w:bookmarkEnd w:id="9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5F18A127" w14:textId="77777777" w:rsidTr="00754A3F">
        <w:tc>
          <w:tcPr>
            <w:tcW w:w="9016" w:type="dxa"/>
            <w:shd w:val="clear" w:color="auto" w:fill="E8E8E8" w:themeFill="background2"/>
          </w:tcPr>
          <w:p w14:paraId="30C70BB3" w14:textId="77777777" w:rsidR="00FF302D" w:rsidRPr="00113F13" w:rsidRDefault="00FF302D" w:rsidP="00754A3F">
            <w:pPr>
              <w:pStyle w:val="NormalNumberedTextTLRI"/>
              <w:numPr>
                <w:ilvl w:val="2"/>
                <w:numId w:val="0"/>
              </w:numPr>
              <w:spacing w:before="120" w:after="120"/>
              <w:rPr>
                <w:b/>
                <w:bCs/>
                <w:sz w:val="22"/>
                <w:szCs w:val="22"/>
              </w:rPr>
            </w:pPr>
            <w:r w:rsidRPr="00113F13">
              <w:rPr>
                <w:b/>
                <w:bCs/>
              </w:rPr>
              <w:t xml:space="preserve">Recommendation 56: </w:t>
            </w:r>
            <w:r w:rsidRPr="00113F13">
              <w:t>There should be a close examination of the relationship between the provisions of the PIPA and other Tasmanian legislation with a view to obtaining greater harmonisation and consistency between them. In this review, there is a need to ensure privacy protection is maximised to the extent that is possible in balance with other policy interests</w:t>
            </w:r>
          </w:p>
        </w:tc>
      </w:tr>
    </w:tbl>
    <w:p w14:paraId="4EEB3ED1" w14:textId="77777777" w:rsidR="00FF302D" w:rsidRPr="00113F13" w:rsidRDefault="00FF302D" w:rsidP="00BF1FE7">
      <w:pPr>
        <w:pStyle w:val="NumberedHeadingTLRI"/>
      </w:pPr>
      <w:bookmarkStart w:id="948" w:name="_Toc164606717"/>
      <w:r w:rsidRPr="00113F13">
        <w:t>Legislation that restricts the sharing of government-held information</w:t>
      </w:r>
      <w:bookmarkEnd w:id="942"/>
      <w:bookmarkEnd w:id="943"/>
      <w:bookmarkEnd w:id="944"/>
      <w:bookmarkEnd w:id="948"/>
    </w:p>
    <w:p w14:paraId="31D5B61D"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observed that, while certain legislation may override privacy protections in the PIPA, legislation can also provide for secrecy of information in a way that may protect private information from various forms of disclosure. Typically, these provisions apply to government officials or agents whose roles involve collecting or using private information. They prevent these officials or agents from using or disclosing information in an unauthorised way and unauthorised disclosure may be subject to penalties.</w:t>
      </w:r>
      <w:r w:rsidRPr="00113F13">
        <w:rPr>
          <w:rStyle w:val="FootnoteReference"/>
          <w:rFonts w:ascii="Times New Roman" w:hAnsi="Times New Roman"/>
        </w:rPr>
        <w:footnoteReference w:id="979"/>
      </w:r>
    </w:p>
    <w:p w14:paraId="6EB8365F" w14:textId="77777777" w:rsidR="00FF302D" w:rsidRPr="00113F13" w:rsidRDefault="00FF302D" w:rsidP="0022429F">
      <w:pPr>
        <w:pStyle w:val="NormalNumberedTextTLRI"/>
      </w:pPr>
      <w:r w:rsidRPr="00113F13">
        <w:t>For example, there are secrecy obligations on:</w:t>
      </w:r>
    </w:p>
    <w:p w14:paraId="2C0AD16D" w14:textId="77777777" w:rsidR="00FF302D" w:rsidRPr="00113F13" w:rsidRDefault="00FF302D" w:rsidP="0022429F">
      <w:pPr>
        <w:pStyle w:val="DotPointTLRI"/>
      </w:pPr>
      <w:r w:rsidRPr="00113F13">
        <w:t>law enforcement officers in the context of financial reporting;</w:t>
      </w:r>
      <w:r w:rsidRPr="00113F13">
        <w:rPr>
          <w:rStyle w:val="FootnoteReference"/>
          <w:rFonts w:ascii="Times New Roman" w:hAnsi="Times New Roman"/>
        </w:rPr>
        <w:footnoteReference w:id="980"/>
      </w:r>
      <w:r w:rsidRPr="00113F13">
        <w:t xml:space="preserve"> </w:t>
      </w:r>
    </w:p>
    <w:p w14:paraId="36110044" w14:textId="77777777" w:rsidR="00FF302D" w:rsidRPr="00113F13" w:rsidRDefault="00FF302D" w:rsidP="0022429F">
      <w:pPr>
        <w:pStyle w:val="DotPointTLRI"/>
      </w:pPr>
      <w:r w:rsidRPr="00113F13">
        <w:t>individuals administering the First Home Owner Grant scheme;</w:t>
      </w:r>
      <w:r w:rsidRPr="00113F13">
        <w:rPr>
          <w:rStyle w:val="FootnoteReference"/>
          <w:rFonts w:ascii="Times New Roman" w:hAnsi="Times New Roman"/>
        </w:rPr>
        <w:footnoteReference w:id="981"/>
      </w:r>
      <w:r w:rsidRPr="00113F13">
        <w:t xml:space="preserve"> </w:t>
      </w:r>
    </w:p>
    <w:p w14:paraId="4543F6FC" w14:textId="77777777" w:rsidR="00FF302D" w:rsidRPr="00113F13" w:rsidRDefault="00FF302D" w:rsidP="0022429F">
      <w:pPr>
        <w:pStyle w:val="DotPointTLRI"/>
      </w:pPr>
      <w:r w:rsidRPr="00113F13">
        <w:t>individuals dealing with occupational licensing;</w:t>
      </w:r>
      <w:r w:rsidRPr="00113F13">
        <w:rPr>
          <w:rStyle w:val="FootnoteReference"/>
          <w:rFonts w:ascii="Times New Roman" w:hAnsi="Times New Roman"/>
        </w:rPr>
        <w:footnoteReference w:id="982"/>
      </w:r>
      <w:r w:rsidRPr="00113F13">
        <w:t xml:space="preserve"> </w:t>
      </w:r>
    </w:p>
    <w:p w14:paraId="5B6709EC" w14:textId="77777777" w:rsidR="00FF302D" w:rsidRPr="00113F13" w:rsidRDefault="00FF302D" w:rsidP="0022429F">
      <w:pPr>
        <w:pStyle w:val="DotPointTLRI"/>
      </w:pPr>
      <w:r w:rsidRPr="00113F13">
        <w:t>officers dealing with the registration of those authorised to work with vulnerable people;</w:t>
      </w:r>
      <w:r w:rsidRPr="00113F13">
        <w:rPr>
          <w:rStyle w:val="FootnoteReference"/>
          <w:rFonts w:ascii="Times New Roman" w:hAnsi="Times New Roman"/>
        </w:rPr>
        <w:footnoteReference w:id="983"/>
      </w:r>
      <w:r w:rsidRPr="00113F13">
        <w:t xml:space="preserve"> </w:t>
      </w:r>
    </w:p>
    <w:p w14:paraId="1AF47D8D" w14:textId="77777777" w:rsidR="00FF302D" w:rsidRPr="00113F13" w:rsidRDefault="00FF302D" w:rsidP="0022429F">
      <w:pPr>
        <w:pStyle w:val="DotPointTLRI"/>
      </w:pPr>
      <w:r w:rsidRPr="00113F13">
        <w:t>individuals involved in the governance of the Australian Crime Commission,</w:t>
      </w:r>
      <w:r w:rsidRPr="00113F13">
        <w:rPr>
          <w:rStyle w:val="FootnoteReference"/>
          <w:rFonts w:ascii="Times New Roman" w:hAnsi="Times New Roman"/>
        </w:rPr>
        <w:footnoteReference w:id="984"/>
      </w:r>
      <w:r w:rsidRPr="00113F13">
        <w:t xml:space="preserve"> Corporate Affairs,</w:t>
      </w:r>
      <w:r w:rsidRPr="00113F13">
        <w:rPr>
          <w:rStyle w:val="FootnoteReference"/>
          <w:rFonts w:ascii="Times New Roman" w:hAnsi="Times New Roman"/>
        </w:rPr>
        <w:footnoteReference w:id="985"/>
      </w:r>
      <w:r w:rsidRPr="00113F13">
        <w:t xml:space="preserve"> and Consumer Affairs;,</w:t>
      </w:r>
      <w:r w:rsidRPr="00113F13">
        <w:rPr>
          <w:rStyle w:val="FootnoteReference"/>
          <w:rFonts w:ascii="Times New Roman" w:hAnsi="Times New Roman"/>
        </w:rPr>
        <w:footnoteReference w:id="986"/>
      </w:r>
      <w:r w:rsidRPr="00113F13">
        <w:t xml:space="preserve"> and </w:t>
      </w:r>
    </w:p>
    <w:p w14:paraId="30814365" w14:textId="77777777" w:rsidR="00FF302D" w:rsidRPr="00113F13" w:rsidRDefault="00FF302D" w:rsidP="0022429F">
      <w:pPr>
        <w:pStyle w:val="DotPointTLRI"/>
      </w:pPr>
      <w:r w:rsidRPr="00113F13">
        <w:t>individuals involved in processing workers’ rehabilitation and compensation claims.</w:t>
      </w:r>
      <w:r w:rsidRPr="00113F13">
        <w:rPr>
          <w:rStyle w:val="FootnoteReference"/>
          <w:rFonts w:ascii="Times New Roman" w:hAnsi="Times New Roman"/>
        </w:rPr>
        <w:footnoteReference w:id="987"/>
      </w:r>
    </w:p>
    <w:p w14:paraId="6A0343D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However, these provisions are not necessarily a guarantee against disclosure in all circumstances. First, the provisions vary in the degree of privacy protection they afford. </w:t>
      </w:r>
      <w:r w:rsidRPr="00113F13">
        <w:rPr>
          <w:color w:val="000000" w:themeColor="text1"/>
        </w:rPr>
        <w:t xml:space="preserve">Second, as </w:t>
      </w:r>
      <w:r w:rsidRPr="00113F13">
        <w:rPr>
          <w:color w:val="000000" w:themeColor="text1"/>
        </w:rPr>
        <w:lastRenderedPageBreak/>
        <w:t>found under the PIPA, there are exceptions for when information can nevertheless be disclosed.</w:t>
      </w:r>
      <w:r w:rsidRPr="00113F13">
        <w:rPr>
          <w:rStyle w:val="FootnoteReference"/>
          <w:rFonts w:ascii="Times New Roman" w:hAnsi="Times New Roman"/>
          <w:color w:val="000000" w:themeColor="text1"/>
        </w:rPr>
        <w:footnoteReference w:id="988"/>
      </w:r>
      <w:r w:rsidRPr="00113F13">
        <w:rPr>
          <w:color w:val="000000" w:themeColor="text1"/>
        </w:rPr>
        <w:t xml:space="preserve"> </w:t>
      </w:r>
      <w:r w:rsidRPr="00113F13">
        <w:t>While a variety of approaches are taken, typical exceptions include where the disclosure is:</w:t>
      </w:r>
    </w:p>
    <w:p w14:paraId="1A4F951C" w14:textId="77777777" w:rsidR="00FF302D" w:rsidRPr="00113F13" w:rsidRDefault="00FF302D" w:rsidP="0022429F">
      <w:pPr>
        <w:pStyle w:val="DotPointTLRI"/>
      </w:pPr>
      <w:r w:rsidRPr="00113F13">
        <w:t>in relation to the enforcement of laws of the State, Commonwealth, or another State or Territory;</w:t>
      </w:r>
      <w:r w:rsidRPr="00113F13">
        <w:rPr>
          <w:rStyle w:val="FootnoteReference"/>
          <w:rFonts w:ascii="Times New Roman" w:hAnsi="Times New Roman"/>
        </w:rPr>
        <w:footnoteReference w:id="989"/>
      </w:r>
    </w:p>
    <w:p w14:paraId="7A181781" w14:textId="77777777" w:rsidR="00FF302D" w:rsidRPr="00113F13" w:rsidRDefault="00FF302D" w:rsidP="0022429F">
      <w:pPr>
        <w:pStyle w:val="DotPointTLRI"/>
      </w:pPr>
      <w:r w:rsidRPr="00113F13">
        <w:t>in relation to carrying out functions under or in administration of the legislation in question;</w:t>
      </w:r>
      <w:r w:rsidRPr="00113F13">
        <w:rPr>
          <w:rStyle w:val="FootnoteReference"/>
          <w:rFonts w:ascii="Times New Roman" w:hAnsi="Times New Roman"/>
        </w:rPr>
        <w:footnoteReference w:id="990"/>
      </w:r>
    </w:p>
    <w:p w14:paraId="094AA2E2" w14:textId="77777777" w:rsidR="00FF302D" w:rsidRPr="00113F13" w:rsidRDefault="00FF302D" w:rsidP="0022429F">
      <w:pPr>
        <w:pStyle w:val="DotPointTLRI"/>
      </w:pPr>
      <w:r w:rsidRPr="00113F13">
        <w:t>considered necessary or appropriate in the public interest generally;</w:t>
      </w:r>
      <w:r w:rsidRPr="00113F13">
        <w:rPr>
          <w:rStyle w:val="FootnoteReference"/>
          <w:rFonts w:ascii="Times New Roman" w:hAnsi="Times New Roman"/>
        </w:rPr>
        <w:footnoteReference w:id="991"/>
      </w:r>
    </w:p>
    <w:p w14:paraId="0F5764B0" w14:textId="77777777" w:rsidR="00FF302D" w:rsidRPr="00113F13" w:rsidRDefault="00FF302D" w:rsidP="0022429F">
      <w:pPr>
        <w:pStyle w:val="DotPointTLRI"/>
      </w:pPr>
      <w:r w:rsidRPr="00113F13">
        <w:t>related to legal proceedings;</w:t>
      </w:r>
      <w:r w:rsidRPr="00113F13">
        <w:rPr>
          <w:rStyle w:val="FootnoteReference"/>
          <w:rFonts w:ascii="Times New Roman" w:hAnsi="Times New Roman"/>
        </w:rPr>
        <w:footnoteReference w:id="992"/>
      </w:r>
    </w:p>
    <w:p w14:paraId="26BE6A56" w14:textId="77777777" w:rsidR="00FF302D" w:rsidRPr="00113F13" w:rsidRDefault="00FF302D" w:rsidP="0022429F">
      <w:pPr>
        <w:pStyle w:val="DotPointTLRI"/>
      </w:pPr>
      <w:r w:rsidRPr="00113F13">
        <w:t>related to research or statistical analysis purposes;</w:t>
      </w:r>
      <w:r w:rsidRPr="00113F13">
        <w:rPr>
          <w:rStyle w:val="FootnoteReference"/>
          <w:rFonts w:ascii="Times New Roman" w:hAnsi="Times New Roman"/>
        </w:rPr>
        <w:footnoteReference w:id="993"/>
      </w:r>
      <w:r w:rsidRPr="00113F13">
        <w:t xml:space="preserve"> or</w:t>
      </w:r>
    </w:p>
    <w:p w14:paraId="72023A22" w14:textId="77777777" w:rsidR="00FF302D" w:rsidRPr="00113F13" w:rsidRDefault="00FF302D" w:rsidP="0022429F">
      <w:pPr>
        <w:pStyle w:val="DotPointTLRI"/>
      </w:pPr>
      <w:r w:rsidRPr="00113F13">
        <w:t>only to specified agencies or officers, who may, but may not, be subject to restrictions on the handling of the information in question.</w:t>
      </w:r>
      <w:r w:rsidRPr="00113F13">
        <w:rPr>
          <w:rStyle w:val="FootnoteReference"/>
          <w:rFonts w:ascii="Times New Roman" w:hAnsi="Times New Roman"/>
        </w:rPr>
        <w:footnoteReference w:id="994"/>
      </w:r>
    </w:p>
    <w:p w14:paraId="5A7D22D6" w14:textId="77777777" w:rsidR="00FF302D" w:rsidRPr="00113F13" w:rsidRDefault="00FF302D" w:rsidP="00B63604">
      <w:pPr>
        <w:pStyle w:val="NormalNumberedTextTLRI"/>
        <w:numPr>
          <w:ilvl w:val="2"/>
          <w:numId w:val="31"/>
        </w:numPr>
        <w:tabs>
          <w:tab w:val="clear" w:pos="720"/>
        </w:tabs>
        <w:spacing w:line="259" w:lineRule="auto"/>
      </w:pPr>
      <w:r w:rsidRPr="00113F13">
        <w:t>In some cases, these restrictions may be considered in terms of their proportionality to their potential impacts on privacy. However, there is a lack of consistency in approach. The restrictions may also be drafted in general terms, which can cause uncertainty over the extent to which they are inconsistent with the PIPA obligations or the extent to which privacy considerations must be taken into account in decisions to share information.</w:t>
      </w:r>
    </w:p>
    <w:p w14:paraId="0DAE4895"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There are also restrictions on the disclosure of information contained in Section 194K of the </w:t>
      </w:r>
      <w:r w:rsidRPr="00113F13">
        <w:rPr>
          <w:i/>
          <w:iCs/>
        </w:rPr>
        <w:t xml:space="preserve">Evidence Act 2001 </w:t>
      </w:r>
      <w:r w:rsidRPr="00113F13">
        <w:t>(Tas) in relation to the publication of identifying information about a person in respect of whom specific crimes involving a sexual offence are alleged to have been committed and also any witness or intended witness to those proceedings.</w:t>
      </w:r>
      <w:r w:rsidRPr="00113F13">
        <w:rPr>
          <w:rStyle w:val="FootnoteReference"/>
          <w:rFonts w:ascii="Times New Roman" w:hAnsi="Times New Roman"/>
        </w:rPr>
        <w:footnoteReference w:id="995"/>
      </w:r>
      <w:r w:rsidRPr="00113F13">
        <w:t xml:space="preserve"> Difficulties caused by this provision were raised in the context of the CoI. A reference examining the issue from the Tasmanian Attorney-General was accepted by the TLRI in November 2023.</w:t>
      </w:r>
      <w:r w:rsidRPr="00113F13">
        <w:rPr>
          <w:rStyle w:val="FootnoteReference"/>
          <w:rFonts w:ascii="Times New Roman" w:hAnsi="Times New Roman"/>
        </w:rPr>
        <w:footnoteReference w:id="996"/>
      </w:r>
    </w:p>
    <w:p w14:paraId="722331A0" w14:textId="77777777" w:rsidR="00FF302D" w:rsidRPr="00113F13" w:rsidRDefault="00FF302D" w:rsidP="00BF1FE7">
      <w:pPr>
        <w:pStyle w:val="NumberedHeadingTLRI"/>
      </w:pPr>
      <w:bookmarkStart w:id="949" w:name="_Toc164606718"/>
      <w:r w:rsidRPr="00113F13">
        <w:t>Consultation</w:t>
      </w:r>
      <w:bookmarkEnd w:id="949"/>
      <w:r w:rsidRPr="00113F13">
        <w:t xml:space="preserve"> </w:t>
      </w:r>
    </w:p>
    <w:p w14:paraId="4B33BB7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Issues Paper did not ask any questions relating to legislation that may restrict the sharing of government-held information and potential inconsistencies with the PIPA. no submissions specifically addressed this issue.  </w:t>
      </w:r>
    </w:p>
    <w:p w14:paraId="1AAC87B3" w14:textId="77777777" w:rsidR="00FF302D" w:rsidRPr="00113F13" w:rsidRDefault="00FF302D" w:rsidP="00BF1FE7">
      <w:pPr>
        <w:pStyle w:val="NumberedHeadingTLRI"/>
      </w:pPr>
      <w:bookmarkStart w:id="950" w:name="_Toc164606719"/>
      <w:r w:rsidRPr="00113F13">
        <w:lastRenderedPageBreak/>
        <w:t>The TLRI’s view</w:t>
      </w:r>
      <w:bookmarkEnd w:id="950"/>
    </w:p>
    <w:p w14:paraId="67DE96F9" w14:textId="77777777" w:rsidR="00FF302D" w:rsidRDefault="00FF302D" w:rsidP="00B63604">
      <w:pPr>
        <w:pStyle w:val="NormalNumberedTextTLRI"/>
        <w:numPr>
          <w:ilvl w:val="2"/>
          <w:numId w:val="31"/>
        </w:numPr>
        <w:tabs>
          <w:tab w:val="clear" w:pos="720"/>
        </w:tabs>
        <w:spacing w:line="259" w:lineRule="auto"/>
      </w:pPr>
      <w:r w:rsidRPr="00113F13">
        <w:t>As the Issues Paper identified, there is uncertainty regarding the interaction of the PIPA with other legislative schemes which have provisions restricting the sharing of government-held information. The TLRI’s view is that greater harmonisation in this area could form as part of the project examining the relationship between the PIPA and provisions in other Tasmanian legislation recommended above.</w:t>
      </w:r>
      <w:r w:rsidRPr="00113F13">
        <w:rPr>
          <w:rStyle w:val="FootnoteReference"/>
          <w:rFonts w:ascii="Times New Roman" w:hAnsi="Times New Roman"/>
        </w:rPr>
        <w:footnoteReference w:id="997"/>
      </w:r>
    </w:p>
    <w:p w14:paraId="6152AA18" w14:textId="77777777" w:rsidR="00FF302D" w:rsidRPr="00113F13" w:rsidRDefault="00FF302D" w:rsidP="00BF1FE7">
      <w:pPr>
        <w:pStyle w:val="NumberedHeadingTLRI"/>
      </w:pPr>
      <w:bookmarkStart w:id="951" w:name="_Sharing_information_within"/>
      <w:bookmarkStart w:id="952" w:name="_Ref91685494"/>
      <w:bookmarkStart w:id="953" w:name="_Toc91832012"/>
      <w:bookmarkStart w:id="954" w:name="_Toc130540447"/>
      <w:bookmarkStart w:id="955" w:name="_Toc164606720"/>
      <w:bookmarkEnd w:id="951"/>
      <w:r w:rsidRPr="00113F13">
        <w:t>Legislation that facilitates the sharing of information within and between government agencies</w:t>
      </w:r>
      <w:bookmarkEnd w:id="952"/>
      <w:bookmarkEnd w:id="953"/>
      <w:bookmarkEnd w:id="954"/>
      <w:bookmarkEnd w:id="955"/>
    </w:p>
    <w:p w14:paraId="3B543A2E" w14:textId="77777777" w:rsidR="00FF302D" w:rsidRPr="00113F13" w:rsidRDefault="00FF302D" w:rsidP="00B63604">
      <w:pPr>
        <w:pStyle w:val="NormalNumberedTextTLRI"/>
        <w:numPr>
          <w:ilvl w:val="2"/>
          <w:numId w:val="31"/>
        </w:numPr>
        <w:tabs>
          <w:tab w:val="clear" w:pos="720"/>
        </w:tabs>
        <w:spacing w:line="259" w:lineRule="auto"/>
      </w:pPr>
      <w:r w:rsidRPr="00113F13">
        <w:t>The nature of government means that its operations are structured into various departments and agencies. Provision for information sharing within and between government agencies has been identified as vital to good government. For instance, information is an asset that is essential for developing informed policy, and data exchange across agencies provides for better government-wide statistical capability.</w:t>
      </w:r>
      <w:r w:rsidRPr="00113F13">
        <w:rPr>
          <w:rStyle w:val="FootnoteReference"/>
          <w:rFonts w:ascii="Times New Roman" w:hAnsi="Times New Roman"/>
        </w:rPr>
        <w:footnoteReference w:id="998"/>
      </w:r>
      <w:r w:rsidRPr="00113F13">
        <w:t xml:space="preserve"> It also can also be for the public benefit.</w:t>
      </w:r>
      <w:r w:rsidRPr="00113F13">
        <w:rPr>
          <w:rStyle w:val="FootnoteReference"/>
          <w:rFonts w:ascii="Times New Roman" w:hAnsi="Times New Roman"/>
        </w:rPr>
        <w:footnoteReference w:id="999"/>
      </w:r>
      <w:r w:rsidRPr="00113F13">
        <w:t xml:space="preserve"> This has been identified as an issue in the Tasmanian context in the CoI.</w:t>
      </w:r>
      <w:r w:rsidRPr="00113F13">
        <w:rPr>
          <w:rStyle w:val="FootnoteReference"/>
          <w:rFonts w:ascii="Times New Roman" w:hAnsi="Times New Roman"/>
        </w:rPr>
        <w:footnoteReference w:id="1000"/>
      </w:r>
      <w:r w:rsidRPr="00113F13">
        <w:t xml:space="preserve"> The need for a review of the legislative framework around sharing information across agencies for the purpose of protecting the safety and wellbeing of children and young people was identified, and such a review recommended, by the CoI.</w:t>
      </w:r>
      <w:r w:rsidRPr="00113F13">
        <w:rPr>
          <w:rStyle w:val="FootnoteReference"/>
          <w:rFonts w:ascii="Times New Roman" w:hAnsi="Times New Roman"/>
        </w:rPr>
        <w:footnoteReference w:id="1001"/>
      </w:r>
    </w:p>
    <w:p w14:paraId="2948B9EC"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Information sharing within and between government departments can be facilitated by legislation. If the legislative provisions provide for the gathering of personal information </w:t>
      </w:r>
      <w:r w:rsidRPr="00113F13">
        <w:rPr>
          <w:i/>
          <w:iCs/>
        </w:rPr>
        <w:t>without</w:t>
      </w:r>
      <w:r w:rsidRPr="00113F13">
        <w:t xml:space="preserve"> specifically providing for limitations on its use or sharing, this may jeopardise information privacy. </w:t>
      </w:r>
    </w:p>
    <w:p w14:paraId="661169F3" w14:textId="77777777" w:rsidR="00FF302D" w:rsidRPr="00113F13" w:rsidRDefault="00FF302D" w:rsidP="00A91551">
      <w:pPr>
        <w:pStyle w:val="Headingunnumbered"/>
      </w:pPr>
      <w:bookmarkStart w:id="956" w:name="_Toc164606721"/>
      <w:r w:rsidRPr="00113F13">
        <w:t>The Tasmanian position</w:t>
      </w:r>
      <w:bookmarkEnd w:id="956"/>
    </w:p>
    <w:p w14:paraId="451A799A" w14:textId="79688E24" w:rsidR="00FF302D" w:rsidRPr="00113F13" w:rsidRDefault="00FF302D" w:rsidP="00B63604">
      <w:pPr>
        <w:pStyle w:val="NormalNumberedTextTLRI"/>
        <w:numPr>
          <w:ilvl w:val="2"/>
          <w:numId w:val="31"/>
        </w:numPr>
        <w:tabs>
          <w:tab w:val="clear" w:pos="720"/>
        </w:tabs>
        <w:spacing w:line="259" w:lineRule="auto"/>
      </w:pPr>
      <w:r w:rsidRPr="00113F13">
        <w:t>The PIPA provisions enabling sharing of ‘basic personal information’</w:t>
      </w:r>
      <w:r w:rsidRPr="00113F13">
        <w:rPr>
          <w:rStyle w:val="FootnoteReference"/>
          <w:rFonts w:ascii="Times New Roman" w:hAnsi="Times New Roman"/>
        </w:rPr>
        <w:footnoteReference w:id="1002"/>
      </w:r>
      <w:r w:rsidRPr="00113F13">
        <w:t xml:space="preserve"> with public authorities represents a potential gap in protection under the PIPA</w:t>
      </w:r>
      <w:r w:rsidRPr="00773771">
        <w:t xml:space="preserve">. </w:t>
      </w:r>
      <w:r w:rsidRPr="00EA22F8">
        <w:t xml:space="preserve">As discussed above at </w:t>
      </w:r>
      <w:r w:rsidR="00773771" w:rsidRPr="00EA22F8">
        <w:t>[</w:t>
      </w:r>
      <w:r w:rsidR="00773771">
        <w:fldChar w:fldCharType="begin"/>
      </w:r>
      <w:r w:rsidR="00773771">
        <w:instrText xml:space="preserve"> REF _Ref164776813 \r \h </w:instrText>
      </w:r>
      <w:r w:rsidR="00773771">
        <w:fldChar w:fldCharType="separate"/>
      </w:r>
      <w:r w:rsidR="00462C30">
        <w:rPr>
          <w:cs/>
        </w:rPr>
        <w:t>‎</w:t>
      </w:r>
      <w:r w:rsidR="00462C30">
        <w:t>4.12.4</w:t>
      </w:r>
      <w:r w:rsidR="00773771">
        <w:fldChar w:fldCharType="end"/>
      </w:r>
      <w:r w:rsidRPr="00EA22F8">
        <w:t>]</w:t>
      </w:r>
      <w:r w:rsidRPr="00773771">
        <w:t>,</w:t>
      </w:r>
      <w:r w:rsidRPr="00113F13">
        <w:t xml:space="preserve"> the PIPA allows personal information custodians to share this type of information with other public authorities where the use or disclosure is reasonably necessary for the efficient storage and use of that information, regardless of whether this accords with the purpose for which the information was collected or whether the person has consented.</w:t>
      </w:r>
      <w:r w:rsidRPr="00113F13">
        <w:rPr>
          <w:rStyle w:val="FootnoteReference"/>
          <w:rFonts w:ascii="Times New Roman" w:hAnsi="Times New Roman"/>
        </w:rPr>
        <w:footnoteReference w:id="1003"/>
      </w:r>
      <w:r w:rsidRPr="00113F13">
        <w:t xml:space="preserve"> There may therefore be scope for Tasmanian government agencies to share certain information without being restricted by obligations under the PIPA or by other privacy considerations.</w:t>
      </w:r>
    </w:p>
    <w:p w14:paraId="23B7D91F" w14:textId="7F5F063D" w:rsidR="00FF302D" w:rsidRPr="00113F13" w:rsidRDefault="00FF302D" w:rsidP="00B63604">
      <w:pPr>
        <w:pStyle w:val="NormalNumberedTextTLRI"/>
        <w:numPr>
          <w:ilvl w:val="2"/>
          <w:numId w:val="31"/>
        </w:numPr>
        <w:tabs>
          <w:tab w:val="clear" w:pos="720"/>
        </w:tabs>
        <w:spacing w:line="259" w:lineRule="auto"/>
      </w:pPr>
      <w:r w:rsidRPr="00113F13">
        <w:t xml:space="preserve">As noted </w:t>
      </w:r>
      <w:r w:rsidRPr="00EA22F8">
        <w:t>above at [</w:t>
      </w:r>
      <w:r w:rsidRPr="00734C91">
        <w:fldChar w:fldCharType="begin"/>
      </w:r>
      <w:r w:rsidRPr="00734C91">
        <w:instrText xml:space="preserve"> REF _Ref151978226 \r \h  \* MERGEFORMAT </w:instrText>
      </w:r>
      <w:r w:rsidRPr="00734C91">
        <w:fldChar w:fldCharType="separate"/>
      </w:r>
      <w:r w:rsidR="00462C30">
        <w:rPr>
          <w:cs/>
        </w:rPr>
        <w:t>‎</w:t>
      </w:r>
      <w:r w:rsidR="00462C30">
        <w:t>9.2.5</w:t>
      </w:r>
      <w:r w:rsidRPr="00734C91">
        <w:fldChar w:fldCharType="end"/>
      </w:r>
      <w:r w:rsidRPr="00EA22F8">
        <w:t>]</w:t>
      </w:r>
      <w:r w:rsidRPr="00734C91">
        <w:t>, legislative</w:t>
      </w:r>
      <w:r w:rsidRPr="00113F13">
        <w:t xml:space="preserve"> frameworks that permit sharing of personal information are also found in other legislation. For example, a framework for sharing personal information within government agencies and outside government was created by the Child and Youth Safe Organisations Act 2023 (Tas). Sharing of information is also addressed in other Acts, including the </w:t>
      </w:r>
      <w:r w:rsidRPr="00113F13">
        <w:rPr>
          <w:i/>
          <w:iCs/>
        </w:rPr>
        <w:t xml:space="preserve">Family Violence </w:t>
      </w:r>
      <w:r w:rsidRPr="00113F13">
        <w:rPr>
          <w:i/>
          <w:iCs/>
        </w:rPr>
        <w:lastRenderedPageBreak/>
        <w:t>Act 2004</w:t>
      </w:r>
      <w:r w:rsidRPr="00113F13">
        <w:t xml:space="preserve"> (Tas),</w:t>
      </w:r>
      <w:r w:rsidRPr="00113F13">
        <w:rPr>
          <w:rStyle w:val="FootnoteReference"/>
          <w:rFonts w:ascii="Times New Roman" w:hAnsi="Times New Roman"/>
        </w:rPr>
        <w:footnoteReference w:id="1004"/>
      </w:r>
      <w:r w:rsidRPr="00113F13">
        <w:t xml:space="preserve"> </w:t>
      </w:r>
      <w:r w:rsidRPr="00113F13">
        <w:rPr>
          <w:i/>
          <w:iCs/>
        </w:rPr>
        <w:t>Commissioner for Children and Young People Act 2016</w:t>
      </w:r>
      <w:r w:rsidRPr="00113F13">
        <w:t xml:space="preserve"> (Tas),</w:t>
      </w:r>
      <w:r w:rsidRPr="00113F13">
        <w:rPr>
          <w:rStyle w:val="FootnoteReference"/>
          <w:rFonts w:ascii="Times New Roman" w:hAnsi="Times New Roman"/>
        </w:rPr>
        <w:footnoteReference w:id="1005"/>
      </w:r>
      <w:r w:rsidRPr="00113F13">
        <w:t xml:space="preserve"> </w:t>
      </w:r>
      <w:r w:rsidRPr="00113F13">
        <w:rPr>
          <w:i/>
          <w:iCs/>
        </w:rPr>
        <w:t xml:space="preserve">Dangerous Criminals and High Risk Offenders Act 2021 </w:t>
      </w:r>
      <w:r w:rsidRPr="00113F13">
        <w:t>(Tas),</w:t>
      </w:r>
      <w:r w:rsidRPr="00113F13">
        <w:rPr>
          <w:rStyle w:val="FootnoteReference"/>
          <w:rFonts w:ascii="Times New Roman" w:hAnsi="Times New Roman"/>
        </w:rPr>
        <w:footnoteReference w:id="1006"/>
      </w:r>
      <w:r w:rsidRPr="00113F13">
        <w:t xml:space="preserve"> </w:t>
      </w:r>
      <w:r w:rsidRPr="00113F13">
        <w:rPr>
          <w:i/>
          <w:iCs/>
        </w:rPr>
        <w:t>Disability Services Act 2011</w:t>
      </w:r>
      <w:r w:rsidRPr="00113F13">
        <w:t xml:space="preserve"> (Tas),</w:t>
      </w:r>
      <w:r w:rsidRPr="00113F13">
        <w:rPr>
          <w:rStyle w:val="FootnoteReference"/>
          <w:rFonts w:ascii="Times New Roman" w:hAnsi="Times New Roman"/>
        </w:rPr>
        <w:footnoteReference w:id="1007"/>
      </w:r>
      <w:r w:rsidRPr="00113F13">
        <w:t xml:space="preserve"> </w:t>
      </w:r>
      <w:r w:rsidRPr="00113F13">
        <w:rPr>
          <w:i/>
          <w:iCs/>
        </w:rPr>
        <w:t>Education Act 2016</w:t>
      </w:r>
      <w:r w:rsidRPr="00113F13">
        <w:t xml:space="preserve"> (Tas),</w:t>
      </w:r>
      <w:r w:rsidRPr="00113F13">
        <w:rPr>
          <w:rStyle w:val="FootnoteReference"/>
          <w:rFonts w:ascii="Times New Roman" w:hAnsi="Times New Roman"/>
        </w:rPr>
        <w:footnoteReference w:id="1008"/>
      </w:r>
      <w:r w:rsidRPr="00113F13">
        <w:t xml:space="preserve"> </w:t>
      </w:r>
      <w:r w:rsidRPr="00113F13">
        <w:rPr>
          <w:i/>
          <w:iCs/>
        </w:rPr>
        <w:t>Sentencing Act 1997</w:t>
      </w:r>
      <w:r w:rsidRPr="00113F13">
        <w:t xml:space="preserve"> (Tas),</w:t>
      </w:r>
      <w:r w:rsidRPr="00113F13">
        <w:rPr>
          <w:rStyle w:val="FootnoteReference"/>
          <w:rFonts w:ascii="Times New Roman" w:hAnsi="Times New Roman"/>
        </w:rPr>
        <w:footnoteReference w:id="1009"/>
      </w:r>
      <w:r w:rsidRPr="00113F13">
        <w:t xml:space="preserve"> </w:t>
      </w:r>
      <w:r w:rsidRPr="00113F13">
        <w:rPr>
          <w:i/>
          <w:iCs/>
        </w:rPr>
        <w:t>Work Health and Safety Act 2012</w:t>
      </w:r>
      <w:r w:rsidRPr="00113F13">
        <w:t xml:space="preserve"> (Tas),</w:t>
      </w:r>
      <w:r w:rsidRPr="00113F13">
        <w:rPr>
          <w:rStyle w:val="FootnoteReference"/>
          <w:rFonts w:ascii="Times New Roman" w:hAnsi="Times New Roman"/>
        </w:rPr>
        <w:footnoteReference w:id="1010"/>
      </w:r>
      <w:r w:rsidRPr="00113F13">
        <w:t xml:space="preserve"> and the </w:t>
      </w:r>
      <w:r w:rsidRPr="00113F13">
        <w:rPr>
          <w:i/>
          <w:iCs/>
        </w:rPr>
        <w:t>Youth Justice Act 1997</w:t>
      </w:r>
      <w:r w:rsidRPr="00113F13">
        <w:t xml:space="preserve"> (Tas).</w:t>
      </w:r>
      <w:r w:rsidRPr="00113F13">
        <w:rPr>
          <w:rStyle w:val="FootnoteReference"/>
          <w:rFonts w:ascii="Times New Roman" w:hAnsi="Times New Roman"/>
        </w:rPr>
        <w:footnoteReference w:id="1011"/>
      </w:r>
      <w:r w:rsidRPr="00113F13">
        <w:t xml:space="preserve"> </w:t>
      </w:r>
      <w:bookmarkStart w:id="957" w:name="_Toc91536706"/>
      <w:bookmarkEnd w:id="957"/>
    </w:p>
    <w:p w14:paraId="5F113B5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sharing of information across </w:t>
      </w:r>
      <w:r w:rsidRPr="00E553BC">
        <w:t>government agencies in Tasmania is managed by the Administrative Data Exchange Protocol for Tasmania (‘</w:t>
      </w:r>
      <w:r w:rsidRPr="00EA22F8">
        <w:t>ADEPT’), which is intended to be read in conjunction with the obligations under the PIPA</w:t>
      </w:r>
      <w:r w:rsidRPr="00E553BC">
        <w:t>. ADEPT is a set of guidelines ‘developed in response to the need for a shared understanding of privacy responsibilities and practical guidelines for the collaborate exchange and integration of data within and across Tasmanian Government agencies’.</w:t>
      </w:r>
      <w:r w:rsidRPr="00E553BC">
        <w:rPr>
          <w:rStyle w:val="FootnoteReference"/>
          <w:rFonts w:ascii="Times New Roman" w:hAnsi="Times New Roman"/>
        </w:rPr>
        <w:footnoteReference w:id="1012"/>
      </w:r>
      <w:r w:rsidRPr="00E553BC">
        <w:t xml:space="preserve"> The protocol aims to ‘promote and manage cross-Agency information exchange in ways that are open, transparent and secure’.</w:t>
      </w:r>
      <w:r w:rsidRPr="00E553BC">
        <w:rPr>
          <w:rStyle w:val="FootnoteReference"/>
          <w:rFonts w:ascii="Times New Roman" w:hAnsi="Times New Roman"/>
        </w:rPr>
        <w:footnoteReference w:id="1013"/>
      </w:r>
      <w:r w:rsidRPr="00E553BC">
        <w:t xml:space="preserve"> </w:t>
      </w:r>
      <w:r w:rsidRPr="00EA22F8">
        <w:t xml:space="preserve">ADEPT </w:t>
      </w:r>
      <w:r w:rsidRPr="00E553BC">
        <w:t>includes a set of principles</w:t>
      </w:r>
      <w:r w:rsidRPr="00113F13">
        <w:t xml:space="preserve"> and procedures intended to ensure that proper safeguards are in place when exchanging data within and between agencies in the public interest.</w:t>
      </w:r>
      <w:r w:rsidRPr="00113F13">
        <w:rPr>
          <w:rStyle w:val="FootnoteReference"/>
          <w:rFonts w:ascii="Times New Roman" w:hAnsi="Times New Roman"/>
        </w:rPr>
        <w:footnoteReference w:id="1014"/>
      </w:r>
      <w:r w:rsidRPr="00113F13">
        <w:t xml:space="preserve"> One principle is safe authorisation, which mandates that provisos of data privacy, confidentiality, security, and intellectual property are respected and protected. This is especially crucial, given that, as ADEPT recognises, much of ‘data considered essential for population-based research and policy decisions contains personal and often sensitive information’.</w:t>
      </w:r>
      <w:r w:rsidRPr="00113F13">
        <w:rPr>
          <w:rStyle w:val="FootnoteReference"/>
          <w:rFonts w:ascii="Times New Roman" w:hAnsi="Times New Roman"/>
        </w:rPr>
        <w:footnoteReference w:id="1015"/>
      </w:r>
      <w:r w:rsidRPr="00113F13">
        <w:rPr>
          <w:vertAlign w:val="superscript"/>
        </w:rPr>
        <w:t xml:space="preserve"> </w:t>
      </w:r>
    </w:p>
    <w:p w14:paraId="331FA5CC" w14:textId="77777777" w:rsidR="00FF302D" w:rsidRPr="00113F13" w:rsidRDefault="00FF302D" w:rsidP="00B63604">
      <w:pPr>
        <w:pStyle w:val="NormalNumberedTextTLRI"/>
        <w:numPr>
          <w:ilvl w:val="2"/>
          <w:numId w:val="31"/>
        </w:numPr>
        <w:tabs>
          <w:tab w:val="clear" w:pos="720"/>
        </w:tabs>
        <w:spacing w:line="259" w:lineRule="auto"/>
      </w:pPr>
      <w:r w:rsidRPr="00113F13">
        <w:t>As part of the principle of safe authorisation, agencies must follow ADEPT procedures to ensure that data use and disclosure complies with PIPP 2(1)(c) when exchanging data for use in research or statistical analysis. This allows a custodian to use or disclose information for research or statistical analysis purposes (even if this was not the initial purpose for collection), provided it does not identify an individual and either: (1) it is impracticable to seek the individual’s consent; or (2) the custodian reasonably believes that the recipient is not likely to disclose the information.</w:t>
      </w:r>
      <w:r w:rsidRPr="00113F13">
        <w:rPr>
          <w:rStyle w:val="FootnoteReference"/>
          <w:rFonts w:ascii="Times New Roman" w:hAnsi="Times New Roman"/>
        </w:rPr>
        <w:footnoteReference w:id="1016"/>
      </w:r>
      <w:r w:rsidRPr="00113F13">
        <w:t xml:space="preserve"> In relation to the exchange of data which involves personal or sensitive information about individuals, the procedures for releasing data require evaluation based on the PIPA, including Principles 2 and 4 and against levels of security and standards appropriate to the privacy impact and risk assessment.</w:t>
      </w:r>
      <w:r w:rsidRPr="00113F13">
        <w:rPr>
          <w:rStyle w:val="FootnoteReference"/>
          <w:rFonts w:ascii="Times New Roman" w:hAnsi="Times New Roman"/>
        </w:rPr>
        <w:footnoteReference w:id="1017"/>
      </w:r>
    </w:p>
    <w:p w14:paraId="6028475E" w14:textId="77777777" w:rsidR="00FF302D" w:rsidRPr="00113F13" w:rsidRDefault="00FF302D" w:rsidP="00B63604">
      <w:pPr>
        <w:pStyle w:val="NormalNumberedTextTLRI"/>
        <w:numPr>
          <w:ilvl w:val="2"/>
          <w:numId w:val="31"/>
        </w:numPr>
        <w:tabs>
          <w:tab w:val="clear" w:pos="720"/>
        </w:tabs>
        <w:spacing w:line="259" w:lineRule="auto"/>
      </w:pPr>
      <w:bookmarkStart w:id="958" w:name="_Toc91536710"/>
      <w:bookmarkStart w:id="959" w:name="_Toc91536711"/>
      <w:bookmarkEnd w:id="958"/>
      <w:bookmarkEnd w:id="959"/>
      <w:r w:rsidRPr="00113F13">
        <w:t>While privacy is a significant value in information management, it is not always the overriding interest. In the context of information sharing, the relationship between privacy and safety has been identified by the CoI.</w:t>
      </w:r>
      <w:r w:rsidRPr="00113F13">
        <w:rPr>
          <w:rStyle w:val="FootnoteReference"/>
          <w:rFonts w:ascii="Times New Roman" w:eastAsia="Times New Roman" w:hAnsi="Times New Roman"/>
        </w:rPr>
        <w:footnoteReference w:id="1018"/>
      </w:r>
      <w:r w:rsidRPr="00113F13">
        <w:t xml:space="preserve"> The CoI recommended that the government review confidentiality and privacy provisions in legislation such as the </w:t>
      </w:r>
      <w:r w:rsidRPr="00113F13">
        <w:rPr>
          <w:i/>
          <w:iCs/>
        </w:rPr>
        <w:t xml:space="preserve">Children, Young Persons and their Families Act 1997 </w:t>
      </w:r>
      <w:r w:rsidRPr="00113F13">
        <w:t xml:space="preserve">(Tas), </w:t>
      </w:r>
      <w:r w:rsidRPr="00113F13">
        <w:rPr>
          <w:i/>
          <w:iCs/>
        </w:rPr>
        <w:t xml:space="preserve">Registration to Work with Vulnerable People Act 2013 </w:t>
      </w:r>
      <w:r w:rsidRPr="00113F13">
        <w:t xml:space="preserve">(Tas), and the PIPA ‘to identify legislative barriers to sharing information across agencies for the purpose of protecting the safety and wellbeing </w:t>
      </w:r>
      <w:r w:rsidRPr="00113F13">
        <w:lastRenderedPageBreak/>
        <w:t>of children and young people’.</w:t>
      </w:r>
      <w:r w:rsidRPr="00113F13">
        <w:rPr>
          <w:rStyle w:val="FootnoteReference"/>
          <w:rFonts w:ascii="Times New Roman" w:eastAsia="Times New Roman" w:hAnsi="Times New Roman"/>
        </w:rPr>
        <w:footnoteReference w:id="1019"/>
      </w:r>
      <w:r w:rsidRPr="00113F13">
        <w:t xml:space="preserve"> The CoI considered that such barriers as were identified should be removed but considered that the primary barrier to information sharing was a ‘deeply held view across many parts of the Government that prioritises privacy over child safety’.</w:t>
      </w:r>
      <w:r w:rsidRPr="00113F13">
        <w:rPr>
          <w:rStyle w:val="FootnoteReference"/>
          <w:rFonts w:ascii="Times New Roman" w:eastAsia="Times New Roman" w:hAnsi="Times New Roman"/>
        </w:rPr>
        <w:footnoteReference w:id="1020"/>
      </w:r>
    </w:p>
    <w:p w14:paraId="0446CD33" w14:textId="77777777" w:rsidR="00FF302D" w:rsidRPr="00113F13" w:rsidRDefault="00FF302D" w:rsidP="00A91551">
      <w:pPr>
        <w:pStyle w:val="Headingunnumbered"/>
      </w:pPr>
      <w:bookmarkStart w:id="960" w:name="_Toc164606722"/>
      <w:r w:rsidRPr="00113F13">
        <w:t>The position in other jurisdictions</w:t>
      </w:r>
      <w:bookmarkEnd w:id="960"/>
    </w:p>
    <w:p w14:paraId="2B3ACE28" w14:textId="67948D15" w:rsidR="00FF302D" w:rsidRPr="00113F13" w:rsidRDefault="10DD744B" w:rsidP="00B63604">
      <w:pPr>
        <w:pStyle w:val="NormalNumberedTextTLRI"/>
        <w:numPr>
          <w:ilvl w:val="2"/>
          <w:numId w:val="31"/>
        </w:numPr>
        <w:tabs>
          <w:tab w:val="clear" w:pos="720"/>
        </w:tabs>
        <w:spacing w:line="259" w:lineRule="auto"/>
      </w:pPr>
      <w:r w:rsidRPr="00366D3F">
        <w:t xml:space="preserve">As </w:t>
      </w:r>
      <w:r w:rsidRPr="00EA22F8">
        <w:t xml:space="preserve">noted at </w:t>
      </w:r>
      <w:r w:rsidR="00366D3F" w:rsidRPr="00EA22F8">
        <w:t>[</w:t>
      </w:r>
      <w:r w:rsidR="00366D3F" w:rsidRPr="00EA22F8">
        <w:fldChar w:fldCharType="begin"/>
      </w:r>
      <w:r w:rsidR="00366D3F" w:rsidRPr="00EA22F8">
        <w:instrText xml:space="preserve"> REF _Ref165024493 \r \h </w:instrText>
      </w:r>
      <w:r w:rsidR="00366D3F">
        <w:instrText xml:space="preserve"> \* MERGEFORMAT </w:instrText>
      </w:r>
      <w:r w:rsidR="00366D3F" w:rsidRPr="00EA22F8">
        <w:fldChar w:fldCharType="separate"/>
      </w:r>
      <w:r w:rsidR="00462C30">
        <w:rPr>
          <w:cs/>
        </w:rPr>
        <w:t>‎</w:t>
      </w:r>
      <w:r w:rsidR="00462C30">
        <w:t>4.12.21</w:t>
      </w:r>
      <w:r w:rsidR="00366D3F" w:rsidRPr="00EA22F8">
        <w:fldChar w:fldCharType="end"/>
      </w:r>
      <w:r w:rsidRPr="00EA22F8">
        <w:t>]</w:t>
      </w:r>
      <w:r w:rsidRPr="00366D3F">
        <w:t>, the</w:t>
      </w:r>
      <w:r>
        <w:t xml:space="preserve"> Commonwealth </w:t>
      </w:r>
      <w:r w:rsidRPr="10DD744B">
        <w:rPr>
          <w:i/>
          <w:iCs/>
        </w:rPr>
        <w:t>Privacy Act 1988</w:t>
      </w:r>
      <w:r>
        <w:t xml:space="preserve"> (Cth) (‘Privacy Act’) and other </w:t>
      </w:r>
      <w:r w:rsidR="00366D3F">
        <w:t>S</w:t>
      </w:r>
      <w:r>
        <w:t xml:space="preserve">tate and </w:t>
      </w:r>
      <w:r w:rsidR="00366D3F">
        <w:t>T</w:t>
      </w:r>
      <w:r>
        <w:t xml:space="preserve">erritory privacy legislation does not specify different rules for the handling of personal information that is basic information. </w:t>
      </w:r>
    </w:p>
    <w:p w14:paraId="0A03A9F4" w14:textId="77777777" w:rsidR="00FF302D" w:rsidRPr="00113F13" w:rsidRDefault="00FF302D" w:rsidP="00B63604">
      <w:pPr>
        <w:pStyle w:val="NormalNumberedTextTLRI"/>
        <w:numPr>
          <w:ilvl w:val="2"/>
          <w:numId w:val="31"/>
        </w:numPr>
        <w:tabs>
          <w:tab w:val="clear" w:pos="720"/>
        </w:tabs>
        <w:spacing w:line="259" w:lineRule="auto"/>
      </w:pPr>
      <w:r w:rsidRPr="00113F13">
        <w:t>Other jurisdictions have taken measures to provide a legislative basis for the sharing of government-held information within and between agencies (and in some cases beyond government) in a way that explicitly seeks to preserve privacy protections.</w:t>
      </w:r>
    </w:p>
    <w:p w14:paraId="499BABD0"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NSW, the </w:t>
      </w:r>
      <w:r w:rsidRPr="00113F13">
        <w:rPr>
          <w:i/>
          <w:iCs/>
        </w:rPr>
        <w:t>Data Sharing (Government Sector) Act 2015</w:t>
      </w:r>
      <w:r w:rsidRPr="00113F13">
        <w:t xml:space="preserve"> (NSW) provides authority for NSW government sector agencies to share information within government for limited purposes, including for efforts to improve government policy making, program management, as well as service planning and delivery.</w:t>
      </w:r>
      <w:r w:rsidRPr="00113F13">
        <w:rPr>
          <w:rStyle w:val="FootnoteReference"/>
          <w:rFonts w:ascii="Times New Roman" w:hAnsi="Times New Roman"/>
        </w:rPr>
        <w:footnoteReference w:id="1021"/>
      </w:r>
      <w:r w:rsidRPr="00113F13">
        <w:t xml:space="preserve"> This Act provides that government sector agencies can share data for specific purposes and ‘operates to authorise data sharing that might otherwise be prohibited under other legislation’.</w:t>
      </w:r>
      <w:r w:rsidRPr="00113F13">
        <w:rPr>
          <w:rStyle w:val="FootnoteReference"/>
          <w:rFonts w:ascii="Times New Roman" w:hAnsi="Times New Roman"/>
        </w:rPr>
        <w:footnoteReference w:id="1022"/>
      </w:r>
      <w:r w:rsidRPr="00113F13">
        <w:t xml:space="preserve"> It is also possible to share data with private organisations. Agencies must comply with NSW privacy legislation</w:t>
      </w:r>
      <w:r w:rsidRPr="00113F13">
        <w:rPr>
          <w:rStyle w:val="FootnoteReference"/>
          <w:rFonts w:ascii="Times New Roman" w:hAnsi="Times New Roman"/>
        </w:rPr>
        <w:footnoteReference w:id="1023"/>
      </w:r>
      <w:r w:rsidRPr="00113F13">
        <w:t xml:space="preserve"> and other privacy safeguards, including using contractual measures to restrict the use of information shared with non-government agencies and reporting potential privacy contraventions.</w:t>
      </w:r>
      <w:r w:rsidRPr="00113F13">
        <w:rPr>
          <w:rStyle w:val="FootnoteReference"/>
          <w:rFonts w:ascii="Times New Roman" w:hAnsi="Times New Roman"/>
        </w:rPr>
        <w:footnoteReference w:id="1024"/>
      </w:r>
    </w:p>
    <w:p w14:paraId="741B30E9"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Victoria, the </w:t>
      </w:r>
      <w:r w:rsidRPr="00113F13">
        <w:rPr>
          <w:i/>
          <w:iCs/>
        </w:rPr>
        <w:t>Victorian Data Sharing Act 2017</w:t>
      </w:r>
      <w:r w:rsidRPr="00113F13">
        <w:t xml:space="preserve"> (Vic) creates a legislative framework for data sharing within government departments and agencies. The Act sets out the process for data sharing and contains requirements to notify of possible breaches, the continuation of privacy obligations, and creates offences for unauthorised access, use, or disclosure of information.</w:t>
      </w:r>
      <w:r w:rsidRPr="00113F13">
        <w:rPr>
          <w:rStyle w:val="FootnoteReference"/>
          <w:rFonts w:ascii="Times New Roman" w:hAnsi="Times New Roman"/>
        </w:rPr>
        <w:footnoteReference w:id="1025"/>
      </w:r>
      <w:r w:rsidRPr="00113F13">
        <w:t xml:space="preserve"> It allows for sharing identifiable data (personal and health information) for the purposes of ‘informing government policy making, service planning and design’.</w:t>
      </w:r>
      <w:r w:rsidRPr="00113F13">
        <w:rPr>
          <w:rStyle w:val="FootnoteReference"/>
          <w:rFonts w:ascii="Times New Roman" w:hAnsi="Times New Roman"/>
        </w:rPr>
        <w:footnoteReference w:id="1026"/>
      </w:r>
      <w:r w:rsidRPr="00113F13">
        <w:t xml:space="preserve"> Identifiable data can be shared with the Chief Data Officer or a data analytics body for the purpose of data integration but other obligations under </w:t>
      </w:r>
      <w:r w:rsidRPr="00113F13">
        <w:rPr>
          <w:i/>
          <w:iCs/>
        </w:rPr>
        <w:t>Privacy and Data Protection Act 2014</w:t>
      </w:r>
      <w:r w:rsidRPr="00113F13">
        <w:t xml:space="preserve"> (Vic) or the </w:t>
      </w:r>
      <w:r w:rsidRPr="00113F13">
        <w:rPr>
          <w:i/>
          <w:iCs/>
        </w:rPr>
        <w:t>Health Records Act 2001</w:t>
      </w:r>
      <w:r w:rsidRPr="00113F13">
        <w:t xml:space="preserve"> (Vic) in relation to the handling of identifiable data are not affected.</w:t>
      </w:r>
      <w:r w:rsidRPr="00113F13">
        <w:rPr>
          <w:rStyle w:val="FootnoteReference"/>
          <w:rFonts w:ascii="Times New Roman" w:hAnsi="Times New Roman"/>
        </w:rPr>
        <w:footnoteReference w:id="1027"/>
      </w:r>
      <w:r w:rsidRPr="00113F13">
        <w:t xml:space="preserve"> </w:t>
      </w:r>
    </w:p>
    <w:p w14:paraId="52305F7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At the Commonwealth level, the </w:t>
      </w:r>
      <w:r w:rsidRPr="00113F13">
        <w:rPr>
          <w:i/>
          <w:iCs/>
        </w:rPr>
        <w:t>Data Availability and Transparency Act 2022</w:t>
      </w:r>
      <w:r w:rsidRPr="00113F13">
        <w:t xml:space="preserve"> (Cth) has been enacted, following recommendations of the Productivity Commission in its Data Availability and Use inquiry</w:t>
      </w:r>
      <w:r w:rsidRPr="00113F13">
        <w:rPr>
          <w:rStyle w:val="FootnoteReference"/>
          <w:rFonts w:ascii="Times New Roman" w:hAnsi="Times New Roman"/>
        </w:rPr>
        <w:footnoteReference w:id="1028"/>
      </w:r>
      <w:r w:rsidRPr="00113F13">
        <w:t xml:space="preserve"> and the Office of the National Data Commissioner’s </w:t>
      </w:r>
      <w:r w:rsidRPr="00113F13">
        <w:rPr>
          <w:i/>
          <w:iCs/>
        </w:rPr>
        <w:t xml:space="preserve">Best Practice Guide to Applying Data </w:t>
      </w:r>
      <w:r w:rsidRPr="00113F13">
        <w:rPr>
          <w:i/>
          <w:iCs/>
        </w:rPr>
        <w:lastRenderedPageBreak/>
        <w:t xml:space="preserve">Sharing Principles </w:t>
      </w:r>
      <w:r w:rsidRPr="00113F13">
        <w:t>in 2019.</w:t>
      </w:r>
      <w:r w:rsidRPr="00113F13">
        <w:rPr>
          <w:rStyle w:val="FootnoteReference"/>
          <w:rFonts w:ascii="Times New Roman" w:hAnsi="Times New Roman"/>
        </w:rPr>
        <w:footnoteReference w:id="1029"/>
      </w:r>
      <w:r w:rsidRPr="00113F13">
        <w:t xml:space="preserve"> The Act is supported by the </w:t>
      </w:r>
      <w:r w:rsidRPr="00113F13">
        <w:rPr>
          <w:i/>
          <w:iCs/>
        </w:rPr>
        <w:t xml:space="preserve">Data Availability and Transparency Code </w:t>
      </w:r>
      <w:r w:rsidRPr="00113F13">
        <w:t xml:space="preserve">2022. The scheme provides for sharing government data consistent with the </w:t>
      </w:r>
      <w:r w:rsidRPr="00113F13">
        <w:rPr>
          <w:i/>
          <w:iCs/>
        </w:rPr>
        <w:t>Privacy Act 1988</w:t>
      </w:r>
      <w:r w:rsidRPr="00113F13">
        <w:t xml:space="preserve"> (Cth) for three purposes: (1) government service delivery; (2) informing government policies and programs; and (3) research and development. It sets out penalties for breaches of the regime.</w:t>
      </w:r>
      <w:r w:rsidRPr="00113F13">
        <w:rPr>
          <w:rStyle w:val="FootnoteReference"/>
          <w:rFonts w:ascii="Times New Roman" w:hAnsi="Times New Roman"/>
        </w:rPr>
        <w:footnoteReference w:id="1030"/>
      </w:r>
      <w:r w:rsidRPr="00113F13">
        <w:rPr>
          <w:i/>
          <w:iCs/>
        </w:rPr>
        <w:t xml:space="preserve"> </w:t>
      </w:r>
      <w:r w:rsidRPr="00113F13">
        <w:t>It creates an independent regulator (the National Data Commissioner) and provides authority for government agencies to share information between themselves, state and territory government agencies, and various other organisations (defined as ‘accredited users’). In relation to privacy, agencies must seek the consent of any individuals before sharing personal information, unless it is unreasonable or impracticable to do so.</w:t>
      </w:r>
      <w:r w:rsidRPr="00113F13">
        <w:rPr>
          <w:rStyle w:val="FootnoteReference"/>
          <w:rFonts w:ascii="Times New Roman" w:hAnsi="Times New Roman"/>
        </w:rPr>
        <w:footnoteReference w:id="1031"/>
      </w:r>
      <w:r w:rsidRPr="00113F13">
        <w:t xml:space="preserve"> The </w:t>
      </w:r>
      <w:r w:rsidRPr="00113F13">
        <w:rPr>
          <w:i/>
          <w:iCs/>
        </w:rPr>
        <w:t>Data Availability and Transparency Act 2022</w:t>
      </w:r>
      <w:r w:rsidRPr="00113F13">
        <w:t xml:space="preserve"> (Cth) makes clear that data sharing must be consistent with the </w:t>
      </w:r>
      <w:r w:rsidRPr="00113F13">
        <w:rPr>
          <w:i/>
          <w:iCs/>
        </w:rPr>
        <w:t xml:space="preserve">Privacy Act 1988 </w:t>
      </w:r>
      <w:r w:rsidRPr="00113F13">
        <w:t>(Cth).</w:t>
      </w:r>
      <w:r w:rsidRPr="00113F13">
        <w:rPr>
          <w:rStyle w:val="FootnoteReference"/>
          <w:rFonts w:ascii="Times New Roman" w:hAnsi="Times New Roman"/>
        </w:rPr>
        <w:footnoteReference w:id="1032"/>
      </w:r>
      <w:r w:rsidRPr="00113F13">
        <w:t xml:space="preserve"> Any sharing must comply with data sharing principles which require the agency to consider:</w:t>
      </w:r>
    </w:p>
    <w:p w14:paraId="24CC4090" w14:textId="77777777" w:rsidR="00FF302D" w:rsidRPr="00113F13" w:rsidRDefault="00FF302D" w:rsidP="0022429F">
      <w:pPr>
        <w:pStyle w:val="DotPointTLRI"/>
      </w:pPr>
      <w:r w:rsidRPr="00113F13">
        <w:t>the appropriateness of the sharing, given the nature of the project;</w:t>
      </w:r>
    </w:p>
    <w:p w14:paraId="4AD59B58" w14:textId="77777777" w:rsidR="00FF302D" w:rsidRPr="00113F13" w:rsidRDefault="00FF302D" w:rsidP="0022429F">
      <w:pPr>
        <w:pStyle w:val="DotPointTLRI"/>
      </w:pPr>
      <w:r w:rsidRPr="00113F13">
        <w:t>who the information will be shared with;</w:t>
      </w:r>
    </w:p>
    <w:p w14:paraId="7FB5604C" w14:textId="77777777" w:rsidR="00FF302D" w:rsidRPr="00113F13" w:rsidRDefault="00FF302D" w:rsidP="0022429F">
      <w:pPr>
        <w:pStyle w:val="DotPointTLRI"/>
      </w:pPr>
      <w:r w:rsidRPr="00113F13">
        <w:t xml:space="preserve">the setting in which the information will be shared; and </w:t>
      </w:r>
    </w:p>
    <w:p w14:paraId="6C3C41F0" w14:textId="77777777" w:rsidR="00FF302D" w:rsidRPr="00113F13" w:rsidRDefault="00FF302D" w:rsidP="0022429F">
      <w:pPr>
        <w:pStyle w:val="DotPointTLRI"/>
      </w:pPr>
      <w:r w:rsidRPr="00113F13">
        <w:t>whether the information shared and the outputs from the project are limited to the minimum necessary to achieve the permitted purpose.</w:t>
      </w:r>
      <w:r w:rsidRPr="00113F13">
        <w:rPr>
          <w:rStyle w:val="FootnoteReference"/>
          <w:rFonts w:ascii="Times New Roman" w:hAnsi="Times New Roman"/>
        </w:rPr>
        <w:footnoteReference w:id="1033"/>
      </w:r>
      <w:r w:rsidRPr="00113F13">
        <w:t xml:space="preserve"> </w:t>
      </w:r>
    </w:p>
    <w:p w14:paraId="5EBA779E" w14:textId="002A56AE" w:rsidR="00FF302D" w:rsidRPr="00113F13" w:rsidRDefault="00FF302D" w:rsidP="00B63604">
      <w:pPr>
        <w:pStyle w:val="NormalNumberedTextTLRI"/>
        <w:numPr>
          <w:ilvl w:val="2"/>
          <w:numId w:val="31"/>
        </w:numPr>
        <w:tabs>
          <w:tab w:val="clear" w:pos="720"/>
        </w:tabs>
        <w:spacing w:line="259" w:lineRule="auto"/>
      </w:pPr>
      <w:r w:rsidRPr="00113F13">
        <w:t xml:space="preserve">Another proposal at the Commonwealth level is the </w:t>
      </w:r>
      <w:r w:rsidRPr="10DD744B">
        <w:rPr>
          <w:i/>
          <w:iCs/>
        </w:rPr>
        <w:t>Identity-matching Services Bill</w:t>
      </w:r>
      <w:r w:rsidRPr="00113F13">
        <w:t xml:space="preserve"> 2019. This seeks to authorise the exchange of identity information between Commonwealth, state, and territory governments for use with identity-matching services, including facial recognition services.</w:t>
      </w:r>
      <w:r w:rsidRPr="00113F13">
        <w:rPr>
          <w:rStyle w:val="FootnoteReference"/>
          <w:rFonts w:ascii="Times New Roman" w:hAnsi="Times New Roman"/>
        </w:rPr>
        <w:footnoteReference w:id="1034"/>
      </w:r>
      <w:r w:rsidRPr="00113F13">
        <w:t xml:space="preserve"> This has not been passed by Parliament as yet.</w:t>
      </w:r>
    </w:p>
    <w:p w14:paraId="328BC3BD" w14:textId="77777777" w:rsidR="00FF302D" w:rsidRDefault="00FF302D" w:rsidP="00B63604">
      <w:pPr>
        <w:pStyle w:val="NormalNumberedTextTLRI"/>
        <w:numPr>
          <w:ilvl w:val="2"/>
          <w:numId w:val="31"/>
        </w:numPr>
        <w:tabs>
          <w:tab w:val="clear" w:pos="720"/>
        </w:tabs>
        <w:spacing w:line="259" w:lineRule="auto"/>
      </w:pPr>
      <w:r w:rsidRPr="00113F13">
        <w:t>In contrast to NSW, Victorian and the Commonwealth position, in Queensland (as with Tasmania) the data sharing framework between government agencies is created by guidelines rather than legislation.</w:t>
      </w:r>
      <w:r w:rsidRPr="00113F13">
        <w:rPr>
          <w:rStyle w:val="FootnoteReference"/>
          <w:rFonts w:ascii="Times New Roman" w:hAnsi="Times New Roman"/>
        </w:rPr>
        <w:footnoteReference w:id="1035"/>
      </w:r>
      <w:r w:rsidRPr="00113F13">
        <w:t xml:space="preserve"> The Queensland </w:t>
      </w:r>
      <w:r w:rsidRPr="00113F13">
        <w:rPr>
          <w:i/>
          <w:iCs/>
        </w:rPr>
        <w:t>Information Sharing Authorising Framework</w:t>
      </w:r>
      <w:r w:rsidRPr="00113F13">
        <w:t xml:space="preserve"> is aimed at facilitating data sharing; the guidance makes it clear that ‘[a]lthough the privacy of individuals must be protected in accordance with the </w:t>
      </w:r>
      <w:r w:rsidRPr="00113F13">
        <w:rPr>
          <w:i/>
          <w:iCs/>
        </w:rPr>
        <w:t>Information Privacy Act 2009</w:t>
      </w:r>
      <w:r w:rsidRPr="00113F13">
        <w:t xml:space="preserve"> (Qld) when sharing information, the existence of personal information should not in itself be a barrier to sharing’.</w:t>
      </w:r>
      <w:r w:rsidRPr="00113F13">
        <w:rPr>
          <w:rStyle w:val="FootnoteReference"/>
          <w:rFonts w:ascii="Times New Roman" w:hAnsi="Times New Roman"/>
        </w:rPr>
        <w:footnoteReference w:id="1036"/>
      </w:r>
      <w:r w:rsidRPr="00113F13">
        <w:t xml:space="preserve"> The ‘framework does not replace, negate or override legislative provisions that are in place to protect the privacy and confidentiality of citizens, but aims to better inform decisions that balance the risks associated with sharing activities and the business outcomes sought’.</w:t>
      </w:r>
      <w:r w:rsidRPr="00113F13">
        <w:rPr>
          <w:rStyle w:val="FootnoteReference"/>
          <w:rFonts w:ascii="Times New Roman" w:hAnsi="Times New Roman"/>
        </w:rPr>
        <w:footnoteReference w:id="1037"/>
      </w:r>
    </w:p>
    <w:p w14:paraId="4A8829A7" w14:textId="77777777" w:rsidR="005E0C5F" w:rsidRPr="00113F13" w:rsidRDefault="005E0C5F" w:rsidP="005E0C5F">
      <w:pPr>
        <w:pStyle w:val="NormalNumberedTextTLRI"/>
        <w:numPr>
          <w:ilvl w:val="0"/>
          <w:numId w:val="0"/>
        </w:numPr>
        <w:spacing w:line="259" w:lineRule="auto"/>
      </w:pPr>
    </w:p>
    <w:p w14:paraId="36E0ED3F" w14:textId="77777777" w:rsidR="00FF302D" w:rsidRPr="00113F13" w:rsidRDefault="00FF302D" w:rsidP="00BF1FE7">
      <w:pPr>
        <w:pStyle w:val="NumberedHeadingTLRI"/>
      </w:pPr>
      <w:bookmarkStart w:id="961" w:name="_Toc164606723"/>
      <w:r w:rsidRPr="00113F13">
        <w:lastRenderedPageBreak/>
        <w:t>The Commonwealth Privacy Act Review</w:t>
      </w:r>
      <w:bookmarkEnd w:id="961"/>
    </w:p>
    <w:p w14:paraId="6DFA5D94" w14:textId="1A2DD1FD" w:rsidR="00FF302D" w:rsidRPr="00113F13" w:rsidRDefault="00E42696" w:rsidP="00B63604">
      <w:pPr>
        <w:pStyle w:val="NormalNumberedTextTLRI"/>
        <w:numPr>
          <w:ilvl w:val="2"/>
          <w:numId w:val="31"/>
        </w:numPr>
        <w:tabs>
          <w:tab w:val="clear" w:pos="720"/>
        </w:tabs>
        <w:spacing w:line="259" w:lineRule="auto"/>
      </w:pPr>
      <w:r>
        <w:t>T</w:t>
      </w:r>
      <w:r w:rsidR="10DD744B" w:rsidRPr="10DD744B">
        <w:rPr>
          <w:rFonts w:eastAsia="Times New Roman"/>
        </w:rPr>
        <w:t>h</w:t>
      </w:r>
      <w:r w:rsidR="10DD744B">
        <w:t xml:space="preserve">e Commonwealth Privacy Act Review did not give consideration to the protection of basic personal information as an issue separate from the protection of personal information more generally. </w:t>
      </w:r>
    </w:p>
    <w:p w14:paraId="38E4F2D9" w14:textId="6ADD96AC" w:rsidR="00FF302D" w:rsidRPr="00113F13" w:rsidRDefault="00FF302D" w:rsidP="00B63604">
      <w:pPr>
        <w:pStyle w:val="NormalNumberedTextTLRI"/>
        <w:numPr>
          <w:ilvl w:val="2"/>
          <w:numId w:val="31"/>
        </w:numPr>
        <w:tabs>
          <w:tab w:val="clear" w:pos="720"/>
        </w:tabs>
        <w:spacing w:line="259" w:lineRule="auto"/>
      </w:pPr>
      <w:bookmarkStart w:id="962" w:name="_Ref165024382"/>
      <w:r w:rsidRPr="00113F13">
        <w:t xml:space="preserve">Relevant to the operation of ADEPT in Tasmania, the Commonwealth Review considered the scope of the research exemption under the </w:t>
      </w:r>
      <w:r w:rsidRPr="00113F13">
        <w:rPr>
          <w:i/>
          <w:iCs/>
        </w:rPr>
        <w:t xml:space="preserve">Privacy Act 1988 </w:t>
      </w:r>
      <w:r w:rsidRPr="00113F13">
        <w:t xml:space="preserve">(Cth) and noted that the </w:t>
      </w:r>
      <w:r w:rsidRPr="00113F13">
        <w:rPr>
          <w:i/>
          <w:iCs/>
        </w:rPr>
        <w:t>Data Availability and Transparency Act 2022</w:t>
      </w:r>
      <w:r w:rsidRPr="00113F13">
        <w:t xml:space="preserve"> (Cth) scheme permits the sharing of public sector data containing personal information among government agencies (including states and territories) and with universities for research without consent, where </w:t>
      </w:r>
      <w:r w:rsidR="00E14ADE">
        <w:t>Section</w:t>
      </w:r>
      <w:r w:rsidRPr="00113F13">
        <w:t xml:space="preserve"> 95 of the </w:t>
      </w:r>
      <w:r w:rsidRPr="00113F13">
        <w:rPr>
          <w:i/>
          <w:iCs/>
        </w:rPr>
        <w:t>Privacy Act</w:t>
      </w:r>
      <w:r w:rsidRPr="00113F13">
        <w:t xml:space="preserve"> applies and other requirements are met.</w:t>
      </w:r>
      <w:r w:rsidRPr="00113F13">
        <w:rPr>
          <w:rStyle w:val="FootnoteReference"/>
          <w:rFonts w:ascii="Times New Roman" w:hAnsi="Times New Roman"/>
        </w:rPr>
        <w:footnoteReference w:id="1038"/>
      </w:r>
      <w:bookmarkEnd w:id="962"/>
      <w:r w:rsidRPr="00113F13">
        <w:t xml:space="preserve"> </w:t>
      </w:r>
    </w:p>
    <w:p w14:paraId="424540E1" w14:textId="77777777" w:rsidR="00FF302D" w:rsidRPr="00113F13" w:rsidRDefault="00FF302D" w:rsidP="00BF1FE7">
      <w:pPr>
        <w:pStyle w:val="NumberedHeadingTLRI"/>
      </w:pPr>
      <w:bookmarkStart w:id="963" w:name="_Toc164606724"/>
      <w:r w:rsidRPr="00113F13">
        <w:t>Consultation</w:t>
      </w:r>
      <w:bookmarkEnd w:id="963"/>
    </w:p>
    <w:p w14:paraId="75D6CD9A"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invited submissions on the approach that should be taken to the sharing of information between government agencies in the following terms:</w:t>
      </w:r>
    </w:p>
    <w:p w14:paraId="4C9A934B" w14:textId="77777777" w:rsidR="00FF302D" w:rsidRPr="00113F13" w:rsidRDefault="00FF302D" w:rsidP="0022429F">
      <w:pPr>
        <w:pStyle w:val="Indentedquote"/>
        <w:rPr>
          <w:rFonts w:cs="Times New Roman"/>
        </w:rPr>
      </w:pPr>
      <w:r w:rsidRPr="00113F13">
        <w:rPr>
          <w:rFonts w:cs="Times New Roman"/>
        </w:rPr>
        <w:t>Should legislation providing for the application of minimum privacy safeguards be introduced to apply to all information sharing within and between government bodies?</w:t>
      </w:r>
      <w:r w:rsidRPr="00113F13">
        <w:rPr>
          <w:rStyle w:val="FootnoteReference"/>
          <w:rFonts w:ascii="Times New Roman" w:hAnsi="Times New Roman" w:cs="Times New Roman"/>
        </w:rPr>
        <w:footnoteReference w:id="1039"/>
      </w:r>
    </w:p>
    <w:p w14:paraId="611171F2" w14:textId="77777777" w:rsidR="00FF302D" w:rsidRPr="00113F13" w:rsidRDefault="00FF302D" w:rsidP="0022429F">
      <w:pPr>
        <w:pStyle w:val="Indentedquote"/>
        <w:rPr>
          <w:rFonts w:cs="Times New Roman"/>
        </w:rPr>
      </w:pPr>
      <w:r w:rsidRPr="00113F13">
        <w:rPr>
          <w:rFonts w:cs="Times New Roman"/>
        </w:rPr>
        <w:t>If such legislation should be introduced, how should the safeguards be enforced?</w:t>
      </w:r>
      <w:r w:rsidRPr="00113F13">
        <w:rPr>
          <w:rStyle w:val="FootnoteReference"/>
          <w:rFonts w:ascii="Times New Roman" w:hAnsi="Times New Roman" w:cs="Times New Roman"/>
        </w:rPr>
        <w:footnoteReference w:id="1040"/>
      </w:r>
    </w:p>
    <w:p w14:paraId="754D389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Submissions were received about information sharing between government agencies, as well as between government and non-government agencies. </w:t>
      </w:r>
    </w:p>
    <w:p w14:paraId="2E81C7DC" w14:textId="24C85648" w:rsidR="00FF302D" w:rsidRPr="00113F13" w:rsidRDefault="00FF302D" w:rsidP="00B63604">
      <w:pPr>
        <w:pStyle w:val="NormalNumberedTextTLRI"/>
        <w:numPr>
          <w:ilvl w:val="2"/>
          <w:numId w:val="31"/>
        </w:numPr>
        <w:tabs>
          <w:tab w:val="clear" w:pos="720"/>
        </w:tabs>
        <w:spacing w:line="259" w:lineRule="auto"/>
      </w:pPr>
      <w:r w:rsidRPr="00113F13">
        <w:t>Some of the submissions concerning the sharing of information between government agencies focused on the risks of information sharing and suggested that it was necessary to ensure that information going between departments did not get into the wrong hands.</w:t>
      </w:r>
      <w:r w:rsidRPr="00113F13">
        <w:rPr>
          <w:rStyle w:val="FootnoteReference"/>
          <w:rFonts w:ascii="Times New Roman" w:hAnsi="Times New Roman"/>
        </w:rPr>
        <w:footnoteReference w:id="1041"/>
      </w:r>
      <w:r w:rsidRPr="00113F13">
        <w:t xml:space="preserve"> Meg Webb MLC indicated that her view was that legislation should provide for the application of minimum privacy safeguards to apply to all information sharing within and between government bodies. Her view was that this must apply to all tiers of government (that is, local government, state government and federal government), including contractors and subcontractors. In terms of the enforcement of safeguards, Meg Webb MLC suggested that this could be potentially enforced via a stipulated regular independent auditor (such as an Office of the Australian Information Commissioner (</w:t>
      </w:r>
      <w:r w:rsidR="00DB3CCA">
        <w:t>‘</w:t>
      </w:r>
      <w:r w:rsidRPr="00113F13">
        <w:t>OAIC</w:t>
      </w:r>
      <w:r w:rsidR="00DB3CCA">
        <w:t>’</w:t>
      </w:r>
      <w:r w:rsidRPr="00113F13">
        <w:t>) and the Ombudsman), with the reports tabled in Parliament. It was suggested that further appeals to the courts and/or compensation may be applicable.</w:t>
      </w:r>
      <w:r w:rsidRPr="00113F13">
        <w:rPr>
          <w:rStyle w:val="FootnoteReference"/>
          <w:rFonts w:ascii="Times New Roman" w:hAnsi="Times New Roman"/>
        </w:rPr>
        <w:footnoteReference w:id="1042"/>
      </w:r>
    </w:p>
    <w:p w14:paraId="43DD2142" w14:textId="0B4603B8" w:rsidR="00FF302D" w:rsidRPr="00113F13" w:rsidRDefault="00FF302D" w:rsidP="00B63604">
      <w:pPr>
        <w:pStyle w:val="NormalNumberedTextTLRI"/>
        <w:numPr>
          <w:ilvl w:val="2"/>
          <w:numId w:val="31"/>
        </w:numPr>
        <w:tabs>
          <w:tab w:val="clear" w:pos="720"/>
        </w:tabs>
        <w:spacing w:line="259" w:lineRule="auto"/>
      </w:pPr>
      <w:r w:rsidRPr="00113F13">
        <w:t>The Tasmanian Council of Social Service (‘T</w:t>
      </w:r>
      <w:r w:rsidR="00C46E5D">
        <w:t>as</w:t>
      </w:r>
      <w:r w:rsidRPr="00113F13">
        <w:t xml:space="preserve">COSS’) recognised the need for there to be a balance between privacy and information exchange: ‘it’s important our approach to privacy allows for information exchange (including between agencies where appropriate) whilst ensuring the right to information and bodily privacy are promoted and respected’. Tasmania Police also stated that it </w:t>
      </w:r>
      <w:r w:rsidRPr="00113F13">
        <w:lastRenderedPageBreak/>
        <w:t xml:space="preserve">recognised and respected the right to personal privacy but pointed to the need for this to be balanced with public safety in allowing for the sharing of information. </w:t>
      </w:r>
    </w:p>
    <w:p w14:paraId="1551AEC1"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the submissions received by the TLRI, the need to balance privacy and safety was specifically identified in relation to children and </w:t>
      </w:r>
      <w:r w:rsidRPr="00D5517E">
        <w:t>young people.</w:t>
      </w:r>
      <w:r w:rsidRPr="00EA22F8">
        <w:rPr>
          <w:rStyle w:val="FootnoteReference"/>
          <w:rFonts w:ascii="Times New Roman" w:hAnsi="Times New Roman"/>
        </w:rPr>
        <w:footnoteReference w:id="1043"/>
      </w:r>
      <w:r w:rsidRPr="00D5517E">
        <w:rPr>
          <w:rStyle w:val="FootnoteReference"/>
          <w:rFonts w:ascii="Times New Roman" w:hAnsi="Times New Roman"/>
        </w:rPr>
        <w:t xml:space="preserve"> </w:t>
      </w:r>
      <w:r w:rsidRPr="00D5517E">
        <w:t>Youth</w:t>
      </w:r>
      <w:r w:rsidRPr="00113F13">
        <w:t xml:space="preserve"> Law Australia expressed the view that, while the right to privacy was an important right, it was ‘not absolute, and it must be balanced with other rights’. This includes (as recognised by the Commonwealth</w:t>
      </w:r>
      <w:r w:rsidRPr="00113F13" w:rsidDel="00B96AD2">
        <w:t xml:space="preserve"> </w:t>
      </w:r>
      <w:r w:rsidRPr="00113F13">
        <w:t xml:space="preserve">Royal Commission into Institutional Responses to Child Sexual Abuse) ‘rights to safety and wellbeing, and specifically to protection from sexual abuse [which] should be prioritised over other rights and concerns, including in some cases privacy’. Youth Law Australia pointed to the need for consistent and simplified privacy laws to facilitate the sharing of information. It noted that the Royal Commission into Institutional Responses to Child Sexual Abuse heard evidence that it can be difficult for institutions to navigate the privacy environment, and that this can inhibit sharing of information relating to the privacy and wellbeing of children. It was noted that, even where laws do not legally prevent sharing, concerns about privacy may have that effect. </w:t>
      </w:r>
    </w:p>
    <w:p w14:paraId="79A9EA6A" w14:textId="77777777" w:rsidR="00FF302D" w:rsidRPr="00113F13" w:rsidRDefault="00FF302D" w:rsidP="00B63604">
      <w:pPr>
        <w:pStyle w:val="NormalNumberedTextTLRI"/>
        <w:numPr>
          <w:ilvl w:val="2"/>
          <w:numId w:val="31"/>
        </w:numPr>
        <w:tabs>
          <w:tab w:val="clear" w:pos="720"/>
        </w:tabs>
        <w:spacing w:line="259" w:lineRule="auto"/>
      </w:pPr>
      <w:r w:rsidRPr="00113F13">
        <w:t>In relation to information sharing, Youth Law Australia highlighted the importance of consultation of children and young people, where appropriate, before information about them is shared under information sharing schemes. The Commissioner for Children and Young People also identified the need to create a mechanism to involve children in decisions that affect their private information. In addition, the Commissioner stressed the need for privacy and children to be the subject of its own dedicated review, and to have the issues addressed in more detail than in the Issues Paper for the present project. The Commissioner highlighted the need to balance a child’s right to privacy with the need to ensure that the care of the child is in their best interest in information sharing: ‘How much do we share with people to ensure we uphold the child’s right to privacy and their right to safety?’.</w:t>
      </w:r>
    </w:p>
    <w:p w14:paraId="0692EF94" w14:textId="67858827" w:rsidR="00FF302D" w:rsidRPr="00113F13" w:rsidRDefault="00FF302D" w:rsidP="00B63604">
      <w:pPr>
        <w:pStyle w:val="NormalNumberedTextTLRI"/>
        <w:numPr>
          <w:ilvl w:val="2"/>
          <w:numId w:val="31"/>
        </w:numPr>
        <w:tabs>
          <w:tab w:val="clear" w:pos="720"/>
        </w:tabs>
        <w:spacing w:line="259" w:lineRule="auto"/>
      </w:pPr>
      <w:r w:rsidRPr="00113F13">
        <w:t>Tasmania Legal Aid (</w:t>
      </w:r>
      <w:r w:rsidR="00C675A5">
        <w:t>‘</w:t>
      </w:r>
      <w:r w:rsidRPr="00113F13">
        <w:t>TLA</w:t>
      </w:r>
      <w:r w:rsidR="00C675A5">
        <w:t>’</w:t>
      </w:r>
      <w:r w:rsidRPr="00113F13">
        <w:t>) recognised the need for both privacy and safety considerations to be taken into account in the context of family violence. TLA highlighted the importance of effective and consistent data recording and data sharing as a key to recognising behaviours which indicate risk of any violence, of escalation, of serious harm, and of lethality, to understand the prevalence and to assist in the reduction of harm. TLA observed that there are two major intersections of privacy and safety in the context of family violence:</w:t>
      </w:r>
    </w:p>
    <w:p w14:paraId="4DFDB909" w14:textId="77777777" w:rsidR="00FF302D" w:rsidRPr="00113F13" w:rsidRDefault="00FF302D" w:rsidP="0022429F">
      <w:pPr>
        <w:pStyle w:val="DotPointTLRI"/>
      </w:pPr>
      <w:r w:rsidRPr="00113F13">
        <w:t>where information sharing is needed for a person and/or organisation to understand and adequately respond to risk of harm—encouraging broad and easy sharing of personal information; and</w:t>
      </w:r>
    </w:p>
    <w:p w14:paraId="19B077EC" w14:textId="77777777" w:rsidR="00FF302D" w:rsidRPr="00113F13" w:rsidRDefault="00FF302D" w:rsidP="0022429F">
      <w:pPr>
        <w:pStyle w:val="DotPointTLRI"/>
      </w:pPr>
      <w:r w:rsidRPr="00113F13">
        <w:t>where sharing information contributed to a risk of harm by: (1) family violence offenders and those supporting them (including systems and organisations) accessing information about the victim-survivors; or (2) disseminating information about the victim-survivor, such as images or mental health information; and (3) by victims-survivors experiencing negative consequences of information sharing or becoming reluctant to share information if it may be disclosed, or to access a service which may disclose information.</w:t>
      </w:r>
    </w:p>
    <w:p w14:paraId="21F5508F" w14:textId="77777777" w:rsidR="00FF302D" w:rsidRPr="00113F13" w:rsidRDefault="00FF302D" w:rsidP="00B63604">
      <w:pPr>
        <w:pStyle w:val="NormalNumberedTextTLRI"/>
        <w:numPr>
          <w:ilvl w:val="2"/>
          <w:numId w:val="31"/>
        </w:numPr>
        <w:tabs>
          <w:tab w:val="clear" w:pos="720"/>
        </w:tabs>
        <w:spacing w:line="259" w:lineRule="auto"/>
      </w:pPr>
      <w:r w:rsidRPr="00113F13">
        <w:t>Issues that arise in relation to information sharing do not only apply to sharing between government agencies, as discussed by TLA: ‘[p]rivacy and safety considerations are significant to the question of how information-sharing about family violence can occur between government and non-government organisations’.</w:t>
      </w:r>
    </w:p>
    <w:p w14:paraId="5B203DC9" w14:textId="77777777" w:rsidR="00FF302D" w:rsidRPr="00EA22F8" w:rsidRDefault="00FF302D" w:rsidP="00B63604">
      <w:pPr>
        <w:pStyle w:val="NormalNumberedTextTLRI"/>
        <w:numPr>
          <w:ilvl w:val="2"/>
          <w:numId w:val="31"/>
        </w:numPr>
        <w:tabs>
          <w:tab w:val="clear" w:pos="720"/>
        </w:tabs>
        <w:spacing w:line="259" w:lineRule="auto"/>
        <w:rPr>
          <w:color w:val="000000"/>
          <w:shd w:val="clear" w:color="auto" w:fill="FFFFFF"/>
        </w:rPr>
      </w:pPr>
      <w:r w:rsidRPr="00113F13">
        <w:lastRenderedPageBreak/>
        <w:t xml:space="preserve">Other submissions focussed on the need for there to be provision for sharing </w:t>
      </w:r>
      <w:r w:rsidRPr="00113F13" w:rsidDel="00D377C1">
        <w:t xml:space="preserve">to </w:t>
      </w:r>
      <w:r w:rsidRPr="00113F13">
        <w:t>allow for the appropriate provision of services, such as medical and mental health services.</w:t>
      </w:r>
      <w:r w:rsidRPr="00113F13">
        <w:rPr>
          <w:rStyle w:val="FootnoteReference"/>
          <w:rFonts w:ascii="Times New Roman" w:hAnsi="Times New Roman"/>
        </w:rPr>
        <w:footnoteReference w:id="1044"/>
      </w:r>
      <w:r w:rsidRPr="00113F13">
        <w:t xml:space="preserve"> </w:t>
      </w:r>
    </w:p>
    <w:p w14:paraId="7EEF3EED" w14:textId="77777777" w:rsidR="00FF302D" w:rsidRPr="00113F13" w:rsidRDefault="00FF302D" w:rsidP="00BF1FE7">
      <w:pPr>
        <w:pStyle w:val="NumberedHeadingTLRI"/>
      </w:pPr>
      <w:bookmarkStart w:id="964" w:name="_Toc164606725"/>
      <w:bookmarkStart w:id="965" w:name="_Ref164769249"/>
      <w:r w:rsidRPr="00113F13">
        <w:t>The TLRI’s view</w:t>
      </w:r>
      <w:bookmarkEnd w:id="964"/>
      <w:bookmarkEnd w:id="965"/>
    </w:p>
    <w:p w14:paraId="3B4E146A" w14:textId="65CC4A46" w:rsidR="00FF302D" w:rsidRPr="00EA22F8" w:rsidRDefault="10DD744B" w:rsidP="00B63604">
      <w:pPr>
        <w:pStyle w:val="NormalNumberedTextTLRI"/>
        <w:numPr>
          <w:ilvl w:val="2"/>
          <w:numId w:val="31"/>
        </w:numPr>
        <w:tabs>
          <w:tab w:val="clear" w:pos="720"/>
        </w:tabs>
        <w:spacing w:line="259" w:lineRule="auto"/>
        <w:rPr>
          <w:szCs w:val="22"/>
        </w:rPr>
      </w:pPr>
      <w:r w:rsidRPr="00EA22F8">
        <w:t>As noted at [</w:t>
      </w:r>
      <w:r w:rsidRPr="00EA22F8">
        <w:rPr>
          <w:szCs w:val="22"/>
        </w:rPr>
        <w:t xml:space="preserve">4.15], </w:t>
      </w:r>
      <w:r w:rsidRPr="00EA22F8">
        <w:rPr>
          <w:rStyle w:val="cf01"/>
          <w:rFonts w:ascii="Times New Roman" w:hAnsi="Times New Roman" w:cs="Times New Roman"/>
          <w:sz w:val="22"/>
          <w:szCs w:val="22"/>
        </w:rPr>
        <w:t xml:space="preserve">the TLRI considers that the </w:t>
      </w:r>
      <w:r w:rsidR="003A76CF" w:rsidRPr="003215A2">
        <w:rPr>
          <w:rStyle w:val="cf01"/>
          <w:rFonts w:ascii="Times New Roman" w:hAnsi="Times New Roman" w:cs="Times New Roman"/>
          <w:sz w:val="22"/>
          <w:szCs w:val="22"/>
        </w:rPr>
        <w:t>‘</w:t>
      </w:r>
      <w:r w:rsidRPr="00EA22F8">
        <w:rPr>
          <w:rStyle w:val="cf01"/>
          <w:rFonts w:ascii="Times New Roman" w:hAnsi="Times New Roman" w:cs="Times New Roman"/>
          <w:sz w:val="22"/>
          <w:szCs w:val="22"/>
        </w:rPr>
        <w:t>basic personal information</w:t>
      </w:r>
      <w:r w:rsidR="003A76CF" w:rsidRPr="003215A2">
        <w:rPr>
          <w:rStyle w:val="cf01"/>
          <w:rFonts w:ascii="Times New Roman" w:hAnsi="Times New Roman" w:cs="Times New Roman"/>
          <w:sz w:val="22"/>
          <w:szCs w:val="22"/>
        </w:rPr>
        <w:t>’</w:t>
      </w:r>
      <w:r w:rsidRPr="00EA22F8">
        <w:rPr>
          <w:rStyle w:val="cf01"/>
          <w:rFonts w:ascii="Times New Roman" w:hAnsi="Times New Roman" w:cs="Times New Roman"/>
          <w:sz w:val="22"/>
          <w:szCs w:val="22"/>
        </w:rPr>
        <w:t xml:space="preserve"> exception in the PIPA should be subject to further consultation to determine its use, effectiveness, and appropriateness in relation to information sharing</w:t>
      </w:r>
      <w:r w:rsidRPr="00EA22F8">
        <w:rPr>
          <w:szCs w:val="22"/>
        </w:rPr>
        <w:t xml:space="preserve">. </w:t>
      </w:r>
    </w:p>
    <w:p w14:paraId="3D720C56" w14:textId="685AE832" w:rsidR="00FF302D" w:rsidRPr="00113F13" w:rsidRDefault="10DD744B" w:rsidP="00B63604">
      <w:pPr>
        <w:pStyle w:val="NormalNumberedTextTLRI"/>
        <w:numPr>
          <w:ilvl w:val="2"/>
          <w:numId w:val="31"/>
        </w:numPr>
        <w:tabs>
          <w:tab w:val="clear" w:pos="720"/>
        </w:tabs>
        <w:spacing w:line="259" w:lineRule="auto"/>
      </w:pPr>
      <w:r>
        <w:t xml:space="preserve">The TLRI agrees with the submissions received in relation to the need for information sharing to be lawful in circumstances where it is necessary on the grounds of safety (such as family violence or child safety). There are several legislative provisions that allow for this in Tasmania. This may be in relation to safety and wellbeing of children, people experiencing family violence, or elder abuse. These are circumstances where there is an exemption to PIPA as ‘authorised by law’. This exemption is </w:t>
      </w:r>
      <w:r w:rsidRPr="003215A2">
        <w:t xml:space="preserve">addressed </w:t>
      </w:r>
      <w:r w:rsidRPr="00EA22F8">
        <w:t>further in Part 5.</w:t>
      </w:r>
    </w:p>
    <w:p w14:paraId="5B50134F" w14:textId="77777777" w:rsidR="00FF302D" w:rsidRPr="00113F13" w:rsidRDefault="00FF302D" w:rsidP="00B63604">
      <w:pPr>
        <w:pStyle w:val="NormalNumberedTextTLRI"/>
        <w:numPr>
          <w:ilvl w:val="2"/>
          <w:numId w:val="31"/>
        </w:numPr>
        <w:tabs>
          <w:tab w:val="clear" w:pos="720"/>
        </w:tabs>
        <w:spacing w:line="259" w:lineRule="auto"/>
      </w:pPr>
      <w:bookmarkStart w:id="966" w:name="_Ref165024447"/>
      <w:r w:rsidRPr="00113F13">
        <w:t>Specifically in relation to information sharing between government agencies, initiatives in other jurisdictions demonstrate the need to ensure a consistent and robust approach to the protection of privacy, while ensuring that government maintains the ability to enhance the value of the information it holds. In some submissions received by the TLRI, concerns were expressed about the absence of an enforceable framework for information sharing within government. In the Tasmanian context, it is the TLRI’s view that appropriate privacy safeguards should apply whenever legislation authorises personal information to be shared within and between government agencies and contractors, and that an option would be the introduction of a legislation (such as exists in Victoria, New South Wales, or the Commonwealth) to strengthen the procedures that exist under ADEPT.</w:t>
      </w:r>
      <w:bookmarkEnd w:id="966"/>
      <w:r w:rsidRPr="00113F13">
        <w:t xml:space="preserve"> </w:t>
      </w:r>
    </w:p>
    <w:p w14:paraId="2A01B643" w14:textId="08524268" w:rsidR="00FF302D" w:rsidRPr="00113F13" w:rsidRDefault="00FF302D" w:rsidP="00B63604">
      <w:pPr>
        <w:pStyle w:val="NormalNumberedTextTLRI"/>
        <w:numPr>
          <w:ilvl w:val="2"/>
          <w:numId w:val="31"/>
        </w:numPr>
        <w:tabs>
          <w:tab w:val="clear" w:pos="720"/>
        </w:tabs>
        <w:spacing w:line="259" w:lineRule="auto"/>
        <w:rPr>
          <w:rFonts w:eastAsia="Times New Roman"/>
        </w:rPr>
      </w:pPr>
      <w:r w:rsidRPr="00EA22F8">
        <w:t>As discussed at [</w:t>
      </w:r>
      <w:r w:rsidRPr="00EA22F8">
        <w:fldChar w:fldCharType="begin"/>
      </w:r>
      <w:r w:rsidRPr="00EA22F8">
        <w:instrText xml:space="preserve"> REF _Ref151981385 \r \h  \* MERGEFORMAT </w:instrText>
      </w:r>
      <w:r w:rsidRPr="00EA22F8">
        <w:fldChar w:fldCharType="separate"/>
      </w:r>
      <w:r w:rsidR="00462C30">
        <w:rPr>
          <w:cs/>
        </w:rPr>
        <w:t>‎</w:t>
      </w:r>
      <w:r w:rsidR="00462C30">
        <w:t>9.5.5</w:t>
      </w:r>
      <w:r w:rsidRPr="00EA22F8">
        <w:fldChar w:fldCharType="end"/>
      </w:r>
      <w:r w:rsidRPr="00EA22F8">
        <w:t>] above,</w:t>
      </w:r>
      <w:r w:rsidRPr="003215A2">
        <w:t xml:space="preserve"> it is</w:t>
      </w:r>
      <w:r w:rsidRPr="00113F13">
        <w:t xml:space="preserve"> also the TLRI’s view that there should be close examination of the relationship between the PIPA and provisions in other Tasmanian legislation with a view to obtaining greater harmonisation and consistency with the provisions of the PIPA. In this regard, the TLRI supports the recommendation of the CoI in relation to the review of legislative barriers to sharing information in the interests of protecting the safety and wellbeing of children and young people.</w:t>
      </w:r>
      <w:r w:rsidRPr="00113F13">
        <w:rPr>
          <w:rStyle w:val="FootnoteReference"/>
          <w:rFonts w:ascii="Times New Roman" w:hAnsi="Times New Roman"/>
        </w:rPr>
        <w:footnoteReference w:id="1045"/>
      </w:r>
      <w:r w:rsidRPr="00113F13">
        <w:t xml:space="preserve"> </w:t>
      </w:r>
      <w:r w:rsidRPr="00113F13">
        <w:rPr>
          <w:rFonts w:eastAsia="Times New Roman"/>
        </w:rPr>
        <w:t>The TLRI’s view is that there is also scope to consider barriers to sharing information within government and, where appropriate, with non-government organisations relating to safety in other contexts, such as family violence, abuse of older people, and persons with a disability.</w:t>
      </w:r>
      <w:r w:rsidRPr="00113F13">
        <w:rPr>
          <w:rStyle w:val="FootnoteReference"/>
          <w:rFonts w:ascii="Times New Roman" w:eastAsia="Times New Roman" w:hAnsi="Times New Roman"/>
        </w:rPr>
        <w:footnoteReference w:id="1046"/>
      </w:r>
    </w:p>
    <w:p w14:paraId="1EB9E5C9" w14:textId="77777777" w:rsidR="00FF302D" w:rsidRPr="00113F13" w:rsidRDefault="00FF302D" w:rsidP="00BF1FE7">
      <w:pPr>
        <w:pStyle w:val="NumberedHeadingTLRI"/>
      </w:pPr>
      <w:bookmarkStart w:id="967" w:name="_Toc164606726"/>
      <w:r w:rsidRPr="00113F13">
        <w:t>Recommendation</w:t>
      </w:r>
      <w:bookmarkEnd w:id="96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0D8F746F" w14:textId="77777777" w:rsidTr="00754A3F">
        <w:tc>
          <w:tcPr>
            <w:tcW w:w="9016" w:type="dxa"/>
            <w:shd w:val="clear" w:color="auto" w:fill="E8E8E8" w:themeFill="background2"/>
          </w:tcPr>
          <w:p w14:paraId="5CB10165" w14:textId="65AC7458" w:rsidR="00FF302D" w:rsidRPr="00113F13" w:rsidRDefault="00FF302D" w:rsidP="00754A3F">
            <w:pPr>
              <w:pStyle w:val="NormalNumberedTextTLRI"/>
              <w:numPr>
                <w:ilvl w:val="0"/>
                <w:numId w:val="0"/>
              </w:numPr>
              <w:spacing w:before="120" w:after="120"/>
              <w:rPr>
                <w:sz w:val="22"/>
                <w:szCs w:val="21"/>
              </w:rPr>
            </w:pPr>
            <w:r w:rsidRPr="00113F13">
              <w:rPr>
                <w:b/>
                <w:bCs/>
                <w:szCs w:val="21"/>
              </w:rPr>
              <w:t xml:space="preserve">Recommendation 57: </w:t>
            </w:r>
            <w:r w:rsidRPr="00113F13">
              <w:rPr>
                <w:szCs w:val="21"/>
              </w:rPr>
              <w:t xml:space="preserve">The Tasmanian </w:t>
            </w:r>
            <w:r w:rsidRPr="00113F13">
              <w:rPr>
                <w:sz w:val="22"/>
                <w:szCs w:val="21"/>
              </w:rPr>
              <w:t>G</w:t>
            </w:r>
            <w:r w:rsidRPr="00113F13">
              <w:rPr>
                <w:szCs w:val="21"/>
              </w:rPr>
              <w:t xml:space="preserve">overnment should undertake a review of provisions that present legislative barriers to the sharing of information within government and with relevant non-government organisations in the interests of protecting the safety and wellbeing of children and young people, people in family violence situations, abuse of </w:t>
            </w:r>
            <w:r w:rsidR="001D04CD">
              <w:rPr>
                <w:szCs w:val="21"/>
              </w:rPr>
              <w:t>e</w:t>
            </w:r>
            <w:r w:rsidRPr="00113F13">
              <w:rPr>
                <w:szCs w:val="21"/>
              </w:rPr>
              <w:t>lder pe</w:t>
            </w:r>
            <w:r w:rsidR="001D04CD">
              <w:rPr>
                <w:szCs w:val="21"/>
              </w:rPr>
              <w:t>rsons</w:t>
            </w:r>
            <w:r w:rsidRPr="00113F13">
              <w:rPr>
                <w:szCs w:val="21"/>
              </w:rPr>
              <w:t xml:space="preserve"> and persons with a disability.</w:t>
            </w:r>
          </w:p>
        </w:tc>
      </w:tr>
    </w:tbl>
    <w:p w14:paraId="6308B40C" w14:textId="77777777" w:rsidR="00FF302D" w:rsidRPr="00113F13" w:rsidRDefault="00FF302D" w:rsidP="00FF302D">
      <w:pPr>
        <w:pStyle w:val="NormalNumberedTextTLRI"/>
        <w:numPr>
          <w:ilvl w:val="0"/>
          <w:numId w:val="0"/>
        </w:numPr>
      </w:pPr>
    </w:p>
    <w:p w14:paraId="5FF02432" w14:textId="77777777" w:rsidR="00FF302D" w:rsidRPr="00113F13" w:rsidRDefault="00FF302D" w:rsidP="00FF302D">
      <w:pPr>
        <w:jc w:val="center"/>
        <w:rPr>
          <w:rFonts w:cs="Times New Roman"/>
          <w:b/>
          <w:bCs/>
          <w:sz w:val="32"/>
          <w:szCs w:val="32"/>
        </w:rPr>
        <w:sectPr w:rsidR="00FF302D" w:rsidRPr="00113F13" w:rsidSect="00BC08AB">
          <w:headerReference w:type="default" r:id="rId39"/>
          <w:type w:val="continuous"/>
          <w:pgSz w:w="11906" w:h="16838" w:code="9"/>
          <w:pgMar w:top="1440" w:right="1440" w:bottom="1440" w:left="1440" w:header="708" w:footer="708" w:gutter="0"/>
          <w:cols w:space="708"/>
          <w:docGrid w:linePitch="360"/>
        </w:sectPr>
      </w:pPr>
      <w:bookmarkStart w:id="968" w:name="_Ref91583359"/>
      <w:bookmarkStart w:id="969" w:name="_Toc91832013"/>
      <w:bookmarkStart w:id="970" w:name="_Toc130540448"/>
    </w:p>
    <w:bookmarkEnd w:id="968"/>
    <w:bookmarkEnd w:id="969"/>
    <w:bookmarkEnd w:id="970"/>
    <w:p w14:paraId="1AA98B53" w14:textId="77777777" w:rsidR="00FF302D" w:rsidRPr="00113F13" w:rsidRDefault="00FF302D" w:rsidP="00B63604">
      <w:pPr>
        <w:pStyle w:val="PartNoTLRI"/>
        <w:numPr>
          <w:ilvl w:val="0"/>
          <w:numId w:val="31"/>
        </w:numPr>
        <w:spacing w:after="160" w:line="259" w:lineRule="auto"/>
      </w:pPr>
    </w:p>
    <w:p w14:paraId="7552BDF9" w14:textId="77777777" w:rsidR="00FF302D" w:rsidRPr="00113F13" w:rsidRDefault="00FF302D" w:rsidP="00FF302D">
      <w:pPr>
        <w:pStyle w:val="PartHeading"/>
        <w:rPr>
          <w:rFonts w:cs="Times New Roman"/>
        </w:rPr>
      </w:pPr>
      <w:bookmarkStart w:id="971" w:name="_Toc164606727"/>
      <w:bookmarkStart w:id="972" w:name="_Toc91832014"/>
      <w:bookmarkStart w:id="973" w:name="_Toc130540449"/>
      <w:r w:rsidRPr="00113F13">
        <w:rPr>
          <w:rFonts w:cs="Times New Roman"/>
        </w:rPr>
        <w:t>Other Legislative Protections of Privacy</w:t>
      </w:r>
      <w:bookmarkEnd w:id="971"/>
    </w:p>
    <w:p w14:paraId="024EFCF6" w14:textId="7E47A685" w:rsidR="00FF302D" w:rsidRPr="00113F13" w:rsidRDefault="00FF302D" w:rsidP="00BF1FE7">
      <w:pPr>
        <w:pStyle w:val="NumberedHeadingTLRI"/>
      </w:pPr>
      <w:bookmarkStart w:id="974" w:name="_Toc164606728"/>
      <w:bookmarkEnd w:id="972"/>
      <w:bookmarkEnd w:id="973"/>
      <w:r w:rsidRPr="00113F13">
        <w:t xml:space="preserve">Overview of this </w:t>
      </w:r>
      <w:bookmarkEnd w:id="974"/>
      <w:r w:rsidR="000851C6">
        <w:t>Part</w:t>
      </w:r>
    </w:p>
    <w:p w14:paraId="2B4B1474" w14:textId="5287DC8D" w:rsidR="00FF302D" w:rsidRPr="00113F13" w:rsidRDefault="00FF302D" w:rsidP="00B63604">
      <w:pPr>
        <w:pStyle w:val="NormalNumberedTextTLRI"/>
        <w:numPr>
          <w:ilvl w:val="2"/>
          <w:numId w:val="31"/>
        </w:numPr>
        <w:tabs>
          <w:tab w:val="clear" w:pos="720"/>
        </w:tabs>
        <w:spacing w:line="259" w:lineRule="auto"/>
      </w:pPr>
      <w:r w:rsidRPr="00113F13">
        <w:t xml:space="preserve">In addition to the </w:t>
      </w:r>
      <w:r w:rsidRPr="00113F13">
        <w:rPr>
          <w:i/>
          <w:iCs/>
        </w:rPr>
        <w:t>Personal Information Protection Act 2004</w:t>
      </w:r>
      <w:r w:rsidRPr="00113F13">
        <w:t xml:space="preserve"> (Tas) (‘PIPA’) (discussed in Part</w:t>
      </w:r>
      <w:r w:rsidR="00F00685">
        <w:t> </w:t>
      </w:r>
      <w:r w:rsidRPr="00113F13">
        <w:t>2 of this Report), and the other legislation affecting the privacy of government-held information (discussed in Part 3 of this Report), privacy protections established in Tasmanian legislation apply in several other contexts. These other protections variously deal with information privacy, bodily privacy, privacy of communications, and territorial privacy.</w:t>
      </w:r>
    </w:p>
    <w:p w14:paraId="7A5C6AA0" w14:textId="590C70A4" w:rsidR="00FF302D" w:rsidRPr="00113F13" w:rsidRDefault="00FF302D" w:rsidP="00B63604">
      <w:pPr>
        <w:pStyle w:val="NormalNumberedTextTLRI"/>
        <w:numPr>
          <w:ilvl w:val="2"/>
          <w:numId w:val="31"/>
        </w:numPr>
        <w:tabs>
          <w:tab w:val="clear" w:pos="720"/>
        </w:tabs>
        <w:spacing w:line="259" w:lineRule="auto"/>
      </w:pPr>
      <w:r w:rsidRPr="00113F13">
        <w:t xml:space="preserve">Some of the legislation discussed in this </w:t>
      </w:r>
      <w:r w:rsidR="00514C40">
        <w:t xml:space="preserve">Part </w:t>
      </w:r>
      <w:r w:rsidRPr="00113F13">
        <w:t>provides protection against multiple forms of harm to privacy interests but are generally limited to activities or circumstances in which specific interferences with privacy might occur. These include governmental or workplace surveillance, stalking, harassment, image-based abuse (previously called ‘revenge pornography’), and handling of health information.</w:t>
      </w:r>
    </w:p>
    <w:p w14:paraId="46736DB7" w14:textId="77777777" w:rsidR="00FF302D" w:rsidRPr="00113F13" w:rsidRDefault="00FF302D" w:rsidP="00BF1FE7">
      <w:pPr>
        <w:pStyle w:val="NumberedHeadingTLRI"/>
      </w:pPr>
      <w:bookmarkStart w:id="975" w:name="_Toc91832017"/>
      <w:bookmarkStart w:id="976" w:name="_Toc130540452"/>
      <w:bookmarkStart w:id="977" w:name="_Toc164606729"/>
      <w:bookmarkStart w:id="978" w:name="_Ref165026077"/>
      <w:bookmarkStart w:id="979" w:name="_Ref165027039"/>
      <w:r w:rsidRPr="00113F13">
        <w:t>Legislative Protections Relating to Surveillance</w:t>
      </w:r>
      <w:bookmarkEnd w:id="975"/>
      <w:bookmarkEnd w:id="976"/>
      <w:bookmarkEnd w:id="977"/>
      <w:bookmarkEnd w:id="978"/>
      <w:bookmarkEnd w:id="979"/>
    </w:p>
    <w:p w14:paraId="5544ED68" w14:textId="77777777" w:rsidR="00FF302D" w:rsidRPr="00113F13" w:rsidRDefault="00FF302D" w:rsidP="00B63604">
      <w:pPr>
        <w:pStyle w:val="NormalNumberedTextTLRI"/>
        <w:numPr>
          <w:ilvl w:val="2"/>
          <w:numId w:val="31"/>
        </w:numPr>
        <w:tabs>
          <w:tab w:val="clear" w:pos="720"/>
        </w:tabs>
        <w:spacing w:line="259" w:lineRule="auto"/>
      </w:pPr>
      <w:r w:rsidRPr="00113F13">
        <w:t>Surveillance creates a threat to privacy in several ways. It may involve interference with privacy of communications (for example, listening and recording of conversations) and territorial privacy (for example, taking photographs or recording images). Surveillance can be undertaken by government agencies (such as police) or by private individuals or businesses.</w:t>
      </w:r>
    </w:p>
    <w:p w14:paraId="50548626" w14:textId="77777777" w:rsidR="00FF302D" w:rsidRPr="00113F13" w:rsidRDefault="00FF302D" w:rsidP="0022429F">
      <w:pPr>
        <w:pStyle w:val="Headingunnumbered"/>
        <w:rPr>
          <w:rFonts w:cs="Times New Roman"/>
        </w:rPr>
      </w:pPr>
      <w:bookmarkStart w:id="980" w:name="_Toc164606730"/>
      <w:r w:rsidRPr="00113F13">
        <w:rPr>
          <w:rFonts w:cs="Times New Roman"/>
        </w:rPr>
        <w:t>The Tasmanian position</w:t>
      </w:r>
      <w:bookmarkEnd w:id="980"/>
    </w:p>
    <w:p w14:paraId="55AB31B3"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Two main Tasmanian pieces of legislation provide protections against unauthorised surveillance: the </w:t>
      </w:r>
      <w:r w:rsidRPr="00113F13">
        <w:rPr>
          <w:i/>
          <w:iCs/>
        </w:rPr>
        <w:t xml:space="preserve">Listening Devices Act 1991 </w:t>
      </w:r>
      <w:r w:rsidRPr="00113F13">
        <w:t xml:space="preserve">(Tas) and the </w:t>
      </w:r>
      <w:r w:rsidRPr="00113F13">
        <w:rPr>
          <w:i/>
        </w:rPr>
        <w:t xml:space="preserve">Police Offences Act 1935 </w:t>
      </w:r>
      <w:r w:rsidRPr="00113F13">
        <w:rPr>
          <w:iCs/>
        </w:rPr>
        <w:t>(Tas)</w:t>
      </w:r>
      <w:r w:rsidRPr="00113F13">
        <w:t>. They include provisions applying to surveillance that could be undertaken by any person, in any context, and with any device, including Remotely Piloted Aircraft (‘RPA’) or Unmanned Aerial Vehicles (‘UAV’), commonly known as drones.</w:t>
      </w:r>
    </w:p>
    <w:p w14:paraId="02045D83" w14:textId="77777777" w:rsidR="000B13FB" w:rsidRDefault="000B13FB" w:rsidP="00F2622A">
      <w:pPr>
        <w:pStyle w:val="Sub-HeadingTLRI"/>
        <w:spacing w:before="0"/>
        <w:rPr>
          <w:lang w:val="en-GB"/>
        </w:rPr>
      </w:pPr>
      <w:bookmarkStart w:id="981" w:name="_Toc164606731"/>
    </w:p>
    <w:p w14:paraId="239E8E53" w14:textId="1CDDBF66" w:rsidR="00FF302D" w:rsidRPr="00113F13" w:rsidRDefault="00FF302D" w:rsidP="00F2622A">
      <w:pPr>
        <w:pStyle w:val="Sub-HeadingTLRI"/>
        <w:spacing w:before="0"/>
        <w:rPr>
          <w:lang w:val="en-GB"/>
        </w:rPr>
      </w:pPr>
      <w:r w:rsidRPr="00113F13">
        <w:rPr>
          <w:lang w:val="en-GB"/>
        </w:rPr>
        <w:t>Listening Devices Act 1991 (Tas)</w:t>
      </w:r>
      <w:bookmarkEnd w:id="981"/>
    </w:p>
    <w:p w14:paraId="14C6C804"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prohibitions in the </w:t>
      </w:r>
      <w:r w:rsidRPr="00113F13">
        <w:rPr>
          <w:i/>
          <w:iCs/>
        </w:rPr>
        <w:t xml:space="preserve">Listening Devices Act 1991 </w:t>
      </w:r>
      <w:r w:rsidRPr="00113F13">
        <w:t>(Tas) are not limited to state surveillance or to a specific type of device. For example, they also limit how individuals and businesses can record conversations and how people may use drones.</w:t>
      </w:r>
    </w:p>
    <w:p w14:paraId="28F40E55"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w:t>
      </w:r>
      <w:r w:rsidRPr="00113F13">
        <w:rPr>
          <w:i/>
          <w:iCs/>
        </w:rPr>
        <w:t xml:space="preserve">Listening Devices Act 1991 </w:t>
      </w:r>
      <w:r w:rsidRPr="00113F13">
        <w:t>(Tas) prohibits the use of listening devices to record private conversations or to listen to private conversations where the person using the device is not a party to it.</w:t>
      </w:r>
      <w:r w:rsidRPr="00113F13">
        <w:rPr>
          <w:vertAlign w:val="superscript"/>
        </w:rPr>
        <w:footnoteReference w:id="1047"/>
      </w:r>
      <w:r w:rsidRPr="00113F13">
        <w:t xml:space="preserve"> There are other offences in relation to communicating or publishing records of private </w:t>
      </w:r>
      <w:r w:rsidRPr="00113F13">
        <w:lastRenderedPageBreak/>
        <w:t>conversations and possession of private conversations.</w:t>
      </w:r>
      <w:r w:rsidRPr="00113F13">
        <w:rPr>
          <w:rStyle w:val="FootnoteReference"/>
          <w:rFonts w:ascii="Times New Roman" w:hAnsi="Times New Roman"/>
        </w:rPr>
        <w:footnoteReference w:id="1048"/>
      </w:r>
      <w:r w:rsidRPr="00113F13">
        <w:t xml:space="preserve"> These offences are punishable by a fine not exceeding 40 penalty units ($7,800) or imprisonment for a term of up to two years or both (for an individual) and a fine not exceeding 500 penalty units ($97,500) for a corporation.</w:t>
      </w:r>
      <w:r w:rsidRPr="00113F13">
        <w:rPr>
          <w:rStyle w:val="FootnoteReference"/>
          <w:rFonts w:ascii="Times New Roman" w:hAnsi="Times New Roman"/>
        </w:rPr>
        <w:footnoteReference w:id="1049"/>
      </w:r>
      <w:r w:rsidRPr="00113F13">
        <w:t xml:space="preserve"> The definition of ‘private conversation’ is conditioned on ‘circumstances that may reasonably be taken to indicate’ that the people participating in the conversation intend for it to be heard by others only with their explicit consent.</w:t>
      </w:r>
      <w:r w:rsidRPr="00113F13">
        <w:rPr>
          <w:vertAlign w:val="superscript"/>
        </w:rPr>
        <w:footnoteReference w:id="1050"/>
      </w:r>
      <w:r w:rsidRPr="00113F13">
        <w:t xml:space="preserve"> </w:t>
      </w:r>
    </w:p>
    <w:p w14:paraId="35D6944B" w14:textId="77777777" w:rsidR="00FF302D" w:rsidRPr="00113F13" w:rsidRDefault="00FF302D" w:rsidP="00B63604">
      <w:pPr>
        <w:pStyle w:val="NormalNumberedTextTLRI"/>
        <w:numPr>
          <w:ilvl w:val="2"/>
          <w:numId w:val="31"/>
        </w:numPr>
        <w:tabs>
          <w:tab w:val="clear" w:pos="720"/>
        </w:tabs>
        <w:spacing w:line="259" w:lineRule="auto"/>
      </w:pPr>
      <w:r w:rsidRPr="00113F13">
        <w:t>Aside from creating offences relating to private conversations, if law enforcement personnel obtain evidence unlawfully under the Act, this limits the circumstances in which the evidence can be used in court.</w:t>
      </w:r>
      <w:r w:rsidRPr="00113F13">
        <w:rPr>
          <w:vertAlign w:val="superscript"/>
        </w:rPr>
        <w:footnoteReference w:id="1051"/>
      </w:r>
      <w:r w:rsidRPr="00113F13">
        <w:t xml:space="preserve"> Even if a recording was lawfully obtained under certain provisions of the Act, any parts that are irrelevant to the commission of serious crimes must be destroyed as soon as practicable.</w:t>
      </w:r>
      <w:r w:rsidRPr="00113F13">
        <w:rPr>
          <w:vertAlign w:val="superscript"/>
        </w:rPr>
        <w:footnoteReference w:id="1052"/>
      </w:r>
      <w:r w:rsidRPr="00113F13">
        <w:t xml:space="preserve"> </w:t>
      </w:r>
    </w:p>
    <w:p w14:paraId="0403CAAE" w14:textId="77777777" w:rsidR="00FF302D" w:rsidRPr="00113F13" w:rsidRDefault="00FF302D" w:rsidP="00B63604">
      <w:pPr>
        <w:pStyle w:val="NormalNumberedTextTLRI"/>
        <w:numPr>
          <w:ilvl w:val="2"/>
          <w:numId w:val="31"/>
        </w:numPr>
        <w:tabs>
          <w:tab w:val="clear" w:pos="720"/>
        </w:tabs>
        <w:spacing w:line="259" w:lineRule="auto"/>
      </w:pPr>
      <w:bookmarkStart w:id="982" w:name="_Ref152056285"/>
      <w:r w:rsidRPr="00113F13">
        <w:t>While the general rule is a prohibition on the use of listening devices, there are exceptions.</w:t>
      </w:r>
      <w:r w:rsidRPr="00113F13">
        <w:rPr>
          <w:vertAlign w:val="superscript"/>
        </w:rPr>
        <w:footnoteReference w:id="1053"/>
      </w:r>
      <w:r w:rsidRPr="00113F13">
        <w:t xml:space="preserve"> They include:</w:t>
      </w:r>
      <w:bookmarkEnd w:id="982"/>
    </w:p>
    <w:p w14:paraId="208328FD" w14:textId="77777777" w:rsidR="00FF302D" w:rsidRPr="00113F13" w:rsidRDefault="00FF302D" w:rsidP="0022429F">
      <w:pPr>
        <w:pStyle w:val="DotPointTLRI"/>
        <w:rPr>
          <w:lang w:val="en-GB"/>
        </w:rPr>
      </w:pPr>
      <w:r w:rsidRPr="00113F13">
        <w:rPr>
          <w:lang w:val="en-GB"/>
        </w:rPr>
        <w:t>warrants issued under the Act for law enforcement activities;</w:t>
      </w:r>
      <w:r w:rsidRPr="00113F13">
        <w:rPr>
          <w:vertAlign w:val="superscript"/>
          <w:lang w:val="en-GB"/>
        </w:rPr>
        <w:footnoteReference w:id="1054"/>
      </w:r>
      <w:r w:rsidRPr="00113F13">
        <w:rPr>
          <w:lang w:val="en-GB"/>
        </w:rPr>
        <w:t xml:space="preserve"> </w:t>
      </w:r>
    </w:p>
    <w:p w14:paraId="62C83917" w14:textId="77777777" w:rsidR="00FF302D" w:rsidRPr="00113F13" w:rsidRDefault="00FF302D" w:rsidP="0022429F">
      <w:pPr>
        <w:pStyle w:val="DotPointTLRI"/>
        <w:rPr>
          <w:lang w:val="en-GB"/>
        </w:rPr>
      </w:pPr>
      <w:r w:rsidRPr="00113F13">
        <w:rPr>
          <w:lang w:val="en-GB"/>
        </w:rPr>
        <w:t>the use of a personal camera (as a listening device) by a police officer in the circumstances authorised by legislation;</w:t>
      </w:r>
      <w:r w:rsidRPr="00113F13">
        <w:rPr>
          <w:rStyle w:val="FootnoteReference"/>
          <w:rFonts w:ascii="Times New Roman" w:hAnsi="Times New Roman"/>
          <w:lang w:val="en-GB"/>
        </w:rPr>
        <w:footnoteReference w:id="1055"/>
      </w:r>
    </w:p>
    <w:p w14:paraId="364316A0" w14:textId="77777777" w:rsidR="00FF302D" w:rsidRPr="00113F13" w:rsidRDefault="00FF302D" w:rsidP="0022429F">
      <w:pPr>
        <w:pStyle w:val="DotPointTLRI"/>
        <w:rPr>
          <w:lang w:val="en-GB"/>
        </w:rPr>
      </w:pPr>
      <w:r w:rsidRPr="00113F13">
        <w:rPr>
          <w:lang w:val="en-GB"/>
        </w:rPr>
        <w:t>the use of a surveillance device, where authorised by legislation;</w:t>
      </w:r>
      <w:r w:rsidRPr="00113F13">
        <w:rPr>
          <w:rStyle w:val="FootnoteReference"/>
          <w:rFonts w:ascii="Times New Roman" w:hAnsi="Times New Roman"/>
          <w:lang w:val="en-GB"/>
        </w:rPr>
        <w:footnoteReference w:id="1056"/>
      </w:r>
    </w:p>
    <w:p w14:paraId="46C7C7D9" w14:textId="77777777" w:rsidR="00FF302D" w:rsidRPr="00113F13" w:rsidRDefault="00FF302D" w:rsidP="0022429F">
      <w:pPr>
        <w:pStyle w:val="DotPointTLRI"/>
        <w:rPr>
          <w:lang w:val="en-GB"/>
        </w:rPr>
      </w:pPr>
      <w:r w:rsidRPr="00113F13">
        <w:rPr>
          <w:lang w:val="en-GB"/>
        </w:rPr>
        <w:t>activities authorised under other legislation, including Commonwealth legislation;</w:t>
      </w:r>
      <w:r w:rsidRPr="00113F13">
        <w:rPr>
          <w:vertAlign w:val="superscript"/>
          <w:lang w:val="en-GB"/>
        </w:rPr>
        <w:footnoteReference w:id="1057"/>
      </w:r>
      <w:r w:rsidRPr="00113F13">
        <w:rPr>
          <w:lang w:val="en-GB"/>
        </w:rPr>
        <w:t xml:space="preserve"> </w:t>
      </w:r>
    </w:p>
    <w:p w14:paraId="794AB3DC" w14:textId="77777777" w:rsidR="00FF302D" w:rsidRPr="00113F13" w:rsidRDefault="00FF302D" w:rsidP="0022429F">
      <w:pPr>
        <w:pStyle w:val="DotPointTLRI"/>
        <w:rPr>
          <w:lang w:val="en-GB"/>
        </w:rPr>
      </w:pPr>
      <w:r w:rsidRPr="00113F13">
        <w:rPr>
          <w:lang w:val="en-GB"/>
        </w:rPr>
        <w:t xml:space="preserve">unintentional hearing through use of a listening device; </w:t>
      </w:r>
    </w:p>
    <w:p w14:paraId="41E2EB91" w14:textId="77777777" w:rsidR="00FF302D" w:rsidRPr="00113F13" w:rsidRDefault="00FF302D" w:rsidP="0022429F">
      <w:pPr>
        <w:pStyle w:val="DotPointTLRI"/>
        <w:rPr>
          <w:lang w:val="en-GB"/>
        </w:rPr>
      </w:pPr>
      <w:r w:rsidRPr="00113F13">
        <w:rPr>
          <w:lang w:val="en-GB"/>
        </w:rPr>
        <w:t>if a principal party to the conversation consents to the listening device being used and the recording of the conversation is reasonably necessary for the protection of the lawful interests of that principal party;</w:t>
      </w:r>
      <w:r w:rsidRPr="00113F13">
        <w:rPr>
          <w:rStyle w:val="FootnoteReference"/>
          <w:rFonts w:ascii="Times New Roman" w:hAnsi="Times New Roman"/>
          <w:lang w:val="en-GB"/>
        </w:rPr>
        <w:footnoteReference w:id="1058"/>
      </w:r>
    </w:p>
    <w:p w14:paraId="39740234" w14:textId="77777777" w:rsidR="00FF302D" w:rsidRPr="00113F13" w:rsidRDefault="00FF302D" w:rsidP="0022429F">
      <w:pPr>
        <w:pStyle w:val="DotPointTLRI"/>
        <w:rPr>
          <w:lang w:val="en-GB"/>
        </w:rPr>
      </w:pPr>
      <w:r w:rsidRPr="00113F13">
        <w:rPr>
          <w:lang w:val="en-GB"/>
        </w:rPr>
        <w:t xml:space="preserve">recording interviews between a police officer and a person suspected of having committed a statutory offence; </w:t>
      </w:r>
    </w:p>
    <w:p w14:paraId="32854747" w14:textId="77777777" w:rsidR="00FF302D" w:rsidRPr="00113F13" w:rsidRDefault="00FF302D" w:rsidP="0022429F">
      <w:pPr>
        <w:pStyle w:val="DotPointTLRI"/>
        <w:rPr>
          <w:lang w:val="en-GB"/>
        </w:rPr>
      </w:pPr>
      <w:r w:rsidRPr="00113F13">
        <w:rPr>
          <w:lang w:val="en-GB"/>
        </w:rPr>
        <w:t xml:space="preserve">where the parties have consented; and </w:t>
      </w:r>
    </w:p>
    <w:p w14:paraId="3E0C4616" w14:textId="77777777" w:rsidR="00FF302D" w:rsidRPr="00113F13" w:rsidRDefault="00FF302D" w:rsidP="0022429F">
      <w:pPr>
        <w:pStyle w:val="DotPointTLRI"/>
        <w:rPr>
          <w:lang w:val="en-GB"/>
        </w:rPr>
      </w:pPr>
      <w:r w:rsidRPr="00113F13">
        <w:rPr>
          <w:lang w:val="en-GB"/>
        </w:rPr>
        <w:lastRenderedPageBreak/>
        <w:t>where evidence or information needs to be obtained through a listening device in connection with various serious offences or threats.</w:t>
      </w:r>
      <w:r w:rsidRPr="00113F13">
        <w:rPr>
          <w:rStyle w:val="FootnoteReference"/>
          <w:rFonts w:ascii="Times New Roman" w:hAnsi="Times New Roman"/>
          <w:lang w:val="en-GB"/>
        </w:rPr>
        <w:footnoteReference w:id="1059"/>
      </w:r>
    </w:p>
    <w:p w14:paraId="77E984EB" w14:textId="77777777" w:rsidR="00FF302D" w:rsidRPr="00113F13" w:rsidRDefault="00FF302D" w:rsidP="00B63604">
      <w:pPr>
        <w:pStyle w:val="NormalNumberedTextTLRI"/>
        <w:numPr>
          <w:ilvl w:val="2"/>
          <w:numId w:val="31"/>
        </w:numPr>
        <w:tabs>
          <w:tab w:val="clear" w:pos="720"/>
        </w:tabs>
        <w:spacing w:line="259" w:lineRule="auto"/>
      </w:pPr>
      <w:r w:rsidRPr="00113F13">
        <w:t>Where a listening device is used in connection with a serious offence or threat, a report detailing the use of the device must be provided to the Chief Magistrate within three days.</w:t>
      </w:r>
      <w:r w:rsidRPr="00113F13">
        <w:rPr>
          <w:rStyle w:val="FootnoteReference"/>
          <w:rFonts w:ascii="Times New Roman" w:hAnsi="Times New Roman"/>
        </w:rPr>
        <w:footnoteReference w:id="1060"/>
      </w:r>
      <w:r w:rsidRPr="00113F13">
        <w:t xml:space="preserve"> If the Chief Magistrate is satisfied that it was an unnecessary interference with the privacy of the person whose conversation was listened to, they </w:t>
      </w:r>
      <w:r w:rsidRPr="00113F13">
        <w:rPr>
          <w:i/>
          <w:iCs/>
        </w:rPr>
        <w:t>may</w:t>
      </w:r>
      <w:r w:rsidRPr="00113F13">
        <w:t xml:space="preserve"> order that notice be given to that individual.</w:t>
      </w:r>
      <w:r w:rsidRPr="00113F13">
        <w:rPr>
          <w:vertAlign w:val="superscript"/>
        </w:rPr>
        <w:footnoteReference w:id="1061"/>
      </w:r>
      <w:r w:rsidRPr="00113F13">
        <w:t xml:space="preserve"> </w:t>
      </w:r>
    </w:p>
    <w:p w14:paraId="549D1DC9" w14:textId="77777777" w:rsidR="00FF302D" w:rsidRPr="00113F13" w:rsidRDefault="00FF302D" w:rsidP="00B63604">
      <w:pPr>
        <w:pStyle w:val="NormalNumberedTextTLRI"/>
        <w:numPr>
          <w:ilvl w:val="2"/>
          <w:numId w:val="31"/>
        </w:numPr>
        <w:tabs>
          <w:tab w:val="clear" w:pos="720"/>
        </w:tabs>
        <w:spacing w:line="259" w:lineRule="auto"/>
      </w:pPr>
      <w:r w:rsidRPr="00113F13">
        <w:t>In these circumstances, privacy is not always protected through judicial intervention. Rather, privacy merely acts as a precondition before the Chief Magistrate can make an order requiring notice to be given. Even if it was an unnecessary privacy interference, there is no compulsion for notice to be ordered. Further, even if no notice is provided, information obtained in these circumstances is still lawfully obtained.</w:t>
      </w:r>
    </w:p>
    <w:p w14:paraId="2A8C8FF2" w14:textId="77777777" w:rsidR="00FF302D" w:rsidRPr="00113F13" w:rsidRDefault="00FF302D" w:rsidP="00B63604">
      <w:pPr>
        <w:pStyle w:val="NormalNumberedTextTLRI"/>
        <w:numPr>
          <w:ilvl w:val="2"/>
          <w:numId w:val="31"/>
        </w:numPr>
        <w:tabs>
          <w:tab w:val="clear" w:pos="720"/>
        </w:tabs>
        <w:spacing w:line="259" w:lineRule="auto"/>
      </w:pPr>
      <w:bookmarkStart w:id="983" w:name="_Toc91536747"/>
      <w:bookmarkEnd w:id="983"/>
      <w:r w:rsidRPr="00113F13">
        <w:t xml:space="preserve">The </w:t>
      </w:r>
      <w:r w:rsidRPr="00113F13">
        <w:rPr>
          <w:i/>
          <w:iCs/>
        </w:rPr>
        <w:t xml:space="preserve">Listening Devices Act 1991 </w:t>
      </w:r>
      <w:r w:rsidRPr="00113F13">
        <w:t>(Tas) also refers to ‘privacy’ in the context of courts issuing warrants for law enforcement to use listening devices. When determining whether to issue a warrant, a magistrate must have regard to several factors, including the extent to which the privacy of any person is likely to be affected by the surveillance.</w:t>
      </w:r>
      <w:r w:rsidRPr="00113F13">
        <w:rPr>
          <w:vertAlign w:val="superscript"/>
        </w:rPr>
        <w:footnoteReference w:id="1062"/>
      </w:r>
      <w:r w:rsidRPr="00113F13">
        <w:t xml:space="preserve"> The Supreme Court of Tasmania has reiterated that this factor must be considered.</w:t>
      </w:r>
      <w:r w:rsidRPr="00113F13">
        <w:rPr>
          <w:vertAlign w:val="superscript"/>
        </w:rPr>
        <w:footnoteReference w:id="1063"/>
      </w:r>
      <w:r w:rsidRPr="00113F13">
        <w:t xml:space="preserve"> Other factors to be taken into account, and which weigh against the privacy factor, include the evidentiary value of the evidence to be obtained and the nature of the offence.</w:t>
      </w:r>
    </w:p>
    <w:p w14:paraId="6D7B0E47"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It should be noted that the </w:t>
      </w:r>
      <w:r w:rsidRPr="00113F13">
        <w:rPr>
          <w:i/>
          <w:iCs/>
        </w:rPr>
        <w:t xml:space="preserve">Police Powers (Surveillance Devices) Act 2006 </w:t>
      </w:r>
      <w:r w:rsidRPr="00113F13">
        <w:t>(Tas) further authorises the issuing of police surveillance warrants by the courts, in circumstances where there is a reasonable suspicion or belief of an offence.</w:t>
      </w:r>
      <w:r w:rsidRPr="00113F13">
        <w:rPr>
          <w:rStyle w:val="FootnoteReference"/>
          <w:rFonts w:ascii="Times New Roman" w:hAnsi="Times New Roman"/>
        </w:rPr>
        <w:footnoteReference w:id="1064"/>
      </w:r>
      <w:r w:rsidRPr="00113F13">
        <w:t xml:space="preserve"> Senior officers may also authorise use of a surveillance device in emergency circumstances.</w:t>
      </w:r>
      <w:r w:rsidRPr="00113F13">
        <w:rPr>
          <w:rStyle w:val="FootnoteReference"/>
          <w:rFonts w:ascii="Times New Roman" w:hAnsi="Times New Roman"/>
        </w:rPr>
        <w:footnoteReference w:id="1065"/>
      </w:r>
      <w:r w:rsidRPr="00113F13">
        <w:t xml:space="preserve"> Amendments introduced in 2018 also permit the use of a personal camera by on-duty police officers to record private conversations.</w:t>
      </w:r>
      <w:r w:rsidRPr="00113F13">
        <w:rPr>
          <w:rStyle w:val="FootnoteReference"/>
          <w:rFonts w:ascii="Times New Roman" w:hAnsi="Times New Roman"/>
        </w:rPr>
        <w:footnoteReference w:id="1066"/>
      </w:r>
      <w:r w:rsidRPr="00113F13">
        <w:t xml:space="preserve"> To this extent, this Act permits law enforcement officers to interfere with privacy. </w:t>
      </w:r>
    </w:p>
    <w:p w14:paraId="24DFB20E" w14:textId="77777777" w:rsidR="00FF302D" w:rsidRPr="00113F13" w:rsidRDefault="00FF302D" w:rsidP="00B63604">
      <w:pPr>
        <w:pStyle w:val="NormalNumberedTextTLRI"/>
        <w:numPr>
          <w:ilvl w:val="2"/>
          <w:numId w:val="31"/>
        </w:numPr>
        <w:tabs>
          <w:tab w:val="clear" w:pos="720"/>
        </w:tabs>
        <w:spacing w:line="259" w:lineRule="auto"/>
      </w:pPr>
      <w:r w:rsidRPr="00113F13">
        <w:t>However, under this Act, the power to undertake surveillance under warrants is subject to monitoring, review, and inspection.</w:t>
      </w:r>
      <w:r w:rsidRPr="00113F13">
        <w:rPr>
          <w:rStyle w:val="FootnoteReference"/>
          <w:rFonts w:ascii="Times New Roman" w:hAnsi="Times New Roman"/>
        </w:rPr>
        <w:footnoteReference w:id="1067"/>
      </w:r>
      <w:r w:rsidRPr="00113F13">
        <w:t xml:space="preserve"> Further, the Act limits how the recorded information can be used. Specifically, it makes it an offence to use information obtained through surveillance under the Act, or information relating to warrants or authorisations for surveillance, unless that use is for various specific purposes (listed in the Act).</w:t>
      </w:r>
      <w:r w:rsidRPr="00113F13">
        <w:rPr>
          <w:vertAlign w:val="superscript"/>
        </w:rPr>
        <w:footnoteReference w:id="1068"/>
      </w:r>
    </w:p>
    <w:p w14:paraId="34BE8B18" w14:textId="77777777" w:rsidR="00FF302D" w:rsidRPr="00113F13" w:rsidRDefault="00FF302D" w:rsidP="0022429F">
      <w:pPr>
        <w:pStyle w:val="Sub-HeadingTLRI"/>
        <w:rPr>
          <w:lang w:val="en-GB"/>
        </w:rPr>
      </w:pPr>
      <w:bookmarkStart w:id="984" w:name="_Toc164606732"/>
      <w:r w:rsidRPr="00113F13">
        <w:rPr>
          <w:lang w:val="en-GB"/>
        </w:rPr>
        <w:t xml:space="preserve">Police Offences Act 1935 </w:t>
      </w:r>
      <w:r w:rsidRPr="00113F13">
        <w:rPr>
          <w:iCs/>
          <w:lang w:val="en-GB"/>
        </w:rPr>
        <w:t>(Tas)</w:t>
      </w:r>
      <w:bookmarkEnd w:id="984"/>
    </w:p>
    <w:p w14:paraId="0CEAE08D" w14:textId="5D410654" w:rsidR="00FF302D" w:rsidRPr="00EA22F8" w:rsidRDefault="00FF302D" w:rsidP="00B63604">
      <w:pPr>
        <w:pStyle w:val="NormalNumberedTextTLRI"/>
        <w:numPr>
          <w:ilvl w:val="2"/>
          <w:numId w:val="31"/>
        </w:numPr>
        <w:tabs>
          <w:tab w:val="clear" w:pos="720"/>
        </w:tabs>
        <w:spacing w:line="259" w:lineRule="auto"/>
      </w:pPr>
      <w:r w:rsidRPr="003215A2">
        <w:t xml:space="preserve">The </w:t>
      </w:r>
      <w:r w:rsidRPr="003215A2">
        <w:rPr>
          <w:i/>
          <w:iCs/>
        </w:rPr>
        <w:t xml:space="preserve">Police Offences Act 1935 </w:t>
      </w:r>
      <w:r w:rsidRPr="003215A2">
        <w:t>(Tas) provides that it is an offence to observe or visually record another person in breach of privacy.</w:t>
      </w:r>
      <w:r w:rsidRPr="003215A2">
        <w:rPr>
          <w:vertAlign w:val="superscript"/>
        </w:rPr>
        <w:footnoteReference w:id="1069"/>
      </w:r>
      <w:r w:rsidRPr="003215A2">
        <w:t xml:space="preserve"> This is another general prohibition on surveillance—in this case, visual observation rather than listening to private conversations. As with offences provided under </w:t>
      </w:r>
      <w:r w:rsidRPr="003215A2">
        <w:lastRenderedPageBreak/>
        <w:t xml:space="preserve">the </w:t>
      </w:r>
      <w:r w:rsidRPr="003215A2">
        <w:rPr>
          <w:i/>
          <w:iCs/>
        </w:rPr>
        <w:t xml:space="preserve">Listening Devices Act 1991 </w:t>
      </w:r>
      <w:r w:rsidRPr="003215A2">
        <w:t>(Tas), the offence is not limited to any specific type of device and would cover the use of drones (discussed further a</w:t>
      </w:r>
      <w:r w:rsidRPr="00EA22F8">
        <w:t>t [</w:t>
      </w:r>
      <w:r w:rsidRPr="003215A2">
        <w:fldChar w:fldCharType="begin"/>
      </w:r>
      <w:r w:rsidRPr="003215A2">
        <w:instrText xml:space="preserve"> REF _Ref152055265 \r \h  \* MERGEFORMAT </w:instrText>
      </w:r>
      <w:r w:rsidRPr="003215A2">
        <w:fldChar w:fldCharType="separate"/>
      </w:r>
      <w:r w:rsidR="00462C30">
        <w:rPr>
          <w:cs/>
        </w:rPr>
        <w:t>‎</w:t>
      </w:r>
      <w:r w:rsidR="00462C30">
        <w:t>10.2.18</w:t>
      </w:r>
      <w:r w:rsidRPr="003215A2">
        <w:fldChar w:fldCharType="end"/>
      </w:r>
      <w:r w:rsidRPr="00EA22F8">
        <w:t>] below).</w:t>
      </w:r>
      <w:r w:rsidRPr="003215A2">
        <w:t xml:space="preserve"> </w:t>
      </w:r>
    </w:p>
    <w:p w14:paraId="29B549FB" w14:textId="77777777" w:rsidR="00FF302D" w:rsidRPr="00113F13" w:rsidRDefault="00FF302D" w:rsidP="00B63604">
      <w:pPr>
        <w:pStyle w:val="NormalNumberedTextTLRI"/>
        <w:numPr>
          <w:ilvl w:val="2"/>
          <w:numId w:val="31"/>
        </w:numPr>
        <w:tabs>
          <w:tab w:val="clear" w:pos="720"/>
        </w:tabs>
        <w:spacing w:line="259" w:lineRule="auto"/>
      </w:pPr>
      <w:bookmarkStart w:id="985" w:name="_Toc91536750"/>
      <w:bookmarkEnd w:id="985"/>
      <w:r w:rsidRPr="00113F13">
        <w:t xml:space="preserve">The offence is limited to observing or visually recording a person ‘in circumstances where a reasonable person would expect to be afforded privacy’. The recording must be done without that person’s consent </w:t>
      </w:r>
      <w:r w:rsidRPr="00113F13">
        <w:rPr>
          <w:i/>
          <w:iCs/>
        </w:rPr>
        <w:t>and</w:t>
      </w:r>
      <w:r w:rsidRPr="00113F13">
        <w:t xml:space="preserve"> when that person is either: (1) in a private place; or (2) engaging in a private act and the recording is made for the purpose of observing or visually recording a private act. The maximum penalty is 12 months’ imprisonment and/or 50 penalty units. </w:t>
      </w:r>
    </w:p>
    <w:p w14:paraId="2AE3E3F9" w14:textId="77777777" w:rsidR="00FF302D" w:rsidRPr="00113F13" w:rsidRDefault="00FF302D" w:rsidP="00B63604">
      <w:pPr>
        <w:pStyle w:val="NormalNumberedTextTLRI"/>
        <w:numPr>
          <w:ilvl w:val="2"/>
          <w:numId w:val="31"/>
        </w:numPr>
        <w:tabs>
          <w:tab w:val="clear" w:pos="720"/>
        </w:tabs>
        <w:spacing w:line="259" w:lineRule="auto"/>
      </w:pPr>
      <w:r w:rsidRPr="00113F13">
        <w:t>This offence has been held by the Supreme Court to be a ‘reportable offence’ within the meaning of Section 6(1) the</w:t>
      </w:r>
      <w:r w:rsidRPr="00113F13">
        <w:rPr>
          <w:i/>
          <w:iCs/>
        </w:rPr>
        <w:t xml:space="preserve"> Community Protection (Offender Reporting) Act 2005 </w:t>
      </w:r>
      <w:r w:rsidRPr="00113F13">
        <w:t>(Tas).</w:t>
      </w:r>
      <w:r w:rsidRPr="00113F13">
        <w:rPr>
          <w:vertAlign w:val="superscript"/>
        </w:rPr>
        <w:footnoteReference w:id="1070"/>
      </w:r>
      <w:r w:rsidRPr="00113F13">
        <w:t xml:space="preserve"> In essence, the effect of this classification is that offenders may be ordered to keep police informed of their whereabouts and other personal details for a period of time. </w:t>
      </w:r>
    </w:p>
    <w:p w14:paraId="03AD8D5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Closely related to this offence, the </w:t>
      </w:r>
      <w:r w:rsidRPr="00113F13">
        <w:rPr>
          <w:i/>
          <w:iCs/>
        </w:rPr>
        <w:t>Police Offences Act 1935</w:t>
      </w:r>
      <w:r w:rsidRPr="00113F13">
        <w:t xml:space="preserve"> (Tas) also makes it an offence to:</w:t>
      </w:r>
    </w:p>
    <w:p w14:paraId="341514AF" w14:textId="77777777" w:rsidR="00FF302D" w:rsidRPr="00113F13" w:rsidRDefault="00FF302D" w:rsidP="0022429F">
      <w:pPr>
        <w:pStyle w:val="DotPointTLRI"/>
        <w:rPr>
          <w:lang w:val="en-GB"/>
        </w:rPr>
      </w:pPr>
      <w:r w:rsidRPr="00113F13">
        <w:rPr>
          <w:lang w:val="en-GB"/>
        </w:rPr>
        <w:t>possess a prohibited visual recording;</w:t>
      </w:r>
      <w:r w:rsidRPr="00113F13">
        <w:rPr>
          <w:vertAlign w:val="superscript"/>
          <w:lang w:val="en-GB"/>
        </w:rPr>
        <w:footnoteReference w:id="1071"/>
      </w:r>
      <w:r w:rsidRPr="00113F13">
        <w:rPr>
          <w:lang w:val="en-GB"/>
        </w:rPr>
        <w:t xml:space="preserve"> </w:t>
      </w:r>
    </w:p>
    <w:p w14:paraId="27C746A2" w14:textId="77777777" w:rsidR="00FF302D" w:rsidRPr="00113F13" w:rsidRDefault="00FF302D" w:rsidP="0022429F">
      <w:pPr>
        <w:pStyle w:val="DotPointTLRI"/>
        <w:rPr>
          <w:lang w:val="en-GB"/>
        </w:rPr>
      </w:pPr>
      <w:r w:rsidRPr="00113F13">
        <w:rPr>
          <w:lang w:val="en-GB"/>
        </w:rPr>
        <w:t>publish or distribute such a recording;</w:t>
      </w:r>
      <w:r w:rsidRPr="00113F13">
        <w:rPr>
          <w:vertAlign w:val="superscript"/>
          <w:lang w:val="en-GB"/>
        </w:rPr>
        <w:footnoteReference w:id="1072"/>
      </w:r>
      <w:r w:rsidRPr="00113F13">
        <w:rPr>
          <w:lang w:val="en-GB"/>
        </w:rPr>
        <w:t xml:space="preserve"> and</w:t>
      </w:r>
    </w:p>
    <w:p w14:paraId="22ED6C27" w14:textId="77777777" w:rsidR="00FF302D" w:rsidRPr="00113F13" w:rsidRDefault="00FF302D" w:rsidP="0022429F">
      <w:pPr>
        <w:pStyle w:val="DotPointTLRI"/>
        <w:rPr>
          <w:bCs/>
          <w:lang w:val="en-GB"/>
        </w:rPr>
      </w:pPr>
      <w:r w:rsidRPr="00113F13">
        <w:rPr>
          <w:lang w:val="en-GB"/>
        </w:rPr>
        <w:t>observe or visually record another person’s genital or anal region, in circumstances where a reasonable person would expect to be afforded privacy in relation to that region, and where it is done for the purpose of observing or visually recording the other person’s genital or anal region (a specialised version of the general observing or recording offence, which carries a defence of consent).</w:t>
      </w:r>
      <w:r w:rsidRPr="00113F13">
        <w:rPr>
          <w:vertAlign w:val="superscript"/>
          <w:lang w:val="en-GB"/>
        </w:rPr>
        <w:footnoteReference w:id="1073"/>
      </w:r>
    </w:p>
    <w:p w14:paraId="095AC998" w14:textId="77777777" w:rsidR="00FF302D" w:rsidRPr="00113F13" w:rsidRDefault="00FF302D" w:rsidP="00B63604">
      <w:pPr>
        <w:pStyle w:val="NormalNumberedTextTLRI"/>
        <w:numPr>
          <w:ilvl w:val="2"/>
          <w:numId w:val="31"/>
        </w:numPr>
        <w:tabs>
          <w:tab w:val="clear" w:pos="720"/>
        </w:tabs>
        <w:spacing w:line="259" w:lineRule="auto"/>
      </w:pPr>
      <w:r w:rsidRPr="00113F13">
        <w:t xml:space="preserve">Regarding this range of offences of observing and recording in breach of privacy, there are more limited exceptions than exist under the </w:t>
      </w:r>
      <w:r w:rsidRPr="00113F13">
        <w:rPr>
          <w:i/>
          <w:iCs/>
        </w:rPr>
        <w:t xml:space="preserve">Listening Devices Act 1991 </w:t>
      </w:r>
      <w:r w:rsidRPr="00113F13">
        <w:t>(Tas), with three categories of people only excluded from criminal responsibility, provided that they meet the onus of proving that they fall within one of thee categories. They are as follows:</w:t>
      </w:r>
      <w:r w:rsidRPr="00113F13">
        <w:rPr>
          <w:vertAlign w:val="superscript"/>
        </w:rPr>
        <w:footnoteReference w:id="1074"/>
      </w:r>
    </w:p>
    <w:p w14:paraId="7AF4933F" w14:textId="77777777" w:rsidR="00FF302D" w:rsidRPr="00113F13" w:rsidRDefault="00FF302D" w:rsidP="0022429F">
      <w:pPr>
        <w:pStyle w:val="DotPointTLRI"/>
        <w:rPr>
          <w:lang w:val="en-GB"/>
        </w:rPr>
      </w:pPr>
      <w:r w:rsidRPr="00113F13">
        <w:rPr>
          <w:lang w:val="en-GB"/>
        </w:rPr>
        <w:t>a law enforcement officer acting reasonably in the course of performing their duties;</w:t>
      </w:r>
    </w:p>
    <w:p w14:paraId="13C1DF96" w14:textId="77777777" w:rsidR="00FF302D" w:rsidRPr="00113F13" w:rsidRDefault="00FF302D" w:rsidP="0022429F">
      <w:pPr>
        <w:pStyle w:val="DotPointTLRI"/>
        <w:rPr>
          <w:lang w:val="en-GB"/>
        </w:rPr>
      </w:pPr>
      <w:r w:rsidRPr="00113F13">
        <w:rPr>
          <w:lang w:val="en-GB"/>
        </w:rPr>
        <w:t xml:space="preserve">a person acting reasonably in the course of their duties in relation to someone who is in lawful custody (for example, officers in prisons); and </w:t>
      </w:r>
    </w:p>
    <w:p w14:paraId="0FAB2F2C" w14:textId="77777777" w:rsidR="00FF302D" w:rsidRPr="00113F13" w:rsidRDefault="00FF302D" w:rsidP="0022429F">
      <w:pPr>
        <w:pStyle w:val="DotPointTLRI"/>
        <w:rPr>
          <w:lang w:val="en-GB"/>
        </w:rPr>
      </w:pPr>
      <w:r w:rsidRPr="00113F13">
        <w:rPr>
          <w:lang w:val="en-GB"/>
        </w:rPr>
        <w:t xml:space="preserve">a person acting in the course of their occupation or employment and where their conduct is reasonable in that context. </w:t>
      </w:r>
    </w:p>
    <w:p w14:paraId="353D6ED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essence, people who fall within these three categories are lawfully permitted to interfere with individuals’ privacy through observation or visual recording.  </w:t>
      </w:r>
    </w:p>
    <w:p w14:paraId="10D32A38" w14:textId="77777777" w:rsidR="00FF302D" w:rsidRPr="00113F13" w:rsidRDefault="00FF302D" w:rsidP="0022429F">
      <w:pPr>
        <w:pStyle w:val="Sub-HeadingTLRI"/>
        <w:rPr>
          <w:lang w:val="en-GB"/>
        </w:rPr>
      </w:pPr>
      <w:bookmarkStart w:id="986" w:name="_Toc164606733"/>
      <w:r w:rsidRPr="00113F13">
        <w:rPr>
          <w:lang w:val="en-GB"/>
        </w:rPr>
        <w:t>Drones</w:t>
      </w:r>
      <w:bookmarkEnd w:id="986"/>
    </w:p>
    <w:p w14:paraId="10076B95" w14:textId="2291D630" w:rsidR="00FF302D" w:rsidRPr="00113F13" w:rsidRDefault="00FF302D" w:rsidP="00B63604">
      <w:pPr>
        <w:pStyle w:val="NormalNumberedTextTLRI"/>
        <w:numPr>
          <w:ilvl w:val="2"/>
          <w:numId w:val="31"/>
        </w:numPr>
        <w:tabs>
          <w:tab w:val="clear" w:pos="720"/>
        </w:tabs>
        <w:spacing w:line="259" w:lineRule="auto"/>
      </w:pPr>
      <w:bookmarkStart w:id="987" w:name="_Ref152055265"/>
      <w:r w:rsidRPr="00113F13">
        <w:t xml:space="preserve">Tasmania does not have specific regulations that limit how RPAs or UVAs (drones) can interfere with privacy. However, as noted above, drones are encompassed within the general criminal prohibitions on the use of listening devices and on observing or visually recording people. Surveillance </w:t>
      </w:r>
      <w:r w:rsidRPr="00113F13">
        <w:lastRenderedPageBreak/>
        <w:t xml:space="preserve">by a drone may also give rise to an offence of stalking or </w:t>
      </w:r>
      <w:r w:rsidRPr="003215A2">
        <w:t>harassment (</w:t>
      </w:r>
      <w:r w:rsidRPr="00EA22F8">
        <w:t>see [</w:t>
      </w:r>
      <w:r w:rsidRPr="003215A2">
        <w:fldChar w:fldCharType="begin"/>
      </w:r>
      <w:r w:rsidRPr="003215A2">
        <w:instrText xml:space="preserve"> REF _Ref152055362 \r \h  \* MERGEFORMAT </w:instrText>
      </w:r>
      <w:r w:rsidRPr="003215A2">
        <w:fldChar w:fldCharType="separate"/>
      </w:r>
      <w:r w:rsidR="00462C30">
        <w:rPr>
          <w:cs/>
        </w:rPr>
        <w:t>‎</w:t>
      </w:r>
      <w:r w:rsidR="00462C30">
        <w:t>10.7.7</w:t>
      </w:r>
      <w:r w:rsidRPr="003215A2">
        <w:fldChar w:fldCharType="end"/>
      </w:r>
      <w:r w:rsidRPr="00EA22F8">
        <w:t>] below)</w:t>
      </w:r>
      <w:r w:rsidRPr="003215A2">
        <w:t>. Personal</w:t>
      </w:r>
      <w:r w:rsidRPr="00113F13">
        <w:t xml:space="preserve"> information captured by a drone would also be subject to obligations under the Tasmanian </w:t>
      </w:r>
      <w:r w:rsidRPr="00113F13">
        <w:rPr>
          <w:i/>
          <w:iCs/>
        </w:rPr>
        <w:t>Personal Information Protection Act 2004</w:t>
      </w:r>
      <w:r w:rsidRPr="00113F13">
        <w:t xml:space="preserve"> (Tas) (‘PIPA’) or the Commonwealth </w:t>
      </w:r>
      <w:r w:rsidRPr="00113F13">
        <w:rPr>
          <w:i/>
          <w:iCs/>
        </w:rPr>
        <w:t>Privacy Act 1988</w:t>
      </w:r>
      <w:r w:rsidRPr="00113F13">
        <w:t xml:space="preserve"> (Cth) (‘Privacy Act’). Drones may also be subject to limitations in the law of civil wrongs; specifically, nuisance and trespass. For example, in the case of nuisance, a drone operator could be found liable where they cause persistent and continuing interference with use and enjoyment of property.</w:t>
      </w:r>
      <w:bookmarkEnd w:id="987"/>
    </w:p>
    <w:p w14:paraId="07B6E050" w14:textId="77777777" w:rsidR="00FF302D" w:rsidRPr="00113F13" w:rsidRDefault="00FF302D" w:rsidP="00B63604">
      <w:pPr>
        <w:pStyle w:val="NormalNumberedTextTLRI"/>
        <w:numPr>
          <w:ilvl w:val="2"/>
          <w:numId w:val="31"/>
        </w:numPr>
        <w:tabs>
          <w:tab w:val="clear" w:pos="720"/>
        </w:tabs>
        <w:spacing w:line="259" w:lineRule="auto"/>
      </w:pPr>
      <w:bookmarkStart w:id="988" w:name="_Ref165027806"/>
      <w:r w:rsidRPr="00113F13">
        <w:t xml:space="preserve">At the Commonwealth level, drones are considered ‘aircraft’ under the </w:t>
      </w:r>
      <w:r w:rsidRPr="00113F13">
        <w:rPr>
          <w:i/>
          <w:iCs/>
        </w:rPr>
        <w:t xml:space="preserve">Civil Aviation Act 1988 </w:t>
      </w:r>
      <w:r w:rsidRPr="00113F13">
        <w:t>(Cth) and</w:t>
      </w:r>
      <w:r w:rsidRPr="00113F13">
        <w:rPr>
          <w:i/>
          <w:iCs/>
        </w:rPr>
        <w:t xml:space="preserve"> </w:t>
      </w:r>
      <w:r w:rsidRPr="00113F13">
        <w:t>are subject to control by the Civil Aviation Safety Authority. The regulations include restrictions on the flying of drones over populous areas, including private property.</w:t>
      </w:r>
      <w:r w:rsidRPr="00113F13">
        <w:rPr>
          <w:rStyle w:val="FootnoteReference"/>
          <w:rFonts w:ascii="Times New Roman" w:hAnsi="Times New Roman"/>
        </w:rPr>
        <w:footnoteReference w:id="1075"/>
      </w:r>
      <w:r w:rsidRPr="00113F13">
        <w:t xml:space="preserve"> However, there are no legislative limitations that explicitly and specifically relate to privacy.</w:t>
      </w:r>
      <w:bookmarkEnd w:id="988"/>
    </w:p>
    <w:p w14:paraId="0DC824D9" w14:textId="77777777" w:rsidR="00FF302D" w:rsidRPr="00113F13" w:rsidRDefault="00FF302D" w:rsidP="0022429F">
      <w:pPr>
        <w:pStyle w:val="Headingunnumbered"/>
        <w:rPr>
          <w:rFonts w:cs="Times New Roman"/>
          <w:lang w:val="en-GB"/>
        </w:rPr>
      </w:pPr>
      <w:bookmarkStart w:id="989" w:name="_Toc164606734"/>
      <w:r w:rsidRPr="00113F13">
        <w:rPr>
          <w:rFonts w:cs="Times New Roman"/>
          <w:lang w:val="en-GB"/>
        </w:rPr>
        <w:t xml:space="preserve">The position in </w:t>
      </w:r>
      <w:r w:rsidRPr="00113F13">
        <w:rPr>
          <w:rFonts w:cs="Times New Roman"/>
        </w:rPr>
        <w:t>other</w:t>
      </w:r>
      <w:r w:rsidRPr="00113F13">
        <w:rPr>
          <w:rFonts w:cs="Times New Roman"/>
          <w:lang w:val="en-GB"/>
        </w:rPr>
        <w:t xml:space="preserve"> jurisdictions</w:t>
      </w:r>
      <w:bookmarkEnd w:id="989"/>
    </w:p>
    <w:p w14:paraId="523A4CC2" w14:textId="77777777" w:rsidR="00FF302D" w:rsidRPr="00113F13" w:rsidRDefault="00FF302D" w:rsidP="00B63604">
      <w:pPr>
        <w:pStyle w:val="NormalNumberedTextTLRI"/>
        <w:numPr>
          <w:ilvl w:val="2"/>
          <w:numId w:val="31"/>
        </w:numPr>
        <w:tabs>
          <w:tab w:val="clear" w:pos="720"/>
        </w:tabs>
        <w:spacing w:line="259" w:lineRule="auto"/>
      </w:pPr>
      <w:r w:rsidRPr="00113F13">
        <w:t>In other jurisdictions (as with Tasmania), there are other statutes that apply to the issue of surveillance using listening devices and cameras.</w:t>
      </w:r>
      <w:r w:rsidRPr="00113F13">
        <w:rPr>
          <w:rStyle w:val="FootnoteReference"/>
          <w:rFonts w:ascii="Times New Roman" w:hAnsi="Times New Roman"/>
        </w:rPr>
        <w:footnoteReference w:id="1076"/>
      </w:r>
      <w:r w:rsidRPr="00113F13">
        <w:rPr>
          <w:rStyle w:val="FootnoteReference"/>
          <w:rFonts w:ascii="Times New Roman" w:hAnsi="Times New Roman"/>
        </w:rPr>
        <w:t xml:space="preserve"> </w:t>
      </w:r>
      <w:r w:rsidRPr="00113F13">
        <w:t xml:space="preserve"> In contrast to Tasmania, however, the scope of the legislation in other States and Territories (with the exception of the ACT and Queensland) applies more broadly than just to listening devices and extends to optical surveillance devices, tracking devices, and, in some cases, data surveillance devices.</w:t>
      </w:r>
      <w:r w:rsidRPr="00113F13">
        <w:rPr>
          <w:rStyle w:val="FootnoteReference"/>
          <w:rFonts w:ascii="Times New Roman" w:hAnsi="Times New Roman"/>
        </w:rPr>
        <w:footnoteReference w:id="1077"/>
      </w:r>
      <w:r w:rsidRPr="00113F13">
        <w:t xml:space="preserve"> </w:t>
      </w:r>
    </w:p>
    <w:p w14:paraId="219F8399" w14:textId="77777777" w:rsidR="00FF302D" w:rsidRPr="00113F13" w:rsidRDefault="00FF302D" w:rsidP="00B63604">
      <w:pPr>
        <w:pStyle w:val="NormalNumberedTextTLRI"/>
        <w:numPr>
          <w:ilvl w:val="2"/>
          <w:numId w:val="31"/>
        </w:numPr>
        <w:tabs>
          <w:tab w:val="clear" w:pos="720"/>
        </w:tabs>
        <w:spacing w:line="259" w:lineRule="auto"/>
      </w:pPr>
      <w:r w:rsidRPr="00113F13">
        <w:t>In New South Wales, Victoria, and the ACT, unlike Tasmania, there are also specific laws that apply to surveillance and monitoring of employees by employers.</w:t>
      </w:r>
      <w:r w:rsidRPr="00113F13">
        <w:rPr>
          <w:rStyle w:val="FootnoteReference"/>
          <w:rFonts w:ascii="Times New Roman" w:hAnsi="Times New Roman"/>
        </w:rPr>
        <w:footnoteReference w:id="1078"/>
      </w:r>
      <w:r w:rsidRPr="00113F13">
        <w:t xml:space="preserve"> Reforms have been proposed to the legislation that exists in New South Wales. In 2022, a report released by the </w:t>
      </w:r>
      <w:bookmarkStart w:id="990" w:name="_Hlk144733835"/>
      <w:r w:rsidRPr="00113F13">
        <w:t>Select Committee on the Impact of Technological and Other Change on the Future of Work and Workers in New South Wales</w:t>
      </w:r>
      <w:bookmarkEnd w:id="990"/>
      <w:r w:rsidRPr="00113F13">
        <w:t xml:space="preserve"> outlined the various forms of electronic monitoring and surveillance that may take place in a workplace, including through biometrics, closed circuit television (‘CCTV’), and location tracking.</w:t>
      </w:r>
      <w:r w:rsidRPr="00113F13">
        <w:rPr>
          <w:rStyle w:val="FootnoteReference"/>
          <w:rFonts w:ascii="Times New Roman" w:hAnsi="Times New Roman"/>
        </w:rPr>
        <w:footnoteReference w:id="1079"/>
      </w:r>
      <w:r w:rsidRPr="00113F13">
        <w:t xml:space="preserve"> It made recommendations to build into workplace surveillance laws clear privacy protections and the requirement for external approval prior to undertaking or implementing workplace surveillance measures.</w:t>
      </w:r>
      <w:r w:rsidRPr="00113F13">
        <w:rPr>
          <w:rStyle w:val="FootnoteReference"/>
          <w:rFonts w:ascii="Times New Roman" w:hAnsi="Times New Roman"/>
        </w:rPr>
        <w:footnoteReference w:id="1080"/>
      </w:r>
      <w:r w:rsidRPr="00113F13">
        <w:t xml:space="preserve"> Consultation in relation to the introduction of a provision to specifically regulate the surveillance of employees by employers using surveillance devices is currently underway in Queensland.</w:t>
      </w:r>
      <w:r w:rsidRPr="00113F13">
        <w:rPr>
          <w:rStyle w:val="FootnoteReference"/>
          <w:rFonts w:ascii="Times New Roman" w:hAnsi="Times New Roman"/>
        </w:rPr>
        <w:footnoteReference w:id="1081"/>
      </w:r>
    </w:p>
    <w:p w14:paraId="7F88453E" w14:textId="77777777" w:rsidR="00FF302D" w:rsidRPr="00113F13" w:rsidRDefault="00FF302D" w:rsidP="00B63604">
      <w:pPr>
        <w:pStyle w:val="NormalNumberedTextTLRI"/>
        <w:numPr>
          <w:ilvl w:val="2"/>
          <w:numId w:val="31"/>
        </w:numPr>
        <w:tabs>
          <w:tab w:val="clear" w:pos="720"/>
        </w:tabs>
        <w:spacing w:line="259" w:lineRule="auto"/>
      </w:pPr>
      <w:r w:rsidRPr="00113F13">
        <w:t>In addition to workplace surveillance, a Queensland review is examining the expansion of the laws to regulate surveillance by an optical device, a tracking device, and a data surveillance device, in addition to listening devices.</w:t>
      </w:r>
      <w:r w:rsidRPr="00113F13">
        <w:rPr>
          <w:rStyle w:val="FootnoteReference"/>
          <w:rFonts w:ascii="Times New Roman" w:hAnsi="Times New Roman"/>
        </w:rPr>
        <w:footnoteReference w:id="1082"/>
      </w:r>
      <w:r w:rsidRPr="00113F13">
        <w:t xml:space="preserve"> This consultation builds upon the Queensland Law Reform Commission’s 2020 report, which made recommendations for new legislation to appropriately protect </w:t>
      </w:r>
      <w:r w:rsidRPr="00113F13">
        <w:lastRenderedPageBreak/>
        <w:t>the privacy of individuals in the context of civil surveillance technologies.</w:t>
      </w:r>
      <w:r w:rsidRPr="00113F13">
        <w:rPr>
          <w:rStyle w:val="FootnoteReference"/>
          <w:rFonts w:ascii="Times New Roman" w:hAnsi="Times New Roman"/>
        </w:rPr>
        <w:footnoteReference w:id="1083"/>
      </w:r>
      <w:r w:rsidRPr="00113F13">
        <w:t xml:space="preserve"> The Queensland review also highlights technology facilitated surveillance of a victim as one of a number of controlling behaviours that may exist in the context of family violence.</w:t>
      </w:r>
      <w:r w:rsidRPr="00113F13">
        <w:rPr>
          <w:rStyle w:val="FootnoteReference"/>
          <w:rFonts w:ascii="Times New Roman" w:hAnsi="Times New Roman"/>
        </w:rPr>
        <w:footnoteReference w:id="1084"/>
      </w:r>
    </w:p>
    <w:p w14:paraId="29D5525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Concerns about the use of digital surveillance and the adequacy of the law has arisen in the context of family violence. For example, its potential as a tool for the perpetration of family violence has been recognised in the </w:t>
      </w:r>
      <w:r w:rsidRPr="00113F13">
        <w:rPr>
          <w:i/>
          <w:iCs/>
        </w:rPr>
        <w:t>National Domestic and Family Violence Bench Book</w:t>
      </w:r>
      <w:r w:rsidRPr="00113F13">
        <w:t>,</w:t>
      </w:r>
      <w:r w:rsidRPr="00113F13">
        <w:rPr>
          <w:rStyle w:val="FootnoteReference"/>
          <w:rFonts w:ascii="Times New Roman" w:hAnsi="Times New Roman"/>
        </w:rPr>
        <w:footnoteReference w:id="1085"/>
      </w:r>
      <w:r w:rsidRPr="00113F13">
        <w:t xml:space="preserve"> which highlights the covert and overt use of technology as an aspect of a pattern of behaviour in coercive control. The </w:t>
      </w:r>
      <w:r w:rsidRPr="00113F13">
        <w:rPr>
          <w:i/>
          <w:iCs/>
        </w:rPr>
        <w:t>Bench Book</w:t>
      </w:r>
      <w:r w:rsidRPr="00113F13">
        <w:t xml:space="preserve"> also stresses the need to distinguish between behaviour where the victim uses digital technology as a protective means to prevent or escape family violence (for example, where the victim records repeated incidents of violence) and behaviours that constitute violence by the perpetrators.</w:t>
      </w:r>
    </w:p>
    <w:p w14:paraId="77C5708E" w14:textId="77777777" w:rsidR="00FF302D" w:rsidRPr="00113F13" w:rsidRDefault="00FF302D" w:rsidP="00BF1FE7">
      <w:pPr>
        <w:pStyle w:val="NumberedHeadingTLRI"/>
      </w:pPr>
      <w:bookmarkStart w:id="991" w:name="_Toc164606735"/>
      <w:r w:rsidRPr="00113F13">
        <w:t>The Commonwealth Privacy Act Review</w:t>
      </w:r>
      <w:bookmarkEnd w:id="991"/>
    </w:p>
    <w:p w14:paraId="6C7BEF52" w14:textId="3D5ADEDE" w:rsidR="00FF302D" w:rsidRPr="003215A2" w:rsidRDefault="00FF302D" w:rsidP="00B63604">
      <w:pPr>
        <w:pStyle w:val="NormalNumberedTextTLRI"/>
        <w:numPr>
          <w:ilvl w:val="2"/>
          <w:numId w:val="31"/>
        </w:numPr>
        <w:tabs>
          <w:tab w:val="clear" w:pos="720"/>
        </w:tabs>
        <w:spacing w:line="259" w:lineRule="auto"/>
      </w:pPr>
      <w:bookmarkStart w:id="992" w:name="_Hlk144815271"/>
      <w:r w:rsidRPr="00EA22F8">
        <w:t>As discussed in Part 11</w:t>
      </w:r>
      <w:r w:rsidRPr="003215A2">
        <w:t xml:space="preserve"> of this Report, the Commonwealth Privacy Act Review gave consideration to the creation of a statutory tort for serious invasion of privacy,</w:t>
      </w:r>
      <w:r w:rsidRPr="003215A2">
        <w:rPr>
          <w:rStyle w:val="FootnoteReference"/>
          <w:rFonts w:ascii="Times New Roman" w:hAnsi="Times New Roman"/>
        </w:rPr>
        <w:footnoteReference w:id="1086"/>
      </w:r>
      <w:r w:rsidRPr="003215A2">
        <w:t xml:space="preserve"> which would apply to invasions of privacy more broadly than surveillance through listening devices or drones.</w:t>
      </w:r>
      <w:r w:rsidRPr="003215A2">
        <w:rPr>
          <w:rStyle w:val="FootnoteReference"/>
          <w:rFonts w:ascii="Times New Roman" w:hAnsi="Times New Roman"/>
        </w:rPr>
        <w:footnoteReference w:id="1087"/>
      </w:r>
      <w:r w:rsidRPr="003215A2">
        <w:rPr>
          <w:rStyle w:val="FootnoteReference"/>
          <w:rFonts w:ascii="Times New Roman" w:hAnsi="Times New Roman"/>
        </w:rPr>
        <w:t xml:space="preserve"> </w:t>
      </w:r>
      <w:r w:rsidRPr="00C930A3">
        <w:rPr>
          <w:rStyle w:val="FootnoteReference"/>
          <w:rFonts w:ascii="Times New Roman" w:hAnsi="Times New Roman"/>
          <w:sz w:val="22"/>
          <w:szCs w:val="22"/>
          <w:vertAlign w:val="baseline"/>
        </w:rPr>
        <w:t>T</w:t>
      </w:r>
      <w:r w:rsidRPr="00C930A3">
        <w:rPr>
          <w:szCs w:val="22"/>
        </w:rPr>
        <w:t>he G</w:t>
      </w:r>
      <w:r w:rsidRPr="003215A2">
        <w:t>overnment agreed in-principle to the creation of a statutory tort for serious invasions of privacy.</w:t>
      </w:r>
      <w:r w:rsidRPr="003215A2">
        <w:rPr>
          <w:rStyle w:val="FootnoteReference"/>
          <w:rFonts w:ascii="Times New Roman" w:hAnsi="Times New Roman"/>
        </w:rPr>
        <w:footnoteReference w:id="1088"/>
      </w:r>
      <w:r w:rsidRPr="003215A2">
        <w:t xml:space="preserve"> </w:t>
      </w:r>
      <w:bookmarkEnd w:id="992"/>
      <w:r w:rsidRPr="003215A2">
        <w:t>The Privacy Act Review also made other recommendations about the regulation of the handling of biometric data that would operate in the context of workplace surveillance.</w:t>
      </w:r>
      <w:r w:rsidRPr="003215A2">
        <w:rPr>
          <w:rStyle w:val="FootnoteReference"/>
          <w:rFonts w:ascii="Times New Roman" w:hAnsi="Times New Roman"/>
        </w:rPr>
        <w:footnoteReference w:id="1089"/>
      </w:r>
    </w:p>
    <w:p w14:paraId="699900D1" w14:textId="77777777" w:rsidR="00FF302D" w:rsidRDefault="00FF302D" w:rsidP="00B63604">
      <w:pPr>
        <w:pStyle w:val="NormalNumberedTextTLRI"/>
        <w:numPr>
          <w:ilvl w:val="2"/>
          <w:numId w:val="31"/>
        </w:numPr>
        <w:tabs>
          <w:tab w:val="clear" w:pos="720"/>
        </w:tabs>
        <w:spacing w:line="259" w:lineRule="auto"/>
      </w:pPr>
      <w:r w:rsidRPr="00113F13">
        <w:t>Other developments initiated by the Commonwealth Government include the consultation paper published by Department of Infrastructure, Transport, Regional Development, Communications and the Arts, seeking public submissions on drone privacy guidelines. It notes that there are ‘unique potential impacts of drone use on privacy, and the heightened community sensitivity to the use of drones in areas where there is a reasonable expectation of privacy’.</w:t>
      </w:r>
      <w:r w:rsidRPr="00113F13">
        <w:rPr>
          <w:rStyle w:val="FootnoteReference"/>
          <w:rFonts w:ascii="Times New Roman" w:hAnsi="Times New Roman"/>
        </w:rPr>
        <w:footnoteReference w:id="1090"/>
      </w:r>
      <w:r w:rsidRPr="00113F13">
        <w:rPr>
          <w:rStyle w:val="FootnoteReference"/>
          <w:rFonts w:ascii="Times New Roman" w:hAnsi="Times New Roman"/>
        </w:rPr>
        <w:t xml:space="preserve"> </w:t>
      </w:r>
      <w:r w:rsidRPr="00113F13">
        <w:t>The proposed guidelines ‘consider relevant Australian privacy and surveillance legislation to provide commercial and recreational drone operators with a set of consolidated, easy to follow, baseline measure for operating drones in line with privacy expectations’.</w:t>
      </w:r>
      <w:r w:rsidRPr="00113F13">
        <w:rPr>
          <w:rStyle w:val="FootnoteReference"/>
          <w:rFonts w:ascii="Times New Roman" w:hAnsi="Times New Roman"/>
        </w:rPr>
        <w:footnoteReference w:id="1091"/>
      </w:r>
      <w:r w:rsidRPr="00113F13">
        <w:t xml:space="preserve"> Major reforms of Australia’s electronic surveillance framework are also being developed, which will include repeal of the </w:t>
      </w:r>
      <w:r w:rsidRPr="00113F13">
        <w:rPr>
          <w:i/>
          <w:iCs/>
        </w:rPr>
        <w:t xml:space="preserve">Surveillance Devices Act 2004 </w:t>
      </w:r>
      <w:r w:rsidRPr="00113F13">
        <w:t>(Cth). This follows the review of the legal framework conducted by Dennis Richardson AC.</w:t>
      </w:r>
      <w:r w:rsidRPr="00113F13">
        <w:rPr>
          <w:rStyle w:val="FootnoteReference"/>
          <w:rFonts w:ascii="Times New Roman" w:hAnsi="Times New Roman"/>
        </w:rPr>
        <w:footnoteReference w:id="1092"/>
      </w:r>
    </w:p>
    <w:p w14:paraId="2DC13EA6" w14:textId="77777777" w:rsidR="00FF302D" w:rsidRPr="00113F13" w:rsidRDefault="00FF302D" w:rsidP="00BF1FE7">
      <w:pPr>
        <w:pStyle w:val="NumberedHeadingTLRI"/>
        <w:rPr>
          <w:lang w:val="en-GB"/>
        </w:rPr>
      </w:pPr>
      <w:bookmarkStart w:id="993" w:name="_Toc164606736"/>
      <w:r w:rsidRPr="00113F13">
        <w:lastRenderedPageBreak/>
        <w:t>Consultation</w:t>
      </w:r>
      <w:bookmarkEnd w:id="993"/>
    </w:p>
    <w:p w14:paraId="698D2F48"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invited submissions on the protection of privacy in the context of surveillance in response to the following questions:</w:t>
      </w:r>
    </w:p>
    <w:p w14:paraId="685BDA36" w14:textId="77777777" w:rsidR="00FF302D" w:rsidRPr="00113F13" w:rsidRDefault="00FF302D" w:rsidP="0022429F">
      <w:pPr>
        <w:pStyle w:val="Indentedquote"/>
        <w:rPr>
          <w:rFonts w:cs="Times New Roman"/>
        </w:rPr>
      </w:pPr>
      <w:r w:rsidRPr="00113F13">
        <w:rPr>
          <w:rFonts w:cs="Times New Roman"/>
        </w:rPr>
        <w:t>Should the existing protections in the listening devices legislation be amended in Tasmania to strengthen the protection of individuals against surveillance, whether governmental, workplace, or private surveillance?</w:t>
      </w:r>
      <w:r w:rsidRPr="00113F13">
        <w:rPr>
          <w:rStyle w:val="FootnoteReference"/>
          <w:rFonts w:ascii="Times New Roman" w:hAnsi="Times New Roman" w:cs="Times New Roman"/>
        </w:rPr>
        <w:footnoteReference w:id="1093"/>
      </w:r>
    </w:p>
    <w:p w14:paraId="26CF2987" w14:textId="77777777" w:rsidR="00FF302D" w:rsidRPr="00113F13" w:rsidRDefault="00FF302D" w:rsidP="0022429F">
      <w:pPr>
        <w:pStyle w:val="Indentedquote"/>
        <w:rPr>
          <w:rFonts w:cs="Times New Roman"/>
        </w:rPr>
      </w:pPr>
      <w:r w:rsidRPr="00113F13">
        <w:rPr>
          <w:rFonts w:cs="Times New Roman"/>
        </w:rPr>
        <w:t>Should there be stronger legislative protection, including through the introduction of new statutes in Tasmania, against governmental (particularly police) surveillance in general?</w:t>
      </w:r>
      <w:r w:rsidRPr="00113F13">
        <w:rPr>
          <w:rStyle w:val="FootnoteReference"/>
          <w:rFonts w:ascii="Times New Roman" w:hAnsi="Times New Roman" w:cs="Times New Roman"/>
        </w:rPr>
        <w:footnoteReference w:id="1094"/>
      </w:r>
    </w:p>
    <w:p w14:paraId="7478E6B3" w14:textId="77777777" w:rsidR="00FF302D" w:rsidRPr="00113F13" w:rsidRDefault="00FF302D" w:rsidP="0022429F">
      <w:pPr>
        <w:pStyle w:val="Indentedquote"/>
        <w:rPr>
          <w:rFonts w:cs="Times New Roman"/>
        </w:rPr>
      </w:pPr>
      <w:r w:rsidRPr="00113F13">
        <w:rPr>
          <w:rFonts w:cs="Times New Roman"/>
        </w:rPr>
        <w:t>Should there be stronger legislative protection, including through the introduction of new statutes in Tasmania, against workplace surveillance in particular?</w:t>
      </w:r>
      <w:r w:rsidRPr="00113F13">
        <w:rPr>
          <w:rStyle w:val="FootnoteReference"/>
          <w:rFonts w:ascii="Times New Roman" w:hAnsi="Times New Roman" w:cs="Times New Roman"/>
        </w:rPr>
        <w:footnoteReference w:id="1095"/>
      </w:r>
    </w:p>
    <w:p w14:paraId="5D3745E1" w14:textId="77777777" w:rsidR="00FF302D" w:rsidRPr="00113F13" w:rsidRDefault="00FF302D" w:rsidP="0022429F">
      <w:pPr>
        <w:pStyle w:val="Indentedquote"/>
        <w:rPr>
          <w:rFonts w:cs="Times New Roman"/>
        </w:rPr>
      </w:pPr>
      <w:r w:rsidRPr="00113F13">
        <w:rPr>
          <w:rFonts w:cs="Times New Roman"/>
        </w:rPr>
        <w:t>Should there be specific protection against interference with physical privacy through the use of drones (RPAs and UAVs)?</w:t>
      </w:r>
      <w:r w:rsidRPr="00113F13">
        <w:rPr>
          <w:rStyle w:val="FootnoteReference"/>
          <w:rFonts w:ascii="Times New Roman" w:hAnsi="Times New Roman" w:cs="Times New Roman"/>
        </w:rPr>
        <w:footnoteReference w:id="1096"/>
      </w:r>
    </w:p>
    <w:p w14:paraId="2C80B576"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adequacy of </w:t>
      </w:r>
      <w:r w:rsidRPr="00113F13">
        <w:rPr>
          <w:i/>
          <w:iCs/>
        </w:rPr>
        <w:t xml:space="preserve">Listening Devices Act 1991 </w:t>
      </w:r>
      <w:r w:rsidRPr="00113F13">
        <w:t xml:space="preserve">(Tas) as a means to protect individuals against surveillance was addressed by Meg Webb MLC, who expressed the view that the existing protections should be strengthened. </w:t>
      </w:r>
    </w:p>
    <w:p w14:paraId="60BE38D8"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need for a nuanced and comprehensive legislative approach under the </w:t>
      </w:r>
      <w:r w:rsidRPr="00113F13">
        <w:rPr>
          <w:i/>
          <w:iCs/>
        </w:rPr>
        <w:t xml:space="preserve">Listening Devices Act 1991 </w:t>
      </w:r>
      <w:r w:rsidRPr="00113F13">
        <w:t>(Tas) and other criminal offences applying to surveillance was seen to be necessary by Tasmanian Legal Aid (‘TLA’) to allow the law to respond to issues that arise in the family violence context. TLA reported that surveillance is ‘a double-edged sword’. TLA stated that surveillance may be protective in circumstances such as where a victim of family violence surreptitiously records a handover of their child to the other, sometimes abusive, parent, where there is opportunity for, and risk of, verbal abuse and/or threats of violence, or makes a known but unwanted recording that is an effective curb on the offender’s abusive behaviour. On the other hand, surveillance may be intimidating and part of a pattern of coercive control. TLA provided the example of a situation where a family violence offender overtly records the victim of family violence at handover of the child, whilst berating her about parenting, in the context of threat to report the victim to Child Safety Services.</w:t>
      </w:r>
    </w:p>
    <w:p w14:paraId="7C97B385" w14:textId="77777777" w:rsidR="00FF302D" w:rsidRPr="00113F13" w:rsidRDefault="00FF302D" w:rsidP="00B63604">
      <w:pPr>
        <w:pStyle w:val="NormalNumberedTextTLRI"/>
        <w:numPr>
          <w:ilvl w:val="2"/>
          <w:numId w:val="31"/>
        </w:numPr>
        <w:tabs>
          <w:tab w:val="clear" w:pos="720"/>
        </w:tabs>
        <w:spacing w:line="259" w:lineRule="auto"/>
      </w:pPr>
      <w:r w:rsidRPr="00113F13">
        <w:t xml:space="preserve">Another theme in the responses was the scope of surveillance powers for police. </w:t>
      </w:r>
    </w:p>
    <w:p w14:paraId="62CEFB96" w14:textId="5AFD87FE" w:rsidR="00FF302D" w:rsidRPr="00113F13" w:rsidRDefault="00FF302D" w:rsidP="00B63604">
      <w:pPr>
        <w:pStyle w:val="NormalNumberedTextTLRI"/>
        <w:numPr>
          <w:ilvl w:val="2"/>
          <w:numId w:val="31"/>
        </w:numPr>
        <w:tabs>
          <w:tab w:val="clear" w:pos="720"/>
        </w:tabs>
        <w:spacing w:line="259" w:lineRule="auto"/>
      </w:pPr>
      <w:r w:rsidRPr="00113F13">
        <w:t xml:space="preserve">Tasmania Police provided detailed comment on the legislative framework that supports the covert policing techniques and tools used, which Tasmania Police recognised may have an effect on personal privacy protection. Tasmania Police submitted that striking the right balance between competing interests of individual privacy and public safety was complex and presented an ongoing challenge. However, Tasmania Police highlighted the protections and safeguards that exist under the </w:t>
      </w:r>
      <w:r w:rsidRPr="00113F13">
        <w:rPr>
          <w:i/>
          <w:iCs/>
        </w:rPr>
        <w:t xml:space="preserve">Listening Devices Act 1991 </w:t>
      </w:r>
      <w:r w:rsidRPr="00113F13">
        <w:t xml:space="preserve">(Tas) and the </w:t>
      </w:r>
      <w:r w:rsidRPr="00113F13">
        <w:rPr>
          <w:i/>
          <w:iCs/>
        </w:rPr>
        <w:t xml:space="preserve">Police Powers (Surveillance Devices) Act 2006 </w:t>
      </w:r>
      <w:r w:rsidRPr="00113F13">
        <w:t xml:space="preserve">(Tas) through the use of warrants issued by judicial officers and the imposition of reporting requirements to the Chief Magistrate and the Attorney-General, and the rules of evidence that allow for improperly or illegally obtained evidence to be excluded from a criminal trial under </w:t>
      </w:r>
      <w:r w:rsidR="00E14ADE">
        <w:t>Section</w:t>
      </w:r>
      <w:r w:rsidRPr="00113F13">
        <w:t xml:space="preserve"> 138 of the </w:t>
      </w:r>
      <w:r w:rsidRPr="00113F13">
        <w:rPr>
          <w:i/>
          <w:iCs/>
        </w:rPr>
        <w:t xml:space="preserve">Evidence Act 2001 </w:t>
      </w:r>
      <w:r w:rsidRPr="00113F13">
        <w:t xml:space="preserve">(Tas). Tasmania Police noted that independent oversight of the legislated powers was administered by the Department of Justice, and further that, under the </w:t>
      </w:r>
      <w:r w:rsidRPr="00113F13">
        <w:rPr>
          <w:i/>
          <w:iCs/>
        </w:rPr>
        <w:t>Ombudsman Act 1978</w:t>
      </w:r>
      <w:r w:rsidRPr="00113F13">
        <w:t xml:space="preserve"> (Tas), Tasmania Police is </w:t>
      </w:r>
      <w:r w:rsidRPr="00113F13">
        <w:lastRenderedPageBreak/>
        <w:t>accountable to the Tasmanian Ombudsman for any breach of privacy under legislation.</w:t>
      </w:r>
      <w:r w:rsidRPr="00113F13">
        <w:rPr>
          <w:rStyle w:val="FootnoteReference"/>
          <w:rFonts w:ascii="Times New Roman" w:hAnsi="Times New Roman"/>
        </w:rPr>
        <w:footnoteReference w:id="1097"/>
      </w:r>
      <w:r w:rsidRPr="00113F13">
        <w:t xml:space="preserve"> Oversight is also provided by recourse to Tasmania Police’s Professional Standards complaint mechanisms.</w:t>
      </w:r>
    </w:p>
    <w:p w14:paraId="39969683"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Tasmania Police outlined potential challenges to police operations. if privacy protections were increased within the legislative framework: </w:t>
      </w:r>
    </w:p>
    <w:p w14:paraId="61190471" w14:textId="77777777" w:rsidR="00FF302D" w:rsidRPr="00113F13" w:rsidRDefault="00FF302D" w:rsidP="00B63604">
      <w:pPr>
        <w:pStyle w:val="QuoteTLRI"/>
        <w:numPr>
          <w:ilvl w:val="0"/>
          <w:numId w:val="41"/>
        </w:numPr>
        <w:tabs>
          <w:tab w:val="clear" w:pos="720"/>
        </w:tabs>
        <w:rPr>
          <w:sz w:val="22"/>
          <w:szCs w:val="22"/>
        </w:rPr>
      </w:pPr>
      <w:r w:rsidRPr="00113F13">
        <w:rPr>
          <w:i/>
          <w:iCs/>
          <w:sz w:val="22"/>
          <w:szCs w:val="22"/>
        </w:rPr>
        <w:t>Impaired investigation efforts</w:t>
      </w:r>
      <w:r w:rsidRPr="00113F13">
        <w:rPr>
          <w:sz w:val="22"/>
          <w:szCs w:val="22"/>
        </w:rPr>
        <w:t>: strengthening privacy protection measures may limit the amount and type of information available to Tasmania Police. This may restrict access to certain data sources or require additional legal steps, slowing down investigations, potentially compromising public safety. </w:t>
      </w:r>
    </w:p>
    <w:p w14:paraId="17CC4FA0" w14:textId="77777777" w:rsidR="00FF302D" w:rsidRPr="00113F13" w:rsidRDefault="00FF302D" w:rsidP="00B63604">
      <w:pPr>
        <w:pStyle w:val="QuoteTLRI"/>
        <w:numPr>
          <w:ilvl w:val="0"/>
          <w:numId w:val="41"/>
        </w:numPr>
        <w:tabs>
          <w:tab w:val="clear" w:pos="720"/>
        </w:tabs>
        <w:rPr>
          <w:sz w:val="22"/>
          <w:szCs w:val="22"/>
        </w:rPr>
      </w:pPr>
      <w:r w:rsidRPr="00113F13">
        <w:rPr>
          <w:i/>
          <w:iCs/>
          <w:sz w:val="22"/>
          <w:szCs w:val="22"/>
        </w:rPr>
        <w:t>Delayed response times</w:t>
      </w:r>
      <w:r w:rsidRPr="00113F13">
        <w:rPr>
          <w:sz w:val="22"/>
          <w:szCs w:val="22"/>
        </w:rPr>
        <w:t>: there may be delays in obtaining necessary warrants to access data.</w:t>
      </w:r>
    </w:p>
    <w:p w14:paraId="1417682C" w14:textId="77777777" w:rsidR="00FF302D" w:rsidRPr="00113F13" w:rsidRDefault="00FF302D" w:rsidP="00B63604">
      <w:pPr>
        <w:pStyle w:val="QuoteTLRI"/>
        <w:numPr>
          <w:ilvl w:val="0"/>
          <w:numId w:val="41"/>
        </w:numPr>
        <w:tabs>
          <w:tab w:val="clear" w:pos="720"/>
        </w:tabs>
        <w:rPr>
          <w:sz w:val="22"/>
          <w:szCs w:val="22"/>
        </w:rPr>
      </w:pPr>
      <w:r w:rsidRPr="00113F13">
        <w:rPr>
          <w:i/>
          <w:iCs/>
          <w:sz w:val="22"/>
          <w:szCs w:val="22"/>
        </w:rPr>
        <w:t>Weakening surveillance techniques</w:t>
      </w:r>
      <w:r w:rsidRPr="00113F13">
        <w:rPr>
          <w:sz w:val="22"/>
          <w:szCs w:val="22"/>
        </w:rPr>
        <w:t>: curtailing the use of certain surveillance techniques that rely on collecting and analysing personal data (e.g., restrictions on monitoring online communications, or tracking individuals’ activities through mobile devices).</w:t>
      </w:r>
    </w:p>
    <w:p w14:paraId="6104188E" w14:textId="77777777" w:rsidR="00FF302D" w:rsidRPr="00113F13" w:rsidRDefault="00FF302D" w:rsidP="00B63604">
      <w:pPr>
        <w:pStyle w:val="QuoteTLRI"/>
        <w:numPr>
          <w:ilvl w:val="0"/>
          <w:numId w:val="41"/>
        </w:numPr>
        <w:tabs>
          <w:tab w:val="clear" w:pos="720"/>
        </w:tabs>
        <w:rPr>
          <w:sz w:val="22"/>
          <w:szCs w:val="22"/>
        </w:rPr>
      </w:pPr>
      <w:r w:rsidRPr="00113F13">
        <w:rPr>
          <w:i/>
          <w:iCs/>
          <w:sz w:val="22"/>
          <w:szCs w:val="22"/>
        </w:rPr>
        <w:t>Hindering information sharing</w:t>
      </w:r>
      <w:r w:rsidRPr="00113F13">
        <w:rPr>
          <w:sz w:val="22"/>
          <w:szCs w:val="22"/>
        </w:rPr>
        <w:t>: limiting sharing of information between Tasmania Police and other Australian agencies or intelligence organisations.</w:t>
      </w:r>
    </w:p>
    <w:p w14:paraId="752EDEBE" w14:textId="77777777" w:rsidR="00FF302D" w:rsidRPr="00113F13" w:rsidRDefault="00FF302D" w:rsidP="00B63604">
      <w:pPr>
        <w:pStyle w:val="QuoteTLRI"/>
        <w:numPr>
          <w:ilvl w:val="0"/>
          <w:numId w:val="41"/>
        </w:numPr>
        <w:tabs>
          <w:tab w:val="clear" w:pos="720"/>
        </w:tabs>
        <w:rPr>
          <w:sz w:val="22"/>
          <w:szCs w:val="22"/>
        </w:rPr>
      </w:pPr>
      <w:r w:rsidRPr="00113F13">
        <w:rPr>
          <w:i/>
          <w:iCs/>
          <w:sz w:val="22"/>
          <w:szCs w:val="22"/>
        </w:rPr>
        <w:t>Increased burden on resources</w:t>
      </w:r>
      <w:r w:rsidRPr="00113F13">
        <w:rPr>
          <w:sz w:val="22"/>
          <w:szCs w:val="22"/>
        </w:rPr>
        <w:t>: enhancing privacy protections often necessitates additional resources, such as advanced technologies, personnel training, and compliance measures.</w:t>
      </w:r>
    </w:p>
    <w:p w14:paraId="22241317" w14:textId="77777777" w:rsidR="00FF302D" w:rsidRPr="00113F13" w:rsidRDefault="00FF302D" w:rsidP="00B63604">
      <w:pPr>
        <w:pStyle w:val="QuoteTLRI"/>
        <w:numPr>
          <w:ilvl w:val="0"/>
          <w:numId w:val="41"/>
        </w:numPr>
        <w:tabs>
          <w:tab w:val="clear" w:pos="720"/>
        </w:tabs>
        <w:rPr>
          <w:sz w:val="22"/>
          <w:szCs w:val="22"/>
        </w:rPr>
      </w:pPr>
      <w:r w:rsidRPr="00113F13">
        <w:rPr>
          <w:i/>
          <w:iCs/>
          <w:sz w:val="22"/>
          <w:szCs w:val="22"/>
        </w:rPr>
        <w:t>Evolving criminal tactics</w:t>
      </w:r>
      <w:r w:rsidRPr="00113F13">
        <w:rPr>
          <w:sz w:val="22"/>
          <w:szCs w:val="22"/>
        </w:rPr>
        <w:t>: sophisticated offenders are likely to adopt enhanced privacy protections and exploit them to their advantage.</w:t>
      </w:r>
    </w:p>
    <w:p w14:paraId="5CFD1AC4" w14:textId="77777777" w:rsidR="00FF302D" w:rsidRPr="00113F13" w:rsidRDefault="00FF302D" w:rsidP="00B63604">
      <w:pPr>
        <w:pStyle w:val="NormalNumberedTextTLRI"/>
        <w:numPr>
          <w:ilvl w:val="2"/>
          <w:numId w:val="31"/>
        </w:numPr>
        <w:tabs>
          <w:tab w:val="clear" w:pos="720"/>
        </w:tabs>
        <w:spacing w:line="259" w:lineRule="auto"/>
      </w:pPr>
      <w:r w:rsidRPr="00113F13">
        <w:t>Tasmania Police wrote that:</w:t>
      </w:r>
    </w:p>
    <w:p w14:paraId="74F8C0FE" w14:textId="77777777" w:rsidR="00FF302D" w:rsidRPr="00113F13" w:rsidRDefault="00FF302D" w:rsidP="0022429F">
      <w:pPr>
        <w:pStyle w:val="Indentedquote"/>
        <w:rPr>
          <w:rFonts w:cs="Times New Roman"/>
        </w:rPr>
      </w:pPr>
      <w:r w:rsidRPr="00113F13">
        <w:rPr>
          <w:rFonts w:cs="Times New Roman"/>
        </w:rPr>
        <w:t>In summary, the current legislative framework requires Tasmania Police to meet threshold requirements for obtaining a warrant to use listening devices and other surveillance methods. The legislation that Tasmania Police operates under is subject to review and reform by the Department of Justice. And finally, Tasmania Police members are accountable to both the Tasmania Police Professional Standards command and the Tasmanian Ombudsman for any complaints of breaches of privacy.</w:t>
      </w:r>
    </w:p>
    <w:p w14:paraId="0610D0C8" w14:textId="4B56FA22" w:rsidR="00FF302D" w:rsidRPr="00113F13" w:rsidRDefault="00FF302D" w:rsidP="00B63604">
      <w:pPr>
        <w:pStyle w:val="NormalNumberedTextTLRI"/>
        <w:numPr>
          <w:ilvl w:val="2"/>
          <w:numId w:val="31"/>
        </w:numPr>
        <w:tabs>
          <w:tab w:val="clear" w:pos="720"/>
        </w:tabs>
        <w:spacing w:line="259" w:lineRule="auto"/>
      </w:pPr>
      <w:r w:rsidRPr="00113F13">
        <w:t>In contrast, the Tasmanian Council of Social Service (‘TasCOSS</w:t>
      </w:r>
      <w:r w:rsidR="009B36FF">
        <w:t>’</w:t>
      </w:r>
      <w:r w:rsidRPr="00113F13">
        <w:t>) expressed the view that there was a need for stronger protection against police surveillance and privacy breaches,</w:t>
      </w:r>
      <w:r w:rsidRPr="00113F13">
        <w:rPr>
          <w:rStyle w:val="FootnoteReference"/>
          <w:rFonts w:ascii="Times New Roman" w:hAnsi="Times New Roman"/>
        </w:rPr>
        <w:footnoteReference w:id="1098"/>
      </w:r>
      <w:r w:rsidRPr="00113F13">
        <w:rPr>
          <w:rStyle w:val="FootnoteReference"/>
          <w:rFonts w:ascii="Times New Roman" w:hAnsi="Times New Roman"/>
        </w:rPr>
        <w:t xml:space="preserve"> </w:t>
      </w:r>
      <w:r w:rsidRPr="00113F13">
        <w:t xml:space="preserve">and that independent oversight of police decisions was particularly important in relation to police interactions with marginalised groups. TasCOSS stated that ‘[p]olice have significant powers which can, in certain circumstances, directly and significantly impact on the privacy of an individual family or community’ and that currently there was limited oversight of how police exercise their powers. TasCOSS stated that most complaints are dealt with internally and the possibility of external review by the Ombudsman or the Integrity Commission was impeded by a lack of capacity and resourcing to effectively investigate or respond to complaints. </w:t>
      </w:r>
    </w:p>
    <w:p w14:paraId="4E26298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TasCOSS’s stated that independent oversight of police complaints is needed to safeguard both the rights of Tasmanians and the integrity of the police service and pointed to the approach suggested </w:t>
      </w:r>
      <w:r w:rsidRPr="00113F13">
        <w:lastRenderedPageBreak/>
        <w:t>by some community organisations in Victoria for the introduction of a specialist police ombudsman. Such an ombudsman could have the following characteristics:</w:t>
      </w:r>
    </w:p>
    <w:p w14:paraId="2914D619" w14:textId="77777777" w:rsidR="00FF302D" w:rsidRPr="00113F13" w:rsidRDefault="00FF302D" w:rsidP="00113F13">
      <w:pPr>
        <w:pStyle w:val="DotPointTLRI"/>
        <w:rPr>
          <w:lang w:val="en-GB"/>
        </w:rPr>
      </w:pPr>
      <w:r w:rsidRPr="00113F13">
        <w:rPr>
          <w:rFonts w:eastAsia="Times"/>
          <w:lang w:val="en-GB"/>
        </w:rPr>
        <w:t>institutional independence;  </w:t>
      </w:r>
    </w:p>
    <w:p w14:paraId="1F6648B0" w14:textId="77777777" w:rsidR="00FF302D" w:rsidRPr="00113F13" w:rsidRDefault="00FF302D" w:rsidP="00113F13">
      <w:pPr>
        <w:pStyle w:val="DotPointTLRI"/>
        <w:rPr>
          <w:lang w:val="en-GB"/>
        </w:rPr>
      </w:pPr>
      <w:r w:rsidRPr="00113F13">
        <w:rPr>
          <w:rFonts w:eastAsia="Times"/>
          <w:lang w:val="en-GB"/>
        </w:rPr>
        <w:t>adequately resourced to appropriately respond to complaints;  </w:t>
      </w:r>
    </w:p>
    <w:p w14:paraId="31FF45FB" w14:textId="77777777" w:rsidR="00FF302D" w:rsidRPr="00113F13" w:rsidRDefault="00FF302D" w:rsidP="00113F13">
      <w:pPr>
        <w:pStyle w:val="DotPointTLRI"/>
        <w:rPr>
          <w:rFonts w:eastAsia="Times"/>
          <w:lang w:val="en-GB"/>
        </w:rPr>
      </w:pPr>
      <w:r w:rsidRPr="00113F13">
        <w:rPr>
          <w:rFonts w:eastAsia="Times"/>
          <w:lang w:val="en-GB"/>
        </w:rPr>
        <w:t>complainant-centred and culturally appropriate;  </w:t>
      </w:r>
    </w:p>
    <w:p w14:paraId="292C70F2" w14:textId="77777777" w:rsidR="00FF302D" w:rsidRPr="00113F13" w:rsidRDefault="00FF302D" w:rsidP="00113F13">
      <w:pPr>
        <w:pStyle w:val="DotPointTLRI"/>
        <w:rPr>
          <w:lang w:val="en-GB"/>
        </w:rPr>
      </w:pPr>
      <w:r w:rsidRPr="00113F13">
        <w:rPr>
          <w:rFonts w:eastAsia="Times"/>
          <w:lang w:val="en-GB"/>
        </w:rPr>
        <w:t>fair, accountable, and transparent;  </w:t>
      </w:r>
    </w:p>
    <w:p w14:paraId="28F5C7B0" w14:textId="77777777" w:rsidR="00FF302D" w:rsidRPr="00113F13" w:rsidRDefault="00FF302D" w:rsidP="00113F13">
      <w:pPr>
        <w:pStyle w:val="DotPointTLRI"/>
        <w:rPr>
          <w:lang w:val="en-GB"/>
        </w:rPr>
      </w:pPr>
      <w:r w:rsidRPr="00113F13">
        <w:rPr>
          <w:rFonts w:eastAsia="Times"/>
          <w:lang w:val="en-GB"/>
        </w:rPr>
        <w:t>ability to achieve timely and fair outcomes; and  </w:t>
      </w:r>
    </w:p>
    <w:p w14:paraId="77FA6142" w14:textId="77777777" w:rsidR="00FF302D" w:rsidRPr="00113F13" w:rsidRDefault="00FF302D" w:rsidP="00113F13">
      <w:pPr>
        <w:pStyle w:val="DotPointTLRI"/>
        <w:rPr>
          <w:lang w:val="en-GB"/>
        </w:rPr>
      </w:pPr>
      <w:r w:rsidRPr="00113F13">
        <w:rPr>
          <w:rFonts w:eastAsia="Times"/>
          <w:lang w:val="en-GB"/>
        </w:rPr>
        <w:t>ability to promote systemic change.  </w:t>
      </w:r>
    </w:p>
    <w:p w14:paraId="5B721544" w14:textId="77777777" w:rsidR="00FF302D" w:rsidRPr="00113F13" w:rsidRDefault="00FF302D" w:rsidP="00B63604">
      <w:pPr>
        <w:pStyle w:val="NormalNumberedTextTLRI"/>
        <w:numPr>
          <w:ilvl w:val="2"/>
          <w:numId w:val="31"/>
        </w:numPr>
        <w:tabs>
          <w:tab w:val="clear" w:pos="720"/>
        </w:tabs>
        <w:spacing w:line="259" w:lineRule="auto"/>
        <w:rPr>
          <w:lang w:val="en-GB"/>
        </w:rPr>
      </w:pPr>
      <w:r w:rsidRPr="00113F13">
        <w:rPr>
          <w:lang w:val="en-GB"/>
        </w:rPr>
        <w:t>TasCOSS indicated that it would support the introduction of an independent entity with similar characteristics in Tasmania and strongly recommended legislative and other policy mechanisms to enhance police accountability. </w:t>
      </w:r>
    </w:p>
    <w:p w14:paraId="42A6A7F2" w14:textId="77777777" w:rsidR="00FF302D" w:rsidRPr="00113F13" w:rsidRDefault="00FF302D" w:rsidP="00B63604">
      <w:pPr>
        <w:pStyle w:val="NormalNumberedTextTLRI"/>
        <w:numPr>
          <w:ilvl w:val="2"/>
          <w:numId w:val="31"/>
        </w:numPr>
        <w:tabs>
          <w:tab w:val="clear" w:pos="720"/>
        </w:tabs>
        <w:spacing w:line="259" w:lineRule="auto"/>
      </w:pPr>
      <w:r w:rsidRPr="00113F13">
        <w:t>Meg Webb MLC also supported stronger legislative protections against governmental (particularly police) surveillance, which would include greater independent transparency, assessment, and reporting mechanisms, as well as appeal rights.</w:t>
      </w:r>
    </w:p>
    <w:p w14:paraId="0E85CB61" w14:textId="77777777" w:rsidR="00FF302D" w:rsidRPr="00113F13" w:rsidRDefault="00FF302D" w:rsidP="00B63604">
      <w:pPr>
        <w:pStyle w:val="NormalNumberedTextTLRI"/>
        <w:numPr>
          <w:ilvl w:val="2"/>
          <w:numId w:val="31"/>
        </w:numPr>
        <w:tabs>
          <w:tab w:val="clear" w:pos="720"/>
        </w:tabs>
        <w:spacing w:line="259" w:lineRule="auto"/>
      </w:pPr>
      <w:r w:rsidRPr="00113F13">
        <w:t>The Commissioner for Children and Young People expressed concerns in relation to the use of body worn cameras by police in relation to children, particularly concerning the storage and access to those materials in the future.</w:t>
      </w:r>
    </w:p>
    <w:p w14:paraId="3DD80142" w14:textId="1164AEB5" w:rsidR="00372305" w:rsidRDefault="00FF302D" w:rsidP="00B63604">
      <w:pPr>
        <w:pStyle w:val="NormalNumberedTextTLRI"/>
        <w:numPr>
          <w:ilvl w:val="2"/>
          <w:numId w:val="31"/>
        </w:numPr>
        <w:tabs>
          <w:tab w:val="clear" w:pos="720"/>
        </w:tabs>
        <w:spacing w:line="259" w:lineRule="auto"/>
        <w:rPr>
          <w:rStyle w:val="eop"/>
          <w:rFonts w:eastAsiaTheme="minorEastAsia"/>
        </w:rPr>
      </w:pPr>
      <w:r w:rsidRPr="00113F13">
        <w:t>In response to the question relating to need for specific protection against interference with physical privacy through the use of drones (RPAs and UAVs), two submissions expressed the view that such reform was necessary.</w:t>
      </w:r>
      <w:r w:rsidRPr="00113F13">
        <w:rPr>
          <w:rStyle w:val="FootnoteReference"/>
          <w:rFonts w:ascii="Times New Roman" w:hAnsi="Times New Roman"/>
        </w:rPr>
        <w:footnoteReference w:id="1099"/>
      </w:r>
      <w:r w:rsidRPr="00113F13">
        <w:t xml:space="preserve"> Meg Webb MLC stated that ‘</w:t>
      </w:r>
      <w:r w:rsidRPr="00113F13">
        <w:rPr>
          <w:rStyle w:val="normaltextrun"/>
          <w:rFonts w:eastAsiaTheme="minorEastAsia"/>
        </w:rPr>
        <w:t>these forms of technology can be applied in an indiscriminatory manner which can have serious</w:t>
      </w:r>
      <w:r w:rsidRPr="00113F13">
        <w:rPr>
          <w:rStyle w:val="eop"/>
          <w:rFonts w:eastAsiaTheme="minorEastAsia"/>
        </w:rPr>
        <w:t> </w:t>
      </w:r>
      <w:r w:rsidRPr="00113F13">
        <w:rPr>
          <w:rStyle w:val="normaltextrun"/>
          <w:rFonts w:eastAsiaTheme="minorEastAsia"/>
        </w:rPr>
        <w:t>implications for minors and other vulnerable members of the community’.</w:t>
      </w:r>
      <w:r w:rsidRPr="00113F13">
        <w:rPr>
          <w:rStyle w:val="eop"/>
          <w:rFonts w:eastAsiaTheme="minorEastAsia"/>
        </w:rPr>
        <w:t> </w:t>
      </w:r>
    </w:p>
    <w:p w14:paraId="22B52396" w14:textId="7D4AB6EF" w:rsidR="00FF302D" w:rsidRPr="00113F13" w:rsidRDefault="00FF302D" w:rsidP="00BF1FE7">
      <w:pPr>
        <w:pStyle w:val="NumberedHeadingTLRI"/>
      </w:pPr>
      <w:bookmarkStart w:id="994" w:name="_Toc164606737"/>
      <w:bookmarkStart w:id="995" w:name="_Ref165026235"/>
      <w:r w:rsidRPr="00113F13">
        <w:t>The TLRI’s view</w:t>
      </w:r>
      <w:bookmarkEnd w:id="994"/>
      <w:bookmarkEnd w:id="995"/>
    </w:p>
    <w:p w14:paraId="1A22E678" w14:textId="01A052F9" w:rsidR="00FF302D" w:rsidRPr="00113F13" w:rsidRDefault="10DD744B" w:rsidP="00B63604">
      <w:pPr>
        <w:pStyle w:val="NormalNumberedTextTLRI"/>
        <w:numPr>
          <w:ilvl w:val="2"/>
          <w:numId w:val="31"/>
        </w:numPr>
        <w:tabs>
          <w:tab w:val="clear" w:pos="720"/>
        </w:tabs>
        <w:spacing w:line="259" w:lineRule="auto"/>
      </w:pPr>
      <w:r>
        <w:t xml:space="preserve">In relation to the issue of the adequacy of the surveillance legislation applying in Tasmania </w:t>
      </w:r>
      <w:r w:rsidRPr="00EA22F8">
        <w:t>(see [</w:t>
      </w:r>
      <w:r w:rsidR="001771FE">
        <w:fldChar w:fldCharType="begin"/>
      </w:r>
      <w:r w:rsidR="001771FE">
        <w:instrText xml:space="preserve"> REF _Ref165026077 \r \h </w:instrText>
      </w:r>
      <w:r w:rsidR="001771FE">
        <w:fldChar w:fldCharType="separate"/>
      </w:r>
      <w:r w:rsidR="00462C30">
        <w:rPr>
          <w:cs/>
        </w:rPr>
        <w:t>‎</w:t>
      </w:r>
      <w:r w:rsidR="00462C30">
        <w:t>10.2</w:t>
      </w:r>
      <w:r w:rsidR="001771FE">
        <w:fldChar w:fldCharType="end"/>
      </w:r>
      <w:r w:rsidRPr="00EA22F8">
        <w:t>])</w:t>
      </w:r>
      <w:r w:rsidRPr="003215A2">
        <w:t>,</w:t>
      </w:r>
      <w:r>
        <w:t xml:space="preserve"> the TLRI notes that, generally, the approach under the </w:t>
      </w:r>
      <w:r w:rsidRPr="10DD744B">
        <w:rPr>
          <w:i/>
          <w:iCs/>
        </w:rPr>
        <w:t xml:space="preserve">Listening Devices Act 1991 </w:t>
      </w:r>
      <w:r>
        <w:t xml:space="preserve">(Tas) and the </w:t>
      </w:r>
      <w:r w:rsidRPr="10DD744B">
        <w:rPr>
          <w:i/>
          <w:iCs/>
        </w:rPr>
        <w:t xml:space="preserve">Police Offences Act 1935 </w:t>
      </w:r>
      <w:r>
        <w:t xml:space="preserve">(Tas) provide a broad safeguard for individual privacy. This is achieved by protecting people from surveillance though the recording of private conversations or taking of images in circumstances where a person would expect to be afforded privacy. Although not specifically referring to drones, as noted, this legislation would extend to the use of a drone to record a private conversation or to record an image of a private act. Nevertheless, the TLRI considers that there is scope to expand existing surveillance protections contained in the </w:t>
      </w:r>
      <w:r w:rsidRPr="10DD744B">
        <w:rPr>
          <w:i/>
          <w:iCs/>
        </w:rPr>
        <w:t>Listening Devices Act 1991</w:t>
      </w:r>
      <w:r>
        <w:t xml:space="preserve"> (Tas)</w:t>
      </w:r>
      <w:r w:rsidRPr="10DD744B">
        <w:rPr>
          <w:i/>
          <w:iCs/>
        </w:rPr>
        <w:t xml:space="preserve"> </w:t>
      </w:r>
      <w:r>
        <w:t xml:space="preserve">to cover a broader range of technologies (such as visual and tracking devices), as exists in most other jurisdictions. It is noted that, while the recording of images is captured under the </w:t>
      </w:r>
      <w:r w:rsidRPr="10DD744B">
        <w:rPr>
          <w:i/>
          <w:iCs/>
        </w:rPr>
        <w:t xml:space="preserve">Police Offences Act 1935 </w:t>
      </w:r>
      <w:r>
        <w:t xml:space="preserve">(Tas), the TLRI’s view is that consideration should be given to reform of the protection in the listening devices legislation to strengthen protections for individuals against surveillance by optical surveillance devices, tracking devices, and data surveillance devices. </w:t>
      </w:r>
    </w:p>
    <w:p w14:paraId="47F04D2E" w14:textId="392707C9" w:rsidR="00FF302D" w:rsidRPr="00113F13" w:rsidRDefault="00FF302D" w:rsidP="00B63604">
      <w:pPr>
        <w:pStyle w:val="NormalNumberedTextTLRI"/>
        <w:numPr>
          <w:ilvl w:val="2"/>
          <w:numId w:val="31"/>
        </w:numPr>
        <w:tabs>
          <w:tab w:val="clear" w:pos="720"/>
        </w:tabs>
        <w:spacing w:line="259" w:lineRule="auto"/>
      </w:pPr>
      <w:r w:rsidRPr="00113F13">
        <w:t>The TLRI notes that there is a range of safeguards in relation to the powers of police to use surveillance devices</w:t>
      </w:r>
      <w:r w:rsidRPr="003215A2">
        <w:t xml:space="preserve">. </w:t>
      </w:r>
      <w:r w:rsidRPr="00EA22F8">
        <w:t>As discussed at [</w:t>
      </w:r>
      <w:r w:rsidRPr="003215A2">
        <w:fldChar w:fldCharType="begin"/>
      </w:r>
      <w:r w:rsidRPr="003215A2">
        <w:instrText xml:space="preserve"> REF _Ref152056285 \r \h  \* MERGEFORMAT </w:instrText>
      </w:r>
      <w:r w:rsidRPr="003215A2">
        <w:fldChar w:fldCharType="separate"/>
      </w:r>
      <w:r w:rsidR="00462C30">
        <w:rPr>
          <w:cs/>
        </w:rPr>
        <w:t>‎</w:t>
      </w:r>
      <w:r w:rsidR="00462C30">
        <w:t>10.2.6</w:t>
      </w:r>
      <w:r w:rsidRPr="003215A2">
        <w:fldChar w:fldCharType="end"/>
      </w:r>
      <w:r w:rsidRPr="00EA22F8">
        <w:t>] above</w:t>
      </w:r>
      <w:r w:rsidRPr="003215A2">
        <w:t>, law</w:t>
      </w:r>
      <w:r w:rsidRPr="00113F13">
        <w:t xml:space="preserve"> enforcement exceptions to the </w:t>
      </w:r>
      <w:r w:rsidRPr="00113F13">
        <w:rPr>
          <w:i/>
          <w:iCs/>
        </w:rPr>
        <w:t xml:space="preserve">Listening </w:t>
      </w:r>
      <w:r w:rsidRPr="00113F13">
        <w:rPr>
          <w:i/>
          <w:iCs/>
        </w:rPr>
        <w:lastRenderedPageBreak/>
        <w:t xml:space="preserve">Devices Act 1991 </w:t>
      </w:r>
      <w:r w:rsidRPr="00113F13">
        <w:t xml:space="preserve">(Tas) apply in relation to warrants, recording interviews between a police officer and a person suspected of having committed an offence, and in cases where evidence of information needs to be obtained in connection with various serious offences. Oversight is provided through the requirement to obtain a warrant, or by review by the Chief Magistrate in cases of serious offences. In relation to both surveillance pursuant to a warrant or in cases where a listening device is used in connection with an imminent threat of serious violence to person or of substantial damage to property or a serious narcotics offence, the </w:t>
      </w:r>
      <w:r w:rsidRPr="00113F13">
        <w:rPr>
          <w:i/>
          <w:iCs/>
        </w:rPr>
        <w:t xml:space="preserve">Listening Devices Act 1991 </w:t>
      </w:r>
      <w:r w:rsidRPr="00113F13">
        <w:t>(Tas) requires a report to be made to the Attorney-General.</w:t>
      </w:r>
      <w:r w:rsidRPr="00113F13">
        <w:rPr>
          <w:rStyle w:val="FootnoteReference"/>
          <w:rFonts w:ascii="Times New Roman" w:hAnsi="Times New Roman"/>
        </w:rPr>
        <w:footnoteReference w:id="1100"/>
      </w:r>
      <w:r w:rsidRPr="00113F13">
        <w:t xml:space="preserve"> The Attorney-General is required to have a report prepared in relation to the number of warrants sought and granted, and for that report to be laid before Parliament.</w:t>
      </w:r>
      <w:r w:rsidRPr="00113F13">
        <w:rPr>
          <w:rStyle w:val="FootnoteReference"/>
          <w:rFonts w:ascii="Times New Roman" w:hAnsi="Times New Roman"/>
        </w:rPr>
        <w:footnoteReference w:id="1101"/>
      </w:r>
    </w:p>
    <w:p w14:paraId="68CDB167" w14:textId="223442C7" w:rsidR="00FF302D" w:rsidRPr="00113F13" w:rsidRDefault="00FF302D" w:rsidP="00B63604">
      <w:pPr>
        <w:pStyle w:val="NormalNumberedTextTLRI"/>
        <w:numPr>
          <w:ilvl w:val="2"/>
          <w:numId w:val="31"/>
        </w:numPr>
        <w:tabs>
          <w:tab w:val="clear" w:pos="720"/>
        </w:tabs>
        <w:spacing w:line="259" w:lineRule="auto"/>
      </w:pPr>
      <w:r w:rsidRPr="00113F13">
        <w:t xml:space="preserve">There is also a requirement under the </w:t>
      </w:r>
      <w:bookmarkStart w:id="996" w:name="_Hlk144807978"/>
      <w:r w:rsidRPr="00113F13">
        <w:rPr>
          <w:i/>
          <w:iCs/>
        </w:rPr>
        <w:t xml:space="preserve">Police Powers (Surveillance Devices) Act </w:t>
      </w:r>
      <w:r w:rsidRPr="00113F13">
        <w:t xml:space="preserve">2006 (Tas) </w:t>
      </w:r>
      <w:bookmarkEnd w:id="996"/>
      <w:r w:rsidRPr="00113F13">
        <w:t>for reports to be made to the Supreme Court or Magistrates Court in relation to the execution of a surveillance device warrant or a retrieval warrant.</w:t>
      </w:r>
      <w:r w:rsidRPr="00113F13">
        <w:rPr>
          <w:rStyle w:val="FootnoteReference"/>
          <w:rFonts w:ascii="Times New Roman" w:hAnsi="Times New Roman"/>
        </w:rPr>
        <w:footnoteReference w:id="1102"/>
      </w:r>
      <w:r w:rsidRPr="00113F13">
        <w:t xml:space="preserve"> Police are also required to keep records connected with warrants and the register is to be inspected by an independent person as an inspection entity at least once every 12</w:t>
      </w:r>
      <w:r w:rsidR="00416B4E">
        <w:t> </w:t>
      </w:r>
      <w:r w:rsidRPr="00113F13">
        <w:t>months; this report must be provided to the relevant minister and laid before Parliament. Annual reports to the Minister about the use of warrants are also required;</w:t>
      </w:r>
      <w:r w:rsidRPr="00113F13">
        <w:rPr>
          <w:rStyle w:val="FootnoteReference"/>
          <w:rFonts w:ascii="Times New Roman" w:hAnsi="Times New Roman"/>
        </w:rPr>
        <w:footnoteReference w:id="1103"/>
      </w:r>
      <w:r w:rsidRPr="00113F13">
        <w:t xml:space="preserve"> The rules of evidence under the </w:t>
      </w:r>
      <w:r w:rsidRPr="00113F13">
        <w:rPr>
          <w:i/>
          <w:iCs/>
        </w:rPr>
        <w:t xml:space="preserve">Evidence Act 2001 </w:t>
      </w:r>
      <w:r w:rsidRPr="00113F13">
        <w:t>(Tas)</w:t>
      </w:r>
      <w:r w:rsidRPr="00113F13">
        <w:rPr>
          <w:i/>
          <w:iCs/>
        </w:rPr>
        <w:t xml:space="preserve"> </w:t>
      </w:r>
      <w:r w:rsidRPr="00113F13">
        <w:t xml:space="preserve">and the restrictions of the admissibility of evidence under the </w:t>
      </w:r>
      <w:r w:rsidRPr="00113F13">
        <w:rPr>
          <w:i/>
          <w:iCs/>
        </w:rPr>
        <w:t xml:space="preserve">Listening Devices Act 1991 </w:t>
      </w:r>
      <w:r w:rsidRPr="00113F13">
        <w:t>(Tas) Part 3</w:t>
      </w:r>
      <w:r w:rsidR="00416B4E">
        <w:t>.</w:t>
      </w:r>
      <w:r w:rsidRPr="00113F13">
        <w:rPr>
          <w:rStyle w:val="FootnoteReference"/>
          <w:rFonts w:ascii="Times New Roman" w:hAnsi="Times New Roman"/>
        </w:rPr>
        <w:footnoteReference w:id="1104"/>
      </w:r>
      <w:r w:rsidR="00EB7A0A">
        <w:t xml:space="preserve"> </w:t>
      </w:r>
      <w:r w:rsidRPr="00113F13">
        <w:t xml:space="preserve">Oversight is also provided the Ombudsman. </w:t>
      </w:r>
    </w:p>
    <w:p w14:paraId="361BB880" w14:textId="2E4CBF4F" w:rsidR="00FF302D" w:rsidRPr="00113F13" w:rsidRDefault="00FF302D" w:rsidP="00B63604">
      <w:pPr>
        <w:pStyle w:val="NormalNumberedTextTLRI"/>
        <w:numPr>
          <w:ilvl w:val="2"/>
          <w:numId w:val="31"/>
        </w:numPr>
        <w:tabs>
          <w:tab w:val="clear" w:pos="720"/>
        </w:tabs>
        <w:spacing w:line="259" w:lineRule="auto"/>
      </w:pPr>
      <w:r w:rsidRPr="00113F13">
        <w:t>While consideration could be given to the establishment of a specialist police ombudsman to provide oversight to the use of surveillance by Tasmania Police, as suggested by T</w:t>
      </w:r>
      <w:r w:rsidR="00144BAC">
        <w:t>as</w:t>
      </w:r>
      <w:r w:rsidRPr="00113F13">
        <w:t>COSS, the TLRI’s view is that a range of safeguards and oversight already exist, including oversight by the Ombudsman and the requirement for reports to be tabled in Parliament. Accordingly, the TLRI’s view is that it is not necessary to make changes to the legislative framework at this time. However, consideration should be given to improving the resources made available to allow for independent monitoring of police use of surveillance devices by the Ombudsman.</w:t>
      </w:r>
    </w:p>
    <w:p w14:paraId="6081D88B" w14:textId="77777777" w:rsidR="00FF302D" w:rsidRPr="00113F13" w:rsidRDefault="00FF302D" w:rsidP="00BF1FE7">
      <w:pPr>
        <w:pStyle w:val="NumberedHeadingTLRI"/>
      </w:pPr>
      <w:bookmarkStart w:id="997" w:name="_Toc164606738"/>
      <w:r w:rsidRPr="00113F13">
        <w:t>Recommendations</w:t>
      </w:r>
      <w:bookmarkEnd w:id="9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54AF0049" w14:textId="77777777" w:rsidTr="00754A3F">
        <w:tc>
          <w:tcPr>
            <w:tcW w:w="9016" w:type="dxa"/>
            <w:shd w:val="clear" w:color="auto" w:fill="E8E8E8" w:themeFill="background2"/>
          </w:tcPr>
          <w:p w14:paraId="705D48B9" w14:textId="77777777" w:rsidR="00FF302D" w:rsidRPr="00EA22F8" w:rsidRDefault="00FF302D" w:rsidP="00754A3F">
            <w:pPr>
              <w:pStyle w:val="Heading3"/>
              <w:numPr>
                <w:ilvl w:val="2"/>
                <w:numId w:val="0"/>
              </w:numPr>
              <w:spacing w:before="120" w:after="0"/>
              <w:rPr>
                <w:rFonts w:ascii="Times New Roman" w:hAnsi="Times New Roman" w:cs="Times New Roman"/>
                <w:color w:val="auto"/>
              </w:rPr>
            </w:pPr>
            <w:bookmarkStart w:id="998" w:name="_Toc164600472"/>
            <w:r w:rsidRPr="00EA22F8">
              <w:rPr>
                <w:rFonts w:ascii="Times New Roman" w:hAnsi="Times New Roman" w:cs="Times New Roman"/>
                <w:b/>
                <w:bCs/>
                <w:color w:val="auto"/>
              </w:rPr>
              <w:t>Recommendation 58:</w:t>
            </w:r>
            <w:r w:rsidRPr="00EA22F8">
              <w:rPr>
                <w:rFonts w:ascii="Times New Roman" w:hAnsi="Times New Roman" w:cs="Times New Roman"/>
                <w:color w:val="auto"/>
              </w:rPr>
              <w:t xml:space="preserve"> Consideration should be given to reform of the listening devices legislation to strengthen protections for individuals against surveillance by optical surveillance devices, tracking devices, and data surveillance devices.</w:t>
            </w:r>
            <w:bookmarkEnd w:id="998"/>
          </w:p>
          <w:p w14:paraId="45BBE78E" w14:textId="77777777" w:rsidR="00FF302D" w:rsidRPr="00113F13" w:rsidRDefault="00FF302D" w:rsidP="00754A3F">
            <w:pPr>
              <w:spacing w:before="120"/>
              <w:rPr>
                <w:rFonts w:cs="Times New Roman"/>
              </w:rPr>
            </w:pPr>
            <w:r w:rsidRPr="00113F13">
              <w:rPr>
                <w:rFonts w:cs="Times New Roman"/>
                <w:b/>
                <w:bCs/>
              </w:rPr>
              <w:t xml:space="preserve">Recommendation </w:t>
            </w:r>
            <w:r w:rsidRPr="00113F13">
              <w:rPr>
                <w:rFonts w:cs="Times New Roman"/>
                <w:b/>
              </w:rPr>
              <w:t>59</w:t>
            </w:r>
            <w:r w:rsidRPr="00113F13">
              <w:rPr>
                <w:rFonts w:cs="Times New Roman"/>
                <w:b/>
                <w:bCs/>
              </w:rPr>
              <w:t>:</w:t>
            </w:r>
            <w:r w:rsidRPr="00113F13">
              <w:rPr>
                <w:rFonts w:cs="Times New Roman"/>
              </w:rPr>
              <w:t xml:space="preserve"> Consideration should be given to improving the resources made available to allow for independent monitoring of police use of surveillance devices by the Ombudsman.</w:t>
            </w:r>
          </w:p>
        </w:tc>
      </w:tr>
    </w:tbl>
    <w:p w14:paraId="60C418E8" w14:textId="77777777" w:rsidR="00EA0570" w:rsidRDefault="00EA0570" w:rsidP="00EA0570">
      <w:pPr>
        <w:pStyle w:val="NumberedHeadingTLRI"/>
        <w:numPr>
          <w:ilvl w:val="0"/>
          <w:numId w:val="0"/>
        </w:numPr>
        <w:ind w:left="720"/>
      </w:pPr>
      <w:bookmarkStart w:id="999" w:name="_Toc77846305"/>
      <w:bookmarkStart w:id="1000" w:name="_Toc77846357"/>
      <w:bookmarkStart w:id="1001" w:name="_Toc77846409"/>
      <w:bookmarkStart w:id="1002" w:name="_Toc77846569"/>
      <w:bookmarkStart w:id="1003" w:name="_Toc77933360"/>
      <w:bookmarkStart w:id="1004" w:name="_Toc77846306"/>
      <w:bookmarkStart w:id="1005" w:name="_Toc77846358"/>
      <w:bookmarkStart w:id="1006" w:name="_Toc77846410"/>
      <w:bookmarkStart w:id="1007" w:name="_Toc77846570"/>
      <w:bookmarkStart w:id="1008" w:name="_Toc77933361"/>
      <w:bookmarkStart w:id="1009" w:name="_Toc91832018"/>
      <w:bookmarkStart w:id="1010" w:name="_Toc130540453"/>
      <w:bookmarkStart w:id="1011" w:name="_Toc164606739"/>
      <w:bookmarkEnd w:id="999"/>
      <w:bookmarkEnd w:id="1000"/>
      <w:bookmarkEnd w:id="1001"/>
      <w:bookmarkEnd w:id="1002"/>
      <w:bookmarkEnd w:id="1003"/>
      <w:bookmarkEnd w:id="1004"/>
      <w:bookmarkEnd w:id="1005"/>
      <w:bookmarkEnd w:id="1006"/>
      <w:bookmarkEnd w:id="1007"/>
      <w:bookmarkEnd w:id="1008"/>
    </w:p>
    <w:p w14:paraId="2D35C52B" w14:textId="7F1842B5" w:rsidR="00FF302D" w:rsidRPr="00113F13" w:rsidRDefault="00FF302D" w:rsidP="00BF1FE7">
      <w:pPr>
        <w:pStyle w:val="NumberedHeadingTLRI"/>
      </w:pPr>
      <w:r w:rsidRPr="00113F13">
        <w:lastRenderedPageBreak/>
        <w:t>Legislative protections relating to stalking and harassment</w:t>
      </w:r>
      <w:bookmarkEnd w:id="1009"/>
      <w:bookmarkEnd w:id="1010"/>
      <w:bookmarkEnd w:id="1011"/>
    </w:p>
    <w:p w14:paraId="02D9E0E3" w14:textId="77777777" w:rsidR="00FF302D" w:rsidRPr="00113F13" w:rsidRDefault="00FF302D" w:rsidP="00B63604">
      <w:pPr>
        <w:pStyle w:val="NormalNumberedTextTLRI"/>
        <w:numPr>
          <w:ilvl w:val="2"/>
          <w:numId w:val="31"/>
        </w:numPr>
        <w:tabs>
          <w:tab w:val="clear" w:pos="720"/>
        </w:tabs>
        <w:spacing w:line="259" w:lineRule="auto"/>
      </w:pPr>
      <w:r w:rsidRPr="00113F13">
        <w:t>Stalking, harassment, and bullying may in some circumstances involve interference with privacy—whether through intrusion upon seclusion (also referred to as physical privacy, meaning a person’s bodily or territorial privacy), or through the malicious use of private information against the person concerned (for example, to intimidate, blackmail, or otherwise coerce that person). As with other egregious interferences with privacy, these behaviours may cause humiliation, psychological distress, or intimidation.</w:t>
      </w:r>
      <w:r w:rsidRPr="00113F13">
        <w:rPr>
          <w:rStyle w:val="FootnoteReference"/>
          <w:rFonts w:ascii="Times New Roman" w:hAnsi="Times New Roman"/>
        </w:rPr>
        <w:footnoteReference w:id="1105"/>
      </w:r>
      <w:r w:rsidRPr="00113F13">
        <w:t xml:space="preserve"> </w:t>
      </w:r>
    </w:p>
    <w:p w14:paraId="7B9504E8" w14:textId="77777777" w:rsidR="00FF302D" w:rsidRPr="00113F13" w:rsidRDefault="00FF302D" w:rsidP="00113F13">
      <w:pPr>
        <w:pStyle w:val="Headingunnumbered"/>
        <w:rPr>
          <w:rFonts w:cs="Times New Roman"/>
        </w:rPr>
      </w:pPr>
      <w:bookmarkStart w:id="1012" w:name="_Toc164606740"/>
      <w:r w:rsidRPr="00113F13">
        <w:rPr>
          <w:rFonts w:cs="Times New Roman"/>
        </w:rPr>
        <w:t>The Tasmanian position</w:t>
      </w:r>
      <w:bookmarkEnd w:id="1012"/>
    </w:p>
    <w:p w14:paraId="1EEA2B13" w14:textId="77AFAB72" w:rsidR="00FF302D" w:rsidRPr="00113F13" w:rsidRDefault="00FF302D" w:rsidP="00B63604">
      <w:pPr>
        <w:pStyle w:val="NormalNumberedTextTLRI"/>
        <w:numPr>
          <w:ilvl w:val="2"/>
          <w:numId w:val="31"/>
        </w:numPr>
        <w:tabs>
          <w:tab w:val="clear" w:pos="720"/>
        </w:tabs>
        <w:spacing w:line="259" w:lineRule="auto"/>
      </w:pPr>
      <w:r w:rsidRPr="00113F13">
        <w:t>In Tasmania, various legislation prohibits stalking and similar behaviour. Where stalking or bullying that is already proscribed in law involves an interference with privacy, existing legislation may provide protection and redress for the privacy-related harm. However, there is no legislation specifically orientated towards protecting physical or information privacy against interferences by behaviour involving stalking and bullying. For example, it is not a specific offence under Section</w:t>
      </w:r>
      <w:r w:rsidR="005611F5">
        <w:t> </w:t>
      </w:r>
      <w:r w:rsidRPr="00113F13">
        <w:t xml:space="preserve">192 of the </w:t>
      </w:r>
      <w:r w:rsidRPr="00113F13">
        <w:rPr>
          <w:i/>
          <w:iCs/>
        </w:rPr>
        <w:t xml:space="preserve">Criminal Code </w:t>
      </w:r>
      <w:r w:rsidRPr="00113F13">
        <w:t>(Tas) to intimidate or harass a person separately from where such conduct would amount to stalking or bullying. Further, there is no specific Tasmania legislation that relates to the sharing of intimate images that were initially taken with consent and then later shared (or threatened to be shared) without consent.</w:t>
      </w:r>
      <w:r w:rsidRPr="00113F13">
        <w:rPr>
          <w:rStyle w:val="FootnoteReference"/>
          <w:rFonts w:ascii="Times New Roman" w:hAnsi="Times New Roman"/>
        </w:rPr>
        <w:footnoteReference w:id="1106"/>
      </w:r>
      <w:r w:rsidRPr="00113F13">
        <w:t xml:space="preserve"> Such conduct could come within the scope of the crime of stalking and bullying or child abuse material, if the victim is a minor. It may also be an offence under Commonwealth legislation.</w:t>
      </w:r>
      <w:r w:rsidRPr="00113F13">
        <w:rPr>
          <w:rStyle w:val="FootnoteReference"/>
          <w:rFonts w:ascii="Times New Roman" w:hAnsi="Times New Roman"/>
        </w:rPr>
        <w:footnoteReference w:id="1107"/>
      </w:r>
    </w:p>
    <w:p w14:paraId="18834CF3" w14:textId="77777777" w:rsidR="00FF302D" w:rsidRPr="00113F13" w:rsidRDefault="00FF302D" w:rsidP="00B63604">
      <w:pPr>
        <w:pStyle w:val="NormalNumberedTextTLRI"/>
        <w:numPr>
          <w:ilvl w:val="2"/>
          <w:numId w:val="31"/>
        </w:numPr>
        <w:tabs>
          <w:tab w:val="clear" w:pos="720"/>
        </w:tabs>
        <w:spacing w:line="259" w:lineRule="auto"/>
      </w:pPr>
      <w:r w:rsidRPr="00113F13">
        <w:t>It is a crime to stalk or bully someone with intent to cause them physical or mental harm, including self-harm, or extreme humiliation, or to be apprehensive or fearful.</w:t>
      </w:r>
      <w:r w:rsidRPr="00113F13">
        <w:rPr>
          <w:vertAlign w:val="superscript"/>
        </w:rPr>
        <w:footnoteReference w:id="1108"/>
      </w:r>
      <w:r w:rsidRPr="00113F13">
        <w:t xml:space="preserve"> The Director of Public Prosecutions must consent before a prosecution for this offence can be commenced.</w:t>
      </w:r>
      <w:r w:rsidRPr="00113F13">
        <w:rPr>
          <w:rStyle w:val="FootnoteReference"/>
          <w:rFonts w:ascii="Times New Roman" w:hAnsi="Times New Roman"/>
        </w:rPr>
        <w:footnoteReference w:id="1109"/>
      </w:r>
      <w:r w:rsidRPr="00113F13">
        <w:t xml:space="preserve"> Stalking or bullying means pursuing a course of conduct involving one or more behaviours listed in the provision.</w:t>
      </w:r>
      <w:r w:rsidRPr="00113F13">
        <w:rPr>
          <w:rStyle w:val="FootnoteReference"/>
          <w:rFonts w:ascii="Times New Roman" w:hAnsi="Times New Roman"/>
        </w:rPr>
        <w:footnoteReference w:id="1110"/>
      </w:r>
      <w:r w:rsidRPr="00113F13">
        <w:t xml:space="preserve"> These include following a person, keeping a person under surveillance, loitering outside a person’s residence, using the internet in an intimidating way, and acting in any another way that could reasonably be expected to cause another person the requisite physical or mental harm. </w:t>
      </w:r>
    </w:p>
    <w:p w14:paraId="002BBFFA" w14:textId="77777777" w:rsidR="00FF302D" w:rsidRPr="00113F13" w:rsidRDefault="00FF302D" w:rsidP="00B63604">
      <w:pPr>
        <w:pStyle w:val="NormalNumberedTextTLRI"/>
        <w:numPr>
          <w:ilvl w:val="2"/>
          <w:numId w:val="31"/>
        </w:numPr>
        <w:tabs>
          <w:tab w:val="clear" w:pos="720"/>
        </w:tabs>
        <w:spacing w:line="259" w:lineRule="auto"/>
      </w:pPr>
      <w:r w:rsidRPr="00113F13">
        <w:t>Although this crime covers a reasonably wide range of behaviours that could amount to interference with physical or information privacy and associated harms, there are limits on the extent of privacy protection this provision can achieve. Some difficulties include:</w:t>
      </w:r>
    </w:p>
    <w:p w14:paraId="2970880E" w14:textId="77777777" w:rsidR="00FF302D" w:rsidRPr="00113F13" w:rsidRDefault="00FF302D" w:rsidP="00113F13">
      <w:pPr>
        <w:pStyle w:val="DotPointTLRI"/>
        <w:rPr>
          <w:lang w:val="en-GB"/>
        </w:rPr>
      </w:pPr>
      <w:r w:rsidRPr="00113F13">
        <w:rPr>
          <w:lang w:val="en-GB"/>
        </w:rPr>
        <w:t xml:space="preserve">Even if someone has allegedly engaged in the proscribed behaviour, there may be insufficient evidence to proceed to prosecution. </w:t>
      </w:r>
    </w:p>
    <w:p w14:paraId="5D203756" w14:textId="77777777" w:rsidR="00FF302D" w:rsidRPr="00113F13" w:rsidRDefault="00FF302D" w:rsidP="00113F13">
      <w:pPr>
        <w:pStyle w:val="DotPointTLRI"/>
        <w:rPr>
          <w:lang w:val="en-GB"/>
        </w:rPr>
      </w:pPr>
      <w:r w:rsidRPr="00113F13">
        <w:rPr>
          <w:lang w:val="en-GB"/>
        </w:rPr>
        <w:t xml:space="preserve">A finding of guilt requires a high criminal standard of proof—beyond reasonable doubt. </w:t>
      </w:r>
    </w:p>
    <w:p w14:paraId="37F7B396" w14:textId="77777777" w:rsidR="00FF302D" w:rsidRPr="00113F13" w:rsidRDefault="00FF302D" w:rsidP="00113F13">
      <w:pPr>
        <w:pStyle w:val="DotPointTLRI"/>
        <w:rPr>
          <w:lang w:val="en-GB"/>
        </w:rPr>
      </w:pPr>
      <w:r w:rsidRPr="00113F13">
        <w:rPr>
          <w:lang w:val="en-GB"/>
        </w:rPr>
        <w:lastRenderedPageBreak/>
        <w:t xml:space="preserve">Even if prosecution is commenced and there is a finding of guilt, it will not necessarily result in any remedies for the victim commensurable to those available under civil law. Criminal law specifies that sentences may be imposed to achieve certain purposes, including punishment, deterrence, and rehabilitation of the perpetrator, and community protection—it does not seek to compensate the victim for harm. </w:t>
      </w:r>
    </w:p>
    <w:p w14:paraId="34B15710" w14:textId="77777777" w:rsidR="00FF302D" w:rsidRPr="00113F13" w:rsidRDefault="00FF302D" w:rsidP="00113F13">
      <w:pPr>
        <w:pStyle w:val="DotPointTLRI"/>
        <w:rPr>
          <w:lang w:val="en-GB"/>
        </w:rPr>
      </w:pPr>
      <w:r w:rsidRPr="00113F13">
        <w:rPr>
          <w:lang w:val="en-GB"/>
        </w:rPr>
        <w:t>The requirement that there be a ‘course of conduct’ means the behaviour must have occurred more than once—one-off instances of intrusion are excluded.</w:t>
      </w:r>
      <w:r w:rsidRPr="00113F13">
        <w:rPr>
          <w:rStyle w:val="FootnoteReference"/>
          <w:rFonts w:ascii="Times New Roman" w:hAnsi="Times New Roman"/>
          <w:lang w:val="en-GB"/>
        </w:rPr>
        <w:footnoteReference w:id="1111"/>
      </w:r>
    </w:p>
    <w:p w14:paraId="1265C4ED" w14:textId="77777777" w:rsidR="00FF302D" w:rsidRPr="00113F13" w:rsidRDefault="00FF302D" w:rsidP="00113F13">
      <w:pPr>
        <w:pStyle w:val="DotPointTLRI"/>
        <w:rPr>
          <w:lang w:val="en-GB"/>
        </w:rPr>
      </w:pPr>
      <w:r w:rsidRPr="00113F13">
        <w:rPr>
          <w:lang w:val="en-GB"/>
        </w:rPr>
        <w:t>The offence requires the prosecutor to prove that the defendant knew that the course of conduct would be likely to cause the specific harm. Depending on the available evidence in any one case, it could be difficult for a prosecutor to prove this ‘mental element’ of knowledge.</w:t>
      </w:r>
      <w:r w:rsidRPr="00113F13">
        <w:rPr>
          <w:rStyle w:val="FootnoteReference"/>
          <w:rFonts w:ascii="Times New Roman" w:hAnsi="Times New Roman"/>
          <w:lang w:val="en-GB"/>
        </w:rPr>
        <w:footnoteReference w:id="1112"/>
      </w:r>
    </w:p>
    <w:p w14:paraId="65406FD8" w14:textId="77777777" w:rsidR="00FF302D" w:rsidRPr="00113F13" w:rsidRDefault="00FF302D" w:rsidP="00113F13">
      <w:pPr>
        <w:pStyle w:val="DotPointTLRI"/>
        <w:rPr>
          <w:lang w:val="en-GB"/>
        </w:rPr>
      </w:pPr>
      <w:r w:rsidRPr="00113F13">
        <w:rPr>
          <w:lang w:val="en-GB"/>
        </w:rPr>
        <w:t>The Director of Public Prosecutions Guidelines provide that consent to charge with stalking and bullying (as distinct from pursuing individual charges or preventative courts orders, such as a family violence or restraining orders) will only be given where the course of conduct is extremely serious, the course of conduct has continued over an extensive period of time and lesser charges, restraint orders, or other proceedings have failed to stop the conduct.</w:t>
      </w:r>
      <w:r w:rsidRPr="00113F13">
        <w:rPr>
          <w:rStyle w:val="FootnoteReference"/>
          <w:rFonts w:ascii="Times New Roman" w:hAnsi="Times New Roman"/>
          <w:lang w:val="en-GB"/>
        </w:rPr>
        <w:footnoteReference w:id="1113"/>
      </w:r>
    </w:p>
    <w:p w14:paraId="740F90B3" w14:textId="067F3799" w:rsidR="00FF302D" w:rsidRPr="00113F13" w:rsidRDefault="00FF302D" w:rsidP="00B63604">
      <w:pPr>
        <w:pStyle w:val="NormalNumberedTextTLRI"/>
        <w:numPr>
          <w:ilvl w:val="2"/>
          <w:numId w:val="31"/>
        </w:numPr>
        <w:tabs>
          <w:tab w:val="clear" w:pos="720"/>
        </w:tabs>
        <w:spacing w:line="259" w:lineRule="auto"/>
      </w:pPr>
      <w:bookmarkStart w:id="1013" w:name="_Toc91536766"/>
      <w:bookmarkStart w:id="1014" w:name="_Toc91536767"/>
      <w:bookmarkEnd w:id="1013"/>
      <w:bookmarkEnd w:id="1014"/>
      <w:r w:rsidRPr="00113F13">
        <w:t>Apart from this general crime, other legislative or regulatory provisions prohibit harassment or similar behaviour in various specific contexts which may involve interferences with privacy. This includes: family relationships;</w:t>
      </w:r>
      <w:r w:rsidRPr="00113F13">
        <w:rPr>
          <w:vertAlign w:val="superscript"/>
        </w:rPr>
        <w:footnoteReference w:id="1114"/>
      </w:r>
      <w:r w:rsidRPr="00113F13">
        <w:t xml:space="preserve"> solicitors’ conduct when engaging in court processes (particularly regarding how clients are advised and witnesses are treated);</w:t>
      </w:r>
      <w:r w:rsidRPr="00113F13">
        <w:rPr>
          <w:vertAlign w:val="superscript"/>
        </w:rPr>
        <w:footnoteReference w:id="1115"/>
      </w:r>
      <w:r w:rsidRPr="00113F13">
        <w:t xml:space="preserve"> and public transport.</w:t>
      </w:r>
      <w:r w:rsidRPr="00113F13">
        <w:rPr>
          <w:vertAlign w:val="superscript"/>
        </w:rPr>
        <w:footnoteReference w:id="1116"/>
      </w:r>
    </w:p>
    <w:p w14:paraId="142F1E10" w14:textId="77777777" w:rsidR="00FF302D" w:rsidRPr="00113F13" w:rsidRDefault="00FF302D" w:rsidP="00B63604">
      <w:pPr>
        <w:pStyle w:val="NormalNumberedTextTLRI"/>
        <w:numPr>
          <w:ilvl w:val="2"/>
          <w:numId w:val="31"/>
        </w:numPr>
        <w:tabs>
          <w:tab w:val="clear" w:pos="720"/>
        </w:tabs>
        <w:spacing w:line="259" w:lineRule="auto"/>
      </w:pPr>
      <w:r w:rsidRPr="00113F13">
        <w:t xml:space="preserve">Further, the </w:t>
      </w:r>
      <w:r w:rsidRPr="00113F13">
        <w:rPr>
          <w:i/>
          <w:iCs/>
        </w:rPr>
        <w:t xml:space="preserve">Anti-Discrimination Act 1998 </w:t>
      </w:r>
      <w:r w:rsidRPr="00113F13">
        <w:t>(Tas) prohibits conduct which offends, humiliates, intimidates, insults, or ridicules another person on the basis of a specified attribute, where a reasonable person would have anticipated the conduct to have that effect on the other person.</w:t>
      </w:r>
      <w:r w:rsidRPr="00113F13">
        <w:rPr>
          <w:vertAlign w:val="superscript"/>
        </w:rPr>
        <w:footnoteReference w:id="1117"/>
      </w:r>
      <w:r w:rsidRPr="00113F13">
        <w:t xml:space="preserve"> Specified attributes include gender, marital status, pregnancy, parental status, and family responsibilities. Given that these relate largely to a person’s private and family life, this provision may protect individuals from harmful interferences with their private and family lives, or from misuse of their private information. However, the harmful conduct must be done on the requisite discriminatory basis and with the required intent in order to fall within the scope of this prohibition.</w:t>
      </w:r>
    </w:p>
    <w:p w14:paraId="2F129CAC" w14:textId="77777777" w:rsidR="00910780" w:rsidRDefault="00910780" w:rsidP="00910780"/>
    <w:p w14:paraId="60871780" w14:textId="77777777" w:rsidR="00EA0570" w:rsidRDefault="00EA0570" w:rsidP="00910780"/>
    <w:p w14:paraId="65C234BC" w14:textId="77777777" w:rsidR="00EA0570" w:rsidRDefault="00EA0570" w:rsidP="00910780"/>
    <w:p w14:paraId="7A9128CE" w14:textId="77777777" w:rsidR="00EA0570" w:rsidRDefault="00EA0570" w:rsidP="00910780"/>
    <w:p w14:paraId="2DBEC881" w14:textId="77777777" w:rsidR="00B630DD" w:rsidRPr="00910780" w:rsidRDefault="00B630DD" w:rsidP="00910780"/>
    <w:p w14:paraId="6EA1092D" w14:textId="16E4DB84" w:rsidR="00FF302D" w:rsidRPr="00113F13" w:rsidRDefault="00FF302D" w:rsidP="00113F13">
      <w:pPr>
        <w:pStyle w:val="Headingunnumbered"/>
        <w:rPr>
          <w:rFonts w:cs="Times New Roman"/>
        </w:rPr>
      </w:pPr>
      <w:bookmarkStart w:id="1015" w:name="_Toc164606741"/>
      <w:r w:rsidRPr="00113F13">
        <w:rPr>
          <w:rFonts w:cs="Times New Roman"/>
        </w:rPr>
        <w:lastRenderedPageBreak/>
        <w:t>The position in other jurisdictions</w:t>
      </w:r>
      <w:bookmarkEnd w:id="1015"/>
    </w:p>
    <w:p w14:paraId="32E9FA7C" w14:textId="77777777" w:rsidR="00FF302D" w:rsidRPr="00113F13" w:rsidRDefault="00FF302D" w:rsidP="00B63604">
      <w:pPr>
        <w:pStyle w:val="NormalNumberedTextTLRI"/>
        <w:numPr>
          <w:ilvl w:val="2"/>
          <w:numId w:val="31"/>
        </w:numPr>
        <w:tabs>
          <w:tab w:val="clear" w:pos="720"/>
        </w:tabs>
        <w:spacing w:line="259" w:lineRule="auto"/>
      </w:pPr>
      <w:bookmarkStart w:id="1016" w:name="_Ref152055362"/>
      <w:r w:rsidRPr="00113F13">
        <w:t>Criminal offences that exist in other jurisdictions in relation to stalking are generally consistent with Tasmanian legislation.</w:t>
      </w:r>
      <w:r w:rsidRPr="00113F13">
        <w:rPr>
          <w:rStyle w:val="FootnoteReference"/>
          <w:rFonts w:ascii="Times New Roman" w:hAnsi="Times New Roman"/>
        </w:rPr>
        <w:footnoteReference w:id="1118"/>
      </w:r>
      <w:r w:rsidRPr="00113F13">
        <w:t xml:space="preserve"> However, there are some key differences to the legislative approach in Tasmania that appear to provide for broader protection for surveillance by technology or at least greater clarity around the criminalisation of this type of activity in some other jurisdictions. </w:t>
      </w:r>
    </w:p>
    <w:p w14:paraId="553B39B1" w14:textId="77777777" w:rsidR="00FF302D" w:rsidRPr="00113F13" w:rsidRDefault="00FF302D" w:rsidP="00B63604">
      <w:pPr>
        <w:pStyle w:val="NormalNumberedTextTLRI"/>
        <w:numPr>
          <w:ilvl w:val="2"/>
          <w:numId w:val="31"/>
        </w:numPr>
        <w:tabs>
          <w:tab w:val="clear" w:pos="720"/>
        </w:tabs>
        <w:spacing w:line="259" w:lineRule="auto"/>
      </w:pPr>
      <w:r w:rsidRPr="00113F13">
        <w:t>The crime of ‘unlawful stalking, intimidation, harassment or abuse’ in Queensland can be committed by conduct that is engaged in on one occasion if the conduct is protracted, or on more than one occasion.</w:t>
      </w:r>
      <w:r w:rsidRPr="00113F13">
        <w:rPr>
          <w:rStyle w:val="FootnoteReference"/>
          <w:rFonts w:ascii="Times New Roman" w:hAnsi="Times New Roman"/>
        </w:rPr>
        <w:footnoteReference w:id="1119"/>
      </w:r>
      <w:r w:rsidRPr="00113F13">
        <w:t xml:space="preserve"> The crime includes a list of conduct constitutes ’stalking, intimidation, harassment or abuse’.</w:t>
      </w:r>
      <w:r w:rsidRPr="00113F13">
        <w:rPr>
          <w:rStyle w:val="FootnoteReference"/>
          <w:rFonts w:ascii="Times New Roman" w:hAnsi="Times New Roman"/>
        </w:rPr>
        <w:footnoteReference w:id="1120"/>
      </w:r>
      <w:r w:rsidRPr="00113F13">
        <w:t xml:space="preserve"> Recent reforms in Queensland have changed the offence to criminalise surveillance conduct which would constitute an act of stalking; for example, by installing tracking and spyware applications on mobile phones, electronic devices, and vehicles, as well as installing covert cameras and the use of drones.</w:t>
      </w:r>
      <w:r w:rsidRPr="00113F13">
        <w:rPr>
          <w:rStyle w:val="FootnoteReference"/>
          <w:rFonts w:ascii="Times New Roman" w:hAnsi="Times New Roman"/>
        </w:rPr>
        <w:footnoteReference w:id="1121"/>
      </w:r>
      <w:r w:rsidRPr="00113F13">
        <w:rPr>
          <w:rStyle w:val="FootnoteReference"/>
          <w:rFonts w:ascii="Times New Roman" w:hAnsi="Times New Roman"/>
        </w:rPr>
        <w:t xml:space="preserve"> </w:t>
      </w:r>
      <w:r w:rsidRPr="00113F13">
        <w:t>It would also include publishing offensive material online.</w:t>
      </w:r>
    </w:p>
    <w:p w14:paraId="5C21228D" w14:textId="77777777" w:rsidR="00FF302D" w:rsidRPr="00113F13" w:rsidRDefault="00FF302D" w:rsidP="00B63604">
      <w:pPr>
        <w:pStyle w:val="NormalNumberedTextTLRI"/>
        <w:numPr>
          <w:ilvl w:val="2"/>
          <w:numId w:val="31"/>
        </w:numPr>
        <w:tabs>
          <w:tab w:val="clear" w:pos="720"/>
        </w:tabs>
        <w:spacing w:line="259" w:lineRule="auto"/>
      </w:pPr>
      <w:r w:rsidRPr="00113F13">
        <w:t>In New South Wales, the equivalent legislation makes it an offence to stalk or intimidate with an intent to cause fear of physical or mental harm.</w:t>
      </w:r>
      <w:r w:rsidRPr="00113F13">
        <w:rPr>
          <w:rStyle w:val="FootnoteReference"/>
          <w:rFonts w:ascii="Times New Roman" w:hAnsi="Times New Roman"/>
        </w:rPr>
        <w:footnoteReference w:id="1122"/>
      </w:r>
      <w:r w:rsidRPr="00113F13">
        <w:t xml:space="preserve"> Stalking is defined to include:  following a person; watching or frequenting the vicinity of, or an approach to, a person’s place of residence, business, or work or any place that a person frequents for the purposes of any social or leisure activity; or contacting or otherwise approaching a person using the internet or any other technologically assisted means.</w:t>
      </w:r>
      <w:r w:rsidRPr="00113F13">
        <w:rPr>
          <w:rStyle w:val="FootnoteReference"/>
          <w:rFonts w:ascii="Times New Roman" w:hAnsi="Times New Roman"/>
        </w:rPr>
        <w:footnoteReference w:id="1123"/>
      </w:r>
      <w:r w:rsidRPr="00113F13">
        <w:rPr>
          <w:rStyle w:val="FootnoteReference"/>
          <w:rFonts w:ascii="Times New Roman" w:hAnsi="Times New Roman"/>
        </w:rPr>
        <w:t xml:space="preserve"> </w:t>
      </w:r>
      <w:r w:rsidRPr="00113F13">
        <w:t>Intimidation is defined to include ’conduct (including cyberbullying) amounting to harassment or molestation of the person, or ... an approach by any means (including by telephone, telephone text messaging, e-mailing and other technologically assisted means) that causes the person to fear for his or her safety’.</w:t>
      </w:r>
      <w:r w:rsidRPr="00113F13">
        <w:rPr>
          <w:rStyle w:val="FootnoteReference"/>
          <w:rFonts w:ascii="Times New Roman" w:hAnsi="Times New Roman"/>
        </w:rPr>
        <w:footnoteReference w:id="1124"/>
      </w:r>
      <w:bookmarkEnd w:id="1016"/>
      <w:r w:rsidRPr="00113F13">
        <w:t>In addition to criminal offences, in other jurisdictions such as New South Wales, Queensland, and Victoria, there are equivalent orders to family violence orders or restraint orders that exist in Tasmania.</w:t>
      </w:r>
      <w:r w:rsidRPr="00113F13">
        <w:rPr>
          <w:rStyle w:val="FootnoteReference"/>
          <w:rFonts w:ascii="Times New Roman" w:hAnsi="Times New Roman"/>
        </w:rPr>
        <w:footnoteReference w:id="1125"/>
      </w:r>
      <w:r w:rsidRPr="00113F13">
        <w:t xml:space="preserve"> However, unlike in Tasmania, harassment has been specifically recognised in these jurisdictions as emotional or psychological abuse and/or intimidation in some jurisdictions and so provides a clear basis for making a protective order.</w:t>
      </w:r>
      <w:r w:rsidRPr="00113F13">
        <w:rPr>
          <w:rStyle w:val="FootnoteReference"/>
          <w:rFonts w:ascii="Times New Roman" w:hAnsi="Times New Roman"/>
        </w:rPr>
        <w:footnoteReference w:id="1126"/>
      </w:r>
      <w:r w:rsidRPr="00113F13">
        <w:t xml:space="preserve"> </w:t>
      </w:r>
    </w:p>
    <w:p w14:paraId="7E376099" w14:textId="77777777" w:rsidR="00FF302D" w:rsidRPr="00113F13" w:rsidRDefault="00FF302D" w:rsidP="00BF1FE7">
      <w:pPr>
        <w:pStyle w:val="NumberedHeadingTLRI"/>
        <w:rPr>
          <w:lang w:val="en-GB"/>
        </w:rPr>
      </w:pPr>
      <w:bookmarkStart w:id="1017" w:name="_Toc164606742"/>
      <w:r w:rsidRPr="00113F13">
        <w:rPr>
          <w:lang w:val="en-GB"/>
        </w:rPr>
        <w:t xml:space="preserve">The </w:t>
      </w:r>
      <w:r w:rsidRPr="00113F13">
        <w:t>Commonwealth</w:t>
      </w:r>
      <w:r w:rsidRPr="00113F13">
        <w:rPr>
          <w:lang w:val="en-GB"/>
        </w:rPr>
        <w:t xml:space="preserve"> Privacy Act Review</w:t>
      </w:r>
      <w:bookmarkEnd w:id="1017"/>
    </w:p>
    <w:p w14:paraId="2D81C492" w14:textId="15511104" w:rsidR="00FF302D" w:rsidRPr="00113F13" w:rsidRDefault="00FF302D" w:rsidP="00B63604">
      <w:pPr>
        <w:pStyle w:val="NormalNumberedTextTLRI"/>
        <w:numPr>
          <w:ilvl w:val="2"/>
          <w:numId w:val="31"/>
        </w:numPr>
        <w:tabs>
          <w:tab w:val="clear" w:pos="720"/>
        </w:tabs>
        <w:spacing w:line="259" w:lineRule="auto"/>
      </w:pPr>
      <w:r w:rsidRPr="00EA22F8">
        <w:t>As discussed in Part 11</w:t>
      </w:r>
      <w:r w:rsidRPr="00113F13">
        <w:t xml:space="preserve">, the Commonwealth Privacy Act Review considered the creation of a statutory tort for serious invasion of privacy, and while some conduct amounting to harassment and </w:t>
      </w:r>
      <w:r w:rsidRPr="00113F13">
        <w:lastRenderedPageBreak/>
        <w:t>stalking may give rise to a serious invasion of privacy, this was not addressed as a separate issue. As noted, the Government gave in-principle agreement to the creation of a statutory tort.</w:t>
      </w:r>
      <w:r w:rsidRPr="00113F13">
        <w:rPr>
          <w:rStyle w:val="FootnoteReference"/>
          <w:rFonts w:ascii="Times New Roman" w:hAnsi="Times New Roman"/>
        </w:rPr>
        <w:footnoteReference w:id="1127"/>
      </w:r>
    </w:p>
    <w:p w14:paraId="665ED999" w14:textId="77777777" w:rsidR="00FF302D" w:rsidRPr="00113F13" w:rsidRDefault="00FF302D" w:rsidP="00BF1FE7">
      <w:pPr>
        <w:pStyle w:val="NumberedHeadingTLRI"/>
        <w:rPr>
          <w:lang w:val="en-GB"/>
        </w:rPr>
      </w:pPr>
      <w:bookmarkStart w:id="1018" w:name="_Toc164606743"/>
      <w:r w:rsidRPr="00113F13">
        <w:t>Consultation</w:t>
      </w:r>
      <w:bookmarkEnd w:id="1018"/>
    </w:p>
    <w:p w14:paraId="5FCEA423" w14:textId="77777777" w:rsidR="00FF302D" w:rsidRPr="00113F13" w:rsidRDefault="00FF302D" w:rsidP="00B63604">
      <w:pPr>
        <w:pStyle w:val="NormalNumberedTextTLRI"/>
        <w:numPr>
          <w:ilvl w:val="2"/>
          <w:numId w:val="31"/>
        </w:numPr>
        <w:tabs>
          <w:tab w:val="clear" w:pos="720"/>
        </w:tabs>
        <w:spacing w:line="259" w:lineRule="auto"/>
      </w:pPr>
      <w:r w:rsidRPr="00113F13">
        <w:t>The TLRI Issues Paper invited submissions on privacy in the context of stalking and harassment in response to the following question:</w:t>
      </w:r>
    </w:p>
    <w:p w14:paraId="157BBF97" w14:textId="77777777" w:rsidR="00FF302D" w:rsidRPr="00113F13" w:rsidRDefault="00FF302D" w:rsidP="00113F13">
      <w:pPr>
        <w:pStyle w:val="Indentedquote"/>
        <w:rPr>
          <w:rFonts w:cs="Times New Roman"/>
        </w:rPr>
      </w:pPr>
      <w:r w:rsidRPr="00113F13">
        <w:rPr>
          <w:rFonts w:cs="Times New Roman"/>
        </w:rPr>
        <w:t>Are the existing legislative protections against stalking and harassment adequate to protect physical privacy, or should there be a new or strengthened law to protect against such physical and intimidating interferences?</w:t>
      </w:r>
      <w:r w:rsidRPr="00113F13">
        <w:rPr>
          <w:rStyle w:val="FootnoteReference"/>
          <w:rFonts w:ascii="Times New Roman" w:hAnsi="Times New Roman" w:cs="Times New Roman"/>
        </w:rPr>
        <w:footnoteReference w:id="1128"/>
      </w:r>
    </w:p>
    <w:p w14:paraId="4771B469" w14:textId="6CB9BE1A" w:rsidR="00FF302D" w:rsidRPr="00113F13" w:rsidRDefault="00FF302D" w:rsidP="00B63604">
      <w:pPr>
        <w:pStyle w:val="NormalNumberedTextTLRI"/>
        <w:numPr>
          <w:ilvl w:val="2"/>
          <w:numId w:val="31"/>
        </w:numPr>
        <w:tabs>
          <w:tab w:val="clear" w:pos="720"/>
        </w:tabs>
        <w:spacing w:line="259" w:lineRule="auto"/>
        <w:rPr>
          <w:rStyle w:val="eop"/>
          <w:rFonts w:eastAsiaTheme="minorHAnsi"/>
          <w:color w:val="000000"/>
          <w:kern w:val="2"/>
          <w:szCs w:val="22"/>
          <w:shd w:val="clear" w:color="auto" w:fill="FFFFFF"/>
          <w14:ligatures w14:val="standardContextual"/>
        </w:rPr>
      </w:pPr>
      <w:r w:rsidRPr="00113F13">
        <w:t>This issue was addressed in three submissions, with the responses indicating that the current protections were inadequate.</w:t>
      </w:r>
      <w:r w:rsidRPr="00113F13">
        <w:rPr>
          <w:rStyle w:val="FootnoteReference"/>
          <w:rFonts w:ascii="Times New Roman" w:hAnsi="Times New Roman"/>
        </w:rPr>
        <w:footnoteReference w:id="1129"/>
      </w:r>
      <w:r w:rsidRPr="00113F13">
        <w:t xml:space="preserve"> TLA addressed the issue of privacy in the context of family violence and observed that </w:t>
      </w:r>
      <w:r w:rsidRPr="00113F13">
        <w:rPr>
          <w:rStyle w:val="eop"/>
          <w:color w:val="000000"/>
          <w:shd w:val="clear" w:color="auto" w:fill="FFFFFF"/>
        </w:rPr>
        <w:t>s</w:t>
      </w:r>
      <w:r w:rsidRPr="00113F13">
        <w:rPr>
          <w:rStyle w:val="normaltextrun"/>
          <w:color w:val="000000"/>
          <w:shd w:val="clear" w:color="auto" w:fill="FFFFFF"/>
        </w:rPr>
        <w:t xml:space="preserve">talking and harassing behaviours are not frequently prosecuted and may not be recognised as family violence or breach of an order when reported to police. TLA noted that ‘[a]necdotally, clients frequently report harassing or stalking behaviour to police but are informed that it is </w:t>
      </w:r>
      <w:r w:rsidR="00CB5A34">
        <w:rPr>
          <w:rStyle w:val="normaltextrun"/>
          <w:color w:val="000000"/>
          <w:shd w:val="clear" w:color="auto" w:fill="FFFFFF"/>
        </w:rPr>
        <w:t>“</w:t>
      </w:r>
      <w:r w:rsidRPr="00113F13">
        <w:rPr>
          <w:rStyle w:val="normaltextrun"/>
          <w:color w:val="000000"/>
          <w:shd w:val="clear" w:color="auto" w:fill="FFFFFF"/>
        </w:rPr>
        <w:t>not stalking</w:t>
      </w:r>
      <w:r w:rsidRPr="00113F13">
        <w:rPr>
          <w:rStyle w:val="normaltextrun"/>
          <w:color w:val="000000" w:themeColor="text1"/>
        </w:rPr>
        <w:t>”</w:t>
      </w:r>
      <w:r w:rsidRPr="00113F13">
        <w:rPr>
          <w:rStyle w:val="normaltextrun"/>
          <w:color w:val="000000"/>
          <w:shd w:val="clear" w:color="auto" w:fill="FFFFFF"/>
        </w:rPr>
        <w:t xml:space="preserve"> or </w:t>
      </w:r>
      <w:r w:rsidR="00CB5A34">
        <w:rPr>
          <w:rStyle w:val="normaltextrun"/>
          <w:color w:val="000000" w:themeColor="text1"/>
        </w:rPr>
        <w:t>“</w:t>
      </w:r>
      <w:r w:rsidRPr="00113F13">
        <w:rPr>
          <w:rStyle w:val="normaltextrun"/>
          <w:color w:val="000000"/>
          <w:shd w:val="clear" w:color="auto" w:fill="FFFFFF"/>
        </w:rPr>
        <w:t>not enough</w:t>
      </w:r>
      <w:r w:rsidR="00CB5A34">
        <w:rPr>
          <w:rStyle w:val="normaltextrun"/>
          <w:color w:val="000000"/>
          <w:shd w:val="clear" w:color="auto" w:fill="FFFFFF"/>
        </w:rPr>
        <w:t>”</w:t>
      </w:r>
      <w:r w:rsidRPr="00113F13">
        <w:rPr>
          <w:rStyle w:val="normaltextrun"/>
          <w:color w:val="000000"/>
          <w:shd w:val="clear" w:color="auto" w:fill="FFFFFF"/>
        </w:rPr>
        <w:t>’. TLA stated that this was potentially exacerbated by current understandings and practices in relation to family violence orders</w:t>
      </w:r>
      <w:r w:rsidRPr="00113F13">
        <w:rPr>
          <w:rStyle w:val="normaltextrun"/>
          <w:color w:val="000000" w:themeColor="text1"/>
        </w:rPr>
        <w:t>,</w:t>
      </w:r>
      <w:r w:rsidRPr="00113F13">
        <w:rPr>
          <w:rStyle w:val="normaltextrun"/>
          <w:color w:val="000000"/>
          <w:shd w:val="clear" w:color="auto" w:fill="FFFFFF"/>
        </w:rPr>
        <w:t xml:space="preserve"> following the Magistrates Court decision in </w:t>
      </w:r>
      <w:r w:rsidRPr="00113F13">
        <w:rPr>
          <w:rStyle w:val="normaltextrun"/>
          <w:i/>
          <w:iCs/>
          <w:color w:val="000000"/>
          <w:shd w:val="clear" w:color="auto" w:fill="FFFFFF"/>
        </w:rPr>
        <w:t>Howe v S</w:t>
      </w:r>
      <w:r w:rsidRPr="00113F13">
        <w:rPr>
          <w:rStyle w:val="normaltextrun"/>
          <w:color w:val="000000"/>
          <w:shd w:val="clear" w:color="auto" w:fill="FFFFFF"/>
        </w:rPr>
        <w:t>,</w:t>
      </w:r>
      <w:r w:rsidRPr="00113F13">
        <w:rPr>
          <w:rStyle w:val="FootnoteReference"/>
          <w:rFonts w:ascii="Times New Roman" w:hAnsi="Times New Roman"/>
          <w:color w:val="000000"/>
          <w:shd w:val="clear" w:color="auto" w:fill="FFFFFF"/>
          <w:lang w:val="en-US"/>
        </w:rPr>
        <w:footnoteReference w:id="1130"/>
      </w:r>
      <w:r w:rsidRPr="00113F13">
        <w:rPr>
          <w:rStyle w:val="normaltextrun"/>
          <w:i/>
          <w:iCs/>
          <w:color w:val="000000"/>
          <w:shd w:val="clear" w:color="auto" w:fill="FFFFFF"/>
        </w:rPr>
        <w:t xml:space="preserve"> </w:t>
      </w:r>
      <w:r w:rsidRPr="00113F13">
        <w:rPr>
          <w:rStyle w:val="normaltextrun"/>
          <w:color w:val="000000"/>
          <w:shd w:val="clear" w:color="auto" w:fill="FFFFFF"/>
        </w:rPr>
        <w:t>about the meaning of ‘harassment’, which resulted in harassment being removed from the standard orders available on family violence orders. Accordingly, TLA agreed with the Issues Paper that the current stalking and harassing provisions and/or practices may be inadequate to protect victims from surveillance, stalking and harassment.</w:t>
      </w:r>
    </w:p>
    <w:p w14:paraId="7022EE98" w14:textId="74A182AD" w:rsidR="00FF302D" w:rsidRPr="00113F13" w:rsidRDefault="00F562E5" w:rsidP="00BF1FE7">
      <w:pPr>
        <w:pStyle w:val="NumberedHeadingTLRI"/>
        <w:rPr>
          <w:lang w:val="en-GB"/>
        </w:rPr>
      </w:pPr>
      <w:bookmarkStart w:id="1019" w:name="_Toc164606744"/>
      <w:r>
        <w:t xml:space="preserve">  </w:t>
      </w:r>
      <w:r w:rsidR="00FF302D" w:rsidRPr="00113F13">
        <w:t>The TLRI’s</w:t>
      </w:r>
      <w:r w:rsidR="00FF302D" w:rsidRPr="00113F13">
        <w:rPr>
          <w:lang w:val="en-GB"/>
        </w:rPr>
        <w:t xml:space="preserve"> view</w:t>
      </w:r>
      <w:bookmarkEnd w:id="1019"/>
    </w:p>
    <w:p w14:paraId="07281DE1" w14:textId="77777777" w:rsidR="00FF302D" w:rsidRPr="00113F13" w:rsidRDefault="00FF302D" w:rsidP="00B63604">
      <w:pPr>
        <w:pStyle w:val="NormalNumberedTextTLRI"/>
        <w:numPr>
          <w:ilvl w:val="2"/>
          <w:numId w:val="31"/>
        </w:numPr>
        <w:tabs>
          <w:tab w:val="clear" w:pos="720"/>
        </w:tabs>
        <w:spacing w:line="259" w:lineRule="auto"/>
      </w:pPr>
      <w:r w:rsidRPr="00113F13">
        <w:t>After reviewing the legislation that exists in other jurisdictions and taking into account the submissions received, the TLRI’s view is that there are areas in which the criminal laws that apply in relation to stalking and bullying could be strengthened in Tasmania to provide greater clarity around, and better protection for, physical privacy; changes may also be required to the conduct that may give rise to a family violence order being made.</w:t>
      </w:r>
      <w:r w:rsidRPr="00113F13">
        <w:rPr>
          <w:rStyle w:val="FootnoteReference"/>
          <w:rFonts w:ascii="Times New Roman" w:hAnsi="Times New Roman"/>
        </w:rPr>
        <w:footnoteReference w:id="1131"/>
      </w:r>
      <w:r w:rsidRPr="00113F13">
        <w:t xml:space="preserve"> While stalking and harassment can encompass a range of behaviours, the Australian Institute of Health and Welfare has recognised that ‘the widespread availability of technology and the ease of maintaining anonymity online has increased the opportunity for stalking and surveillance in recent years. Perpetrators may misuse devices, accounts, software or platforms to control, abuse and track victim-survivors’.</w:t>
      </w:r>
      <w:r w:rsidRPr="00113F13">
        <w:rPr>
          <w:rStyle w:val="FootnoteReference"/>
          <w:rFonts w:ascii="Times New Roman" w:hAnsi="Times New Roman"/>
        </w:rPr>
        <w:footnoteReference w:id="1132"/>
      </w:r>
    </w:p>
    <w:p w14:paraId="290F0081"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adequacy of the existing laws relating to stalking and intimidation in Tasmania and the need to amend the laws to take better account of technological advances should be the subject of review in Tasmania. Key changes that could be considered include: </w:t>
      </w:r>
    </w:p>
    <w:p w14:paraId="3F931E71" w14:textId="0CB05631" w:rsidR="00FF302D" w:rsidRPr="00113F13" w:rsidRDefault="00E14ADE" w:rsidP="00113F13">
      <w:pPr>
        <w:pStyle w:val="DotPointTLRI"/>
      </w:pPr>
      <w:r>
        <w:lastRenderedPageBreak/>
        <w:t>R</w:t>
      </w:r>
      <w:r w:rsidR="00FF302D" w:rsidRPr="00113F13">
        <w:t xml:space="preserve">eforming the crime of stalking and bullying in the </w:t>
      </w:r>
      <w:r w:rsidR="00FF302D" w:rsidRPr="00113F13">
        <w:rPr>
          <w:i/>
          <w:iCs/>
        </w:rPr>
        <w:t xml:space="preserve">Criminal Code </w:t>
      </w:r>
      <w:r w:rsidR="00FF302D" w:rsidRPr="00113F13">
        <w:t>(Tas) s</w:t>
      </w:r>
      <w:r w:rsidR="002636F9">
        <w:t> </w:t>
      </w:r>
      <w:r w:rsidR="00FF302D" w:rsidRPr="00113F13">
        <w:t>192 to also include intimidation based on the New South Wales approach, with intimidation defined separately from stalking, and changing the provision to recognise that a pattern of behaviour may be taken into account in the determination of stalking or intimidation, so that it does not specify that there has to be more than one act.</w:t>
      </w:r>
    </w:p>
    <w:p w14:paraId="0A03BD21" w14:textId="537D1516" w:rsidR="00FF302D" w:rsidRPr="00113F13" w:rsidRDefault="00FF302D" w:rsidP="00113F13">
      <w:pPr>
        <w:pStyle w:val="DotPointTLRI"/>
      </w:pPr>
      <w:r w:rsidRPr="00113F13">
        <w:t xml:space="preserve">Reviewing the extent to which behaviour that amounts to harassment is adequately protected for the purposes of the </w:t>
      </w:r>
      <w:r w:rsidRPr="00113F13">
        <w:rPr>
          <w:i/>
          <w:iCs/>
        </w:rPr>
        <w:t xml:space="preserve">Family Violence Act 2003 </w:t>
      </w:r>
      <w:r w:rsidRPr="00113F13">
        <w:t>(Tas).</w:t>
      </w:r>
    </w:p>
    <w:p w14:paraId="4C7B59ED" w14:textId="3DDE58D7" w:rsidR="00372305" w:rsidRDefault="00FF302D" w:rsidP="00113F13">
      <w:pPr>
        <w:pStyle w:val="DotPointTLRI"/>
      </w:pPr>
      <w:r w:rsidRPr="00113F13">
        <w:t xml:space="preserve">Amending the crime of stalking and bullying in </w:t>
      </w:r>
      <w:r w:rsidRPr="003215A2">
        <w:t xml:space="preserve">the </w:t>
      </w:r>
      <w:r w:rsidRPr="003215A2">
        <w:rPr>
          <w:i/>
          <w:iCs/>
        </w:rPr>
        <w:t xml:space="preserve">Criminal Code </w:t>
      </w:r>
      <w:r w:rsidRPr="003215A2">
        <w:t>(Tas) s</w:t>
      </w:r>
      <w:r w:rsidR="002636F9">
        <w:t> </w:t>
      </w:r>
      <w:r w:rsidRPr="003215A2">
        <w:t xml:space="preserve">192 to </w:t>
      </w:r>
      <w:r w:rsidRPr="00EA22F8">
        <w:t>more clearly criminalise surveillance conducted by technology;</w:t>
      </w:r>
      <w:r w:rsidRPr="003215A2">
        <w:t xml:space="preserve"> for example, by installing tracking and spyware applications on mobile phones, electronic</w:t>
      </w:r>
      <w:r w:rsidRPr="00113F13">
        <w:t xml:space="preserve"> devices and vehicles, as well as installing covert cameras and the use of drones.</w:t>
      </w:r>
    </w:p>
    <w:p w14:paraId="3335C91E" w14:textId="3978BD75" w:rsidR="00FF302D" w:rsidRPr="00113F13" w:rsidRDefault="0025081C" w:rsidP="00BF1FE7">
      <w:pPr>
        <w:pStyle w:val="NumberedHeadingTLRI"/>
        <w:rPr>
          <w:lang w:val="en-GB"/>
        </w:rPr>
      </w:pPr>
      <w:bookmarkStart w:id="1020" w:name="_Toc164606745"/>
      <w:r>
        <w:t xml:space="preserve">  </w:t>
      </w:r>
      <w:r w:rsidR="00FF302D" w:rsidRPr="00113F13">
        <w:t>Recommendation</w:t>
      </w:r>
      <w:bookmarkEnd w:id="10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5422AF67" w14:textId="77777777" w:rsidTr="00754A3F">
        <w:tc>
          <w:tcPr>
            <w:tcW w:w="9016" w:type="dxa"/>
            <w:shd w:val="clear" w:color="auto" w:fill="E8E8E8" w:themeFill="background2"/>
          </w:tcPr>
          <w:p w14:paraId="31714C95" w14:textId="77777777" w:rsidR="00FF302D" w:rsidRPr="00EA22F8" w:rsidRDefault="00FF302D" w:rsidP="00754A3F">
            <w:pPr>
              <w:pStyle w:val="Heading3"/>
              <w:numPr>
                <w:ilvl w:val="2"/>
                <w:numId w:val="0"/>
              </w:numPr>
              <w:spacing w:before="120"/>
              <w:rPr>
                <w:rFonts w:ascii="Times New Roman" w:hAnsi="Times New Roman" w:cs="Times New Roman"/>
                <w:color w:val="auto"/>
                <w:sz w:val="22"/>
                <w:szCs w:val="22"/>
              </w:rPr>
            </w:pPr>
            <w:bookmarkStart w:id="1021" w:name="_Toc164600480"/>
            <w:r w:rsidRPr="00EA22F8">
              <w:rPr>
                <w:rFonts w:ascii="Times New Roman" w:hAnsi="Times New Roman" w:cs="Times New Roman"/>
                <w:b/>
                <w:color w:val="auto"/>
              </w:rPr>
              <w:t>Recommendation 60:</w:t>
            </w:r>
            <w:bookmarkEnd w:id="1021"/>
            <w:r w:rsidRPr="00EA22F8">
              <w:rPr>
                <w:rFonts w:ascii="Times New Roman" w:hAnsi="Times New Roman" w:cs="Times New Roman"/>
                <w:color w:val="auto"/>
              </w:rPr>
              <w:t xml:space="preserve"> </w:t>
            </w:r>
          </w:p>
          <w:p w14:paraId="6293AAF2" w14:textId="77777777" w:rsidR="00FF302D" w:rsidRPr="00EA22F8" w:rsidRDefault="00FF302D" w:rsidP="00754A3F">
            <w:pPr>
              <w:pStyle w:val="Heading3"/>
              <w:numPr>
                <w:ilvl w:val="2"/>
                <w:numId w:val="0"/>
              </w:numPr>
              <w:spacing w:before="120"/>
              <w:rPr>
                <w:rFonts w:ascii="Times New Roman" w:hAnsi="Times New Roman" w:cs="Times New Roman"/>
                <w:color w:val="auto"/>
                <w:sz w:val="22"/>
                <w:szCs w:val="22"/>
              </w:rPr>
            </w:pPr>
            <w:bookmarkStart w:id="1022" w:name="_Toc164600481"/>
            <w:r w:rsidRPr="00EA22F8">
              <w:rPr>
                <w:rFonts w:ascii="Times New Roman" w:hAnsi="Times New Roman" w:cs="Times New Roman"/>
                <w:color w:val="auto"/>
              </w:rPr>
              <w:t>A review should be conducted that examines the adequacy of the existing laws relating to stalking and intimidation in Tasmania and that considers whether there is a need to amend these laws to take better account of technological advances. The following could be considered in the review:</w:t>
            </w:r>
            <w:bookmarkEnd w:id="1022"/>
          </w:p>
          <w:p w14:paraId="5611F64E" w14:textId="06D4D3E8" w:rsidR="00FF302D" w:rsidRPr="00113F13" w:rsidRDefault="00FF302D" w:rsidP="00015F15">
            <w:pPr>
              <w:pStyle w:val="Dotpointlist"/>
              <w:numPr>
                <w:ilvl w:val="0"/>
                <w:numId w:val="44"/>
              </w:numPr>
              <w:spacing w:before="120" w:line="240" w:lineRule="auto"/>
              <w:jc w:val="both"/>
              <w:rPr>
                <w:rFonts w:ascii="Times New Roman" w:hAnsi="Times New Roman" w:cs="Times New Roman"/>
                <w:sz w:val="22"/>
              </w:rPr>
            </w:pPr>
            <w:r w:rsidRPr="00113F13">
              <w:rPr>
                <w:rFonts w:ascii="Times New Roman" w:hAnsi="Times New Roman" w:cs="Times New Roman"/>
              </w:rPr>
              <w:t xml:space="preserve">whether the crime of stalking and bullying in the </w:t>
            </w:r>
            <w:r w:rsidRPr="00113F13">
              <w:rPr>
                <w:rFonts w:ascii="Times New Roman" w:hAnsi="Times New Roman" w:cs="Times New Roman"/>
                <w:i/>
                <w:iCs/>
              </w:rPr>
              <w:t xml:space="preserve">Criminal Code </w:t>
            </w:r>
            <w:r w:rsidRPr="00113F13">
              <w:rPr>
                <w:rFonts w:ascii="Times New Roman" w:hAnsi="Times New Roman" w:cs="Times New Roman"/>
              </w:rPr>
              <w:t xml:space="preserve">(Tas) </w:t>
            </w:r>
            <w:r w:rsidR="00015F15">
              <w:rPr>
                <w:rFonts w:ascii="Times New Roman" w:hAnsi="Times New Roman" w:cs="Times New Roman"/>
              </w:rPr>
              <w:t>Section</w:t>
            </w:r>
            <w:r w:rsidR="00A60E6D">
              <w:rPr>
                <w:rFonts w:ascii="Times New Roman" w:hAnsi="Times New Roman" w:cs="Times New Roman"/>
              </w:rPr>
              <w:t> </w:t>
            </w:r>
            <w:r w:rsidRPr="00113F13">
              <w:rPr>
                <w:rFonts w:ascii="Times New Roman" w:hAnsi="Times New Roman" w:cs="Times New Roman"/>
              </w:rPr>
              <w:t>192 should be amended to include intimidation based on the New South Wales approach—with intimidation being defined separately from stalking—and the provision should be changed to recognise that a single act, or a pattern of behaviour, may be taken into account in the determination of stalking or</w:t>
            </w:r>
            <w:r w:rsidR="003E1411">
              <w:rPr>
                <w:rFonts w:ascii="Times New Roman" w:hAnsi="Times New Roman" w:cs="Times New Roman"/>
              </w:rPr>
              <w:t xml:space="preserve"> </w:t>
            </w:r>
            <w:r w:rsidRPr="00113F13">
              <w:rPr>
                <w:rFonts w:ascii="Times New Roman" w:hAnsi="Times New Roman" w:cs="Times New Roman"/>
              </w:rPr>
              <w:t>intimidation</w:t>
            </w:r>
            <w:r w:rsidR="009145E7">
              <w:rPr>
                <w:rFonts w:ascii="Times New Roman" w:hAnsi="Times New Roman" w:cs="Times New Roman"/>
              </w:rPr>
              <w:t>;</w:t>
            </w:r>
          </w:p>
          <w:p w14:paraId="0A22F9DD" w14:textId="1074FD2B" w:rsidR="00FF302D" w:rsidRPr="00113F13" w:rsidRDefault="00FF302D" w:rsidP="00015F15">
            <w:pPr>
              <w:pStyle w:val="Dotpointlist"/>
              <w:numPr>
                <w:ilvl w:val="0"/>
                <w:numId w:val="44"/>
              </w:numPr>
              <w:spacing w:before="120" w:line="240" w:lineRule="auto"/>
              <w:jc w:val="both"/>
              <w:rPr>
                <w:rFonts w:ascii="Times New Roman" w:hAnsi="Times New Roman" w:cs="Times New Roman"/>
                <w:sz w:val="22"/>
              </w:rPr>
            </w:pPr>
            <w:r w:rsidRPr="00113F13">
              <w:rPr>
                <w:rFonts w:ascii="Times New Roman" w:hAnsi="Times New Roman" w:cs="Times New Roman"/>
              </w:rPr>
              <w:t xml:space="preserve">the extent to which behaviour that amounts to harassment is adequately protected for the purposes of the </w:t>
            </w:r>
            <w:r w:rsidRPr="00113F13">
              <w:rPr>
                <w:rFonts w:ascii="Times New Roman" w:hAnsi="Times New Roman" w:cs="Times New Roman"/>
                <w:i/>
                <w:iCs/>
              </w:rPr>
              <w:t xml:space="preserve">Family Violence Act 2003 </w:t>
            </w:r>
            <w:r w:rsidRPr="00113F13">
              <w:rPr>
                <w:rFonts w:ascii="Times New Roman" w:hAnsi="Times New Roman" w:cs="Times New Roman"/>
              </w:rPr>
              <w:t>(Tas)</w:t>
            </w:r>
            <w:r w:rsidR="009145E7">
              <w:rPr>
                <w:rFonts w:ascii="Times New Roman" w:hAnsi="Times New Roman" w:cs="Times New Roman"/>
              </w:rPr>
              <w:t>; and</w:t>
            </w:r>
          </w:p>
          <w:p w14:paraId="7AD8397F" w14:textId="72545A3D" w:rsidR="00FF302D" w:rsidRPr="00113F13" w:rsidRDefault="00FF302D" w:rsidP="00015F15">
            <w:pPr>
              <w:pStyle w:val="Dotpointlist"/>
              <w:numPr>
                <w:ilvl w:val="0"/>
                <w:numId w:val="44"/>
              </w:numPr>
              <w:spacing w:before="120" w:after="240" w:line="240" w:lineRule="auto"/>
              <w:ind w:left="714" w:hanging="357"/>
              <w:jc w:val="both"/>
              <w:rPr>
                <w:rFonts w:ascii="Times New Roman" w:hAnsi="Times New Roman" w:cs="Times New Roman"/>
                <w:sz w:val="22"/>
              </w:rPr>
            </w:pPr>
            <w:r w:rsidRPr="00113F13">
              <w:rPr>
                <w:rFonts w:ascii="Times New Roman" w:eastAsia="Times New Roman" w:hAnsi="Times New Roman" w:cs="Times New Roman"/>
              </w:rPr>
              <w:t xml:space="preserve">whether the crime of stalking and bullying in the </w:t>
            </w:r>
            <w:r w:rsidRPr="00113F13">
              <w:rPr>
                <w:rFonts w:ascii="Times New Roman" w:eastAsia="Times New Roman" w:hAnsi="Times New Roman" w:cs="Times New Roman"/>
                <w:i/>
                <w:iCs/>
              </w:rPr>
              <w:t xml:space="preserve">Criminal Code </w:t>
            </w:r>
            <w:r w:rsidRPr="00113F13">
              <w:rPr>
                <w:rFonts w:ascii="Times New Roman" w:eastAsia="Times New Roman" w:hAnsi="Times New Roman" w:cs="Times New Roman"/>
              </w:rPr>
              <w:t xml:space="preserve">(Tas) </w:t>
            </w:r>
            <w:r w:rsidR="00015F15">
              <w:rPr>
                <w:rFonts w:ascii="Times New Roman" w:eastAsia="Times New Roman" w:hAnsi="Times New Roman" w:cs="Times New Roman"/>
              </w:rPr>
              <w:t>Section</w:t>
            </w:r>
            <w:r w:rsidR="00A60E6D">
              <w:rPr>
                <w:rFonts w:ascii="Times New Roman" w:eastAsia="Times New Roman" w:hAnsi="Times New Roman" w:cs="Times New Roman"/>
              </w:rPr>
              <w:t> </w:t>
            </w:r>
            <w:r w:rsidRPr="00113F13">
              <w:rPr>
                <w:rFonts w:ascii="Times New Roman" w:eastAsia="Times New Roman" w:hAnsi="Times New Roman" w:cs="Times New Roman"/>
              </w:rPr>
              <w:t>192 should be amended to more clearly criminalise surveillance conducted by technology; for example, by installing tracking and spyware applications on mobile phones, electronic devices, and vehicles, as well as installing covert cameras and the use of drones</w:t>
            </w:r>
            <w:r w:rsidRPr="00113F13">
              <w:rPr>
                <w:rFonts w:ascii="Times New Roman" w:hAnsi="Times New Roman" w:cs="Times New Roman"/>
              </w:rPr>
              <w:t>.</w:t>
            </w:r>
          </w:p>
        </w:tc>
      </w:tr>
    </w:tbl>
    <w:p w14:paraId="62A76163" w14:textId="598B24B1" w:rsidR="00FF302D" w:rsidRPr="00113F13" w:rsidRDefault="006B66A5" w:rsidP="00BF1FE7">
      <w:pPr>
        <w:pStyle w:val="NumberedHeadingTLRI"/>
      </w:pPr>
      <w:bookmarkStart w:id="1023" w:name="_Toc91832019"/>
      <w:bookmarkStart w:id="1024" w:name="_Toc130540454"/>
      <w:bookmarkStart w:id="1025" w:name="_Toc164606746"/>
      <w:r>
        <w:t xml:space="preserve">  </w:t>
      </w:r>
      <w:bookmarkStart w:id="1026" w:name="_Ref165026393"/>
      <w:r w:rsidR="00FF302D" w:rsidRPr="00113F13">
        <w:t>Unauthorised sharing of intimate images</w:t>
      </w:r>
      <w:bookmarkEnd w:id="1023"/>
      <w:bookmarkEnd w:id="1024"/>
      <w:bookmarkEnd w:id="1025"/>
      <w:bookmarkEnd w:id="1026"/>
    </w:p>
    <w:p w14:paraId="4A500A7A" w14:textId="2FBF8AB0" w:rsidR="00FF302D" w:rsidRPr="00113F13" w:rsidRDefault="00FF302D" w:rsidP="00B63604">
      <w:pPr>
        <w:pStyle w:val="NormalNumberedTextTLRI"/>
        <w:numPr>
          <w:ilvl w:val="2"/>
          <w:numId w:val="31"/>
        </w:numPr>
        <w:tabs>
          <w:tab w:val="clear" w:pos="720"/>
        </w:tabs>
        <w:spacing w:line="259" w:lineRule="auto"/>
      </w:pPr>
      <w:r w:rsidRPr="00113F13">
        <w:t>The unauthorised sharing of intimate images is also described as ‘image-based abuse’ or, colloquially, ‘revenge porn’. Australian research suggests that image-based sexual abuse is relatively common (reported by one in five respondents) and disproportionately affects Aboriginal and Torres Strait Islander people, people with a disability, homosexual and bisexual people, and young people.</w:t>
      </w:r>
      <w:r w:rsidRPr="00113F13">
        <w:rPr>
          <w:rStyle w:val="FootnoteReference"/>
          <w:rFonts w:ascii="Times New Roman" w:hAnsi="Times New Roman"/>
        </w:rPr>
        <w:footnoteReference w:id="1133"/>
      </w:r>
      <w:r w:rsidRPr="00113F13">
        <w:t xml:space="preserve"> As acknowledged by the eSafety Commissioner, it is ‘generally intended to cause harm, distress, humiliation and embarrassment’ and may be done ‘in an attempt to control, coerce, </w:t>
      </w:r>
      <w:r w:rsidR="0067400C">
        <w:t>“</w:t>
      </w:r>
      <w:r w:rsidRPr="00113F13">
        <w:t>punish” or blackmail the target of the image-based abuse</w:t>
      </w:r>
      <w:r w:rsidR="0067400C">
        <w:t>’</w:t>
      </w:r>
      <w:r w:rsidRPr="003215A2">
        <w:t>.</w:t>
      </w:r>
      <w:r w:rsidRPr="003215A2">
        <w:rPr>
          <w:rStyle w:val="FootnoteReference"/>
          <w:rFonts w:ascii="Times New Roman" w:hAnsi="Times New Roman"/>
        </w:rPr>
        <w:footnoteReference w:id="1134"/>
      </w:r>
      <w:r w:rsidRPr="003215A2">
        <w:t xml:space="preserve"> The </w:t>
      </w:r>
      <w:r w:rsidRPr="00113F13">
        <w:t xml:space="preserve">unauthorised or non-consensual sharing of intimate images covers a broad range of conduct, including images that were: initially taken with consent or by the person themselves and later shared without consent; shared initially with consent and then later shared without consent; or obtained without consent, such as from online sites or through the </w:t>
      </w:r>
      <w:r w:rsidRPr="00113F13">
        <w:lastRenderedPageBreak/>
        <w:t>use of hidden recording device, and then distributed.</w:t>
      </w:r>
      <w:r w:rsidRPr="00113F13">
        <w:rPr>
          <w:rStyle w:val="FootnoteReference"/>
          <w:rFonts w:ascii="Times New Roman" w:hAnsi="Times New Roman"/>
        </w:rPr>
        <w:footnoteReference w:id="1135"/>
      </w:r>
      <w:r w:rsidRPr="00113F13">
        <w:t xml:space="preserve"> It may also include doctored images (including intimate ‘deepfake images’ created using generative artificial intelligence).</w:t>
      </w:r>
      <w:r w:rsidRPr="00113F13">
        <w:rPr>
          <w:rStyle w:val="FootnoteReference"/>
          <w:rFonts w:ascii="Times New Roman" w:hAnsi="Times New Roman"/>
        </w:rPr>
        <w:footnoteReference w:id="1136"/>
      </w:r>
      <w:r w:rsidRPr="00113F13">
        <w:t xml:space="preserve"> Research suggests that there can be serious and harmful consequences for the targets of such abuse.</w:t>
      </w:r>
      <w:r w:rsidRPr="00113F13">
        <w:rPr>
          <w:rStyle w:val="FootnoteReference"/>
          <w:rFonts w:ascii="Times New Roman" w:hAnsi="Times New Roman"/>
        </w:rPr>
        <w:footnoteReference w:id="1137"/>
      </w:r>
      <w:r w:rsidRPr="00113F13">
        <w:t xml:space="preserve"> However, regardless of the harm, it also amounts to a breach of an individual’s ‘fundamental rights to dignity and privacy, as well as their freedom of sexual expression and autonomy’.</w:t>
      </w:r>
      <w:r w:rsidRPr="00113F13">
        <w:rPr>
          <w:rStyle w:val="FootnoteReference"/>
          <w:rFonts w:ascii="Times New Roman" w:hAnsi="Times New Roman"/>
        </w:rPr>
        <w:footnoteReference w:id="1138"/>
      </w:r>
    </w:p>
    <w:p w14:paraId="7BAEB94B" w14:textId="77777777" w:rsidR="00FF302D" w:rsidRPr="00113F13" w:rsidRDefault="00FF302D" w:rsidP="00113F13">
      <w:pPr>
        <w:pStyle w:val="Headingunnumbered"/>
        <w:rPr>
          <w:rFonts w:cs="Times New Roman"/>
        </w:rPr>
      </w:pPr>
      <w:bookmarkStart w:id="1027" w:name="_Toc164606747"/>
      <w:r w:rsidRPr="00113F13">
        <w:rPr>
          <w:rFonts w:cs="Times New Roman"/>
        </w:rPr>
        <w:t>The Tasmanian position</w:t>
      </w:r>
      <w:bookmarkEnd w:id="1027"/>
    </w:p>
    <w:p w14:paraId="79075D51"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In Tasmania, there is no specific Tasmanian law concerning image-based abuse. However, an offence may be committed under the </w:t>
      </w:r>
      <w:r w:rsidRPr="00113F13">
        <w:rPr>
          <w:i/>
          <w:iCs/>
        </w:rPr>
        <w:t xml:space="preserve">Police Offences Act 1935 </w:t>
      </w:r>
      <w:r w:rsidRPr="00113F13">
        <w:t>(Tas), if a person publishes or distributes a recording made without consent and when the person is in a private place or engaging in a private act.</w:t>
      </w:r>
      <w:r w:rsidRPr="00113F13">
        <w:rPr>
          <w:rStyle w:val="FootnoteReference"/>
          <w:rFonts w:ascii="Times New Roman" w:hAnsi="Times New Roman"/>
        </w:rPr>
        <w:footnoteReference w:id="1139"/>
      </w:r>
      <w:r w:rsidRPr="00113F13">
        <w:t xml:space="preserve"> This offence does not apply if the recording was made with consent but is subsequently published or distributed without consent. However, it is a crime under Commonwealth laws to share private sexual images online without consent.</w:t>
      </w:r>
      <w:r w:rsidRPr="00113F13">
        <w:rPr>
          <w:rStyle w:val="FootnoteReference"/>
          <w:rFonts w:ascii="Times New Roman" w:hAnsi="Times New Roman"/>
        </w:rPr>
        <w:footnoteReference w:id="1140"/>
      </w:r>
      <w:r w:rsidRPr="00113F13">
        <w:t xml:space="preserve"> These Commonwealth offences apply in Tasmania. If the images involve people under the age of 18, then the conduct may also fall under child sexual exploitation material.</w:t>
      </w:r>
    </w:p>
    <w:p w14:paraId="2A93DBF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While an attempt was made to introduce an offence of image-based abuse, and associated remedies, in 2017, the </w:t>
      </w:r>
      <w:r w:rsidRPr="00113F13">
        <w:rPr>
          <w:i/>
          <w:iCs/>
        </w:rPr>
        <w:t>Civil Digital Communications Bill 2017</w:t>
      </w:r>
      <w:r w:rsidRPr="00113F13">
        <w:t xml:space="preserve"> (Tas) did not progress past its First Reading in the House of Assembly.</w:t>
      </w:r>
      <w:r w:rsidRPr="00113F13">
        <w:rPr>
          <w:rStyle w:val="FootnoteReference"/>
          <w:rFonts w:ascii="Times New Roman" w:hAnsi="Times New Roman"/>
        </w:rPr>
        <w:footnoteReference w:id="1141"/>
      </w:r>
      <w:r w:rsidRPr="00113F13">
        <w:t xml:space="preserve"> </w:t>
      </w:r>
    </w:p>
    <w:p w14:paraId="056B8AF3" w14:textId="77777777" w:rsidR="00FF302D" w:rsidRPr="00113F13" w:rsidRDefault="00FF302D" w:rsidP="00113F13">
      <w:pPr>
        <w:pStyle w:val="Headingunnumbered"/>
        <w:rPr>
          <w:rFonts w:cs="Times New Roman"/>
          <w:lang w:val="en-GB"/>
        </w:rPr>
      </w:pPr>
      <w:bookmarkStart w:id="1028" w:name="_Toc164606748"/>
      <w:r w:rsidRPr="00113F13">
        <w:rPr>
          <w:rFonts w:cs="Times New Roman"/>
          <w:lang w:val="en-GB"/>
        </w:rPr>
        <w:t xml:space="preserve">The </w:t>
      </w:r>
      <w:r w:rsidRPr="00113F13">
        <w:rPr>
          <w:rFonts w:cs="Times New Roman"/>
        </w:rPr>
        <w:t>position</w:t>
      </w:r>
      <w:r w:rsidRPr="00113F13">
        <w:rPr>
          <w:rFonts w:cs="Times New Roman"/>
          <w:lang w:val="en-GB"/>
        </w:rPr>
        <w:t xml:space="preserve"> in other jurisdictions</w:t>
      </w:r>
      <w:bookmarkEnd w:id="1028"/>
    </w:p>
    <w:p w14:paraId="09BE406E" w14:textId="77777777" w:rsidR="00FF302D" w:rsidRPr="00113F13" w:rsidRDefault="00FF302D" w:rsidP="00B63604">
      <w:pPr>
        <w:pStyle w:val="NormalNumberedTextTLRI"/>
        <w:numPr>
          <w:ilvl w:val="2"/>
          <w:numId w:val="31"/>
        </w:numPr>
        <w:tabs>
          <w:tab w:val="clear" w:pos="720"/>
        </w:tabs>
        <w:spacing w:line="259" w:lineRule="auto"/>
      </w:pPr>
      <w:bookmarkStart w:id="1029" w:name="_Ref165026658"/>
      <w:r w:rsidRPr="00113F13">
        <w:t xml:space="preserve">At the Commonwealth level (and applying in Tasmania), the </w:t>
      </w:r>
      <w:r w:rsidRPr="00113F13">
        <w:rPr>
          <w:i/>
          <w:iCs/>
        </w:rPr>
        <w:t xml:space="preserve">Enhancing Online Safety (Non-consensual Sharing of Intimate Images) Act 2018 </w:t>
      </w:r>
      <w:r w:rsidRPr="00113F13">
        <w:t xml:space="preserve">(Cth) amended the </w:t>
      </w:r>
      <w:r w:rsidRPr="00113F13">
        <w:rPr>
          <w:i/>
          <w:iCs/>
        </w:rPr>
        <w:t>Criminal Code Act 1995</w:t>
      </w:r>
      <w:r w:rsidRPr="00113F13">
        <w:t xml:space="preserve"> (Cth) to provide for an aggravated version of the existing offence of using a carriage service to menace, harass, or cause offence.</w:t>
      </w:r>
      <w:r w:rsidRPr="00113F13">
        <w:rPr>
          <w:rStyle w:val="FootnoteReference"/>
          <w:rFonts w:ascii="Times New Roman" w:hAnsi="Times New Roman"/>
        </w:rPr>
        <w:footnoteReference w:id="1142"/>
      </w:r>
      <w:r w:rsidRPr="00113F13">
        <w:t xml:space="preserve"> The aggravated offence applies where commission of the underlying offence involves transmitting, making available, publishing, distributing, advertising, or promoting private sexual material. This amendment is largely targeted at image-based abuse, which involves the non-consensual online publication of intimate sexual images of an individual, usually with the intent or effect of harassing, blackmailing, shaming, or demeaning them.</w:t>
      </w:r>
      <w:bookmarkEnd w:id="1029"/>
    </w:p>
    <w:p w14:paraId="62BA7F9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There is also a civil law scheme set out in Part 6 of the </w:t>
      </w:r>
      <w:r w:rsidRPr="00113F13">
        <w:rPr>
          <w:i/>
          <w:iCs/>
        </w:rPr>
        <w:t xml:space="preserve">Online Safety Act 2015 </w:t>
      </w:r>
      <w:r w:rsidRPr="00113F13">
        <w:t xml:space="preserve">(Cth), which creates civil penalty offences for posting intimate images on social media without a person’s consent. </w:t>
      </w:r>
      <w:r w:rsidRPr="00113F13">
        <w:lastRenderedPageBreak/>
        <w:t>The penalties can be imposed by a Federal Court or the Federal Circuit Court, following application by the National e-Safety Commissioner. The National e-Safety Commissioner also gained various powers under the amendments, including powers to investigate complaints with respect to intimate images, issue infringement notices, and require social media providers to take reasonable steps to remove intimate images. As with the amendments to the federal criminal law, this is largely targeted at image-based abuse.</w:t>
      </w:r>
    </w:p>
    <w:p w14:paraId="27BED16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These provisions were retained and largely replicated in the </w:t>
      </w:r>
      <w:r w:rsidRPr="00113F13">
        <w:rPr>
          <w:i/>
          <w:iCs/>
        </w:rPr>
        <w:t>Online Safety Act 2021</w:t>
      </w:r>
      <w:r w:rsidRPr="00113F13">
        <w:t xml:space="preserve"> (Cth). This Act further introduced a complaints-based removal notice system and further strengthened the e-Safety Commissioner’s powers to allow for ordering the removal of material posted with the likely intention of causing serious harm, including cyberbullying and image-based abuse.</w:t>
      </w:r>
      <w:r w:rsidRPr="00113F13">
        <w:rPr>
          <w:rStyle w:val="FootnoteReference"/>
          <w:rFonts w:ascii="Times New Roman" w:hAnsi="Times New Roman"/>
        </w:rPr>
        <w:footnoteReference w:id="1143"/>
      </w:r>
      <w:r w:rsidRPr="00113F13">
        <w:t xml:space="preserve"> This Act is intended to operate concurrently with State and Territory laws.</w:t>
      </w:r>
      <w:r w:rsidRPr="00113F13">
        <w:rPr>
          <w:rStyle w:val="FootnoteReference"/>
          <w:rFonts w:ascii="Times New Roman" w:hAnsi="Times New Roman"/>
        </w:rPr>
        <w:footnoteReference w:id="1144"/>
      </w:r>
    </w:p>
    <w:p w14:paraId="5E751431" w14:textId="23E9D836" w:rsidR="00FF302D" w:rsidRPr="00113F13" w:rsidRDefault="00FF302D" w:rsidP="00B63604">
      <w:pPr>
        <w:pStyle w:val="NormalNumberedTextTLRI"/>
        <w:numPr>
          <w:ilvl w:val="2"/>
          <w:numId w:val="31"/>
        </w:numPr>
        <w:tabs>
          <w:tab w:val="clear" w:pos="720"/>
        </w:tabs>
        <w:spacing w:line="259" w:lineRule="auto"/>
      </w:pPr>
      <w:r w:rsidRPr="00113F13">
        <w:t xml:space="preserve">In 2017, Commonwealth, State, and Territory jurisdictions agreed to the </w:t>
      </w:r>
      <w:r w:rsidRPr="00113F13">
        <w:rPr>
          <w:i/>
          <w:iCs/>
        </w:rPr>
        <w:t>National Statement of Principles Relating to the Criminalisation of the Non-Consensual Sharing of Intimate Images</w:t>
      </w:r>
      <w:r w:rsidRPr="00113F13">
        <w:t>.</w:t>
      </w:r>
      <w:r w:rsidRPr="00113F13">
        <w:rPr>
          <w:rStyle w:val="FootnoteReference"/>
          <w:rFonts w:ascii="Times New Roman" w:hAnsi="Times New Roman"/>
        </w:rPr>
        <w:footnoteReference w:id="1145"/>
      </w:r>
      <w:r w:rsidRPr="00113F13">
        <w:t xml:space="preserve"> This led to nearly all States and Territories passing laws that introduced offences concerning the distribution of intimate images and offences to threaten to send an intimate image without consent. For example, the </w:t>
      </w:r>
      <w:r w:rsidRPr="00113F13">
        <w:rPr>
          <w:i/>
          <w:iCs/>
        </w:rPr>
        <w:t>Crimes Act 1900</w:t>
      </w:r>
      <w:r w:rsidRPr="00113F13">
        <w:t xml:space="preserve"> (NSW) </w:t>
      </w:r>
      <w:r w:rsidR="009E4420">
        <w:t>S</w:t>
      </w:r>
      <w:r w:rsidRPr="00113F13">
        <w:t xml:space="preserve">ection 91Q creates an offence of distributing an intimate image without consent, and </w:t>
      </w:r>
      <w:r w:rsidR="009E4420">
        <w:t>Section</w:t>
      </w:r>
      <w:r w:rsidRPr="00113F13">
        <w:t xml:space="preserve"> 91R creates an offence of threatening to record or distribute an intimate image. Similar offences have also been introduced in Queensland, the ACT, Victoria, Western Australia, the Northern Territory, and South Australia.</w:t>
      </w:r>
      <w:r w:rsidRPr="00113F13">
        <w:rPr>
          <w:rStyle w:val="FootnoteReference"/>
          <w:rFonts w:ascii="Times New Roman" w:hAnsi="Times New Roman"/>
        </w:rPr>
        <w:footnoteReference w:id="1146"/>
      </w:r>
      <w:r w:rsidRPr="00113F13">
        <w:t xml:space="preserve"> Notably, Tasmania remains the current exception where such crimes have </w:t>
      </w:r>
      <w:r w:rsidRPr="00113F13">
        <w:rPr>
          <w:i/>
          <w:iCs/>
        </w:rPr>
        <w:t xml:space="preserve">not </w:t>
      </w:r>
      <w:r w:rsidRPr="00113F13">
        <w:t>been introduced. In the creation of such an offence, the law should make it clear that the prohibition extends to distributing (or threatening to distribute) images created or modified by the use of artificial intelligence.</w:t>
      </w:r>
      <w:r w:rsidRPr="00113F13">
        <w:rPr>
          <w:rStyle w:val="FootnoteReference"/>
          <w:rFonts w:ascii="Times New Roman" w:hAnsi="Times New Roman"/>
        </w:rPr>
        <w:footnoteReference w:id="1147"/>
      </w:r>
    </w:p>
    <w:p w14:paraId="4C949496" w14:textId="71BA8189" w:rsidR="00FF302D" w:rsidRPr="00113F13" w:rsidRDefault="004A64A7" w:rsidP="00BF1FE7">
      <w:pPr>
        <w:pStyle w:val="NumberedHeadingTLRI"/>
        <w:rPr>
          <w:lang w:val="en-GB"/>
        </w:rPr>
      </w:pPr>
      <w:bookmarkStart w:id="1030" w:name="_Toc164606749"/>
      <w:r>
        <w:rPr>
          <w:lang w:val="en-GB"/>
        </w:rPr>
        <w:t xml:space="preserve">  </w:t>
      </w:r>
      <w:r w:rsidR="00FF302D" w:rsidRPr="00113F13">
        <w:rPr>
          <w:lang w:val="en-GB"/>
        </w:rPr>
        <w:t xml:space="preserve">The Commonwealth </w:t>
      </w:r>
      <w:r w:rsidR="00FF302D" w:rsidRPr="00113F13">
        <w:t>Privacy</w:t>
      </w:r>
      <w:r w:rsidR="00FF302D" w:rsidRPr="00113F13">
        <w:rPr>
          <w:lang w:val="en-GB"/>
        </w:rPr>
        <w:t xml:space="preserve"> Act Review</w:t>
      </w:r>
      <w:bookmarkEnd w:id="1030"/>
    </w:p>
    <w:p w14:paraId="7B1510D6"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Commonwealth Privacy Act Review considered ways to protect privacy as alternatives or in addition to the creation of statutory tort. One option considered was the extension of the protections under the Privacy Act to individuals to provide greater options for a victim, including making a complaint or applying to the courts under a direct right of action, rather than to litigate a tort. However, this option was not the Review’s preferred approach, given the regulation of intimate image abuse was already provided for in the </w:t>
      </w:r>
      <w:r w:rsidRPr="00113F13">
        <w:rPr>
          <w:i/>
          <w:iCs/>
        </w:rPr>
        <w:t xml:space="preserve">Online Safety Act 2021 </w:t>
      </w:r>
      <w:r w:rsidRPr="00113F13">
        <w:t>(Cth). However, the Review stated that ‘[i]t may be appropriate to consider the feasibility of a mechanism to enable individuals to seek compensation against perpetrators as part of the eSafety framework to achieve a less fragmented approach’.</w:t>
      </w:r>
      <w:r w:rsidRPr="00113F13">
        <w:rPr>
          <w:rStyle w:val="FootnoteReference"/>
          <w:rFonts w:ascii="Times New Roman" w:hAnsi="Times New Roman"/>
        </w:rPr>
        <w:footnoteReference w:id="1148"/>
      </w:r>
    </w:p>
    <w:p w14:paraId="7233D37B" w14:textId="55E28F1F" w:rsidR="00FF302D" w:rsidRPr="00113F13" w:rsidRDefault="00EE19DC" w:rsidP="00BF1FE7">
      <w:pPr>
        <w:pStyle w:val="NumberedHeadingTLRI"/>
        <w:rPr>
          <w:lang w:val="en-GB"/>
        </w:rPr>
      </w:pPr>
      <w:bookmarkStart w:id="1031" w:name="_Toc164606750"/>
      <w:r>
        <w:lastRenderedPageBreak/>
        <w:t xml:space="preserve">  </w:t>
      </w:r>
      <w:r w:rsidR="00FF302D" w:rsidRPr="00113F13">
        <w:t>Consultation</w:t>
      </w:r>
      <w:bookmarkEnd w:id="1031"/>
    </w:p>
    <w:p w14:paraId="49450BB2"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Issues Paper invited submissions on privacy in the context of the unauthorised sharing of intimate images in response to the following question: </w:t>
      </w:r>
    </w:p>
    <w:p w14:paraId="78DE88CC" w14:textId="77777777" w:rsidR="00FF302D" w:rsidRPr="00113F13" w:rsidRDefault="00FF302D" w:rsidP="00113F13">
      <w:pPr>
        <w:pStyle w:val="Indentedquote"/>
        <w:rPr>
          <w:rFonts w:cs="Times New Roman"/>
        </w:rPr>
      </w:pPr>
      <w:r w:rsidRPr="00113F13">
        <w:rPr>
          <w:rFonts w:cs="Times New Roman"/>
        </w:rPr>
        <w:t>Are the existing legislative protections (largely at the Commonwealth level) against image-based abuse and similar online privacy interferences adequate to protect individual privacy, or should the Tasmanian Parliament enact new criminal offences or civil remedies for such egregious online interferences with privacy, as other Australian jurisdictions have done?</w:t>
      </w:r>
      <w:r w:rsidRPr="00113F13">
        <w:rPr>
          <w:rStyle w:val="FootnoteReference"/>
          <w:rFonts w:ascii="Times New Roman" w:hAnsi="Times New Roman" w:cs="Times New Roman"/>
        </w:rPr>
        <w:t xml:space="preserve"> </w:t>
      </w:r>
      <w:r w:rsidRPr="00113F13">
        <w:rPr>
          <w:rStyle w:val="FootnoteReference"/>
          <w:rFonts w:ascii="Times New Roman" w:hAnsi="Times New Roman" w:cs="Times New Roman"/>
        </w:rPr>
        <w:footnoteReference w:id="1149"/>
      </w:r>
    </w:p>
    <w:p w14:paraId="0C32F1D9" w14:textId="77777777" w:rsidR="00FF302D" w:rsidRPr="00113F13" w:rsidRDefault="00FF302D" w:rsidP="00B63604">
      <w:pPr>
        <w:pStyle w:val="NormalNumberedTextTLRI"/>
        <w:numPr>
          <w:ilvl w:val="2"/>
          <w:numId w:val="31"/>
        </w:numPr>
        <w:tabs>
          <w:tab w:val="clear" w:pos="720"/>
        </w:tabs>
        <w:spacing w:line="259" w:lineRule="auto"/>
      </w:pPr>
      <w:r w:rsidRPr="00113F13">
        <w:t>Three submissions addressed this question; all considered that the law should be updated.</w:t>
      </w:r>
      <w:r w:rsidRPr="00113F13">
        <w:rPr>
          <w:rStyle w:val="FootnoteReference"/>
          <w:rFonts w:ascii="Times New Roman" w:hAnsi="Times New Roman"/>
        </w:rPr>
        <w:footnoteReference w:id="1150"/>
      </w:r>
      <w:r w:rsidRPr="00113F13">
        <w:t xml:space="preserve"> Meg Webb MLC considered that new criminal offences should be created in Tasmania, or at least civil remedies, for image-based abuse and similar online privacy interferences, consistent with other Australian jurisdictions. Similarly, Youth Law Australia highlighted that Tasmania had not introduced specific offences concerning distribution of intimate images without consent and is the only jurisdiction not to have done so. Youth Law Australia stressed that the sharing of intimate images is not only a privacy concern, but also a harmful form of sexual violence, having potentially devastating consequences. </w:t>
      </w:r>
    </w:p>
    <w:p w14:paraId="1974CF80" w14:textId="77777777" w:rsidR="00FF302D" w:rsidRPr="00113F13" w:rsidRDefault="00FF302D" w:rsidP="00B63604">
      <w:pPr>
        <w:pStyle w:val="NormalNumberedTextTLRI"/>
        <w:numPr>
          <w:ilvl w:val="2"/>
          <w:numId w:val="31"/>
        </w:numPr>
        <w:tabs>
          <w:tab w:val="clear" w:pos="720"/>
        </w:tabs>
        <w:spacing w:line="259" w:lineRule="auto"/>
      </w:pPr>
      <w:r w:rsidRPr="00113F13">
        <w:t>In its submission, Youth Law Australia also commented on the particular vulnerability of children and young people and that there was often little a victim can do to negate damage (especially if the image is shared on internet and social media). Youth Law Australia submitted that Tasmania should have specific offences that: </w:t>
      </w:r>
    </w:p>
    <w:p w14:paraId="314927C9" w14:textId="77777777" w:rsidR="00FF302D" w:rsidRPr="00113F13" w:rsidRDefault="00FF302D" w:rsidP="00113F13">
      <w:pPr>
        <w:pStyle w:val="DotPointTLRI"/>
        <w:rPr>
          <w:rStyle w:val="eop"/>
          <w:rFonts w:eastAsiaTheme="majorEastAsia"/>
          <w:bCs/>
          <w:color w:val="0D0D0D" w:themeColor="text1" w:themeTint="F2"/>
          <w:szCs w:val="22"/>
        </w:rPr>
      </w:pPr>
      <w:r w:rsidRPr="00113F13">
        <w:rPr>
          <w:rStyle w:val="normaltextrun"/>
          <w:rFonts w:eastAsiaTheme="minorEastAsia"/>
          <w:szCs w:val="22"/>
        </w:rPr>
        <w:t>clearly apply to threatened and actual sharing of intimate images without consent to reflect the gravity of this conduct and to bring Tasmania into line with other states and territories;</w:t>
      </w:r>
      <w:r w:rsidRPr="00113F13">
        <w:rPr>
          <w:rStyle w:val="eop"/>
          <w:rFonts w:eastAsiaTheme="minorEastAsia"/>
          <w:szCs w:val="22"/>
        </w:rPr>
        <w:t> and</w:t>
      </w:r>
    </w:p>
    <w:p w14:paraId="244269B9" w14:textId="77777777" w:rsidR="00FF302D" w:rsidRPr="00113F13" w:rsidRDefault="00FF302D" w:rsidP="00113F13">
      <w:pPr>
        <w:pStyle w:val="DotPointTLRI"/>
      </w:pPr>
      <w:r w:rsidRPr="00113F13">
        <w:rPr>
          <w:rStyle w:val="normaltextrun"/>
          <w:rFonts w:eastAsiaTheme="minorEastAsia"/>
          <w:szCs w:val="22"/>
        </w:rPr>
        <w:t>make it clear that young people below a certain age (for example, 16) cannot consent to sharing of an intimate image that involves them.</w:t>
      </w:r>
    </w:p>
    <w:p w14:paraId="22DE9761" w14:textId="79BDEF0E" w:rsidR="00FF302D" w:rsidRPr="00113F13" w:rsidRDefault="00EE19DC" w:rsidP="00BF1FE7">
      <w:pPr>
        <w:pStyle w:val="NumberedHeadingTLRI"/>
        <w:rPr>
          <w:lang w:val="en-GB"/>
        </w:rPr>
      </w:pPr>
      <w:bookmarkStart w:id="1032" w:name="_Toc164606751"/>
      <w:r>
        <w:rPr>
          <w:lang w:val="en-GB"/>
        </w:rPr>
        <w:t xml:space="preserve">  </w:t>
      </w:r>
      <w:r w:rsidR="00FF302D" w:rsidRPr="00113F13">
        <w:rPr>
          <w:lang w:val="en-GB"/>
        </w:rPr>
        <w:t>The TLRI’s view</w:t>
      </w:r>
      <w:bookmarkEnd w:id="1032"/>
    </w:p>
    <w:p w14:paraId="50622E6B" w14:textId="77777777" w:rsidR="00FF302D" w:rsidRDefault="00FF302D" w:rsidP="00B63604">
      <w:pPr>
        <w:pStyle w:val="NormalNumberedTextTLRI"/>
        <w:numPr>
          <w:ilvl w:val="2"/>
          <w:numId w:val="31"/>
        </w:numPr>
        <w:tabs>
          <w:tab w:val="clear" w:pos="720"/>
        </w:tabs>
        <w:spacing w:line="259" w:lineRule="auto"/>
      </w:pPr>
      <w:r w:rsidRPr="00113F13">
        <w:t xml:space="preserve">As recognised by Youth Law Australia, and in research literature, the unauthorised sharing of intimate images can cause considerable harm. While the Commonwealth </w:t>
      </w:r>
      <w:r w:rsidRPr="00113F13">
        <w:rPr>
          <w:i/>
          <w:iCs/>
        </w:rPr>
        <w:t>Criminal Code</w:t>
      </w:r>
      <w:r w:rsidRPr="00113F13">
        <w:t xml:space="preserve"> creates an offence where it is done through the use of a carriage service (which would apply to online sharing) and there is a federal civil image-based abuse scheme, it is the TLRI’s view that Tasmania should, in line with other jurisdictions, enact state-based legislation to creating offences of distributing an intimate image without consent or threatening to distribute an intimate image. This is consistent with the </w:t>
      </w:r>
      <w:r w:rsidRPr="00113F13">
        <w:rPr>
          <w:i/>
          <w:iCs/>
        </w:rPr>
        <w:t>National Statement of Principles relating to the Criminalisation of the Non-consensual Sharing of Intimate Image</w:t>
      </w:r>
      <w:r w:rsidRPr="00113F13">
        <w:t>, which set out principles for nationally consistent criminal offences.</w:t>
      </w:r>
    </w:p>
    <w:p w14:paraId="62AE7481" w14:textId="77777777" w:rsidR="00C35E94" w:rsidRPr="00113F13" w:rsidRDefault="00C35E94" w:rsidP="00C35E94">
      <w:pPr>
        <w:pStyle w:val="NumberedHeadingTLRI"/>
        <w:numPr>
          <w:ilvl w:val="0"/>
          <w:numId w:val="0"/>
        </w:numPr>
        <w:ind w:left="720"/>
      </w:pPr>
    </w:p>
    <w:p w14:paraId="619B91F7" w14:textId="2AD6653B" w:rsidR="00FF302D" w:rsidRPr="00113F13" w:rsidRDefault="003D6459" w:rsidP="00BF1FE7">
      <w:pPr>
        <w:pStyle w:val="NumberedHeadingTLRI"/>
        <w:rPr>
          <w:lang w:val="en-GB"/>
        </w:rPr>
      </w:pPr>
      <w:bookmarkStart w:id="1033" w:name="_Toc164606752"/>
      <w:r>
        <w:rPr>
          <w:lang w:val="en-GB"/>
        </w:rPr>
        <w:lastRenderedPageBreak/>
        <w:t xml:space="preserve">  </w:t>
      </w:r>
      <w:r w:rsidR="00FF302D" w:rsidRPr="00113F13">
        <w:rPr>
          <w:lang w:val="en-GB"/>
        </w:rPr>
        <w:t>Recommendation</w:t>
      </w:r>
      <w:bookmarkEnd w:id="10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11C6979E" w14:textId="77777777" w:rsidTr="00754A3F">
        <w:tc>
          <w:tcPr>
            <w:tcW w:w="9016" w:type="dxa"/>
            <w:shd w:val="clear" w:color="auto" w:fill="E8E8E8" w:themeFill="background2"/>
          </w:tcPr>
          <w:p w14:paraId="283B9B6E" w14:textId="46C8A0F6" w:rsidR="00FF302D" w:rsidRPr="00EA22F8" w:rsidRDefault="00FF302D" w:rsidP="00754A3F">
            <w:pPr>
              <w:pStyle w:val="Heading3"/>
              <w:numPr>
                <w:ilvl w:val="2"/>
                <w:numId w:val="0"/>
              </w:numPr>
              <w:spacing w:before="120"/>
              <w:rPr>
                <w:rFonts w:ascii="Times New Roman" w:hAnsi="Times New Roman" w:cs="Times New Roman"/>
                <w:color w:val="auto"/>
              </w:rPr>
            </w:pPr>
            <w:bookmarkStart w:id="1034" w:name="_Toc164600489"/>
            <w:r w:rsidRPr="00EA22F8">
              <w:rPr>
                <w:rFonts w:ascii="Times New Roman" w:hAnsi="Times New Roman" w:cs="Times New Roman"/>
                <w:b/>
                <w:bCs/>
                <w:color w:val="auto"/>
              </w:rPr>
              <w:t>Recommendation 61:</w:t>
            </w:r>
            <w:r w:rsidRPr="00EA22F8">
              <w:rPr>
                <w:rFonts w:ascii="Times New Roman" w:hAnsi="Times New Roman" w:cs="Times New Roman"/>
                <w:color w:val="auto"/>
              </w:rPr>
              <w:t xml:space="preserve"> Tasmania should, in line with other jurisdictions, enact state-based legislation to creat</w:t>
            </w:r>
            <w:r w:rsidR="00F32CC4">
              <w:rPr>
                <w:rFonts w:ascii="Times New Roman" w:hAnsi="Times New Roman" w:cs="Times New Roman"/>
                <w:color w:val="auto"/>
              </w:rPr>
              <w:t>e</w:t>
            </w:r>
            <w:r w:rsidRPr="00EA22F8">
              <w:rPr>
                <w:rFonts w:ascii="Times New Roman" w:hAnsi="Times New Roman" w:cs="Times New Roman"/>
                <w:color w:val="auto"/>
              </w:rPr>
              <w:t xml:space="preserve"> offences of distributing an intimate image without consent or threatening of distribute an intimate image. In the creation of such an offence, the law should make it clear that the prohibition extends to distributing (or threating to distribute) images created or modified by the use of artificial intelligence.</w:t>
            </w:r>
            <w:bookmarkEnd w:id="1034"/>
          </w:p>
        </w:tc>
      </w:tr>
    </w:tbl>
    <w:p w14:paraId="18017E14" w14:textId="6D59BF42" w:rsidR="00FF302D" w:rsidRPr="00113F13" w:rsidRDefault="003D6459" w:rsidP="00BF1FE7">
      <w:pPr>
        <w:pStyle w:val="NumberedHeadingTLRI"/>
      </w:pPr>
      <w:bookmarkStart w:id="1035" w:name="_Toc164606753"/>
      <w:r>
        <w:t xml:space="preserve">  </w:t>
      </w:r>
      <w:r w:rsidR="00FF302D" w:rsidRPr="00113F13">
        <w:t>Additional protections of health information</w:t>
      </w:r>
      <w:bookmarkEnd w:id="1035"/>
    </w:p>
    <w:p w14:paraId="0C4E77EC" w14:textId="77777777" w:rsidR="00FF302D" w:rsidRPr="00113F13" w:rsidRDefault="00FF302D" w:rsidP="00113F13">
      <w:pPr>
        <w:pStyle w:val="Headingunnumbered"/>
        <w:rPr>
          <w:rFonts w:cs="Times New Roman"/>
        </w:rPr>
      </w:pPr>
      <w:bookmarkStart w:id="1036" w:name="_Health_Information"/>
      <w:bookmarkStart w:id="1037" w:name="_Toc164606754"/>
      <w:bookmarkEnd w:id="1036"/>
      <w:r w:rsidRPr="00113F13">
        <w:rPr>
          <w:rFonts w:cs="Times New Roman"/>
        </w:rPr>
        <w:t>The Tasmanian position</w:t>
      </w:r>
      <w:bookmarkEnd w:id="1037"/>
    </w:p>
    <w:p w14:paraId="395B441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w:t>
      </w:r>
      <w:r w:rsidRPr="00113F13">
        <w:rPr>
          <w:i/>
          <w:iCs/>
        </w:rPr>
        <w:t xml:space="preserve">Health Complaints Act 1995 </w:t>
      </w:r>
      <w:r w:rsidRPr="00113F13">
        <w:t>(Tas) (‘Health Complaints Act’)</w:t>
      </w:r>
      <w:r w:rsidRPr="00113F13">
        <w:rPr>
          <w:i/>
          <w:iCs/>
        </w:rPr>
        <w:t xml:space="preserve"> </w:t>
      </w:r>
      <w:r w:rsidRPr="00113F13">
        <w:t xml:space="preserve">provides for the making, investigation, conciliation, and reference of complaints against public and private health services. </w:t>
      </w:r>
    </w:p>
    <w:p w14:paraId="7D511341" w14:textId="77777777" w:rsidR="00FF302D" w:rsidRPr="00113F13" w:rsidRDefault="00FF302D" w:rsidP="00B63604">
      <w:pPr>
        <w:pStyle w:val="NormalNumberedTextTLRI"/>
        <w:numPr>
          <w:ilvl w:val="2"/>
          <w:numId w:val="31"/>
        </w:numPr>
        <w:tabs>
          <w:tab w:val="clear" w:pos="720"/>
        </w:tabs>
        <w:spacing w:line="259" w:lineRule="auto"/>
      </w:pPr>
      <w:bookmarkStart w:id="1038" w:name="_Ref164853830"/>
      <w:r w:rsidRPr="00113F13">
        <w:t>For the purposes of that Act, ‘health service’</w:t>
      </w:r>
      <w:r w:rsidRPr="00113F13">
        <w:rPr>
          <w:rStyle w:val="FootnoteReference"/>
          <w:rFonts w:ascii="Times New Roman" w:hAnsi="Times New Roman"/>
        </w:rPr>
        <w:footnoteReference w:id="1151"/>
      </w:r>
      <w:r w:rsidRPr="00113F13">
        <w:t xml:space="preserve"> is broadly defined to mean a service provided to a person for, or purportedly for, the benefit of human health, encompassing both services provided at certain places, such as hospitals or nursing homes, and services provided by various listed health professionals.</w:t>
      </w:r>
      <w:r w:rsidRPr="00113F13">
        <w:rPr>
          <w:rStyle w:val="FootnoteReference"/>
          <w:rFonts w:ascii="Times New Roman" w:hAnsi="Times New Roman"/>
        </w:rPr>
        <w:footnoteReference w:id="1152"/>
      </w:r>
      <w:r w:rsidRPr="00113F13">
        <w:t xml:space="preserve"> They include:</w:t>
      </w:r>
      <w:bookmarkEnd w:id="1038"/>
    </w:p>
    <w:p w14:paraId="2A5C9515" w14:textId="77777777" w:rsidR="00FF302D" w:rsidRPr="00113F13" w:rsidRDefault="00FF302D" w:rsidP="00113F13">
      <w:pPr>
        <w:pStyle w:val="DotPointTLRI"/>
      </w:pPr>
      <w:r w:rsidRPr="00113F13">
        <w:t>medical, dental, pharmaceutical, or mental health services;</w:t>
      </w:r>
    </w:p>
    <w:p w14:paraId="3CD012D5" w14:textId="77777777" w:rsidR="00FF302D" w:rsidRPr="00113F13" w:rsidRDefault="00FF302D" w:rsidP="00113F13">
      <w:pPr>
        <w:pStyle w:val="DotPointTLRI"/>
      </w:pPr>
      <w:r w:rsidRPr="00113F13">
        <w:t>aged care or disability care;</w:t>
      </w:r>
    </w:p>
    <w:p w14:paraId="156F44CE" w14:textId="77777777" w:rsidR="00FF302D" w:rsidRPr="00113F13" w:rsidRDefault="00FF302D" w:rsidP="00113F13">
      <w:pPr>
        <w:pStyle w:val="DotPointTLRI"/>
      </w:pPr>
      <w:r w:rsidRPr="00113F13">
        <w:t>natural or alternative health care;</w:t>
      </w:r>
    </w:p>
    <w:p w14:paraId="68AF5AFD" w14:textId="77777777" w:rsidR="00FF302D" w:rsidRPr="00113F13" w:rsidRDefault="00FF302D" w:rsidP="00113F13">
      <w:pPr>
        <w:pStyle w:val="DotPointTLRI"/>
      </w:pPr>
      <w:r w:rsidRPr="00113F13">
        <w:t>laboratory and other support services;</w:t>
      </w:r>
    </w:p>
    <w:p w14:paraId="2A42990B" w14:textId="77777777" w:rsidR="00FF302D" w:rsidRPr="00113F13" w:rsidRDefault="00FF302D" w:rsidP="00113F13">
      <w:pPr>
        <w:pStyle w:val="DotPointTLRI"/>
      </w:pPr>
      <w:r w:rsidRPr="00113F13">
        <w:t>the provision of information relating to promoting health care or health education; and</w:t>
      </w:r>
    </w:p>
    <w:p w14:paraId="57F5FB82" w14:textId="77777777" w:rsidR="00FF302D" w:rsidRPr="00113F13" w:rsidRDefault="00FF302D" w:rsidP="00113F13">
      <w:pPr>
        <w:pStyle w:val="DotPointTLRI"/>
      </w:pPr>
      <w:r w:rsidRPr="00113F13">
        <w:t>any other service for the care or treatment of another person.</w:t>
      </w:r>
    </w:p>
    <w:p w14:paraId="12BE9321" w14:textId="77777777" w:rsidR="00FF302D" w:rsidRPr="00113F13" w:rsidRDefault="00FF302D" w:rsidP="00B63604">
      <w:pPr>
        <w:pStyle w:val="NormalNumberedTextTLRI"/>
        <w:numPr>
          <w:ilvl w:val="2"/>
          <w:numId w:val="31"/>
        </w:numPr>
        <w:tabs>
          <w:tab w:val="clear" w:pos="720"/>
        </w:tabs>
        <w:spacing w:line="259" w:lineRule="auto"/>
      </w:pPr>
      <w:bookmarkStart w:id="1039" w:name="_Toc91536733"/>
      <w:bookmarkEnd w:id="1039"/>
      <w:r w:rsidRPr="00113F13">
        <w:t>The Health Complaints Act empowers the Governor of Tasmania to appoint a Health Complaints Commissioner (‘HCC’), whose functions include: receiving, assessing, and resolving complaints; identifying and reviewing issues arising out of complaints; and suggesting ways to improve health services and preserve and increase health rights; preparing and regularly reviewing a Charter of Health Rights; and providing information, education, and advice, among other things.</w:t>
      </w:r>
      <w:r w:rsidRPr="00113F13">
        <w:rPr>
          <w:rStyle w:val="FootnoteReference"/>
          <w:rFonts w:ascii="Times New Roman" w:hAnsi="Times New Roman"/>
        </w:rPr>
        <w:footnoteReference w:id="1153"/>
      </w:r>
      <w:r w:rsidRPr="00113F13">
        <w:t xml:space="preserve"> Mr Richard Connock was appointed as the Tasmanian Ombudsman and HCC in July 2014.</w:t>
      </w:r>
      <w:r w:rsidRPr="00113F13">
        <w:rPr>
          <w:rStyle w:val="FootnoteReference"/>
          <w:rFonts w:ascii="Times New Roman" w:hAnsi="Times New Roman"/>
        </w:rPr>
        <w:footnoteReference w:id="1154"/>
      </w:r>
      <w:r w:rsidRPr="00113F13">
        <w:t xml:space="preserve"> </w:t>
      </w:r>
    </w:p>
    <w:p w14:paraId="341F17DB" w14:textId="77777777" w:rsidR="00FF302D" w:rsidRPr="00113F13" w:rsidRDefault="00FF302D" w:rsidP="00B63604">
      <w:pPr>
        <w:pStyle w:val="NormalNumberedTextTLRI"/>
        <w:numPr>
          <w:ilvl w:val="2"/>
          <w:numId w:val="31"/>
        </w:numPr>
        <w:tabs>
          <w:tab w:val="clear" w:pos="720"/>
        </w:tabs>
        <w:spacing w:line="259" w:lineRule="auto"/>
      </w:pPr>
      <w:r w:rsidRPr="00113F13">
        <w:t xml:space="preserve">Complaints to the HCC may be made by health service users, by representatives or parents/guardians of children, and by people holding powers of attorney for a health service user, among others. Complaints can be made about a wide range of matters, including that ‘a health service provided </w:t>
      </w:r>
      <w:r w:rsidRPr="00113F13">
        <w:lastRenderedPageBreak/>
        <w:t>failed to respect a health service user’s privacy or dignity’</w:t>
      </w:r>
      <w:r w:rsidRPr="00113F13">
        <w:rPr>
          <w:rStyle w:val="FootnoteReference"/>
          <w:rFonts w:ascii="Times New Roman" w:hAnsi="Times New Roman"/>
        </w:rPr>
        <w:footnoteReference w:id="1155"/>
      </w:r>
      <w:r w:rsidRPr="00113F13">
        <w:t xml:space="preserve"> and that ‘a health service provider acted unreasonably in disclosing information in relation to a health service user’.</w:t>
      </w:r>
      <w:r w:rsidRPr="00113F13">
        <w:rPr>
          <w:rStyle w:val="FootnoteReference"/>
          <w:rFonts w:ascii="Times New Roman" w:hAnsi="Times New Roman"/>
        </w:rPr>
        <w:footnoteReference w:id="1156"/>
      </w:r>
    </w:p>
    <w:p w14:paraId="27E2EF3F" w14:textId="77777777" w:rsidR="00FF302D" w:rsidRPr="00113F13" w:rsidRDefault="00FF302D" w:rsidP="00B63604">
      <w:pPr>
        <w:pStyle w:val="NormalNumberedTextTLRI"/>
        <w:numPr>
          <w:ilvl w:val="2"/>
          <w:numId w:val="31"/>
        </w:numPr>
        <w:tabs>
          <w:tab w:val="clear" w:pos="720"/>
        </w:tabs>
        <w:spacing w:line="259" w:lineRule="auto"/>
      </w:pPr>
      <w:r w:rsidRPr="00113F13">
        <w:t>Compliance with the</w:t>
      </w:r>
      <w:r w:rsidRPr="00113F13">
        <w:rPr>
          <w:i/>
          <w:iCs/>
        </w:rPr>
        <w:t xml:space="preserve"> Tasmanian</w:t>
      </w:r>
      <w:r w:rsidRPr="00113F13">
        <w:t xml:space="preserve"> </w:t>
      </w:r>
      <w:r w:rsidRPr="00113F13">
        <w:rPr>
          <w:i/>
          <w:iCs/>
        </w:rPr>
        <w:t xml:space="preserve">Charter of Health Rights and Responsibilities </w:t>
      </w:r>
      <w:r w:rsidRPr="00113F13">
        <w:t>(‘the Charter’), created by the HCC, is one of the grounds for complaint under the Health Services Act.</w:t>
      </w:r>
      <w:r w:rsidRPr="00113F13">
        <w:rPr>
          <w:rStyle w:val="FootnoteReference"/>
          <w:rFonts w:ascii="Times New Roman" w:hAnsi="Times New Roman"/>
        </w:rPr>
        <w:footnoteReference w:id="1157"/>
      </w:r>
      <w:r w:rsidRPr="00113F13">
        <w:t xml:space="preserve"> The Charter must be taken into account when assessing whether a health service’s actions were reasonable.</w:t>
      </w:r>
      <w:r w:rsidRPr="00113F13">
        <w:rPr>
          <w:rStyle w:val="FootnoteReference"/>
          <w:rFonts w:ascii="Times New Roman" w:hAnsi="Times New Roman"/>
        </w:rPr>
        <w:footnoteReference w:id="1158"/>
      </w:r>
      <w:r w:rsidRPr="00113F13">
        <w:t xml:space="preserve"> Some rights listed in the Charter relate to information confidentiality, privacy, and security. These include the right to have personal health information and any sensitive matters kept confidential, including that ‘[n]o identifying information about the consumer, his/her condition or treatment may be disclosed without his/her consent unless the disclosure is required or authorised by law’, and the right to expect that information about one’s health is ‘kept securely and cannot be easily accessed by unauthorised persons’.</w:t>
      </w:r>
      <w:r w:rsidRPr="00113F13">
        <w:rPr>
          <w:rStyle w:val="FootnoteReference"/>
          <w:rFonts w:ascii="Times New Roman" w:hAnsi="Times New Roman"/>
        </w:rPr>
        <w:footnoteReference w:id="1159"/>
      </w:r>
    </w:p>
    <w:p w14:paraId="480110B0" w14:textId="77777777" w:rsidR="00FF302D" w:rsidRPr="00113F13" w:rsidRDefault="00FF302D" w:rsidP="00B63604">
      <w:pPr>
        <w:pStyle w:val="NormalNumberedTextTLRI"/>
        <w:numPr>
          <w:ilvl w:val="2"/>
          <w:numId w:val="31"/>
        </w:numPr>
        <w:tabs>
          <w:tab w:val="clear" w:pos="720"/>
        </w:tabs>
        <w:spacing w:line="259" w:lineRule="auto"/>
      </w:pPr>
      <w:r w:rsidRPr="00113F13">
        <w:t>The HCC must assess complaints made under the Health Complaints Act within 45 days, and either: (1) refer the complaint to an appropriate body, such as the Ombudsman or a relevant professional registration board; (2) refer the complaint for conciliation; (3) investigate the complaint; or (4) dismiss the complaint.</w:t>
      </w:r>
      <w:r w:rsidRPr="00113F13">
        <w:rPr>
          <w:rStyle w:val="FootnoteReference"/>
          <w:rFonts w:ascii="Times New Roman" w:hAnsi="Times New Roman"/>
        </w:rPr>
        <w:footnoteReference w:id="1160"/>
      </w:r>
      <w:r w:rsidRPr="00113F13">
        <w:t xml:space="preserve"> The HCC also has the power to investigate matters referred by the Health Minister or on the HCC’s own initiative.</w:t>
      </w:r>
    </w:p>
    <w:p w14:paraId="6BEA10BE" w14:textId="77777777" w:rsidR="00FF302D" w:rsidRPr="00113F13" w:rsidRDefault="00FF302D" w:rsidP="00B63604">
      <w:pPr>
        <w:pStyle w:val="NormalNumberedTextTLRI"/>
        <w:numPr>
          <w:ilvl w:val="2"/>
          <w:numId w:val="31"/>
        </w:numPr>
        <w:tabs>
          <w:tab w:val="clear" w:pos="720"/>
        </w:tabs>
        <w:spacing w:line="259" w:lineRule="auto"/>
      </w:pPr>
      <w:r w:rsidRPr="00113F13">
        <w:t>The Health Complaints Act facilities the making and investigating of complaints in several respects. For example, it overrides legislation that hinders the disclosure or communication of information, if such hindrance would prevent or restrict the making of a complaint or the conduct of an investigation under the Act.</w:t>
      </w:r>
      <w:r w:rsidRPr="00113F13">
        <w:rPr>
          <w:rStyle w:val="FootnoteReference"/>
          <w:rFonts w:ascii="Times New Roman" w:hAnsi="Times New Roman"/>
        </w:rPr>
        <w:footnoteReference w:id="1161"/>
      </w:r>
      <w:r w:rsidRPr="00113F13">
        <w:t xml:space="preserve"> </w:t>
      </w:r>
    </w:p>
    <w:p w14:paraId="0D913CF1" w14:textId="77777777" w:rsidR="00FF302D" w:rsidRPr="00113F13" w:rsidRDefault="00FF302D" w:rsidP="00B63604">
      <w:pPr>
        <w:pStyle w:val="NormalNumberedTextTLRI"/>
        <w:numPr>
          <w:ilvl w:val="2"/>
          <w:numId w:val="31"/>
        </w:numPr>
        <w:tabs>
          <w:tab w:val="clear" w:pos="720"/>
        </w:tabs>
        <w:spacing w:line="259" w:lineRule="auto"/>
      </w:pPr>
      <w:r w:rsidRPr="00113F13">
        <w:t>The Health Complaints Act also confers extensive investigation powers on the HCC, including the power to compel provision of documents,</w:t>
      </w:r>
      <w:r w:rsidRPr="00113F13">
        <w:rPr>
          <w:rStyle w:val="FootnoteReference"/>
          <w:rFonts w:ascii="Times New Roman" w:hAnsi="Times New Roman"/>
        </w:rPr>
        <w:footnoteReference w:id="1162"/>
      </w:r>
      <w:r w:rsidRPr="00113F13">
        <w:t xml:space="preserve"> examine witnesses,</w:t>
      </w:r>
      <w:r w:rsidRPr="00113F13">
        <w:rPr>
          <w:rStyle w:val="FootnoteReference"/>
          <w:rFonts w:ascii="Times New Roman" w:hAnsi="Times New Roman"/>
        </w:rPr>
        <w:footnoteReference w:id="1163"/>
      </w:r>
      <w:r w:rsidRPr="00113F13">
        <w:t xml:space="preserve"> apply for the issue of a warrant,</w:t>
      </w:r>
      <w:r w:rsidRPr="00113F13">
        <w:rPr>
          <w:rStyle w:val="FootnoteReference"/>
          <w:rFonts w:ascii="Times New Roman" w:hAnsi="Times New Roman"/>
        </w:rPr>
        <w:footnoteReference w:id="1164"/>
      </w:r>
      <w:r w:rsidRPr="00113F13">
        <w:t xml:space="preserve"> and enter any premises occupied or used by a health service or health service provider.</w:t>
      </w:r>
      <w:r w:rsidRPr="00113F13">
        <w:rPr>
          <w:rStyle w:val="FootnoteReference"/>
          <w:rFonts w:ascii="Times New Roman" w:hAnsi="Times New Roman"/>
        </w:rPr>
        <w:footnoteReference w:id="1165"/>
      </w:r>
      <w:r w:rsidRPr="00113F13">
        <w:t xml:space="preserve"> Further, it obliges secrecy on the part of those who administer the Act by imposing extensive obligations of confidentiality regarding information and actions taken under the Act.</w:t>
      </w:r>
      <w:r w:rsidRPr="00113F13">
        <w:rPr>
          <w:rStyle w:val="FootnoteReference"/>
          <w:rFonts w:ascii="Times New Roman" w:hAnsi="Times New Roman"/>
        </w:rPr>
        <w:footnoteReference w:id="1166"/>
      </w:r>
      <w:r w:rsidRPr="00113F13">
        <w:t xml:space="preserve"> However, if a recording, disclosure, or use of statistical or other information could not reasonably be expected to lead to the identification of any person, it is not limited under the Act.</w:t>
      </w:r>
      <w:r w:rsidRPr="00113F13">
        <w:rPr>
          <w:rStyle w:val="FootnoteReference"/>
          <w:rFonts w:ascii="Times New Roman" w:hAnsi="Times New Roman"/>
        </w:rPr>
        <w:footnoteReference w:id="1167"/>
      </w:r>
    </w:p>
    <w:p w14:paraId="17DB9D08" w14:textId="77777777" w:rsidR="00FF302D" w:rsidRPr="00113F13" w:rsidRDefault="00FF302D" w:rsidP="00B63604">
      <w:pPr>
        <w:pStyle w:val="NormalNumberedTextTLRI"/>
        <w:numPr>
          <w:ilvl w:val="2"/>
          <w:numId w:val="31"/>
        </w:numPr>
        <w:tabs>
          <w:tab w:val="clear" w:pos="720"/>
        </w:tabs>
        <w:spacing w:line="259" w:lineRule="auto"/>
      </w:pPr>
      <w:r w:rsidRPr="00113F13">
        <w:t xml:space="preserve">If the HCC investigates a complaint and forms the view that the complaint is justified, but the complaint appears incapable of being resolved, the HCC can provide a ‘notice of recommended action’ to the health provider which sets out the particulars of the complaint, the reasons for the decision, and any action the HCC considers the provider ought to take to remedy each unresolved grievance raised in </w:t>
      </w:r>
      <w:r w:rsidRPr="00113F13">
        <w:lastRenderedPageBreak/>
        <w:t>the complaint.</w:t>
      </w:r>
      <w:r w:rsidRPr="00113F13">
        <w:rPr>
          <w:rStyle w:val="FootnoteReference"/>
          <w:rFonts w:ascii="Times New Roman" w:hAnsi="Times New Roman"/>
        </w:rPr>
        <w:footnoteReference w:id="1168"/>
      </w:r>
      <w:r w:rsidRPr="00113F13">
        <w:t xml:space="preserve"> The provider must respond in writing within 45 days, advising the HCC of action taken to remedy the grievances.</w:t>
      </w:r>
      <w:r w:rsidRPr="00113F13">
        <w:rPr>
          <w:rStyle w:val="FootnoteReference"/>
          <w:rFonts w:ascii="Times New Roman" w:hAnsi="Times New Roman"/>
        </w:rPr>
        <w:footnoteReference w:id="1169"/>
      </w:r>
      <w:r w:rsidRPr="00113F13">
        <w:t xml:space="preserve"> Failure to comply with this requirement is subject to penalty of a fine not exceeding 50 penalty points.</w:t>
      </w:r>
      <w:r w:rsidRPr="00113F13">
        <w:rPr>
          <w:rStyle w:val="FootnoteReference"/>
          <w:rFonts w:ascii="Times New Roman" w:hAnsi="Times New Roman"/>
        </w:rPr>
        <w:footnoteReference w:id="1170"/>
      </w:r>
    </w:p>
    <w:p w14:paraId="5F23E737" w14:textId="01D9FE07" w:rsidR="00FF302D" w:rsidRPr="00113F13" w:rsidRDefault="00AD7255" w:rsidP="00B63604">
      <w:pPr>
        <w:pStyle w:val="NormalNumberedTextTLRI"/>
        <w:numPr>
          <w:ilvl w:val="2"/>
          <w:numId w:val="31"/>
        </w:numPr>
        <w:tabs>
          <w:tab w:val="clear" w:pos="720"/>
        </w:tabs>
        <w:spacing w:line="259" w:lineRule="auto"/>
      </w:pPr>
      <w:r>
        <w:t xml:space="preserve"> </w:t>
      </w:r>
      <w:r w:rsidR="00FF302D" w:rsidRPr="00113F13">
        <w:t xml:space="preserve">Other Tasmanian legislation touches on other forms of privacy in the health context. For example, the </w:t>
      </w:r>
      <w:r w:rsidR="00FF302D" w:rsidRPr="00113F13">
        <w:rPr>
          <w:i/>
          <w:iCs/>
        </w:rPr>
        <w:t xml:space="preserve">Forensic Procedures Act 2000 </w:t>
      </w:r>
      <w:r w:rsidR="00FF302D" w:rsidRPr="00113F13">
        <w:t>(Tas) provides for privacy protection in relation to forensic procedures relating to offences, including the taking of medical samples or the conduct of bodily examinations. Forensic procedures, including taking a saliva or DNA swab of a young person, must be carried out in a way that affords ‘reasonable privacy’ to the person undergoing the procedure.</w:t>
      </w:r>
      <w:r w:rsidR="00FF302D" w:rsidRPr="00113F13">
        <w:rPr>
          <w:rStyle w:val="FootnoteReference"/>
          <w:rFonts w:ascii="Times New Roman" w:hAnsi="Times New Roman"/>
        </w:rPr>
        <w:footnoteReference w:id="1171"/>
      </w:r>
    </w:p>
    <w:p w14:paraId="7F6A025E" w14:textId="77777777" w:rsidR="00FF302D" w:rsidRPr="00113F13" w:rsidRDefault="00FF302D" w:rsidP="00113F13">
      <w:pPr>
        <w:pStyle w:val="Headingunnumbered"/>
        <w:rPr>
          <w:rFonts w:cs="Times New Roman"/>
        </w:rPr>
      </w:pPr>
      <w:bookmarkStart w:id="1040" w:name="_Toc164606755"/>
      <w:r w:rsidRPr="00113F13">
        <w:rPr>
          <w:rFonts w:cs="Times New Roman"/>
        </w:rPr>
        <w:t>The position in other jurisdictions</w:t>
      </w:r>
      <w:bookmarkEnd w:id="1040"/>
    </w:p>
    <w:p w14:paraId="20E9C4BD" w14:textId="22F31083" w:rsidR="00FF302D" w:rsidRPr="00113F13" w:rsidRDefault="00AD7255" w:rsidP="00B63604">
      <w:pPr>
        <w:pStyle w:val="NormalNumberedTextTLRI"/>
        <w:numPr>
          <w:ilvl w:val="2"/>
          <w:numId w:val="31"/>
        </w:numPr>
        <w:tabs>
          <w:tab w:val="clear" w:pos="720"/>
        </w:tabs>
        <w:spacing w:line="259" w:lineRule="auto"/>
      </w:pPr>
      <w:r>
        <w:t xml:space="preserve"> </w:t>
      </w:r>
      <w:r w:rsidR="00FF302D" w:rsidRPr="00113F13">
        <w:t>Other States and Territories have similar legislation that enables health service users to make complaints about health practitioners and health services, including complaints relating to privacy, and establishes a body to handle and take action in relation to complaints. These include the NSW Health Care Complaints Commissioner,</w:t>
      </w:r>
      <w:r w:rsidR="00FF302D" w:rsidRPr="00113F13">
        <w:rPr>
          <w:rStyle w:val="FootnoteReference"/>
          <w:rFonts w:ascii="Times New Roman" w:hAnsi="Times New Roman"/>
        </w:rPr>
        <w:footnoteReference w:id="1172"/>
      </w:r>
      <w:r w:rsidR="00FF302D" w:rsidRPr="00113F13">
        <w:t xml:space="preserve"> the Queensland Office of the Health Ombudsman,</w:t>
      </w:r>
      <w:r w:rsidR="00FF302D" w:rsidRPr="00113F13">
        <w:rPr>
          <w:rStyle w:val="FootnoteReference"/>
          <w:rFonts w:ascii="Times New Roman" w:hAnsi="Times New Roman"/>
        </w:rPr>
        <w:footnoteReference w:id="1173"/>
      </w:r>
      <w:r w:rsidR="00FF302D" w:rsidRPr="00113F13">
        <w:t xml:space="preserve"> the Victorian Health Complaints Commission,</w:t>
      </w:r>
      <w:r w:rsidR="00FF302D" w:rsidRPr="00113F13">
        <w:rPr>
          <w:rStyle w:val="FootnoteReference"/>
          <w:rFonts w:ascii="Times New Roman" w:hAnsi="Times New Roman"/>
        </w:rPr>
        <w:footnoteReference w:id="1174"/>
      </w:r>
      <w:r w:rsidR="00FF302D" w:rsidRPr="00113F13">
        <w:t xml:space="preserve">  and the Western Australian Health and Disability Services Complaints Office.</w:t>
      </w:r>
      <w:r w:rsidR="00FF302D" w:rsidRPr="00113F13">
        <w:rPr>
          <w:rStyle w:val="FootnoteReference"/>
          <w:rFonts w:ascii="Times New Roman" w:hAnsi="Times New Roman"/>
        </w:rPr>
        <w:footnoteReference w:id="1175"/>
      </w:r>
    </w:p>
    <w:p w14:paraId="432D526A" w14:textId="357EA800" w:rsidR="00FF302D" w:rsidRPr="00113F13" w:rsidRDefault="004933B9" w:rsidP="00BF1FE7">
      <w:pPr>
        <w:pStyle w:val="NumberedHeadingTLRI"/>
        <w:rPr>
          <w:szCs w:val="32"/>
        </w:rPr>
      </w:pPr>
      <w:bookmarkStart w:id="1041" w:name="_Toc164606756"/>
      <w:r>
        <w:t xml:space="preserve">  </w:t>
      </w:r>
      <w:r w:rsidR="00FF302D" w:rsidRPr="00113F13">
        <w:t>Consultation</w:t>
      </w:r>
      <w:bookmarkEnd w:id="1041"/>
    </w:p>
    <w:p w14:paraId="3CBF787C"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 Issues Paper did not pose any questions about privacy protections of health information outside the PIPA. </w:t>
      </w:r>
    </w:p>
    <w:p w14:paraId="187E0DEF" w14:textId="2F6E3EF6" w:rsidR="00FF302D" w:rsidRPr="00113F13" w:rsidRDefault="004933B9" w:rsidP="00BF1FE7">
      <w:pPr>
        <w:pStyle w:val="NumberedHeadingTLRI"/>
      </w:pPr>
      <w:bookmarkStart w:id="1042" w:name="_Toc164606757"/>
      <w:r>
        <w:t xml:space="preserve">  </w:t>
      </w:r>
      <w:r w:rsidR="00FF302D" w:rsidRPr="00113F13">
        <w:t>The TLRI’s view</w:t>
      </w:r>
      <w:bookmarkEnd w:id="1042"/>
    </w:p>
    <w:p w14:paraId="36E937FB"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TLRI’s view is that there is a need for harmonisation of legislation and standards to allow for safe and consistent sharing of health information in line with the Australian Digital Health Agency’s </w:t>
      </w:r>
      <w:r w:rsidRPr="00113F13">
        <w:rPr>
          <w:i/>
          <w:iCs/>
        </w:rPr>
        <w:t>National Health Interoperability Plan</w:t>
      </w:r>
      <w:r w:rsidRPr="00113F13">
        <w:t>. There are several options for achieving this in Tasmania, including amending the PIPA to align with the Privacy Act, establishing a Health Information Privacy Code via amendment to the PIPA,</w:t>
      </w:r>
      <w:r w:rsidRPr="00113F13">
        <w:rPr>
          <w:rStyle w:val="FootnoteReference"/>
          <w:rFonts w:ascii="Times New Roman" w:hAnsi="Times New Roman"/>
        </w:rPr>
        <w:footnoteReference w:id="1176"/>
      </w:r>
      <w:r w:rsidRPr="00113F13">
        <w:t xml:space="preserve"> or creating dedicated Health Information Legislation similar to that found in some other jurisdictions, such as Victoria.</w:t>
      </w:r>
    </w:p>
    <w:p w14:paraId="2C156DD4" w14:textId="4B6F13DC" w:rsidR="00297DF8" w:rsidRDefault="00FF302D" w:rsidP="00B63604">
      <w:pPr>
        <w:pStyle w:val="NormalNumberedTextTLRI"/>
        <w:numPr>
          <w:ilvl w:val="2"/>
          <w:numId w:val="31"/>
        </w:numPr>
        <w:tabs>
          <w:tab w:val="clear" w:pos="720"/>
        </w:tabs>
        <w:spacing w:line="259" w:lineRule="auto"/>
      </w:pPr>
      <w:r w:rsidRPr="00113F13">
        <w:t xml:space="preserve">Accordingly, the TLRI’s view is that there should be further consideration of necessary reforms to the PIPA, or the creation of standalone legislation, to align Tasmanian regulation with the </w:t>
      </w:r>
      <w:r w:rsidRPr="00113F13">
        <w:rPr>
          <w:i/>
          <w:iCs/>
        </w:rPr>
        <w:t>National Health Interoperability Plan</w:t>
      </w:r>
      <w:r w:rsidRPr="00113F13">
        <w:t>.</w:t>
      </w:r>
    </w:p>
    <w:p w14:paraId="7F59C725" w14:textId="77777777" w:rsidR="00297DF8" w:rsidRDefault="00297DF8">
      <w:pPr>
        <w:spacing w:after="200" w:line="276" w:lineRule="auto"/>
        <w:jc w:val="left"/>
        <w:rPr>
          <w:rFonts w:eastAsia="Times" w:cs="Times New Roman"/>
          <w:szCs w:val="20"/>
        </w:rPr>
      </w:pPr>
      <w:r>
        <w:br w:type="page"/>
      </w:r>
    </w:p>
    <w:p w14:paraId="4D232918" w14:textId="6E471858" w:rsidR="00FF302D" w:rsidRPr="00113F13" w:rsidRDefault="004933B9" w:rsidP="00BF1FE7">
      <w:pPr>
        <w:pStyle w:val="NumberedHeadingTLRI"/>
        <w:rPr>
          <w:lang w:val="en-GB"/>
        </w:rPr>
      </w:pPr>
      <w:bookmarkStart w:id="1043" w:name="_Toc164606758"/>
      <w:r>
        <w:rPr>
          <w:lang w:val="en-GB"/>
        </w:rPr>
        <w:lastRenderedPageBreak/>
        <w:t xml:space="preserve">  </w:t>
      </w:r>
      <w:r w:rsidR="00FF302D" w:rsidRPr="00113F13">
        <w:rPr>
          <w:lang w:val="en-GB"/>
        </w:rPr>
        <w:t>Recommendation</w:t>
      </w:r>
      <w:bookmarkEnd w:id="10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7DED9A5C" w14:textId="77777777" w:rsidTr="00754A3F">
        <w:tc>
          <w:tcPr>
            <w:tcW w:w="9016" w:type="dxa"/>
            <w:shd w:val="clear" w:color="auto" w:fill="E8E8E8" w:themeFill="background2"/>
          </w:tcPr>
          <w:p w14:paraId="58EC57B5" w14:textId="77777777" w:rsidR="00FF302D" w:rsidRPr="00EA22F8" w:rsidRDefault="00FF302D" w:rsidP="00754A3F">
            <w:pPr>
              <w:pStyle w:val="Heading3"/>
              <w:numPr>
                <w:ilvl w:val="2"/>
                <w:numId w:val="0"/>
              </w:numPr>
              <w:spacing w:before="120"/>
              <w:rPr>
                <w:rFonts w:ascii="Times New Roman" w:hAnsi="Times New Roman" w:cs="Times New Roman"/>
                <w:b/>
                <w:color w:val="auto"/>
              </w:rPr>
            </w:pPr>
            <w:bookmarkStart w:id="1044" w:name="_Toc164600496"/>
            <w:r w:rsidRPr="00EA22F8">
              <w:rPr>
                <w:rFonts w:ascii="Times New Roman" w:hAnsi="Times New Roman" w:cs="Times New Roman"/>
                <w:b/>
                <w:color w:val="auto"/>
              </w:rPr>
              <w:t xml:space="preserve">Recommendation 62: </w:t>
            </w:r>
            <w:r w:rsidRPr="00EA22F8">
              <w:rPr>
                <w:rFonts w:ascii="Times New Roman" w:hAnsi="Times New Roman" w:cs="Times New Roman"/>
                <w:color w:val="auto"/>
              </w:rPr>
              <w:t xml:space="preserve">There should be further consideration of necessary reforms to the PIPA, or the creation of standalone legislation, to align Tasmanian regulation with the </w:t>
            </w:r>
            <w:r w:rsidRPr="00EA22F8">
              <w:rPr>
                <w:rFonts w:ascii="Times New Roman" w:hAnsi="Times New Roman" w:cs="Times New Roman"/>
                <w:i/>
                <w:iCs/>
                <w:color w:val="auto"/>
              </w:rPr>
              <w:t>National Health Interoperability Plan</w:t>
            </w:r>
            <w:r w:rsidRPr="00EA22F8">
              <w:rPr>
                <w:rFonts w:ascii="Times New Roman" w:hAnsi="Times New Roman" w:cs="Times New Roman"/>
                <w:color w:val="auto"/>
              </w:rPr>
              <w:t>.</w:t>
            </w:r>
            <w:bookmarkEnd w:id="1044"/>
          </w:p>
        </w:tc>
      </w:tr>
    </w:tbl>
    <w:p w14:paraId="1F47B2EF" w14:textId="6B06077A" w:rsidR="00C35E94" w:rsidRDefault="00C35E94" w:rsidP="00FF302D">
      <w:pPr>
        <w:pStyle w:val="Heading3"/>
        <w:rPr>
          <w:rFonts w:ascii="Times New Roman" w:hAnsi="Times New Roman" w:cs="Times New Roman"/>
          <w:b/>
        </w:rPr>
      </w:pPr>
    </w:p>
    <w:p w14:paraId="09DC7F23" w14:textId="64B5495C" w:rsidR="00FF302D" w:rsidRPr="00113F13" w:rsidRDefault="00C35E94" w:rsidP="00C35E94">
      <w:pPr>
        <w:spacing w:after="200" w:line="276" w:lineRule="auto"/>
        <w:jc w:val="left"/>
        <w:rPr>
          <w:rFonts w:cs="Times New Roman"/>
          <w:b/>
        </w:rPr>
      </w:pPr>
      <w:r>
        <w:rPr>
          <w:rFonts w:cs="Times New Roman"/>
          <w:b/>
        </w:rPr>
        <w:br w:type="page"/>
      </w:r>
    </w:p>
    <w:p w14:paraId="1CA849E0" w14:textId="77777777" w:rsidR="00FF302D" w:rsidRPr="00113F13" w:rsidRDefault="00FF302D" w:rsidP="00FF302D">
      <w:pPr>
        <w:rPr>
          <w:rFonts w:cs="Times New Roman"/>
        </w:rPr>
        <w:sectPr w:rsidR="00FF302D" w:rsidRPr="00113F13" w:rsidSect="00BC08AB">
          <w:headerReference w:type="default" r:id="rId40"/>
          <w:type w:val="continuous"/>
          <w:pgSz w:w="11906" w:h="16838" w:code="9"/>
          <w:pgMar w:top="1440" w:right="1440" w:bottom="1440" w:left="1440" w:header="708" w:footer="708" w:gutter="0"/>
          <w:cols w:space="708"/>
          <w:docGrid w:linePitch="360"/>
        </w:sectPr>
      </w:pPr>
      <w:bookmarkStart w:id="1045" w:name="_Toc91832021"/>
      <w:bookmarkStart w:id="1046" w:name="_Toc130540456"/>
    </w:p>
    <w:p w14:paraId="7F26E20D" w14:textId="77777777" w:rsidR="00FF302D" w:rsidRPr="00113F13" w:rsidRDefault="00FF302D" w:rsidP="00B63604">
      <w:pPr>
        <w:pStyle w:val="PartNoTLRI"/>
        <w:numPr>
          <w:ilvl w:val="0"/>
          <w:numId w:val="31"/>
        </w:numPr>
        <w:spacing w:after="160" w:line="259" w:lineRule="auto"/>
      </w:pPr>
    </w:p>
    <w:p w14:paraId="11BAF819" w14:textId="77777777" w:rsidR="00FF302D" w:rsidRPr="00113F13" w:rsidRDefault="00FF302D" w:rsidP="00FF302D">
      <w:pPr>
        <w:pStyle w:val="PartHeadingTLRI"/>
      </w:pPr>
      <w:bookmarkStart w:id="1047" w:name="_Toc164606759"/>
      <w:r w:rsidRPr="00113F13">
        <w:t>General Law Protections and a Civil Statutory Cause of Action</w:t>
      </w:r>
      <w:bookmarkEnd w:id="1047"/>
    </w:p>
    <w:p w14:paraId="4CCC95CC" w14:textId="77777777" w:rsidR="00FF302D" w:rsidRPr="00113F13" w:rsidRDefault="00FF302D" w:rsidP="00BF1FE7">
      <w:pPr>
        <w:pStyle w:val="NumberedHeadingTLRI"/>
      </w:pPr>
      <w:bookmarkStart w:id="1048" w:name="_Toc164606760"/>
      <w:r w:rsidRPr="00113F13">
        <w:t>Introduction</w:t>
      </w:r>
      <w:bookmarkEnd w:id="1048"/>
    </w:p>
    <w:p w14:paraId="5F9B8E38" w14:textId="1133A09E" w:rsidR="00FF302D" w:rsidRPr="00113F13" w:rsidRDefault="00FF302D" w:rsidP="00B63604">
      <w:pPr>
        <w:pStyle w:val="NormalNumberedTextTLRI"/>
        <w:numPr>
          <w:ilvl w:val="2"/>
          <w:numId w:val="31"/>
        </w:numPr>
        <w:tabs>
          <w:tab w:val="clear" w:pos="720"/>
        </w:tabs>
        <w:spacing w:line="259" w:lineRule="auto"/>
      </w:pPr>
      <w:r w:rsidRPr="00EA22F8">
        <w:t xml:space="preserve">As discussed </w:t>
      </w:r>
      <w:r w:rsidR="00B416BC">
        <w:t>at</w:t>
      </w:r>
      <w:r w:rsidRPr="00EA22F8">
        <w:t xml:space="preserve"> [2.5.23] and following</w:t>
      </w:r>
      <w:r w:rsidRPr="00113F13">
        <w:t xml:space="preserve"> of this Final Report, few Australian courts (and even fewer in Tasmania) have dealt with cases concerning interference with privacy. The Supreme Court of Tasmania has made comments about privacy protection in a number of cases, including cases involving the relevance of privacy to the administration of justice, cases involving the application of legislation that identifies privacy as a factor to be taken into account by a decision-maker, and cases where a party has invoked international instruments that establish a right to privacy.</w:t>
      </w:r>
      <w:r w:rsidRPr="00113F13">
        <w:rPr>
          <w:rStyle w:val="FootnoteReference"/>
          <w:rFonts w:ascii="Times New Roman" w:hAnsi="Times New Roman"/>
        </w:rPr>
        <w:footnoteReference w:id="1177"/>
      </w:r>
    </w:p>
    <w:p w14:paraId="6DABF5C0" w14:textId="77777777" w:rsidR="00FF302D" w:rsidRPr="00113F13" w:rsidRDefault="00FF302D" w:rsidP="00B63604">
      <w:pPr>
        <w:pStyle w:val="NormalNumberedTextTLRI"/>
        <w:numPr>
          <w:ilvl w:val="2"/>
          <w:numId w:val="31"/>
        </w:numPr>
        <w:tabs>
          <w:tab w:val="clear" w:pos="720"/>
        </w:tabs>
        <w:spacing w:line="259" w:lineRule="auto"/>
      </w:pPr>
      <w:r w:rsidRPr="00113F13">
        <w:t>In some cases of egregious interferences with privacy, appellate courts in the Commonwealth and other State and Territory jurisdictions have provided equitable remedies, such as finding that the interference was a breach of confidence and awarding damages in compensation.</w:t>
      </w:r>
      <w:r w:rsidRPr="00113F13">
        <w:rPr>
          <w:rStyle w:val="FootnoteReference"/>
          <w:rFonts w:ascii="Times New Roman" w:hAnsi="Times New Roman"/>
        </w:rPr>
        <w:footnoteReference w:id="1178"/>
      </w:r>
      <w:r w:rsidRPr="00113F13">
        <w:t xml:space="preserve"> The High Court of Australia, in the 2001 case of </w:t>
      </w:r>
      <w:r w:rsidRPr="00113F13">
        <w:rPr>
          <w:i/>
          <w:iCs/>
        </w:rPr>
        <w:t>Lenah Game Meats</w:t>
      </w:r>
      <w:r w:rsidRPr="00113F13">
        <w:t>,</w:t>
      </w:r>
      <w:r w:rsidRPr="00113F13">
        <w:rPr>
          <w:rStyle w:val="FootnoteReference"/>
          <w:rFonts w:ascii="Times New Roman" w:hAnsi="Times New Roman"/>
        </w:rPr>
        <w:footnoteReference w:id="1179"/>
      </w:r>
      <w:r w:rsidRPr="00113F13">
        <w:rPr>
          <w:i/>
          <w:iCs/>
        </w:rPr>
        <w:t xml:space="preserve"> </w:t>
      </w:r>
      <w:r w:rsidRPr="00113F13">
        <w:t>left open the possibility that a common law cause of action for breach of privacy will be established. Two lower courts (in Victoria and Queensland) subsequently recognised a tort of invasion of privacy,</w:t>
      </w:r>
      <w:r w:rsidRPr="00113F13">
        <w:rPr>
          <w:rStyle w:val="FootnoteReference"/>
          <w:rFonts w:ascii="Times New Roman" w:hAnsi="Times New Roman"/>
        </w:rPr>
        <w:footnoteReference w:id="1180"/>
      </w:r>
      <w:r w:rsidRPr="00113F13">
        <w:t xml:space="preserve"> but the common law has not further developed since that time. Recent Commonwealth and State inquiries have recognised the absence of a standalone privacy right or civil remedy that comprehensively covers privacy interferences as a significant gap in individuals’ privacy protections and have recommended the introduction of statutory causes of action to fill this gap.</w:t>
      </w:r>
      <w:r w:rsidRPr="00113F13">
        <w:rPr>
          <w:rStyle w:val="FootnoteReference"/>
          <w:rFonts w:ascii="Times New Roman" w:hAnsi="Times New Roman"/>
        </w:rPr>
        <w:footnoteReference w:id="1181"/>
      </w:r>
    </w:p>
    <w:p w14:paraId="78FFA6CE" w14:textId="694C8FB2" w:rsidR="00FF302D" w:rsidRPr="00113F13" w:rsidRDefault="00FF302D" w:rsidP="00B63604">
      <w:pPr>
        <w:pStyle w:val="NormalNumberedTextTLRI"/>
        <w:numPr>
          <w:ilvl w:val="2"/>
          <w:numId w:val="31"/>
        </w:numPr>
        <w:tabs>
          <w:tab w:val="clear" w:pos="720"/>
        </w:tabs>
        <w:spacing w:line="259" w:lineRule="auto"/>
      </w:pPr>
      <w:r w:rsidRPr="00113F13">
        <w:t xml:space="preserve">This </w:t>
      </w:r>
      <w:r w:rsidR="00514C40">
        <w:t xml:space="preserve">Part </w:t>
      </w:r>
      <w:r w:rsidRPr="00113F13">
        <w:t>discusses the development of the common law in Australia relating to a potential tort of interference with privacy and arguments in favour of (and against) the introduction of a statutory tort of privacy at either the State or Commonwealth level.</w:t>
      </w:r>
    </w:p>
    <w:p w14:paraId="02AF27F2" w14:textId="77777777" w:rsidR="00FF302D" w:rsidRPr="00113F13" w:rsidRDefault="00FF302D" w:rsidP="00BF1FE7">
      <w:pPr>
        <w:pStyle w:val="NumberedHeadingTLRI"/>
      </w:pPr>
      <w:bookmarkStart w:id="1049" w:name="_Toc164606761"/>
      <w:bookmarkEnd w:id="1045"/>
      <w:bookmarkEnd w:id="1046"/>
      <w:r w:rsidRPr="00113F13">
        <w:t>The current position at common law</w:t>
      </w:r>
      <w:bookmarkEnd w:id="1049"/>
    </w:p>
    <w:p w14:paraId="149C332D" w14:textId="77777777" w:rsidR="00FF302D" w:rsidRPr="00113F13" w:rsidRDefault="00FF302D" w:rsidP="00B63604">
      <w:pPr>
        <w:pStyle w:val="NormalNumberedTextTLRI"/>
        <w:numPr>
          <w:ilvl w:val="2"/>
          <w:numId w:val="31"/>
        </w:numPr>
        <w:tabs>
          <w:tab w:val="clear" w:pos="720"/>
        </w:tabs>
        <w:spacing w:line="259" w:lineRule="auto"/>
      </w:pPr>
      <w:r w:rsidRPr="00113F13">
        <w:t xml:space="preserve">No appellate court in Australia, and no Tasmanian court, has recognised a tort of interference with privacy, whether this includes information privacy, physical privacy, or both. Nor has any such court granted remedies in tort law for interferences with privacy. </w:t>
      </w:r>
    </w:p>
    <w:p w14:paraId="47640B08"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 xml:space="preserve">The 2001 High Court case, </w:t>
      </w:r>
      <w:r w:rsidRPr="00113F13">
        <w:rPr>
          <w:i/>
          <w:iCs/>
        </w:rPr>
        <w:t>Lenah Game Meats</w:t>
      </w:r>
      <w:r w:rsidRPr="00113F13">
        <w:t>,</w:t>
      </w:r>
      <w:bookmarkStart w:id="1050" w:name="_Ref91831731"/>
      <w:r w:rsidRPr="00113F13">
        <w:rPr>
          <w:rStyle w:val="FootnoteReference"/>
          <w:rFonts w:ascii="Times New Roman" w:hAnsi="Times New Roman"/>
        </w:rPr>
        <w:footnoteReference w:id="1182"/>
      </w:r>
      <w:bookmarkEnd w:id="1050"/>
      <w:r w:rsidRPr="00113F13">
        <w:t xml:space="preserve"> raised the possibility of a standalone action for interference with individual privacy to be recognised by Australian courts when the appropriate facts arise, although the majority held that it was not an appropriate case to find whether a tort of privacy should exist.</w:t>
      </w:r>
      <w:r w:rsidRPr="00113F13">
        <w:rPr>
          <w:rStyle w:val="FootnoteReference"/>
          <w:rFonts w:ascii="Times New Roman" w:hAnsi="Times New Roman"/>
        </w:rPr>
        <w:footnoteReference w:id="1183"/>
      </w:r>
      <w:r w:rsidRPr="00113F13">
        <w:t xml:space="preserve"> In </w:t>
      </w:r>
      <w:r w:rsidRPr="00113F13">
        <w:rPr>
          <w:i/>
          <w:iCs/>
        </w:rPr>
        <w:t>Lenah Game Meats</w:t>
      </w:r>
      <w:r w:rsidRPr="00113F13">
        <w:t>, each of the five judges recognised the normative importance of privacy and its protection and acknowledged that Australian law is sufficiently capacious to accommodate protection for privacy. None of the justices excluded tort law as the vehicle for this protection.</w:t>
      </w:r>
    </w:p>
    <w:p w14:paraId="64081FE6"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High Court in </w:t>
      </w:r>
      <w:r w:rsidRPr="00113F13">
        <w:rPr>
          <w:i/>
          <w:iCs/>
        </w:rPr>
        <w:t>Lenah Game Meats</w:t>
      </w:r>
      <w:r w:rsidRPr="00113F13">
        <w:t xml:space="preserve"> also suggested that common law privacy protection was not necessarily excluded by the 1937 case of </w:t>
      </w:r>
      <w:r w:rsidRPr="00113F13">
        <w:rPr>
          <w:i/>
          <w:iCs/>
        </w:rPr>
        <w:t>Victoria Park Racing</w:t>
      </w:r>
      <w:r w:rsidRPr="00113F13">
        <w:t>, which is often cited as authority for the rejection of a right to privacy.</w:t>
      </w:r>
      <w:r w:rsidRPr="00113F13">
        <w:rPr>
          <w:rStyle w:val="FootnoteReference"/>
          <w:rFonts w:ascii="Times New Roman" w:hAnsi="Times New Roman"/>
        </w:rPr>
        <w:footnoteReference w:id="1184"/>
      </w:r>
      <w:r w:rsidRPr="00113F13">
        <w:t xml:space="preserve"> In the case of </w:t>
      </w:r>
      <w:r w:rsidRPr="00113F13">
        <w:rPr>
          <w:i/>
          <w:iCs/>
        </w:rPr>
        <w:t>Smethurst v AFP</w:t>
      </w:r>
      <w:r w:rsidRPr="00113F13">
        <w:t>, the High Court indicated it was open to the possibility of</w:t>
      </w:r>
      <w:r w:rsidRPr="00113F13" w:rsidDel="003617A2">
        <w:t xml:space="preserve"> recognising a tort of </w:t>
      </w:r>
      <w:r w:rsidRPr="00113F13">
        <w:t>interference with privacy and grant tortious remedies, including compensation for harm suffered.</w:t>
      </w:r>
      <w:r w:rsidRPr="00113F13">
        <w:rPr>
          <w:rStyle w:val="FootnoteReference"/>
          <w:rFonts w:ascii="Times New Roman" w:hAnsi="Times New Roman"/>
        </w:rPr>
        <w:footnoteReference w:id="1185"/>
      </w:r>
      <w:r w:rsidRPr="00113F13" w:rsidDel="0018007A">
        <w:t xml:space="preserve"> </w:t>
      </w:r>
    </w:p>
    <w:p w14:paraId="26BCAD46" w14:textId="77777777" w:rsidR="00FF302D" w:rsidRPr="00113F13" w:rsidRDefault="00FF302D" w:rsidP="00B63604">
      <w:pPr>
        <w:pStyle w:val="NormalNumberedTextTLRI"/>
        <w:numPr>
          <w:ilvl w:val="2"/>
          <w:numId w:val="31"/>
        </w:numPr>
        <w:tabs>
          <w:tab w:val="clear" w:pos="720"/>
        </w:tabs>
        <w:spacing w:line="259" w:lineRule="auto"/>
      </w:pPr>
      <w:r w:rsidRPr="00113F13">
        <w:t xml:space="preserve">Since </w:t>
      </w:r>
      <w:r w:rsidRPr="00113F13">
        <w:rPr>
          <w:i/>
          <w:iCs/>
        </w:rPr>
        <w:t>Lenah Game Meats</w:t>
      </w:r>
      <w:r w:rsidRPr="00113F13">
        <w:t xml:space="preserve">, there has been inconsistency among lower courts </w:t>
      </w:r>
      <w:r w:rsidRPr="00113F13" w:rsidDel="002979BD">
        <w:t xml:space="preserve">in </w:t>
      </w:r>
      <w:r w:rsidRPr="00113F13">
        <w:t>their willingness to grant remedies for interferences with privacy. Some have done so, including by granting damages under a tort of invasion of privacy.</w:t>
      </w:r>
      <w:r w:rsidRPr="00113F13">
        <w:rPr>
          <w:rStyle w:val="FootnoteReference"/>
          <w:rFonts w:ascii="Times New Roman" w:hAnsi="Times New Roman"/>
        </w:rPr>
        <w:footnoteReference w:id="1186"/>
      </w:r>
      <w:r w:rsidRPr="00113F13">
        <w:t xml:space="preserve"> Others have refused to recognise any such action, whether as a tort or otherwise, even where the plaintiff is an individual rather than a corporation.</w:t>
      </w:r>
      <w:r w:rsidRPr="00113F13">
        <w:rPr>
          <w:rStyle w:val="FootnoteReference"/>
          <w:rFonts w:ascii="Times New Roman" w:hAnsi="Times New Roman"/>
        </w:rPr>
        <w:footnoteReference w:id="1187"/>
      </w:r>
    </w:p>
    <w:p w14:paraId="2F500D6E" w14:textId="77777777" w:rsidR="00FF302D" w:rsidRPr="00113F13" w:rsidRDefault="00FF302D" w:rsidP="00B63604">
      <w:pPr>
        <w:pStyle w:val="NormalNumberedTextTLRI"/>
        <w:numPr>
          <w:ilvl w:val="2"/>
          <w:numId w:val="31"/>
        </w:numPr>
        <w:tabs>
          <w:tab w:val="clear" w:pos="720"/>
        </w:tabs>
        <w:spacing w:line="259" w:lineRule="auto"/>
      </w:pPr>
      <w:r w:rsidRPr="00113F13">
        <w:t xml:space="preserve">Appellate courts have twice considered whether to grant a remedy for interference with privacy, either as a tort or as another form of civil action. In both cases, the court did not use the door left open in </w:t>
      </w:r>
      <w:r w:rsidRPr="00113F13">
        <w:rPr>
          <w:i/>
          <w:iCs/>
        </w:rPr>
        <w:t>Lenah Game Meats</w:t>
      </w:r>
      <w:r w:rsidRPr="00113F13">
        <w:t xml:space="preserve"> to recognise a tort of interference with privacy. Instead, the court granted compensation under the equitable action of breach of confidence.</w:t>
      </w:r>
      <w:r w:rsidRPr="00113F13">
        <w:rPr>
          <w:rStyle w:val="FootnoteReference"/>
          <w:rFonts w:ascii="Times New Roman" w:hAnsi="Times New Roman"/>
        </w:rPr>
        <w:footnoteReference w:id="1188"/>
      </w:r>
      <w:r w:rsidRPr="00113F13">
        <w:t xml:space="preserve"> </w:t>
      </w:r>
    </w:p>
    <w:p w14:paraId="2D1FF4E0"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first was </w:t>
      </w:r>
      <w:r w:rsidRPr="00113F13">
        <w:rPr>
          <w:i/>
          <w:iCs/>
        </w:rPr>
        <w:t xml:space="preserve">Giller v Procopets </w:t>
      </w:r>
      <w:r w:rsidRPr="00113F13">
        <w:t xml:space="preserve">in the Victorian Court of Appeal, where the plaintiff’s former partner (the defendant) published sexual information about the plaintiff. The Court recognised that the harm was the plaintiff’s distress caused by the interference with her privacy. While holding that this harm could ground an action for damages, the Court limited the action to breach of confidence in equity and declined to recognise a tort of interference with privacy. Subsequently, the Supreme Court of Western Australia in </w:t>
      </w:r>
      <w:r w:rsidRPr="00113F13">
        <w:rPr>
          <w:i/>
          <w:iCs/>
        </w:rPr>
        <w:t>Wilson v Ferguson</w:t>
      </w:r>
      <w:r w:rsidRPr="00113F13">
        <w:t xml:space="preserve"> endorsed this approach to fashioning of equitable remedies for gross breach of privacy.</w:t>
      </w:r>
      <w:r w:rsidRPr="00113F13">
        <w:rPr>
          <w:rStyle w:val="FootnoteReference"/>
          <w:rFonts w:ascii="Times New Roman" w:hAnsi="Times New Roman"/>
        </w:rPr>
        <w:footnoteReference w:id="1189"/>
      </w:r>
    </w:p>
    <w:p w14:paraId="3E020CE4" w14:textId="77777777" w:rsidR="00FF302D" w:rsidRPr="00113F13" w:rsidRDefault="00FF302D" w:rsidP="00B63604">
      <w:pPr>
        <w:pStyle w:val="NormalNumberedTextTLRI"/>
        <w:numPr>
          <w:ilvl w:val="2"/>
          <w:numId w:val="31"/>
        </w:numPr>
        <w:tabs>
          <w:tab w:val="clear" w:pos="720"/>
        </w:tabs>
        <w:spacing w:line="259" w:lineRule="auto"/>
      </w:pPr>
      <w:r w:rsidRPr="00113F13">
        <w:t xml:space="preserve">Given that </w:t>
      </w:r>
      <w:r w:rsidRPr="00113F13">
        <w:rPr>
          <w:i/>
          <w:iCs/>
        </w:rPr>
        <w:t>Lenah</w:t>
      </w:r>
      <w:r w:rsidRPr="00113F13">
        <w:t xml:space="preserve"> </w:t>
      </w:r>
      <w:r w:rsidRPr="00113F13">
        <w:rPr>
          <w:i/>
          <w:iCs/>
        </w:rPr>
        <w:t xml:space="preserve">Game Meats </w:t>
      </w:r>
      <w:r w:rsidRPr="00113F13">
        <w:t xml:space="preserve">presents an open door to recognising tortious liability for interference with privacy, it is unclear whether compensatory damages in equity are appropriate for non-tortious harm to dignity or distress (the harm recognised as actionable in </w:t>
      </w:r>
      <w:r w:rsidRPr="00113F13">
        <w:rPr>
          <w:i/>
          <w:iCs/>
        </w:rPr>
        <w:t>Giller v Procopets</w:t>
      </w:r>
      <w:r w:rsidRPr="00113F13">
        <w:t>).</w:t>
      </w:r>
      <w:bookmarkStart w:id="1051" w:name="_Ref91831705"/>
      <w:r w:rsidRPr="00113F13">
        <w:rPr>
          <w:rStyle w:val="FootnoteReference"/>
          <w:rFonts w:ascii="Times New Roman" w:hAnsi="Times New Roman"/>
        </w:rPr>
        <w:footnoteReference w:id="1190"/>
      </w:r>
      <w:bookmarkEnd w:id="1051"/>
      <w:r w:rsidRPr="00113F13">
        <w:t xml:space="preserve"> </w:t>
      </w:r>
    </w:p>
    <w:p w14:paraId="6FB566A9" w14:textId="77777777" w:rsidR="00FF302D" w:rsidRPr="00113F13" w:rsidRDefault="00FF302D" w:rsidP="00BF1FE7">
      <w:pPr>
        <w:pStyle w:val="NumberedHeadingTLRI"/>
      </w:pPr>
      <w:bookmarkStart w:id="1052" w:name="_Toc91536821"/>
      <w:bookmarkStart w:id="1053" w:name="_Toc91536914"/>
      <w:bookmarkStart w:id="1054" w:name="_Toc91685238"/>
      <w:bookmarkStart w:id="1055" w:name="_Toc91691995"/>
      <w:bookmarkStart w:id="1056" w:name="_Toc91769176"/>
      <w:bookmarkStart w:id="1057" w:name="_Toc91770088"/>
      <w:bookmarkStart w:id="1058" w:name="_Toc91830053"/>
      <w:bookmarkStart w:id="1059" w:name="_Toc77846315"/>
      <w:bookmarkStart w:id="1060" w:name="_Toc77846367"/>
      <w:bookmarkStart w:id="1061" w:name="_Toc77846419"/>
      <w:bookmarkStart w:id="1062" w:name="_Toc77846579"/>
      <w:bookmarkStart w:id="1063" w:name="_Toc77933370"/>
      <w:bookmarkStart w:id="1064" w:name="_Toc77846316"/>
      <w:bookmarkStart w:id="1065" w:name="_Toc77846368"/>
      <w:bookmarkStart w:id="1066" w:name="_Toc77846420"/>
      <w:bookmarkStart w:id="1067" w:name="_Toc77846580"/>
      <w:bookmarkStart w:id="1068" w:name="_Toc77933371"/>
      <w:bookmarkStart w:id="1069" w:name="_Ref91828612"/>
      <w:bookmarkStart w:id="1070" w:name="_Toc91832026"/>
      <w:bookmarkStart w:id="1071" w:name="_Toc130540461"/>
      <w:bookmarkStart w:id="1072" w:name="_Toc164606762"/>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sidRPr="00113F13">
        <w:lastRenderedPageBreak/>
        <w:t>A civil cause of action for interference with privacy</w:t>
      </w:r>
      <w:bookmarkEnd w:id="1069"/>
      <w:bookmarkEnd w:id="1070"/>
      <w:bookmarkEnd w:id="1071"/>
      <w:bookmarkEnd w:id="1072"/>
    </w:p>
    <w:p w14:paraId="1D304773" w14:textId="77777777" w:rsidR="00FF302D" w:rsidRPr="00113F13" w:rsidRDefault="00FF302D" w:rsidP="00113F13">
      <w:pPr>
        <w:pStyle w:val="Headingunnumbered"/>
        <w:rPr>
          <w:rFonts w:cs="Times New Roman"/>
        </w:rPr>
      </w:pPr>
      <w:bookmarkStart w:id="1073" w:name="_Toc164606763"/>
      <w:r w:rsidRPr="00113F13">
        <w:rPr>
          <w:rFonts w:cs="Times New Roman"/>
        </w:rPr>
        <w:t>The position in Tasmania</w:t>
      </w:r>
      <w:bookmarkEnd w:id="1073"/>
    </w:p>
    <w:p w14:paraId="6031C989" w14:textId="77777777" w:rsidR="00FF302D" w:rsidRPr="00113F13" w:rsidRDefault="00FF302D" w:rsidP="00B63604">
      <w:pPr>
        <w:pStyle w:val="NormalNumberedTextTLRI"/>
        <w:numPr>
          <w:ilvl w:val="2"/>
          <w:numId w:val="31"/>
        </w:numPr>
        <w:tabs>
          <w:tab w:val="clear" w:pos="720"/>
        </w:tabs>
        <w:spacing w:line="259" w:lineRule="auto"/>
      </w:pPr>
      <w:r w:rsidRPr="00113F13">
        <w:t xml:space="preserve">Since the High Court decision in </w:t>
      </w:r>
      <w:r w:rsidRPr="00113F13">
        <w:rPr>
          <w:i/>
          <w:iCs/>
        </w:rPr>
        <w:t>Lenah Game Meats</w:t>
      </w:r>
      <w:r w:rsidRPr="00113F13">
        <w:t>,</w:t>
      </w:r>
      <w:r w:rsidRPr="00113F13">
        <w:rPr>
          <w:i/>
          <w:iCs/>
        </w:rPr>
        <w:t xml:space="preserve"> </w:t>
      </w:r>
      <w:r w:rsidRPr="00113F13">
        <w:t xml:space="preserve">the Supreme Court of Tasmania has not had an opportunity to adjudicate a claim seeking tortious or other remedies for interference with privacy. Consequently, there is currently no civil cause of action (and therefore no remedy) in Tasmania that covers interferences with privacy in a comprehensive manner. Instead, as outlined elsewhere in this Report, there are various sources of privacy protection and remedies for breaches of those protections, including under the </w:t>
      </w:r>
      <w:r w:rsidRPr="00113F13">
        <w:rPr>
          <w:i/>
          <w:iCs/>
        </w:rPr>
        <w:t>Personal Information Protection Act 2004</w:t>
      </w:r>
      <w:r w:rsidRPr="00113F13">
        <w:t xml:space="preserve"> (Tas) (‘PIPA’), which address some types of privacy in some contexts. </w:t>
      </w:r>
    </w:p>
    <w:p w14:paraId="710D86E6" w14:textId="77777777" w:rsidR="00FF302D" w:rsidRPr="00113F13" w:rsidRDefault="00FF302D" w:rsidP="00B63604">
      <w:pPr>
        <w:pStyle w:val="NormalNumberedTextTLRI"/>
        <w:numPr>
          <w:ilvl w:val="2"/>
          <w:numId w:val="31"/>
        </w:numPr>
        <w:tabs>
          <w:tab w:val="clear" w:pos="720"/>
        </w:tabs>
        <w:spacing w:line="259" w:lineRule="auto"/>
      </w:pPr>
      <w:bookmarkStart w:id="1074" w:name="_Ref91828460"/>
      <w:r w:rsidRPr="00113F13">
        <w:t>The piecemeal nature of existing protections means there is a range of circumstances in which a person may suffer a serious invasion of their privacy but have no legal avenue through which to seek compensation or another civil remedy.</w:t>
      </w:r>
    </w:p>
    <w:p w14:paraId="2EFD289B" w14:textId="13FE8411" w:rsidR="00FF302D" w:rsidRPr="00113F13" w:rsidRDefault="10DD744B" w:rsidP="00B63604">
      <w:pPr>
        <w:pStyle w:val="NormalNumberedTextTLRI"/>
        <w:numPr>
          <w:ilvl w:val="2"/>
          <w:numId w:val="31"/>
        </w:numPr>
        <w:tabs>
          <w:tab w:val="clear" w:pos="720"/>
        </w:tabs>
        <w:spacing w:line="259" w:lineRule="auto"/>
      </w:pPr>
      <w:r>
        <w:t xml:space="preserve">One of these gaps—the unavailability of compensation or other orders for breaches of the PIPA—is discussed </w:t>
      </w:r>
      <w:r w:rsidRPr="003215A2">
        <w:t xml:space="preserve">in </w:t>
      </w:r>
      <w:r w:rsidRPr="00EA22F8">
        <w:t>Part 8</w:t>
      </w:r>
      <w:r w:rsidRPr="003215A2">
        <w:t xml:space="preserve"> of</w:t>
      </w:r>
      <w:r>
        <w:t xml:space="preserve"> this Report. </w:t>
      </w:r>
    </w:p>
    <w:p w14:paraId="410B904F" w14:textId="77777777" w:rsidR="00FF302D" w:rsidRPr="00113F13" w:rsidRDefault="00FF302D" w:rsidP="00B63604">
      <w:pPr>
        <w:pStyle w:val="NormalNumberedTextTLRI"/>
        <w:numPr>
          <w:ilvl w:val="2"/>
          <w:numId w:val="31"/>
        </w:numPr>
        <w:tabs>
          <w:tab w:val="clear" w:pos="720"/>
        </w:tabs>
        <w:spacing w:line="259" w:lineRule="auto"/>
      </w:pPr>
      <w:r w:rsidRPr="00113F13">
        <w:t xml:space="preserve">Even if that gap is addressed through the proposed reform, other </w:t>
      </w:r>
      <w:bookmarkEnd w:id="1074"/>
      <w:r w:rsidRPr="00113F13">
        <w:t>circumstances that are addressed to some extent in other Tasmanian legislation would still not give rise to a cause of action for invasion of privacy. As set out in the Issues Paper, these include:</w:t>
      </w:r>
    </w:p>
    <w:p w14:paraId="73AC03E8" w14:textId="77777777" w:rsidR="00FF302D" w:rsidRPr="00113F13" w:rsidRDefault="00FF302D" w:rsidP="00113F13">
      <w:pPr>
        <w:pStyle w:val="DotPointTLRI"/>
        <w:rPr>
          <w:bCs/>
          <w:szCs w:val="21"/>
        </w:rPr>
      </w:pPr>
      <w:r w:rsidRPr="00113F13">
        <w:t>misuse of private information by non-governmental actors, including the media, journalists, advertising corporations, and data processing entities;</w:t>
      </w:r>
      <w:r w:rsidRPr="00113F13">
        <w:rPr>
          <w:vertAlign w:val="superscript"/>
        </w:rPr>
        <w:footnoteReference w:id="1191"/>
      </w:r>
      <w:r w:rsidRPr="00113F13">
        <w:t xml:space="preserve"> </w:t>
      </w:r>
    </w:p>
    <w:p w14:paraId="291ED9FD" w14:textId="77777777" w:rsidR="00FF302D" w:rsidRPr="00113F13" w:rsidRDefault="00FF302D" w:rsidP="00113F13">
      <w:pPr>
        <w:pStyle w:val="DotPointTLRI"/>
      </w:pPr>
      <w:r w:rsidRPr="00113F13">
        <w:t>image-based abuse and other non-consensual acquisition and use of intimate images, including where the individual in the image is not identifiable by the public at large;</w:t>
      </w:r>
      <w:r w:rsidRPr="00113F13">
        <w:rPr>
          <w:vertAlign w:val="superscript"/>
        </w:rPr>
        <w:footnoteReference w:id="1192"/>
      </w:r>
      <w:r w:rsidRPr="00113F13">
        <w:t xml:space="preserve"> </w:t>
      </w:r>
    </w:p>
    <w:p w14:paraId="1F9D7862" w14:textId="77777777" w:rsidR="00FF302D" w:rsidRPr="00113F13" w:rsidRDefault="00FF302D" w:rsidP="00113F13">
      <w:pPr>
        <w:pStyle w:val="DotPointTLRI"/>
        <w:rPr>
          <w:bCs/>
          <w:szCs w:val="21"/>
        </w:rPr>
      </w:pPr>
      <w:r w:rsidRPr="00113F13">
        <w:t>use of private information for the purposes of blackmail;</w:t>
      </w:r>
      <w:r w:rsidRPr="00113F13">
        <w:rPr>
          <w:vertAlign w:val="superscript"/>
        </w:rPr>
        <w:footnoteReference w:id="1193"/>
      </w:r>
    </w:p>
    <w:p w14:paraId="7720074A" w14:textId="77777777" w:rsidR="00FF302D" w:rsidRPr="00113F13" w:rsidRDefault="00FF302D" w:rsidP="00113F13">
      <w:pPr>
        <w:pStyle w:val="DotPointTLRI"/>
        <w:rPr>
          <w:bCs/>
          <w:szCs w:val="21"/>
        </w:rPr>
      </w:pPr>
      <w:r w:rsidRPr="00113F13">
        <w:lastRenderedPageBreak/>
        <w:t>aggressive media reportage activities, including ‘door-stepping’ and ‘grief journalism’;</w:t>
      </w:r>
      <w:bookmarkStart w:id="1075" w:name="_Ref129333832"/>
      <w:r w:rsidRPr="00113F13">
        <w:rPr>
          <w:vertAlign w:val="superscript"/>
        </w:rPr>
        <w:footnoteReference w:id="1194"/>
      </w:r>
      <w:bookmarkEnd w:id="1075"/>
    </w:p>
    <w:p w14:paraId="22C48ADC" w14:textId="77777777" w:rsidR="00FF302D" w:rsidRPr="00113F13" w:rsidRDefault="00FF302D" w:rsidP="00113F13">
      <w:pPr>
        <w:pStyle w:val="DotPointTLRI"/>
        <w:rPr>
          <w:bCs/>
          <w:szCs w:val="21"/>
        </w:rPr>
      </w:pPr>
      <w:r w:rsidRPr="00113F13">
        <w:t>online sharing or publication of a child’s image or information by that child’s parent or guardian, referred to as ‘sharenting’, and where this creates a digital dossier for that child;</w:t>
      </w:r>
      <w:r w:rsidRPr="00113F13">
        <w:rPr>
          <w:vertAlign w:val="superscript"/>
        </w:rPr>
        <w:footnoteReference w:id="1195"/>
      </w:r>
    </w:p>
    <w:p w14:paraId="690FDFD4" w14:textId="77777777" w:rsidR="00FF302D" w:rsidRPr="00113F13" w:rsidRDefault="00FF302D" w:rsidP="00113F13">
      <w:pPr>
        <w:pStyle w:val="DotPointTLRI"/>
        <w:rPr>
          <w:bCs/>
          <w:szCs w:val="21"/>
        </w:rPr>
      </w:pPr>
      <w:r w:rsidRPr="00113F13">
        <w:t>interferences with the privacy of third parties involved in or affected by law enforcement investigations or judicial processes (for example, victims of an offence, family members, or relatives of an accused, and children of parties to divorce proceedings);</w:t>
      </w:r>
      <w:r w:rsidRPr="00113F13">
        <w:rPr>
          <w:vertAlign w:val="superscript"/>
        </w:rPr>
        <w:footnoteReference w:id="1196"/>
      </w:r>
    </w:p>
    <w:p w14:paraId="210AB3EA" w14:textId="77777777" w:rsidR="00FF302D" w:rsidRPr="00113F13" w:rsidRDefault="00FF302D" w:rsidP="00113F13">
      <w:pPr>
        <w:pStyle w:val="DotPointTLRI"/>
      </w:pPr>
      <w:r w:rsidRPr="00113F13">
        <w:t>intrusions upon the privacy of public figures, such as voluntary public figures (for example, celebrities and politicians) and involuntary public figures (for example, the children of voluntary public figures), including where the public figure has revealed some aspects of their private life, but wishes to keep other aspects private;</w:t>
      </w:r>
      <w:r w:rsidRPr="00113F13">
        <w:rPr>
          <w:vertAlign w:val="superscript"/>
        </w:rPr>
        <w:footnoteReference w:id="1197"/>
      </w:r>
    </w:p>
    <w:p w14:paraId="32A4E110" w14:textId="77777777" w:rsidR="00FF302D" w:rsidRPr="00113F13" w:rsidRDefault="00FF302D" w:rsidP="00113F13">
      <w:pPr>
        <w:pStyle w:val="DotPointTLRI"/>
        <w:rPr>
          <w:bCs/>
          <w:szCs w:val="21"/>
        </w:rPr>
      </w:pPr>
      <w:r w:rsidRPr="00113F13">
        <w:t>‘kiss and tell’ stories, involving one party to a private or intimate relationship wishing to sell or disclose private or intimate information which also relates to the other party or parties to that relationship, where the latter party or parties do not consent or are opposed to that disclosure;</w:t>
      </w:r>
      <w:r w:rsidRPr="00113F13">
        <w:rPr>
          <w:vertAlign w:val="superscript"/>
        </w:rPr>
        <w:footnoteReference w:id="1198"/>
      </w:r>
    </w:p>
    <w:p w14:paraId="7A5B0078" w14:textId="77777777" w:rsidR="00FF302D" w:rsidRPr="00113F13" w:rsidRDefault="00FF302D" w:rsidP="00113F13">
      <w:pPr>
        <w:pStyle w:val="DotPointTLRI"/>
        <w:rPr>
          <w:bCs/>
          <w:szCs w:val="21"/>
        </w:rPr>
      </w:pPr>
      <w:r w:rsidRPr="00113F13">
        <w:t>intrusions upon privacy, including taking targeted photographs or recordings of individuals engaging in anodyne activities and/or in a public space (</w:t>
      </w:r>
      <w:r w:rsidRPr="00113F13">
        <w:rPr>
          <w:color w:val="000000" w:themeColor="text1"/>
        </w:rPr>
        <w:t>for example, a family outing to a restaurant, where there is no consent to publication of the activity to the world at large, and especially when photos are taken of a child, who in some cases may have a reasonable expectation of privacy where an adult does not);</w:t>
      </w:r>
      <w:r w:rsidRPr="00113F13">
        <w:rPr>
          <w:color w:val="000000" w:themeColor="text1"/>
          <w:vertAlign w:val="superscript"/>
        </w:rPr>
        <w:footnoteReference w:id="1199"/>
      </w:r>
    </w:p>
    <w:p w14:paraId="102DFDBF" w14:textId="77777777" w:rsidR="00FF302D" w:rsidRPr="00113F13" w:rsidRDefault="00FF302D" w:rsidP="00113F13">
      <w:pPr>
        <w:pStyle w:val="DotPointTLRI"/>
      </w:pPr>
      <w:r w:rsidRPr="00113F13">
        <w:t>use of Remotely Piloted Aircraft (‘RPA’) or Unmanned Aerial Vehicles (‘UAV’) (drones) in a way that is intended to have, or in fact has,</w:t>
      </w:r>
      <w:r w:rsidRPr="00113F13">
        <w:rPr>
          <w:vertAlign w:val="superscript"/>
        </w:rPr>
        <w:footnoteReference w:id="1200"/>
      </w:r>
      <w:r w:rsidRPr="00113F13">
        <w:t xml:space="preserve"> and</w:t>
      </w:r>
    </w:p>
    <w:p w14:paraId="4F6C4F7E" w14:textId="77777777" w:rsidR="00FF302D" w:rsidRPr="00113F13" w:rsidRDefault="00FF302D" w:rsidP="00113F13">
      <w:pPr>
        <w:pStyle w:val="DotPointTLRI"/>
      </w:pPr>
      <w:r w:rsidRPr="00113F13">
        <w:t>general intrusions upon seclusion, whether or not they involve audio-visual recording.</w:t>
      </w:r>
      <w:r w:rsidRPr="00113F13">
        <w:rPr>
          <w:vertAlign w:val="superscript"/>
        </w:rPr>
        <w:footnoteReference w:id="1201"/>
      </w:r>
    </w:p>
    <w:p w14:paraId="0A3E1C5F" w14:textId="77777777" w:rsidR="00113F13" w:rsidRPr="00113F13" w:rsidRDefault="00113F13" w:rsidP="00113F13">
      <w:pPr>
        <w:pStyle w:val="Headingunnumbered"/>
        <w:rPr>
          <w:rFonts w:cs="Times New Roman"/>
        </w:rPr>
      </w:pPr>
    </w:p>
    <w:p w14:paraId="09327D14" w14:textId="54318167" w:rsidR="00FF302D" w:rsidRPr="00113F13" w:rsidRDefault="00FF302D" w:rsidP="00113F13">
      <w:pPr>
        <w:pStyle w:val="Headingunnumbered"/>
        <w:rPr>
          <w:rFonts w:cs="Times New Roman"/>
        </w:rPr>
      </w:pPr>
      <w:bookmarkStart w:id="1076" w:name="_Toc164606764"/>
      <w:r w:rsidRPr="00113F13">
        <w:rPr>
          <w:rFonts w:cs="Times New Roman"/>
        </w:rPr>
        <w:lastRenderedPageBreak/>
        <w:t>The position in other jurisdictions</w:t>
      </w:r>
      <w:bookmarkEnd w:id="1076"/>
    </w:p>
    <w:p w14:paraId="70F515BF" w14:textId="77777777" w:rsidR="00FF302D" w:rsidRPr="00113F13" w:rsidRDefault="00FF302D" w:rsidP="00B63604">
      <w:pPr>
        <w:pStyle w:val="NormalNumberedTextTLRI"/>
        <w:numPr>
          <w:ilvl w:val="2"/>
          <w:numId w:val="31"/>
        </w:numPr>
        <w:tabs>
          <w:tab w:val="clear" w:pos="720"/>
        </w:tabs>
        <w:spacing w:line="259" w:lineRule="auto"/>
      </w:pPr>
      <w:bookmarkStart w:id="1077" w:name="_Ref146701574"/>
      <w:r w:rsidRPr="00113F13">
        <w:t>Multiple inquiries in recent years have recommended that a statutory cause of action for serious invasions of privacy be created either at State or Commonwealth level. This is consistent with calls from legal scholars who have engaged with the prospect of a civil remedy for interference with privacy with a view to, among other things, addressing gaps where protection is lacking—particularly in relation to physical privacy of the person.</w:t>
      </w:r>
      <w:r w:rsidRPr="00113F13">
        <w:rPr>
          <w:rStyle w:val="FootnoteReference"/>
          <w:rFonts w:ascii="Times New Roman" w:hAnsi="Times New Roman"/>
        </w:rPr>
        <w:footnoteReference w:id="1202"/>
      </w:r>
      <w:bookmarkEnd w:id="1077"/>
    </w:p>
    <w:p w14:paraId="0550240C" w14:textId="77777777" w:rsidR="00FF302D" w:rsidRPr="00113F13" w:rsidRDefault="00FF302D" w:rsidP="00B63604">
      <w:pPr>
        <w:pStyle w:val="NormalNumberedTextTLRI"/>
        <w:numPr>
          <w:ilvl w:val="2"/>
          <w:numId w:val="31"/>
        </w:numPr>
        <w:tabs>
          <w:tab w:val="clear" w:pos="720"/>
        </w:tabs>
        <w:spacing w:line="259" w:lineRule="auto"/>
      </w:pPr>
      <w:bookmarkStart w:id="1078" w:name="_Ref152073124"/>
      <w:r w:rsidRPr="00113F13">
        <w:t>At the State level, the NSW Law Reform Commission,</w:t>
      </w:r>
      <w:r w:rsidRPr="00113F13">
        <w:rPr>
          <w:rStyle w:val="FootnoteReference"/>
          <w:rFonts w:ascii="Times New Roman" w:hAnsi="Times New Roman"/>
        </w:rPr>
        <w:footnoteReference w:id="1203"/>
      </w:r>
      <w:r w:rsidRPr="00113F13">
        <w:t xml:space="preserve"> the NSW Standing Committee on Law and Justice,</w:t>
      </w:r>
      <w:r w:rsidRPr="00113F13">
        <w:rPr>
          <w:rStyle w:val="FootnoteReference"/>
          <w:rFonts w:ascii="Times New Roman" w:hAnsi="Times New Roman"/>
        </w:rPr>
        <w:footnoteReference w:id="1204"/>
      </w:r>
      <w:r w:rsidRPr="00113F13">
        <w:t xml:space="preserve"> the Victorian Law Reform Commission,</w:t>
      </w:r>
      <w:r w:rsidRPr="00113F13">
        <w:rPr>
          <w:rStyle w:val="FootnoteReference"/>
          <w:rFonts w:ascii="Times New Roman" w:hAnsi="Times New Roman"/>
        </w:rPr>
        <w:footnoteReference w:id="1205"/>
      </w:r>
      <w:r w:rsidRPr="00113F13">
        <w:t xml:space="preserve"> the South Australian Law Reform Institute,</w:t>
      </w:r>
      <w:r w:rsidRPr="00113F13">
        <w:rPr>
          <w:rStyle w:val="FootnoteReference"/>
          <w:rFonts w:ascii="Times New Roman" w:hAnsi="Times New Roman"/>
        </w:rPr>
        <w:footnoteReference w:id="1206"/>
      </w:r>
      <w:r w:rsidRPr="00113F13">
        <w:t xml:space="preserve"> and the Queensland Crime and Corruption Commission</w:t>
      </w:r>
      <w:r w:rsidRPr="00113F13">
        <w:rPr>
          <w:rStyle w:val="FootnoteReference"/>
          <w:rFonts w:ascii="Times New Roman" w:hAnsi="Times New Roman"/>
        </w:rPr>
        <w:footnoteReference w:id="1207"/>
      </w:r>
      <w:r w:rsidRPr="00113F13">
        <w:t xml:space="preserve"> have all recommended the enactment of statutory civil causes of action for serious invasion of privacy. No such legislation has yet been enacted in these jurisdictions.</w:t>
      </w:r>
      <w:r w:rsidRPr="00113F13">
        <w:rPr>
          <w:rStyle w:val="FootnoteReference"/>
          <w:rFonts w:ascii="Times New Roman" w:hAnsi="Times New Roman"/>
        </w:rPr>
        <w:footnoteReference w:id="1208"/>
      </w:r>
      <w:bookmarkEnd w:id="1078"/>
    </w:p>
    <w:p w14:paraId="6E8383F3" w14:textId="77777777" w:rsidR="00FF302D" w:rsidRPr="00113F13" w:rsidRDefault="00FF302D" w:rsidP="00B63604">
      <w:pPr>
        <w:pStyle w:val="NormalNumberedTextTLRI"/>
        <w:numPr>
          <w:ilvl w:val="2"/>
          <w:numId w:val="31"/>
        </w:numPr>
        <w:tabs>
          <w:tab w:val="clear" w:pos="720"/>
        </w:tabs>
        <w:spacing w:line="259" w:lineRule="auto"/>
      </w:pPr>
      <w:r w:rsidRPr="00113F13">
        <w:t xml:space="preserve">At the Commonwealth level, the Australian Law Reform Commission’s (‘ALRC’) </w:t>
      </w:r>
      <w:r w:rsidRPr="00113F13">
        <w:rPr>
          <w:i/>
          <w:iCs/>
        </w:rPr>
        <w:t>For Your Information Final Report</w:t>
      </w:r>
      <w:r w:rsidRPr="00113F13">
        <w:t xml:space="preserve"> (Report 108) recommended the introduction of a statutory cause of action for serious invasions of privacy in 2008, on the basis that relying on developments in the common law could result in ‘piecemeal and fragmented privacy protection’ and consequent uncertainty for individuals and organisations.</w:t>
      </w:r>
      <w:r w:rsidRPr="00113F13">
        <w:rPr>
          <w:rStyle w:val="FootnoteReference"/>
          <w:rFonts w:ascii="Times New Roman" w:hAnsi="Times New Roman"/>
        </w:rPr>
        <w:footnoteReference w:id="1209"/>
      </w:r>
      <w:r w:rsidRPr="00113F13">
        <w:t xml:space="preserve"> </w:t>
      </w:r>
    </w:p>
    <w:p w14:paraId="4669E5D5"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ALRC was subsequently asked to design such a statutory cause of action, which was published in its 2014 report, </w:t>
      </w:r>
      <w:r w:rsidRPr="00113F13">
        <w:rPr>
          <w:i/>
          <w:iCs/>
        </w:rPr>
        <w:t>Serious Invasions of Privacy in the Digital Era</w:t>
      </w:r>
      <w:r w:rsidRPr="00113F13">
        <w:t>.</w:t>
      </w:r>
      <w:r w:rsidRPr="00113F13">
        <w:rPr>
          <w:rStyle w:val="FootnoteReference"/>
          <w:rFonts w:ascii="Times New Roman" w:hAnsi="Times New Roman"/>
        </w:rPr>
        <w:footnoteReference w:id="1210"/>
      </w:r>
      <w:r w:rsidRPr="00113F13">
        <w:t xml:space="preserve"> The ALRC recommended that a cause of action be enacted by the Commonwealth in a standalone Act, on the basis that this would be ‘the best way to ensure the action is available and consistent throughout Australia’ and would avoid confusion, fragmentation, and complexity that may arise if multiple States and Territories enacted their own provisions.</w:t>
      </w:r>
      <w:r w:rsidRPr="00113F13">
        <w:rPr>
          <w:rStyle w:val="FootnoteReference"/>
          <w:rFonts w:ascii="Times New Roman" w:hAnsi="Times New Roman"/>
        </w:rPr>
        <w:footnoteReference w:id="1211"/>
      </w:r>
      <w:r w:rsidRPr="00113F13">
        <w:t xml:space="preserve"> </w:t>
      </w:r>
    </w:p>
    <w:p w14:paraId="67A2ED39" w14:textId="77777777" w:rsidR="00FF302D" w:rsidRPr="00113F13" w:rsidRDefault="00FF302D" w:rsidP="00B63604">
      <w:pPr>
        <w:pStyle w:val="NormalNumberedTextTLRI"/>
        <w:numPr>
          <w:ilvl w:val="2"/>
          <w:numId w:val="31"/>
        </w:numPr>
        <w:tabs>
          <w:tab w:val="clear" w:pos="720"/>
        </w:tabs>
        <w:spacing w:line="259" w:lineRule="auto"/>
      </w:pPr>
      <w:r w:rsidRPr="00113F13">
        <w:t>The ALRC recommended that the cause of action be described in the Act as an action in tort for several reasons, including that it would:</w:t>
      </w:r>
    </w:p>
    <w:p w14:paraId="7073A388" w14:textId="77777777" w:rsidR="00FF302D" w:rsidRPr="00113F13" w:rsidRDefault="00FF302D" w:rsidP="00113F13">
      <w:pPr>
        <w:pStyle w:val="DotPointTLRI"/>
      </w:pPr>
      <w:r w:rsidRPr="00113F13">
        <w:lastRenderedPageBreak/>
        <w:t>provide certainty about ‘a number of ancillary issues that will inevitably arise’ for courts (for example, many existing legislative provisions refer to liability in tort and describing the privacy action as a tort action would integrate it into existing laws);</w:t>
      </w:r>
      <w:r w:rsidRPr="00113F13">
        <w:rPr>
          <w:rStyle w:val="FootnoteReference"/>
          <w:rFonts w:ascii="Times New Roman" w:hAnsi="Times New Roman"/>
        </w:rPr>
        <w:footnoteReference w:id="1212"/>
      </w:r>
      <w:r w:rsidRPr="00113F13">
        <w:t xml:space="preserve"> </w:t>
      </w:r>
    </w:p>
    <w:p w14:paraId="1F5593F7" w14:textId="77777777" w:rsidR="00FF302D" w:rsidRPr="00113F13" w:rsidRDefault="00FF302D" w:rsidP="00113F13">
      <w:pPr>
        <w:pStyle w:val="DotPointTLRI"/>
      </w:pPr>
      <w:r w:rsidRPr="00113F13">
        <w:t xml:space="preserve">be consistent with accepted legal classifications; </w:t>
      </w:r>
    </w:p>
    <w:p w14:paraId="311A3270" w14:textId="77777777" w:rsidR="00FF302D" w:rsidRPr="00113F13" w:rsidRDefault="00FF302D" w:rsidP="00113F13">
      <w:pPr>
        <w:pStyle w:val="DotPointTLRI"/>
      </w:pPr>
      <w:r w:rsidRPr="00113F13">
        <w:t xml:space="preserve">be consistent with nomenclature in international jurisdictions, thus enabling Australian courts to benefit from international case law; </w:t>
      </w:r>
    </w:p>
    <w:p w14:paraId="550DC602" w14:textId="77777777" w:rsidR="00FF302D" w:rsidRPr="00113F13" w:rsidRDefault="00FF302D" w:rsidP="00113F13">
      <w:pPr>
        <w:pStyle w:val="DotPointTLRI"/>
      </w:pPr>
      <w:r w:rsidRPr="00113F13">
        <w:t>distinguish the cause of action from existing regulatory regimes, such as the Privacy Act; and</w:t>
      </w:r>
    </w:p>
    <w:p w14:paraId="0C7213F8" w14:textId="77777777" w:rsidR="00FF302D" w:rsidRPr="00113F13" w:rsidRDefault="00FF302D" w:rsidP="00113F13">
      <w:pPr>
        <w:pStyle w:val="DotPointTLRI"/>
      </w:pPr>
      <w:r w:rsidRPr="00113F13">
        <w:t>differentiate this cause of action from the equitable and contractual actions for breach of confidence, which would continue to exist.</w:t>
      </w:r>
      <w:r w:rsidRPr="00113F13">
        <w:rPr>
          <w:rStyle w:val="FootnoteReference"/>
          <w:rFonts w:ascii="Times New Roman" w:hAnsi="Times New Roman"/>
        </w:rPr>
        <w:footnoteReference w:id="1213"/>
      </w:r>
    </w:p>
    <w:p w14:paraId="0F74D163" w14:textId="77777777" w:rsidR="00FF302D" w:rsidRPr="00113F13" w:rsidRDefault="00FF302D" w:rsidP="00B63604">
      <w:pPr>
        <w:pStyle w:val="NormalNumberedTextTLRI"/>
        <w:numPr>
          <w:ilvl w:val="2"/>
          <w:numId w:val="31"/>
        </w:numPr>
        <w:tabs>
          <w:tab w:val="clear" w:pos="720"/>
        </w:tabs>
        <w:spacing w:line="259" w:lineRule="auto"/>
      </w:pPr>
      <w:r w:rsidRPr="00113F13">
        <w:t>Under</w:t>
      </w:r>
      <w:r w:rsidRPr="00113F13" w:rsidDel="00D560F5">
        <w:t xml:space="preserve"> </w:t>
      </w:r>
      <w:r w:rsidRPr="00113F13">
        <w:t>the ALRC model, the tort would be available in the following circumstances:</w:t>
      </w:r>
      <w:r w:rsidRPr="00113F13">
        <w:rPr>
          <w:rStyle w:val="FootnoteReference"/>
          <w:rFonts w:ascii="Times New Roman" w:hAnsi="Times New Roman"/>
        </w:rPr>
        <w:footnoteReference w:id="1214"/>
      </w:r>
    </w:p>
    <w:p w14:paraId="0F917099" w14:textId="77777777" w:rsidR="00FF302D" w:rsidRPr="00113F13" w:rsidRDefault="00FF302D" w:rsidP="00113F13">
      <w:pPr>
        <w:pStyle w:val="DotPointTLRI"/>
      </w:pPr>
      <w:r w:rsidRPr="00113F13">
        <w:t>where the invasion of privacy was either an intrusion into seclusion or a misuse of private information;</w:t>
      </w:r>
    </w:p>
    <w:p w14:paraId="599968CF" w14:textId="77777777" w:rsidR="00FF302D" w:rsidRPr="00113F13" w:rsidRDefault="00FF302D" w:rsidP="00113F13">
      <w:pPr>
        <w:pStyle w:val="DotPointTLRI"/>
      </w:pPr>
      <w:r w:rsidRPr="00113F13">
        <w:t>where it is proved that a person in the position of the plaintiff would have had a reasonable expectation of privacy in all the circumstances;</w:t>
      </w:r>
    </w:p>
    <w:p w14:paraId="6D56B51F" w14:textId="77777777" w:rsidR="00FF302D" w:rsidRPr="00113F13" w:rsidRDefault="00FF302D" w:rsidP="00113F13">
      <w:pPr>
        <w:pStyle w:val="DotPointTLRI"/>
      </w:pPr>
      <w:r w:rsidRPr="00113F13">
        <w:t>where the invasion was committed intentionally or recklessly (with mere negligence being insufficient);</w:t>
      </w:r>
    </w:p>
    <w:p w14:paraId="326F63FE" w14:textId="77777777" w:rsidR="00FF302D" w:rsidRPr="00113F13" w:rsidRDefault="00FF302D" w:rsidP="00113F13">
      <w:pPr>
        <w:pStyle w:val="DotPointTLRI"/>
      </w:pPr>
      <w:r w:rsidRPr="00113F13">
        <w:t>where the invasion was ‘serious’</w:t>
      </w:r>
    </w:p>
    <w:p w14:paraId="765BD951" w14:textId="77777777" w:rsidR="00FF302D" w:rsidRPr="00113F13" w:rsidRDefault="00FF302D" w:rsidP="00113F13">
      <w:pPr>
        <w:pStyle w:val="DotPointTLRI"/>
      </w:pPr>
      <w:r w:rsidRPr="00113F13">
        <w:t>regardless of whether the invasion has caused ‘actual damage’ (that is, ‘the wrong itself is the harm’,</w:t>
      </w:r>
      <w:r w:rsidRPr="00113F13">
        <w:rPr>
          <w:rStyle w:val="FootnoteReference"/>
          <w:rFonts w:ascii="Times New Roman" w:hAnsi="Times New Roman"/>
        </w:rPr>
        <w:footnoteReference w:id="1215"/>
      </w:r>
      <w:r w:rsidRPr="00113F13">
        <w:t xml:space="preserve"> and damage may include emotional distress);</w:t>
      </w:r>
    </w:p>
    <w:p w14:paraId="3CACF4A8" w14:textId="77777777" w:rsidR="00FF302D" w:rsidRPr="00113F13" w:rsidRDefault="00FF302D" w:rsidP="00113F13">
      <w:pPr>
        <w:pStyle w:val="DotPointTLRI"/>
      </w:pPr>
      <w:r w:rsidRPr="00113F13">
        <w:t>where the court is satisfied that the public interest in privacy outweighs any countervailing public interests (that is, it is subject to a ‘balancing exercise’ where the court must consider privacy against other public interests, including freedom of speech, freedom of the media, public health and safety, and national security).</w:t>
      </w:r>
    </w:p>
    <w:p w14:paraId="5232B12A" w14:textId="77777777" w:rsidR="00FF302D" w:rsidRPr="00113F13" w:rsidRDefault="00FF302D" w:rsidP="00B63604">
      <w:pPr>
        <w:pStyle w:val="NormalNumberedTextTLRI"/>
        <w:numPr>
          <w:ilvl w:val="2"/>
          <w:numId w:val="31"/>
        </w:numPr>
        <w:tabs>
          <w:tab w:val="clear" w:pos="720"/>
        </w:tabs>
        <w:spacing w:line="259" w:lineRule="auto"/>
      </w:pPr>
      <w:r w:rsidRPr="00113F13">
        <w:t>The ALRC recommended that a range of defences be available, including:</w:t>
      </w:r>
      <w:r w:rsidRPr="00113F13">
        <w:rPr>
          <w:rStyle w:val="FootnoteReference"/>
          <w:rFonts w:ascii="Times New Roman" w:hAnsi="Times New Roman"/>
        </w:rPr>
        <w:footnoteReference w:id="1216"/>
      </w:r>
    </w:p>
    <w:p w14:paraId="7DC373D1" w14:textId="77777777" w:rsidR="00FF302D" w:rsidRPr="00113F13" w:rsidRDefault="00FF302D" w:rsidP="00113F13">
      <w:pPr>
        <w:pStyle w:val="DotPointTLRI"/>
      </w:pPr>
      <w:r w:rsidRPr="00113F13">
        <w:t>a defence of lawful authority (where conduct was required or authorised by law);</w:t>
      </w:r>
    </w:p>
    <w:p w14:paraId="4E3F17C7" w14:textId="77777777" w:rsidR="00FF302D" w:rsidRPr="00113F13" w:rsidRDefault="00FF302D" w:rsidP="00113F13">
      <w:pPr>
        <w:pStyle w:val="DotPointTLRI"/>
      </w:pPr>
      <w:r w:rsidRPr="00113F13">
        <w:t>a defence where the conduct was incidental to defence of persons or property;</w:t>
      </w:r>
    </w:p>
    <w:p w14:paraId="65801B10" w14:textId="77777777" w:rsidR="00FF302D" w:rsidRPr="00113F13" w:rsidRDefault="00FF302D" w:rsidP="00113F13">
      <w:pPr>
        <w:pStyle w:val="DotPointTLRI"/>
      </w:pPr>
      <w:r w:rsidRPr="00113F13">
        <w:t>a defence of necessity (where a defendant acts in a reasonable belief they were preventing imminent and greater harm);</w:t>
      </w:r>
    </w:p>
    <w:p w14:paraId="7E9B129F" w14:textId="77777777" w:rsidR="00FF302D" w:rsidRPr="00113F13" w:rsidRDefault="00FF302D" w:rsidP="00113F13">
      <w:pPr>
        <w:pStyle w:val="DotPointTLRI"/>
      </w:pPr>
      <w:r w:rsidRPr="00113F13">
        <w:t>a defence of consent (including express and implied consent);</w:t>
      </w:r>
    </w:p>
    <w:p w14:paraId="1E26477D" w14:textId="77777777" w:rsidR="00FF302D" w:rsidRPr="00113F13" w:rsidRDefault="00FF302D" w:rsidP="00113F13">
      <w:pPr>
        <w:pStyle w:val="DotPointTLRI"/>
      </w:pPr>
      <w:r w:rsidRPr="00113F13">
        <w:t>a defence of absolute privilege (where information is revealed in the course of public fora, such as in parliament or in court or tribunal proceedings);</w:t>
      </w:r>
      <w:r w:rsidRPr="00113F13">
        <w:rPr>
          <w:rStyle w:val="FootnoteReference"/>
          <w:rFonts w:ascii="Times New Roman" w:hAnsi="Times New Roman"/>
        </w:rPr>
        <w:footnoteReference w:id="1217"/>
      </w:r>
    </w:p>
    <w:p w14:paraId="3D914547" w14:textId="77777777" w:rsidR="00FF302D" w:rsidRPr="00113F13" w:rsidRDefault="00FF302D" w:rsidP="00113F13">
      <w:pPr>
        <w:pStyle w:val="DotPointTLRI"/>
      </w:pPr>
      <w:r w:rsidRPr="00113F13">
        <w:t>a defence for the publication of public documents; and</w:t>
      </w:r>
    </w:p>
    <w:p w14:paraId="091B777C" w14:textId="77777777" w:rsidR="00FF302D" w:rsidRPr="00113F13" w:rsidRDefault="00FF302D" w:rsidP="00113F13">
      <w:pPr>
        <w:pStyle w:val="DotPointTLRI"/>
        <w:rPr>
          <w:rStyle w:val="FootnoteReference"/>
          <w:rFonts w:ascii="Times New Roman" w:hAnsi="Times New Roman"/>
        </w:rPr>
      </w:pPr>
      <w:r w:rsidRPr="00113F13">
        <w:t>a defence for fair reporting of public proceedings.</w:t>
      </w:r>
      <w:r w:rsidRPr="00113F13">
        <w:rPr>
          <w:rStyle w:val="FootnoteReference"/>
          <w:rFonts w:ascii="Times New Roman" w:hAnsi="Times New Roman"/>
        </w:rPr>
        <w:t xml:space="preserve"> </w:t>
      </w:r>
    </w:p>
    <w:p w14:paraId="7DC3767B"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Finally, the ALRC proposed that a range of orders remedies be available for serious invasions of privacy, including: damages; an account of profits; injunctions; delivery up, destruction, and removal of material; correction and apology orders; and declarations.</w:t>
      </w:r>
      <w:r w:rsidRPr="00113F13">
        <w:rPr>
          <w:rStyle w:val="FootnoteReference"/>
          <w:rFonts w:ascii="Times New Roman" w:hAnsi="Times New Roman"/>
        </w:rPr>
        <w:footnoteReference w:id="1218"/>
      </w:r>
      <w:r w:rsidRPr="00113F13">
        <w:t xml:space="preserve"> </w:t>
      </w:r>
    </w:p>
    <w:p w14:paraId="4EA553DB" w14:textId="77777777" w:rsidR="00FF302D" w:rsidRPr="00113F13" w:rsidRDefault="00FF302D" w:rsidP="00B63604">
      <w:pPr>
        <w:pStyle w:val="NormalNumberedTextTLRI"/>
        <w:numPr>
          <w:ilvl w:val="2"/>
          <w:numId w:val="31"/>
        </w:numPr>
        <w:tabs>
          <w:tab w:val="clear" w:pos="720"/>
        </w:tabs>
        <w:spacing w:line="259" w:lineRule="auto"/>
      </w:pPr>
      <w:r w:rsidRPr="00113F13">
        <w:t>The ALRC expressed the view that the introduction of a statutory cause of action in this form would be within the scope of the Commonwealth’s constitutional powers and would not infringe on the implied limitation on the Commonwealth’s power to legislate to burden the exercise of powers and functions of the States.</w:t>
      </w:r>
      <w:r w:rsidRPr="00113F13">
        <w:rPr>
          <w:rStyle w:val="FootnoteReference"/>
          <w:rFonts w:ascii="Times New Roman" w:hAnsi="Times New Roman"/>
        </w:rPr>
        <w:footnoteReference w:id="1219"/>
      </w:r>
    </w:p>
    <w:p w14:paraId="378EC61C"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The implementation of the ALRC’s proposed model has since been recommended by other Commonwealth inquiries, including the ACCC’s </w:t>
      </w:r>
      <w:r w:rsidRPr="00113F13">
        <w:rPr>
          <w:i/>
          <w:iCs/>
        </w:rPr>
        <w:t>DPI Report</w:t>
      </w:r>
      <w:r w:rsidRPr="00113F13">
        <w:rPr>
          <w:rStyle w:val="FootnoteReference"/>
          <w:rFonts w:ascii="Times New Roman" w:hAnsi="Times New Roman"/>
        </w:rPr>
        <w:footnoteReference w:id="1220"/>
      </w:r>
      <w:r w:rsidRPr="00113F13">
        <w:t xml:space="preserve"> and the AHRC’s </w:t>
      </w:r>
      <w:r w:rsidRPr="00113F13">
        <w:rPr>
          <w:i/>
          <w:iCs/>
        </w:rPr>
        <w:t>Human Rights and Technology Final Report</w:t>
      </w:r>
      <w:r w:rsidRPr="00113F13">
        <w:t>.</w:t>
      </w:r>
      <w:r w:rsidRPr="00113F13">
        <w:rPr>
          <w:rStyle w:val="FootnoteReference"/>
          <w:rFonts w:ascii="Times New Roman" w:hAnsi="Times New Roman"/>
        </w:rPr>
        <w:footnoteReference w:id="1221"/>
      </w:r>
      <w:r w:rsidRPr="00113F13">
        <w:t xml:space="preserve"> </w:t>
      </w:r>
    </w:p>
    <w:p w14:paraId="7B52F9EF" w14:textId="77777777" w:rsidR="00FF302D" w:rsidRPr="00113F13" w:rsidRDefault="00FF302D" w:rsidP="00B63604">
      <w:pPr>
        <w:pStyle w:val="NormalNumberedTextTLRI"/>
        <w:numPr>
          <w:ilvl w:val="2"/>
          <w:numId w:val="31"/>
        </w:numPr>
        <w:tabs>
          <w:tab w:val="clear" w:pos="720"/>
        </w:tabs>
        <w:spacing w:line="259" w:lineRule="auto"/>
      </w:pPr>
      <w:r w:rsidRPr="00113F13">
        <w:t>The Australian Competition and Consumer Commission (‘ACCC’) argued that a statutory cause of action would ‘lessen the bargaining power imbalance between consumers and digital platforms by providing Australian consumers with an additional way of seeking redress or poor data practices by digital platforms and other businesses that collect Australians’ personal information’.</w:t>
      </w:r>
      <w:r w:rsidRPr="00113F13">
        <w:rPr>
          <w:rStyle w:val="FootnoteReference"/>
          <w:rFonts w:ascii="Times New Roman" w:hAnsi="Times New Roman"/>
        </w:rPr>
        <w:footnoteReference w:id="1222"/>
      </w:r>
      <w:r w:rsidRPr="00113F13">
        <w:t xml:space="preserve"> </w:t>
      </w:r>
    </w:p>
    <w:p w14:paraId="394B36E4" w14:textId="77CD4736" w:rsidR="00FF302D" w:rsidRPr="00113F13" w:rsidRDefault="00FF302D" w:rsidP="00B63604">
      <w:pPr>
        <w:pStyle w:val="NormalNumberedTextTLRI"/>
        <w:numPr>
          <w:ilvl w:val="2"/>
          <w:numId w:val="31"/>
        </w:numPr>
        <w:tabs>
          <w:tab w:val="clear" w:pos="720"/>
        </w:tabs>
        <w:spacing w:line="259" w:lineRule="auto"/>
      </w:pPr>
      <w:r w:rsidRPr="00113F13">
        <w:t xml:space="preserve">The Australian Human Rights Commission (‘AHRC’) noted that such a reform would ‘present a barrier to intrusive, wide-scale surveillance’ and ‘extend privacy protection in Australian law beyond personal information, to include interference with bodily and territorial privacy’ in a manner more appropriate to implementing Australia’s obligations under Article 17 of the </w:t>
      </w:r>
      <w:r w:rsidRPr="10DD744B">
        <w:rPr>
          <w:i/>
          <w:iCs/>
        </w:rPr>
        <w:t>International Convention on Civil and Political Rights</w:t>
      </w:r>
      <w:r w:rsidRPr="00113F13">
        <w:t xml:space="preserve"> (‘ICCPR’</w:t>
      </w:r>
      <w:r w:rsidRPr="003215A2">
        <w:t>) (</w:t>
      </w:r>
      <w:r w:rsidRPr="00EA22F8">
        <w:t xml:space="preserve">discussed </w:t>
      </w:r>
      <w:r w:rsidR="00003B5E" w:rsidRPr="00EA22F8">
        <w:t>at</w:t>
      </w:r>
      <w:r w:rsidRPr="00EA22F8">
        <w:t xml:space="preserve"> [2.4]</w:t>
      </w:r>
      <w:r w:rsidRPr="003215A2">
        <w:t>).</w:t>
      </w:r>
      <w:r w:rsidRPr="003215A2">
        <w:rPr>
          <w:rStyle w:val="FootnoteReference"/>
          <w:rFonts w:ascii="Times New Roman" w:hAnsi="Times New Roman"/>
        </w:rPr>
        <w:footnoteReference w:id="1223"/>
      </w:r>
    </w:p>
    <w:p w14:paraId="1585A66B" w14:textId="77777777" w:rsidR="00FF302D" w:rsidRPr="00113F13" w:rsidRDefault="00FF302D" w:rsidP="00BF1FE7">
      <w:pPr>
        <w:pStyle w:val="NumberedHeadingTLRI"/>
      </w:pPr>
      <w:bookmarkStart w:id="1079" w:name="_Toc164606765"/>
      <w:bookmarkStart w:id="1080" w:name="_Ref165025425"/>
      <w:r w:rsidRPr="00113F13">
        <w:t>The Commonwealth Privacy Act Review</w:t>
      </w:r>
      <w:bookmarkEnd w:id="1079"/>
      <w:bookmarkEnd w:id="1080"/>
    </w:p>
    <w:p w14:paraId="434E0554" w14:textId="77777777" w:rsidR="00FF302D" w:rsidRPr="00113F13" w:rsidRDefault="00FF302D" w:rsidP="00B63604">
      <w:pPr>
        <w:pStyle w:val="NormalNumberedTextTLRI"/>
        <w:numPr>
          <w:ilvl w:val="2"/>
          <w:numId w:val="31"/>
        </w:numPr>
        <w:tabs>
          <w:tab w:val="clear" w:pos="720"/>
        </w:tabs>
        <w:spacing w:line="259" w:lineRule="auto"/>
      </w:pPr>
      <w:r w:rsidRPr="00113F13">
        <w:t>The Commonwealth Privacy Act Review also supported the implementation of the ALRC’s model of a statutory tort for serious invasions of privacy.</w:t>
      </w:r>
      <w:r w:rsidRPr="00113F13">
        <w:rPr>
          <w:rStyle w:val="FootnoteReference"/>
          <w:rFonts w:ascii="Times New Roman" w:hAnsi="Times New Roman"/>
        </w:rPr>
        <w:footnoteReference w:id="1224"/>
      </w:r>
    </w:p>
    <w:p w14:paraId="232F32AC" w14:textId="77777777" w:rsidR="00FF302D" w:rsidRPr="00113F13" w:rsidRDefault="00FF302D" w:rsidP="00B63604">
      <w:pPr>
        <w:pStyle w:val="NormalNumberedTextTLRI"/>
        <w:numPr>
          <w:ilvl w:val="2"/>
          <w:numId w:val="31"/>
        </w:numPr>
        <w:tabs>
          <w:tab w:val="clear" w:pos="720"/>
        </w:tabs>
        <w:spacing w:line="259" w:lineRule="auto"/>
      </w:pPr>
      <w:bookmarkStart w:id="1081" w:name="_Ref165025660"/>
      <w:r w:rsidRPr="00113F13">
        <w:t xml:space="preserve">The Review reiterated that a statutory cause of action is warranted due to the lack of protection of a range of invasions of privacy in the </w:t>
      </w:r>
      <w:r w:rsidRPr="00113F13">
        <w:rPr>
          <w:i/>
          <w:iCs/>
        </w:rPr>
        <w:t>Privacy Act</w:t>
      </w:r>
      <w:r w:rsidRPr="00113F13">
        <w:t>, citing the Office of the Australian Information Commissioner’s (‘OAIC’) list of circumstances not currently covered by the Act:</w:t>
      </w:r>
      <w:bookmarkEnd w:id="1081"/>
    </w:p>
    <w:p w14:paraId="64B7AB14" w14:textId="77777777" w:rsidR="00FF302D" w:rsidRPr="00113F13" w:rsidRDefault="00FF302D" w:rsidP="00113F13">
      <w:pPr>
        <w:pStyle w:val="DotPointTLRI"/>
      </w:pPr>
      <w:r w:rsidRPr="00113F13">
        <w:t>‘peering over a back fence to take a video of someone in their backyard, or other place where there is an expectation of privacy (for example, in a public bathroom)’;</w:t>
      </w:r>
    </w:p>
    <w:p w14:paraId="752AF9C0" w14:textId="77777777" w:rsidR="00FF302D" w:rsidRPr="00113F13" w:rsidRDefault="00FF302D" w:rsidP="00113F13">
      <w:pPr>
        <w:pStyle w:val="DotPointTLRI"/>
      </w:pPr>
      <w:r w:rsidRPr="00113F13">
        <w:t>‘recording a private conversation with someone without their knowledge or consent’;</w:t>
      </w:r>
    </w:p>
    <w:p w14:paraId="0CBC32A4" w14:textId="77777777" w:rsidR="00FF302D" w:rsidRPr="00113F13" w:rsidRDefault="00FF302D" w:rsidP="00113F13">
      <w:pPr>
        <w:pStyle w:val="DotPointTLRI"/>
      </w:pPr>
      <w:r w:rsidRPr="00113F13">
        <w:t>‘interfering with, misusing or disclosing an individual’s private correspondence or private written, oral or electronic communication’;</w:t>
      </w:r>
    </w:p>
    <w:p w14:paraId="2AEF62AB" w14:textId="77777777" w:rsidR="00FF302D" w:rsidRPr="00113F13" w:rsidRDefault="00FF302D" w:rsidP="00113F13">
      <w:pPr>
        <w:pStyle w:val="DotPointTLRI"/>
      </w:pPr>
      <w:r w:rsidRPr="00113F13">
        <w:t>‘disclosing or disseminating sensitive facts relating to an individual’s private life’;</w:t>
      </w:r>
    </w:p>
    <w:p w14:paraId="3CA91097" w14:textId="77777777" w:rsidR="00FF302D" w:rsidRPr="00113F13" w:rsidRDefault="00FF302D" w:rsidP="00113F13">
      <w:pPr>
        <w:pStyle w:val="DotPointTLRI"/>
      </w:pPr>
      <w:r w:rsidRPr="00113F13">
        <w:lastRenderedPageBreak/>
        <w:t>‘misusing personal information about another person that was accessed in breach of an employment contract, but for which the employer is not liable because it was misused for a personal purpose (for example, blackmail or Family Court proceedings)’; and</w:t>
      </w:r>
    </w:p>
    <w:p w14:paraId="3CEE3BDC" w14:textId="77777777" w:rsidR="00FF302D" w:rsidRPr="00113F13" w:rsidRDefault="00FF302D" w:rsidP="00113F13">
      <w:pPr>
        <w:pStyle w:val="DotPointTLRI"/>
      </w:pPr>
      <w:r w:rsidRPr="00113F13">
        <w:t>‘a data breach experienced by a small business or individual not covered by the Act’.</w:t>
      </w:r>
      <w:r w:rsidRPr="00113F13">
        <w:rPr>
          <w:rStyle w:val="FootnoteReference"/>
          <w:rFonts w:ascii="Times New Roman" w:hAnsi="Times New Roman"/>
        </w:rPr>
        <w:footnoteReference w:id="1225"/>
      </w:r>
    </w:p>
    <w:p w14:paraId="1A7B39F2" w14:textId="77777777" w:rsidR="00FF302D" w:rsidRPr="00113F13" w:rsidRDefault="00FF302D" w:rsidP="00B63604">
      <w:pPr>
        <w:pStyle w:val="NormalNumberedTextTLRI"/>
        <w:numPr>
          <w:ilvl w:val="2"/>
          <w:numId w:val="31"/>
        </w:numPr>
        <w:tabs>
          <w:tab w:val="clear" w:pos="720"/>
        </w:tabs>
        <w:spacing w:line="259" w:lineRule="auto"/>
      </w:pPr>
      <w:r w:rsidRPr="00113F13">
        <w:t>The Review agreed with the ALRC’s conclusion that it would be most appropriate for a statutory tort to be enacted in a standalone Commonwealth Act (not the Privacy Act), so that it applied throughout Australia, and not only to Australian Privacy Principles (‘APP’) entities and Commonwealth agencies, but also State and Territory agencies and individuals.</w:t>
      </w:r>
      <w:r w:rsidRPr="00113F13">
        <w:rPr>
          <w:rStyle w:val="FootnoteReference"/>
          <w:rFonts w:ascii="Times New Roman" w:hAnsi="Times New Roman"/>
        </w:rPr>
        <w:footnoteReference w:id="1226"/>
      </w:r>
    </w:p>
    <w:p w14:paraId="046AB649" w14:textId="45461FB6" w:rsidR="00FF302D" w:rsidRPr="003215A2" w:rsidRDefault="10DD744B" w:rsidP="00B63604">
      <w:pPr>
        <w:pStyle w:val="NormalNumberedTextTLRI"/>
        <w:numPr>
          <w:ilvl w:val="2"/>
          <w:numId w:val="31"/>
        </w:numPr>
        <w:tabs>
          <w:tab w:val="clear" w:pos="720"/>
        </w:tabs>
        <w:spacing w:line="259" w:lineRule="auto"/>
      </w:pPr>
      <w:r>
        <w:t>The Review emphasised that consultation with the States and Territories was essential to ensure that the approach was consistent nationwide, especially in light of the recommendations for the introduction of State-level statutory torts already made in South Australia, NSW, and Queensland (</w:t>
      </w:r>
      <w:r w:rsidRPr="00EA22F8">
        <w:t xml:space="preserve">see </w:t>
      </w:r>
      <w:r w:rsidR="00003B5E" w:rsidRPr="00EA22F8">
        <w:t>[</w:t>
      </w:r>
      <w:r w:rsidR="00FF302D" w:rsidRPr="003215A2">
        <w:fldChar w:fldCharType="begin"/>
      </w:r>
      <w:r w:rsidR="00FF302D" w:rsidRPr="003215A2">
        <w:instrText xml:space="preserve"> REF _Ref152073124 \r \h  \* MERGEFORMAT </w:instrText>
      </w:r>
      <w:r w:rsidR="00FF302D" w:rsidRPr="003215A2">
        <w:fldChar w:fldCharType="separate"/>
      </w:r>
      <w:r w:rsidR="00462C30">
        <w:rPr>
          <w:cs/>
        </w:rPr>
        <w:t>‎</w:t>
      </w:r>
      <w:r w:rsidR="00462C30">
        <w:t>11.3.6</w:t>
      </w:r>
      <w:r w:rsidR="00FF302D" w:rsidRPr="003215A2">
        <w:fldChar w:fldCharType="end"/>
      </w:r>
      <w:r w:rsidR="00003B5E" w:rsidRPr="003215A2">
        <w:t>]</w:t>
      </w:r>
      <w:r w:rsidRPr="003215A2">
        <w:t xml:space="preserve"> and following</w:t>
      </w:r>
      <w:r w:rsidR="00C95967">
        <w:t>)</w:t>
      </w:r>
      <w:r w:rsidRPr="003215A2">
        <w:t xml:space="preserve"> and in order to ensure that:</w:t>
      </w:r>
    </w:p>
    <w:p w14:paraId="0CDFB8EF" w14:textId="77777777" w:rsidR="00FF302D" w:rsidRPr="00113F13" w:rsidRDefault="00FF302D" w:rsidP="00113F13">
      <w:pPr>
        <w:pStyle w:val="DotPointTLRI"/>
      </w:pPr>
      <w:r w:rsidRPr="00113F13">
        <w:t>State agencies have the necessary lawful authorisations for activities that may be covered by the tort; and</w:t>
      </w:r>
    </w:p>
    <w:p w14:paraId="7DC654F4" w14:textId="77777777" w:rsidR="00FF302D" w:rsidRPr="00113F13" w:rsidRDefault="00FF302D" w:rsidP="00113F13">
      <w:pPr>
        <w:pStyle w:val="DotPointTLRI"/>
      </w:pPr>
      <w:r w:rsidRPr="00113F13">
        <w:t>State and Territory courts are adequately resourced to deal with any potential impacts of the introduction of the tort.</w:t>
      </w:r>
      <w:r w:rsidRPr="00113F13">
        <w:rPr>
          <w:rStyle w:val="FootnoteReference"/>
          <w:rFonts w:ascii="Times New Roman" w:hAnsi="Times New Roman"/>
        </w:rPr>
        <w:footnoteReference w:id="1227"/>
      </w:r>
    </w:p>
    <w:p w14:paraId="3CB61452" w14:textId="77777777" w:rsidR="00FF302D" w:rsidRPr="00113F13" w:rsidRDefault="00FF302D" w:rsidP="00B63604">
      <w:pPr>
        <w:pStyle w:val="NormalNumberedTextTLRI"/>
        <w:numPr>
          <w:ilvl w:val="2"/>
          <w:numId w:val="31"/>
        </w:numPr>
        <w:tabs>
          <w:tab w:val="clear" w:pos="720"/>
        </w:tabs>
        <w:spacing w:line="259" w:lineRule="auto"/>
      </w:pPr>
      <w:r w:rsidRPr="00113F13">
        <w:t>The Commonwealth Government agreed in-principle that a statutory tort based on the ALRC’s model should be introduced. It stated that further consultation should be undertaken with media organisations in light of concerns about impacts on public interest journalism, as should further consultation with States and Territories on potential implications for State and Territory courts and agencies.</w:t>
      </w:r>
      <w:r w:rsidRPr="00113F13">
        <w:rPr>
          <w:rStyle w:val="FootnoteReference"/>
          <w:rFonts w:ascii="Times New Roman" w:hAnsi="Times New Roman"/>
        </w:rPr>
        <w:footnoteReference w:id="1228"/>
      </w:r>
    </w:p>
    <w:p w14:paraId="3036550C" w14:textId="77777777" w:rsidR="00FF302D" w:rsidRPr="00113F13" w:rsidRDefault="00FF302D" w:rsidP="00BF1FE7">
      <w:pPr>
        <w:pStyle w:val="NumberedHeadingTLRI"/>
      </w:pPr>
      <w:bookmarkStart w:id="1082" w:name="_Toc164606766"/>
      <w:r w:rsidRPr="00113F13">
        <w:t>Consultation</w:t>
      </w:r>
      <w:bookmarkEnd w:id="1082"/>
    </w:p>
    <w:p w14:paraId="2F697D3C" w14:textId="77777777" w:rsidR="00FF302D" w:rsidRPr="00113F13" w:rsidRDefault="00FF302D" w:rsidP="00B63604">
      <w:pPr>
        <w:pStyle w:val="NormalNumberedTextTLRI"/>
        <w:numPr>
          <w:ilvl w:val="2"/>
          <w:numId w:val="31"/>
        </w:numPr>
        <w:tabs>
          <w:tab w:val="clear" w:pos="720"/>
        </w:tabs>
        <w:spacing w:line="259" w:lineRule="auto"/>
      </w:pPr>
      <w:bookmarkStart w:id="1083" w:name="_Ref129273622"/>
      <w:r w:rsidRPr="00113F13">
        <w:t>The TLRI Issues Paper invited submissions in response to the following questions:</w:t>
      </w:r>
    </w:p>
    <w:p w14:paraId="7CF63265" w14:textId="77777777" w:rsidR="00FF302D" w:rsidRPr="00113F13" w:rsidRDefault="00FF302D" w:rsidP="00113F13">
      <w:pPr>
        <w:pStyle w:val="Indentedquote"/>
        <w:rPr>
          <w:rFonts w:cs="Times New Roman"/>
        </w:rPr>
      </w:pPr>
      <w:r w:rsidRPr="00113F13">
        <w:rPr>
          <w:rFonts w:cs="Times New Roman"/>
        </w:rPr>
        <w:t>Does existing judicial recognition of privacy (either through equitable remedies or as a nascent constitutional principle) provide adequate protection for individual privacy, especially in circumstances not covered by the PIPA and other legislative protections?</w:t>
      </w:r>
      <w:r w:rsidRPr="00113F13">
        <w:rPr>
          <w:rStyle w:val="FootnoteReference"/>
          <w:rFonts w:ascii="Times New Roman" w:hAnsi="Times New Roman" w:cs="Times New Roman"/>
        </w:rPr>
        <w:footnoteReference w:id="1229"/>
      </w:r>
    </w:p>
    <w:p w14:paraId="0BF85776" w14:textId="77777777" w:rsidR="00FF302D" w:rsidRPr="00113F13" w:rsidRDefault="00FF302D" w:rsidP="00113F13">
      <w:pPr>
        <w:pStyle w:val="Indentedquote"/>
        <w:rPr>
          <w:rFonts w:cs="Times New Roman"/>
        </w:rPr>
      </w:pPr>
      <w:r w:rsidRPr="00113F13">
        <w:rPr>
          <w:rFonts w:cs="Times New Roman"/>
        </w:rPr>
        <w:t>Should the Tasmanian Parliament legislate to introduce a statutory civil cause of action for interference with privacy in Tasmania in place of or in addition to existing legal protections? If so, how should this cause of action be framed, taking into account the matters of threshold and scope, breach, defences, and remedies?</w:t>
      </w:r>
      <w:r w:rsidRPr="00113F13">
        <w:rPr>
          <w:rStyle w:val="FootnoteReference"/>
          <w:rFonts w:ascii="Times New Roman" w:hAnsi="Times New Roman" w:cs="Times New Roman"/>
        </w:rPr>
        <w:footnoteReference w:id="1230"/>
      </w:r>
      <w:r w:rsidRPr="00113F13">
        <w:rPr>
          <w:rFonts w:cs="Times New Roman"/>
        </w:rPr>
        <w:t xml:space="preserve"> </w:t>
      </w:r>
    </w:p>
    <w:bookmarkEnd w:id="1083"/>
    <w:p w14:paraId="51400CA1" w14:textId="77777777" w:rsidR="00FF302D" w:rsidRPr="00113F13" w:rsidRDefault="00FF302D" w:rsidP="00B63604">
      <w:pPr>
        <w:pStyle w:val="NormalNumberedTextTLRI"/>
        <w:numPr>
          <w:ilvl w:val="2"/>
          <w:numId w:val="31"/>
        </w:numPr>
        <w:tabs>
          <w:tab w:val="clear" w:pos="720"/>
        </w:tabs>
        <w:spacing w:line="259" w:lineRule="auto"/>
      </w:pPr>
      <w:r w:rsidRPr="00113F13">
        <w:t>Two submissions responded to the first of these questions: ‘Maybe’,</w:t>
      </w:r>
      <w:r w:rsidRPr="00113F13">
        <w:rPr>
          <w:rStyle w:val="FootnoteReference"/>
          <w:rFonts w:ascii="Times New Roman" w:hAnsi="Times New Roman"/>
        </w:rPr>
        <w:footnoteReference w:id="1231"/>
      </w:r>
      <w:r w:rsidRPr="00113F13">
        <w:t xml:space="preserve"> and ‘No, not necessarily’, respectively.</w:t>
      </w:r>
      <w:r w:rsidRPr="00113F13">
        <w:rPr>
          <w:rStyle w:val="FootnoteReference"/>
          <w:rFonts w:ascii="Times New Roman" w:hAnsi="Times New Roman"/>
        </w:rPr>
        <w:footnoteReference w:id="1232"/>
      </w:r>
      <w:r w:rsidRPr="00113F13">
        <w:rPr>
          <w:highlight w:val="yellow"/>
        </w:rPr>
        <w:t xml:space="preserve"> </w:t>
      </w:r>
    </w:p>
    <w:p w14:paraId="21315043" w14:textId="77777777" w:rsidR="00FF302D" w:rsidRPr="00113F13" w:rsidRDefault="00FF302D" w:rsidP="00B63604">
      <w:pPr>
        <w:pStyle w:val="NormalNumberedTextTLRI"/>
        <w:numPr>
          <w:ilvl w:val="2"/>
          <w:numId w:val="31"/>
        </w:numPr>
        <w:tabs>
          <w:tab w:val="clear" w:pos="720"/>
        </w:tabs>
        <w:spacing w:line="259" w:lineRule="auto"/>
      </w:pPr>
      <w:r w:rsidRPr="00113F13">
        <w:lastRenderedPageBreak/>
        <w:t>Professor Margaret Otlowski, Emeritus Distinguished Professor Dianne Nicol, and Dr Lisa Eckstein at the Centre for Law and Genetics expressed support for the Privacy Act Review’s proposal for the introduction of a statutory tort for serious invasions of privacy in the form recommended by the ALRC Report 123. The authors also noted that the Report ‘recommended that this be done in consultation with the states and territories in the interests of ensuring a nationally consistent approach’.</w:t>
      </w:r>
      <w:r w:rsidRPr="00113F13">
        <w:rPr>
          <w:rStyle w:val="FootnoteReference"/>
          <w:rFonts w:ascii="Times New Roman" w:hAnsi="Times New Roman"/>
        </w:rPr>
        <w:footnoteReference w:id="1233"/>
      </w:r>
    </w:p>
    <w:p w14:paraId="7BE0D0A9" w14:textId="77777777" w:rsidR="00FF302D" w:rsidRPr="00113F13" w:rsidRDefault="00FF302D" w:rsidP="00B63604">
      <w:pPr>
        <w:pStyle w:val="NormalNumberedTextTLRI"/>
        <w:numPr>
          <w:ilvl w:val="2"/>
          <w:numId w:val="31"/>
        </w:numPr>
        <w:tabs>
          <w:tab w:val="clear" w:pos="720"/>
        </w:tabs>
        <w:spacing w:line="259" w:lineRule="auto"/>
      </w:pPr>
      <w:r w:rsidRPr="00113F13">
        <w:t xml:space="preserve">TasCOSS also supported the introduction of a statutory civil cause of action for interference with privacy and noted that this has been recommended by other reform bodies. </w:t>
      </w:r>
    </w:p>
    <w:p w14:paraId="7AB1D7AE" w14:textId="26754947" w:rsidR="00FF302D" w:rsidRPr="00113F13" w:rsidRDefault="00FF302D" w:rsidP="00B63604">
      <w:pPr>
        <w:pStyle w:val="NormalNumberedTextTLRI"/>
        <w:numPr>
          <w:ilvl w:val="2"/>
          <w:numId w:val="31"/>
        </w:numPr>
        <w:tabs>
          <w:tab w:val="clear" w:pos="720"/>
        </w:tabs>
        <w:spacing w:line="259" w:lineRule="auto"/>
      </w:pPr>
      <w:r w:rsidRPr="00113F13">
        <w:t xml:space="preserve">The South Australian Law Reform Institute (‘SALRI’) submitted its </w:t>
      </w:r>
      <w:r w:rsidRPr="00113F13">
        <w:rPr>
          <w:i/>
          <w:iCs/>
        </w:rPr>
        <w:t>Report</w:t>
      </w:r>
      <w:r w:rsidR="00B258C7">
        <w:rPr>
          <w:i/>
          <w:iCs/>
        </w:rPr>
        <w:t> </w:t>
      </w:r>
      <w:r w:rsidRPr="00113F13">
        <w:rPr>
          <w:i/>
          <w:iCs/>
        </w:rPr>
        <w:t xml:space="preserve">4: A Statutory Tort for Invasions of Privacy </w:t>
      </w:r>
      <w:r w:rsidRPr="00113F13">
        <w:t>(2016), which, as touched on above, proposed the enactment in South Australia of a limited cause of action for serious invasions of personal privacy similar to the one proposed by the ALRC—which it recommended extend to the protection of bodily, territorial, information, and communication privacy.</w:t>
      </w:r>
      <w:r w:rsidRPr="00113F13">
        <w:rPr>
          <w:rStyle w:val="FootnoteReference"/>
          <w:rFonts w:ascii="Times New Roman" w:hAnsi="Times New Roman"/>
        </w:rPr>
        <w:footnoteReference w:id="1234"/>
      </w:r>
      <w:r w:rsidRPr="00113F13">
        <w:t xml:space="preserve"> SALRI acknowledged that there would be advantages in developing a consistent national privacy regime but recommended that South Australia lead the way, on the basis that it appeared ‘unlikely (at least in the near future) that the Commonwealth will be legislating to establish a national regime’ and that a South Australian statute ‘could provide leadership’ to other State and Territory jurisdictions.</w:t>
      </w:r>
      <w:r w:rsidRPr="00113F13">
        <w:rPr>
          <w:rStyle w:val="FootnoteReference"/>
          <w:rFonts w:ascii="Times New Roman" w:hAnsi="Times New Roman"/>
        </w:rPr>
        <w:footnoteReference w:id="1235"/>
      </w:r>
    </w:p>
    <w:p w14:paraId="13AC2AD2" w14:textId="77777777" w:rsidR="00FF302D" w:rsidRPr="00113F13" w:rsidRDefault="00FF302D" w:rsidP="00BF1FE7">
      <w:pPr>
        <w:pStyle w:val="NumberedHeadingTLRI"/>
      </w:pPr>
      <w:bookmarkStart w:id="1084" w:name="_Toc164606767"/>
      <w:r w:rsidRPr="00113F13">
        <w:t>The TLRI’s view</w:t>
      </w:r>
      <w:bookmarkEnd w:id="1084"/>
    </w:p>
    <w:p w14:paraId="4EF37076" w14:textId="77777777" w:rsidR="00FF302D" w:rsidRPr="00113F13" w:rsidRDefault="00FF302D" w:rsidP="00B63604">
      <w:pPr>
        <w:pStyle w:val="NormalNumberedTextTLRI"/>
        <w:numPr>
          <w:ilvl w:val="2"/>
          <w:numId w:val="31"/>
        </w:numPr>
        <w:tabs>
          <w:tab w:val="clear" w:pos="720"/>
        </w:tabs>
        <w:spacing w:line="259" w:lineRule="auto"/>
      </w:pPr>
      <w:r w:rsidRPr="00113F13">
        <w:t>The TLRI considers that the introduction of a statutory tort for serious invasions of privacy would address a significant gap in privacy protection in Tasmania which appears unlikely to be addressed in common law in the immediate term. As noted above, this view is consistent with recommendations of multiple national and State-based reviews in recent years.</w:t>
      </w:r>
    </w:p>
    <w:p w14:paraId="6C2E4538" w14:textId="6DF27448" w:rsidR="00FF302D" w:rsidRPr="00113F13" w:rsidRDefault="00FF302D" w:rsidP="00B63604">
      <w:pPr>
        <w:pStyle w:val="NormalNumberedTextTLRI"/>
        <w:numPr>
          <w:ilvl w:val="2"/>
          <w:numId w:val="31"/>
        </w:numPr>
        <w:tabs>
          <w:tab w:val="clear" w:pos="720"/>
        </w:tabs>
        <w:spacing w:line="259" w:lineRule="auto"/>
      </w:pPr>
      <w:r w:rsidRPr="00113F13">
        <w:t>The TLRI shares the view of the ALRC and the Commonwealth Privacy Act Review that it would be most appropriate for a statutory tort to be enacted in a standalone Commonwealth Act, with cross-vesting of Federal jurisdiction, so that it would apply to individuals and agencies across the Commonwealth, States, and Territories, and enable actions to be commenced in both Federal and State and Territory courts.</w:t>
      </w:r>
      <w:r w:rsidRPr="00113F13">
        <w:rPr>
          <w:rStyle w:val="FootnoteReference"/>
          <w:rFonts w:ascii="Times New Roman" w:hAnsi="Times New Roman"/>
        </w:rPr>
        <w:footnoteReference w:id="1236"/>
      </w:r>
      <w:r w:rsidRPr="00113F13">
        <w:t xml:space="preserve"> The TLRI notes the ALRC’s view that such an approach would not infringe on the implied limitation on the Commonwealth’s power to legislate to impose ‘a special disability or burden on the exercise of powers and fulfilment of functions of the states which curtails their capacity to function as governments’ (</w:t>
      </w:r>
      <w:r w:rsidR="00BB34A6">
        <w:t>‘</w:t>
      </w:r>
      <w:r w:rsidRPr="00113F13">
        <w:t xml:space="preserve">the </w:t>
      </w:r>
      <w:r w:rsidRPr="00113F13">
        <w:rPr>
          <w:i/>
          <w:iCs/>
        </w:rPr>
        <w:t xml:space="preserve">Melbourne Corporation </w:t>
      </w:r>
      <w:r w:rsidRPr="00113F13">
        <w:t>principle’).</w:t>
      </w:r>
      <w:r w:rsidRPr="00113F13">
        <w:rPr>
          <w:rStyle w:val="FootnoteReference"/>
          <w:rFonts w:ascii="Times New Roman" w:hAnsi="Times New Roman"/>
        </w:rPr>
        <w:footnoteReference w:id="1237"/>
      </w:r>
      <w:r w:rsidRPr="00113F13">
        <w:t xml:space="preserve"> </w:t>
      </w:r>
    </w:p>
    <w:p w14:paraId="462253D4" w14:textId="5871754C" w:rsidR="00B13B96" w:rsidRDefault="00FF302D" w:rsidP="00B63604">
      <w:pPr>
        <w:pStyle w:val="NormalNumberedTextTLRI"/>
        <w:numPr>
          <w:ilvl w:val="2"/>
          <w:numId w:val="31"/>
        </w:numPr>
        <w:tabs>
          <w:tab w:val="clear" w:pos="720"/>
        </w:tabs>
        <w:spacing w:line="259" w:lineRule="auto"/>
      </w:pPr>
      <w:r w:rsidRPr="00113F13">
        <w:t>The TLRI considers that, if the Commonwealth does not adopt the proposal of the ALRC and the Privacy Act Review in the near future, further consideration should be given to the introduction of Tasmanian legislation to create a statutory civil cause of action, or statutory tort, of privacy.</w:t>
      </w:r>
    </w:p>
    <w:p w14:paraId="2DF6C7CE" w14:textId="77777777" w:rsidR="00FF302D" w:rsidRPr="00113F13" w:rsidRDefault="00FF302D" w:rsidP="00BF1FE7">
      <w:pPr>
        <w:pStyle w:val="NumberedHeadingTLRI"/>
      </w:pPr>
      <w:bookmarkStart w:id="1085" w:name="_Toc164606768"/>
      <w:r w:rsidRPr="00113F13">
        <w:lastRenderedPageBreak/>
        <w:t>Recommendation</w:t>
      </w:r>
      <w:bookmarkEnd w:id="108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016"/>
      </w:tblGrid>
      <w:tr w:rsidR="00FF302D" w:rsidRPr="00113F13" w14:paraId="353455FB" w14:textId="77777777" w:rsidTr="00754A3F">
        <w:tc>
          <w:tcPr>
            <w:tcW w:w="9016" w:type="dxa"/>
            <w:shd w:val="clear" w:color="auto" w:fill="E8E8E8" w:themeFill="background2"/>
          </w:tcPr>
          <w:p w14:paraId="6F5BF0DE" w14:textId="77777777" w:rsidR="00FF302D" w:rsidRPr="00113F13" w:rsidRDefault="00FF302D" w:rsidP="00754A3F">
            <w:pPr>
              <w:keepNext/>
              <w:spacing w:before="120" w:after="120"/>
              <w:rPr>
                <w:rFonts w:cs="Times New Roman"/>
                <w:b/>
                <w:bCs/>
              </w:rPr>
            </w:pPr>
            <w:r w:rsidRPr="00113F13">
              <w:rPr>
                <w:rFonts w:cs="Times New Roman"/>
                <w:b/>
                <w:bCs/>
              </w:rPr>
              <w:t>Recommendation 63:</w:t>
            </w:r>
            <w:r w:rsidRPr="00113F13">
              <w:rPr>
                <w:rFonts w:cs="Times New Roman"/>
              </w:rPr>
              <w:t xml:space="preserve"> If a national statutory tort is not adopted by the Commonwealth in the near future, consideration should be given to the introduction of Tasmanian legislation to create a statutory tort of privacy</w:t>
            </w:r>
          </w:p>
        </w:tc>
      </w:tr>
    </w:tbl>
    <w:p w14:paraId="33D3563A" w14:textId="77777777" w:rsidR="00FF302D" w:rsidRPr="00113F13" w:rsidRDefault="00FF302D" w:rsidP="00FF302D">
      <w:pPr>
        <w:keepNext/>
        <w:rPr>
          <w:rFonts w:cs="Times New Roman"/>
          <w:b/>
          <w:bCs/>
          <w:lang w:val="en-GB"/>
        </w:rPr>
      </w:pPr>
    </w:p>
    <w:p w14:paraId="4D9FB2F4" w14:textId="77777777" w:rsidR="00FF302D" w:rsidRPr="00113F13" w:rsidRDefault="00FF302D" w:rsidP="00FF302D">
      <w:pPr>
        <w:keepNext/>
        <w:rPr>
          <w:rFonts w:cs="Times New Roman"/>
          <w:lang w:val="en-GB"/>
        </w:rPr>
      </w:pPr>
    </w:p>
    <w:p w14:paraId="02A12A37" w14:textId="77777777" w:rsidR="00FF302D" w:rsidRPr="00113F13" w:rsidRDefault="00FF302D" w:rsidP="00FF302D">
      <w:pPr>
        <w:keepNext/>
        <w:rPr>
          <w:rFonts w:cs="Times New Roman"/>
          <w:lang w:val="en-GB"/>
        </w:rPr>
      </w:pPr>
    </w:p>
    <w:p w14:paraId="7BDD1ED9" w14:textId="77777777" w:rsidR="00FF302D" w:rsidRPr="00113F13" w:rsidRDefault="00FF302D" w:rsidP="00FF302D">
      <w:pPr>
        <w:rPr>
          <w:rFonts w:cs="Times New Roman"/>
        </w:rPr>
      </w:pPr>
    </w:p>
    <w:p w14:paraId="6CF564BE" w14:textId="00CAB495" w:rsidR="00AB4A31" w:rsidRDefault="00AB4A31">
      <w:pPr>
        <w:spacing w:after="200" w:line="276" w:lineRule="auto"/>
        <w:jc w:val="left"/>
        <w:rPr>
          <w:rFonts w:eastAsiaTheme="majorEastAsia" w:cs="Times New Roman"/>
          <w:color w:val="0F4761" w:themeColor="accent1" w:themeShade="BF"/>
          <w:sz w:val="32"/>
          <w:szCs w:val="32"/>
          <w:lang w:val="en-GB"/>
        </w:rPr>
      </w:pPr>
      <w:bookmarkStart w:id="1086" w:name="_Toc130540462"/>
      <w:r>
        <w:rPr>
          <w:rFonts w:cs="Times New Roman"/>
          <w:lang w:val="en-GB"/>
        </w:rPr>
        <w:br w:type="page"/>
      </w:r>
    </w:p>
    <w:p w14:paraId="7B7E666E" w14:textId="77777777" w:rsidR="00FF302D" w:rsidRPr="00113F13" w:rsidRDefault="00FF302D" w:rsidP="00FF302D">
      <w:pPr>
        <w:pStyle w:val="Heading1"/>
        <w:ind w:left="431" w:hanging="431"/>
        <w:rPr>
          <w:rFonts w:ascii="Times New Roman" w:hAnsi="Times New Roman" w:cs="Times New Roman"/>
          <w:lang w:val="en-GB"/>
        </w:rPr>
        <w:sectPr w:rsidR="00FF302D" w:rsidRPr="00113F13" w:rsidSect="00BC08AB">
          <w:headerReference w:type="default" r:id="rId41"/>
          <w:type w:val="continuous"/>
          <w:pgSz w:w="11906" w:h="16838" w:code="9"/>
          <w:pgMar w:top="1440" w:right="1440" w:bottom="1440" w:left="1440" w:header="708" w:footer="708" w:gutter="0"/>
          <w:cols w:space="708"/>
          <w:docGrid w:linePitch="360"/>
        </w:sectPr>
      </w:pPr>
    </w:p>
    <w:p w14:paraId="1D26ABCF" w14:textId="77777777" w:rsidR="00FF302D" w:rsidRPr="00113F13" w:rsidRDefault="00FF302D" w:rsidP="00113F13">
      <w:pPr>
        <w:pStyle w:val="Headingunnumbered"/>
        <w:rPr>
          <w:rFonts w:cs="Times New Roman"/>
          <w:lang w:val="en-GB"/>
        </w:rPr>
      </w:pPr>
      <w:bookmarkStart w:id="1087" w:name="_Toc164600506"/>
      <w:bookmarkStart w:id="1088" w:name="_Toc164602613"/>
      <w:bookmarkStart w:id="1089" w:name="_Toc164606769"/>
      <w:r w:rsidRPr="00113F13">
        <w:rPr>
          <w:rFonts w:cs="Times New Roman"/>
          <w:lang w:val="en-GB"/>
        </w:rPr>
        <w:lastRenderedPageBreak/>
        <w:t>Appendix 1</w:t>
      </w:r>
      <w:bookmarkEnd w:id="1086"/>
      <w:bookmarkEnd w:id="1087"/>
      <w:bookmarkEnd w:id="1088"/>
      <w:bookmarkEnd w:id="1089"/>
    </w:p>
    <w:p w14:paraId="6F99F57E" w14:textId="77777777" w:rsidR="00FF302D" w:rsidRPr="00113F13" w:rsidRDefault="00FF302D" w:rsidP="00113F13">
      <w:pPr>
        <w:pStyle w:val="Headingunnumbered"/>
        <w:rPr>
          <w:rFonts w:cs="Times New Roman"/>
          <w:lang w:val="en-GB"/>
        </w:rPr>
      </w:pPr>
      <w:bookmarkStart w:id="1090" w:name="_Toc130540463"/>
      <w:bookmarkStart w:id="1091" w:name="_Toc164606770"/>
      <w:r w:rsidRPr="00113F13">
        <w:rPr>
          <w:rFonts w:cs="Times New Roman"/>
          <w:lang w:val="en-GB"/>
        </w:rPr>
        <w:t>State and Territory Protection of Privacy</w:t>
      </w:r>
      <w:bookmarkEnd w:id="1090"/>
      <w:bookmarkEnd w:id="1091"/>
    </w:p>
    <w:p w14:paraId="006BE60D" w14:textId="77777777" w:rsidR="00FF302D" w:rsidRPr="00113F13" w:rsidRDefault="00FF302D" w:rsidP="00FF302D">
      <w:pPr>
        <w:rPr>
          <w:rFonts w:cs="Times New Roman"/>
          <w:b/>
          <w:bCs/>
          <w:i/>
          <w:iCs/>
        </w:rPr>
      </w:pPr>
      <w:r w:rsidRPr="00113F13">
        <w:rPr>
          <w:rFonts w:cs="Times New Roman"/>
          <w:b/>
          <w:bCs/>
          <w:i/>
          <w:iCs/>
        </w:rPr>
        <w:t>New South Wales (‘NSW’)</w:t>
      </w:r>
    </w:p>
    <w:p w14:paraId="46653D31" w14:textId="77777777" w:rsidR="00FF302D" w:rsidRPr="00113F13" w:rsidRDefault="00FF302D" w:rsidP="00FF302D">
      <w:pPr>
        <w:rPr>
          <w:rFonts w:cs="Times New Roman"/>
        </w:rPr>
      </w:pPr>
      <w:r w:rsidRPr="00113F13">
        <w:rPr>
          <w:rFonts w:cs="Times New Roman"/>
        </w:rPr>
        <w:t xml:space="preserve">The </w:t>
      </w:r>
      <w:r w:rsidRPr="00113F13">
        <w:rPr>
          <w:rFonts w:cs="Times New Roman"/>
          <w:i/>
          <w:iCs/>
        </w:rPr>
        <w:t xml:space="preserve">Privacy Committee Act 1975 </w:t>
      </w:r>
      <w:r w:rsidRPr="00113F13">
        <w:rPr>
          <w:rFonts w:cs="Times New Roman"/>
        </w:rPr>
        <w:t>(NSW) established a body to investigate complaints about the handing of private information by NSW Government bodies. After the passing of the</w:t>
      </w:r>
      <w:r w:rsidRPr="00113F13">
        <w:rPr>
          <w:rFonts w:cs="Times New Roman"/>
          <w:i/>
          <w:iCs/>
        </w:rPr>
        <w:t xml:space="preserve"> Privacy and Personal Information Protection Act 1998 </w:t>
      </w:r>
      <w:r w:rsidRPr="00113F13">
        <w:rPr>
          <w:rFonts w:cs="Times New Roman"/>
        </w:rPr>
        <w:t xml:space="preserve">(NSW), the Committee was replaced by a Privacy Commissioner. The Act also establishes Information Privacy Principles applicable to NSW public sector agencies (other than health information). These principles are similar, though not identical, to the Australian Privacy Principles (‘APPs’) in the </w:t>
      </w:r>
      <w:r w:rsidRPr="00113F13">
        <w:rPr>
          <w:rFonts w:cs="Times New Roman"/>
          <w:i/>
          <w:iCs/>
        </w:rPr>
        <w:t>Privacy Act 1998</w:t>
      </w:r>
      <w:r w:rsidRPr="00113F13">
        <w:rPr>
          <w:rFonts w:cs="Times New Roman"/>
        </w:rPr>
        <w:t xml:space="preserve"> (Cth) (‘Privacy Act’). The </w:t>
      </w:r>
      <w:r w:rsidRPr="00113F13">
        <w:rPr>
          <w:rFonts w:cs="Times New Roman"/>
          <w:i/>
          <w:iCs/>
        </w:rPr>
        <w:t>Government Information (Information Commissioner) Act 2009</w:t>
      </w:r>
      <w:r w:rsidRPr="00113F13">
        <w:rPr>
          <w:rFonts w:cs="Times New Roman"/>
        </w:rPr>
        <w:t xml:space="preserve"> (NSW) establishes an Information Commissioner, separate to the Privacy Commissioner, both of which operate within the Information and Privacy Commission of NSW. </w:t>
      </w:r>
    </w:p>
    <w:p w14:paraId="34E94AAF" w14:textId="77777777" w:rsidR="00FF302D" w:rsidRPr="00113F13" w:rsidRDefault="00FF302D" w:rsidP="00FF302D">
      <w:pPr>
        <w:rPr>
          <w:rFonts w:cs="Times New Roman"/>
        </w:rPr>
      </w:pPr>
      <w:r w:rsidRPr="00113F13">
        <w:rPr>
          <w:rFonts w:cs="Times New Roman"/>
        </w:rPr>
        <w:t xml:space="preserve">The </w:t>
      </w:r>
      <w:r w:rsidRPr="00113F13">
        <w:rPr>
          <w:rFonts w:cs="Times New Roman"/>
          <w:i/>
          <w:iCs/>
        </w:rPr>
        <w:t>Health Records and Information Privacy Protection Act 2002</w:t>
      </w:r>
      <w:r w:rsidRPr="00113F13">
        <w:rPr>
          <w:rFonts w:cs="Times New Roman"/>
        </w:rPr>
        <w:t xml:space="preserve"> (NSW) extended protection of personal health information to some private health organisations. The </w:t>
      </w:r>
      <w:r w:rsidRPr="00113F13">
        <w:rPr>
          <w:rFonts w:cs="Times New Roman"/>
          <w:i/>
          <w:iCs/>
        </w:rPr>
        <w:t>Workplace Surveillance Act 2005</w:t>
      </w:r>
      <w:r w:rsidRPr="00113F13">
        <w:rPr>
          <w:rFonts w:cs="Times New Roman"/>
        </w:rPr>
        <w:t xml:space="preserve"> (NSW) and </w:t>
      </w:r>
      <w:r w:rsidRPr="00113F13">
        <w:rPr>
          <w:rFonts w:cs="Times New Roman"/>
          <w:i/>
          <w:iCs/>
        </w:rPr>
        <w:t>Surveillance Devices Act 2007</w:t>
      </w:r>
      <w:r w:rsidRPr="00113F13">
        <w:rPr>
          <w:rFonts w:cs="Times New Roman"/>
        </w:rPr>
        <w:t xml:space="preserve"> (NSW) regulate the surveillance of employees and use of surveillance devices generally. Other legislation that relates to privacy includes: the </w:t>
      </w:r>
      <w:r w:rsidRPr="00113F13">
        <w:rPr>
          <w:rFonts w:cs="Times New Roman"/>
          <w:i/>
          <w:iCs/>
        </w:rPr>
        <w:t>Adoption Act 2000</w:t>
      </w:r>
      <w:r w:rsidRPr="00113F13">
        <w:rPr>
          <w:rFonts w:cs="Times New Roman"/>
        </w:rPr>
        <w:t xml:space="preserve"> (NSW), </w:t>
      </w:r>
      <w:r w:rsidRPr="00113F13">
        <w:rPr>
          <w:rFonts w:cs="Times New Roman"/>
          <w:i/>
          <w:iCs/>
        </w:rPr>
        <w:t>Assisted Reproductive Technology Act 2007</w:t>
      </w:r>
      <w:r w:rsidRPr="00113F13">
        <w:rPr>
          <w:rFonts w:cs="Times New Roman"/>
        </w:rPr>
        <w:t xml:space="preserve"> (NSW), </w:t>
      </w:r>
      <w:r w:rsidRPr="00113F13">
        <w:rPr>
          <w:rFonts w:cs="Times New Roman"/>
          <w:i/>
          <w:iCs/>
        </w:rPr>
        <w:t>Crimes (Forensic Procedures) Act 2000</w:t>
      </w:r>
      <w:r w:rsidRPr="00113F13">
        <w:rPr>
          <w:rFonts w:cs="Times New Roman"/>
        </w:rPr>
        <w:t xml:space="preserve"> (NSW), and the </w:t>
      </w:r>
      <w:r w:rsidRPr="00113F13">
        <w:rPr>
          <w:rFonts w:cs="Times New Roman"/>
          <w:i/>
          <w:iCs/>
        </w:rPr>
        <w:t>Criminal Records Act 1991</w:t>
      </w:r>
      <w:r w:rsidRPr="00113F13">
        <w:rPr>
          <w:rFonts w:cs="Times New Roman"/>
        </w:rPr>
        <w:t xml:space="preserve"> (NSW).</w:t>
      </w:r>
    </w:p>
    <w:p w14:paraId="74E2DE42" w14:textId="1B49D26C" w:rsidR="00FF302D" w:rsidRPr="00113F13" w:rsidRDefault="00FF302D" w:rsidP="00FF302D">
      <w:pPr>
        <w:rPr>
          <w:rFonts w:cs="Times New Roman"/>
          <w:b/>
          <w:bCs/>
          <w:i/>
          <w:iCs/>
          <w:sz w:val="21"/>
          <w:szCs w:val="21"/>
        </w:rPr>
      </w:pPr>
      <w:r w:rsidRPr="00113F13">
        <w:rPr>
          <w:rFonts w:cs="Times New Roman"/>
          <w:b/>
          <w:bCs/>
          <w:i/>
          <w:iCs/>
        </w:rPr>
        <w:t>Victoria</w:t>
      </w:r>
      <w:r w:rsidR="001F6316">
        <w:rPr>
          <w:rFonts w:cs="Times New Roman"/>
          <w:b/>
          <w:bCs/>
          <w:i/>
          <w:iCs/>
        </w:rPr>
        <w:t xml:space="preserve"> (‘Vic’)</w:t>
      </w:r>
    </w:p>
    <w:p w14:paraId="3E757D24" w14:textId="77777777" w:rsidR="00FF302D" w:rsidRPr="00113F13" w:rsidRDefault="00FF302D" w:rsidP="00FF302D">
      <w:pPr>
        <w:rPr>
          <w:rFonts w:cs="Times New Roman"/>
        </w:rPr>
      </w:pPr>
      <w:r w:rsidRPr="00113F13">
        <w:rPr>
          <w:rFonts w:cs="Times New Roman"/>
        </w:rPr>
        <w:t xml:space="preserve">The </w:t>
      </w:r>
      <w:r w:rsidRPr="00113F13">
        <w:rPr>
          <w:rFonts w:cs="Times New Roman"/>
          <w:i/>
          <w:iCs/>
        </w:rPr>
        <w:t>Privacy and Data Protection Act 2014</w:t>
      </w:r>
      <w:r w:rsidRPr="00113F13">
        <w:rPr>
          <w:rFonts w:cs="Times New Roman"/>
        </w:rPr>
        <w:t xml:space="preserve"> (Vic) repeals the </w:t>
      </w:r>
      <w:r w:rsidRPr="00113F13">
        <w:rPr>
          <w:rFonts w:cs="Times New Roman"/>
          <w:i/>
        </w:rPr>
        <w:t xml:space="preserve">Information Privacy Act 2000 </w:t>
      </w:r>
      <w:r w:rsidRPr="00113F13">
        <w:rPr>
          <w:rFonts w:cs="Times New Roman"/>
          <w:iCs/>
        </w:rPr>
        <w:t>(Vic)</w:t>
      </w:r>
      <w:r w:rsidRPr="00113F13">
        <w:rPr>
          <w:rFonts w:cs="Times New Roman"/>
        </w:rPr>
        <w:t xml:space="preserve">, establishing the Office of the Victorian Information Commissioner (in place of the Victorian Privacy Commissioner) and containing Information Privacy Principles applicable to Victorian public sector bodies and certain other organisations. The principles are similar to the APPs in the Privacy Act. </w:t>
      </w:r>
    </w:p>
    <w:p w14:paraId="3C4EAEF6" w14:textId="77777777" w:rsidR="00FF302D" w:rsidRPr="00113F13" w:rsidRDefault="00FF302D" w:rsidP="00FF302D">
      <w:pPr>
        <w:rPr>
          <w:rFonts w:cs="Times New Roman"/>
        </w:rPr>
      </w:pPr>
      <w:r w:rsidRPr="00113F13">
        <w:rPr>
          <w:rFonts w:cs="Times New Roman"/>
        </w:rPr>
        <w:t xml:space="preserve">Health information handled by both public and private sector bodies is regulated under the </w:t>
      </w:r>
      <w:r w:rsidRPr="00113F13">
        <w:rPr>
          <w:rFonts w:cs="Times New Roman"/>
          <w:i/>
        </w:rPr>
        <w:t>Health Records Act 2001</w:t>
      </w:r>
      <w:r w:rsidRPr="00113F13">
        <w:rPr>
          <w:rFonts w:cs="Times New Roman"/>
        </w:rPr>
        <w:t xml:space="preserve"> (Vic). Provisions in relation to personal information and health information are also contained in the </w:t>
      </w:r>
      <w:r w:rsidRPr="00113F13">
        <w:rPr>
          <w:rFonts w:cs="Times New Roman"/>
          <w:i/>
          <w:iCs/>
        </w:rPr>
        <w:t xml:space="preserve">Mental Health and Wellbeing Act 2022 </w:t>
      </w:r>
      <w:r w:rsidRPr="00113F13">
        <w:rPr>
          <w:rFonts w:cs="Times New Roman"/>
        </w:rPr>
        <w:t xml:space="preserve">(Vic). Workplace surveillance is regulated by the </w:t>
      </w:r>
      <w:r w:rsidRPr="00113F13">
        <w:rPr>
          <w:rFonts w:cs="Times New Roman"/>
          <w:i/>
        </w:rPr>
        <w:t>Surveillance Devices Act 1999</w:t>
      </w:r>
      <w:r w:rsidRPr="00113F13">
        <w:rPr>
          <w:rFonts w:cs="Times New Roman"/>
          <w:iCs/>
        </w:rPr>
        <w:t xml:space="preserve"> (Vic), which includes amendments made by the </w:t>
      </w:r>
      <w:r w:rsidRPr="00113F13">
        <w:rPr>
          <w:rFonts w:cs="Times New Roman"/>
          <w:i/>
        </w:rPr>
        <w:t>Surveillance Devices (Workplace Privacy) Act 2006</w:t>
      </w:r>
      <w:r w:rsidRPr="00113F13">
        <w:rPr>
          <w:rFonts w:cs="Times New Roman"/>
        </w:rPr>
        <w:t xml:space="preserve"> (Vic). </w:t>
      </w:r>
    </w:p>
    <w:p w14:paraId="319AE7E3" w14:textId="77777777" w:rsidR="00FF302D" w:rsidRPr="00113F13" w:rsidRDefault="00FF302D" w:rsidP="00FF302D">
      <w:pPr>
        <w:rPr>
          <w:rFonts w:cs="Times New Roman"/>
        </w:rPr>
      </w:pPr>
      <w:r w:rsidRPr="00113F13">
        <w:rPr>
          <w:rFonts w:cs="Times New Roman"/>
        </w:rPr>
        <w:t xml:space="preserve">Victoria is one of the three Australian jurisdictions with a human rights charter. The </w:t>
      </w:r>
      <w:r w:rsidRPr="00113F13">
        <w:rPr>
          <w:rFonts w:cs="Times New Roman"/>
          <w:i/>
        </w:rPr>
        <w:t>Charter of Human Rights and Responsibilities Act</w:t>
      </w:r>
      <w:r w:rsidRPr="00113F13">
        <w:rPr>
          <w:rFonts w:cs="Times New Roman"/>
        </w:rPr>
        <w:t xml:space="preserve"> </w:t>
      </w:r>
      <w:r w:rsidRPr="00113F13">
        <w:rPr>
          <w:rFonts w:cs="Times New Roman"/>
          <w:i/>
          <w:iCs/>
        </w:rPr>
        <w:t>2006</w:t>
      </w:r>
      <w:r w:rsidRPr="00113F13">
        <w:rPr>
          <w:rFonts w:cs="Times New Roman"/>
        </w:rPr>
        <w:t xml:space="preserve"> (Vic) includes protection of the right of a person not to have unlawful or arbitrary interference with his or her privacy, family, home, or correspondence. This protection is achieved by mandating that legislation be interpreted consistently with the protected rights (where such interpretation is possible on the text), and by requiring public authorities to act in a way that is compatible with those rights.</w:t>
      </w:r>
    </w:p>
    <w:p w14:paraId="1EBEC51C" w14:textId="21729009" w:rsidR="00FF302D" w:rsidRPr="00113F13" w:rsidRDefault="00FF302D" w:rsidP="00FF302D">
      <w:pPr>
        <w:rPr>
          <w:rFonts w:cs="Times New Roman"/>
          <w:b/>
          <w:bCs/>
          <w:i/>
          <w:iCs/>
        </w:rPr>
      </w:pPr>
      <w:r w:rsidRPr="00113F13">
        <w:rPr>
          <w:rFonts w:cs="Times New Roman"/>
          <w:b/>
          <w:bCs/>
          <w:i/>
          <w:iCs/>
        </w:rPr>
        <w:t>Queensland</w:t>
      </w:r>
      <w:r w:rsidR="001F6316">
        <w:rPr>
          <w:rFonts w:cs="Times New Roman"/>
          <w:b/>
          <w:bCs/>
          <w:i/>
          <w:iCs/>
        </w:rPr>
        <w:t xml:space="preserve"> (‘Qld’)</w:t>
      </w:r>
    </w:p>
    <w:p w14:paraId="179C8E41" w14:textId="77777777" w:rsidR="00FF302D" w:rsidRPr="00113F13" w:rsidRDefault="00FF302D" w:rsidP="00FF302D">
      <w:pPr>
        <w:rPr>
          <w:rFonts w:cs="Times New Roman"/>
        </w:rPr>
      </w:pPr>
      <w:r w:rsidRPr="00113F13">
        <w:rPr>
          <w:rFonts w:cs="Times New Roman"/>
        </w:rPr>
        <w:t xml:space="preserve">The </w:t>
      </w:r>
      <w:r w:rsidRPr="00113F13">
        <w:rPr>
          <w:rFonts w:cs="Times New Roman"/>
          <w:i/>
          <w:iCs/>
        </w:rPr>
        <w:t>Invasion of Privacy Act 1971</w:t>
      </w:r>
      <w:r w:rsidRPr="00113F13">
        <w:rPr>
          <w:rFonts w:cs="Times New Roman"/>
        </w:rPr>
        <w:t xml:space="preserve"> (Qld) regulates credit reporting agents and the use of listening devices in private conversations. The </w:t>
      </w:r>
      <w:r w:rsidRPr="00113F13">
        <w:rPr>
          <w:rFonts w:cs="Times New Roman"/>
          <w:i/>
          <w:iCs/>
        </w:rPr>
        <w:t>Information Privacy Act 2009</w:t>
      </w:r>
      <w:r w:rsidRPr="00113F13">
        <w:rPr>
          <w:rFonts w:cs="Times New Roman"/>
        </w:rPr>
        <w:t xml:space="preserve"> (Qld) introduced privacy obligations applicable to Queensland Government departments, agencies, and contractors, as well as a separate set of principles applicable to health services. Complaints under the Act are made to the Queensland Office of the Information Commissioner.</w:t>
      </w:r>
    </w:p>
    <w:p w14:paraId="6C0A073D" w14:textId="77777777" w:rsidR="00FF302D" w:rsidRPr="00113F13" w:rsidRDefault="00FF302D" w:rsidP="00FF302D">
      <w:pPr>
        <w:rPr>
          <w:rFonts w:cs="Times New Roman"/>
          <w:b/>
          <w:bCs/>
          <w:i/>
          <w:iCs/>
        </w:rPr>
      </w:pPr>
      <w:r w:rsidRPr="00113F13">
        <w:rPr>
          <w:rFonts w:cs="Times New Roman"/>
        </w:rPr>
        <w:t xml:space="preserve">Queensland also has a human rights charter. The </w:t>
      </w:r>
      <w:r w:rsidRPr="00113F13">
        <w:rPr>
          <w:rFonts w:cs="Times New Roman"/>
          <w:i/>
          <w:iCs/>
        </w:rPr>
        <w:t>Human Rights Act 2019</w:t>
      </w:r>
      <w:r w:rsidRPr="00113F13">
        <w:rPr>
          <w:rFonts w:cs="Times New Roman"/>
        </w:rPr>
        <w:t xml:space="preserve"> (Qld) includes protection of the right not to have the person’s privacy, family, home, or correspondence unlawfully or arbitrarily interfered with, and not to have the person’s reputation unlawfully attacked. As in Victoria, protection </w:t>
      </w:r>
      <w:r w:rsidRPr="00113F13">
        <w:rPr>
          <w:rFonts w:cs="Times New Roman"/>
        </w:rPr>
        <w:lastRenderedPageBreak/>
        <w:t>is achieved by setting how legislation is to be interpreted, by requiring public authorities to act in a way that is compatible with the listed rights.</w:t>
      </w:r>
    </w:p>
    <w:p w14:paraId="57C48EC4" w14:textId="77777777" w:rsidR="00FF302D" w:rsidRPr="00113F13" w:rsidRDefault="00FF302D" w:rsidP="00FF302D">
      <w:pPr>
        <w:rPr>
          <w:rFonts w:cs="Times New Roman"/>
          <w:b/>
          <w:bCs/>
          <w:i/>
          <w:iCs/>
        </w:rPr>
      </w:pPr>
      <w:r w:rsidRPr="00113F13">
        <w:rPr>
          <w:rFonts w:cs="Times New Roman"/>
          <w:b/>
          <w:bCs/>
          <w:i/>
          <w:iCs/>
        </w:rPr>
        <w:t>Western Australia (‘WA’)</w:t>
      </w:r>
    </w:p>
    <w:p w14:paraId="2AA5ECB7" w14:textId="77777777" w:rsidR="00FF302D" w:rsidRPr="00113F13" w:rsidRDefault="00FF302D" w:rsidP="00FF302D">
      <w:pPr>
        <w:rPr>
          <w:rFonts w:cs="Times New Roman"/>
        </w:rPr>
      </w:pPr>
      <w:r w:rsidRPr="00113F13">
        <w:rPr>
          <w:rFonts w:cs="Times New Roman"/>
        </w:rPr>
        <w:t xml:space="preserve">Western Australia does not have overarching privacy legislation. The </w:t>
      </w:r>
      <w:r w:rsidRPr="00113F13">
        <w:rPr>
          <w:rFonts w:cs="Times New Roman"/>
          <w:i/>
        </w:rPr>
        <w:t>Health Services Act 2016</w:t>
      </w:r>
      <w:r w:rsidRPr="00113F13">
        <w:rPr>
          <w:rFonts w:cs="Times New Roman"/>
        </w:rPr>
        <w:t xml:space="preserve"> (WA) includes a privacy provision that prohibits a person from collecting, using, or disclosing any personal information obtained in the course of their employment. It provides exceptions in certain circumstances, such as where it is done in the performance of their duties or with consent. The </w:t>
      </w:r>
      <w:r w:rsidRPr="00113F13">
        <w:rPr>
          <w:rFonts w:cs="Times New Roman"/>
          <w:i/>
        </w:rPr>
        <w:t>Freedom of Information Act 1992</w:t>
      </w:r>
      <w:r w:rsidRPr="00113F13">
        <w:rPr>
          <w:rFonts w:cs="Times New Roman"/>
        </w:rPr>
        <w:t xml:space="preserve"> (WA) also includes some privacy principles related to the disclosure and amendment of personal information held by state and local government agencies. Separately, the </w:t>
      </w:r>
      <w:r w:rsidRPr="00113F13">
        <w:rPr>
          <w:rFonts w:cs="Times New Roman"/>
          <w:i/>
        </w:rPr>
        <w:t>Surveillance Devices Act 1998</w:t>
      </w:r>
      <w:r w:rsidRPr="00113F13">
        <w:rPr>
          <w:rFonts w:cs="Times New Roman"/>
        </w:rPr>
        <w:t xml:space="preserve"> (WA) regulates the use of surveillance devices.</w:t>
      </w:r>
    </w:p>
    <w:p w14:paraId="3A76F775" w14:textId="77777777" w:rsidR="00FF302D" w:rsidRPr="00113F13" w:rsidRDefault="00FF302D" w:rsidP="00FF302D">
      <w:pPr>
        <w:rPr>
          <w:rFonts w:cs="Times New Roman"/>
          <w:b/>
          <w:bCs/>
          <w:i/>
          <w:iCs/>
        </w:rPr>
      </w:pPr>
      <w:r w:rsidRPr="00113F13">
        <w:rPr>
          <w:rFonts w:cs="Times New Roman"/>
          <w:b/>
          <w:bCs/>
          <w:i/>
          <w:iCs/>
        </w:rPr>
        <w:t>South Australia (‘SA’)</w:t>
      </w:r>
    </w:p>
    <w:p w14:paraId="01000838" w14:textId="77777777" w:rsidR="00FF302D" w:rsidRPr="00113F13" w:rsidRDefault="00FF302D" w:rsidP="00FF302D">
      <w:pPr>
        <w:rPr>
          <w:rFonts w:cs="Times New Roman"/>
        </w:rPr>
      </w:pPr>
      <w:r w:rsidRPr="00113F13">
        <w:rPr>
          <w:rFonts w:cs="Times New Roman"/>
        </w:rPr>
        <w:t>South Australia also does not have legislation providing for general information privacy protection. Instead, it has the Privacy Committee of South Australia, which is established under government proclamation,</w:t>
      </w:r>
      <w:r w:rsidRPr="00113F13">
        <w:rPr>
          <w:rStyle w:val="FootnoteReference"/>
          <w:rFonts w:ascii="Times New Roman" w:hAnsi="Times New Roman" w:cs="Times New Roman"/>
        </w:rPr>
        <w:footnoteReference w:id="1238"/>
      </w:r>
      <w:r w:rsidRPr="00113F13">
        <w:rPr>
          <w:rFonts w:cs="Times New Roman"/>
        </w:rPr>
        <w:t xml:space="preserve"> as well as the Information Privacy Principles Instruction, which is issued by Premier and Cabinet.</w:t>
      </w:r>
      <w:r w:rsidRPr="00113F13">
        <w:rPr>
          <w:rStyle w:val="FootnoteReference"/>
          <w:rFonts w:ascii="Times New Roman" w:hAnsi="Times New Roman" w:cs="Times New Roman"/>
        </w:rPr>
        <w:footnoteReference w:id="1239"/>
      </w:r>
      <w:r w:rsidRPr="00113F13">
        <w:rPr>
          <w:rFonts w:cs="Times New Roman"/>
        </w:rPr>
        <w:t xml:space="preserve"> The Committee oversees implementation of the principles by South Australian public sector agencies. </w:t>
      </w:r>
    </w:p>
    <w:p w14:paraId="7947EF1B" w14:textId="77777777" w:rsidR="00FF302D" w:rsidRPr="00113F13" w:rsidRDefault="00FF302D" w:rsidP="00FF302D">
      <w:pPr>
        <w:rPr>
          <w:rFonts w:cs="Times New Roman"/>
        </w:rPr>
      </w:pPr>
      <w:r w:rsidRPr="00113F13">
        <w:rPr>
          <w:rFonts w:cs="Times New Roman"/>
        </w:rPr>
        <w:t xml:space="preserve">The </w:t>
      </w:r>
      <w:r w:rsidRPr="00113F13">
        <w:rPr>
          <w:rFonts w:cs="Times New Roman"/>
          <w:i/>
          <w:iCs/>
        </w:rPr>
        <w:t>Health and Community Services Complaints Act 2004</w:t>
      </w:r>
      <w:r w:rsidRPr="00113F13">
        <w:rPr>
          <w:rFonts w:cs="Times New Roman"/>
        </w:rPr>
        <w:t xml:space="preserve"> (SA) establishes the South Australian Health and Community Services Complaints Commissioner. This office resolves complaints about health and community services in South Australia. Complaints are addressed by reference to the </w:t>
      </w:r>
      <w:r w:rsidRPr="00113F13">
        <w:rPr>
          <w:rFonts w:cs="Times New Roman"/>
          <w:i/>
          <w:iCs/>
        </w:rPr>
        <w:t>Charter of Health and Community Services Rights</w:t>
      </w:r>
      <w:r w:rsidRPr="00113F13">
        <w:rPr>
          <w:rFonts w:cs="Times New Roman"/>
        </w:rPr>
        <w:t>, which includes the right of an individual to have their privacy respected and their personal information kept confidential and secure.</w:t>
      </w:r>
      <w:r w:rsidRPr="00113F13">
        <w:rPr>
          <w:rStyle w:val="FootnoteReference"/>
          <w:rFonts w:ascii="Times New Roman" w:hAnsi="Times New Roman" w:cs="Times New Roman"/>
        </w:rPr>
        <w:footnoteReference w:id="1240"/>
      </w:r>
      <w:r w:rsidRPr="00113F13">
        <w:rPr>
          <w:rFonts w:cs="Times New Roman"/>
        </w:rPr>
        <w:t xml:space="preserve"> </w:t>
      </w:r>
    </w:p>
    <w:p w14:paraId="57ACE9CD" w14:textId="77777777" w:rsidR="00FF302D" w:rsidRPr="00113F13" w:rsidRDefault="00FF302D" w:rsidP="00FF302D">
      <w:pPr>
        <w:rPr>
          <w:rFonts w:cs="Times New Roman"/>
        </w:rPr>
      </w:pPr>
      <w:r w:rsidRPr="00113F13">
        <w:rPr>
          <w:rFonts w:cs="Times New Roman"/>
        </w:rPr>
        <w:t xml:space="preserve">Separately, the </w:t>
      </w:r>
      <w:r w:rsidRPr="00113F13">
        <w:rPr>
          <w:rFonts w:cs="Times New Roman"/>
          <w:i/>
        </w:rPr>
        <w:t>Surveillance Devices Act 2016</w:t>
      </w:r>
      <w:r w:rsidRPr="00113F13">
        <w:rPr>
          <w:rFonts w:cs="Times New Roman"/>
        </w:rPr>
        <w:t xml:space="preserve"> (SA) regulates the use of surveillance devices.</w:t>
      </w:r>
    </w:p>
    <w:p w14:paraId="1F9240C1" w14:textId="77777777" w:rsidR="00FF302D" w:rsidRPr="00113F13" w:rsidRDefault="00FF302D" w:rsidP="00FF302D">
      <w:pPr>
        <w:rPr>
          <w:rFonts w:cs="Times New Roman"/>
          <w:b/>
          <w:bCs/>
          <w:i/>
          <w:iCs/>
        </w:rPr>
      </w:pPr>
      <w:r w:rsidRPr="00113F13">
        <w:rPr>
          <w:rFonts w:cs="Times New Roman"/>
          <w:b/>
          <w:bCs/>
          <w:i/>
          <w:iCs/>
        </w:rPr>
        <w:t>Northern Territory (‘NT’)</w:t>
      </w:r>
    </w:p>
    <w:p w14:paraId="48CAF970" w14:textId="77777777" w:rsidR="00FF302D" w:rsidRPr="00113F13" w:rsidRDefault="00FF302D" w:rsidP="00FF302D">
      <w:pPr>
        <w:rPr>
          <w:rFonts w:cs="Times New Roman"/>
        </w:rPr>
      </w:pPr>
      <w:r w:rsidRPr="00113F13">
        <w:rPr>
          <w:rFonts w:cs="Times New Roman"/>
        </w:rPr>
        <w:t xml:space="preserve">The </w:t>
      </w:r>
      <w:r w:rsidRPr="00113F13">
        <w:rPr>
          <w:rFonts w:cs="Times New Roman"/>
          <w:i/>
        </w:rPr>
        <w:t>Information Act 2002</w:t>
      </w:r>
      <w:r w:rsidRPr="00113F13">
        <w:rPr>
          <w:rFonts w:cs="Times New Roman"/>
        </w:rPr>
        <w:t xml:space="preserve"> (NT) is overseen by the Office of the Information Commissioner. The Act includes Information Privacy Principles applicable to public sector agencies. Complaints relating to the privacy of health information can be made to the Health and Community Services Complaints Commission under the </w:t>
      </w:r>
      <w:r w:rsidRPr="00113F13">
        <w:rPr>
          <w:rFonts w:cs="Times New Roman"/>
          <w:i/>
        </w:rPr>
        <w:t>Health and Community Services Complaints Act 1998</w:t>
      </w:r>
      <w:r w:rsidRPr="00113F13">
        <w:rPr>
          <w:rFonts w:cs="Times New Roman"/>
        </w:rPr>
        <w:t xml:space="preserve"> (NT). Surveillance devices are regulated by the </w:t>
      </w:r>
      <w:r w:rsidRPr="00113F13">
        <w:rPr>
          <w:rFonts w:cs="Times New Roman"/>
          <w:i/>
        </w:rPr>
        <w:t>Surveillance Devices Act 2007</w:t>
      </w:r>
      <w:r w:rsidRPr="00113F13">
        <w:rPr>
          <w:rFonts w:cs="Times New Roman"/>
        </w:rPr>
        <w:t xml:space="preserve"> (NT).</w:t>
      </w:r>
    </w:p>
    <w:p w14:paraId="2DD028E9" w14:textId="77777777" w:rsidR="00FF302D" w:rsidRPr="00113F13" w:rsidRDefault="00FF302D" w:rsidP="00FF302D">
      <w:pPr>
        <w:rPr>
          <w:rFonts w:cs="Times New Roman"/>
          <w:b/>
          <w:bCs/>
          <w:i/>
          <w:iCs/>
        </w:rPr>
      </w:pPr>
      <w:r w:rsidRPr="00113F13">
        <w:rPr>
          <w:rFonts w:cs="Times New Roman"/>
          <w:b/>
          <w:bCs/>
          <w:i/>
          <w:iCs/>
        </w:rPr>
        <w:t>Australian Capital Territory (‘ACT’)</w:t>
      </w:r>
    </w:p>
    <w:p w14:paraId="25BE49B7" w14:textId="77777777" w:rsidR="00FF302D" w:rsidRPr="00113F13" w:rsidRDefault="00FF302D" w:rsidP="00FF302D">
      <w:pPr>
        <w:rPr>
          <w:rFonts w:cs="Times New Roman"/>
        </w:rPr>
      </w:pPr>
      <w:r w:rsidRPr="00113F13">
        <w:rPr>
          <w:rFonts w:cs="Times New Roman"/>
        </w:rPr>
        <w:t xml:space="preserve">The </w:t>
      </w:r>
      <w:r w:rsidRPr="00113F13">
        <w:rPr>
          <w:rFonts w:cs="Times New Roman"/>
          <w:i/>
          <w:iCs/>
        </w:rPr>
        <w:t>Information Privacy Act 2014</w:t>
      </w:r>
      <w:r w:rsidRPr="00113F13">
        <w:rPr>
          <w:rFonts w:cs="Times New Roman"/>
        </w:rPr>
        <w:t xml:space="preserve"> (ACT) establishes a set of Territory Privacy Principles (‘TPPs’) that govern how ACT public sector agencies handle personal information. Complaints relating to information handling practices and data breach notifications are investigated by the Office of the Australian Information Commissioner (‘OAIC’) under an arrangement with the ACT Government. </w:t>
      </w:r>
    </w:p>
    <w:p w14:paraId="101EA782" w14:textId="77777777" w:rsidR="00FF302D" w:rsidRPr="00113F13" w:rsidRDefault="00FF302D" w:rsidP="00FF302D">
      <w:pPr>
        <w:rPr>
          <w:rFonts w:cs="Times New Roman"/>
        </w:rPr>
      </w:pPr>
      <w:r w:rsidRPr="00113F13">
        <w:rPr>
          <w:rFonts w:cs="Times New Roman"/>
        </w:rPr>
        <w:t xml:space="preserve">Health records held by ACT Government agencies (including public hospitals) are covered by the </w:t>
      </w:r>
      <w:r w:rsidRPr="00113F13">
        <w:rPr>
          <w:rFonts w:cs="Times New Roman"/>
          <w:i/>
        </w:rPr>
        <w:t>Health Records (Privacy and Access) Act 1997</w:t>
      </w:r>
      <w:r w:rsidRPr="00113F13">
        <w:rPr>
          <w:rFonts w:cs="Times New Roman"/>
        </w:rPr>
        <w:t xml:space="preserve"> (ACT). Health record privacy complaints are made to the ACT Human Rights Commission. </w:t>
      </w:r>
    </w:p>
    <w:p w14:paraId="030CD848" w14:textId="77777777" w:rsidR="00FF302D" w:rsidRPr="00113F13" w:rsidRDefault="00FF302D" w:rsidP="00FF302D">
      <w:pPr>
        <w:rPr>
          <w:rFonts w:cs="Times New Roman"/>
        </w:rPr>
      </w:pPr>
      <w:r w:rsidRPr="00113F13">
        <w:rPr>
          <w:rFonts w:cs="Times New Roman"/>
        </w:rPr>
        <w:lastRenderedPageBreak/>
        <w:t xml:space="preserve">The ACT is the third Australian jurisdiction with a human rights charter. The </w:t>
      </w:r>
      <w:r w:rsidRPr="00113F13">
        <w:rPr>
          <w:rFonts w:cs="Times New Roman"/>
          <w:i/>
          <w:iCs/>
        </w:rPr>
        <w:t>Human Rights Act 2004</w:t>
      </w:r>
      <w:r w:rsidRPr="00113F13">
        <w:rPr>
          <w:rFonts w:cs="Times New Roman"/>
        </w:rPr>
        <w:t xml:space="preserve"> (ACT) includes protection of the right not to have the person’s privacy, family, home, or correspondence unlawfully or arbitrarily interfered with, and not to have the person’s reputation unlawfully attacked. As with Victoria and Queensland, the charter achieves this protection through approaches to interpretation of legislation and by requiring public authorities to act in a way that is compatible with the rights. </w:t>
      </w:r>
    </w:p>
    <w:p w14:paraId="1ED20286" w14:textId="77777777" w:rsidR="00FF302D" w:rsidRPr="00113F13" w:rsidRDefault="00FF302D" w:rsidP="00FF302D">
      <w:pPr>
        <w:rPr>
          <w:rFonts w:cs="Times New Roman"/>
        </w:rPr>
      </w:pPr>
      <w:r w:rsidRPr="00113F13">
        <w:rPr>
          <w:rFonts w:cs="Times New Roman"/>
        </w:rPr>
        <w:t xml:space="preserve">Surveillance devices are regulated under the </w:t>
      </w:r>
      <w:r w:rsidRPr="00113F13">
        <w:rPr>
          <w:rFonts w:cs="Times New Roman"/>
          <w:i/>
        </w:rPr>
        <w:t>Listening Devices Act 1992</w:t>
      </w:r>
      <w:r w:rsidRPr="00113F13">
        <w:rPr>
          <w:rFonts w:cs="Times New Roman"/>
        </w:rPr>
        <w:t xml:space="preserve"> (ACT).</w:t>
      </w:r>
    </w:p>
    <w:p w14:paraId="3832F9BB" w14:textId="65C0B7CC" w:rsidR="00FF302D" w:rsidRPr="00113F13" w:rsidRDefault="00AB4A31" w:rsidP="00AB4A31">
      <w:pPr>
        <w:spacing w:after="200" w:line="276" w:lineRule="auto"/>
        <w:jc w:val="left"/>
        <w:rPr>
          <w:rFonts w:cs="Times New Roman"/>
        </w:rPr>
      </w:pPr>
      <w:r>
        <w:rPr>
          <w:rFonts w:cs="Times New Roman"/>
        </w:rPr>
        <w:br w:type="page"/>
      </w:r>
    </w:p>
    <w:p w14:paraId="3F6BF2F0" w14:textId="77777777" w:rsidR="00FF302D" w:rsidRPr="00113F13" w:rsidRDefault="00FF302D" w:rsidP="00FF302D">
      <w:pPr>
        <w:rPr>
          <w:rFonts w:cs="Times New Roman"/>
        </w:rPr>
        <w:sectPr w:rsidR="00FF302D" w:rsidRPr="00113F13" w:rsidSect="00BC08AB">
          <w:headerReference w:type="default" r:id="rId42"/>
          <w:type w:val="continuous"/>
          <w:pgSz w:w="11906" w:h="16838" w:code="9"/>
          <w:pgMar w:top="1440" w:right="1440" w:bottom="1440" w:left="1440" w:header="708" w:footer="708" w:gutter="0"/>
          <w:cols w:space="708"/>
          <w:docGrid w:linePitch="360"/>
        </w:sectPr>
      </w:pPr>
    </w:p>
    <w:p w14:paraId="2B53B5DC" w14:textId="77777777" w:rsidR="00FF302D" w:rsidRPr="00113F13" w:rsidRDefault="00FF302D" w:rsidP="00113F13">
      <w:pPr>
        <w:pStyle w:val="Headingunnumbered"/>
        <w:rPr>
          <w:rFonts w:cs="Times New Roman"/>
          <w:lang w:val="en-GB"/>
        </w:rPr>
      </w:pPr>
      <w:bookmarkStart w:id="1092" w:name="_Appendix_1"/>
      <w:bookmarkStart w:id="1093" w:name="_Toc91832027"/>
      <w:bookmarkStart w:id="1094" w:name="_Toc130540464"/>
      <w:bookmarkStart w:id="1095" w:name="_Toc164600508"/>
      <w:bookmarkStart w:id="1096" w:name="_Toc164602615"/>
      <w:bookmarkStart w:id="1097" w:name="_Toc164606771"/>
      <w:bookmarkEnd w:id="1092"/>
      <w:r w:rsidRPr="00113F13">
        <w:rPr>
          <w:rFonts w:cs="Times New Roman"/>
          <w:lang w:val="en-GB"/>
        </w:rPr>
        <w:lastRenderedPageBreak/>
        <w:t xml:space="preserve">Appendix </w:t>
      </w:r>
      <w:bookmarkEnd w:id="1093"/>
      <w:r w:rsidRPr="00113F13">
        <w:rPr>
          <w:rFonts w:cs="Times New Roman"/>
          <w:lang w:val="en-GB"/>
        </w:rPr>
        <w:t>2</w:t>
      </w:r>
      <w:bookmarkEnd w:id="1094"/>
      <w:bookmarkEnd w:id="1095"/>
      <w:bookmarkEnd w:id="1096"/>
      <w:bookmarkEnd w:id="1097"/>
    </w:p>
    <w:p w14:paraId="45747623" w14:textId="77777777" w:rsidR="00FF302D" w:rsidRPr="00113F13" w:rsidRDefault="00FF302D" w:rsidP="00113F13">
      <w:pPr>
        <w:pStyle w:val="Headingunnumbered"/>
        <w:rPr>
          <w:rFonts w:cs="Times New Roman"/>
          <w:lang w:val="en-GB"/>
        </w:rPr>
      </w:pPr>
      <w:bookmarkStart w:id="1098" w:name="_Toc91832028"/>
      <w:bookmarkStart w:id="1099" w:name="_Toc130540465"/>
      <w:bookmarkStart w:id="1100" w:name="_Toc164606772"/>
      <w:r w:rsidRPr="00113F13">
        <w:rPr>
          <w:rFonts w:cs="Times New Roman"/>
          <w:lang w:val="en-GB"/>
        </w:rPr>
        <w:t>Law Reform Projects</w:t>
      </w:r>
      <w:bookmarkEnd w:id="1098"/>
      <w:bookmarkEnd w:id="1099"/>
      <w:bookmarkEnd w:id="1100"/>
    </w:p>
    <w:p w14:paraId="1FE505EB" w14:textId="77777777" w:rsidR="00FF302D" w:rsidRPr="00113F13" w:rsidRDefault="00FF302D" w:rsidP="00FF302D">
      <w:pPr>
        <w:rPr>
          <w:rFonts w:cs="Times New Roman"/>
          <w:bCs/>
          <w:szCs w:val="21"/>
        </w:rPr>
      </w:pPr>
      <w:r w:rsidRPr="00113F13">
        <w:rPr>
          <w:rFonts w:cs="Times New Roman"/>
        </w:rPr>
        <w:t>The table below records the main law reform projects relating to privacy law in Australia.</w:t>
      </w:r>
      <w:r w:rsidRPr="00113F13">
        <w:rPr>
          <w:rStyle w:val="FootnoteReference"/>
          <w:rFonts w:ascii="Times New Roman" w:hAnsi="Times New Roman" w:cs="Times New Roman"/>
        </w:rPr>
        <w:footnoteReference w:id="1241"/>
      </w:r>
    </w:p>
    <w:tbl>
      <w:tblPr>
        <w:tblStyle w:val="TableGrid"/>
        <w:tblW w:w="0" w:type="auto"/>
        <w:tblCellMar>
          <w:top w:w="108" w:type="dxa"/>
          <w:bottom w:w="108" w:type="dxa"/>
        </w:tblCellMar>
        <w:tblLook w:val="04A0" w:firstRow="1" w:lastRow="0" w:firstColumn="1" w:lastColumn="0" w:noHBand="0" w:noVBand="1"/>
      </w:tblPr>
      <w:tblGrid>
        <w:gridCol w:w="701"/>
        <w:gridCol w:w="1293"/>
        <w:gridCol w:w="2112"/>
        <w:gridCol w:w="4910"/>
      </w:tblGrid>
      <w:tr w:rsidR="00FF302D" w:rsidRPr="00113F13" w14:paraId="25CEF229" w14:textId="77777777" w:rsidTr="00754A3F">
        <w:trPr>
          <w:trHeight w:val="737"/>
          <w:tblHeader/>
        </w:trPr>
        <w:tc>
          <w:tcPr>
            <w:tcW w:w="701" w:type="dxa"/>
            <w:shd w:val="clear" w:color="auto" w:fill="E8E8E8" w:themeFill="background2"/>
          </w:tcPr>
          <w:p w14:paraId="3020BCBF" w14:textId="77777777" w:rsidR="00FF302D" w:rsidRPr="00113F13" w:rsidRDefault="00FF302D" w:rsidP="00754A3F">
            <w:pPr>
              <w:rPr>
                <w:rFonts w:cs="Times New Roman"/>
                <w:b/>
                <w:bCs/>
                <w:sz w:val="19"/>
                <w:szCs w:val="19"/>
              </w:rPr>
            </w:pPr>
            <w:r w:rsidRPr="00113F13">
              <w:rPr>
                <w:rFonts w:cs="Times New Roman"/>
                <w:b/>
                <w:bCs/>
                <w:sz w:val="19"/>
                <w:szCs w:val="19"/>
              </w:rPr>
              <w:t>Year</w:t>
            </w:r>
          </w:p>
        </w:tc>
        <w:tc>
          <w:tcPr>
            <w:tcW w:w="1293" w:type="dxa"/>
            <w:shd w:val="clear" w:color="auto" w:fill="E8E8E8" w:themeFill="background2"/>
          </w:tcPr>
          <w:p w14:paraId="72F5C3F3" w14:textId="77777777" w:rsidR="00FF302D" w:rsidRPr="00113F13" w:rsidRDefault="00FF302D" w:rsidP="00754A3F">
            <w:pPr>
              <w:rPr>
                <w:rFonts w:cs="Times New Roman"/>
                <w:b/>
                <w:bCs/>
                <w:sz w:val="19"/>
                <w:szCs w:val="19"/>
              </w:rPr>
            </w:pPr>
            <w:r w:rsidRPr="00113F13">
              <w:rPr>
                <w:rFonts w:cs="Times New Roman"/>
                <w:b/>
                <w:bCs/>
                <w:sz w:val="19"/>
                <w:szCs w:val="19"/>
              </w:rPr>
              <w:t>Jurisdiction</w:t>
            </w:r>
          </w:p>
        </w:tc>
        <w:tc>
          <w:tcPr>
            <w:tcW w:w="2112" w:type="dxa"/>
            <w:shd w:val="clear" w:color="auto" w:fill="E8E8E8" w:themeFill="background2"/>
          </w:tcPr>
          <w:p w14:paraId="596B35F1" w14:textId="77777777" w:rsidR="00FF302D" w:rsidRPr="00113F13" w:rsidRDefault="00FF302D" w:rsidP="00754A3F">
            <w:pPr>
              <w:rPr>
                <w:rFonts w:cs="Times New Roman"/>
                <w:b/>
                <w:bCs/>
                <w:sz w:val="19"/>
                <w:szCs w:val="19"/>
              </w:rPr>
            </w:pPr>
            <w:r w:rsidRPr="00113F13">
              <w:rPr>
                <w:rFonts w:cs="Times New Roman"/>
                <w:b/>
                <w:bCs/>
                <w:sz w:val="19"/>
                <w:szCs w:val="19"/>
              </w:rPr>
              <w:t>Title</w:t>
            </w:r>
          </w:p>
        </w:tc>
        <w:tc>
          <w:tcPr>
            <w:tcW w:w="4910" w:type="dxa"/>
            <w:shd w:val="clear" w:color="auto" w:fill="E8E8E8" w:themeFill="background2"/>
          </w:tcPr>
          <w:p w14:paraId="0101315A" w14:textId="77777777" w:rsidR="00FF302D" w:rsidRPr="00113F13" w:rsidRDefault="00FF302D" w:rsidP="00754A3F">
            <w:pPr>
              <w:rPr>
                <w:rFonts w:cs="Times New Roman"/>
                <w:b/>
                <w:bCs/>
                <w:sz w:val="19"/>
                <w:szCs w:val="19"/>
              </w:rPr>
            </w:pPr>
            <w:r w:rsidRPr="00113F13">
              <w:rPr>
                <w:rFonts w:cs="Times New Roman"/>
                <w:b/>
                <w:bCs/>
                <w:sz w:val="19"/>
                <w:szCs w:val="19"/>
              </w:rPr>
              <w:t>Summarised recommendation</w:t>
            </w:r>
          </w:p>
        </w:tc>
      </w:tr>
      <w:tr w:rsidR="00FF302D" w:rsidRPr="00113F13" w14:paraId="475BC28D" w14:textId="77777777" w:rsidTr="00754A3F">
        <w:trPr>
          <w:trHeight w:val="2233"/>
        </w:trPr>
        <w:tc>
          <w:tcPr>
            <w:tcW w:w="701" w:type="dxa"/>
          </w:tcPr>
          <w:p w14:paraId="0F2CC5AC" w14:textId="77777777" w:rsidR="00FF302D" w:rsidRPr="00113F13" w:rsidRDefault="00FF302D" w:rsidP="00754A3F">
            <w:pPr>
              <w:rPr>
                <w:rFonts w:cs="Times New Roman"/>
                <w:bCs/>
                <w:sz w:val="19"/>
                <w:szCs w:val="19"/>
              </w:rPr>
            </w:pPr>
            <w:r w:rsidRPr="00113F13">
              <w:rPr>
                <w:rFonts w:cs="Times New Roman"/>
                <w:bCs/>
                <w:sz w:val="19"/>
                <w:szCs w:val="19"/>
              </w:rPr>
              <w:t>1979</w:t>
            </w:r>
          </w:p>
        </w:tc>
        <w:tc>
          <w:tcPr>
            <w:tcW w:w="1293" w:type="dxa"/>
          </w:tcPr>
          <w:p w14:paraId="43A80DFF" w14:textId="77777777" w:rsidR="00FF302D" w:rsidRPr="00113F13" w:rsidRDefault="00FF302D" w:rsidP="00754A3F">
            <w:pPr>
              <w:rPr>
                <w:rFonts w:cs="Times New Roman"/>
                <w:bCs/>
                <w:sz w:val="19"/>
                <w:szCs w:val="19"/>
              </w:rPr>
            </w:pPr>
            <w:r w:rsidRPr="00113F13">
              <w:rPr>
                <w:rFonts w:cs="Times New Roman"/>
                <w:bCs/>
                <w:sz w:val="19"/>
                <w:szCs w:val="19"/>
              </w:rPr>
              <w:t>Cth</w:t>
            </w:r>
          </w:p>
        </w:tc>
        <w:tc>
          <w:tcPr>
            <w:tcW w:w="2112" w:type="dxa"/>
          </w:tcPr>
          <w:p w14:paraId="212DBBCE"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Australian Law Reform Commission, </w:t>
            </w:r>
            <w:r w:rsidRPr="00113F13">
              <w:rPr>
                <w:rFonts w:eastAsia="Times New Roman" w:cs="Times New Roman"/>
                <w:i/>
                <w:sz w:val="19"/>
                <w:szCs w:val="19"/>
              </w:rPr>
              <w:t>Unfair Publication: Defamation and Privacy</w:t>
            </w:r>
            <w:r w:rsidRPr="00113F13">
              <w:rPr>
                <w:rFonts w:eastAsia="Times New Roman" w:cs="Times New Roman"/>
                <w:sz w:val="19"/>
                <w:szCs w:val="19"/>
              </w:rPr>
              <w:t xml:space="preserve"> (Report No 11, June 1979)</w:t>
            </w:r>
          </w:p>
        </w:tc>
        <w:tc>
          <w:tcPr>
            <w:tcW w:w="4910" w:type="dxa"/>
          </w:tcPr>
          <w:p w14:paraId="728A86A1" w14:textId="77777777" w:rsidR="00FF302D" w:rsidRPr="00113F13" w:rsidRDefault="00FF302D" w:rsidP="00754A3F">
            <w:pPr>
              <w:rPr>
                <w:rFonts w:cs="Times New Roman"/>
                <w:bCs/>
                <w:sz w:val="19"/>
                <w:szCs w:val="19"/>
              </w:rPr>
            </w:pPr>
            <w:r w:rsidRPr="00113F13">
              <w:rPr>
                <w:rFonts w:cs="Times New Roman"/>
                <w:bCs/>
                <w:sz w:val="19"/>
                <w:szCs w:val="19"/>
              </w:rPr>
              <w:t>Focused on defamation law and the protection of reputation, honour, and dignity. Recommendations focused on making substantial changes to defamation law with a view to improving reputational protection. However, tortious protection for information privacy was also explored, including appropriate remedies. The Commission recognised the normative importance of individual privacy. It found that the law imperfectly protects privacy. It recommended a comprehensive cause of action for misuse of private facts.</w:t>
            </w:r>
          </w:p>
        </w:tc>
      </w:tr>
      <w:tr w:rsidR="00FF302D" w:rsidRPr="00113F13" w14:paraId="7C5CCB8A" w14:textId="77777777" w:rsidTr="00754A3F">
        <w:trPr>
          <w:trHeight w:val="1630"/>
        </w:trPr>
        <w:tc>
          <w:tcPr>
            <w:tcW w:w="701" w:type="dxa"/>
          </w:tcPr>
          <w:p w14:paraId="26438300" w14:textId="77777777" w:rsidR="00FF302D" w:rsidRPr="00113F13" w:rsidRDefault="00FF302D" w:rsidP="00754A3F">
            <w:pPr>
              <w:rPr>
                <w:rFonts w:cs="Times New Roman"/>
                <w:bCs/>
                <w:sz w:val="19"/>
                <w:szCs w:val="19"/>
              </w:rPr>
            </w:pPr>
            <w:r w:rsidRPr="00113F13">
              <w:rPr>
                <w:rFonts w:cs="Times New Roman"/>
                <w:bCs/>
                <w:sz w:val="19"/>
                <w:szCs w:val="19"/>
              </w:rPr>
              <w:t>1983</w:t>
            </w:r>
          </w:p>
        </w:tc>
        <w:tc>
          <w:tcPr>
            <w:tcW w:w="1293" w:type="dxa"/>
          </w:tcPr>
          <w:p w14:paraId="0705606F" w14:textId="77777777" w:rsidR="00FF302D" w:rsidRPr="00113F13" w:rsidRDefault="00FF302D" w:rsidP="00754A3F">
            <w:pPr>
              <w:rPr>
                <w:rFonts w:cs="Times New Roman"/>
                <w:bCs/>
                <w:sz w:val="19"/>
                <w:szCs w:val="19"/>
              </w:rPr>
            </w:pPr>
            <w:r w:rsidRPr="00113F13">
              <w:rPr>
                <w:rFonts w:cs="Times New Roman"/>
                <w:bCs/>
                <w:sz w:val="19"/>
                <w:szCs w:val="19"/>
              </w:rPr>
              <w:t>Cth</w:t>
            </w:r>
          </w:p>
        </w:tc>
        <w:tc>
          <w:tcPr>
            <w:tcW w:w="2112" w:type="dxa"/>
          </w:tcPr>
          <w:p w14:paraId="74513619"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Australian Law Reform Commission, </w:t>
            </w:r>
            <w:r w:rsidRPr="00113F13">
              <w:rPr>
                <w:rFonts w:eastAsia="Times New Roman" w:cs="Times New Roman"/>
                <w:i/>
                <w:sz w:val="19"/>
                <w:szCs w:val="19"/>
              </w:rPr>
              <w:t>Privacy</w:t>
            </w:r>
            <w:r w:rsidRPr="00113F13">
              <w:rPr>
                <w:rFonts w:eastAsia="Times New Roman" w:cs="Times New Roman"/>
                <w:sz w:val="19"/>
                <w:szCs w:val="19"/>
              </w:rPr>
              <w:t xml:space="preserve"> (Report No 22, December 1983)</w:t>
            </w:r>
          </w:p>
        </w:tc>
        <w:tc>
          <w:tcPr>
            <w:tcW w:w="4910" w:type="dxa"/>
          </w:tcPr>
          <w:p w14:paraId="6A954AA0" w14:textId="77777777" w:rsidR="00FF302D" w:rsidRPr="00113F13" w:rsidRDefault="00FF302D" w:rsidP="00754A3F">
            <w:pPr>
              <w:rPr>
                <w:rFonts w:cs="Times New Roman"/>
                <w:bCs/>
                <w:sz w:val="19"/>
                <w:szCs w:val="19"/>
              </w:rPr>
            </w:pPr>
            <w:r w:rsidRPr="00113F13">
              <w:rPr>
                <w:rFonts w:cs="Times New Roman"/>
                <w:bCs/>
                <w:sz w:val="19"/>
                <w:szCs w:val="19"/>
              </w:rPr>
              <w:t xml:space="preserve">Privacy was in danger at the time and, even more so, prospectively, with the chief sources of danger being growing official powers, new business practices, and new information technology. It recommended increased regulation to protect private information, providing a draft bill. The </w:t>
            </w:r>
            <w:r w:rsidRPr="00113F13">
              <w:rPr>
                <w:rFonts w:cs="Times New Roman"/>
                <w:bCs/>
                <w:i/>
                <w:sz w:val="19"/>
                <w:szCs w:val="19"/>
              </w:rPr>
              <w:t xml:space="preserve">Privacy Act 1988 (Cth) </w:t>
            </w:r>
            <w:r w:rsidRPr="00113F13">
              <w:rPr>
                <w:rFonts w:cs="Times New Roman"/>
                <w:bCs/>
                <w:sz w:val="19"/>
                <w:szCs w:val="19"/>
              </w:rPr>
              <w:t xml:space="preserve">was passed into law five years later. </w:t>
            </w:r>
          </w:p>
        </w:tc>
      </w:tr>
      <w:tr w:rsidR="00FF302D" w:rsidRPr="00113F13" w14:paraId="7357B435" w14:textId="77777777" w:rsidTr="00754A3F">
        <w:trPr>
          <w:trHeight w:val="1601"/>
        </w:trPr>
        <w:tc>
          <w:tcPr>
            <w:tcW w:w="701" w:type="dxa"/>
          </w:tcPr>
          <w:p w14:paraId="0EF97129" w14:textId="77777777" w:rsidR="00FF302D" w:rsidRPr="00113F13" w:rsidRDefault="00FF302D" w:rsidP="00754A3F">
            <w:pPr>
              <w:rPr>
                <w:rFonts w:cs="Times New Roman"/>
                <w:bCs/>
                <w:sz w:val="19"/>
                <w:szCs w:val="19"/>
              </w:rPr>
            </w:pPr>
            <w:r w:rsidRPr="00113F13">
              <w:rPr>
                <w:rFonts w:cs="Times New Roman"/>
                <w:bCs/>
                <w:sz w:val="19"/>
                <w:szCs w:val="19"/>
              </w:rPr>
              <w:t>2003</w:t>
            </w:r>
          </w:p>
        </w:tc>
        <w:tc>
          <w:tcPr>
            <w:tcW w:w="1293" w:type="dxa"/>
          </w:tcPr>
          <w:p w14:paraId="1276E779" w14:textId="77777777" w:rsidR="00FF302D" w:rsidRPr="00113F13" w:rsidRDefault="00FF302D" w:rsidP="00754A3F">
            <w:pPr>
              <w:rPr>
                <w:rFonts w:cs="Times New Roman"/>
                <w:bCs/>
                <w:sz w:val="19"/>
                <w:szCs w:val="19"/>
              </w:rPr>
            </w:pPr>
            <w:r w:rsidRPr="00113F13">
              <w:rPr>
                <w:rFonts w:cs="Times New Roman"/>
                <w:bCs/>
                <w:sz w:val="19"/>
                <w:szCs w:val="19"/>
              </w:rPr>
              <w:t xml:space="preserve">Cth </w:t>
            </w:r>
          </w:p>
        </w:tc>
        <w:tc>
          <w:tcPr>
            <w:tcW w:w="2112" w:type="dxa"/>
          </w:tcPr>
          <w:p w14:paraId="769ABB8F"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Australian Law Reform Commission, </w:t>
            </w:r>
            <w:r w:rsidRPr="00113F13">
              <w:rPr>
                <w:rFonts w:eastAsia="Times New Roman" w:cs="Times New Roman"/>
                <w:i/>
                <w:sz w:val="19"/>
                <w:szCs w:val="19"/>
              </w:rPr>
              <w:t>Essentially Yours: The Protection of Human Genetic Information in Australia</w:t>
            </w:r>
            <w:r w:rsidRPr="00113F13">
              <w:rPr>
                <w:rFonts w:eastAsia="Times New Roman" w:cs="Times New Roman"/>
                <w:sz w:val="19"/>
                <w:szCs w:val="19"/>
              </w:rPr>
              <w:t xml:space="preserve"> (Report No 96, May 2003)</w:t>
            </w:r>
          </w:p>
        </w:tc>
        <w:tc>
          <w:tcPr>
            <w:tcW w:w="4910" w:type="dxa"/>
          </w:tcPr>
          <w:p w14:paraId="291A5C67" w14:textId="77777777" w:rsidR="00FF302D" w:rsidRPr="00113F13" w:rsidRDefault="00FF302D" w:rsidP="00754A3F">
            <w:pPr>
              <w:rPr>
                <w:rFonts w:cs="Times New Roman"/>
                <w:bCs/>
                <w:sz w:val="19"/>
                <w:szCs w:val="19"/>
              </w:rPr>
            </w:pPr>
            <w:r w:rsidRPr="00113F13">
              <w:rPr>
                <w:rFonts w:cs="Times New Roman"/>
                <w:bCs/>
                <w:sz w:val="19"/>
                <w:szCs w:val="19"/>
              </w:rPr>
              <w:t>Made 144 recommendations about how Australia should deal with the ethical, legal, and social implications of new genetics, including how best to protect privacy in this context.</w:t>
            </w:r>
          </w:p>
        </w:tc>
      </w:tr>
      <w:tr w:rsidR="00FF302D" w:rsidRPr="00113F13" w14:paraId="0DEF927F" w14:textId="77777777" w:rsidTr="00754A3F">
        <w:trPr>
          <w:trHeight w:val="1587"/>
        </w:trPr>
        <w:tc>
          <w:tcPr>
            <w:tcW w:w="701" w:type="dxa"/>
          </w:tcPr>
          <w:p w14:paraId="06A93876" w14:textId="77777777" w:rsidR="00FF302D" w:rsidRPr="00113F13" w:rsidRDefault="00FF302D" w:rsidP="00754A3F">
            <w:pPr>
              <w:rPr>
                <w:rFonts w:cs="Times New Roman"/>
                <w:bCs/>
                <w:sz w:val="19"/>
                <w:szCs w:val="19"/>
              </w:rPr>
            </w:pPr>
            <w:r w:rsidRPr="00113F13">
              <w:rPr>
                <w:rFonts w:cs="Times New Roman"/>
                <w:bCs/>
                <w:sz w:val="19"/>
                <w:szCs w:val="19"/>
              </w:rPr>
              <w:t>2005</w:t>
            </w:r>
          </w:p>
        </w:tc>
        <w:tc>
          <w:tcPr>
            <w:tcW w:w="1293" w:type="dxa"/>
          </w:tcPr>
          <w:p w14:paraId="24E7CD3A" w14:textId="77777777" w:rsidR="00FF302D" w:rsidRPr="00113F13" w:rsidRDefault="00FF302D" w:rsidP="00754A3F">
            <w:pPr>
              <w:rPr>
                <w:rFonts w:cs="Times New Roman"/>
                <w:bCs/>
                <w:sz w:val="19"/>
                <w:szCs w:val="19"/>
              </w:rPr>
            </w:pPr>
            <w:r w:rsidRPr="00113F13">
              <w:rPr>
                <w:rFonts w:cs="Times New Roman"/>
                <w:bCs/>
                <w:sz w:val="19"/>
                <w:szCs w:val="19"/>
              </w:rPr>
              <w:t>Vic</w:t>
            </w:r>
          </w:p>
        </w:tc>
        <w:tc>
          <w:tcPr>
            <w:tcW w:w="2112" w:type="dxa"/>
          </w:tcPr>
          <w:p w14:paraId="6BB8F30C" w14:textId="77777777" w:rsidR="00FF302D" w:rsidRPr="00113F13" w:rsidRDefault="00FF302D" w:rsidP="00754A3F">
            <w:pPr>
              <w:rPr>
                <w:rFonts w:cs="Times New Roman"/>
                <w:bCs/>
                <w:sz w:val="19"/>
                <w:szCs w:val="19"/>
              </w:rPr>
            </w:pPr>
            <w:r w:rsidRPr="00113F13">
              <w:rPr>
                <w:rFonts w:cs="Times New Roman"/>
                <w:bCs/>
                <w:sz w:val="19"/>
                <w:szCs w:val="19"/>
              </w:rPr>
              <w:t>Victorian Law Reform Commission,</w:t>
            </w:r>
            <w:r w:rsidRPr="00113F13">
              <w:rPr>
                <w:rFonts w:cs="Times New Roman"/>
                <w:bCs/>
                <w:i/>
                <w:sz w:val="19"/>
                <w:szCs w:val="19"/>
              </w:rPr>
              <w:t xml:space="preserve"> Final Report: Workplace Privacy</w:t>
            </w:r>
            <w:r w:rsidRPr="00113F13">
              <w:rPr>
                <w:rFonts w:cs="Times New Roman"/>
                <w:bCs/>
                <w:sz w:val="19"/>
                <w:szCs w:val="19"/>
              </w:rPr>
              <w:t xml:space="preserve"> (Report, October 2005)</w:t>
            </w:r>
          </w:p>
        </w:tc>
        <w:tc>
          <w:tcPr>
            <w:tcW w:w="4910" w:type="dxa"/>
          </w:tcPr>
          <w:p w14:paraId="3151106A" w14:textId="77777777" w:rsidR="00FF302D" w:rsidRPr="00113F13" w:rsidRDefault="00FF302D" w:rsidP="00754A3F">
            <w:pPr>
              <w:rPr>
                <w:rFonts w:cs="Times New Roman"/>
                <w:bCs/>
                <w:sz w:val="19"/>
                <w:szCs w:val="19"/>
              </w:rPr>
            </w:pPr>
            <w:r w:rsidRPr="00113F13">
              <w:rPr>
                <w:rFonts w:cs="Times New Roman"/>
                <w:bCs/>
                <w:sz w:val="19"/>
                <w:szCs w:val="19"/>
              </w:rPr>
              <w:t xml:space="preserve">Significant legislative gaps in the protection of privacy in workplaces required regulation at the State level. Recommended enactment of workplace privacy legislation and the establishment of a workplace privacy regulator. This was followed by targeted legislation: </w:t>
            </w:r>
            <w:r w:rsidRPr="00113F13">
              <w:rPr>
                <w:rFonts w:cs="Times New Roman"/>
                <w:bCs/>
                <w:i/>
                <w:sz w:val="19"/>
                <w:szCs w:val="19"/>
              </w:rPr>
              <w:t xml:space="preserve">Surveillance Devices (Workplace Privacy) Act 2006 </w:t>
            </w:r>
            <w:r w:rsidRPr="00113F13">
              <w:rPr>
                <w:rFonts w:cs="Times New Roman"/>
                <w:bCs/>
                <w:iCs/>
                <w:sz w:val="19"/>
                <w:szCs w:val="19"/>
              </w:rPr>
              <w:t>(Vic).</w:t>
            </w:r>
          </w:p>
        </w:tc>
      </w:tr>
      <w:tr w:rsidR="00FF302D" w:rsidRPr="00113F13" w14:paraId="5D71ADBA" w14:textId="77777777" w:rsidTr="00754A3F">
        <w:trPr>
          <w:trHeight w:val="1584"/>
        </w:trPr>
        <w:tc>
          <w:tcPr>
            <w:tcW w:w="701" w:type="dxa"/>
          </w:tcPr>
          <w:p w14:paraId="3AD3B966" w14:textId="77777777" w:rsidR="00FF302D" w:rsidRPr="00113F13" w:rsidRDefault="00FF302D" w:rsidP="00754A3F">
            <w:pPr>
              <w:rPr>
                <w:rFonts w:cs="Times New Roman"/>
                <w:bCs/>
                <w:sz w:val="19"/>
                <w:szCs w:val="19"/>
              </w:rPr>
            </w:pPr>
            <w:r w:rsidRPr="00113F13">
              <w:rPr>
                <w:rFonts w:cs="Times New Roman"/>
                <w:bCs/>
                <w:sz w:val="19"/>
                <w:szCs w:val="19"/>
              </w:rPr>
              <w:t>2008</w:t>
            </w:r>
          </w:p>
        </w:tc>
        <w:tc>
          <w:tcPr>
            <w:tcW w:w="1293" w:type="dxa"/>
          </w:tcPr>
          <w:p w14:paraId="677C5EC9" w14:textId="77777777" w:rsidR="00FF302D" w:rsidRPr="00113F13" w:rsidRDefault="00FF302D" w:rsidP="00754A3F">
            <w:pPr>
              <w:rPr>
                <w:rFonts w:cs="Times New Roman"/>
                <w:bCs/>
                <w:sz w:val="19"/>
                <w:szCs w:val="19"/>
              </w:rPr>
            </w:pPr>
            <w:r w:rsidRPr="00113F13">
              <w:rPr>
                <w:rFonts w:cs="Times New Roman"/>
                <w:bCs/>
                <w:sz w:val="19"/>
                <w:szCs w:val="19"/>
              </w:rPr>
              <w:t>Cth</w:t>
            </w:r>
          </w:p>
        </w:tc>
        <w:tc>
          <w:tcPr>
            <w:tcW w:w="2112" w:type="dxa"/>
          </w:tcPr>
          <w:p w14:paraId="294D31F8" w14:textId="77777777" w:rsidR="00FF302D" w:rsidRPr="00113F13" w:rsidRDefault="00FF302D" w:rsidP="00754A3F">
            <w:pPr>
              <w:rPr>
                <w:rFonts w:cs="Times New Roman"/>
                <w:bCs/>
                <w:sz w:val="19"/>
                <w:szCs w:val="19"/>
                <w:highlight w:val="yellow"/>
              </w:rPr>
            </w:pPr>
            <w:r w:rsidRPr="00113F13">
              <w:rPr>
                <w:rFonts w:eastAsia="Times New Roman" w:cs="Times New Roman"/>
                <w:sz w:val="19"/>
                <w:szCs w:val="19"/>
              </w:rPr>
              <w:t xml:space="preserve">Australian Law Reform Commission, </w:t>
            </w:r>
            <w:r w:rsidRPr="00113F13">
              <w:rPr>
                <w:rFonts w:eastAsia="Times New Roman" w:cs="Times New Roman"/>
                <w:i/>
                <w:sz w:val="19"/>
                <w:szCs w:val="19"/>
              </w:rPr>
              <w:t>For Your Information: Australian Privacy Law and Practice</w:t>
            </w:r>
            <w:r w:rsidRPr="00113F13">
              <w:rPr>
                <w:rFonts w:eastAsia="Times New Roman" w:cs="Times New Roman"/>
                <w:sz w:val="19"/>
                <w:szCs w:val="19"/>
              </w:rPr>
              <w:t xml:space="preserve"> (Report No 108, August 2008)</w:t>
            </w:r>
          </w:p>
        </w:tc>
        <w:tc>
          <w:tcPr>
            <w:tcW w:w="4910" w:type="dxa"/>
          </w:tcPr>
          <w:p w14:paraId="1182AE9E" w14:textId="77777777" w:rsidR="00FF302D" w:rsidRPr="00113F13" w:rsidRDefault="00FF302D" w:rsidP="00754A3F">
            <w:pPr>
              <w:rPr>
                <w:rFonts w:cs="Times New Roman"/>
                <w:bCs/>
                <w:sz w:val="19"/>
                <w:szCs w:val="19"/>
              </w:rPr>
            </w:pPr>
            <w:r w:rsidRPr="00113F13">
              <w:rPr>
                <w:rFonts w:cs="Times New Roman"/>
                <w:bCs/>
                <w:sz w:val="19"/>
                <w:szCs w:val="19"/>
              </w:rPr>
              <w:t xml:space="preserve">Privacy recognised as a human right which should be protected in spite of other factors such a cost or inconvenience, but should be balanced against important countervailing interests such as freedom of expression and national security. Recommended a federal statutory cause of action for a serious invasion of privacy (aside from the </w:t>
            </w:r>
            <w:r w:rsidRPr="00113F13">
              <w:rPr>
                <w:rFonts w:cs="Times New Roman"/>
                <w:bCs/>
                <w:i/>
                <w:sz w:val="19"/>
                <w:szCs w:val="19"/>
              </w:rPr>
              <w:t xml:space="preserve">Privacy Act 1988 </w:t>
            </w:r>
            <w:r w:rsidRPr="00113F13">
              <w:rPr>
                <w:rFonts w:cs="Times New Roman"/>
                <w:bCs/>
                <w:iCs/>
                <w:sz w:val="19"/>
                <w:szCs w:val="19"/>
              </w:rPr>
              <w:t>(Cth)</w:t>
            </w:r>
            <w:r w:rsidRPr="00113F13">
              <w:rPr>
                <w:rFonts w:cs="Times New Roman"/>
                <w:bCs/>
                <w:sz w:val="19"/>
                <w:szCs w:val="19"/>
              </w:rPr>
              <w:t>).</w:t>
            </w:r>
          </w:p>
        </w:tc>
      </w:tr>
      <w:tr w:rsidR="00FF302D" w:rsidRPr="00113F13" w14:paraId="54F3ACA0" w14:textId="77777777" w:rsidTr="00754A3F">
        <w:trPr>
          <w:trHeight w:val="1701"/>
        </w:trPr>
        <w:tc>
          <w:tcPr>
            <w:tcW w:w="701" w:type="dxa"/>
          </w:tcPr>
          <w:p w14:paraId="6D22999A" w14:textId="77777777" w:rsidR="00FF302D" w:rsidRPr="00113F13" w:rsidRDefault="00FF302D" w:rsidP="00754A3F">
            <w:pPr>
              <w:rPr>
                <w:rFonts w:cs="Times New Roman"/>
                <w:bCs/>
                <w:sz w:val="19"/>
                <w:szCs w:val="19"/>
              </w:rPr>
            </w:pPr>
            <w:r w:rsidRPr="00113F13">
              <w:rPr>
                <w:rFonts w:cs="Times New Roman"/>
                <w:bCs/>
                <w:sz w:val="19"/>
                <w:szCs w:val="19"/>
              </w:rPr>
              <w:lastRenderedPageBreak/>
              <w:t>2008</w:t>
            </w:r>
          </w:p>
        </w:tc>
        <w:tc>
          <w:tcPr>
            <w:tcW w:w="1293" w:type="dxa"/>
          </w:tcPr>
          <w:p w14:paraId="636B8B66" w14:textId="77777777" w:rsidR="00FF302D" w:rsidRPr="00113F13" w:rsidRDefault="00FF302D" w:rsidP="00754A3F">
            <w:pPr>
              <w:rPr>
                <w:rFonts w:cs="Times New Roman"/>
                <w:bCs/>
                <w:sz w:val="19"/>
                <w:szCs w:val="19"/>
              </w:rPr>
            </w:pPr>
            <w:r w:rsidRPr="00113F13">
              <w:rPr>
                <w:rFonts w:cs="Times New Roman"/>
                <w:bCs/>
                <w:sz w:val="19"/>
                <w:szCs w:val="19"/>
              </w:rPr>
              <w:t>Qld</w:t>
            </w:r>
          </w:p>
        </w:tc>
        <w:tc>
          <w:tcPr>
            <w:tcW w:w="2112" w:type="dxa"/>
          </w:tcPr>
          <w:p w14:paraId="2FCFBBF8" w14:textId="77777777" w:rsidR="00FF302D" w:rsidRPr="00113F13" w:rsidRDefault="00FF302D" w:rsidP="00754A3F">
            <w:pPr>
              <w:rPr>
                <w:rFonts w:cs="Times New Roman"/>
                <w:bCs/>
                <w:sz w:val="19"/>
                <w:szCs w:val="19"/>
              </w:rPr>
            </w:pPr>
            <w:r w:rsidRPr="00113F13">
              <w:rPr>
                <w:rFonts w:cs="Times New Roman"/>
                <w:bCs/>
                <w:sz w:val="19"/>
                <w:szCs w:val="19"/>
              </w:rPr>
              <w:t xml:space="preserve">FOI Independent Review Panel, </w:t>
            </w:r>
            <w:r w:rsidRPr="00113F13">
              <w:rPr>
                <w:rFonts w:cs="Times New Roman"/>
                <w:bCs/>
                <w:i/>
                <w:sz w:val="19"/>
                <w:szCs w:val="19"/>
              </w:rPr>
              <w:t xml:space="preserve">Solomon Report: The Right to Information, Reviewing Queensland’s Freedom of Information Act </w:t>
            </w:r>
            <w:r w:rsidRPr="00113F13">
              <w:rPr>
                <w:rFonts w:cs="Times New Roman"/>
                <w:bCs/>
                <w:sz w:val="19"/>
                <w:szCs w:val="19"/>
              </w:rPr>
              <w:t>(Report, June 2008)</w:t>
            </w:r>
          </w:p>
        </w:tc>
        <w:tc>
          <w:tcPr>
            <w:tcW w:w="4910" w:type="dxa"/>
          </w:tcPr>
          <w:p w14:paraId="4F6AF2DB" w14:textId="77777777" w:rsidR="00FF302D" w:rsidRPr="00113F13" w:rsidRDefault="00FF302D" w:rsidP="00754A3F">
            <w:pPr>
              <w:rPr>
                <w:rFonts w:cs="Times New Roman"/>
                <w:bCs/>
                <w:sz w:val="19"/>
                <w:szCs w:val="19"/>
              </w:rPr>
            </w:pPr>
            <w:r w:rsidRPr="00113F13">
              <w:rPr>
                <w:rFonts w:cs="Times New Roman"/>
                <w:bCs/>
                <w:sz w:val="19"/>
                <w:szCs w:val="19"/>
              </w:rPr>
              <w:t xml:space="preserve">While this was a review of freedom of information laws (also known as right to information laws in Tasmania), some recommendations were made to strengthen information privacy protections. </w:t>
            </w:r>
          </w:p>
        </w:tc>
      </w:tr>
      <w:tr w:rsidR="00FF302D" w:rsidRPr="00113F13" w14:paraId="01BD316F" w14:textId="77777777" w:rsidTr="00754A3F">
        <w:trPr>
          <w:trHeight w:val="1624"/>
        </w:trPr>
        <w:tc>
          <w:tcPr>
            <w:tcW w:w="701" w:type="dxa"/>
          </w:tcPr>
          <w:p w14:paraId="233253A3" w14:textId="77777777" w:rsidR="00FF302D" w:rsidRPr="00113F13" w:rsidRDefault="00FF302D" w:rsidP="00754A3F">
            <w:pPr>
              <w:rPr>
                <w:rFonts w:cs="Times New Roman"/>
                <w:bCs/>
                <w:sz w:val="19"/>
                <w:szCs w:val="19"/>
              </w:rPr>
            </w:pPr>
            <w:r w:rsidRPr="00113F13">
              <w:rPr>
                <w:rFonts w:cs="Times New Roman"/>
                <w:bCs/>
                <w:sz w:val="19"/>
                <w:szCs w:val="19"/>
              </w:rPr>
              <w:t>2009</w:t>
            </w:r>
          </w:p>
        </w:tc>
        <w:tc>
          <w:tcPr>
            <w:tcW w:w="1293" w:type="dxa"/>
          </w:tcPr>
          <w:p w14:paraId="5CBF6210" w14:textId="77777777" w:rsidR="00FF302D" w:rsidRPr="00113F13" w:rsidRDefault="00FF302D" w:rsidP="00754A3F">
            <w:pPr>
              <w:rPr>
                <w:rFonts w:cs="Times New Roman"/>
                <w:bCs/>
                <w:sz w:val="19"/>
                <w:szCs w:val="19"/>
              </w:rPr>
            </w:pPr>
            <w:r w:rsidRPr="00113F13">
              <w:rPr>
                <w:rFonts w:cs="Times New Roman"/>
                <w:bCs/>
                <w:sz w:val="19"/>
                <w:szCs w:val="19"/>
              </w:rPr>
              <w:t xml:space="preserve">NSW </w:t>
            </w:r>
          </w:p>
        </w:tc>
        <w:tc>
          <w:tcPr>
            <w:tcW w:w="2112" w:type="dxa"/>
          </w:tcPr>
          <w:p w14:paraId="3521F573"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NSW Law Reform Commission, </w:t>
            </w:r>
            <w:r w:rsidRPr="00113F13">
              <w:rPr>
                <w:rFonts w:eastAsia="Times New Roman" w:cs="Times New Roman"/>
                <w:i/>
                <w:sz w:val="19"/>
                <w:szCs w:val="19"/>
              </w:rPr>
              <w:t>Invasion of Privacy</w:t>
            </w:r>
            <w:r w:rsidRPr="00113F13">
              <w:rPr>
                <w:rFonts w:eastAsia="Times New Roman" w:cs="Times New Roman"/>
                <w:sz w:val="19"/>
                <w:szCs w:val="19"/>
              </w:rPr>
              <w:t xml:space="preserve"> (Report No 120, April 2009)</w:t>
            </w:r>
          </w:p>
        </w:tc>
        <w:tc>
          <w:tcPr>
            <w:tcW w:w="4910" w:type="dxa"/>
          </w:tcPr>
          <w:p w14:paraId="72D21D5B" w14:textId="77777777" w:rsidR="00FF302D" w:rsidRPr="00113F13" w:rsidRDefault="00FF302D" w:rsidP="00754A3F">
            <w:pPr>
              <w:rPr>
                <w:rFonts w:cs="Times New Roman"/>
                <w:b/>
                <w:bCs/>
                <w:sz w:val="19"/>
                <w:szCs w:val="19"/>
              </w:rPr>
            </w:pPr>
            <w:r w:rsidRPr="00113F13">
              <w:rPr>
                <w:rFonts w:cs="Times New Roman"/>
                <w:bCs/>
                <w:sz w:val="19"/>
                <w:szCs w:val="19"/>
              </w:rPr>
              <w:t xml:space="preserve">As part of a uniform law initiative in Australia, recommended that NSW should amend the </w:t>
            </w:r>
            <w:r w:rsidRPr="00113F13">
              <w:rPr>
                <w:rFonts w:cs="Times New Roman"/>
                <w:bCs/>
                <w:i/>
                <w:sz w:val="19"/>
                <w:szCs w:val="19"/>
              </w:rPr>
              <w:t xml:space="preserve">Civil Liability Act 2002 </w:t>
            </w:r>
            <w:r w:rsidRPr="00113F13">
              <w:rPr>
                <w:rFonts w:cs="Times New Roman"/>
                <w:bCs/>
                <w:iCs/>
                <w:sz w:val="19"/>
                <w:szCs w:val="19"/>
              </w:rPr>
              <w:t>(NSW)</w:t>
            </w:r>
            <w:r w:rsidRPr="00113F13">
              <w:rPr>
                <w:rFonts w:cs="Times New Roman"/>
                <w:bCs/>
                <w:sz w:val="19"/>
                <w:szCs w:val="19"/>
              </w:rPr>
              <w:t xml:space="preserve"> to provide a cause of action for invasion of privacy in the terms of the draft legislation appended by the Commission to this report. Ultimately, however, the </w:t>
            </w:r>
            <w:r w:rsidRPr="00113F13">
              <w:rPr>
                <w:rFonts w:cs="Times New Roman"/>
                <w:bCs/>
                <w:iCs/>
                <w:sz w:val="19"/>
                <w:szCs w:val="19"/>
              </w:rPr>
              <w:t xml:space="preserve">Civil Liability Amendment (Privacy) Bill 2009 (NSW) </w:t>
            </w:r>
            <w:r w:rsidRPr="00113F13">
              <w:rPr>
                <w:rFonts w:cs="Times New Roman"/>
                <w:bCs/>
                <w:sz w:val="19"/>
                <w:szCs w:val="19"/>
              </w:rPr>
              <w:t>was not passed into law.</w:t>
            </w:r>
          </w:p>
        </w:tc>
      </w:tr>
      <w:tr w:rsidR="00FF302D" w:rsidRPr="00113F13" w14:paraId="408A2803" w14:textId="77777777" w:rsidTr="00754A3F">
        <w:trPr>
          <w:trHeight w:val="1608"/>
        </w:trPr>
        <w:tc>
          <w:tcPr>
            <w:tcW w:w="701" w:type="dxa"/>
          </w:tcPr>
          <w:p w14:paraId="521E2F16" w14:textId="77777777" w:rsidR="00FF302D" w:rsidRPr="00113F13" w:rsidRDefault="00FF302D" w:rsidP="00754A3F">
            <w:pPr>
              <w:rPr>
                <w:rFonts w:cs="Times New Roman"/>
                <w:bCs/>
                <w:sz w:val="19"/>
                <w:szCs w:val="19"/>
              </w:rPr>
            </w:pPr>
            <w:r w:rsidRPr="00113F13">
              <w:rPr>
                <w:rFonts w:cs="Times New Roman"/>
                <w:bCs/>
                <w:sz w:val="19"/>
                <w:szCs w:val="19"/>
              </w:rPr>
              <w:t>2010</w:t>
            </w:r>
          </w:p>
        </w:tc>
        <w:tc>
          <w:tcPr>
            <w:tcW w:w="1293" w:type="dxa"/>
          </w:tcPr>
          <w:p w14:paraId="6B014EEF" w14:textId="77777777" w:rsidR="00FF302D" w:rsidRPr="00113F13" w:rsidRDefault="00FF302D" w:rsidP="00754A3F">
            <w:pPr>
              <w:rPr>
                <w:rFonts w:cs="Times New Roman"/>
                <w:bCs/>
                <w:sz w:val="19"/>
                <w:szCs w:val="19"/>
              </w:rPr>
            </w:pPr>
            <w:r w:rsidRPr="00113F13">
              <w:rPr>
                <w:rFonts w:cs="Times New Roman"/>
                <w:bCs/>
                <w:sz w:val="19"/>
                <w:szCs w:val="19"/>
              </w:rPr>
              <w:t>NSW</w:t>
            </w:r>
          </w:p>
        </w:tc>
        <w:tc>
          <w:tcPr>
            <w:tcW w:w="2112" w:type="dxa"/>
          </w:tcPr>
          <w:p w14:paraId="2C3E25E7"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NSW Law Reform Commission, </w:t>
            </w:r>
            <w:r w:rsidRPr="00113F13">
              <w:rPr>
                <w:rFonts w:eastAsia="Times New Roman" w:cs="Times New Roman"/>
                <w:i/>
                <w:sz w:val="19"/>
                <w:szCs w:val="19"/>
              </w:rPr>
              <w:t>Protecting Privacy in New South Wales</w:t>
            </w:r>
            <w:r w:rsidRPr="00113F13">
              <w:rPr>
                <w:rFonts w:eastAsia="Times New Roman" w:cs="Times New Roman"/>
                <w:sz w:val="19"/>
                <w:szCs w:val="19"/>
              </w:rPr>
              <w:t xml:space="preserve"> (Report No 127, May 2010)</w:t>
            </w:r>
          </w:p>
        </w:tc>
        <w:tc>
          <w:tcPr>
            <w:tcW w:w="4910" w:type="dxa"/>
          </w:tcPr>
          <w:p w14:paraId="6740EB27" w14:textId="77777777" w:rsidR="00FF302D" w:rsidRPr="00113F13" w:rsidRDefault="00FF302D" w:rsidP="00754A3F">
            <w:pPr>
              <w:rPr>
                <w:rFonts w:cs="Times New Roman"/>
                <w:bCs/>
                <w:sz w:val="19"/>
                <w:szCs w:val="19"/>
              </w:rPr>
            </w:pPr>
            <w:r w:rsidRPr="00113F13">
              <w:rPr>
                <w:rFonts w:cs="Times New Roman"/>
                <w:bCs/>
                <w:sz w:val="19"/>
                <w:szCs w:val="19"/>
              </w:rPr>
              <w:t>Focused on privacy and personal information regulation, rather than a comprehensive civil remedy for interference with privacy.</w:t>
            </w:r>
          </w:p>
        </w:tc>
      </w:tr>
      <w:tr w:rsidR="00FF302D" w:rsidRPr="00113F13" w14:paraId="65A96822" w14:textId="77777777" w:rsidTr="00754A3F">
        <w:trPr>
          <w:trHeight w:val="1323"/>
        </w:trPr>
        <w:tc>
          <w:tcPr>
            <w:tcW w:w="701" w:type="dxa"/>
          </w:tcPr>
          <w:p w14:paraId="0F2DC3B3" w14:textId="77777777" w:rsidR="00FF302D" w:rsidRPr="00113F13" w:rsidRDefault="00FF302D" w:rsidP="00754A3F">
            <w:pPr>
              <w:rPr>
                <w:rFonts w:cs="Times New Roman"/>
                <w:bCs/>
                <w:sz w:val="19"/>
                <w:szCs w:val="19"/>
              </w:rPr>
            </w:pPr>
            <w:r w:rsidRPr="00113F13">
              <w:rPr>
                <w:rFonts w:cs="Times New Roman"/>
                <w:bCs/>
                <w:sz w:val="19"/>
                <w:szCs w:val="19"/>
              </w:rPr>
              <w:t>2010</w:t>
            </w:r>
          </w:p>
        </w:tc>
        <w:tc>
          <w:tcPr>
            <w:tcW w:w="1293" w:type="dxa"/>
          </w:tcPr>
          <w:p w14:paraId="69B95DE0" w14:textId="77777777" w:rsidR="00FF302D" w:rsidRPr="00113F13" w:rsidRDefault="00FF302D" w:rsidP="00754A3F">
            <w:pPr>
              <w:rPr>
                <w:rFonts w:cs="Times New Roman"/>
                <w:bCs/>
                <w:sz w:val="19"/>
                <w:szCs w:val="19"/>
              </w:rPr>
            </w:pPr>
            <w:r w:rsidRPr="00113F13">
              <w:rPr>
                <w:rFonts w:cs="Times New Roman"/>
                <w:bCs/>
                <w:sz w:val="19"/>
                <w:szCs w:val="19"/>
              </w:rPr>
              <w:t>Vic</w:t>
            </w:r>
          </w:p>
        </w:tc>
        <w:tc>
          <w:tcPr>
            <w:tcW w:w="2112" w:type="dxa"/>
          </w:tcPr>
          <w:p w14:paraId="07534EE4"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Victorian Law Reform Commission, </w:t>
            </w:r>
            <w:r w:rsidRPr="00113F13">
              <w:rPr>
                <w:rFonts w:eastAsia="Times New Roman" w:cs="Times New Roman"/>
                <w:i/>
                <w:sz w:val="19"/>
                <w:szCs w:val="19"/>
              </w:rPr>
              <w:t>Surveillance in Public Places</w:t>
            </w:r>
            <w:r w:rsidRPr="00113F13">
              <w:rPr>
                <w:rFonts w:eastAsia="Times New Roman" w:cs="Times New Roman"/>
                <w:sz w:val="19"/>
                <w:szCs w:val="19"/>
              </w:rPr>
              <w:t xml:space="preserve"> (Report No 18, August 2010)</w:t>
            </w:r>
          </w:p>
        </w:tc>
        <w:tc>
          <w:tcPr>
            <w:tcW w:w="4910" w:type="dxa"/>
          </w:tcPr>
          <w:p w14:paraId="2206459D" w14:textId="77777777" w:rsidR="00FF302D" w:rsidRPr="00113F13" w:rsidRDefault="00FF302D" w:rsidP="00754A3F">
            <w:pPr>
              <w:rPr>
                <w:rFonts w:cs="Times New Roman"/>
                <w:bCs/>
                <w:sz w:val="19"/>
                <w:szCs w:val="19"/>
              </w:rPr>
            </w:pPr>
            <w:r w:rsidRPr="00113F13">
              <w:rPr>
                <w:rFonts w:cs="Times New Roman"/>
                <w:bCs/>
                <w:sz w:val="19"/>
                <w:szCs w:val="19"/>
              </w:rPr>
              <w:t xml:space="preserve">Recommended that the Parliament should enact new laws that promote the responsible use of surveillance devices in public places, including creating statutory causes of action covering serious invasion of privacy by misuse of private information, and serious invasion of privacy by intrusion upon seclusion. </w:t>
            </w:r>
          </w:p>
        </w:tc>
      </w:tr>
      <w:tr w:rsidR="00FF302D" w:rsidRPr="00113F13" w14:paraId="6D2CE78A" w14:textId="77777777" w:rsidTr="00754A3F">
        <w:trPr>
          <w:trHeight w:val="1393"/>
        </w:trPr>
        <w:tc>
          <w:tcPr>
            <w:tcW w:w="701" w:type="dxa"/>
          </w:tcPr>
          <w:p w14:paraId="2F0CC0DC" w14:textId="77777777" w:rsidR="00FF302D" w:rsidRPr="00113F13" w:rsidRDefault="00FF302D" w:rsidP="00754A3F">
            <w:pPr>
              <w:rPr>
                <w:rFonts w:cs="Times New Roman"/>
                <w:bCs/>
                <w:sz w:val="19"/>
                <w:szCs w:val="19"/>
              </w:rPr>
            </w:pPr>
            <w:r w:rsidRPr="00113F13">
              <w:rPr>
                <w:rFonts w:cs="Times New Roman"/>
                <w:bCs/>
                <w:sz w:val="19"/>
                <w:szCs w:val="19"/>
              </w:rPr>
              <w:t>2014</w:t>
            </w:r>
          </w:p>
        </w:tc>
        <w:tc>
          <w:tcPr>
            <w:tcW w:w="1293" w:type="dxa"/>
          </w:tcPr>
          <w:p w14:paraId="174F8FF7" w14:textId="77777777" w:rsidR="00FF302D" w:rsidRPr="00113F13" w:rsidRDefault="00FF302D" w:rsidP="00754A3F">
            <w:pPr>
              <w:rPr>
                <w:rFonts w:cs="Times New Roman"/>
                <w:bCs/>
                <w:sz w:val="19"/>
                <w:szCs w:val="19"/>
              </w:rPr>
            </w:pPr>
            <w:r w:rsidRPr="00113F13">
              <w:rPr>
                <w:rFonts w:cs="Times New Roman"/>
                <w:bCs/>
                <w:sz w:val="19"/>
                <w:szCs w:val="19"/>
              </w:rPr>
              <w:t xml:space="preserve">Cth </w:t>
            </w:r>
          </w:p>
        </w:tc>
        <w:tc>
          <w:tcPr>
            <w:tcW w:w="2112" w:type="dxa"/>
          </w:tcPr>
          <w:p w14:paraId="6252BA9D"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Australian Law Reform Commission, </w:t>
            </w:r>
            <w:r w:rsidRPr="00113F13">
              <w:rPr>
                <w:rFonts w:eastAsia="Times New Roman" w:cs="Times New Roman"/>
                <w:i/>
                <w:sz w:val="19"/>
                <w:szCs w:val="19"/>
              </w:rPr>
              <w:t>Serious Invasions of Privacy in the Digital Era</w:t>
            </w:r>
            <w:r w:rsidRPr="00113F13">
              <w:rPr>
                <w:rFonts w:eastAsia="Times New Roman" w:cs="Times New Roman"/>
                <w:sz w:val="19"/>
                <w:szCs w:val="19"/>
              </w:rPr>
              <w:t xml:space="preserve"> (Report No 123, June 2014)</w:t>
            </w:r>
          </w:p>
        </w:tc>
        <w:tc>
          <w:tcPr>
            <w:tcW w:w="4910" w:type="dxa"/>
          </w:tcPr>
          <w:p w14:paraId="1ACE089B" w14:textId="77777777" w:rsidR="00FF302D" w:rsidRPr="00113F13" w:rsidRDefault="00FF302D" w:rsidP="00754A3F">
            <w:pPr>
              <w:rPr>
                <w:rFonts w:cs="Times New Roman"/>
                <w:bCs/>
                <w:sz w:val="19"/>
                <w:szCs w:val="19"/>
              </w:rPr>
            </w:pPr>
            <w:r w:rsidRPr="00113F13">
              <w:rPr>
                <w:rFonts w:cs="Times New Roman"/>
                <w:bCs/>
                <w:sz w:val="19"/>
                <w:szCs w:val="19"/>
              </w:rPr>
              <w:t>Recommended the introduction of a single statutory tort of interference with privacy, covering both information and physical privacy.</w:t>
            </w:r>
          </w:p>
        </w:tc>
      </w:tr>
      <w:tr w:rsidR="00FF302D" w:rsidRPr="00113F13" w14:paraId="2CBA2702" w14:textId="77777777" w:rsidTr="00754A3F">
        <w:trPr>
          <w:trHeight w:val="1583"/>
        </w:trPr>
        <w:tc>
          <w:tcPr>
            <w:tcW w:w="701" w:type="dxa"/>
          </w:tcPr>
          <w:p w14:paraId="6EBB930A" w14:textId="77777777" w:rsidR="00FF302D" w:rsidRPr="00113F13" w:rsidRDefault="00FF302D" w:rsidP="00754A3F">
            <w:pPr>
              <w:rPr>
                <w:rFonts w:cs="Times New Roman"/>
                <w:bCs/>
                <w:sz w:val="19"/>
                <w:szCs w:val="19"/>
              </w:rPr>
            </w:pPr>
            <w:r w:rsidRPr="00113F13">
              <w:rPr>
                <w:rFonts w:cs="Times New Roman"/>
                <w:bCs/>
                <w:sz w:val="19"/>
                <w:szCs w:val="19"/>
              </w:rPr>
              <w:t xml:space="preserve">2016 </w:t>
            </w:r>
          </w:p>
        </w:tc>
        <w:tc>
          <w:tcPr>
            <w:tcW w:w="1293" w:type="dxa"/>
          </w:tcPr>
          <w:p w14:paraId="2D04D4DB" w14:textId="77777777" w:rsidR="00FF302D" w:rsidRPr="00113F13" w:rsidRDefault="00FF302D" w:rsidP="00754A3F">
            <w:pPr>
              <w:rPr>
                <w:rFonts w:cs="Times New Roman"/>
                <w:bCs/>
                <w:sz w:val="19"/>
                <w:szCs w:val="19"/>
              </w:rPr>
            </w:pPr>
            <w:r w:rsidRPr="00113F13">
              <w:rPr>
                <w:rFonts w:cs="Times New Roman"/>
                <w:bCs/>
                <w:sz w:val="19"/>
                <w:szCs w:val="19"/>
              </w:rPr>
              <w:t>SA</w:t>
            </w:r>
          </w:p>
        </w:tc>
        <w:tc>
          <w:tcPr>
            <w:tcW w:w="2112" w:type="dxa"/>
          </w:tcPr>
          <w:p w14:paraId="2D669087" w14:textId="77777777" w:rsidR="00FF302D" w:rsidRPr="00113F13" w:rsidRDefault="00FF302D" w:rsidP="00754A3F">
            <w:pPr>
              <w:rPr>
                <w:rFonts w:cs="Times New Roman"/>
                <w:bCs/>
                <w:sz w:val="19"/>
                <w:szCs w:val="19"/>
              </w:rPr>
            </w:pPr>
            <w:r w:rsidRPr="00113F13">
              <w:rPr>
                <w:rFonts w:cs="Times New Roman"/>
                <w:bCs/>
                <w:sz w:val="19"/>
                <w:szCs w:val="19"/>
              </w:rPr>
              <w:t xml:space="preserve">South Australian Law Reform Institute, </w:t>
            </w:r>
            <w:r w:rsidRPr="00113F13">
              <w:rPr>
                <w:rFonts w:cs="Times New Roman"/>
                <w:bCs/>
                <w:i/>
                <w:sz w:val="19"/>
                <w:szCs w:val="19"/>
              </w:rPr>
              <w:t>Final Report: A Statutory Tort for Invasion of Privacy</w:t>
            </w:r>
            <w:r w:rsidRPr="00113F13">
              <w:rPr>
                <w:rFonts w:cs="Times New Roman"/>
                <w:bCs/>
                <w:sz w:val="19"/>
                <w:szCs w:val="19"/>
              </w:rPr>
              <w:t xml:space="preserve"> (Final Report 4, March 2016)</w:t>
            </w:r>
          </w:p>
        </w:tc>
        <w:tc>
          <w:tcPr>
            <w:tcW w:w="4910" w:type="dxa"/>
          </w:tcPr>
          <w:p w14:paraId="52C36302" w14:textId="77777777" w:rsidR="00FF302D" w:rsidRPr="00113F13" w:rsidRDefault="00FF302D" w:rsidP="00754A3F">
            <w:pPr>
              <w:rPr>
                <w:rFonts w:cs="Times New Roman"/>
                <w:bCs/>
                <w:sz w:val="19"/>
                <w:szCs w:val="19"/>
              </w:rPr>
            </w:pPr>
            <w:r w:rsidRPr="00113F13">
              <w:rPr>
                <w:rFonts w:cs="Times New Roman"/>
                <w:bCs/>
                <w:sz w:val="19"/>
                <w:szCs w:val="19"/>
              </w:rPr>
              <w:t>Found that protections available in South Australia for interferences with a person’s privacy were inadequate. It found that, although previous attempts at reform of this kind in South Australia were unsuccessful, the impetus for reform is now different as the people of South Australia are more vulnerable to invasions of privacy than ever before, particularly due to technological advances.</w:t>
            </w:r>
          </w:p>
        </w:tc>
      </w:tr>
      <w:tr w:rsidR="00FF302D" w:rsidRPr="00113F13" w14:paraId="6D892858" w14:textId="77777777" w:rsidTr="00754A3F">
        <w:trPr>
          <w:trHeight w:val="2210"/>
        </w:trPr>
        <w:tc>
          <w:tcPr>
            <w:tcW w:w="701" w:type="dxa"/>
          </w:tcPr>
          <w:p w14:paraId="7C77450D" w14:textId="77777777" w:rsidR="00FF302D" w:rsidRPr="00113F13" w:rsidRDefault="00FF302D" w:rsidP="00754A3F">
            <w:pPr>
              <w:rPr>
                <w:rFonts w:cs="Times New Roman"/>
                <w:bCs/>
                <w:sz w:val="19"/>
                <w:szCs w:val="19"/>
              </w:rPr>
            </w:pPr>
            <w:r w:rsidRPr="00113F13">
              <w:rPr>
                <w:rFonts w:cs="Times New Roman"/>
                <w:bCs/>
                <w:sz w:val="19"/>
                <w:szCs w:val="19"/>
              </w:rPr>
              <w:lastRenderedPageBreak/>
              <w:t>2016</w:t>
            </w:r>
          </w:p>
        </w:tc>
        <w:tc>
          <w:tcPr>
            <w:tcW w:w="1293" w:type="dxa"/>
          </w:tcPr>
          <w:p w14:paraId="06A0EEF3" w14:textId="77777777" w:rsidR="00FF302D" w:rsidRPr="00113F13" w:rsidRDefault="00FF302D" w:rsidP="00754A3F">
            <w:pPr>
              <w:rPr>
                <w:rFonts w:cs="Times New Roman"/>
                <w:bCs/>
                <w:sz w:val="19"/>
                <w:szCs w:val="19"/>
              </w:rPr>
            </w:pPr>
            <w:r w:rsidRPr="00113F13">
              <w:rPr>
                <w:rFonts w:cs="Times New Roman"/>
                <w:bCs/>
                <w:sz w:val="19"/>
                <w:szCs w:val="19"/>
              </w:rPr>
              <w:t>NSW</w:t>
            </w:r>
          </w:p>
        </w:tc>
        <w:tc>
          <w:tcPr>
            <w:tcW w:w="2112" w:type="dxa"/>
          </w:tcPr>
          <w:p w14:paraId="66FB910E"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Legislative Council Standing Committee on Law and Justice, Parliament of NSW, </w:t>
            </w:r>
            <w:r w:rsidRPr="00113F13">
              <w:rPr>
                <w:rFonts w:eastAsia="Times New Roman" w:cs="Times New Roman"/>
                <w:i/>
                <w:sz w:val="19"/>
                <w:szCs w:val="19"/>
              </w:rPr>
              <w:t>Remedies for the Serious Invasion of Privacy in New South Wales</w:t>
            </w:r>
            <w:r w:rsidRPr="00113F13">
              <w:rPr>
                <w:rFonts w:eastAsia="Times New Roman" w:cs="Times New Roman"/>
                <w:sz w:val="19"/>
                <w:szCs w:val="19"/>
              </w:rPr>
              <w:t xml:space="preserve"> (Report, March 2016)</w:t>
            </w:r>
          </w:p>
        </w:tc>
        <w:tc>
          <w:tcPr>
            <w:tcW w:w="4910" w:type="dxa"/>
          </w:tcPr>
          <w:p w14:paraId="5BF8A971" w14:textId="77777777" w:rsidR="00FF302D" w:rsidRPr="00113F13" w:rsidRDefault="00FF302D" w:rsidP="00754A3F">
            <w:pPr>
              <w:rPr>
                <w:rFonts w:cs="Times New Roman"/>
                <w:bCs/>
                <w:sz w:val="19"/>
                <w:szCs w:val="19"/>
              </w:rPr>
            </w:pPr>
            <w:r w:rsidRPr="00113F13">
              <w:rPr>
                <w:rFonts w:cs="Times New Roman"/>
                <w:bCs/>
                <w:sz w:val="19"/>
                <w:szCs w:val="19"/>
              </w:rPr>
              <w:t>Found that current privacy provisions were inadequate, and recommended the introduction of statutory causes of action for serious invasions of privacy.</w:t>
            </w:r>
          </w:p>
        </w:tc>
      </w:tr>
      <w:tr w:rsidR="00FF302D" w:rsidRPr="00113F13" w14:paraId="2A7D49C0" w14:textId="77777777" w:rsidTr="00754A3F">
        <w:trPr>
          <w:trHeight w:val="2008"/>
        </w:trPr>
        <w:tc>
          <w:tcPr>
            <w:tcW w:w="701" w:type="dxa"/>
          </w:tcPr>
          <w:p w14:paraId="41DD9F12" w14:textId="77777777" w:rsidR="00FF302D" w:rsidRPr="00113F13" w:rsidRDefault="00FF302D" w:rsidP="00754A3F">
            <w:pPr>
              <w:rPr>
                <w:rFonts w:cs="Times New Roman"/>
                <w:bCs/>
                <w:sz w:val="19"/>
                <w:szCs w:val="19"/>
              </w:rPr>
            </w:pPr>
            <w:r w:rsidRPr="00113F13">
              <w:rPr>
                <w:rFonts w:cs="Times New Roman"/>
                <w:bCs/>
                <w:sz w:val="19"/>
                <w:szCs w:val="19"/>
              </w:rPr>
              <w:t>2017</w:t>
            </w:r>
          </w:p>
        </w:tc>
        <w:tc>
          <w:tcPr>
            <w:tcW w:w="1293" w:type="dxa"/>
          </w:tcPr>
          <w:p w14:paraId="6E2C4CFA" w14:textId="77777777" w:rsidR="00FF302D" w:rsidRPr="00113F13" w:rsidRDefault="00FF302D" w:rsidP="00754A3F">
            <w:pPr>
              <w:rPr>
                <w:rFonts w:cs="Times New Roman"/>
                <w:bCs/>
                <w:sz w:val="19"/>
                <w:szCs w:val="19"/>
              </w:rPr>
            </w:pPr>
            <w:r w:rsidRPr="00113F13">
              <w:rPr>
                <w:rFonts w:cs="Times New Roman"/>
                <w:bCs/>
                <w:sz w:val="19"/>
                <w:szCs w:val="19"/>
              </w:rPr>
              <w:t>Qld</w:t>
            </w:r>
          </w:p>
        </w:tc>
        <w:tc>
          <w:tcPr>
            <w:tcW w:w="2112" w:type="dxa"/>
          </w:tcPr>
          <w:p w14:paraId="3492120D"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Department of Justice and Attorney-General, </w:t>
            </w:r>
            <w:r w:rsidRPr="00113F13">
              <w:rPr>
                <w:rFonts w:eastAsia="Times New Roman" w:cs="Times New Roman"/>
                <w:i/>
                <w:sz w:val="19"/>
                <w:szCs w:val="19"/>
              </w:rPr>
              <w:t>Report on the Review of the Right to Information Act 2009 and Information Privacy Act 2009</w:t>
            </w:r>
            <w:r w:rsidRPr="00113F13">
              <w:rPr>
                <w:rFonts w:eastAsia="Times New Roman" w:cs="Times New Roman"/>
                <w:sz w:val="19"/>
                <w:szCs w:val="19"/>
              </w:rPr>
              <w:t xml:space="preserve"> (Report, October 2017)</w:t>
            </w:r>
          </w:p>
        </w:tc>
        <w:tc>
          <w:tcPr>
            <w:tcW w:w="4910" w:type="dxa"/>
          </w:tcPr>
          <w:p w14:paraId="62CB40AE" w14:textId="77777777" w:rsidR="00FF302D" w:rsidRPr="00113F13" w:rsidRDefault="00FF302D" w:rsidP="00754A3F">
            <w:pPr>
              <w:rPr>
                <w:rFonts w:cs="Times New Roman"/>
                <w:bCs/>
                <w:sz w:val="19"/>
                <w:szCs w:val="19"/>
              </w:rPr>
            </w:pPr>
            <w:r w:rsidRPr="00113F13">
              <w:rPr>
                <w:rFonts w:cs="Times New Roman"/>
                <w:bCs/>
                <w:sz w:val="19"/>
                <w:szCs w:val="19"/>
              </w:rPr>
              <w:t xml:space="preserve">Made a range of recommendations for amendment of </w:t>
            </w:r>
            <w:r w:rsidRPr="00113F13">
              <w:rPr>
                <w:rFonts w:cs="Times New Roman"/>
                <w:bCs/>
                <w:i/>
                <w:iCs/>
                <w:sz w:val="19"/>
                <w:szCs w:val="19"/>
              </w:rPr>
              <w:t>Information Privacy Act 2009</w:t>
            </w:r>
            <w:r w:rsidRPr="00113F13">
              <w:rPr>
                <w:rFonts w:cs="Times New Roman"/>
                <w:bCs/>
                <w:sz w:val="19"/>
                <w:szCs w:val="19"/>
              </w:rPr>
              <w:t xml:space="preserve"> (Qld), including extending the Act to include subcontractors and to clarify privacy processes.</w:t>
            </w:r>
          </w:p>
        </w:tc>
      </w:tr>
      <w:tr w:rsidR="00FF302D" w:rsidRPr="00113F13" w14:paraId="5D2B2F13" w14:textId="77777777" w:rsidTr="00754A3F">
        <w:trPr>
          <w:trHeight w:val="1592"/>
        </w:trPr>
        <w:tc>
          <w:tcPr>
            <w:tcW w:w="701" w:type="dxa"/>
          </w:tcPr>
          <w:p w14:paraId="23830BDD" w14:textId="77777777" w:rsidR="00FF302D" w:rsidRPr="00113F13" w:rsidRDefault="00FF302D" w:rsidP="00754A3F">
            <w:pPr>
              <w:rPr>
                <w:rFonts w:cs="Times New Roman"/>
                <w:bCs/>
                <w:sz w:val="19"/>
                <w:szCs w:val="19"/>
              </w:rPr>
            </w:pPr>
            <w:r w:rsidRPr="00113F13">
              <w:rPr>
                <w:rFonts w:cs="Times New Roman"/>
                <w:bCs/>
                <w:sz w:val="19"/>
                <w:szCs w:val="19"/>
              </w:rPr>
              <w:t>2019</w:t>
            </w:r>
          </w:p>
        </w:tc>
        <w:tc>
          <w:tcPr>
            <w:tcW w:w="1293" w:type="dxa"/>
          </w:tcPr>
          <w:p w14:paraId="756AF134" w14:textId="77777777" w:rsidR="00FF302D" w:rsidRPr="00113F13" w:rsidRDefault="00FF302D" w:rsidP="00754A3F">
            <w:pPr>
              <w:rPr>
                <w:rFonts w:cs="Times New Roman"/>
                <w:bCs/>
                <w:sz w:val="19"/>
                <w:szCs w:val="19"/>
              </w:rPr>
            </w:pPr>
            <w:r w:rsidRPr="00113F13">
              <w:rPr>
                <w:rFonts w:cs="Times New Roman"/>
                <w:bCs/>
                <w:sz w:val="19"/>
                <w:szCs w:val="19"/>
              </w:rPr>
              <w:t xml:space="preserve">Cth </w:t>
            </w:r>
          </w:p>
        </w:tc>
        <w:tc>
          <w:tcPr>
            <w:tcW w:w="2112" w:type="dxa"/>
          </w:tcPr>
          <w:p w14:paraId="22B44284"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Australian Competition and Consumer Commission, </w:t>
            </w:r>
            <w:r w:rsidRPr="00113F13">
              <w:rPr>
                <w:rFonts w:eastAsia="Times New Roman" w:cs="Times New Roman"/>
                <w:i/>
                <w:sz w:val="19"/>
                <w:szCs w:val="19"/>
              </w:rPr>
              <w:t xml:space="preserve">Digital Platforms Inquiry </w:t>
            </w:r>
            <w:r w:rsidRPr="00113F13">
              <w:rPr>
                <w:rFonts w:eastAsia="Times New Roman" w:cs="Times New Roman"/>
                <w:sz w:val="19"/>
                <w:szCs w:val="19"/>
              </w:rPr>
              <w:t>(Final Report, June 2019)</w:t>
            </w:r>
          </w:p>
        </w:tc>
        <w:tc>
          <w:tcPr>
            <w:tcW w:w="4910" w:type="dxa"/>
          </w:tcPr>
          <w:p w14:paraId="786887B5" w14:textId="77777777" w:rsidR="00FF302D" w:rsidRPr="00113F13" w:rsidRDefault="00FF302D" w:rsidP="00754A3F">
            <w:pPr>
              <w:rPr>
                <w:rFonts w:cs="Times New Roman"/>
                <w:bCs/>
                <w:sz w:val="19"/>
                <w:szCs w:val="19"/>
              </w:rPr>
            </w:pPr>
            <w:r w:rsidRPr="00113F13">
              <w:rPr>
                <w:rFonts w:cs="Times New Roman"/>
                <w:bCs/>
                <w:sz w:val="19"/>
                <w:szCs w:val="19"/>
              </w:rPr>
              <w:t>Found that data protection and related privacy interests require stronger legal protection to address growing incursions through the use of digital platforms, particularly through the commodification of personal data.</w:t>
            </w:r>
          </w:p>
        </w:tc>
      </w:tr>
      <w:tr w:rsidR="00FF302D" w:rsidRPr="00113F13" w14:paraId="549EB46A" w14:textId="77777777" w:rsidTr="00754A3F">
        <w:trPr>
          <w:trHeight w:val="1701"/>
        </w:trPr>
        <w:tc>
          <w:tcPr>
            <w:tcW w:w="701" w:type="dxa"/>
          </w:tcPr>
          <w:p w14:paraId="5CB9E3B6" w14:textId="77777777" w:rsidR="00FF302D" w:rsidRPr="00113F13" w:rsidRDefault="00FF302D" w:rsidP="00754A3F">
            <w:pPr>
              <w:rPr>
                <w:rFonts w:cs="Times New Roman"/>
                <w:bCs/>
                <w:sz w:val="19"/>
                <w:szCs w:val="19"/>
              </w:rPr>
            </w:pPr>
            <w:r w:rsidRPr="00113F13">
              <w:rPr>
                <w:rFonts w:cs="Times New Roman"/>
                <w:bCs/>
                <w:sz w:val="19"/>
                <w:szCs w:val="19"/>
              </w:rPr>
              <w:t>2019</w:t>
            </w:r>
          </w:p>
        </w:tc>
        <w:tc>
          <w:tcPr>
            <w:tcW w:w="1293" w:type="dxa"/>
          </w:tcPr>
          <w:p w14:paraId="6261A7F7" w14:textId="77777777" w:rsidR="00FF302D" w:rsidRPr="00113F13" w:rsidRDefault="00FF302D" w:rsidP="00754A3F">
            <w:pPr>
              <w:rPr>
                <w:rFonts w:cs="Times New Roman"/>
                <w:bCs/>
                <w:sz w:val="19"/>
                <w:szCs w:val="19"/>
              </w:rPr>
            </w:pPr>
            <w:r w:rsidRPr="00113F13">
              <w:rPr>
                <w:rFonts w:cs="Times New Roman"/>
                <w:bCs/>
                <w:sz w:val="19"/>
                <w:szCs w:val="19"/>
              </w:rPr>
              <w:t>NSW</w:t>
            </w:r>
          </w:p>
        </w:tc>
        <w:tc>
          <w:tcPr>
            <w:tcW w:w="2112" w:type="dxa"/>
          </w:tcPr>
          <w:p w14:paraId="57758951"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NSW Department of Communities and Justice, </w:t>
            </w:r>
            <w:r w:rsidRPr="00113F13">
              <w:rPr>
                <w:rFonts w:eastAsia="Times New Roman" w:cs="Times New Roman"/>
                <w:i/>
                <w:sz w:val="19"/>
                <w:szCs w:val="19"/>
              </w:rPr>
              <w:t>Mandatory Notification of Data Breaches by NSW Public Sector Agencies</w:t>
            </w:r>
            <w:r w:rsidRPr="00113F13">
              <w:rPr>
                <w:rFonts w:eastAsia="Times New Roman" w:cs="Times New Roman"/>
                <w:sz w:val="19"/>
                <w:szCs w:val="19"/>
              </w:rPr>
              <w:t xml:space="preserve"> (Discussion Paper, July 2019)</w:t>
            </w:r>
          </w:p>
        </w:tc>
        <w:tc>
          <w:tcPr>
            <w:tcW w:w="4910" w:type="dxa"/>
          </w:tcPr>
          <w:p w14:paraId="5321D96B" w14:textId="77777777" w:rsidR="00FF302D" w:rsidRPr="00113F13" w:rsidRDefault="00FF302D" w:rsidP="00754A3F">
            <w:pPr>
              <w:rPr>
                <w:rFonts w:cs="Times New Roman"/>
                <w:bCs/>
                <w:sz w:val="19"/>
                <w:szCs w:val="19"/>
              </w:rPr>
            </w:pPr>
            <w:r w:rsidRPr="00113F13">
              <w:rPr>
                <w:rFonts w:cs="Times New Roman"/>
                <w:bCs/>
                <w:sz w:val="19"/>
                <w:szCs w:val="19"/>
              </w:rPr>
              <w:t>Discussed the introduction of a mandatory reporting scheme for data breaches by NSW public sector bodies.</w:t>
            </w:r>
          </w:p>
        </w:tc>
      </w:tr>
      <w:tr w:rsidR="00FF302D" w:rsidRPr="00113F13" w14:paraId="610988B2" w14:textId="77777777" w:rsidTr="00754A3F">
        <w:trPr>
          <w:trHeight w:val="3192"/>
        </w:trPr>
        <w:tc>
          <w:tcPr>
            <w:tcW w:w="701" w:type="dxa"/>
          </w:tcPr>
          <w:p w14:paraId="677C187A" w14:textId="77777777" w:rsidR="00FF302D" w:rsidRPr="00113F13" w:rsidRDefault="00FF302D" w:rsidP="00754A3F">
            <w:pPr>
              <w:rPr>
                <w:rFonts w:cs="Times New Roman"/>
                <w:bCs/>
                <w:sz w:val="19"/>
                <w:szCs w:val="19"/>
              </w:rPr>
            </w:pPr>
            <w:r w:rsidRPr="00113F13">
              <w:rPr>
                <w:rFonts w:cs="Times New Roman"/>
                <w:bCs/>
                <w:sz w:val="19"/>
                <w:szCs w:val="19"/>
              </w:rPr>
              <w:t>2020</w:t>
            </w:r>
          </w:p>
        </w:tc>
        <w:tc>
          <w:tcPr>
            <w:tcW w:w="1293" w:type="dxa"/>
          </w:tcPr>
          <w:p w14:paraId="1EC3F596" w14:textId="77777777" w:rsidR="00FF302D" w:rsidRPr="00113F13" w:rsidRDefault="00FF302D" w:rsidP="00754A3F">
            <w:pPr>
              <w:rPr>
                <w:rFonts w:cs="Times New Roman"/>
                <w:bCs/>
                <w:sz w:val="19"/>
                <w:szCs w:val="19"/>
              </w:rPr>
            </w:pPr>
            <w:r w:rsidRPr="00113F13">
              <w:rPr>
                <w:rFonts w:cs="Times New Roman"/>
                <w:bCs/>
                <w:sz w:val="19"/>
                <w:szCs w:val="19"/>
              </w:rPr>
              <w:t>Qld</w:t>
            </w:r>
          </w:p>
        </w:tc>
        <w:tc>
          <w:tcPr>
            <w:tcW w:w="2112" w:type="dxa"/>
          </w:tcPr>
          <w:p w14:paraId="5EB1393B"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Queensland</w:t>
            </w:r>
          </w:p>
          <w:p w14:paraId="4FED800C"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Law Reform Commission,</w:t>
            </w:r>
          </w:p>
          <w:p w14:paraId="6556309D" w14:textId="77777777" w:rsidR="00FF302D" w:rsidRPr="00113F13" w:rsidRDefault="00FF302D" w:rsidP="00754A3F">
            <w:pPr>
              <w:rPr>
                <w:rFonts w:eastAsia="Times New Roman" w:cs="Times New Roman"/>
                <w:i/>
                <w:sz w:val="19"/>
                <w:szCs w:val="19"/>
              </w:rPr>
            </w:pPr>
            <w:r w:rsidRPr="00113F13">
              <w:rPr>
                <w:rFonts w:eastAsia="Times New Roman" w:cs="Times New Roman"/>
                <w:i/>
                <w:sz w:val="19"/>
                <w:szCs w:val="19"/>
              </w:rPr>
              <w:t>Review of Queensland’s Laws</w:t>
            </w:r>
          </w:p>
          <w:p w14:paraId="3693D239" w14:textId="77777777" w:rsidR="00FF302D" w:rsidRPr="00113F13" w:rsidRDefault="00FF302D" w:rsidP="00754A3F">
            <w:pPr>
              <w:rPr>
                <w:rFonts w:eastAsia="Times New Roman" w:cs="Times New Roman"/>
                <w:i/>
                <w:sz w:val="19"/>
                <w:szCs w:val="19"/>
              </w:rPr>
            </w:pPr>
            <w:r w:rsidRPr="00113F13">
              <w:rPr>
                <w:rFonts w:eastAsia="Times New Roman" w:cs="Times New Roman"/>
                <w:i/>
                <w:sz w:val="19"/>
                <w:szCs w:val="19"/>
              </w:rPr>
              <w:t>Relating to Civil Surveillance and the</w:t>
            </w:r>
          </w:p>
          <w:p w14:paraId="5FF4B0B8" w14:textId="77777777" w:rsidR="00FF302D" w:rsidRPr="00113F13" w:rsidRDefault="00FF302D" w:rsidP="00754A3F">
            <w:pPr>
              <w:rPr>
                <w:rFonts w:eastAsia="Times New Roman" w:cs="Times New Roman"/>
                <w:i/>
                <w:sz w:val="19"/>
                <w:szCs w:val="19"/>
              </w:rPr>
            </w:pPr>
            <w:r w:rsidRPr="00113F13">
              <w:rPr>
                <w:rFonts w:eastAsia="Times New Roman" w:cs="Times New Roman"/>
                <w:i/>
                <w:sz w:val="19"/>
                <w:szCs w:val="19"/>
              </w:rPr>
              <w:t>Protection of Privacy in the Context</w:t>
            </w:r>
          </w:p>
          <w:p w14:paraId="492C5EC8" w14:textId="77777777" w:rsidR="00FF302D" w:rsidRPr="00113F13" w:rsidRDefault="00FF302D" w:rsidP="00754A3F">
            <w:pPr>
              <w:rPr>
                <w:rFonts w:eastAsia="Times New Roman" w:cs="Times New Roman"/>
                <w:i/>
                <w:sz w:val="19"/>
                <w:szCs w:val="19"/>
              </w:rPr>
            </w:pPr>
            <w:r w:rsidRPr="00113F13">
              <w:rPr>
                <w:rFonts w:eastAsia="Times New Roman" w:cs="Times New Roman"/>
                <w:i/>
                <w:sz w:val="19"/>
                <w:szCs w:val="19"/>
              </w:rPr>
              <w:t>of Current and Emerging</w:t>
            </w:r>
          </w:p>
          <w:p w14:paraId="463CF3A0" w14:textId="77777777" w:rsidR="00FF302D" w:rsidRPr="00113F13" w:rsidRDefault="00FF302D" w:rsidP="00754A3F">
            <w:pPr>
              <w:rPr>
                <w:rFonts w:eastAsia="Times New Roman" w:cs="Times New Roman"/>
                <w:sz w:val="19"/>
                <w:szCs w:val="19"/>
              </w:rPr>
            </w:pPr>
            <w:r w:rsidRPr="00113F13">
              <w:rPr>
                <w:rFonts w:eastAsia="Times New Roman" w:cs="Times New Roman"/>
                <w:i/>
                <w:sz w:val="19"/>
                <w:szCs w:val="19"/>
              </w:rPr>
              <w:lastRenderedPageBreak/>
              <w:t>Technologies</w:t>
            </w:r>
            <w:r w:rsidRPr="00113F13">
              <w:rPr>
                <w:rFonts w:eastAsia="Times New Roman" w:cs="Times New Roman"/>
                <w:sz w:val="19"/>
                <w:szCs w:val="19"/>
              </w:rPr>
              <w:t xml:space="preserve"> (Report No 77, February 2020)</w:t>
            </w:r>
          </w:p>
        </w:tc>
        <w:tc>
          <w:tcPr>
            <w:tcW w:w="4910" w:type="dxa"/>
          </w:tcPr>
          <w:p w14:paraId="2B5B1A37" w14:textId="77777777" w:rsidR="00FF302D" w:rsidRPr="00113F13" w:rsidRDefault="00FF302D" w:rsidP="00754A3F">
            <w:pPr>
              <w:rPr>
                <w:rFonts w:cs="Times New Roman"/>
                <w:bCs/>
                <w:sz w:val="19"/>
                <w:szCs w:val="19"/>
              </w:rPr>
            </w:pPr>
            <w:r w:rsidRPr="00113F13">
              <w:rPr>
                <w:rFonts w:cs="Times New Roman"/>
                <w:bCs/>
                <w:sz w:val="19"/>
                <w:szCs w:val="19"/>
              </w:rPr>
              <w:lastRenderedPageBreak/>
              <w:t>Recommended the replacement of existing regulation on the use of surveillance devices by all persons.</w:t>
            </w:r>
          </w:p>
        </w:tc>
      </w:tr>
      <w:tr w:rsidR="00FF302D" w:rsidRPr="00113F13" w14:paraId="7524D8D2" w14:textId="77777777" w:rsidTr="00754A3F">
        <w:trPr>
          <w:trHeight w:val="1235"/>
        </w:trPr>
        <w:tc>
          <w:tcPr>
            <w:tcW w:w="701" w:type="dxa"/>
          </w:tcPr>
          <w:p w14:paraId="45CDF0E7" w14:textId="77777777" w:rsidR="00FF302D" w:rsidRPr="00113F13" w:rsidRDefault="00FF302D" w:rsidP="00754A3F">
            <w:pPr>
              <w:rPr>
                <w:rFonts w:cs="Times New Roman"/>
                <w:bCs/>
                <w:sz w:val="19"/>
                <w:szCs w:val="19"/>
              </w:rPr>
            </w:pPr>
            <w:r w:rsidRPr="00113F13">
              <w:rPr>
                <w:rFonts w:cs="Times New Roman"/>
                <w:bCs/>
                <w:sz w:val="19"/>
                <w:szCs w:val="19"/>
              </w:rPr>
              <w:t>2021</w:t>
            </w:r>
          </w:p>
        </w:tc>
        <w:tc>
          <w:tcPr>
            <w:tcW w:w="1293" w:type="dxa"/>
          </w:tcPr>
          <w:p w14:paraId="089F9867" w14:textId="77777777" w:rsidR="00FF302D" w:rsidRPr="00113F13" w:rsidRDefault="00FF302D" w:rsidP="00754A3F">
            <w:pPr>
              <w:rPr>
                <w:rFonts w:cs="Times New Roman"/>
                <w:bCs/>
                <w:sz w:val="19"/>
                <w:szCs w:val="19"/>
              </w:rPr>
            </w:pPr>
            <w:r w:rsidRPr="00113F13">
              <w:rPr>
                <w:rFonts w:cs="Times New Roman"/>
                <w:bCs/>
                <w:sz w:val="19"/>
                <w:szCs w:val="19"/>
              </w:rPr>
              <w:t>Cth</w:t>
            </w:r>
          </w:p>
        </w:tc>
        <w:tc>
          <w:tcPr>
            <w:tcW w:w="2112" w:type="dxa"/>
          </w:tcPr>
          <w:p w14:paraId="6DA649A8"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Australian Human Rights Commission, </w:t>
            </w:r>
            <w:r w:rsidRPr="00113F13">
              <w:rPr>
                <w:rFonts w:eastAsia="Times New Roman" w:cs="Times New Roman"/>
                <w:i/>
                <w:sz w:val="19"/>
                <w:szCs w:val="19"/>
              </w:rPr>
              <w:t>Human Rights and Technology</w:t>
            </w:r>
            <w:r w:rsidRPr="00113F13">
              <w:rPr>
                <w:rFonts w:eastAsia="Times New Roman" w:cs="Times New Roman"/>
                <w:sz w:val="19"/>
                <w:szCs w:val="19"/>
              </w:rPr>
              <w:t xml:space="preserve"> (Final Report, June 2021)</w:t>
            </w:r>
          </w:p>
        </w:tc>
        <w:tc>
          <w:tcPr>
            <w:tcW w:w="4910" w:type="dxa"/>
          </w:tcPr>
          <w:p w14:paraId="1F64B29C" w14:textId="77777777" w:rsidR="00FF302D" w:rsidRPr="00113F13" w:rsidRDefault="00FF302D" w:rsidP="00754A3F">
            <w:pPr>
              <w:rPr>
                <w:rFonts w:cs="Times New Roman"/>
                <w:bCs/>
                <w:sz w:val="19"/>
                <w:szCs w:val="19"/>
              </w:rPr>
            </w:pPr>
            <w:r w:rsidRPr="00113F13">
              <w:rPr>
                <w:rFonts w:cs="Times New Roman"/>
                <w:bCs/>
                <w:sz w:val="19"/>
                <w:szCs w:val="19"/>
              </w:rPr>
              <w:t>Focused on protection from the use of artificial intelligence and its implications, including the question of how best to protect privacy in view of these growing concerns.</w:t>
            </w:r>
          </w:p>
        </w:tc>
      </w:tr>
      <w:tr w:rsidR="00FF302D" w:rsidRPr="00113F13" w14:paraId="64A5915B" w14:textId="77777777" w:rsidTr="00754A3F">
        <w:trPr>
          <w:trHeight w:val="1431"/>
        </w:trPr>
        <w:tc>
          <w:tcPr>
            <w:tcW w:w="701" w:type="dxa"/>
          </w:tcPr>
          <w:p w14:paraId="219EDB70" w14:textId="77777777" w:rsidR="00FF302D" w:rsidRPr="00113F13" w:rsidRDefault="00FF302D" w:rsidP="00754A3F">
            <w:pPr>
              <w:rPr>
                <w:rFonts w:cs="Times New Roman"/>
                <w:bCs/>
                <w:sz w:val="19"/>
                <w:szCs w:val="19"/>
              </w:rPr>
            </w:pPr>
            <w:r w:rsidRPr="00113F13">
              <w:rPr>
                <w:rFonts w:cs="Times New Roman"/>
                <w:bCs/>
                <w:sz w:val="19"/>
                <w:szCs w:val="19"/>
              </w:rPr>
              <w:t>2022</w:t>
            </w:r>
          </w:p>
        </w:tc>
        <w:tc>
          <w:tcPr>
            <w:tcW w:w="1293" w:type="dxa"/>
          </w:tcPr>
          <w:p w14:paraId="665527EF" w14:textId="77777777" w:rsidR="00FF302D" w:rsidRPr="00113F13" w:rsidRDefault="00FF302D" w:rsidP="00754A3F">
            <w:pPr>
              <w:rPr>
                <w:rFonts w:cs="Times New Roman"/>
                <w:bCs/>
                <w:sz w:val="19"/>
                <w:szCs w:val="19"/>
              </w:rPr>
            </w:pPr>
            <w:r w:rsidRPr="00113F13">
              <w:rPr>
                <w:rFonts w:cs="Times New Roman"/>
                <w:bCs/>
                <w:sz w:val="19"/>
                <w:szCs w:val="19"/>
              </w:rPr>
              <w:t>Vic</w:t>
            </w:r>
          </w:p>
        </w:tc>
        <w:tc>
          <w:tcPr>
            <w:tcW w:w="2112" w:type="dxa"/>
          </w:tcPr>
          <w:p w14:paraId="6BE9EA44"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Victorian Law Reform Commission,</w:t>
            </w:r>
            <w:r w:rsidRPr="00113F13">
              <w:rPr>
                <w:rFonts w:eastAsia="Times New Roman" w:cs="Times New Roman"/>
                <w:i/>
                <w:sz w:val="19"/>
                <w:szCs w:val="19"/>
              </w:rPr>
              <w:t xml:space="preserve"> Stalking, Harassment and Similar Conduct</w:t>
            </w:r>
            <w:r w:rsidRPr="00113F13">
              <w:rPr>
                <w:rFonts w:eastAsia="Times New Roman" w:cs="Times New Roman"/>
                <w:sz w:val="19"/>
                <w:szCs w:val="19"/>
              </w:rPr>
              <w:t xml:space="preserve"> (Final Report, September 2022)</w:t>
            </w:r>
          </w:p>
        </w:tc>
        <w:tc>
          <w:tcPr>
            <w:tcW w:w="4910" w:type="dxa"/>
          </w:tcPr>
          <w:p w14:paraId="07CD28DE" w14:textId="77777777" w:rsidR="00FF302D" w:rsidRPr="00113F13" w:rsidRDefault="00FF302D" w:rsidP="00754A3F">
            <w:pPr>
              <w:rPr>
                <w:rFonts w:cs="Times New Roman"/>
                <w:bCs/>
                <w:sz w:val="19"/>
                <w:szCs w:val="19"/>
              </w:rPr>
            </w:pPr>
            <w:r w:rsidRPr="00113F13">
              <w:rPr>
                <w:rFonts w:cs="Times New Roman"/>
                <w:bCs/>
                <w:sz w:val="19"/>
                <w:szCs w:val="19"/>
              </w:rPr>
              <w:t>Focused on behaviours that constitute, or are similar to, stalking and harassment, and questioned whether existing legal protections are adequate to address such conduct.</w:t>
            </w:r>
          </w:p>
        </w:tc>
      </w:tr>
      <w:tr w:rsidR="00FF302D" w:rsidRPr="00113F13" w14:paraId="564B2F1C" w14:textId="77777777" w:rsidTr="00754A3F">
        <w:trPr>
          <w:trHeight w:val="1431"/>
        </w:trPr>
        <w:tc>
          <w:tcPr>
            <w:tcW w:w="701" w:type="dxa"/>
          </w:tcPr>
          <w:p w14:paraId="3EC63F8D" w14:textId="77777777" w:rsidR="00FF302D" w:rsidRPr="00113F13" w:rsidRDefault="00FF302D" w:rsidP="00754A3F">
            <w:pPr>
              <w:rPr>
                <w:rFonts w:cs="Times New Roman"/>
                <w:bCs/>
                <w:sz w:val="19"/>
                <w:szCs w:val="19"/>
              </w:rPr>
            </w:pPr>
            <w:r w:rsidRPr="00113F13">
              <w:rPr>
                <w:rFonts w:cs="Times New Roman"/>
                <w:sz w:val="19"/>
                <w:szCs w:val="19"/>
              </w:rPr>
              <w:t>2022</w:t>
            </w:r>
          </w:p>
        </w:tc>
        <w:tc>
          <w:tcPr>
            <w:tcW w:w="1293" w:type="dxa"/>
          </w:tcPr>
          <w:p w14:paraId="5680E8DA" w14:textId="77777777" w:rsidR="00FF302D" w:rsidRPr="00113F13" w:rsidRDefault="00FF302D" w:rsidP="00754A3F">
            <w:pPr>
              <w:rPr>
                <w:rFonts w:cs="Times New Roman"/>
                <w:bCs/>
                <w:sz w:val="19"/>
                <w:szCs w:val="19"/>
              </w:rPr>
            </w:pPr>
            <w:r w:rsidRPr="00113F13">
              <w:rPr>
                <w:rFonts w:cs="Times New Roman"/>
                <w:sz w:val="19"/>
                <w:szCs w:val="19"/>
              </w:rPr>
              <w:t>NSW</w:t>
            </w:r>
          </w:p>
        </w:tc>
        <w:tc>
          <w:tcPr>
            <w:tcW w:w="2112" w:type="dxa"/>
          </w:tcPr>
          <w:p w14:paraId="2A71CADD" w14:textId="77777777" w:rsidR="00FF302D" w:rsidRPr="00113F13" w:rsidRDefault="00FF302D" w:rsidP="00754A3F">
            <w:pPr>
              <w:rPr>
                <w:rFonts w:eastAsia="Times New Roman" w:cs="Times New Roman"/>
                <w:sz w:val="19"/>
                <w:szCs w:val="19"/>
              </w:rPr>
            </w:pPr>
            <w:r w:rsidRPr="00113F13">
              <w:rPr>
                <w:rFonts w:cs="Times New Roman"/>
                <w:sz w:val="19"/>
                <w:szCs w:val="19"/>
              </w:rPr>
              <w:t xml:space="preserve">Legislative Council Select Committee on the Impact of Technological and Other Change on the Future of Work and Workers in New South Wales, Parliament of New South Wales, </w:t>
            </w:r>
            <w:r w:rsidRPr="00113F13">
              <w:rPr>
                <w:rFonts w:cs="Times New Roman"/>
                <w:i/>
                <w:iCs/>
                <w:sz w:val="19"/>
                <w:szCs w:val="19"/>
              </w:rPr>
              <w:t>Final Report: Workplace Surveillance and Automation</w:t>
            </w:r>
            <w:r w:rsidRPr="00113F13">
              <w:rPr>
                <w:rFonts w:cs="Times New Roman"/>
                <w:sz w:val="19"/>
                <w:szCs w:val="19"/>
              </w:rPr>
              <w:t xml:space="preserve"> (Report No 2, November 2022)</w:t>
            </w:r>
          </w:p>
        </w:tc>
        <w:tc>
          <w:tcPr>
            <w:tcW w:w="4910" w:type="dxa"/>
          </w:tcPr>
          <w:p w14:paraId="6A8047B1" w14:textId="77777777" w:rsidR="00FF302D" w:rsidRPr="00113F13" w:rsidRDefault="00FF302D" w:rsidP="00754A3F">
            <w:pPr>
              <w:rPr>
                <w:rFonts w:cs="Times New Roman"/>
                <w:bCs/>
                <w:sz w:val="19"/>
                <w:szCs w:val="19"/>
              </w:rPr>
            </w:pPr>
            <w:r w:rsidRPr="00113F13">
              <w:rPr>
                <w:rFonts w:cs="Times New Roman"/>
                <w:sz w:val="19"/>
                <w:szCs w:val="19"/>
              </w:rPr>
              <w:t xml:space="preserve">Recommendations for improving workplace surveillance given recent and rapid technological advancements and automation.  Recommends updating </w:t>
            </w:r>
            <w:r w:rsidRPr="00113F13">
              <w:rPr>
                <w:rFonts w:cs="Times New Roman"/>
                <w:i/>
                <w:iCs/>
                <w:sz w:val="19"/>
                <w:szCs w:val="19"/>
              </w:rPr>
              <w:t>Workplace Surveillance Act 2005</w:t>
            </w:r>
            <w:r w:rsidRPr="00113F13">
              <w:rPr>
                <w:rFonts w:cs="Times New Roman"/>
                <w:sz w:val="19"/>
                <w:szCs w:val="19"/>
              </w:rPr>
              <w:t xml:space="preserve"> (NSW) to improve privacy protections for workers, consultation and consent requirements, and dispute resolution processes.</w:t>
            </w:r>
          </w:p>
        </w:tc>
      </w:tr>
      <w:tr w:rsidR="00FF302D" w:rsidRPr="00113F13" w14:paraId="68452F5F" w14:textId="77777777" w:rsidTr="00754A3F">
        <w:trPr>
          <w:trHeight w:val="1431"/>
        </w:trPr>
        <w:tc>
          <w:tcPr>
            <w:tcW w:w="701" w:type="dxa"/>
          </w:tcPr>
          <w:p w14:paraId="1D5B2EE6" w14:textId="77777777" w:rsidR="00FF302D" w:rsidRPr="00113F13" w:rsidRDefault="00FF302D" w:rsidP="00754A3F">
            <w:pPr>
              <w:rPr>
                <w:rFonts w:cs="Times New Roman"/>
                <w:bCs/>
                <w:sz w:val="19"/>
                <w:szCs w:val="19"/>
              </w:rPr>
            </w:pPr>
            <w:r w:rsidRPr="00113F13">
              <w:rPr>
                <w:rFonts w:cs="Times New Roman"/>
                <w:bCs/>
                <w:sz w:val="19"/>
                <w:szCs w:val="19"/>
              </w:rPr>
              <w:t>2022</w:t>
            </w:r>
          </w:p>
        </w:tc>
        <w:tc>
          <w:tcPr>
            <w:tcW w:w="1293" w:type="dxa"/>
          </w:tcPr>
          <w:p w14:paraId="4E22EC58" w14:textId="77777777" w:rsidR="00FF302D" w:rsidRPr="00113F13" w:rsidRDefault="00FF302D" w:rsidP="00754A3F">
            <w:pPr>
              <w:rPr>
                <w:rFonts w:cs="Times New Roman"/>
                <w:bCs/>
                <w:sz w:val="19"/>
                <w:szCs w:val="19"/>
              </w:rPr>
            </w:pPr>
            <w:r w:rsidRPr="00113F13">
              <w:rPr>
                <w:rFonts w:cs="Times New Roman"/>
                <w:bCs/>
                <w:sz w:val="19"/>
                <w:szCs w:val="19"/>
              </w:rPr>
              <w:t>WA</w:t>
            </w:r>
          </w:p>
        </w:tc>
        <w:tc>
          <w:tcPr>
            <w:tcW w:w="2112" w:type="dxa"/>
          </w:tcPr>
          <w:p w14:paraId="2CD1CE0D" w14:textId="77777777" w:rsidR="00FF302D" w:rsidRPr="00113F13" w:rsidRDefault="00FF302D" w:rsidP="00754A3F">
            <w:pPr>
              <w:rPr>
                <w:rFonts w:eastAsia="Times New Roman" w:cs="Times New Roman"/>
                <w:sz w:val="19"/>
                <w:szCs w:val="19"/>
              </w:rPr>
            </w:pPr>
            <w:r w:rsidRPr="00113F13">
              <w:rPr>
                <w:rFonts w:cs="Times New Roman"/>
                <w:sz w:val="19"/>
                <w:szCs w:val="19"/>
              </w:rPr>
              <w:t xml:space="preserve">Department of Premier and Cabinet (WA), </w:t>
            </w:r>
            <w:r w:rsidRPr="00113F13">
              <w:rPr>
                <w:rFonts w:cs="Times New Roman"/>
                <w:i/>
                <w:iCs/>
                <w:sz w:val="19"/>
                <w:szCs w:val="19"/>
              </w:rPr>
              <w:t>Privacy and Responsible Information Sharing Fact Sheet</w:t>
            </w:r>
            <w:r w:rsidRPr="00113F13">
              <w:rPr>
                <w:rFonts w:cs="Times New Roman"/>
                <w:sz w:val="19"/>
                <w:szCs w:val="19"/>
              </w:rPr>
              <w:t xml:space="preserve"> (Document, 14 December 2022)</w:t>
            </w:r>
          </w:p>
        </w:tc>
        <w:tc>
          <w:tcPr>
            <w:tcW w:w="4910" w:type="dxa"/>
          </w:tcPr>
          <w:p w14:paraId="07DA99A6" w14:textId="77777777" w:rsidR="00FF302D" w:rsidRPr="00113F13" w:rsidRDefault="00FF302D" w:rsidP="00754A3F">
            <w:pPr>
              <w:rPr>
                <w:rFonts w:cs="Times New Roman"/>
                <w:bCs/>
                <w:sz w:val="19"/>
                <w:szCs w:val="19"/>
              </w:rPr>
            </w:pPr>
            <w:r w:rsidRPr="00113F13">
              <w:rPr>
                <w:rFonts w:cs="Times New Roman"/>
                <w:sz w:val="19"/>
                <w:szCs w:val="19"/>
              </w:rPr>
              <w:t xml:space="preserve">WA Government drafting new legislation to reform privacy protections, including introducing Information Privacy Principles, Privacy Commissioner, mandatory data breach notification scheme, and mechanisms for responsible information sharing within government.  </w:t>
            </w:r>
          </w:p>
        </w:tc>
      </w:tr>
      <w:tr w:rsidR="00FF302D" w:rsidRPr="00113F13" w14:paraId="0B7CDAD5" w14:textId="77777777" w:rsidTr="00754A3F">
        <w:trPr>
          <w:trHeight w:val="1431"/>
        </w:trPr>
        <w:tc>
          <w:tcPr>
            <w:tcW w:w="701" w:type="dxa"/>
          </w:tcPr>
          <w:p w14:paraId="413746F3" w14:textId="77777777" w:rsidR="00FF302D" w:rsidRPr="00113F13" w:rsidRDefault="00FF302D" w:rsidP="00754A3F">
            <w:pPr>
              <w:rPr>
                <w:rFonts w:cs="Times New Roman"/>
                <w:bCs/>
                <w:sz w:val="19"/>
                <w:szCs w:val="19"/>
              </w:rPr>
            </w:pPr>
            <w:r w:rsidRPr="00113F13">
              <w:rPr>
                <w:rFonts w:cs="Times New Roman"/>
                <w:bCs/>
                <w:sz w:val="19"/>
                <w:szCs w:val="19"/>
              </w:rPr>
              <w:lastRenderedPageBreak/>
              <w:t>2022</w:t>
            </w:r>
          </w:p>
        </w:tc>
        <w:tc>
          <w:tcPr>
            <w:tcW w:w="1293" w:type="dxa"/>
          </w:tcPr>
          <w:p w14:paraId="00A9A04A" w14:textId="77777777" w:rsidR="00FF302D" w:rsidRPr="00113F13" w:rsidRDefault="00FF302D" w:rsidP="00754A3F">
            <w:pPr>
              <w:rPr>
                <w:rFonts w:cs="Times New Roman"/>
                <w:bCs/>
                <w:sz w:val="19"/>
                <w:szCs w:val="19"/>
              </w:rPr>
            </w:pPr>
            <w:r w:rsidRPr="00113F13">
              <w:rPr>
                <w:rFonts w:cs="Times New Roman"/>
                <w:bCs/>
                <w:sz w:val="19"/>
                <w:szCs w:val="19"/>
              </w:rPr>
              <w:t>Qld</w:t>
            </w:r>
          </w:p>
        </w:tc>
        <w:tc>
          <w:tcPr>
            <w:tcW w:w="2112" w:type="dxa"/>
          </w:tcPr>
          <w:p w14:paraId="0676D95B"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Department of Justice and Attorney- General (Qld), </w:t>
            </w:r>
            <w:r w:rsidRPr="00113F13">
              <w:rPr>
                <w:rFonts w:eastAsia="Times New Roman" w:cs="Times New Roman"/>
                <w:i/>
                <w:iCs/>
                <w:sz w:val="19"/>
                <w:szCs w:val="19"/>
              </w:rPr>
              <w:t xml:space="preserve">Consultation Paper: Proposed Changes to Queensland’s Information Privacy and Right to Information Framework </w:t>
            </w:r>
            <w:r w:rsidRPr="00113F13">
              <w:rPr>
                <w:rFonts w:eastAsia="Times New Roman" w:cs="Times New Roman"/>
                <w:sz w:val="19"/>
                <w:szCs w:val="19"/>
              </w:rPr>
              <w:t>(Report, June 2022)</w:t>
            </w:r>
          </w:p>
          <w:p w14:paraId="187D1A74"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Consultation closed 22 July 2022</w:t>
            </w:r>
          </w:p>
        </w:tc>
        <w:tc>
          <w:tcPr>
            <w:tcW w:w="4910" w:type="dxa"/>
          </w:tcPr>
          <w:p w14:paraId="126CA16D" w14:textId="77777777" w:rsidR="00FF302D" w:rsidRPr="00113F13" w:rsidRDefault="00FF302D" w:rsidP="00754A3F">
            <w:pPr>
              <w:rPr>
                <w:rFonts w:cs="Times New Roman"/>
                <w:bCs/>
                <w:sz w:val="19"/>
                <w:szCs w:val="19"/>
              </w:rPr>
            </w:pPr>
            <w:r w:rsidRPr="00113F13">
              <w:rPr>
                <w:rFonts w:cs="Times New Roman"/>
                <w:bCs/>
                <w:sz w:val="19"/>
                <w:szCs w:val="19"/>
              </w:rPr>
              <w:t xml:space="preserve">Current Bill proposing substantive changes </w:t>
            </w:r>
            <w:r w:rsidRPr="00113F13">
              <w:rPr>
                <w:rFonts w:cs="Times New Roman"/>
                <w:bCs/>
                <w:i/>
                <w:iCs/>
                <w:sz w:val="19"/>
                <w:szCs w:val="19"/>
              </w:rPr>
              <w:t>to Information Privacy Act 2009</w:t>
            </w:r>
            <w:r w:rsidRPr="00113F13">
              <w:rPr>
                <w:rFonts w:cs="Times New Roman"/>
                <w:bCs/>
                <w:sz w:val="19"/>
                <w:szCs w:val="19"/>
              </w:rPr>
              <w:t xml:space="preserve"> (Qld).  </w:t>
            </w:r>
          </w:p>
          <w:p w14:paraId="6C799F87" w14:textId="77777777" w:rsidR="00FF302D" w:rsidRPr="00113F13" w:rsidRDefault="00FF302D" w:rsidP="00754A3F">
            <w:pPr>
              <w:rPr>
                <w:rFonts w:cs="Times New Roman"/>
                <w:bCs/>
                <w:sz w:val="19"/>
                <w:szCs w:val="19"/>
              </w:rPr>
            </w:pPr>
          </w:p>
          <w:p w14:paraId="10E9F4A4" w14:textId="77777777" w:rsidR="00FF302D" w:rsidRPr="00113F13" w:rsidRDefault="00FF302D" w:rsidP="00754A3F">
            <w:pPr>
              <w:rPr>
                <w:rFonts w:cs="Times New Roman"/>
                <w:bCs/>
                <w:sz w:val="19"/>
                <w:szCs w:val="19"/>
              </w:rPr>
            </w:pPr>
            <w:r w:rsidRPr="00113F13">
              <w:rPr>
                <w:rFonts w:cs="Times New Roman"/>
                <w:bCs/>
                <w:sz w:val="19"/>
                <w:szCs w:val="19"/>
              </w:rPr>
              <w:t>(</w:t>
            </w:r>
            <w:r w:rsidRPr="00113F13">
              <w:rPr>
                <w:rFonts w:cs="Times New Roman"/>
                <w:bCs/>
                <w:i/>
                <w:iCs/>
                <w:sz w:val="19"/>
                <w:szCs w:val="19"/>
              </w:rPr>
              <w:t>Information Privacy and Other Legislation Amendment Act 2023</w:t>
            </w:r>
            <w:r w:rsidRPr="00113F13">
              <w:rPr>
                <w:rFonts w:cs="Times New Roman"/>
                <w:bCs/>
                <w:sz w:val="19"/>
                <w:szCs w:val="19"/>
              </w:rPr>
              <w:t>, passed December 2023 but not yet assented to).</w:t>
            </w:r>
          </w:p>
          <w:p w14:paraId="7A5AE129" w14:textId="77777777" w:rsidR="00FF302D" w:rsidRPr="00113F13" w:rsidRDefault="00FF302D" w:rsidP="00754A3F">
            <w:pPr>
              <w:rPr>
                <w:rFonts w:cs="Times New Roman"/>
                <w:bCs/>
                <w:sz w:val="19"/>
                <w:szCs w:val="19"/>
              </w:rPr>
            </w:pPr>
          </w:p>
        </w:tc>
      </w:tr>
      <w:tr w:rsidR="00FF302D" w:rsidRPr="00113F13" w14:paraId="6AF9BB6D" w14:textId="77777777" w:rsidTr="00754A3F">
        <w:trPr>
          <w:trHeight w:val="1431"/>
        </w:trPr>
        <w:tc>
          <w:tcPr>
            <w:tcW w:w="701" w:type="dxa"/>
          </w:tcPr>
          <w:p w14:paraId="4FE3D773" w14:textId="77777777" w:rsidR="00FF302D" w:rsidRPr="00113F13" w:rsidRDefault="00FF302D" w:rsidP="00754A3F">
            <w:pPr>
              <w:rPr>
                <w:rFonts w:cs="Times New Roman"/>
                <w:bCs/>
                <w:sz w:val="19"/>
                <w:szCs w:val="19"/>
              </w:rPr>
            </w:pPr>
            <w:r w:rsidRPr="00113F13">
              <w:rPr>
                <w:rFonts w:cs="Times New Roman"/>
                <w:bCs/>
                <w:sz w:val="19"/>
                <w:szCs w:val="19"/>
              </w:rPr>
              <w:t>2023</w:t>
            </w:r>
          </w:p>
        </w:tc>
        <w:tc>
          <w:tcPr>
            <w:tcW w:w="1293" w:type="dxa"/>
          </w:tcPr>
          <w:p w14:paraId="72CD27D9" w14:textId="77777777" w:rsidR="00FF302D" w:rsidRPr="00113F13" w:rsidRDefault="00FF302D" w:rsidP="00754A3F">
            <w:pPr>
              <w:rPr>
                <w:rFonts w:cs="Times New Roman"/>
                <w:bCs/>
                <w:sz w:val="19"/>
                <w:szCs w:val="19"/>
              </w:rPr>
            </w:pPr>
            <w:r w:rsidRPr="00113F13">
              <w:rPr>
                <w:rFonts w:cs="Times New Roman"/>
                <w:bCs/>
                <w:sz w:val="19"/>
                <w:szCs w:val="19"/>
              </w:rPr>
              <w:t>Cth</w:t>
            </w:r>
          </w:p>
        </w:tc>
        <w:tc>
          <w:tcPr>
            <w:tcW w:w="2112" w:type="dxa"/>
          </w:tcPr>
          <w:p w14:paraId="437E9E34"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Attorney-General’s Department (Cth), </w:t>
            </w:r>
            <w:r w:rsidRPr="00113F13">
              <w:rPr>
                <w:rFonts w:eastAsia="Times New Roman" w:cs="Times New Roman"/>
                <w:i/>
                <w:iCs/>
                <w:sz w:val="19"/>
                <w:szCs w:val="19"/>
              </w:rPr>
              <w:t xml:space="preserve">Privacy Act Review Report </w:t>
            </w:r>
            <w:r w:rsidRPr="00113F13">
              <w:rPr>
                <w:rFonts w:eastAsia="Times New Roman" w:cs="Times New Roman"/>
                <w:sz w:val="19"/>
                <w:szCs w:val="19"/>
              </w:rPr>
              <w:t>(16 February 2023)</w:t>
            </w:r>
          </w:p>
          <w:p w14:paraId="6B87F9CB" w14:textId="77777777" w:rsidR="00FF302D" w:rsidRPr="00113F13" w:rsidRDefault="00FF302D" w:rsidP="00754A3F">
            <w:pPr>
              <w:rPr>
                <w:rFonts w:eastAsia="Times New Roman" w:cs="Times New Roman"/>
                <w:sz w:val="19"/>
                <w:szCs w:val="19"/>
              </w:rPr>
            </w:pPr>
          </w:p>
          <w:p w14:paraId="5A86D6D5"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 xml:space="preserve">Attorney-General’s Department (Cth), </w:t>
            </w:r>
            <w:r w:rsidRPr="00113F13">
              <w:rPr>
                <w:rFonts w:eastAsia="Times New Roman" w:cs="Times New Roman"/>
                <w:i/>
                <w:iCs/>
                <w:sz w:val="19"/>
                <w:szCs w:val="19"/>
              </w:rPr>
              <w:t xml:space="preserve">Government Response to the Privacy Act Review Report </w:t>
            </w:r>
            <w:r w:rsidRPr="00113F13">
              <w:rPr>
                <w:rFonts w:eastAsia="Times New Roman" w:cs="Times New Roman"/>
                <w:sz w:val="19"/>
                <w:szCs w:val="19"/>
              </w:rPr>
              <w:t>(28 September 2023)</w:t>
            </w:r>
          </w:p>
        </w:tc>
        <w:tc>
          <w:tcPr>
            <w:tcW w:w="4910" w:type="dxa"/>
          </w:tcPr>
          <w:p w14:paraId="01EC8D6A" w14:textId="77777777" w:rsidR="00FF302D" w:rsidRPr="00113F13" w:rsidRDefault="00FF302D" w:rsidP="00754A3F">
            <w:pPr>
              <w:rPr>
                <w:rFonts w:cs="Times New Roman"/>
                <w:bCs/>
                <w:sz w:val="19"/>
                <w:szCs w:val="19"/>
              </w:rPr>
            </w:pPr>
            <w:r w:rsidRPr="00113F13">
              <w:rPr>
                <w:rFonts w:cs="Times New Roman"/>
                <w:bCs/>
                <w:sz w:val="19"/>
                <w:szCs w:val="19"/>
              </w:rPr>
              <w:t xml:space="preserve">Detailed reform proposals to strengthen the protection of personal information and the control individuals have over their information. </w:t>
            </w:r>
          </w:p>
        </w:tc>
      </w:tr>
      <w:tr w:rsidR="00FF302D" w:rsidRPr="00113F13" w14:paraId="2A2B9BF9" w14:textId="77777777" w:rsidTr="00754A3F">
        <w:trPr>
          <w:trHeight w:val="1431"/>
        </w:trPr>
        <w:tc>
          <w:tcPr>
            <w:tcW w:w="701" w:type="dxa"/>
          </w:tcPr>
          <w:p w14:paraId="09982CFB" w14:textId="77777777" w:rsidR="00FF302D" w:rsidRPr="00113F13" w:rsidRDefault="00FF302D" w:rsidP="00754A3F">
            <w:pPr>
              <w:rPr>
                <w:rFonts w:cs="Times New Roman"/>
                <w:bCs/>
                <w:sz w:val="19"/>
                <w:szCs w:val="19"/>
              </w:rPr>
            </w:pPr>
            <w:r w:rsidRPr="00113F13">
              <w:rPr>
                <w:rFonts w:cs="Times New Roman"/>
                <w:bCs/>
                <w:sz w:val="19"/>
                <w:szCs w:val="19"/>
              </w:rPr>
              <w:t>2023</w:t>
            </w:r>
          </w:p>
        </w:tc>
        <w:tc>
          <w:tcPr>
            <w:tcW w:w="1293" w:type="dxa"/>
          </w:tcPr>
          <w:p w14:paraId="2E023E46" w14:textId="77777777" w:rsidR="00FF302D" w:rsidRPr="00113F13" w:rsidRDefault="00FF302D" w:rsidP="00754A3F">
            <w:pPr>
              <w:rPr>
                <w:rFonts w:cs="Times New Roman"/>
                <w:bCs/>
                <w:sz w:val="19"/>
                <w:szCs w:val="19"/>
              </w:rPr>
            </w:pPr>
            <w:r w:rsidRPr="00113F13">
              <w:rPr>
                <w:rFonts w:cs="Times New Roman"/>
                <w:bCs/>
                <w:sz w:val="19"/>
                <w:szCs w:val="19"/>
              </w:rPr>
              <w:t>Vic</w:t>
            </w:r>
          </w:p>
        </w:tc>
        <w:tc>
          <w:tcPr>
            <w:tcW w:w="2112" w:type="dxa"/>
          </w:tcPr>
          <w:p w14:paraId="271BD9E6" w14:textId="77777777" w:rsidR="00FF302D" w:rsidRPr="00113F13" w:rsidRDefault="00FF302D" w:rsidP="00754A3F">
            <w:pPr>
              <w:rPr>
                <w:rFonts w:eastAsia="Times New Roman" w:cs="Times New Roman"/>
                <w:sz w:val="19"/>
                <w:szCs w:val="19"/>
              </w:rPr>
            </w:pPr>
            <w:r w:rsidRPr="00113F13">
              <w:rPr>
                <w:rFonts w:cs="Times New Roman"/>
                <w:sz w:val="19"/>
                <w:szCs w:val="19"/>
              </w:rPr>
              <w:t xml:space="preserve">Integrity and Oversight Committee (Victorian Parliament), Inquiry into the </w:t>
            </w:r>
            <w:r w:rsidRPr="00113F13">
              <w:rPr>
                <w:rFonts w:cs="Times New Roman"/>
                <w:i/>
                <w:iCs/>
                <w:sz w:val="19"/>
                <w:szCs w:val="19"/>
              </w:rPr>
              <w:t>Operation of the Freedom of Information Act 1982</w:t>
            </w:r>
            <w:r w:rsidRPr="00113F13">
              <w:rPr>
                <w:rFonts w:cs="Times New Roman"/>
                <w:sz w:val="19"/>
                <w:szCs w:val="19"/>
              </w:rPr>
              <w:t xml:space="preserve"> (October 2023)</w:t>
            </w:r>
          </w:p>
        </w:tc>
        <w:tc>
          <w:tcPr>
            <w:tcW w:w="4910" w:type="dxa"/>
          </w:tcPr>
          <w:p w14:paraId="7283178E"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Operation and effectiveness of the </w:t>
            </w:r>
            <w:r w:rsidRPr="00113F13">
              <w:rPr>
                <w:rFonts w:eastAsia="Times New Roman" w:cs="Times New Roman"/>
                <w:i/>
                <w:iCs/>
                <w:sz w:val="19"/>
                <w:szCs w:val="19"/>
              </w:rPr>
              <w:t>Freedom of Information Act 1982</w:t>
            </w:r>
            <w:r w:rsidRPr="00113F13">
              <w:rPr>
                <w:rFonts w:eastAsia="Times New Roman" w:cs="Times New Roman"/>
                <w:sz w:val="19"/>
                <w:szCs w:val="19"/>
              </w:rPr>
              <w:t xml:space="preserve"> (Vic) including efficient and timely mechanisms for people to access their own personal and health information.</w:t>
            </w:r>
          </w:p>
        </w:tc>
      </w:tr>
      <w:tr w:rsidR="00FF302D" w:rsidRPr="00113F13" w14:paraId="573145D8" w14:textId="77777777" w:rsidTr="00754A3F">
        <w:trPr>
          <w:trHeight w:val="1431"/>
        </w:trPr>
        <w:tc>
          <w:tcPr>
            <w:tcW w:w="701" w:type="dxa"/>
          </w:tcPr>
          <w:p w14:paraId="660B5CD2" w14:textId="77777777" w:rsidR="00FF302D" w:rsidRPr="00113F13" w:rsidRDefault="00FF302D" w:rsidP="00754A3F">
            <w:pPr>
              <w:rPr>
                <w:rFonts w:cs="Times New Roman"/>
                <w:bCs/>
                <w:sz w:val="19"/>
                <w:szCs w:val="19"/>
              </w:rPr>
            </w:pPr>
            <w:r w:rsidRPr="00113F13">
              <w:rPr>
                <w:rFonts w:cs="Times New Roman"/>
                <w:bCs/>
                <w:sz w:val="19"/>
                <w:szCs w:val="19"/>
              </w:rPr>
              <w:t>2023</w:t>
            </w:r>
          </w:p>
        </w:tc>
        <w:tc>
          <w:tcPr>
            <w:tcW w:w="1293" w:type="dxa"/>
          </w:tcPr>
          <w:p w14:paraId="5CF4DB6C" w14:textId="77777777" w:rsidR="00FF302D" w:rsidRPr="00113F13" w:rsidRDefault="00FF302D" w:rsidP="00754A3F">
            <w:pPr>
              <w:rPr>
                <w:rFonts w:cs="Times New Roman"/>
                <w:bCs/>
                <w:sz w:val="19"/>
                <w:szCs w:val="19"/>
              </w:rPr>
            </w:pPr>
            <w:r w:rsidRPr="00113F13">
              <w:rPr>
                <w:rFonts w:cs="Times New Roman"/>
                <w:bCs/>
                <w:sz w:val="19"/>
                <w:szCs w:val="19"/>
              </w:rPr>
              <w:t xml:space="preserve">Qld </w:t>
            </w:r>
          </w:p>
        </w:tc>
        <w:tc>
          <w:tcPr>
            <w:tcW w:w="2112" w:type="dxa"/>
          </w:tcPr>
          <w:p w14:paraId="3892B718" w14:textId="77777777" w:rsidR="00FF302D" w:rsidRPr="00113F13" w:rsidRDefault="00FF302D" w:rsidP="00754A3F">
            <w:pPr>
              <w:rPr>
                <w:rFonts w:eastAsia="Times New Roman" w:cs="Times New Roman"/>
                <w:i/>
                <w:iCs/>
                <w:sz w:val="19"/>
                <w:szCs w:val="19"/>
              </w:rPr>
            </w:pPr>
            <w:r w:rsidRPr="00113F13">
              <w:rPr>
                <w:rFonts w:eastAsia="Times New Roman" w:cs="Times New Roman"/>
                <w:sz w:val="19"/>
                <w:szCs w:val="19"/>
              </w:rPr>
              <w:t xml:space="preserve">Department of Justice and Attorney- General (Qld Government), </w:t>
            </w:r>
            <w:r w:rsidRPr="00113F13">
              <w:rPr>
                <w:rFonts w:eastAsia="Times New Roman" w:cs="Times New Roman"/>
                <w:i/>
                <w:iCs/>
                <w:sz w:val="19"/>
                <w:szCs w:val="19"/>
              </w:rPr>
              <w:t>Civil Surveillance Reforms</w:t>
            </w:r>
            <w:r w:rsidRPr="00113F13">
              <w:rPr>
                <w:rFonts w:eastAsia="Times New Roman" w:cs="Times New Roman"/>
                <w:sz w:val="19"/>
                <w:szCs w:val="19"/>
              </w:rPr>
              <w:t xml:space="preserve"> (Consultation Paper, April 2023)</w:t>
            </w:r>
          </w:p>
          <w:p w14:paraId="6F86ED08" w14:textId="77777777" w:rsidR="00FF302D" w:rsidRPr="00113F13" w:rsidRDefault="00FF302D" w:rsidP="00754A3F">
            <w:pPr>
              <w:rPr>
                <w:rFonts w:eastAsia="Times New Roman" w:cs="Times New Roman"/>
                <w:sz w:val="19"/>
                <w:szCs w:val="19"/>
              </w:rPr>
            </w:pPr>
          </w:p>
          <w:p w14:paraId="26403987" w14:textId="77777777" w:rsidR="00FF302D" w:rsidRPr="00113F13" w:rsidRDefault="00FF302D" w:rsidP="00754A3F">
            <w:pPr>
              <w:rPr>
                <w:rFonts w:eastAsia="Times New Roman" w:cs="Times New Roman"/>
                <w:sz w:val="19"/>
                <w:szCs w:val="19"/>
              </w:rPr>
            </w:pPr>
            <w:r w:rsidRPr="00113F13">
              <w:rPr>
                <w:rFonts w:eastAsia="Times New Roman" w:cs="Times New Roman"/>
                <w:sz w:val="19"/>
                <w:szCs w:val="19"/>
              </w:rPr>
              <w:t>Consultation closed 31 May 2023</w:t>
            </w:r>
          </w:p>
        </w:tc>
        <w:tc>
          <w:tcPr>
            <w:tcW w:w="4910" w:type="dxa"/>
          </w:tcPr>
          <w:p w14:paraId="08EBBFFF" w14:textId="77777777" w:rsidR="00FF302D" w:rsidRPr="00113F13" w:rsidRDefault="00FF302D" w:rsidP="00754A3F">
            <w:pPr>
              <w:rPr>
                <w:rFonts w:cs="Times New Roman"/>
                <w:bCs/>
                <w:sz w:val="19"/>
                <w:szCs w:val="19"/>
              </w:rPr>
            </w:pPr>
            <w:r w:rsidRPr="00113F13">
              <w:rPr>
                <w:rFonts w:eastAsia="Times New Roman" w:cs="Times New Roman"/>
                <w:sz w:val="19"/>
                <w:szCs w:val="19"/>
              </w:rPr>
              <w:t xml:space="preserve">Considering recommendations of Queensland Law Reform Commission’s </w:t>
            </w:r>
            <w:r w:rsidRPr="00113F13">
              <w:rPr>
                <w:rFonts w:eastAsia="Times New Roman" w:cs="Times New Roman"/>
                <w:i/>
                <w:iCs/>
                <w:sz w:val="19"/>
                <w:szCs w:val="19"/>
              </w:rPr>
              <w:t>Review of Queensland’s Laws Relating to Civil Surveillance and the Protection of Privacy in the Context of Current and Emerging Technologies</w:t>
            </w:r>
            <w:r w:rsidRPr="00113F13">
              <w:rPr>
                <w:rFonts w:eastAsia="Times New Roman" w:cs="Times New Roman"/>
                <w:sz w:val="19"/>
                <w:szCs w:val="19"/>
              </w:rPr>
              <w:t xml:space="preserve"> (Report No. 77, February 2020).  Consulting on possible repeal of </w:t>
            </w:r>
            <w:r w:rsidRPr="00113F13">
              <w:rPr>
                <w:rFonts w:eastAsia="Times New Roman" w:cs="Times New Roman"/>
                <w:i/>
                <w:iCs/>
                <w:sz w:val="19"/>
                <w:szCs w:val="19"/>
              </w:rPr>
              <w:t>Invasion of Privacy Act 1971</w:t>
            </w:r>
            <w:r w:rsidRPr="00113F13">
              <w:rPr>
                <w:rFonts w:eastAsia="Times New Roman" w:cs="Times New Roman"/>
                <w:sz w:val="19"/>
                <w:szCs w:val="19"/>
              </w:rPr>
              <w:t xml:space="preserve"> (Qld) and enactment of QLRC’s draft Surveillance Devices Bill.  Seeking feedback on staged approach to implementing civil surveillance reforms, use and communication/publication prohibitions, and the need for specific workplace surveillance legislation (as in NSW, Vic, ACT).</w:t>
            </w:r>
          </w:p>
        </w:tc>
      </w:tr>
    </w:tbl>
    <w:p w14:paraId="18514FC1" w14:textId="77777777" w:rsidR="00FF302D" w:rsidRPr="00113F13" w:rsidRDefault="00FF302D" w:rsidP="00FF302D">
      <w:pPr>
        <w:rPr>
          <w:rFonts w:cs="Times New Roman"/>
        </w:rPr>
      </w:pPr>
    </w:p>
    <w:p w14:paraId="026D6241" w14:textId="77777777" w:rsidR="00FF302D" w:rsidRPr="00113F13" w:rsidRDefault="00FF302D" w:rsidP="00FF302D">
      <w:pPr>
        <w:rPr>
          <w:rFonts w:cs="Times New Roman"/>
        </w:rPr>
      </w:pPr>
    </w:p>
    <w:p w14:paraId="2E2FF25E" w14:textId="77777777" w:rsidR="00FF302D" w:rsidRPr="00113F13" w:rsidRDefault="00FF302D" w:rsidP="001C09C6">
      <w:pPr>
        <w:rPr>
          <w:rFonts w:cs="Times New Roman"/>
        </w:rPr>
      </w:pPr>
    </w:p>
    <w:sectPr w:rsidR="00FF302D" w:rsidRPr="00113F13" w:rsidSect="00BC08AB">
      <w:headerReference w:type="default" r:id="rId43"/>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A0872" w14:textId="77777777" w:rsidR="002E58CB" w:rsidRDefault="002E58CB" w:rsidP="00D8729E">
      <w:pPr>
        <w:spacing w:after="0"/>
      </w:pPr>
      <w:r>
        <w:separator/>
      </w:r>
    </w:p>
  </w:endnote>
  <w:endnote w:type="continuationSeparator" w:id="0">
    <w:p w14:paraId="0FAE0275" w14:textId="77777777" w:rsidR="002E58CB" w:rsidRDefault="002E58CB" w:rsidP="00D8729E">
      <w:pPr>
        <w:spacing w:after="0"/>
      </w:pPr>
      <w:r>
        <w:continuationSeparator/>
      </w:r>
    </w:p>
  </w:endnote>
  <w:endnote w:type="continuationNotice" w:id="1">
    <w:p w14:paraId="367F7610" w14:textId="77777777" w:rsidR="002E58CB" w:rsidRDefault="002E58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iti TC Light">
    <w:altName w:val="Yu Gothic"/>
    <w:charset w:val="80"/>
    <w:family w:val="auto"/>
    <w:pitch w:val="variable"/>
    <w:sig w:usb0="8000002F" w:usb1="0807004A" w:usb2="00000010" w:usb3="00000000" w:csb0="003E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24402"/>
      <w:docPartObj>
        <w:docPartGallery w:val="Page Numbers (Bottom of Page)"/>
        <w:docPartUnique/>
      </w:docPartObj>
    </w:sdtPr>
    <w:sdtEndPr>
      <w:rPr>
        <w:rFonts w:ascii="Times New Roman" w:hAnsi="Times New Roman" w:cs="Times New Roman"/>
        <w:noProof/>
      </w:rPr>
    </w:sdtEndPr>
    <w:sdtContent>
      <w:p w14:paraId="6670D6F6" w14:textId="41D33B3A" w:rsidR="00113F13" w:rsidRPr="00113F13" w:rsidRDefault="00113F13">
        <w:pPr>
          <w:pStyle w:val="Footer"/>
          <w:rPr>
            <w:rFonts w:ascii="Times New Roman" w:hAnsi="Times New Roman" w:cs="Times New Roman"/>
          </w:rPr>
        </w:pPr>
        <w:r w:rsidRPr="00113F13">
          <w:rPr>
            <w:rFonts w:ascii="Times New Roman" w:hAnsi="Times New Roman" w:cs="Times New Roman"/>
          </w:rPr>
          <w:fldChar w:fldCharType="begin"/>
        </w:r>
        <w:r w:rsidRPr="00113F13">
          <w:rPr>
            <w:rFonts w:ascii="Times New Roman" w:hAnsi="Times New Roman" w:cs="Times New Roman"/>
          </w:rPr>
          <w:instrText xml:space="preserve"> PAGE   \* MERGEFORMAT </w:instrText>
        </w:r>
        <w:r w:rsidRPr="00113F13">
          <w:rPr>
            <w:rFonts w:ascii="Times New Roman" w:hAnsi="Times New Roman" w:cs="Times New Roman"/>
          </w:rPr>
          <w:fldChar w:fldCharType="separate"/>
        </w:r>
        <w:r w:rsidRPr="00113F13">
          <w:rPr>
            <w:rFonts w:ascii="Times New Roman" w:hAnsi="Times New Roman" w:cs="Times New Roman"/>
            <w:noProof/>
          </w:rPr>
          <w:t>2</w:t>
        </w:r>
        <w:r w:rsidRPr="00113F13">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5A80A" w14:textId="77777777" w:rsidR="00FF302D" w:rsidRPr="00DB6B44" w:rsidRDefault="00FF302D">
    <w:pPr>
      <w:pStyle w:val="Footer"/>
      <w:framePr w:wrap="none" w:vAnchor="text" w:hAnchor="margin" w:xAlign="right" w:y="1"/>
      <w:rPr>
        <w:rStyle w:val="PageNumber"/>
      </w:rPr>
    </w:pPr>
  </w:p>
  <w:p w14:paraId="3E2C3E1B" w14:textId="77777777" w:rsidR="00FF302D" w:rsidRPr="00DB6B44" w:rsidRDefault="00FF302D" w:rsidP="00AF5231">
    <w:pPr>
      <w:pStyle w:val="Footer"/>
      <w:ind w:right="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72D7C" w14:textId="77777777" w:rsidR="00FF302D" w:rsidRDefault="00FF302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9997897"/>
      <w:docPartObj>
        <w:docPartGallery w:val="Page Numbers (Bottom of Page)"/>
        <w:docPartUnique/>
      </w:docPartObj>
    </w:sdtPr>
    <w:sdtEndPr>
      <w:rPr>
        <w:rStyle w:val="PageNumber"/>
        <w:rFonts w:ascii="Times New Roman" w:hAnsi="Times New Roman" w:cs="Times New Roman"/>
      </w:rPr>
    </w:sdtEndPr>
    <w:sdtContent>
      <w:p w14:paraId="7CD85700" w14:textId="77777777" w:rsidR="00FF302D" w:rsidRPr="00E7516E" w:rsidRDefault="00FF302D">
        <w:pPr>
          <w:pStyle w:val="Footer"/>
          <w:framePr w:wrap="none" w:vAnchor="text" w:hAnchor="margin" w:xAlign="right" w:y="1"/>
          <w:rPr>
            <w:rStyle w:val="PageNumber"/>
            <w:rFonts w:ascii="Times New Roman" w:hAnsi="Times New Roman" w:cs="Times New Roman"/>
          </w:rPr>
        </w:pPr>
        <w:r w:rsidRPr="00E7516E">
          <w:rPr>
            <w:rStyle w:val="PageNumber"/>
            <w:rFonts w:ascii="Times New Roman" w:hAnsi="Times New Roman" w:cs="Times New Roman"/>
          </w:rPr>
          <w:fldChar w:fldCharType="begin"/>
        </w:r>
        <w:r w:rsidRPr="00E7516E">
          <w:rPr>
            <w:rStyle w:val="PageNumber"/>
            <w:rFonts w:ascii="Times New Roman" w:hAnsi="Times New Roman" w:cs="Times New Roman"/>
          </w:rPr>
          <w:instrText xml:space="preserve"> PAGE </w:instrText>
        </w:r>
        <w:r w:rsidRPr="00E7516E">
          <w:rPr>
            <w:rStyle w:val="PageNumber"/>
            <w:rFonts w:ascii="Times New Roman" w:hAnsi="Times New Roman" w:cs="Times New Roman"/>
          </w:rPr>
          <w:fldChar w:fldCharType="separate"/>
        </w:r>
        <w:r w:rsidRPr="00E7516E">
          <w:rPr>
            <w:rStyle w:val="PageNumber"/>
            <w:rFonts w:ascii="Times New Roman" w:hAnsi="Times New Roman" w:cs="Times New Roman"/>
            <w:noProof/>
          </w:rPr>
          <w:t>42</w:t>
        </w:r>
        <w:r w:rsidRPr="00E7516E">
          <w:rPr>
            <w:rStyle w:val="PageNumber"/>
            <w:rFonts w:ascii="Times New Roman" w:hAnsi="Times New Roman" w:cs="Times New Roman"/>
          </w:rPr>
          <w:fldChar w:fldCharType="end"/>
        </w:r>
      </w:p>
    </w:sdtContent>
  </w:sdt>
  <w:p w14:paraId="128E9CC7" w14:textId="77777777" w:rsidR="00FF302D" w:rsidRPr="00E7516E" w:rsidRDefault="00FF302D">
    <w:pPr>
      <w:pStyle w:val="Footer"/>
      <w:ind w:right="360"/>
      <w:jc w:val="right"/>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1729264872"/>
      <w:docPartObj>
        <w:docPartGallery w:val="Page Numbers (Bottom of Page)"/>
        <w:docPartUnique/>
      </w:docPartObj>
    </w:sdtPr>
    <w:sdtContent>
      <w:p w14:paraId="60899C4B" w14:textId="77777777" w:rsidR="00FF302D" w:rsidRPr="00113F13" w:rsidRDefault="00FF302D">
        <w:pPr>
          <w:pStyle w:val="Footer"/>
          <w:framePr w:wrap="none" w:vAnchor="text" w:hAnchor="margin" w:xAlign="right" w:y="1"/>
          <w:rPr>
            <w:rStyle w:val="PageNumber"/>
            <w:rFonts w:ascii="Times New Roman" w:hAnsi="Times New Roman" w:cs="Times New Roman"/>
          </w:rPr>
        </w:pPr>
        <w:r w:rsidRPr="00113F13">
          <w:rPr>
            <w:rStyle w:val="PageNumber"/>
            <w:rFonts w:ascii="Times New Roman" w:hAnsi="Times New Roman" w:cs="Times New Roman"/>
          </w:rPr>
          <w:fldChar w:fldCharType="begin"/>
        </w:r>
        <w:r w:rsidRPr="00113F13">
          <w:rPr>
            <w:rStyle w:val="PageNumber"/>
            <w:rFonts w:ascii="Times New Roman" w:hAnsi="Times New Roman" w:cs="Times New Roman"/>
          </w:rPr>
          <w:instrText xml:space="preserve"> PAGE </w:instrText>
        </w:r>
        <w:r w:rsidRPr="00113F13">
          <w:rPr>
            <w:rStyle w:val="PageNumber"/>
            <w:rFonts w:ascii="Times New Roman" w:hAnsi="Times New Roman" w:cs="Times New Roman"/>
          </w:rPr>
          <w:fldChar w:fldCharType="separate"/>
        </w:r>
        <w:r w:rsidRPr="00113F13">
          <w:rPr>
            <w:rStyle w:val="PageNumber"/>
            <w:rFonts w:ascii="Times New Roman" w:hAnsi="Times New Roman" w:cs="Times New Roman"/>
            <w:noProof/>
          </w:rPr>
          <w:t>42</w:t>
        </w:r>
        <w:r w:rsidRPr="00113F13">
          <w:rPr>
            <w:rStyle w:val="PageNumber"/>
            <w:rFonts w:ascii="Times New Roman" w:hAnsi="Times New Roman" w:cs="Times New Roman"/>
          </w:rPr>
          <w:fldChar w:fldCharType="end"/>
        </w:r>
      </w:p>
    </w:sdtContent>
  </w:sdt>
  <w:p w14:paraId="1A3DC988" w14:textId="77777777" w:rsidR="00FF302D" w:rsidRPr="00DB6B44" w:rsidRDefault="00FF302D" w:rsidP="00BA2533">
    <w:pPr>
      <w:pStyle w:val="Footer"/>
      <w:ind w:right="36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3D9EC" w14:textId="77777777" w:rsidR="002E58CB" w:rsidRDefault="002E58CB" w:rsidP="00D8729E">
      <w:pPr>
        <w:spacing w:after="0"/>
      </w:pPr>
      <w:r>
        <w:separator/>
      </w:r>
    </w:p>
  </w:footnote>
  <w:footnote w:type="continuationSeparator" w:id="0">
    <w:p w14:paraId="1F44AE3D" w14:textId="77777777" w:rsidR="002E58CB" w:rsidRDefault="002E58CB" w:rsidP="00D8729E">
      <w:pPr>
        <w:spacing w:after="0"/>
      </w:pPr>
      <w:r>
        <w:continuationSeparator/>
      </w:r>
    </w:p>
  </w:footnote>
  <w:footnote w:type="continuationNotice" w:id="1">
    <w:p w14:paraId="4612D8D9" w14:textId="77777777" w:rsidR="002E58CB" w:rsidRDefault="002E58CB">
      <w:pPr>
        <w:spacing w:after="0"/>
      </w:pPr>
    </w:p>
  </w:footnote>
  <w:footnote w:id="2">
    <w:p w14:paraId="255D5E59" w14:textId="7136347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011078">
        <w:rPr>
          <w:rFonts w:cs="Times New Roman"/>
        </w:rPr>
        <w:t xml:space="preserve"> </w:t>
      </w:r>
      <w:r w:rsidRPr="00E7516E">
        <w:rPr>
          <w:rFonts w:cs="Times New Roman"/>
        </w:rPr>
        <w:t>Report 2022 Proposal 4.5</w:t>
      </w:r>
      <w:r w:rsidR="00E7516E" w:rsidRPr="00E7516E">
        <w:rPr>
          <w:rFonts w:cs="Times New Roman"/>
        </w:rPr>
        <w:t>.</w:t>
      </w:r>
    </w:p>
  </w:footnote>
  <w:footnote w:id="3">
    <w:p w14:paraId="09F94CCF" w14:textId="064EA23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10405">
        <w:rPr>
          <w:rFonts w:cs="Times New Roman"/>
        </w:rPr>
        <w:t xml:space="preserve">Ibid </w:t>
      </w:r>
      <w:r w:rsidRPr="00E7516E">
        <w:rPr>
          <w:rFonts w:cs="Times New Roman"/>
        </w:rPr>
        <w:t>Proposal 4.7</w:t>
      </w:r>
      <w:r w:rsidR="00E7516E" w:rsidRPr="00E7516E">
        <w:rPr>
          <w:rFonts w:cs="Times New Roman"/>
        </w:rPr>
        <w:t>.</w:t>
      </w:r>
    </w:p>
  </w:footnote>
  <w:footnote w:id="4">
    <w:p w14:paraId="3C0457D3" w14:textId="57271E6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10405">
        <w:rPr>
          <w:rFonts w:cs="Times New Roman"/>
        </w:rPr>
        <w:t xml:space="preserve">Ibid </w:t>
      </w:r>
      <w:r w:rsidRPr="00E7516E">
        <w:rPr>
          <w:rFonts w:cs="Times New Roman"/>
        </w:rPr>
        <w:t>Proposal 4.8</w:t>
      </w:r>
      <w:r w:rsidR="00E7516E" w:rsidRPr="00E7516E">
        <w:rPr>
          <w:rFonts w:cs="Times New Roman"/>
        </w:rPr>
        <w:t>.</w:t>
      </w:r>
    </w:p>
  </w:footnote>
  <w:footnote w:id="5">
    <w:p w14:paraId="0DA9FD17" w14:textId="1061129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w:t>
      </w:r>
      <w:r w:rsidR="00417621">
        <w:rPr>
          <w:rFonts w:cs="Times New Roman"/>
        </w:rPr>
        <w:t xml:space="preserve">2022 </w:t>
      </w:r>
      <w:r w:rsidR="00010405">
        <w:rPr>
          <w:rFonts w:cs="Times New Roman"/>
        </w:rPr>
        <w:t>P</w:t>
      </w:r>
      <w:r w:rsidRPr="00E7516E">
        <w:rPr>
          <w:rFonts w:cs="Times New Roman"/>
        </w:rPr>
        <w:t>roposals 12.1, 12.2, 12.3.</w:t>
      </w:r>
    </w:p>
  </w:footnote>
  <w:footnote w:id="6">
    <w:p w14:paraId="4D5F211D" w14:textId="77140D5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00915A83">
        <w:rPr>
          <w:rFonts w:cs="Times New Roman"/>
        </w:rPr>
        <w:t xml:space="preserve">Privacy Act Review Report 2022 </w:t>
      </w:r>
      <w:r w:rsidR="00E7516E" w:rsidRPr="00E7516E">
        <w:rPr>
          <w:rFonts w:cs="Times New Roman"/>
        </w:rPr>
        <w:t>P</w:t>
      </w:r>
      <w:r w:rsidRPr="00E7516E">
        <w:rPr>
          <w:rFonts w:cs="Times New Roman"/>
        </w:rPr>
        <w:t>roposal 18.1.</w:t>
      </w:r>
    </w:p>
  </w:footnote>
  <w:footnote w:id="7">
    <w:p w14:paraId="5586337F" w14:textId="70F1203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Australian Law Reform Commission (‘ALRC’), </w:t>
      </w:r>
      <w:r w:rsidRPr="00E7516E">
        <w:rPr>
          <w:rFonts w:cs="Times New Roman"/>
          <w:i/>
        </w:rPr>
        <w:t>Privacy</w:t>
      </w:r>
      <w:r w:rsidRPr="00E7516E">
        <w:rPr>
          <w:rFonts w:cs="Times New Roman"/>
        </w:rPr>
        <w:t xml:space="preserve"> </w:t>
      </w:r>
      <w:r w:rsidR="00C516A8">
        <w:rPr>
          <w:rFonts w:cs="Times New Roman"/>
        </w:rPr>
        <w:t>(</w:t>
      </w:r>
      <w:r w:rsidR="00F571C0">
        <w:rPr>
          <w:rFonts w:cs="Times New Roman"/>
        </w:rPr>
        <w:t xml:space="preserve">Report No </w:t>
      </w:r>
      <w:r w:rsidRPr="00E7516E">
        <w:rPr>
          <w:rFonts w:cs="Times New Roman"/>
        </w:rPr>
        <w:t>22</w:t>
      </w:r>
      <w:r w:rsidR="00C516A8">
        <w:rPr>
          <w:rFonts w:cs="Times New Roman"/>
        </w:rPr>
        <w:t>,</w:t>
      </w:r>
      <w:r w:rsidRPr="00E7516E">
        <w:rPr>
          <w:rFonts w:cs="Times New Roman"/>
        </w:rPr>
        <w:t xml:space="preserve"> 1983).</w:t>
      </w:r>
    </w:p>
  </w:footnote>
  <w:footnote w:id="8">
    <w:p w14:paraId="76EA5F3B" w14:textId="7AC49AE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 </w:t>
      </w:r>
      <w:r w:rsidRPr="00E7516E">
        <w:rPr>
          <w:rFonts w:cs="Times New Roman"/>
          <w:i/>
        </w:rPr>
        <w:t>Privacy</w:t>
      </w:r>
      <w:r w:rsidRPr="00E7516E">
        <w:rPr>
          <w:rFonts w:cs="Times New Roman"/>
        </w:rPr>
        <w:t>.</w:t>
      </w:r>
    </w:p>
  </w:footnote>
  <w:footnote w:id="9">
    <w:p w14:paraId="185463A1" w14:textId="59CB6FCA" w:rsidR="00FF302D" w:rsidRPr="00E7516E" w:rsidRDefault="00FF302D" w:rsidP="00E7516E">
      <w:pPr>
        <w:spacing w:after="0"/>
        <w:jc w:val="left"/>
        <w:rPr>
          <w:rStyle w:val="FootnoteReference"/>
          <w:rFonts w:ascii="Times New Roman" w:hAnsi="Times New Roman" w:cs="Times New Roman"/>
          <w:szCs w:val="20"/>
        </w:rPr>
      </w:pPr>
      <w:r w:rsidRPr="00E7516E">
        <w:rPr>
          <w:rStyle w:val="FootnoteReference"/>
          <w:rFonts w:ascii="Times New Roman" w:hAnsi="Times New Roman" w:cs="Times New Roman"/>
          <w:szCs w:val="20"/>
        </w:rPr>
        <w:footnoteRef/>
      </w:r>
      <w:r w:rsidRPr="00E7516E">
        <w:rPr>
          <w:rFonts w:cs="Times New Roman"/>
          <w:sz w:val="20"/>
          <w:szCs w:val="20"/>
        </w:rPr>
        <w:t xml:space="preserve"> </w:t>
      </w:r>
      <w:r w:rsidRPr="00E7516E">
        <w:rPr>
          <w:rStyle w:val="FootnoteTextChar"/>
          <w:rFonts w:cs="Times New Roman"/>
        </w:rPr>
        <w:t>ALRC</w:t>
      </w:r>
      <w:r w:rsidRPr="00183275">
        <w:rPr>
          <w:rStyle w:val="FootnoteTextChar"/>
          <w:rFonts w:cs="Times New Roman"/>
        </w:rPr>
        <w:t xml:space="preserve">, </w:t>
      </w:r>
      <w:r w:rsidRPr="00E7516E">
        <w:rPr>
          <w:rStyle w:val="FootnoteTextChar"/>
          <w:rFonts w:cs="Times New Roman"/>
          <w:i/>
          <w:iCs/>
        </w:rPr>
        <w:t>For Your Information: Australian Privacy Law and Practice</w:t>
      </w:r>
      <w:r w:rsidRPr="00E7516E">
        <w:rPr>
          <w:rStyle w:val="FootnoteTextChar"/>
          <w:rFonts w:cs="Times New Roman"/>
        </w:rPr>
        <w:t xml:space="preserve"> (Report No 108, August 2008) [1.31] (‘</w:t>
      </w:r>
      <w:r w:rsidRPr="00E7516E">
        <w:rPr>
          <w:rStyle w:val="FootnoteTextChar"/>
          <w:rFonts w:cs="Times New Roman"/>
          <w:i/>
          <w:iCs/>
        </w:rPr>
        <w:t>For Your Information</w:t>
      </w:r>
      <w:r w:rsidRPr="00E7516E">
        <w:rPr>
          <w:rStyle w:val="FootnoteTextChar"/>
          <w:rFonts w:cs="Times New Roman"/>
        </w:rPr>
        <w:t xml:space="preserve">’), citing David Banisar, ‘Privacy and Human Rights 2000: An International Survey of Privacy Law and Developments’, Privacy International. </w:t>
      </w:r>
    </w:p>
  </w:footnote>
  <w:footnote w:id="10">
    <w:p w14:paraId="787EE17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 </w:t>
      </w:r>
      <w:r w:rsidRPr="00E7516E">
        <w:rPr>
          <w:rFonts w:cs="Times New Roman"/>
          <w:i/>
        </w:rPr>
        <w:t>Serious Invasions of Privacy in the Digital Era</w:t>
      </w:r>
      <w:r w:rsidRPr="00E7516E">
        <w:rPr>
          <w:rFonts w:cs="Times New Roman"/>
        </w:rPr>
        <w:t xml:space="preserve"> (Report No 123, June 2014) [5.18].</w:t>
      </w:r>
    </w:p>
  </w:footnote>
  <w:footnote w:id="11">
    <w:p w14:paraId="369B909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Charles Fried, ‘Privacy’ (1968) 77(3) </w:t>
      </w:r>
      <w:r w:rsidRPr="00E7516E">
        <w:rPr>
          <w:rFonts w:cs="Times New Roman"/>
          <w:i/>
        </w:rPr>
        <w:t>Yale Law Journal</w:t>
      </w:r>
      <w:r w:rsidRPr="00E7516E">
        <w:rPr>
          <w:rFonts w:cs="Times New Roman"/>
        </w:rPr>
        <w:t xml:space="preserve"> 475.</w:t>
      </w:r>
    </w:p>
  </w:footnote>
  <w:footnote w:id="12">
    <w:p w14:paraId="09075B2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Kirsty Hughes, ‘A Behavioural Understanding of Privacy and Its Implications for Privacy Law’ (2012)</w:t>
      </w:r>
    </w:p>
    <w:p w14:paraId="7A40E6FE" w14:textId="77777777" w:rsidR="00FF302D" w:rsidRPr="00E7516E" w:rsidRDefault="00FF302D" w:rsidP="00E7516E">
      <w:pPr>
        <w:pStyle w:val="FootnoteText"/>
        <w:jc w:val="left"/>
        <w:rPr>
          <w:rFonts w:cs="Times New Roman"/>
        </w:rPr>
      </w:pPr>
      <w:r w:rsidRPr="00E7516E">
        <w:rPr>
          <w:rFonts w:cs="Times New Roman"/>
        </w:rPr>
        <w:t xml:space="preserve">75(5) </w:t>
      </w:r>
      <w:r w:rsidRPr="00E7516E">
        <w:rPr>
          <w:rFonts w:cs="Times New Roman"/>
          <w:i/>
        </w:rPr>
        <w:t>Modern Law Review</w:t>
      </w:r>
      <w:r w:rsidRPr="00E7516E">
        <w:rPr>
          <w:rFonts w:cs="Times New Roman"/>
        </w:rPr>
        <w:t xml:space="preserve"> 806.</w:t>
      </w:r>
    </w:p>
  </w:footnote>
  <w:footnote w:id="13">
    <w:p w14:paraId="26EA99D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Alan F Westin, </w:t>
      </w:r>
      <w:r w:rsidRPr="00E7516E">
        <w:rPr>
          <w:rFonts w:cs="Times New Roman"/>
          <w:i/>
        </w:rPr>
        <w:t>Privacy and Freedom</w:t>
      </w:r>
      <w:r w:rsidRPr="00E7516E">
        <w:rPr>
          <w:rFonts w:cs="Times New Roman"/>
        </w:rPr>
        <w:t xml:space="preserve"> (Atheneum Press, 1967).</w:t>
      </w:r>
    </w:p>
  </w:footnote>
  <w:footnote w:id="14">
    <w:p w14:paraId="111C481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generally Jelena Gligorijevic, ‘A Common Law Tort of Interference with Privacy for Australia: Reaffirming </w:t>
      </w:r>
      <w:r w:rsidRPr="00E7516E">
        <w:rPr>
          <w:rFonts w:cs="Times New Roman"/>
          <w:i/>
          <w:iCs/>
        </w:rPr>
        <w:t>ABC v Lenah Game Meats</w:t>
      </w:r>
      <w:r w:rsidRPr="00E7516E">
        <w:rPr>
          <w:rFonts w:cs="Times New Roman"/>
        </w:rPr>
        <w:t xml:space="preserve">’ (2021) 44(2) </w:t>
      </w:r>
      <w:r w:rsidRPr="00E7516E">
        <w:rPr>
          <w:rFonts w:cs="Times New Roman"/>
          <w:i/>
        </w:rPr>
        <w:t xml:space="preserve">University of New South Wales Law Journal </w:t>
      </w:r>
      <w:r w:rsidRPr="00E7516E">
        <w:rPr>
          <w:rFonts w:cs="Times New Roman"/>
        </w:rPr>
        <w:t xml:space="preserve">673, 686–7 (‘Reaffirming </w:t>
      </w:r>
      <w:r w:rsidRPr="00E7516E">
        <w:rPr>
          <w:rFonts w:cs="Times New Roman"/>
          <w:i/>
          <w:iCs/>
        </w:rPr>
        <w:t>ABC v Lenah Game Meats</w:t>
      </w:r>
      <w:r w:rsidRPr="00E7516E">
        <w:rPr>
          <w:rFonts w:cs="Times New Roman"/>
        </w:rPr>
        <w:t>’).</w:t>
      </w:r>
    </w:p>
  </w:footnote>
  <w:footnote w:id="15">
    <w:p w14:paraId="0506475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687.</w:t>
      </w:r>
    </w:p>
  </w:footnote>
  <w:footnote w:id="16">
    <w:p w14:paraId="5CEAA14D" w14:textId="478878B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eastAsia="Times New Roman" w:cs="Times New Roman"/>
        </w:rPr>
        <w:t>Office of the Australian Information Commissioner</w:t>
      </w:r>
      <w:r w:rsidR="004374E6">
        <w:rPr>
          <w:rFonts w:eastAsia="Times New Roman" w:cs="Times New Roman"/>
        </w:rPr>
        <w:t xml:space="preserve"> (‘OAIC’)</w:t>
      </w:r>
      <w:r w:rsidRPr="00E7516E">
        <w:rPr>
          <w:rFonts w:eastAsia="Times New Roman" w:cs="Times New Roman"/>
        </w:rPr>
        <w:t xml:space="preserve">, </w:t>
      </w:r>
      <w:r w:rsidRPr="00E7516E">
        <w:rPr>
          <w:rFonts w:eastAsia="Times New Roman" w:cs="Times New Roman"/>
          <w:i/>
          <w:iCs/>
        </w:rPr>
        <w:t xml:space="preserve">Australian Community Attitudes to Privacy Survey </w:t>
      </w:r>
      <w:r w:rsidRPr="00E7516E">
        <w:rPr>
          <w:rFonts w:eastAsia="Times New Roman" w:cs="Times New Roman"/>
        </w:rPr>
        <w:t>(2023) &lt;https://www.oaic.gov.au/engage-with-us/research-and-training-resources/research/australian-community-attitudes-to-privacy-survey/australian-community-attitudes-to-privacy-survey-2023&gt;.</w:t>
      </w:r>
    </w:p>
  </w:footnote>
  <w:footnote w:id="17">
    <w:p w14:paraId="303AEDA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r w:rsidRPr="00E7516E">
        <w:rPr>
          <w:rFonts w:eastAsia="Times New Roman" w:cs="Times New Roman"/>
        </w:rPr>
        <w:t xml:space="preserve"> </w:t>
      </w:r>
      <w:r w:rsidRPr="00E7516E">
        <w:rPr>
          <w:rFonts w:cs="Times New Roman"/>
        </w:rPr>
        <w:t>30.</w:t>
      </w:r>
    </w:p>
  </w:footnote>
  <w:footnote w:id="18">
    <w:p w14:paraId="5FBAE71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w:t>
      </w:r>
      <w:r w:rsidRPr="00E7516E">
        <w:rPr>
          <w:rFonts w:eastAsia="Times New Roman" w:cs="Times New Roman"/>
        </w:rPr>
        <w:t>8.</w:t>
      </w:r>
    </w:p>
  </w:footnote>
  <w:footnote w:id="19">
    <w:p w14:paraId="20415B7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16.</w:t>
      </w:r>
    </w:p>
  </w:footnote>
  <w:footnote w:id="20">
    <w:p w14:paraId="065FB25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9.</w:t>
      </w:r>
    </w:p>
  </w:footnote>
  <w:footnote w:id="21">
    <w:p w14:paraId="2049649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31.</w:t>
      </w:r>
    </w:p>
  </w:footnote>
  <w:footnote w:id="22">
    <w:p w14:paraId="3AA5869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37.</w:t>
      </w:r>
    </w:p>
  </w:footnote>
  <w:footnote w:id="23">
    <w:p w14:paraId="7B2856F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24">
    <w:p w14:paraId="559D505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41.</w:t>
      </w:r>
    </w:p>
  </w:footnote>
  <w:footnote w:id="25">
    <w:p w14:paraId="0F1F26B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42.</w:t>
      </w:r>
    </w:p>
  </w:footnote>
  <w:footnote w:id="26">
    <w:p w14:paraId="391E0F6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7.</w:t>
      </w:r>
    </w:p>
  </w:footnote>
  <w:footnote w:id="27">
    <w:p w14:paraId="5141CE17" w14:textId="4DA7C20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A4963">
        <w:rPr>
          <w:rFonts w:eastAsia="Times New Roman" w:cs="Times New Roman"/>
        </w:rPr>
        <w:t>OAIC</w:t>
      </w:r>
      <w:r w:rsidR="00BA4963" w:rsidRPr="00E7516E">
        <w:rPr>
          <w:rFonts w:eastAsia="Times New Roman" w:cs="Times New Roman"/>
        </w:rPr>
        <w:t xml:space="preserve">, </w:t>
      </w:r>
      <w:r w:rsidR="00BA4963" w:rsidRPr="00E7516E">
        <w:rPr>
          <w:rFonts w:eastAsia="Times New Roman" w:cs="Times New Roman"/>
          <w:i/>
          <w:iCs/>
        </w:rPr>
        <w:t xml:space="preserve">Australian Community Attitudes to Privacy Survey </w:t>
      </w:r>
      <w:r w:rsidRPr="00E7516E">
        <w:rPr>
          <w:rFonts w:cs="Times New Roman"/>
        </w:rPr>
        <w:t xml:space="preserve">19. </w:t>
      </w:r>
      <w:r w:rsidRPr="00E7516E">
        <w:rPr>
          <w:rFonts w:eastAsia="Times New Roman" w:cs="Times New Roman"/>
        </w:rPr>
        <w:t>It is noted that there was a disparity identified in relation to self-rated assessments (those who rated themselves as having ‘very good’ or ‘excellent’ knowledge) and the results of testing about knowledge, particular for younger Australian and males. Ibid 21.</w:t>
      </w:r>
    </w:p>
  </w:footnote>
  <w:footnote w:id="28">
    <w:p w14:paraId="648C22D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31.</w:t>
      </w:r>
    </w:p>
  </w:footnote>
  <w:footnote w:id="29">
    <w:p w14:paraId="6F2288A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30">
    <w:p w14:paraId="1AE2092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31">
    <w:p w14:paraId="6C85C88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51.</w:t>
      </w:r>
    </w:p>
  </w:footnote>
  <w:footnote w:id="32">
    <w:p w14:paraId="636BA99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81.</w:t>
      </w:r>
    </w:p>
  </w:footnote>
  <w:footnote w:id="33">
    <w:p w14:paraId="3455836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82.</w:t>
      </w:r>
    </w:p>
  </w:footnote>
  <w:footnote w:id="34">
    <w:p w14:paraId="00580057" w14:textId="105BFA89" w:rsidR="00FF302D" w:rsidRPr="00E7516E" w:rsidRDefault="00FF302D" w:rsidP="004A4AF6">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rPr>
        <w:t xml:space="preserve"> International Covenant on Civil and Political Rights</w:t>
      </w:r>
      <w:r w:rsidRPr="00E7516E">
        <w:rPr>
          <w:rFonts w:cs="Times New Roman"/>
        </w:rPr>
        <w:t>, opened for signature 16 December 1966, 999 UNTS</w:t>
      </w:r>
      <w:r w:rsidR="004A4AF6">
        <w:rPr>
          <w:rFonts w:cs="Times New Roman"/>
        </w:rPr>
        <w:t xml:space="preserve"> </w:t>
      </w:r>
      <w:r w:rsidRPr="00E7516E">
        <w:rPr>
          <w:rFonts w:cs="Times New Roman"/>
        </w:rPr>
        <w:t xml:space="preserve">171 (entered into force 23 March 1976) art 17 (‘ICCPR’). </w:t>
      </w:r>
    </w:p>
  </w:footnote>
  <w:footnote w:id="35">
    <w:p w14:paraId="4B11B04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Human Rights Committee, </w:t>
      </w:r>
      <w:r w:rsidRPr="00E7516E">
        <w:rPr>
          <w:rFonts w:cs="Times New Roman"/>
          <w:i/>
        </w:rPr>
        <w:t>CCPR General Comment No 16: Article 17 (Right to Privacy) The Right to Respect of Privacy, Family, Home and Correspondence, and Protection of Honour and Reputation</w:t>
      </w:r>
      <w:r w:rsidRPr="00E7516E">
        <w:rPr>
          <w:rFonts w:cs="Times New Roman"/>
          <w:iCs/>
        </w:rPr>
        <w:t>, 32</w:t>
      </w:r>
      <w:r w:rsidRPr="00E7516E">
        <w:rPr>
          <w:rFonts w:cs="Times New Roman"/>
          <w:iCs/>
          <w:vertAlign w:val="superscript"/>
        </w:rPr>
        <w:t>nd</w:t>
      </w:r>
      <w:r w:rsidRPr="00E7516E">
        <w:rPr>
          <w:rFonts w:cs="Times New Roman"/>
          <w:iCs/>
        </w:rPr>
        <w:t xml:space="preserve"> Sess</w:t>
      </w:r>
      <w:r w:rsidRPr="00E7516E">
        <w:rPr>
          <w:rFonts w:cs="Times New Roman"/>
          <w:i/>
        </w:rPr>
        <w:t xml:space="preserve"> </w:t>
      </w:r>
      <w:r w:rsidRPr="00E7516E">
        <w:rPr>
          <w:rFonts w:cs="Times New Roman"/>
          <w:iCs/>
        </w:rPr>
        <w:t>(</w:t>
      </w:r>
      <w:r w:rsidRPr="00E7516E">
        <w:rPr>
          <w:rFonts w:cs="Times New Roman"/>
        </w:rPr>
        <w:t>8 April 1988) [1] and [9] (‘</w:t>
      </w:r>
      <w:r w:rsidRPr="00E7516E">
        <w:rPr>
          <w:rFonts w:cs="Times New Roman"/>
          <w:i/>
        </w:rPr>
        <w:t>General Comment No 16</w:t>
      </w:r>
      <w:r w:rsidRPr="00E7516E">
        <w:rPr>
          <w:rFonts w:cs="Times New Roman"/>
          <w:iCs/>
        </w:rPr>
        <w:t>’</w:t>
      </w:r>
      <w:r w:rsidRPr="00E7516E">
        <w:rPr>
          <w:rFonts w:cs="Times New Roman"/>
        </w:rPr>
        <w:t>).</w:t>
      </w:r>
    </w:p>
  </w:footnote>
  <w:footnote w:id="36">
    <w:p w14:paraId="00A4166C" w14:textId="00D9F1D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ICCPR</w:t>
      </w:r>
      <w:r w:rsidRPr="00E7516E">
        <w:rPr>
          <w:rFonts w:cs="Times New Roman"/>
          <w:i/>
          <w:iCs/>
        </w:rPr>
        <w:t xml:space="preserve"> </w:t>
      </w:r>
      <w:r w:rsidRPr="00E7516E">
        <w:rPr>
          <w:rFonts w:cs="Times New Roman"/>
        </w:rPr>
        <w:t xml:space="preserve">art 17. See also </w:t>
      </w:r>
      <w:r w:rsidRPr="00E7516E">
        <w:rPr>
          <w:rFonts w:cs="Times New Roman"/>
          <w:i/>
          <w:iCs/>
        </w:rPr>
        <w:t>Universal Declaration of Human Rights</w:t>
      </w:r>
      <w:r w:rsidRPr="00E7516E">
        <w:rPr>
          <w:rFonts w:cs="Times New Roman"/>
        </w:rPr>
        <w:t xml:space="preserve">, GA Res 217A (III), UN GAOR, UN Doc A/810 (10 December 1948); </w:t>
      </w:r>
      <w:r w:rsidRPr="00E7516E">
        <w:rPr>
          <w:rFonts w:cs="Times New Roman"/>
          <w:i/>
          <w:iCs/>
        </w:rPr>
        <w:t>Convention on the Rights of the Child</w:t>
      </w:r>
      <w:r w:rsidRPr="00E7516E">
        <w:rPr>
          <w:rFonts w:cs="Times New Roman"/>
        </w:rPr>
        <w:t>, opened for signature 20 December 1989, 1577 UNTS 3 (entered into force 2 September 1990) art</w:t>
      </w:r>
      <w:r w:rsidR="004A4AF6">
        <w:rPr>
          <w:rFonts w:cs="Times New Roman"/>
        </w:rPr>
        <w:t> </w:t>
      </w:r>
      <w:r w:rsidRPr="00E7516E">
        <w:rPr>
          <w:rFonts w:cs="Times New Roman"/>
        </w:rPr>
        <w:t xml:space="preserve">16; </w:t>
      </w:r>
      <w:r w:rsidRPr="00E7516E">
        <w:rPr>
          <w:rFonts w:cs="Times New Roman"/>
          <w:i/>
          <w:iCs/>
        </w:rPr>
        <w:t>Convention on the Protection of the Rights of All Migrant Workers and Members of Their Families</w:t>
      </w:r>
      <w:r w:rsidRPr="00E7516E">
        <w:rPr>
          <w:rFonts w:cs="Times New Roman"/>
        </w:rPr>
        <w:t>, opened for signature 18 December 1990, 2220 UNTS 3 (entered into force 1</w:t>
      </w:r>
      <w:r w:rsidR="004A4AF6">
        <w:rPr>
          <w:rFonts w:cs="Times New Roman"/>
        </w:rPr>
        <w:t> </w:t>
      </w:r>
      <w:r w:rsidRPr="00E7516E">
        <w:rPr>
          <w:rFonts w:cs="Times New Roman"/>
        </w:rPr>
        <w:t>July 2003) art 14.</w:t>
      </w:r>
    </w:p>
  </w:footnote>
  <w:footnote w:id="37">
    <w:p w14:paraId="31FCD672" w14:textId="46B60F1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General Comment No 16</w:t>
      </w:r>
      <w:r w:rsidRPr="00E7516E">
        <w:rPr>
          <w:rFonts w:cs="Times New Roman"/>
          <w:iCs/>
        </w:rPr>
        <w:t xml:space="preserve"> </w:t>
      </w:r>
      <w:r w:rsidRPr="00E7516E">
        <w:rPr>
          <w:rFonts w:cs="Times New Roman"/>
        </w:rPr>
        <w:t>[8].</w:t>
      </w:r>
    </w:p>
  </w:footnote>
  <w:footnote w:id="38">
    <w:p w14:paraId="4BBBA98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Human Rights Committee, </w:t>
      </w:r>
      <w:r w:rsidRPr="00E7516E">
        <w:rPr>
          <w:rFonts w:cs="Times New Roman"/>
          <w:i/>
          <w:iCs/>
        </w:rPr>
        <w:t>Views: Communication No 488/1992</w:t>
      </w:r>
      <w:r w:rsidRPr="00E7516E">
        <w:rPr>
          <w:rFonts w:cs="Times New Roman"/>
        </w:rPr>
        <w:t>, 50</w:t>
      </w:r>
      <w:r w:rsidRPr="00E7516E">
        <w:rPr>
          <w:rFonts w:cs="Times New Roman"/>
          <w:vertAlign w:val="superscript"/>
        </w:rPr>
        <w:t>th</w:t>
      </w:r>
      <w:r w:rsidRPr="00E7516E">
        <w:rPr>
          <w:rFonts w:cs="Times New Roman"/>
        </w:rPr>
        <w:t xml:space="preserve"> Sess, UN Doc CCPR/C/50/D/488/1992 (31 March 1994) [8.3] (‘</w:t>
      </w:r>
      <w:r w:rsidRPr="00E7516E">
        <w:rPr>
          <w:rFonts w:cs="Times New Roman"/>
          <w:i/>
        </w:rPr>
        <w:t>Toonen v Australia</w:t>
      </w:r>
      <w:r w:rsidRPr="00E7516E">
        <w:rPr>
          <w:rFonts w:cs="Times New Roman"/>
        </w:rPr>
        <w:t xml:space="preserve">’). This was a complaint brought before the United Nations Human Rights Committee against certain sections of the </w:t>
      </w:r>
      <w:r w:rsidRPr="00E7516E">
        <w:rPr>
          <w:rFonts w:cs="Times New Roman"/>
          <w:i/>
          <w:iCs/>
        </w:rPr>
        <w:t>Criminal Code</w:t>
      </w:r>
      <w:r w:rsidRPr="00E7516E">
        <w:rPr>
          <w:rFonts w:cs="Times New Roman"/>
        </w:rPr>
        <w:t xml:space="preserve"> (Tas).</w:t>
      </w:r>
    </w:p>
  </w:footnote>
  <w:footnote w:id="39">
    <w:p w14:paraId="7962BA4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Charter of Human Rights and Responsibilities Act 2006</w:t>
      </w:r>
      <w:r w:rsidRPr="00E7516E">
        <w:rPr>
          <w:rFonts w:cs="Times New Roman"/>
        </w:rPr>
        <w:t xml:space="preserve"> (Vic)</w:t>
      </w:r>
      <w:r w:rsidRPr="00E7516E">
        <w:rPr>
          <w:rFonts w:cs="Times New Roman"/>
          <w:i/>
          <w:iCs/>
        </w:rPr>
        <w:t xml:space="preserve"> </w:t>
      </w:r>
      <w:r w:rsidRPr="00E7516E">
        <w:rPr>
          <w:rFonts w:cs="Times New Roman"/>
        </w:rPr>
        <w:t xml:space="preserve">s 13. The </w:t>
      </w:r>
      <w:r w:rsidRPr="00E7516E">
        <w:rPr>
          <w:rFonts w:cs="Times New Roman"/>
          <w:i/>
          <w:iCs/>
        </w:rPr>
        <w:t xml:space="preserve">Human Rights Act 2019 </w:t>
      </w:r>
      <w:r w:rsidRPr="00E7516E">
        <w:rPr>
          <w:rFonts w:cs="Times New Roman"/>
        </w:rPr>
        <w:t xml:space="preserve">(Qld) s 25, and the </w:t>
      </w:r>
      <w:r w:rsidRPr="00E7516E">
        <w:rPr>
          <w:rFonts w:cs="Times New Roman"/>
          <w:i/>
          <w:iCs/>
        </w:rPr>
        <w:t xml:space="preserve">Human Rights Act 2004 </w:t>
      </w:r>
      <w:r w:rsidRPr="00E7516E">
        <w:rPr>
          <w:rFonts w:cs="Times New Roman"/>
        </w:rPr>
        <w:t>(ACT) s 12, establish near-identical rights in Queensland and the ACT.</w:t>
      </w:r>
    </w:p>
  </w:footnote>
  <w:footnote w:id="40">
    <w:p w14:paraId="5B901F7C" w14:textId="598C3ED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543A45">
        <w:rPr>
          <w:rFonts w:cs="Times New Roman"/>
        </w:rPr>
        <w:t>Tasmania Law Reform Institute</w:t>
      </w:r>
      <w:r w:rsidR="00543A45">
        <w:rPr>
          <w:rFonts w:cs="Times New Roman"/>
        </w:rPr>
        <w:t xml:space="preserve"> (‘TLRI’)</w:t>
      </w:r>
      <w:r w:rsidRPr="00543A45">
        <w:rPr>
          <w:rFonts w:cs="Times New Roman"/>
        </w:rPr>
        <w:t xml:space="preserve">, </w:t>
      </w:r>
      <w:r w:rsidR="00E87BAA" w:rsidRPr="00543A45">
        <w:rPr>
          <w:rFonts w:cs="Times New Roman"/>
          <w:i/>
          <w:iCs/>
        </w:rPr>
        <w:t xml:space="preserve">A Charter of Human Rights for Tasmania </w:t>
      </w:r>
      <w:r w:rsidR="00543A45" w:rsidRPr="00543A45">
        <w:rPr>
          <w:rFonts w:cs="Times New Roman"/>
        </w:rPr>
        <w:t>(Report No 10, October 200</w:t>
      </w:r>
      <w:r w:rsidR="008459B7">
        <w:rPr>
          <w:rFonts w:cs="Times New Roman"/>
        </w:rPr>
        <w:t>7</w:t>
      </w:r>
      <w:r w:rsidR="00543A45" w:rsidRPr="00543A45">
        <w:rPr>
          <w:rFonts w:cs="Times New Roman"/>
        </w:rPr>
        <w:t xml:space="preserve">) </w:t>
      </w:r>
      <w:r w:rsidRPr="00543A45">
        <w:rPr>
          <w:rFonts w:cs="Times New Roman"/>
        </w:rPr>
        <w:t>(‘TLRI Final Report 2007’) 3.</w:t>
      </w:r>
    </w:p>
  </w:footnote>
  <w:footnote w:id="41">
    <w:p w14:paraId="0F9C793D" w14:textId="77777777" w:rsidR="00FF302D" w:rsidRPr="00E7516E" w:rsidRDefault="00FF302D" w:rsidP="00E7516E">
      <w:pPr>
        <w:pStyle w:val="FootnoteText"/>
        <w:jc w:val="left"/>
        <w:rPr>
          <w:rFonts w:cs="Times New Roman"/>
        </w:rPr>
      </w:pPr>
      <w:r w:rsidRPr="00E87BAA">
        <w:rPr>
          <w:rStyle w:val="FootnoteReference"/>
          <w:rFonts w:ascii="Times New Roman" w:hAnsi="Times New Roman" w:cs="Times New Roman"/>
        </w:rPr>
        <w:footnoteRef/>
      </w:r>
      <w:r w:rsidRPr="00E87BAA">
        <w:rPr>
          <w:rFonts w:cs="Times New Roman"/>
        </w:rPr>
        <w:t xml:space="preserve"> TLRI, </w:t>
      </w:r>
      <w:r w:rsidRPr="00E87BAA">
        <w:rPr>
          <w:rFonts w:cs="Times New Roman"/>
          <w:i/>
          <w:iCs/>
        </w:rPr>
        <w:t xml:space="preserve">A Charter of Rights for Tasmania? Update </w:t>
      </w:r>
      <w:r w:rsidRPr="00E87BAA">
        <w:rPr>
          <w:rFonts w:cs="Times New Roman"/>
        </w:rPr>
        <w:t>(Research Paper No 6, April 2024).</w:t>
      </w:r>
    </w:p>
  </w:footnote>
  <w:footnote w:id="42">
    <w:p w14:paraId="00E3D3AF" w14:textId="5D64035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87BAA">
        <w:rPr>
          <w:rFonts w:cs="Times New Roman"/>
        </w:rPr>
        <w:t>TLRI</w:t>
      </w:r>
      <w:r w:rsidR="00543A45">
        <w:rPr>
          <w:rFonts w:cs="Times New Roman"/>
        </w:rPr>
        <w:t xml:space="preserve">, </w:t>
      </w:r>
      <w:r w:rsidR="00543A45">
        <w:rPr>
          <w:rFonts w:cs="Times New Roman"/>
          <w:i/>
          <w:iCs/>
        </w:rPr>
        <w:t xml:space="preserve">Review of Privacy Laws in Tasmania </w:t>
      </w:r>
      <w:r w:rsidR="00543A45">
        <w:rPr>
          <w:rFonts w:cs="Times New Roman"/>
        </w:rPr>
        <w:t>(Issues Paper No 32, March 2023)</w:t>
      </w:r>
      <w:r w:rsidR="00E87BAA">
        <w:rPr>
          <w:rFonts w:cs="Times New Roman"/>
        </w:rPr>
        <w:t xml:space="preserve"> </w:t>
      </w:r>
      <w:r w:rsidRPr="00CC29C1">
        <w:rPr>
          <w:rFonts w:cs="Times New Roman"/>
        </w:rPr>
        <w:t>Part 4, Question 4.8</w:t>
      </w:r>
      <w:r w:rsidR="00CC29C1">
        <w:rPr>
          <w:rFonts w:cs="Times New Roman"/>
        </w:rPr>
        <w:t xml:space="preserve"> (‘Issues Paper’).</w:t>
      </w:r>
    </w:p>
  </w:footnote>
  <w:footnote w:id="43">
    <w:p w14:paraId="3F3C8EBB" w14:textId="7F8EA96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3 (Anonymous); Submission 20 (</w:t>
      </w:r>
      <w:r w:rsidR="00C771CC">
        <w:rPr>
          <w:rFonts w:cs="Times New Roman"/>
        </w:rPr>
        <w:t xml:space="preserve">Dr </w:t>
      </w:r>
      <w:r w:rsidRPr="00E7516E">
        <w:rPr>
          <w:rFonts w:cs="Times New Roman"/>
        </w:rPr>
        <w:t>Joel Scanlan); Submission 8 (Meg Webb MLC); Submission 11 (TasCOSS).</w:t>
      </w:r>
    </w:p>
  </w:footnote>
  <w:footnote w:id="44">
    <w:p w14:paraId="113C7195" w14:textId="4BCD35B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TLRI notes that this is consistent with the approach taken in the </w:t>
      </w:r>
      <w:r w:rsidRPr="00254A55">
        <w:rPr>
          <w:rFonts w:cs="Times New Roman"/>
          <w:i/>
          <w:iCs/>
        </w:rPr>
        <w:t>Privacy Act Review Report</w:t>
      </w:r>
      <w:r w:rsidRPr="00E7516E">
        <w:rPr>
          <w:rFonts w:cs="Times New Roman"/>
        </w:rPr>
        <w:t xml:space="preserve"> </w:t>
      </w:r>
      <w:r w:rsidR="00A968A2">
        <w:rPr>
          <w:rFonts w:cs="Times New Roman"/>
        </w:rPr>
        <w:t>(Commonwealth of Australia</w:t>
      </w:r>
      <w:r w:rsidR="00254A55">
        <w:rPr>
          <w:rFonts w:cs="Times New Roman"/>
        </w:rPr>
        <w:t xml:space="preserve">, </w:t>
      </w:r>
      <w:r w:rsidRPr="00E7516E">
        <w:rPr>
          <w:rFonts w:cs="Times New Roman"/>
        </w:rPr>
        <w:t>2022</w:t>
      </w:r>
      <w:r w:rsidR="00254A55">
        <w:rPr>
          <w:rFonts w:cs="Times New Roman"/>
        </w:rPr>
        <w:t>)</w:t>
      </w:r>
      <w:r w:rsidRPr="00E7516E">
        <w:rPr>
          <w:rFonts w:cs="Times New Roman"/>
        </w:rPr>
        <w:t xml:space="preserve"> 21–22</w:t>
      </w:r>
      <w:r w:rsidR="00254A55">
        <w:rPr>
          <w:rFonts w:cs="Times New Roman"/>
        </w:rPr>
        <w:t xml:space="preserve"> &lt;</w:t>
      </w:r>
      <w:hyperlink r:id="rId1" w:history="1">
        <w:r w:rsidR="00254A55" w:rsidRPr="009640B6">
          <w:rPr>
            <w:rStyle w:val="Hyperlink"/>
          </w:rPr>
          <w:t>https://www.ag.gov.au/sites/default/files/2023-02/privacy-act-review-report_0.pdf</w:t>
        </w:r>
      </w:hyperlink>
      <w:r w:rsidR="00254A55">
        <w:t>&gt; (‘Privacy Act Review Report 2022’)</w:t>
      </w:r>
      <w:r w:rsidRPr="00E7516E">
        <w:rPr>
          <w:rFonts w:cs="Times New Roman"/>
        </w:rPr>
        <w:t xml:space="preserve">. The purpose and outcomes of that </w:t>
      </w:r>
      <w:r w:rsidRPr="002B0F6B">
        <w:rPr>
          <w:rFonts w:cs="Times New Roman"/>
        </w:rPr>
        <w:t xml:space="preserve">Review are introduced at </w:t>
      </w:r>
      <w:r w:rsidR="00CC29C1" w:rsidRPr="002B0F6B">
        <w:rPr>
          <w:rFonts w:cs="Times New Roman"/>
        </w:rPr>
        <w:t>[</w:t>
      </w:r>
      <w:r w:rsidR="00915432" w:rsidRPr="002B0F6B">
        <w:rPr>
          <w:rFonts w:cs="Times New Roman"/>
        </w:rPr>
        <w:t>2.5.10</w:t>
      </w:r>
      <w:r w:rsidR="00CC29C1" w:rsidRPr="002B0F6B">
        <w:rPr>
          <w:rFonts w:cs="Times New Roman"/>
        </w:rPr>
        <w:t>]</w:t>
      </w:r>
      <w:r w:rsidRPr="002B0F6B">
        <w:rPr>
          <w:rFonts w:cs="Times New Roman"/>
        </w:rPr>
        <w:t xml:space="preserve"> below.</w:t>
      </w:r>
      <w:r w:rsidRPr="00E7516E">
        <w:rPr>
          <w:rFonts w:cs="Times New Roman"/>
        </w:rPr>
        <w:t xml:space="preserve"> </w:t>
      </w:r>
    </w:p>
  </w:footnote>
  <w:footnote w:id="45">
    <w:p w14:paraId="56DE114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 </w:t>
      </w:r>
      <w:r w:rsidRPr="00E7516E">
        <w:rPr>
          <w:rFonts w:cs="Times New Roman"/>
          <w:i/>
          <w:iCs/>
        </w:rPr>
        <w:t xml:space="preserve">Serious Invasions of Privacy in the Digital Era </w:t>
      </w:r>
      <w:r w:rsidRPr="00E7516E">
        <w:rPr>
          <w:rFonts w:cs="Times New Roman"/>
        </w:rPr>
        <w:t>(Report 123) 64.</w:t>
      </w:r>
    </w:p>
  </w:footnote>
  <w:footnote w:id="46">
    <w:p w14:paraId="204AD5A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Privacy Act 1988 </w:t>
      </w:r>
      <w:r w:rsidRPr="00E7516E">
        <w:rPr>
          <w:rFonts w:cs="Times New Roman"/>
        </w:rPr>
        <w:t xml:space="preserve">(Cth). In addition to partially implementing the ICCPR, the </w:t>
      </w:r>
      <w:r w:rsidRPr="00E7516E">
        <w:rPr>
          <w:rFonts w:cs="Times New Roman"/>
          <w:i/>
          <w:iCs/>
        </w:rPr>
        <w:t>Privacy Act</w:t>
      </w:r>
      <w:r w:rsidRPr="00E7516E">
        <w:rPr>
          <w:rFonts w:cs="Times New Roman"/>
        </w:rPr>
        <w:t xml:space="preserve"> </w:t>
      </w:r>
      <w:r w:rsidRPr="00E7516E">
        <w:rPr>
          <w:rFonts w:cs="Times New Roman"/>
          <w:i/>
        </w:rPr>
        <w:t xml:space="preserve">1988 </w:t>
      </w:r>
      <w:r w:rsidRPr="00E7516E">
        <w:rPr>
          <w:rFonts w:cs="Times New Roman"/>
        </w:rPr>
        <w:t xml:space="preserve">(Cth) also implemented obligations under the Organization for Economic Co-operation and Development, </w:t>
      </w:r>
      <w:r w:rsidRPr="00E7516E">
        <w:rPr>
          <w:rFonts w:cs="Times New Roman"/>
          <w:i/>
        </w:rPr>
        <w:t>Guidelines on the Protection of Privacy and Transborder Flows of Personal Data</w:t>
      </w:r>
      <w:r w:rsidRPr="00E7516E">
        <w:rPr>
          <w:rFonts w:cs="Times New Roman"/>
        </w:rPr>
        <w:t xml:space="preserve"> (1980): see Moira Paterson, </w:t>
      </w:r>
      <w:r w:rsidRPr="00E7516E">
        <w:rPr>
          <w:rFonts w:cs="Times New Roman"/>
          <w:i/>
        </w:rPr>
        <w:t>Freedom of Information and Privacy in Australia: Government and Information Access in the Modern State</w:t>
      </w:r>
      <w:r w:rsidRPr="00E7516E">
        <w:rPr>
          <w:rFonts w:cs="Times New Roman"/>
        </w:rPr>
        <w:t xml:space="preserve"> (Lexis Nexis, 2005) [2.54].</w:t>
      </w:r>
    </w:p>
  </w:footnote>
  <w:footnote w:id="47">
    <w:p w14:paraId="71F3F66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Australian Law Reform Commission (‘ALRC’), </w:t>
      </w:r>
      <w:r w:rsidRPr="00E7516E">
        <w:rPr>
          <w:rFonts w:cs="Times New Roman"/>
          <w:i/>
        </w:rPr>
        <w:t>Privacy</w:t>
      </w:r>
      <w:r w:rsidRPr="00E7516E">
        <w:rPr>
          <w:rFonts w:cs="Times New Roman"/>
        </w:rPr>
        <w:t>, ALRC 22 (1983).</w:t>
      </w:r>
    </w:p>
  </w:footnote>
  <w:footnote w:id="48">
    <w:p w14:paraId="373FF1B5" w14:textId="2A5D703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as at14 December 1988.</w:t>
      </w:r>
    </w:p>
  </w:footnote>
  <w:footnote w:id="49">
    <w:p w14:paraId="2B287A0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Privacy Amendment (Private Sector) Act 2000</w:t>
      </w:r>
      <w:r w:rsidRPr="00E7516E">
        <w:rPr>
          <w:rFonts w:cs="Times New Roman"/>
        </w:rPr>
        <w:t xml:space="preserve"> (Cth), which commenced on 21 December 2001.</w:t>
      </w:r>
    </w:p>
  </w:footnote>
  <w:footnote w:id="50">
    <w:p w14:paraId="4ADD5C9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 </w:t>
      </w:r>
      <w:r w:rsidRPr="00E7516E">
        <w:rPr>
          <w:rFonts w:cs="Times New Roman"/>
          <w:i/>
        </w:rPr>
        <w:t>For Your Information</w:t>
      </w:r>
      <w:r w:rsidRPr="00E7516E">
        <w:rPr>
          <w:rFonts w:cs="Times New Roman"/>
        </w:rPr>
        <w:t>.</w:t>
      </w:r>
    </w:p>
  </w:footnote>
  <w:footnote w:id="51">
    <w:p w14:paraId="2936F496" w14:textId="1AFDA4D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00875E5B" w:rsidRPr="00875E5B">
        <w:rPr>
          <w:rFonts w:cs="Times New Roman"/>
        </w:rPr>
        <w:t xml:space="preserve">Part </w:t>
      </w:r>
      <w:r w:rsidRPr="00875E5B">
        <w:rPr>
          <w:rFonts w:cs="Times New Roman"/>
        </w:rPr>
        <w:t>3</w:t>
      </w:r>
      <w:r w:rsidR="00875E5B" w:rsidRPr="00875E5B">
        <w:rPr>
          <w:rFonts w:cs="Times New Roman"/>
        </w:rPr>
        <w:t>.4</w:t>
      </w:r>
      <w:r w:rsidRPr="00E7516E">
        <w:rPr>
          <w:rFonts w:cs="Times New Roman"/>
        </w:rPr>
        <w:t xml:space="preserve"> for a description of the public and private bodies bound by the </w:t>
      </w:r>
      <w:r w:rsidRPr="00E7516E">
        <w:rPr>
          <w:rFonts w:cs="Times New Roman"/>
          <w:i/>
          <w:iCs/>
        </w:rPr>
        <w:t>Privacy Act</w:t>
      </w:r>
      <w:r w:rsidRPr="00E7516E">
        <w:rPr>
          <w:rFonts w:cs="Times New Roman"/>
        </w:rPr>
        <w:t>.</w:t>
      </w:r>
    </w:p>
  </w:footnote>
  <w:footnote w:id="52">
    <w:p w14:paraId="3C51FA8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Privacy Amendment (Enhancing Privacy Protection) Act 2012</w:t>
      </w:r>
      <w:r w:rsidRPr="00E7516E">
        <w:rPr>
          <w:rFonts w:cs="Times New Roman"/>
        </w:rPr>
        <w:t xml:space="preserve"> (Cth), which commenced on 12 March 2014.</w:t>
      </w:r>
    </w:p>
  </w:footnote>
  <w:footnote w:id="53">
    <w:p w14:paraId="300402C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sch 1.</w:t>
      </w:r>
    </w:p>
  </w:footnote>
  <w:footnote w:id="54">
    <w:p w14:paraId="24EC477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Australian Information Commissioner Act 2010</w:t>
      </w:r>
      <w:r w:rsidRPr="00E7516E">
        <w:rPr>
          <w:rFonts w:cs="Times New Roman"/>
        </w:rPr>
        <w:t xml:space="preserve"> (Cth).</w:t>
      </w:r>
      <w:r w:rsidRPr="00E7516E">
        <w:rPr>
          <w:rFonts w:cs="Times New Roman"/>
          <w:i/>
          <w:iCs/>
        </w:rPr>
        <w:t xml:space="preserve"> </w:t>
      </w:r>
    </w:p>
  </w:footnote>
  <w:footnote w:id="55">
    <w:p w14:paraId="177D9325" w14:textId="199CDD6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52(1)</w:t>
      </w:r>
      <w:r w:rsidR="0052128B">
        <w:rPr>
          <w:rFonts w:cs="Times New Roman"/>
        </w:rPr>
        <w:t>.</w:t>
      </w:r>
    </w:p>
  </w:footnote>
  <w:footnote w:id="56">
    <w:p w14:paraId="4782A4C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Terms of Reference for the inquiry are available at &lt;</w:t>
      </w:r>
      <w:hyperlink r:id="rId2" w:history="1">
        <w:r w:rsidRPr="00E7516E">
          <w:rPr>
            <w:rStyle w:val="Hyperlink"/>
            <w:rFonts w:cs="Times New Roman"/>
          </w:rPr>
          <w:t>https://www.ag.gov.au/integrity/publications/review-privacy-act-1988-terms-reference</w:t>
        </w:r>
      </w:hyperlink>
      <w:r w:rsidRPr="00E7516E">
        <w:rPr>
          <w:rStyle w:val="Hyperlink"/>
          <w:rFonts w:cs="Times New Roman"/>
        </w:rPr>
        <w:t>&gt;</w:t>
      </w:r>
      <w:r w:rsidRPr="00E7516E">
        <w:rPr>
          <w:rFonts w:cs="Times New Roman"/>
        </w:rPr>
        <w:t>. An Issues Paper was published in October 2020 for consultation, which closed in November 2020. A discussion paper was released on 25 October 2021, with submissions due 10 January 2022. The report was released on 16 February 2023. See generally, Attorney-General’s Department, ‘Review of the Privacy Act 1988’ (Web Page) &lt;</w:t>
      </w:r>
      <w:hyperlink r:id="rId3" w:history="1">
        <w:r w:rsidRPr="00E7516E">
          <w:rPr>
            <w:rStyle w:val="Hyperlink"/>
            <w:rFonts w:cs="Times New Roman"/>
          </w:rPr>
          <w:t>https://www.ag.gov.au/integrity/consultations/review-privacy-act-1988</w:t>
        </w:r>
      </w:hyperlink>
      <w:r w:rsidRPr="00E7516E">
        <w:rPr>
          <w:rFonts w:cs="Times New Roman"/>
        </w:rPr>
        <w:t xml:space="preserve">&gt;. </w:t>
      </w:r>
    </w:p>
  </w:footnote>
  <w:footnote w:id="57">
    <w:p w14:paraId="79F8DBFB" w14:textId="74531AE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Australian Government, </w:t>
      </w:r>
      <w:r w:rsidRPr="00E7516E">
        <w:rPr>
          <w:rFonts w:cs="Times New Roman"/>
          <w:i/>
          <w:iCs/>
        </w:rPr>
        <w:t xml:space="preserve">Government Response: Privacy Act Review Report </w:t>
      </w:r>
      <w:r w:rsidRPr="00E7516E">
        <w:rPr>
          <w:rFonts w:cs="Times New Roman"/>
        </w:rPr>
        <w:t>(2023) 2 &lt;</w:t>
      </w:r>
      <w:hyperlink r:id="rId4" w:history="1">
        <w:r w:rsidRPr="00E7516E">
          <w:rPr>
            <w:rStyle w:val="Hyperlink"/>
            <w:rFonts w:cs="Times New Roman"/>
          </w:rPr>
          <w:t>https://www.ag.gov.au/sites/default/files/2023-09/government-response-privacy-act-review-report.PDF</w:t>
        </w:r>
      </w:hyperlink>
      <w:r w:rsidRPr="00E7516E">
        <w:rPr>
          <w:rFonts w:cs="Times New Roman"/>
        </w:rPr>
        <w:t xml:space="preserve">&gt; </w:t>
      </w:r>
      <w:r w:rsidR="0090432B">
        <w:rPr>
          <w:rFonts w:cs="Times New Roman"/>
        </w:rPr>
        <w:t>(‘Government Response’).</w:t>
      </w:r>
    </w:p>
  </w:footnote>
  <w:footnote w:id="58">
    <w:p w14:paraId="5B1C1D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In South Australia—where there is no general privacy legislation—non-legislative administrative schemes address complaints about the handling of personal information by the public sector.</w:t>
      </w:r>
    </w:p>
  </w:footnote>
  <w:footnote w:id="59">
    <w:p w14:paraId="60925E4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Tasmania, </w:t>
      </w:r>
      <w:r w:rsidRPr="00E7516E">
        <w:rPr>
          <w:rFonts w:cs="Times New Roman"/>
          <w:i/>
          <w:iCs/>
        </w:rPr>
        <w:t>Parliamentary Debates</w:t>
      </w:r>
      <w:r w:rsidRPr="00E7516E">
        <w:rPr>
          <w:rFonts w:cs="Times New Roman"/>
        </w:rPr>
        <w:t>, House of Assembly, 20 October 2004, pt 2, 62–4, 96–8.</w:t>
      </w:r>
    </w:p>
  </w:footnote>
  <w:footnote w:id="60">
    <w:p w14:paraId="6A3871C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the Second Reading speech for the </w:t>
      </w:r>
      <w:r w:rsidRPr="00E7516E">
        <w:rPr>
          <w:rFonts w:cs="Times New Roman"/>
          <w:i/>
          <w:iCs/>
        </w:rPr>
        <w:t>Personal Information Protection Bill 2004</w:t>
      </w:r>
      <w:r w:rsidRPr="00E7516E">
        <w:rPr>
          <w:rFonts w:cs="Times New Roman"/>
        </w:rPr>
        <w:t xml:space="preserve"> (Tas): Tasmania, </w:t>
      </w:r>
      <w:r w:rsidRPr="00E7516E">
        <w:rPr>
          <w:rFonts w:cs="Times New Roman"/>
          <w:i/>
          <w:iCs/>
        </w:rPr>
        <w:t>Parliamentary Debates</w:t>
      </w:r>
      <w:r w:rsidRPr="00E7516E">
        <w:rPr>
          <w:rFonts w:cs="Times New Roman"/>
        </w:rPr>
        <w:t>, House of Assembly, 20 October 2004, 63.</w:t>
      </w:r>
    </w:p>
  </w:footnote>
  <w:footnote w:id="61">
    <w:p w14:paraId="12710BC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62.</w:t>
      </w:r>
    </w:p>
  </w:footnote>
  <w:footnote w:id="62">
    <w:p w14:paraId="15DC8A4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To whom responsibility for administration of the PIPA is assigned: </w:t>
      </w:r>
      <w:r w:rsidRPr="00E7516E">
        <w:rPr>
          <w:rFonts w:cs="Times New Roman"/>
          <w:i/>
          <w:iCs/>
        </w:rPr>
        <w:t>Personal Information Protection Act 2004</w:t>
      </w:r>
      <w:r w:rsidRPr="00E7516E">
        <w:rPr>
          <w:rFonts w:cs="Times New Roman"/>
        </w:rPr>
        <w:t xml:space="preserve"> (Tas) s 24 (‘PIPA’).</w:t>
      </w:r>
    </w:p>
  </w:footnote>
  <w:footnote w:id="63">
    <w:p w14:paraId="48B1DB9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22.</w:t>
      </w:r>
    </w:p>
  </w:footnote>
  <w:footnote w:id="64">
    <w:p w14:paraId="6A41740F" w14:textId="78EBF7C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Right to Information Act 2009</w:t>
      </w:r>
      <w:r w:rsidRPr="00E7516E">
        <w:rPr>
          <w:rFonts w:cs="Times New Roman"/>
        </w:rPr>
        <w:t xml:space="preserve"> (Tas) s 7</w:t>
      </w:r>
      <w:r w:rsidR="00B50F9B">
        <w:rPr>
          <w:rFonts w:cs="Times New Roman"/>
        </w:rPr>
        <w:t xml:space="preserve"> (‘RTI Act’)</w:t>
      </w:r>
      <w:r w:rsidRPr="00E7516E">
        <w:rPr>
          <w:rFonts w:cs="Times New Roman"/>
        </w:rPr>
        <w:t>.</w:t>
      </w:r>
    </w:p>
  </w:footnote>
  <w:footnote w:id="65">
    <w:p w14:paraId="6C0E659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Evidence Act 2001 </w:t>
      </w:r>
      <w:r w:rsidRPr="00E7516E">
        <w:rPr>
          <w:rFonts w:cs="Times New Roman"/>
        </w:rPr>
        <w:t xml:space="preserve">(Tas) s 138(3)(f). The Tasmanian Supreme Court has in several cases identified contraventions of the art 17 right to privacy as a relevant matter in determining the admissibility of evidence: </w:t>
      </w:r>
      <w:r w:rsidRPr="00E7516E">
        <w:rPr>
          <w:rFonts w:cs="Times New Roman"/>
          <w:i/>
        </w:rPr>
        <w:t xml:space="preserve">R v Brown </w:t>
      </w:r>
      <w:r w:rsidRPr="00E7516E">
        <w:rPr>
          <w:rFonts w:cs="Times New Roman"/>
        </w:rPr>
        <w:t>[2014] TASSC 18</w:t>
      </w:r>
      <w:r w:rsidRPr="00E7516E">
        <w:rPr>
          <w:rFonts w:cs="Times New Roman"/>
          <w:iCs/>
        </w:rPr>
        <w:t>;</w:t>
      </w:r>
      <w:r w:rsidRPr="00E7516E">
        <w:rPr>
          <w:rFonts w:cs="Times New Roman"/>
          <w:i/>
        </w:rPr>
        <w:t xml:space="preserve"> R v Pettit </w:t>
      </w:r>
      <w:r w:rsidRPr="00E7516E">
        <w:rPr>
          <w:rFonts w:cs="Times New Roman"/>
        </w:rPr>
        <w:t>[2015] TASSC 14</w:t>
      </w:r>
      <w:r w:rsidRPr="00E7516E">
        <w:rPr>
          <w:rFonts w:cs="Times New Roman"/>
          <w:iCs/>
        </w:rPr>
        <w:t>;</w:t>
      </w:r>
      <w:r w:rsidRPr="00E7516E">
        <w:rPr>
          <w:rFonts w:cs="Times New Roman"/>
        </w:rPr>
        <w:t xml:space="preserve"> </w:t>
      </w:r>
      <w:r w:rsidRPr="00E7516E">
        <w:rPr>
          <w:rFonts w:cs="Times New Roman"/>
          <w:i/>
        </w:rPr>
        <w:t>Tasmania v Wykes</w:t>
      </w:r>
      <w:r w:rsidRPr="00E7516E">
        <w:rPr>
          <w:rFonts w:cs="Times New Roman"/>
        </w:rPr>
        <w:t xml:space="preserve"> [2019] TASSC 18.</w:t>
      </w:r>
    </w:p>
  </w:footnote>
  <w:footnote w:id="66">
    <w:p w14:paraId="7F5C8BF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Children, Young Persons and Their Families Act 1997 </w:t>
      </w:r>
      <w:r w:rsidRPr="00E7516E">
        <w:rPr>
          <w:rFonts w:cs="Times New Roman"/>
        </w:rPr>
        <w:t>(Tas)</w:t>
      </w:r>
      <w:r w:rsidRPr="00E7516E">
        <w:rPr>
          <w:rFonts w:cs="Times New Roman"/>
          <w:iCs/>
        </w:rPr>
        <w:t xml:space="preserve"> s 10D(1).</w:t>
      </w:r>
    </w:p>
  </w:footnote>
  <w:footnote w:id="67">
    <w:p w14:paraId="1C72D72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Disability Services Act 2011 </w:t>
      </w:r>
      <w:r w:rsidRPr="00E7516E">
        <w:rPr>
          <w:rFonts w:cs="Times New Roman"/>
        </w:rPr>
        <w:t xml:space="preserve">(Tas) </w:t>
      </w:r>
      <w:r w:rsidRPr="00E7516E">
        <w:rPr>
          <w:rFonts w:cs="Times New Roman"/>
          <w:bCs/>
          <w:iCs/>
        </w:rPr>
        <w:t xml:space="preserve">s 5(1)(j). The </w:t>
      </w:r>
      <w:r w:rsidRPr="00E7516E">
        <w:rPr>
          <w:rFonts w:cs="Times New Roman"/>
          <w:bCs/>
          <w:i/>
        </w:rPr>
        <w:t>Disability Inclusion Bill 2023</w:t>
      </w:r>
      <w:r w:rsidRPr="00E7516E">
        <w:rPr>
          <w:rFonts w:cs="Times New Roman"/>
          <w:bCs/>
          <w:iCs/>
        </w:rPr>
        <w:t xml:space="preserve"> (Tas) replicates this principle in cl 8(1)(l).</w:t>
      </w:r>
    </w:p>
  </w:footnote>
  <w:footnote w:id="68">
    <w:p w14:paraId="7CB4CB35"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Residential Tenancy Act 1997 </w:t>
      </w:r>
      <w:r w:rsidRPr="00E7516E">
        <w:rPr>
          <w:rFonts w:cs="Times New Roman"/>
          <w:iCs/>
        </w:rPr>
        <w:t xml:space="preserve">(Tas) s 36N(1). The </w:t>
      </w:r>
      <w:r w:rsidRPr="00E7516E">
        <w:rPr>
          <w:rFonts w:cs="Times New Roman"/>
          <w:i/>
        </w:rPr>
        <w:t xml:space="preserve">Residential Tenancy Amendment (Minimum Window Coverings for Social Housing Properties) Act 2023 </w:t>
      </w:r>
      <w:r w:rsidRPr="00E7516E">
        <w:rPr>
          <w:rFonts w:cs="Times New Roman"/>
          <w:iCs/>
        </w:rPr>
        <w:t xml:space="preserve">(Tas), which comes into force in mid-2024, will amend the </w:t>
      </w:r>
      <w:r w:rsidRPr="00E7516E">
        <w:rPr>
          <w:rFonts w:cs="Times New Roman"/>
          <w:i/>
        </w:rPr>
        <w:t xml:space="preserve">Residential Tenancy Act </w:t>
      </w:r>
      <w:r w:rsidRPr="00E7516E">
        <w:rPr>
          <w:rFonts w:cs="Times New Roman"/>
          <w:iCs/>
        </w:rPr>
        <w:t>to extend the requirement for minimum window coverings to be provided in social housing residential properties.</w:t>
      </w:r>
    </w:p>
  </w:footnote>
  <w:footnote w:id="69">
    <w:p w14:paraId="3EE49A8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Access to Neighbouring Land Act 1992 </w:t>
      </w:r>
      <w:r w:rsidRPr="00E7516E">
        <w:rPr>
          <w:rFonts w:cs="Times New Roman"/>
          <w:iCs/>
        </w:rPr>
        <w:t xml:space="preserve">(Tas) s 6(2)(b). </w:t>
      </w:r>
    </w:p>
  </w:footnote>
  <w:footnote w:id="70">
    <w:p w14:paraId="6308103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R v Brown </w:t>
      </w:r>
      <w:r w:rsidRPr="00E7516E">
        <w:rPr>
          <w:rFonts w:cs="Times New Roman"/>
        </w:rPr>
        <w:t>[2014] TASSC 18</w:t>
      </w:r>
      <w:r w:rsidRPr="00E7516E">
        <w:rPr>
          <w:rFonts w:cs="Times New Roman"/>
          <w:iCs/>
        </w:rPr>
        <w:t>;</w:t>
      </w:r>
      <w:r w:rsidRPr="00E7516E">
        <w:rPr>
          <w:rFonts w:cs="Times New Roman"/>
          <w:i/>
        </w:rPr>
        <w:t xml:space="preserve"> R v Pettit </w:t>
      </w:r>
      <w:r w:rsidRPr="00E7516E">
        <w:rPr>
          <w:rFonts w:cs="Times New Roman"/>
        </w:rPr>
        <w:t>[2015] TASSC 14</w:t>
      </w:r>
      <w:r w:rsidRPr="00E7516E">
        <w:rPr>
          <w:rFonts w:cs="Times New Roman"/>
          <w:iCs/>
        </w:rPr>
        <w:t>;</w:t>
      </w:r>
      <w:r w:rsidRPr="00E7516E">
        <w:rPr>
          <w:rFonts w:cs="Times New Roman"/>
          <w:i/>
        </w:rPr>
        <w:t xml:space="preserve"> Tasmania v Wykes</w:t>
      </w:r>
      <w:r w:rsidRPr="00E7516E">
        <w:rPr>
          <w:rFonts w:cs="Times New Roman"/>
        </w:rPr>
        <w:t xml:space="preserve"> [2019] TASSC 18; see also </w:t>
      </w:r>
      <w:r w:rsidRPr="00E7516E">
        <w:rPr>
          <w:rFonts w:cs="Times New Roman"/>
          <w:i/>
        </w:rPr>
        <w:t>Hibble v B</w:t>
      </w:r>
      <w:r w:rsidRPr="00E7516E">
        <w:rPr>
          <w:rFonts w:cs="Times New Roman"/>
        </w:rPr>
        <w:t xml:space="preserve"> [2012] TASSC 59. Cf </w:t>
      </w:r>
      <w:r w:rsidRPr="00E7516E">
        <w:rPr>
          <w:rFonts w:cs="Times New Roman"/>
          <w:i/>
        </w:rPr>
        <w:t>Tasmania v Melick</w:t>
      </w:r>
      <w:r w:rsidRPr="00E7516E">
        <w:rPr>
          <w:rFonts w:cs="Times New Roman"/>
        </w:rPr>
        <w:t xml:space="preserve"> [2019] TASSC 19, where the Court held the evidence to be admissible in spite of the privacy interference, because the interests in privacy were outweighed by countervailing public interests in crime detection. </w:t>
      </w:r>
    </w:p>
  </w:footnote>
  <w:footnote w:id="71">
    <w:p w14:paraId="4763078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Clubb v Edwards; Preston v Avery</w:t>
      </w:r>
      <w:r w:rsidRPr="00E7516E">
        <w:rPr>
          <w:rFonts w:cs="Times New Roman"/>
        </w:rPr>
        <w:t xml:space="preserve"> </w:t>
      </w:r>
      <w:r w:rsidRPr="00E7516E">
        <w:rPr>
          <w:rFonts w:cs="Times New Roman"/>
          <w:iCs/>
        </w:rPr>
        <w:t>(2019) 267 C</w:t>
      </w:r>
      <w:r w:rsidRPr="003215A2">
        <w:rPr>
          <w:rFonts w:cs="Times New Roman"/>
          <w:iCs/>
        </w:rPr>
        <w:t>LR 171</w:t>
      </w:r>
      <w:r w:rsidRPr="003215A2">
        <w:rPr>
          <w:rFonts w:cs="Times New Roman"/>
        </w:rPr>
        <w:t xml:space="preserve"> [</w:t>
      </w:r>
      <w:r w:rsidRPr="00EA22F8">
        <w:rPr>
          <w:rFonts w:cs="Times New Roman"/>
        </w:rPr>
        <w:t>120</w:t>
      </w:r>
      <w:r w:rsidRPr="003215A2">
        <w:rPr>
          <w:rFonts w:cs="Times New Roman"/>
        </w:rPr>
        <w:t>].</w:t>
      </w:r>
    </w:p>
  </w:footnote>
  <w:footnote w:id="72">
    <w:p w14:paraId="3D241E4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(2019) 267 CLR 171 [120].</w:t>
      </w:r>
    </w:p>
  </w:footnote>
  <w:footnote w:id="73">
    <w:p w14:paraId="2DA9928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Australian Broadcasting Corporation v Lenah Game Meats Pty Ltd</w:t>
      </w:r>
      <w:r w:rsidRPr="00E7516E">
        <w:rPr>
          <w:rFonts w:cs="Times New Roman"/>
        </w:rPr>
        <w:t xml:space="preserve"> </w:t>
      </w:r>
      <w:r w:rsidRPr="00E7516E">
        <w:rPr>
          <w:rFonts w:cs="Times New Roman"/>
          <w:color w:val="000000" w:themeColor="text1"/>
        </w:rPr>
        <w:t>(2001) 208 CLR 199 (‘</w:t>
      </w:r>
      <w:r w:rsidRPr="00E7516E">
        <w:rPr>
          <w:rFonts w:cs="Times New Roman"/>
          <w:i/>
        </w:rPr>
        <w:t>Lenah Game Meats</w:t>
      </w:r>
      <w:r w:rsidRPr="00E7516E">
        <w:rPr>
          <w:rFonts w:cs="Times New Roman"/>
          <w:color w:val="000000" w:themeColor="text1"/>
        </w:rPr>
        <w:t>’).</w:t>
      </w:r>
    </w:p>
  </w:footnote>
  <w:footnote w:id="74">
    <w:p w14:paraId="5D665878" w14:textId="0235DD7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280ff.</w:t>
      </w:r>
    </w:p>
  </w:footnote>
  <w:footnote w:id="75">
    <w:p w14:paraId="3A5CEC3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 </w:t>
      </w:r>
      <w:r w:rsidRPr="00E7516E">
        <w:rPr>
          <w:rFonts w:cs="Times New Roman"/>
          <w:i/>
        </w:rPr>
        <w:t>For Your Information</w:t>
      </w:r>
      <w:r w:rsidRPr="00E7516E">
        <w:rPr>
          <w:rFonts w:cs="Times New Roman"/>
        </w:rPr>
        <w:t xml:space="preserve"> [3.13].</w:t>
      </w:r>
    </w:p>
  </w:footnote>
  <w:footnote w:id="76">
    <w:p w14:paraId="19DF57D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218–12, Recommendations 3-1, 3-2, 3-3.</w:t>
      </w:r>
    </w:p>
  </w:footnote>
  <w:footnote w:id="77">
    <w:p w14:paraId="2839CD1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219–20, 224, Recommendations 3-4, 3-5.</w:t>
      </w:r>
    </w:p>
  </w:footnote>
  <w:footnote w:id="78">
    <w:p w14:paraId="4C7DBA1B" w14:textId="333B686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29.3, 302</w:t>
      </w:r>
      <w:r w:rsidR="00C45C1D">
        <w:rPr>
          <w:rFonts w:cs="Times New Roman"/>
        </w:rPr>
        <w:t>–</w:t>
      </w:r>
      <w:r w:rsidRPr="00E7516E">
        <w:rPr>
          <w:rFonts w:cs="Times New Roman"/>
        </w:rPr>
        <w:t>303.</w:t>
      </w:r>
    </w:p>
  </w:footnote>
  <w:footnote w:id="79">
    <w:p w14:paraId="0E5973FB" w14:textId="0922287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45C1D">
        <w:rPr>
          <w:rFonts w:cs="Times New Roman"/>
        </w:rPr>
        <w:t>Ibid</w:t>
      </w:r>
      <w:r w:rsidRPr="00E7516E">
        <w:rPr>
          <w:rFonts w:cs="Times New Roman"/>
        </w:rPr>
        <w:t xml:space="preserve"> Proposal 29.3, 138.</w:t>
      </w:r>
    </w:p>
  </w:footnote>
  <w:footnote w:id="80">
    <w:p w14:paraId="18C3135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Australian Government, </w:t>
      </w:r>
      <w:r w:rsidRPr="00E7516E">
        <w:rPr>
          <w:rFonts w:cs="Times New Roman"/>
          <w:i/>
          <w:iCs/>
        </w:rPr>
        <w:t xml:space="preserve">Government Response: Privacy Act Review Report </w:t>
      </w:r>
      <w:r w:rsidRPr="00E7516E">
        <w:rPr>
          <w:rFonts w:cs="Times New Roman"/>
        </w:rPr>
        <w:t>(2023) 16.</w:t>
      </w:r>
    </w:p>
  </w:footnote>
  <w:footnote w:id="81">
    <w:p w14:paraId="0EC8C792" w14:textId="7E7640C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NSW Law Reform Commission</w:t>
      </w:r>
      <w:r w:rsidRPr="00E7516E">
        <w:rPr>
          <w:rFonts w:cs="Times New Roman"/>
          <w:i/>
          <w:iCs/>
        </w:rPr>
        <w:t>, Privacy Principles</w:t>
      </w:r>
      <w:r w:rsidRPr="00E7516E">
        <w:rPr>
          <w:rFonts w:cs="Times New Roman"/>
        </w:rPr>
        <w:t xml:space="preserve"> (Report No 123, August 2009) 4, 198–9 (see Recommendation</w:t>
      </w:r>
      <w:r w:rsidR="00C45C1D">
        <w:rPr>
          <w:rFonts w:cs="Times New Roman"/>
        </w:rPr>
        <w:t xml:space="preserve"> </w:t>
      </w:r>
      <w:r w:rsidRPr="00E7516E">
        <w:rPr>
          <w:rFonts w:cs="Times New Roman"/>
        </w:rPr>
        <w:t xml:space="preserve">11); NSW Law Reform Commission, </w:t>
      </w:r>
      <w:r w:rsidRPr="00E7516E">
        <w:rPr>
          <w:rFonts w:cs="Times New Roman"/>
          <w:i/>
          <w:iCs/>
        </w:rPr>
        <w:t>Protecting Privacy in New South Wales</w:t>
      </w:r>
      <w:r w:rsidRPr="00E7516E">
        <w:rPr>
          <w:rFonts w:cs="Times New Roman"/>
        </w:rPr>
        <w:t xml:space="preserve"> (Report No 127,</w:t>
      </w:r>
      <w:r w:rsidRPr="00E7516E">
        <w:rPr>
          <w:rFonts w:cs="Times New Roman"/>
          <w:i/>
          <w:iCs/>
        </w:rPr>
        <w:t xml:space="preserve"> </w:t>
      </w:r>
      <w:r w:rsidRPr="00E7516E">
        <w:rPr>
          <w:rFonts w:cs="Times New Roman"/>
        </w:rPr>
        <w:t>May 2010) 35–6 (see Recommendation 2.5).</w:t>
      </w:r>
    </w:p>
  </w:footnote>
  <w:footnote w:id="82">
    <w:p w14:paraId="479CE7E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of Western Australia, </w:t>
      </w:r>
      <w:r w:rsidRPr="00E7516E">
        <w:rPr>
          <w:rFonts w:cs="Times New Roman"/>
          <w:i/>
        </w:rPr>
        <w:t>Privacy and Responsible Information Sharing for the Western Australian Public Sector</w:t>
      </w:r>
      <w:r w:rsidRPr="00E7516E">
        <w:rPr>
          <w:rFonts w:cs="Times New Roman"/>
        </w:rPr>
        <w:t xml:space="preserve"> (Discussion Paper, 2019).</w:t>
      </w:r>
    </w:p>
  </w:footnote>
  <w:footnote w:id="83">
    <w:p w14:paraId="69798E2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Crime and Corruption Commission (Queensland), </w:t>
      </w:r>
      <w:r w:rsidRPr="00E7516E">
        <w:rPr>
          <w:rFonts w:cs="Times New Roman"/>
          <w:i/>
        </w:rPr>
        <w:t>Operation Impala:</w:t>
      </w:r>
      <w:r w:rsidRPr="00E7516E">
        <w:rPr>
          <w:rFonts w:cs="Times New Roman"/>
        </w:rPr>
        <w:t xml:space="preserve"> </w:t>
      </w:r>
      <w:r w:rsidRPr="00E7516E">
        <w:rPr>
          <w:rFonts w:cs="Times New Roman"/>
          <w:i/>
        </w:rPr>
        <w:t>Report on Misuse of Confidential Information in the Queensland Public Sector</w:t>
      </w:r>
      <w:r w:rsidRPr="00E7516E">
        <w:rPr>
          <w:rFonts w:cs="Times New Roman"/>
        </w:rPr>
        <w:t xml:space="preserve"> (Report, February 2020) Recommendation 16. It is noted that the </w:t>
      </w:r>
      <w:r w:rsidRPr="00E7516E">
        <w:rPr>
          <w:rFonts w:cs="Times New Roman"/>
          <w:i/>
          <w:iCs/>
        </w:rPr>
        <w:t>Information Privacy and Other Legislation Amendment Act 2023</w:t>
      </w:r>
      <w:r w:rsidRPr="00E7516E">
        <w:rPr>
          <w:rFonts w:cs="Times New Roman"/>
        </w:rPr>
        <w:t xml:space="preserve"> (Qld) has been passed but not commenced, which would amend the Queensland Privacy Principles to reflect the Commonwealth APP (now called Queensland Privacy Principles (‘QPP’) rather than schedule 3 (IPPs) and schedule 4 (PP). This Act implements or responds to reforms proposed in a number of Queensland reviews of information privacy and right to privacy: see </w:t>
      </w:r>
      <w:r w:rsidRPr="00E7516E">
        <w:rPr>
          <w:rFonts w:cs="Times New Roman"/>
          <w:i/>
          <w:iCs/>
        </w:rPr>
        <w:t>Information Privacy and Other Legislation Amendment Act 2023</w:t>
      </w:r>
      <w:r w:rsidRPr="00E7516E">
        <w:rPr>
          <w:rFonts w:cs="Times New Roman"/>
        </w:rPr>
        <w:t xml:space="preserve"> (Qld) Explanatory Notes &lt;https://documents.parliament.qld.gov.au/bills/2023/3163/Information-Privacy-and-Other-Legislation-Amendment-Bill-2023---Explanatory-Notes-baf8.pdf&gt;. The full details of the background to the reforms and the legislative changes are beyond the scope of this report.</w:t>
      </w:r>
    </w:p>
  </w:footnote>
  <w:footnote w:id="84">
    <w:p w14:paraId="774ED344" w14:textId="4ACCDA6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20664">
        <w:rPr>
          <w:rFonts w:cs="Times New Roman"/>
        </w:rPr>
        <w:t xml:space="preserve">Issues Paper </w:t>
      </w:r>
      <w:r w:rsidRPr="00E7516E">
        <w:rPr>
          <w:rFonts w:cs="Times New Roman"/>
        </w:rPr>
        <w:t>Part 2, Question 2.7.</w:t>
      </w:r>
    </w:p>
  </w:footnote>
  <w:footnote w:id="85">
    <w:p w14:paraId="260BCFE4" w14:textId="4301BB6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4</w:t>
      </w:r>
      <w:r w:rsidR="00A20664">
        <w:rPr>
          <w:rFonts w:cs="Times New Roman"/>
        </w:rPr>
        <w:t xml:space="preserve"> (Tasmanian Ombudsman)</w:t>
      </w:r>
      <w:r w:rsidRPr="00E7516E">
        <w:rPr>
          <w:rFonts w:cs="Times New Roman"/>
        </w:rPr>
        <w:t>.</w:t>
      </w:r>
    </w:p>
  </w:footnote>
  <w:footnote w:id="86">
    <w:p w14:paraId="2E331ECB" w14:textId="19A0084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12</w:t>
      </w:r>
      <w:r w:rsidR="00AD3812">
        <w:rPr>
          <w:rFonts w:cs="Times New Roman"/>
        </w:rPr>
        <w:t xml:space="preserve"> (Youth Law Australia)</w:t>
      </w:r>
      <w:r w:rsidRPr="00E7516E">
        <w:rPr>
          <w:rFonts w:cs="Times New Roman"/>
        </w:rPr>
        <w:t xml:space="preserve"> 3.</w:t>
      </w:r>
    </w:p>
  </w:footnote>
  <w:footnote w:id="87">
    <w:p w14:paraId="7A3117BA" w14:textId="6A29123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7</w:t>
      </w:r>
      <w:r w:rsidR="00AD3812">
        <w:rPr>
          <w:rFonts w:cs="Times New Roman"/>
        </w:rPr>
        <w:t xml:space="preserve"> </w:t>
      </w:r>
      <w:r w:rsidR="009321FD">
        <w:rPr>
          <w:rFonts w:cs="Times New Roman"/>
        </w:rPr>
        <w:t>(Insurance Council of Australia)</w:t>
      </w:r>
      <w:r w:rsidRPr="00E7516E">
        <w:rPr>
          <w:rFonts w:cs="Times New Roman"/>
        </w:rPr>
        <w:t>.</w:t>
      </w:r>
    </w:p>
  </w:footnote>
  <w:footnote w:id="88">
    <w:p w14:paraId="48682D6F" w14:textId="2B6B757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321FD">
        <w:rPr>
          <w:rFonts w:cs="Times New Roman"/>
        </w:rPr>
        <w:t>Ibid</w:t>
      </w:r>
      <w:r w:rsidRPr="00E7516E">
        <w:rPr>
          <w:rFonts w:cs="Times New Roman"/>
        </w:rPr>
        <w:t>.</w:t>
      </w:r>
    </w:p>
  </w:footnote>
  <w:footnote w:id="89">
    <w:p w14:paraId="5FA3E6B2" w14:textId="2A90B44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321FD">
        <w:rPr>
          <w:rFonts w:cs="Times New Roman"/>
        </w:rPr>
        <w:t>Submission 7 (</w:t>
      </w:r>
      <w:r w:rsidRPr="00E7516E">
        <w:rPr>
          <w:rFonts w:cs="Times New Roman"/>
        </w:rPr>
        <w:t>Insurance Co</w:t>
      </w:r>
      <w:r w:rsidR="007014A5">
        <w:rPr>
          <w:rFonts w:cs="Times New Roman"/>
        </w:rPr>
        <w:t>uncil</w:t>
      </w:r>
      <w:r w:rsidRPr="00E7516E">
        <w:rPr>
          <w:rFonts w:cs="Times New Roman"/>
        </w:rPr>
        <w:t xml:space="preserve"> of Australia</w:t>
      </w:r>
      <w:r w:rsidR="009321FD">
        <w:rPr>
          <w:rFonts w:cs="Times New Roman"/>
        </w:rPr>
        <w:t>)</w:t>
      </w:r>
      <w:r w:rsidRPr="00E7516E">
        <w:rPr>
          <w:rFonts w:cs="Times New Roman"/>
        </w:rPr>
        <w:t xml:space="preserve">; Submission </w:t>
      </w:r>
      <w:r w:rsidRPr="00EA22F8">
        <w:rPr>
          <w:rFonts w:cs="Times New Roman"/>
        </w:rPr>
        <w:t>2</w:t>
      </w:r>
      <w:r w:rsidR="00CA1220" w:rsidRPr="00EA22F8">
        <w:rPr>
          <w:rFonts w:cs="Times New Roman"/>
        </w:rPr>
        <w:t>0 (</w:t>
      </w:r>
      <w:r w:rsidR="00CA1220" w:rsidRPr="00CA1220">
        <w:rPr>
          <w:rFonts w:cs="Times New Roman"/>
        </w:rPr>
        <w:t>Dr Joel Scanlan</w:t>
      </w:r>
      <w:r w:rsidR="00CA1220" w:rsidRPr="00EA22F8">
        <w:rPr>
          <w:rFonts w:cs="Times New Roman"/>
        </w:rPr>
        <w:t>)</w:t>
      </w:r>
      <w:r w:rsidRPr="00CA1220">
        <w:rPr>
          <w:rFonts w:cs="Times New Roman"/>
        </w:rPr>
        <w:t>.</w:t>
      </w:r>
      <w:r w:rsidRPr="00E7516E">
        <w:rPr>
          <w:rFonts w:cs="Times New Roman"/>
        </w:rPr>
        <w:t xml:space="preserve"> </w:t>
      </w:r>
    </w:p>
  </w:footnote>
  <w:footnote w:id="90">
    <w:p w14:paraId="2DD61FAB" w14:textId="70D7348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290, 291 </w:t>
      </w:r>
      <w:r w:rsidRPr="00EA22F8">
        <w:rPr>
          <w:rFonts w:cs="Times New Roman"/>
        </w:rPr>
        <w:t>and citing several submissions.</w:t>
      </w:r>
    </w:p>
  </w:footnote>
  <w:footnote w:id="91">
    <w:p w14:paraId="0A89B745" w14:textId="4B77B7A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C2555" w:rsidRPr="00E7516E">
        <w:rPr>
          <w:rFonts w:cs="Times New Roman"/>
        </w:rPr>
        <w:t>Privacy Act Review Report 2022</w:t>
      </w:r>
      <w:r w:rsidR="00915A83">
        <w:rPr>
          <w:rFonts w:cs="Times New Roman"/>
        </w:rPr>
        <w:t xml:space="preserve"> </w:t>
      </w:r>
      <w:r w:rsidRPr="00E7516E">
        <w:rPr>
          <w:rFonts w:cs="Times New Roman"/>
        </w:rPr>
        <w:t>Proposal 29.3 303.</w:t>
      </w:r>
    </w:p>
  </w:footnote>
  <w:footnote w:id="92">
    <w:p w14:paraId="604884D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Note that public information custodians can also be prescribed in regulations, but at present there are no regulations for the PIPA.</w:t>
      </w:r>
    </w:p>
  </w:footnote>
  <w:footnote w:id="93">
    <w:p w14:paraId="591E185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meaning of ‘Agency’ is adopted from that in the </w:t>
      </w:r>
      <w:r w:rsidRPr="00E7516E">
        <w:rPr>
          <w:rFonts w:cs="Times New Roman"/>
          <w:i/>
          <w:iCs/>
        </w:rPr>
        <w:t xml:space="preserve">State Service Act 2000 </w:t>
      </w:r>
      <w:r w:rsidRPr="00E7516E">
        <w:rPr>
          <w:rFonts w:cs="Times New Roman"/>
        </w:rPr>
        <w:t xml:space="preserve">(Tas), which lists all agencies in Schedule 1: </w:t>
      </w:r>
      <w:r w:rsidRPr="00E7516E">
        <w:rPr>
          <w:rFonts w:cs="Times New Roman"/>
          <w:i/>
          <w:iCs/>
        </w:rPr>
        <w:t>State Service Act 2000</w:t>
      </w:r>
      <w:r w:rsidRPr="00E7516E">
        <w:rPr>
          <w:rFonts w:cs="Times New Roman"/>
        </w:rPr>
        <w:t xml:space="preserve"> (Tas) s 3(1) (‘Agency’).</w:t>
      </w:r>
    </w:p>
  </w:footnote>
  <w:footnote w:id="94">
    <w:p w14:paraId="72984CF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meaning of ‘Government Business Enterprise’ is adopted from the </w:t>
      </w:r>
      <w:r w:rsidRPr="00E7516E">
        <w:rPr>
          <w:rFonts w:cs="Times New Roman"/>
          <w:i/>
          <w:iCs/>
        </w:rPr>
        <w:t xml:space="preserve">Government Business Enterprises Act 1995 </w:t>
      </w:r>
      <w:r w:rsidRPr="00E7516E">
        <w:rPr>
          <w:rFonts w:cs="Times New Roman"/>
        </w:rPr>
        <w:t xml:space="preserve">(Tas), which specifies a list of statutory authorities that constitute a Government Business Enterprise at Schedule 1: </w:t>
      </w:r>
      <w:r w:rsidRPr="00E7516E">
        <w:rPr>
          <w:rFonts w:cs="Times New Roman"/>
          <w:i/>
          <w:iCs/>
        </w:rPr>
        <w:t xml:space="preserve">Government Business Enterprises Act 1995 </w:t>
      </w:r>
      <w:r w:rsidRPr="00E7516E">
        <w:rPr>
          <w:rFonts w:cs="Times New Roman"/>
        </w:rPr>
        <w:t>(Tas). They are: Forestry Corporation established by the Forestry Act 1920; Hydro-Electric Corporation; Motor Accidents Insurance Board; Port Arthur Historic Site Management Authority; Public Trustee; and Tasmanian Public Finance Corporation: ibid, Sch 1.</w:t>
      </w:r>
    </w:p>
  </w:footnote>
  <w:footnote w:id="95">
    <w:p w14:paraId="57CE9D7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3 (‘public authority’); see </w:t>
      </w:r>
      <w:r w:rsidRPr="00E7516E">
        <w:rPr>
          <w:rFonts w:cs="Times New Roman"/>
          <w:i/>
          <w:iCs/>
        </w:rPr>
        <w:t xml:space="preserve">Right to Information Act 2009 </w:t>
      </w:r>
      <w:r w:rsidRPr="00E7516E">
        <w:rPr>
          <w:rFonts w:cs="Times New Roman"/>
        </w:rPr>
        <w:t>(Tas)</w:t>
      </w:r>
      <w:r w:rsidRPr="00E7516E">
        <w:rPr>
          <w:rFonts w:cs="Times New Roman"/>
          <w:i/>
          <w:iCs/>
        </w:rPr>
        <w:t xml:space="preserve"> </w:t>
      </w:r>
      <w:r w:rsidRPr="00E7516E">
        <w:rPr>
          <w:rFonts w:cs="Times New Roman"/>
        </w:rPr>
        <w:t>s 5.</w:t>
      </w:r>
    </w:p>
  </w:footnote>
  <w:footnote w:id="96">
    <w:p w14:paraId="2C7CAFE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7(a), (b), (g).</w:t>
      </w:r>
    </w:p>
  </w:footnote>
  <w:footnote w:id="97">
    <w:p w14:paraId="46763067" w14:textId="630B776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E1594">
        <w:rPr>
          <w:rFonts w:cs="Times New Roman"/>
        </w:rPr>
        <w:t>PIPA</w:t>
      </w:r>
      <w:r w:rsidRPr="00E7516E">
        <w:rPr>
          <w:rFonts w:cs="Times New Roman"/>
        </w:rPr>
        <w:t xml:space="preserve"> s 7(c), (d), (e), (f), (ga), (h). </w:t>
      </w:r>
    </w:p>
  </w:footnote>
  <w:footnote w:id="98">
    <w:p w14:paraId="3F2BAB52" w14:textId="62A95B1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E1594">
        <w:rPr>
          <w:rFonts w:cs="Times New Roman"/>
        </w:rPr>
        <w:t>PIPA</w:t>
      </w:r>
      <w:r w:rsidRPr="00E7516E">
        <w:rPr>
          <w:rFonts w:cs="Times New Roman"/>
        </w:rPr>
        <w:t xml:space="preserve"> s 12A.</w:t>
      </w:r>
    </w:p>
  </w:footnote>
  <w:footnote w:id="99">
    <w:p w14:paraId="095842B5" w14:textId="70C9C10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E1594">
        <w:rPr>
          <w:rFonts w:cs="Times New Roman"/>
        </w:rPr>
        <w:t>PIPA</w:t>
      </w:r>
      <w:r w:rsidRPr="00E7516E">
        <w:rPr>
          <w:rFonts w:cs="Times New Roman"/>
        </w:rPr>
        <w:t xml:space="preserve"> s 3 (definition of ‘personal information custodian’ and ‘personal information contract’); s 17.</w:t>
      </w:r>
    </w:p>
  </w:footnote>
  <w:footnote w:id="100">
    <w:p w14:paraId="1A03CC09" w14:textId="3992E9B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Note that use of cloud storage may come within the terms of s 12 of the PIPA, which provides for the efficient storage and use of basic information. See further the discussion of ‘basic personal information’ </w:t>
      </w:r>
      <w:r w:rsidR="002E661A">
        <w:rPr>
          <w:rFonts w:cs="Times New Roman"/>
        </w:rPr>
        <w:t>in</w:t>
      </w:r>
      <w:r w:rsidRPr="00E7516E">
        <w:rPr>
          <w:rFonts w:cs="Times New Roman"/>
        </w:rPr>
        <w:t xml:space="preserve"> </w:t>
      </w:r>
      <w:r w:rsidRPr="00EA22F8">
        <w:rPr>
          <w:rFonts w:cs="Times New Roman"/>
        </w:rPr>
        <w:t>Part</w:t>
      </w:r>
      <w:r w:rsidR="002E661A" w:rsidRPr="00EA22F8">
        <w:rPr>
          <w:rFonts w:cs="Times New Roman"/>
        </w:rPr>
        <w:t> </w:t>
      </w:r>
      <w:r w:rsidRPr="00EA22F8">
        <w:rPr>
          <w:rFonts w:cs="Times New Roman"/>
        </w:rPr>
        <w:t>4].</w:t>
      </w:r>
    </w:p>
  </w:footnote>
  <w:footnote w:id="101">
    <w:p w14:paraId="1EB7242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3.</w:t>
      </w:r>
    </w:p>
  </w:footnote>
  <w:footnote w:id="102">
    <w:p w14:paraId="72F3A0F2" w14:textId="3697F79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267C0" w:rsidRPr="00E7516E">
        <w:rPr>
          <w:rFonts w:cs="Times New Roman"/>
          <w:i/>
          <w:iCs/>
        </w:rPr>
        <w:t xml:space="preserve">Privacy Act 1988 </w:t>
      </w:r>
      <w:r w:rsidR="00A267C0" w:rsidRPr="00E7516E">
        <w:rPr>
          <w:rFonts w:cs="Times New Roman"/>
        </w:rPr>
        <w:t xml:space="preserve">(Cth) </w:t>
      </w:r>
      <w:r w:rsidRPr="00E7516E">
        <w:rPr>
          <w:rFonts w:cs="Times New Roman"/>
        </w:rPr>
        <w:t>s 6 (definition of ‘APP entity’ and ‘organisation’).</w:t>
      </w:r>
    </w:p>
  </w:footnote>
  <w:footnote w:id="103">
    <w:p w14:paraId="07725283" w14:textId="7F019CB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00A267C0" w:rsidRPr="00E7516E">
        <w:rPr>
          <w:rFonts w:cs="Times New Roman"/>
          <w:i/>
          <w:iCs/>
        </w:rPr>
        <w:t xml:space="preserve">Privacy Act 1988 </w:t>
      </w:r>
      <w:r w:rsidR="00A267C0" w:rsidRPr="00E7516E">
        <w:rPr>
          <w:rFonts w:cs="Times New Roman"/>
        </w:rPr>
        <w:t>(Cth)</w:t>
      </w:r>
      <w:r w:rsidRPr="00E7516E">
        <w:rPr>
          <w:rFonts w:cs="Times New Roman"/>
          <w:iCs/>
        </w:rPr>
        <w:t xml:space="preserve"> </w:t>
      </w:r>
      <w:r w:rsidRPr="00E7516E">
        <w:rPr>
          <w:rFonts w:cs="Times New Roman"/>
        </w:rPr>
        <w:t>s 6 (definition of ‘agency’).</w:t>
      </w:r>
    </w:p>
  </w:footnote>
  <w:footnote w:id="104">
    <w:p w14:paraId="47D422F6" w14:textId="7BE5076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00A267C0" w:rsidRPr="00E7516E">
        <w:rPr>
          <w:rFonts w:cs="Times New Roman"/>
          <w:i/>
          <w:iCs/>
        </w:rPr>
        <w:t xml:space="preserve">Privacy Act 1988 </w:t>
      </w:r>
      <w:r w:rsidR="00A267C0" w:rsidRPr="00E7516E">
        <w:rPr>
          <w:rFonts w:cs="Times New Roman"/>
        </w:rPr>
        <w:t xml:space="preserve">(Cth) </w:t>
      </w:r>
      <w:r w:rsidRPr="00E7516E">
        <w:rPr>
          <w:rFonts w:cs="Times New Roman"/>
        </w:rPr>
        <w:t>ss 6 (definition ‘organisation’), 6D.</w:t>
      </w:r>
    </w:p>
  </w:footnote>
  <w:footnote w:id="105">
    <w:p w14:paraId="304E1A2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(Cth) </w:t>
      </w:r>
      <w:r w:rsidRPr="00E7516E">
        <w:rPr>
          <w:rFonts w:cs="Times New Roman"/>
        </w:rPr>
        <w:t xml:space="preserve">ss 6C(1), 6D. Small businesses that trade in personal information (that is, disclose personal information for a benefit, service or advantage) are outside the scope of this exemption, unless they obtain the consent of individuals to collect or disclose their personal information: </w:t>
      </w:r>
      <w:r w:rsidRPr="00E7516E">
        <w:rPr>
          <w:rFonts w:cs="Times New Roman"/>
          <w:i/>
          <w:iCs/>
        </w:rPr>
        <w:t>Privacy Act 1988</w:t>
      </w:r>
      <w:r w:rsidRPr="00E7516E">
        <w:rPr>
          <w:rFonts w:cs="Times New Roman"/>
        </w:rPr>
        <w:t xml:space="preserve"> (Cth) ss 6D(4)(c), (7).</w:t>
      </w:r>
    </w:p>
  </w:footnote>
  <w:footnote w:id="106">
    <w:p w14:paraId="3F4D008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Privacy Act 1988 </w:t>
      </w:r>
      <w:r w:rsidRPr="00E7516E">
        <w:rPr>
          <w:rFonts w:cs="Times New Roman"/>
        </w:rPr>
        <w:t>(Cth) ss 6 (definition of ‘registered political party’), 6C(1).</w:t>
      </w:r>
    </w:p>
  </w:footnote>
  <w:footnote w:id="107">
    <w:p w14:paraId="081A697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ss 6C, 7C; Review Report 2022 72.</w:t>
      </w:r>
    </w:p>
  </w:footnote>
  <w:footnote w:id="108">
    <w:p w14:paraId="784D41C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6D(4)(c).</w:t>
      </w:r>
    </w:p>
  </w:footnote>
  <w:footnote w:id="109">
    <w:p w14:paraId="46E0CAE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ss 6D(7).</w:t>
      </w:r>
    </w:p>
  </w:footnote>
  <w:footnote w:id="110">
    <w:p w14:paraId="38D3E91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ss 6C(1), (3). This includes bodies or tribunals established or appointed for a public purpose under a State or Territory law, except where that body is an incorporated company, society, or association. Note that States and Territories can also request that their instrumentalities be exempted.</w:t>
      </w:r>
    </w:p>
  </w:footnote>
  <w:footnote w:id="111">
    <w:p w14:paraId="34A1D88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Privacy Act 1988 </w:t>
      </w:r>
      <w:r w:rsidRPr="00E7516E">
        <w:rPr>
          <w:rFonts w:cs="Times New Roman"/>
        </w:rPr>
        <w:t>(Cth) ss 6 (definition of ‘State contract’), 7B(5).</w:t>
      </w:r>
    </w:p>
  </w:footnote>
  <w:footnote w:id="112">
    <w:p w14:paraId="3FFD276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t>
      </w:r>
      <w:r w:rsidRPr="00E7516E">
        <w:rPr>
          <w:rFonts w:cs="Times New Roman"/>
          <w:i/>
          <w:iCs/>
        </w:rPr>
        <w:t>Privacy and Personal Information Protection Act 1998</w:t>
      </w:r>
      <w:r w:rsidRPr="00E7516E">
        <w:rPr>
          <w:rFonts w:cs="Times New Roman"/>
        </w:rPr>
        <w:t xml:space="preserve"> (NSW) s 6(1); </w:t>
      </w:r>
      <w:r w:rsidRPr="00E7516E">
        <w:rPr>
          <w:rFonts w:cs="Times New Roman"/>
          <w:i/>
          <w:iCs/>
        </w:rPr>
        <w:t>Privacy and Data Protection Act 2014</w:t>
      </w:r>
      <w:r w:rsidRPr="00E7516E">
        <w:rPr>
          <w:rFonts w:cs="Times New Roman"/>
        </w:rPr>
        <w:t xml:space="preserve"> (Vic) s 10;</w:t>
      </w:r>
      <w:r w:rsidRPr="00E7516E">
        <w:rPr>
          <w:rFonts w:cs="Times New Roman"/>
          <w:i/>
          <w:iCs/>
        </w:rPr>
        <w:t xml:space="preserve"> Information Privacy Act 2009</w:t>
      </w:r>
      <w:r w:rsidRPr="00E7516E">
        <w:rPr>
          <w:rFonts w:cs="Times New Roman"/>
        </w:rPr>
        <w:t xml:space="preserve"> (Qld) s 19; Sch 2, Pt 2; </w:t>
      </w:r>
      <w:r w:rsidRPr="00E7516E">
        <w:rPr>
          <w:rFonts w:cs="Times New Roman"/>
          <w:i/>
          <w:iCs/>
        </w:rPr>
        <w:t>Information Privacy Act 2014</w:t>
      </w:r>
      <w:r w:rsidRPr="00E7516E">
        <w:rPr>
          <w:rFonts w:cs="Times New Roman"/>
        </w:rPr>
        <w:t xml:space="preserve"> (ACT) s 25(1)(b). It is noted that the </w:t>
      </w:r>
      <w:r w:rsidRPr="00E7516E">
        <w:rPr>
          <w:rFonts w:cs="Times New Roman"/>
          <w:i/>
          <w:iCs/>
        </w:rPr>
        <w:t>Information Privacy and Other Legislation Amendment Act 2023</w:t>
      </w:r>
      <w:r w:rsidRPr="00E7516E">
        <w:rPr>
          <w:rFonts w:cs="Times New Roman"/>
        </w:rPr>
        <w:t xml:space="preserve"> (Qld) has been passed but not commenced. Details of the reforms are outlined in </w:t>
      </w:r>
      <w:r w:rsidRPr="00E7516E">
        <w:rPr>
          <w:rFonts w:cs="Times New Roman"/>
          <w:i/>
          <w:iCs/>
        </w:rPr>
        <w:t>Information Privacy and Other Legislation Amendment Act 2023</w:t>
      </w:r>
      <w:r w:rsidRPr="00E7516E">
        <w:rPr>
          <w:rFonts w:cs="Times New Roman"/>
        </w:rPr>
        <w:t xml:space="preserve"> (Qld) Explanatory Notes &lt;https://documents.parliament.qld.gov.au/bills/2023/3163/Information-Privacy-and-Other-Legislation-Amendment-Bill-2023---Explanatory-Notes-baf8.pdf&gt;.</w:t>
      </w:r>
    </w:p>
  </w:footnote>
  <w:footnote w:id="113">
    <w:p w14:paraId="6DDCC11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t>
      </w:r>
      <w:r w:rsidRPr="00E7516E">
        <w:rPr>
          <w:rFonts w:cs="Times New Roman"/>
          <w:i/>
          <w:iCs/>
        </w:rPr>
        <w:t>Privacy and Data Protection Act 2014</w:t>
      </w:r>
      <w:r w:rsidRPr="00E7516E">
        <w:rPr>
          <w:rFonts w:cs="Times New Roman"/>
        </w:rPr>
        <w:t xml:space="preserve"> (Vic) ss 10A, 11; </w:t>
      </w:r>
      <w:r w:rsidRPr="00E7516E">
        <w:rPr>
          <w:rFonts w:cs="Times New Roman"/>
          <w:i/>
          <w:iCs/>
        </w:rPr>
        <w:t>Privacy and Personal Information Protection Act 1998</w:t>
      </w:r>
      <w:r w:rsidRPr="00E7516E">
        <w:rPr>
          <w:rFonts w:cs="Times New Roman"/>
        </w:rPr>
        <w:t xml:space="preserve"> (NSW) s 6(2); </w:t>
      </w:r>
      <w:r w:rsidRPr="00E7516E">
        <w:rPr>
          <w:rFonts w:cs="Times New Roman"/>
          <w:i/>
          <w:iCs/>
        </w:rPr>
        <w:t>Information Privacy Act 2009</w:t>
      </w:r>
      <w:r w:rsidRPr="00E7516E">
        <w:rPr>
          <w:rFonts w:cs="Times New Roman"/>
        </w:rPr>
        <w:t xml:space="preserve"> (Qld) s 19; Sch 2, Pt 1. It is noted that the </w:t>
      </w:r>
      <w:r w:rsidRPr="00E7516E">
        <w:rPr>
          <w:rFonts w:cs="Times New Roman"/>
          <w:i/>
          <w:iCs/>
        </w:rPr>
        <w:t>Information Privacy and Other Legislation Amendment Act 2023</w:t>
      </w:r>
      <w:r w:rsidRPr="00E7516E">
        <w:rPr>
          <w:rFonts w:cs="Times New Roman"/>
        </w:rPr>
        <w:t xml:space="preserve"> (Qld) has been passed but not commenced. </w:t>
      </w:r>
      <w:r w:rsidRPr="00E7516E">
        <w:rPr>
          <w:rFonts w:cs="Times New Roman"/>
          <w:i/>
          <w:iCs/>
        </w:rPr>
        <w:t>Information Privacy and Other Legislation Amendment Act 2023</w:t>
      </w:r>
      <w:r w:rsidRPr="00E7516E">
        <w:rPr>
          <w:rFonts w:cs="Times New Roman"/>
        </w:rPr>
        <w:t xml:space="preserve"> (Qld) Explanatory Notes.</w:t>
      </w:r>
    </w:p>
  </w:footnote>
  <w:footnote w:id="114">
    <w:p w14:paraId="48E8EEDE" w14:textId="56299A1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t>
      </w:r>
      <w:r w:rsidRPr="00E7516E">
        <w:rPr>
          <w:rFonts w:cs="Times New Roman"/>
          <w:i/>
          <w:iCs/>
        </w:rPr>
        <w:t>Privacy and Personal Information Protection Act 1998</w:t>
      </w:r>
      <w:r w:rsidRPr="00E7516E">
        <w:rPr>
          <w:rFonts w:cs="Times New Roman"/>
        </w:rPr>
        <w:t xml:space="preserve"> (NSW) s 3 (definition of ‘public sector agencies’), s 20; </w:t>
      </w:r>
      <w:r w:rsidRPr="00E7516E">
        <w:rPr>
          <w:rFonts w:cs="Times New Roman"/>
          <w:i/>
          <w:iCs/>
        </w:rPr>
        <w:t>Privacy and Data Protection Act 2014</w:t>
      </w:r>
      <w:r w:rsidRPr="00E7516E">
        <w:rPr>
          <w:rFonts w:cs="Times New Roman"/>
        </w:rPr>
        <w:t xml:space="preserve"> (Vic) s</w:t>
      </w:r>
      <w:r w:rsidR="008456E1">
        <w:rPr>
          <w:rFonts w:cs="Times New Roman"/>
        </w:rPr>
        <w:t> </w:t>
      </w:r>
      <w:r w:rsidRPr="00E7516E">
        <w:rPr>
          <w:rFonts w:cs="Times New Roman"/>
        </w:rPr>
        <w:t xml:space="preserve">13; </w:t>
      </w:r>
      <w:r w:rsidRPr="00E7516E">
        <w:rPr>
          <w:rFonts w:cs="Times New Roman"/>
          <w:i/>
          <w:iCs/>
        </w:rPr>
        <w:t>Information Privacy Act 2009</w:t>
      </w:r>
      <w:r w:rsidRPr="00E7516E">
        <w:rPr>
          <w:rFonts w:cs="Times New Roman"/>
        </w:rPr>
        <w:t xml:space="preserve"> (Qld) ss 18, 21; </w:t>
      </w:r>
      <w:r w:rsidRPr="00E7516E">
        <w:rPr>
          <w:rFonts w:cs="Times New Roman"/>
          <w:i/>
          <w:iCs/>
        </w:rPr>
        <w:t>Information Privacy Act 2014</w:t>
      </w:r>
      <w:r w:rsidRPr="00E7516E">
        <w:rPr>
          <w:rFonts w:cs="Times New Roman"/>
        </w:rPr>
        <w:t xml:space="preserve"> (ACT) s 9; </w:t>
      </w:r>
      <w:r w:rsidRPr="00E7516E">
        <w:rPr>
          <w:rFonts w:cs="Times New Roman"/>
          <w:i/>
          <w:iCs/>
        </w:rPr>
        <w:t>Information Act 2002</w:t>
      </w:r>
      <w:r w:rsidRPr="00E7516E">
        <w:rPr>
          <w:rFonts w:cs="Times New Roman"/>
        </w:rPr>
        <w:t xml:space="preserve"> (NT) s 5. See </w:t>
      </w:r>
      <w:r w:rsidRPr="00E7516E">
        <w:rPr>
          <w:rFonts w:cs="Times New Roman"/>
          <w:i/>
          <w:iCs/>
        </w:rPr>
        <w:t>Information Privacy and Other Legislation Amendment Act 2023</w:t>
      </w:r>
      <w:r w:rsidRPr="00E7516E">
        <w:rPr>
          <w:rFonts w:cs="Times New Roman"/>
        </w:rPr>
        <w:t xml:space="preserve"> (Qld) Explanatory Notes, for discussion of reforms contained in the </w:t>
      </w:r>
      <w:r w:rsidRPr="00E7516E">
        <w:rPr>
          <w:rFonts w:cs="Times New Roman"/>
          <w:i/>
          <w:iCs/>
        </w:rPr>
        <w:t>Information Privacy and Other Legislation Amendment Act 2023</w:t>
      </w:r>
      <w:r w:rsidRPr="00E7516E">
        <w:rPr>
          <w:rFonts w:cs="Times New Roman"/>
        </w:rPr>
        <w:t xml:space="preserve"> (Qld) (yet to commence).</w:t>
      </w:r>
    </w:p>
  </w:footnote>
  <w:footnote w:id="115">
    <w:p w14:paraId="2B208E3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t>
      </w:r>
      <w:r w:rsidRPr="00E7516E">
        <w:rPr>
          <w:rFonts w:cs="Times New Roman"/>
          <w:i/>
          <w:iCs/>
        </w:rPr>
        <w:t>Privacy and Data Protection Act 2014</w:t>
      </w:r>
      <w:r w:rsidRPr="00E7516E">
        <w:rPr>
          <w:rFonts w:cs="Times New Roman"/>
        </w:rPr>
        <w:t xml:space="preserve"> (Vic) s 13.</w:t>
      </w:r>
    </w:p>
  </w:footnote>
  <w:footnote w:id="116">
    <w:p w14:paraId="1AFBDBF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Health Records (Privacy and Access) Act 1997 </w:t>
      </w:r>
      <w:r w:rsidRPr="00E7516E">
        <w:rPr>
          <w:rFonts w:cs="Times New Roman"/>
        </w:rPr>
        <w:t>(ACT) Dictionary (definition of ‘health service’ and ‘health service provider’);</w:t>
      </w:r>
      <w:r w:rsidRPr="00E7516E">
        <w:rPr>
          <w:rFonts w:cs="Times New Roman"/>
          <w:i/>
          <w:iCs/>
        </w:rPr>
        <w:t xml:space="preserve"> Health Records and Information Privacy Act 1998 </w:t>
      </w:r>
      <w:r w:rsidRPr="00E7516E">
        <w:rPr>
          <w:rFonts w:cs="Times New Roman"/>
        </w:rPr>
        <w:t>(NSW) s 4 (definition of ‘health service’ and ‘health service provider’;</w:t>
      </w:r>
      <w:r w:rsidRPr="00E7516E">
        <w:rPr>
          <w:rFonts w:cs="Times New Roman"/>
          <w:i/>
          <w:iCs/>
        </w:rPr>
        <w:t xml:space="preserve"> Health Records Act 2001 </w:t>
      </w:r>
      <w:r w:rsidRPr="00E7516E">
        <w:rPr>
          <w:rFonts w:cs="Times New Roman"/>
        </w:rPr>
        <w:t>(Vic) s 3 (definition of ‘health service provider’) s 11</w:t>
      </w:r>
      <w:r w:rsidRPr="00E7516E">
        <w:rPr>
          <w:rFonts w:cs="Times New Roman"/>
          <w:i/>
          <w:iCs/>
        </w:rPr>
        <w:t xml:space="preserve">. </w:t>
      </w:r>
      <w:r w:rsidRPr="00E7516E">
        <w:rPr>
          <w:rFonts w:cs="Times New Roman"/>
        </w:rPr>
        <w:t xml:space="preserve"> </w:t>
      </w:r>
    </w:p>
  </w:footnote>
  <w:footnote w:id="117">
    <w:p w14:paraId="4B31AD3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ss 13(1)(j), 17(2); </w:t>
      </w:r>
      <w:r w:rsidRPr="00E7516E">
        <w:rPr>
          <w:rFonts w:cs="Times New Roman"/>
          <w:i/>
          <w:iCs/>
        </w:rPr>
        <w:t>Information Privacy Act 2009</w:t>
      </w:r>
      <w:r w:rsidRPr="00E7516E">
        <w:rPr>
          <w:rFonts w:cs="Times New Roman"/>
        </w:rPr>
        <w:t xml:space="preserve"> (Qld) ss 34–7. </w:t>
      </w:r>
    </w:p>
  </w:footnote>
  <w:footnote w:id="118">
    <w:p w14:paraId="4BCE790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ss 13(1)(j), 17(2).</w:t>
      </w:r>
    </w:p>
  </w:footnote>
  <w:footnote w:id="119">
    <w:p w14:paraId="4B0528C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s 17(4).</w:t>
      </w:r>
    </w:p>
  </w:footnote>
  <w:footnote w:id="120">
    <w:p w14:paraId="1FF9449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2009</w:t>
      </w:r>
      <w:r w:rsidRPr="00E7516E">
        <w:rPr>
          <w:rFonts w:cs="Times New Roman"/>
        </w:rPr>
        <w:t xml:space="preserve"> (Qld) ss 34–7. It is noted that the </w:t>
      </w:r>
      <w:r w:rsidRPr="00E7516E">
        <w:rPr>
          <w:rFonts w:cs="Times New Roman"/>
          <w:i/>
          <w:iCs/>
        </w:rPr>
        <w:t>Information Privacy and Other Legislation Amendment Act 2023</w:t>
      </w:r>
      <w:r w:rsidRPr="00E7516E">
        <w:rPr>
          <w:rFonts w:cs="Times New Roman"/>
        </w:rPr>
        <w:t xml:space="preserve"> (Qld) has been passed but not commenced.</w:t>
      </w:r>
    </w:p>
  </w:footnote>
  <w:footnote w:id="121">
    <w:p w14:paraId="38C90B7B" w14:textId="11E7253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28.</w:t>
      </w:r>
    </w:p>
  </w:footnote>
  <w:footnote w:id="122">
    <w:p w14:paraId="13CA311F" w14:textId="22D25EE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A7C75" w:rsidRPr="00E7516E">
        <w:rPr>
          <w:rFonts w:cs="Times New Roman"/>
        </w:rPr>
        <w:t>Ibid</w:t>
      </w:r>
      <w:r w:rsidR="00FA7C75" w:rsidRPr="00E7516E" w:rsidDel="00FA7C75">
        <w:rPr>
          <w:rFonts w:cs="Times New Roman"/>
        </w:rPr>
        <w:t xml:space="preserve"> </w:t>
      </w:r>
      <w:r w:rsidRPr="00E7516E">
        <w:rPr>
          <w:rFonts w:cs="Times New Roman"/>
        </w:rPr>
        <w:t>ch 6.</w:t>
      </w:r>
    </w:p>
  </w:footnote>
  <w:footnote w:id="123">
    <w:p w14:paraId="4ECB3805" w14:textId="7B8F262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A7C75" w:rsidRPr="00E7516E">
        <w:rPr>
          <w:rFonts w:cs="Times New Roman"/>
        </w:rPr>
        <w:t>Ibid</w:t>
      </w:r>
      <w:r w:rsidR="00FA7C75" w:rsidRPr="00E7516E" w:rsidDel="00FA7C75">
        <w:rPr>
          <w:rFonts w:cs="Times New Roman"/>
        </w:rPr>
        <w:t xml:space="preserve"> </w:t>
      </w:r>
      <w:r w:rsidRPr="00E7516E">
        <w:rPr>
          <w:rFonts w:cs="Times New Roman"/>
        </w:rPr>
        <w:t>Proposal 6.1.</w:t>
      </w:r>
    </w:p>
  </w:footnote>
  <w:footnote w:id="124">
    <w:p w14:paraId="6530F5C6" w14:textId="02629C8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6.</w:t>
      </w:r>
    </w:p>
  </w:footnote>
  <w:footnote w:id="125">
    <w:p w14:paraId="2251A498" w14:textId="6B8BC2A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6.2.</w:t>
      </w:r>
    </w:p>
  </w:footnote>
  <w:footnote w:id="126">
    <w:p w14:paraId="312411C5" w14:textId="383DD25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01894">
        <w:rPr>
          <w:rFonts w:cs="Times New Roman"/>
        </w:rPr>
        <w:t>Ibid</w:t>
      </w:r>
      <w:r w:rsidR="00253280">
        <w:rPr>
          <w:rFonts w:cs="Times New Roman"/>
        </w:rPr>
        <w:t xml:space="preserve"> </w:t>
      </w:r>
      <w:r w:rsidRPr="00E7516E">
        <w:rPr>
          <w:rFonts w:cs="Times New Roman"/>
        </w:rPr>
        <w:t>61.</w:t>
      </w:r>
    </w:p>
  </w:footnote>
  <w:footnote w:id="127">
    <w:p w14:paraId="4FCA6F08" w14:textId="2ECDE25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i/>
          <w:iCs/>
        </w:rPr>
        <w:t>Privacy Act 1988</w:t>
      </w:r>
      <w:r w:rsidRPr="00E7516E">
        <w:rPr>
          <w:rFonts w:cs="Times New Roman"/>
        </w:rPr>
        <w:t xml:space="preserve"> (Cth) ss 6C, 7C; Review </w:t>
      </w:r>
      <w:r w:rsidR="003530B1">
        <w:rPr>
          <w:rFonts w:cs="Times New Roman"/>
        </w:rPr>
        <w:t xml:space="preserve">Act Review </w:t>
      </w:r>
      <w:r w:rsidRPr="00E7516E">
        <w:rPr>
          <w:rFonts w:cs="Times New Roman"/>
        </w:rPr>
        <w:t>Report 2022 72</w:t>
      </w:r>
    </w:p>
  </w:footnote>
  <w:footnote w:id="128">
    <w:p w14:paraId="24127627" w14:textId="6DE2C1A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Review </w:t>
      </w:r>
      <w:r w:rsidR="00FA7C75">
        <w:rPr>
          <w:rFonts w:cs="Times New Roman"/>
        </w:rPr>
        <w:t xml:space="preserve">Act Review </w:t>
      </w:r>
      <w:r w:rsidRPr="00E7516E">
        <w:rPr>
          <w:rFonts w:cs="Times New Roman"/>
        </w:rPr>
        <w:t>Report 2022 72.</w:t>
      </w:r>
    </w:p>
  </w:footnote>
  <w:footnote w:id="129">
    <w:p w14:paraId="734B6D63" w14:textId="09EB852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E1594" w:rsidRPr="00E7516E">
        <w:rPr>
          <w:rFonts w:cs="Times New Roman"/>
        </w:rPr>
        <w:t>Privacy Act Review Report 2022</w:t>
      </w:r>
      <w:r w:rsidR="00915A83">
        <w:rPr>
          <w:rFonts w:cs="Times New Roman"/>
        </w:rPr>
        <w:t xml:space="preserve"> </w:t>
      </w:r>
      <w:r w:rsidRPr="00E7516E">
        <w:rPr>
          <w:rFonts w:cs="Times New Roman"/>
        </w:rPr>
        <w:t>73.</w:t>
      </w:r>
    </w:p>
  </w:footnote>
  <w:footnote w:id="130">
    <w:p w14:paraId="2FB06A26" w14:textId="5E16FB5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41B43">
        <w:rPr>
          <w:rFonts w:cs="Times New Roman"/>
        </w:rPr>
        <w:t xml:space="preserve">Ibid </w:t>
      </w:r>
      <w:r w:rsidRPr="00E7516E">
        <w:rPr>
          <w:rFonts w:cs="Times New Roman"/>
        </w:rPr>
        <w:t>Proposal 8.1.</w:t>
      </w:r>
    </w:p>
  </w:footnote>
  <w:footnote w:id="131">
    <w:p w14:paraId="1DE4FEF6" w14:textId="32B4DF6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41B43">
        <w:rPr>
          <w:rFonts w:cs="Times New Roman"/>
        </w:rPr>
        <w:t>Ibid</w:t>
      </w:r>
      <w:r w:rsidR="00441B43" w:rsidRPr="00E7516E">
        <w:rPr>
          <w:rFonts w:cs="Times New Roman"/>
        </w:rPr>
        <w:t xml:space="preserve"> </w:t>
      </w:r>
      <w:r w:rsidRPr="00E7516E">
        <w:rPr>
          <w:rFonts w:cs="Times New Roman"/>
        </w:rPr>
        <w:t>74.</w:t>
      </w:r>
    </w:p>
  </w:footnote>
  <w:footnote w:id="132">
    <w:p w14:paraId="7515DDF5" w14:textId="5FEBE92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41B43">
        <w:rPr>
          <w:rFonts w:cs="Times New Roman"/>
        </w:rPr>
        <w:t>Ibid</w:t>
      </w:r>
      <w:r w:rsidR="00441B43" w:rsidRPr="00E7516E">
        <w:rPr>
          <w:rFonts w:cs="Times New Roman"/>
        </w:rPr>
        <w:t xml:space="preserve"> </w:t>
      </w:r>
      <w:r w:rsidRPr="00E7516E">
        <w:rPr>
          <w:rFonts w:cs="Times New Roman"/>
        </w:rPr>
        <w:t>Proposal 8.2.</w:t>
      </w:r>
    </w:p>
  </w:footnote>
  <w:footnote w:id="133">
    <w:p w14:paraId="62F101DA" w14:textId="785C82D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41B43">
        <w:rPr>
          <w:rFonts w:cs="Times New Roman"/>
        </w:rPr>
        <w:t>Ibid</w:t>
      </w:r>
      <w:r w:rsidR="00441B43" w:rsidRPr="00E7516E">
        <w:rPr>
          <w:rFonts w:cs="Times New Roman"/>
        </w:rPr>
        <w:t xml:space="preserve"> </w:t>
      </w:r>
      <w:r w:rsidRPr="00E7516E">
        <w:rPr>
          <w:rFonts w:cs="Times New Roman"/>
        </w:rPr>
        <w:t>Proposal 8.3. The Review echoed the Australian Law Reform Commission’s recommendation of the inclusion of a ‘savings clause’ to allow courts to read down the Act to ensure its constitutional validity in terms of interference with implied freedom of political communication: Proposal 8.2.</w:t>
      </w:r>
    </w:p>
  </w:footnote>
  <w:footnote w:id="134">
    <w:p w14:paraId="52E10028" w14:textId="10144DB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41B43">
        <w:rPr>
          <w:rFonts w:cs="Times New Roman"/>
        </w:rPr>
        <w:t>Ibid</w:t>
      </w:r>
      <w:r w:rsidR="00441B43" w:rsidRPr="00E7516E" w:rsidDel="00441B43">
        <w:rPr>
          <w:rFonts w:cs="Times New Roman"/>
        </w:rPr>
        <w:t xml:space="preserve"> </w:t>
      </w:r>
      <w:r w:rsidRPr="00E7516E">
        <w:rPr>
          <w:rFonts w:cs="Times New Roman"/>
        </w:rPr>
        <w:t>Proposal 8.4.</w:t>
      </w:r>
    </w:p>
  </w:footnote>
  <w:footnote w:id="135">
    <w:p w14:paraId="1CCFD0F4" w14:textId="75F7518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41B43">
        <w:rPr>
          <w:rFonts w:cs="Times New Roman"/>
        </w:rPr>
        <w:t>Ibid</w:t>
      </w:r>
      <w:r w:rsidR="00441B43" w:rsidRPr="00E7516E" w:rsidDel="00441B43">
        <w:rPr>
          <w:rFonts w:cs="Times New Roman"/>
        </w:rPr>
        <w:t xml:space="preserve"> </w:t>
      </w:r>
      <w:r w:rsidRPr="00E7516E">
        <w:rPr>
          <w:rFonts w:cs="Times New Roman"/>
        </w:rPr>
        <w:t>Proposal 8.5.</w:t>
      </w:r>
    </w:p>
  </w:footnote>
  <w:footnote w:id="136">
    <w:p w14:paraId="6B8FF2FC" w14:textId="350217F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41B43">
        <w:rPr>
          <w:rFonts w:cs="Times New Roman"/>
        </w:rPr>
        <w:t>Ibid</w:t>
      </w:r>
      <w:r w:rsidRPr="00E7516E">
        <w:rPr>
          <w:rFonts w:cs="Times New Roman"/>
        </w:rPr>
        <w:t>.</w:t>
      </w:r>
    </w:p>
  </w:footnote>
  <w:footnote w:id="137">
    <w:p w14:paraId="0C699F4B" w14:textId="3CC082C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302.</w:t>
      </w:r>
    </w:p>
  </w:footnote>
  <w:footnote w:id="138">
    <w:p w14:paraId="4B10A988" w14:textId="2FCBB63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70901">
        <w:rPr>
          <w:rFonts w:cs="Times New Roman"/>
        </w:rPr>
        <w:t>Ibid</w:t>
      </w:r>
      <w:r w:rsidRPr="00E7516E">
        <w:rPr>
          <w:rFonts w:cs="Times New Roman"/>
        </w:rPr>
        <w:t xml:space="preserve"> Proposal 29.3 303.</w:t>
      </w:r>
    </w:p>
  </w:footnote>
  <w:footnote w:id="139">
    <w:p w14:paraId="5944A377" w14:textId="7A0A007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1196F">
        <w:rPr>
          <w:rFonts w:cs="Times New Roman"/>
        </w:rPr>
        <w:t xml:space="preserve">Issues Paper </w:t>
      </w:r>
      <w:r w:rsidRPr="00E7516E">
        <w:rPr>
          <w:rFonts w:cs="Times New Roman"/>
        </w:rPr>
        <w:t>Part 2, Question 2.1.</w:t>
      </w:r>
    </w:p>
  </w:footnote>
  <w:footnote w:id="140">
    <w:p w14:paraId="393FFD00" w14:textId="1330383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1196F">
        <w:rPr>
          <w:rFonts w:cs="Times New Roman"/>
        </w:rPr>
        <w:t xml:space="preserve">Ibid </w:t>
      </w:r>
      <w:r w:rsidRPr="00E7516E">
        <w:rPr>
          <w:rFonts w:cs="Times New Roman"/>
        </w:rPr>
        <w:t>Part 2, Question 2.2.</w:t>
      </w:r>
    </w:p>
  </w:footnote>
  <w:footnote w:id="141">
    <w:p w14:paraId="66D9AAA3" w14:textId="602009D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7010B">
        <w:rPr>
          <w:rFonts w:cs="Times New Roman"/>
        </w:rPr>
        <w:t>Issues Paper</w:t>
      </w:r>
      <w:r w:rsidR="00A1196F">
        <w:rPr>
          <w:rFonts w:cs="Times New Roman"/>
        </w:rPr>
        <w:t xml:space="preserve"> </w:t>
      </w:r>
      <w:r w:rsidRPr="00E7516E">
        <w:rPr>
          <w:rFonts w:cs="Times New Roman"/>
        </w:rPr>
        <w:t>Part 2, Question 2.3.</w:t>
      </w:r>
    </w:p>
  </w:footnote>
  <w:footnote w:id="142">
    <w:p w14:paraId="47740D8D" w14:textId="39D23E4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B70901">
        <w:rPr>
          <w:rFonts w:cs="Times New Roman"/>
        </w:rPr>
        <w:t xml:space="preserve"> </w:t>
      </w:r>
      <w:r w:rsidR="00B70901" w:rsidRPr="00E7516E">
        <w:rPr>
          <w:rFonts w:cs="Times New Roman"/>
        </w:rPr>
        <w:t>(Meg Webb MLC)</w:t>
      </w:r>
      <w:r w:rsidRPr="00E7516E">
        <w:rPr>
          <w:rFonts w:cs="Times New Roman"/>
        </w:rPr>
        <w:t>.</w:t>
      </w:r>
    </w:p>
  </w:footnote>
  <w:footnote w:id="143">
    <w:p w14:paraId="4A38A7F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144">
    <w:p w14:paraId="7A91D04D" w14:textId="351AEE1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3 (</w:t>
      </w:r>
      <w:r w:rsidR="00B70901">
        <w:rPr>
          <w:rFonts w:cs="Times New Roman"/>
        </w:rPr>
        <w:t>A</w:t>
      </w:r>
      <w:r w:rsidRPr="00E7516E">
        <w:rPr>
          <w:rFonts w:cs="Times New Roman"/>
        </w:rPr>
        <w:t>nonymous); Submission 8 (Meg Webb MLC).</w:t>
      </w:r>
    </w:p>
  </w:footnote>
  <w:footnote w:id="145">
    <w:p w14:paraId="46F1250A" w14:textId="4CBCE58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5 </w:t>
      </w:r>
      <w:r w:rsidR="00CA3E56">
        <w:rPr>
          <w:rFonts w:cs="Times New Roman"/>
        </w:rPr>
        <w:t>(</w:t>
      </w:r>
      <w:r w:rsidR="00033714">
        <w:rPr>
          <w:rFonts w:cs="Times New Roman"/>
        </w:rPr>
        <w:t>Tasmanian Legal Aid</w:t>
      </w:r>
      <w:r w:rsidR="00CA3E56">
        <w:rPr>
          <w:rFonts w:cs="Times New Roman"/>
        </w:rPr>
        <w:t xml:space="preserve">) </w:t>
      </w:r>
      <w:r w:rsidRPr="00E7516E">
        <w:rPr>
          <w:rFonts w:cs="Times New Roman"/>
        </w:rPr>
        <w:t>4.</w:t>
      </w:r>
    </w:p>
  </w:footnote>
  <w:footnote w:id="146">
    <w:p w14:paraId="2C26CF45" w14:textId="70D06ED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CA3E56">
        <w:rPr>
          <w:rFonts w:cs="Times New Roman"/>
        </w:rPr>
        <w:t xml:space="preserve"> (</w:t>
      </w:r>
      <w:r w:rsidR="00B70901">
        <w:rPr>
          <w:rFonts w:cs="Times New Roman"/>
        </w:rPr>
        <w:t>Meg Webb MLC)</w:t>
      </w:r>
      <w:r w:rsidRPr="00E7516E">
        <w:rPr>
          <w:rFonts w:cs="Times New Roman"/>
        </w:rPr>
        <w:t>.</w:t>
      </w:r>
    </w:p>
  </w:footnote>
  <w:footnote w:id="147">
    <w:p w14:paraId="67EA4D5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in ALRC, </w:t>
      </w:r>
      <w:r w:rsidRPr="00E7516E">
        <w:rPr>
          <w:rFonts w:cs="Times New Roman"/>
          <w:i/>
          <w:iCs/>
        </w:rPr>
        <w:t xml:space="preserve">Traditional Rights and Freedoms – Encroachments by Commonwealth Laws </w:t>
      </w:r>
      <w:r w:rsidRPr="00E7516E">
        <w:rPr>
          <w:rFonts w:cs="Times New Roman"/>
        </w:rPr>
        <w:t>(Report 129, 2016) [8.53]–[8.82].</w:t>
      </w:r>
    </w:p>
  </w:footnote>
  <w:footnote w:id="148">
    <w:p w14:paraId="22A653E2" w14:textId="777135D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033714">
        <w:rPr>
          <w:rFonts w:cs="Times New Roman"/>
        </w:rPr>
        <w:t xml:space="preserve"> Report</w:t>
      </w:r>
      <w:r w:rsidR="005C72A8">
        <w:rPr>
          <w:rFonts w:cs="Times New Roman"/>
        </w:rPr>
        <w:t xml:space="preserve"> 2022</w:t>
      </w:r>
      <w:r w:rsidRPr="00E7516E">
        <w:rPr>
          <w:rFonts w:cs="Times New Roman"/>
        </w:rPr>
        <w:t xml:space="preserve"> 72.</w:t>
      </w:r>
    </w:p>
  </w:footnote>
  <w:footnote w:id="149">
    <w:p w14:paraId="61ECC4F0" w14:textId="4692268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7010B" w:rsidRPr="00E7516E">
        <w:rPr>
          <w:rFonts w:cs="Times New Roman"/>
        </w:rPr>
        <w:t>Privacy Act Review Report 2022</w:t>
      </w:r>
      <w:r w:rsidRPr="00E7516E">
        <w:rPr>
          <w:rFonts w:cs="Times New Roman"/>
        </w:rPr>
        <w:t xml:space="preserve"> [8.2].</w:t>
      </w:r>
    </w:p>
  </w:footnote>
  <w:footnote w:id="150">
    <w:p w14:paraId="534C2219" w14:textId="612DF9E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 </w:t>
      </w:r>
      <w:r w:rsidRPr="00E7516E">
        <w:rPr>
          <w:rFonts w:cs="Times New Roman"/>
          <w:i/>
          <w:iCs/>
        </w:rPr>
        <w:t>Privacy</w:t>
      </w:r>
      <w:r w:rsidRPr="00E7516E">
        <w:rPr>
          <w:rFonts w:cs="Times New Roman"/>
        </w:rPr>
        <w:t xml:space="preserve"> [41.41].</w:t>
      </w:r>
    </w:p>
  </w:footnote>
  <w:footnote w:id="151">
    <w:p w14:paraId="2AC4FD0A" w14:textId="3BD8BB4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77D33">
        <w:rPr>
          <w:rFonts w:cs="Times New Roman"/>
        </w:rPr>
        <w:t xml:space="preserve">PIPA </w:t>
      </w:r>
      <w:r w:rsidRPr="00E7516E">
        <w:rPr>
          <w:rFonts w:cs="Times New Roman"/>
        </w:rPr>
        <w:t>s 3 (definition of ‘personal information custodian’ and ‘personal information contract’); s 17.</w:t>
      </w:r>
    </w:p>
  </w:footnote>
  <w:footnote w:id="152">
    <w:p w14:paraId="622C27F2" w14:textId="4788DA9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the discussion of health information and sensitive information for an example of where information may be covered by the PIPPs but may not be personal information; for example, genetic information (see </w:t>
      </w:r>
      <w:r w:rsidRPr="00EA22F8">
        <w:rPr>
          <w:rFonts w:cs="Times New Roman"/>
        </w:rPr>
        <w:t>below at [</w:t>
      </w:r>
      <w:r w:rsidR="004D7049">
        <w:rPr>
          <w:rFonts w:cs="Times New Roman"/>
        </w:rPr>
        <w:fldChar w:fldCharType="begin"/>
      </w:r>
      <w:r w:rsidR="004D7049">
        <w:rPr>
          <w:rFonts w:cs="Times New Roman"/>
        </w:rPr>
        <w:instrText xml:space="preserve"> REF _Ref164770333 \r \h </w:instrText>
      </w:r>
      <w:r w:rsidR="004D7049">
        <w:rPr>
          <w:rFonts w:cs="Times New Roman"/>
        </w:rPr>
      </w:r>
      <w:r w:rsidR="004D7049">
        <w:rPr>
          <w:rFonts w:cs="Times New Roman"/>
        </w:rPr>
        <w:fldChar w:fldCharType="separate"/>
      </w:r>
      <w:r w:rsidR="00462C30">
        <w:rPr>
          <w:rFonts w:cs="Times New Roman"/>
          <w:cs/>
        </w:rPr>
        <w:t>‎</w:t>
      </w:r>
      <w:r w:rsidR="00462C30">
        <w:rPr>
          <w:rFonts w:cs="Times New Roman"/>
        </w:rPr>
        <w:t>4.7.8</w:t>
      </w:r>
      <w:r w:rsidR="004D7049">
        <w:rPr>
          <w:rFonts w:cs="Times New Roman"/>
        </w:rPr>
        <w:fldChar w:fldCharType="end"/>
      </w:r>
      <w:r w:rsidR="004D7049">
        <w:rPr>
          <w:rFonts w:cs="Times New Roman"/>
        </w:rPr>
        <w:t>]</w:t>
      </w:r>
      <w:r w:rsidR="00AB6187" w:rsidRPr="00AB6187">
        <w:rPr>
          <w:rFonts w:cs="Times New Roman"/>
        </w:rPr>
        <w:t>).</w:t>
      </w:r>
    </w:p>
  </w:footnote>
  <w:footnote w:id="153">
    <w:p w14:paraId="53055B6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3 (definition of ‘personal information’).</w:t>
      </w:r>
    </w:p>
  </w:footnote>
  <w:footnote w:id="154">
    <w:p w14:paraId="0F90A5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Commissioner v Telstra Corporation Limited </w:t>
      </w:r>
      <w:r w:rsidRPr="00E7516E">
        <w:rPr>
          <w:rFonts w:cs="Times New Roman"/>
        </w:rPr>
        <w:t>[2017] FCAFC 4 [63].</w:t>
      </w:r>
    </w:p>
  </w:footnote>
  <w:footnote w:id="155">
    <w:p w14:paraId="3B2D282F" w14:textId="0BAA614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OAIC, </w:t>
      </w:r>
      <w:r w:rsidRPr="00E7516E">
        <w:rPr>
          <w:rFonts w:cs="Times New Roman"/>
          <w:i/>
          <w:iCs/>
        </w:rPr>
        <w:t>Privacy Act Review: Submission by the Office of the Australian Information Commissioner</w:t>
      </w:r>
      <w:r w:rsidRPr="00E7516E">
        <w:rPr>
          <w:rFonts w:cs="Times New Roman"/>
        </w:rPr>
        <w:t xml:space="preserve"> (Issues Paper, 11 December 2020) (‘</w:t>
      </w:r>
      <w:r w:rsidRPr="00E7516E">
        <w:rPr>
          <w:rFonts w:cs="Times New Roman"/>
          <w:i/>
          <w:iCs/>
        </w:rPr>
        <w:t>Submission to Privacy Act Review</w:t>
      </w:r>
      <w:r w:rsidRPr="00E7516E">
        <w:rPr>
          <w:rFonts w:cs="Times New Roman"/>
        </w:rPr>
        <w:t>’) 27–33.</w:t>
      </w:r>
    </w:p>
  </w:footnote>
  <w:footnote w:id="156">
    <w:p w14:paraId="4E6B71D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3 (definition of ‘personal information’).</w:t>
      </w:r>
    </w:p>
  </w:footnote>
  <w:footnote w:id="157">
    <w:p w14:paraId="0AFBD62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This provision was introduced in the </w:t>
      </w:r>
      <w:r w:rsidRPr="00E7516E">
        <w:rPr>
          <w:rFonts w:cs="Times New Roman"/>
          <w:i/>
          <w:iCs/>
        </w:rPr>
        <w:t>Personal Information Protection Amendment Act 2009</w:t>
      </w:r>
      <w:r w:rsidRPr="00E7516E">
        <w:rPr>
          <w:rFonts w:cs="Times New Roman"/>
        </w:rPr>
        <w:t xml:space="preserve"> (Tas).</w:t>
      </w:r>
    </w:p>
  </w:footnote>
  <w:footnote w:id="158">
    <w:p w14:paraId="7A531F6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Right to Information Act 2009 </w:t>
      </w:r>
      <w:r w:rsidRPr="00E7516E">
        <w:rPr>
          <w:rFonts w:cs="Times New Roman"/>
        </w:rPr>
        <w:t>(Tas) ss 5 (definition of ‘personal information’); 5(6). Note that under PIPP 2(4), health services are able to disclose a person’s health information, including the health information of a deceased person, to someone who is related to or responsible for them on compassionate grounds: PIPA, sch 1.</w:t>
      </w:r>
    </w:p>
  </w:footnote>
  <w:footnote w:id="159">
    <w:p w14:paraId="61E7D98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6.</w:t>
      </w:r>
    </w:p>
  </w:footnote>
  <w:footnote w:id="160">
    <w:p w14:paraId="1691E63E" w14:textId="1E8A314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Privacy and Personal Information Protection Act 1998</w:t>
      </w:r>
      <w:r w:rsidRPr="00E7516E">
        <w:rPr>
          <w:rFonts w:cs="Times New Roman"/>
        </w:rPr>
        <w:t xml:space="preserve"> (NSW) (‘PPIP Act’) s 4(1). It is noted that, in NSW, health information within the meaning in the </w:t>
      </w:r>
      <w:r w:rsidRPr="00E7516E">
        <w:rPr>
          <w:rFonts w:cs="Times New Roman"/>
          <w:i/>
        </w:rPr>
        <w:t>Health Records and Information Privacy Act 2002</w:t>
      </w:r>
      <w:r w:rsidRPr="00E7516E">
        <w:rPr>
          <w:rFonts w:cs="Times New Roman"/>
        </w:rPr>
        <w:t xml:space="preserve"> is not included in the definition of personal information (s</w:t>
      </w:r>
      <w:r w:rsidR="006C56CE">
        <w:rPr>
          <w:rFonts w:cs="Times New Roman"/>
        </w:rPr>
        <w:t> </w:t>
      </w:r>
      <w:r w:rsidRPr="00E7516E">
        <w:rPr>
          <w:rFonts w:cs="Times New Roman"/>
        </w:rPr>
        <w:t xml:space="preserve">4A) except where provided; </w:t>
      </w:r>
      <w:r w:rsidRPr="00E7516E">
        <w:rPr>
          <w:rFonts w:cs="Times New Roman"/>
          <w:i/>
        </w:rPr>
        <w:t xml:space="preserve">Information Privacy Act 2009 </w:t>
      </w:r>
      <w:r w:rsidRPr="00E7516E">
        <w:rPr>
          <w:rFonts w:cs="Times New Roman"/>
        </w:rPr>
        <w:t>(Qld) s</w:t>
      </w:r>
      <w:r w:rsidRPr="00E7516E">
        <w:rPr>
          <w:rFonts w:cs="Times New Roman"/>
          <w:i/>
        </w:rPr>
        <w:t> </w:t>
      </w:r>
      <w:r w:rsidRPr="00E7516E">
        <w:rPr>
          <w:rFonts w:cs="Times New Roman"/>
        </w:rPr>
        <w:t xml:space="preserve">12; </w:t>
      </w:r>
      <w:r w:rsidRPr="00E7516E">
        <w:rPr>
          <w:rFonts w:cs="Times New Roman"/>
          <w:i/>
        </w:rPr>
        <w:t>Information Privacy Act 2014</w:t>
      </w:r>
      <w:r w:rsidRPr="00E7516E">
        <w:rPr>
          <w:rFonts w:cs="Times New Roman"/>
        </w:rPr>
        <w:t xml:space="preserve"> (ACT) s 8;</w:t>
      </w:r>
      <w:r w:rsidRPr="00E7516E">
        <w:rPr>
          <w:rFonts w:cs="Times New Roman"/>
          <w:color w:val="000000"/>
        </w:rPr>
        <w:t xml:space="preserve"> </w:t>
      </w:r>
      <w:r w:rsidRPr="00E7516E">
        <w:rPr>
          <w:rFonts w:cs="Times New Roman"/>
          <w:i/>
          <w:iCs/>
        </w:rPr>
        <w:t>Privacy and Data Protection Act 2014</w:t>
      </w:r>
      <w:r w:rsidRPr="00E7516E">
        <w:rPr>
          <w:rFonts w:cs="Times New Roman"/>
        </w:rPr>
        <w:t xml:space="preserve"> (Vic) s 3. It is noted that the </w:t>
      </w:r>
      <w:r w:rsidRPr="00E7516E">
        <w:rPr>
          <w:rFonts w:cs="Times New Roman"/>
          <w:i/>
          <w:iCs/>
        </w:rPr>
        <w:t>Information Privacy and Other Legislation Amendment Act 2023</w:t>
      </w:r>
      <w:r w:rsidRPr="00E7516E">
        <w:rPr>
          <w:rFonts w:cs="Times New Roman"/>
        </w:rPr>
        <w:t xml:space="preserve"> (Qld) has been passed but not commenced. This replaces s 12 with a definition of personal information that is consistent with the definition in the </w:t>
      </w:r>
      <w:r w:rsidRPr="00E7516E">
        <w:rPr>
          <w:rFonts w:cs="Times New Roman"/>
          <w:i/>
          <w:iCs/>
        </w:rPr>
        <w:t xml:space="preserve">Privacy Act 1988 </w:t>
      </w:r>
      <w:r w:rsidRPr="00E7516E">
        <w:rPr>
          <w:rFonts w:cs="Times New Roman"/>
        </w:rPr>
        <w:t>(Cth).</w:t>
      </w:r>
    </w:p>
  </w:footnote>
  <w:footnote w:id="161">
    <w:p w14:paraId="763AA13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Cf </w:t>
      </w:r>
      <w:r w:rsidRPr="00E7516E">
        <w:rPr>
          <w:rFonts w:cs="Times New Roman"/>
          <w:i/>
          <w:iCs/>
        </w:rPr>
        <w:t xml:space="preserve">Privacy Act 1988 </w:t>
      </w:r>
      <w:r w:rsidRPr="00E7516E">
        <w:rPr>
          <w:rFonts w:cs="Times New Roman"/>
        </w:rPr>
        <w:t>(Cth) s 6 (definition of ‘personal information’):</w:t>
      </w:r>
    </w:p>
    <w:p w14:paraId="42472913" w14:textId="77777777" w:rsidR="00FF302D" w:rsidRPr="00E7516E" w:rsidRDefault="00FF302D" w:rsidP="00E7516E">
      <w:pPr>
        <w:pStyle w:val="FootnoteText"/>
        <w:ind w:left="284"/>
        <w:jc w:val="left"/>
        <w:rPr>
          <w:rFonts w:cs="Times New Roman"/>
        </w:rPr>
      </w:pPr>
      <w:r w:rsidRPr="00E7516E">
        <w:rPr>
          <w:rFonts w:cs="Times New Roman"/>
        </w:rPr>
        <w:t>‘information or an opinion about an identified individual, or an individual who is reasonably identifiable:</w:t>
      </w:r>
    </w:p>
    <w:p w14:paraId="3EFF8802" w14:textId="77777777" w:rsidR="00FF302D" w:rsidRPr="00E7516E" w:rsidRDefault="00FF302D" w:rsidP="00E7516E">
      <w:pPr>
        <w:pStyle w:val="FootnoteText"/>
        <w:ind w:firstLine="720"/>
        <w:jc w:val="left"/>
        <w:rPr>
          <w:rFonts w:cs="Times New Roman"/>
        </w:rPr>
      </w:pPr>
      <w:r w:rsidRPr="00E7516E">
        <w:rPr>
          <w:rFonts w:cs="Times New Roman"/>
        </w:rPr>
        <w:t>(a)  whether the information or opinion is true or not; and</w:t>
      </w:r>
    </w:p>
    <w:p w14:paraId="6C1180DA" w14:textId="77777777" w:rsidR="00FF302D" w:rsidRPr="00E7516E" w:rsidRDefault="00FF302D" w:rsidP="00E7516E">
      <w:pPr>
        <w:pStyle w:val="FootnoteText"/>
        <w:ind w:firstLine="720"/>
        <w:jc w:val="left"/>
        <w:rPr>
          <w:rFonts w:cs="Times New Roman"/>
        </w:rPr>
      </w:pPr>
      <w:r w:rsidRPr="00E7516E">
        <w:rPr>
          <w:rFonts w:cs="Times New Roman"/>
        </w:rPr>
        <w:t>(b)  whether the information or opinion is recorded in a material form or not;</w:t>
      </w:r>
      <w:r w:rsidRPr="00E7516E">
        <w:rPr>
          <w:rFonts w:cs="Times New Roman"/>
          <w:i/>
          <w:iCs/>
        </w:rPr>
        <w:t xml:space="preserve"> Information Privacy Act 2009</w:t>
      </w:r>
      <w:r w:rsidRPr="00E7516E">
        <w:rPr>
          <w:rFonts w:cs="Times New Roman"/>
        </w:rPr>
        <w:t xml:space="preserve"> (Qld) s 12;</w:t>
      </w:r>
      <w:r w:rsidRPr="00E7516E">
        <w:rPr>
          <w:rFonts w:cs="Times New Roman"/>
          <w:i/>
          <w:iCs/>
        </w:rPr>
        <w:t xml:space="preserve"> Information Privacy Act 2014</w:t>
      </w:r>
      <w:r w:rsidRPr="00E7516E">
        <w:rPr>
          <w:rFonts w:cs="Times New Roman"/>
        </w:rPr>
        <w:t xml:space="preserve"> (ACT) s 8; </w:t>
      </w:r>
      <w:r w:rsidRPr="00E7516E">
        <w:rPr>
          <w:rFonts w:cs="Times New Roman"/>
          <w:i/>
          <w:iCs/>
        </w:rPr>
        <w:t>Privacy and Data Protection Act 2014</w:t>
      </w:r>
      <w:r w:rsidRPr="00E7516E">
        <w:rPr>
          <w:rFonts w:cs="Times New Roman"/>
        </w:rPr>
        <w:t xml:space="preserve"> (Vic) s 3. It is noted that the </w:t>
      </w:r>
      <w:r w:rsidRPr="00E7516E">
        <w:rPr>
          <w:rFonts w:cs="Times New Roman"/>
          <w:i/>
          <w:iCs/>
        </w:rPr>
        <w:t>Information Privacy and Other Legislation Amendment Act 2023</w:t>
      </w:r>
      <w:r w:rsidRPr="00E7516E">
        <w:rPr>
          <w:rFonts w:cs="Times New Roman"/>
        </w:rPr>
        <w:t xml:space="preserve"> (Qld) has been passed but not commenced.</w:t>
      </w:r>
    </w:p>
  </w:footnote>
  <w:footnote w:id="162">
    <w:p w14:paraId="76891A03" w14:textId="172CE7D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Cf </w:t>
      </w:r>
      <w:r w:rsidRPr="00E7516E">
        <w:rPr>
          <w:rFonts w:cs="Times New Roman"/>
          <w:i/>
          <w:iCs/>
        </w:rPr>
        <w:t xml:space="preserve">Privacy Act 1988 </w:t>
      </w:r>
      <w:r w:rsidRPr="00E7516E">
        <w:rPr>
          <w:rFonts w:cs="Times New Roman"/>
        </w:rPr>
        <w:t xml:space="preserve">(Cth) s 6. Note that while the some of the APPs apply to a record of personal information (eg APP 6), the definition of personal information can include information shared verbally: see OAIC, </w:t>
      </w:r>
      <w:r w:rsidR="005003E9">
        <w:rPr>
          <w:rFonts w:cs="Times New Roman"/>
        </w:rPr>
        <w:t>‘</w:t>
      </w:r>
      <w:r w:rsidRPr="00EA22F8">
        <w:rPr>
          <w:rFonts w:cs="Times New Roman"/>
          <w:i/>
          <w:iCs/>
        </w:rPr>
        <w:t>What is Personal Information</w:t>
      </w:r>
      <w:r w:rsidR="005003E9">
        <w:rPr>
          <w:rFonts w:cs="Times New Roman"/>
          <w:i/>
          <w:iCs/>
        </w:rPr>
        <w:t>?</w:t>
      </w:r>
      <w:r w:rsidR="005003E9" w:rsidRPr="00EA22F8">
        <w:rPr>
          <w:rFonts w:cs="Times New Roman"/>
        </w:rPr>
        <w:t>’</w:t>
      </w:r>
      <w:r w:rsidRPr="00E7516E">
        <w:rPr>
          <w:rFonts w:cs="Times New Roman"/>
        </w:rPr>
        <w:t xml:space="preserve"> (Web Page, 5 May 2017) &lt;</w:t>
      </w:r>
      <w:hyperlink r:id="rId5" w:history="1">
        <w:r w:rsidRPr="00E7516E">
          <w:rPr>
            <w:rStyle w:val="Hyperlink"/>
            <w:rFonts w:cs="Times New Roman"/>
          </w:rPr>
          <w:t>https://www.oaic.gov.au/privacy/guidance-and-advice/what-is-personal-information/</w:t>
        </w:r>
      </w:hyperlink>
      <w:r w:rsidRPr="00E7516E">
        <w:rPr>
          <w:rFonts w:cs="Times New Roman"/>
        </w:rPr>
        <w:t xml:space="preserve">&gt;. This is also the position under the </w:t>
      </w:r>
      <w:r w:rsidRPr="00E7516E">
        <w:rPr>
          <w:rFonts w:cs="Times New Roman"/>
          <w:i/>
        </w:rPr>
        <w:t>Privacy and Personal Information Protection Act 1998</w:t>
      </w:r>
      <w:r w:rsidRPr="00E7516E">
        <w:rPr>
          <w:rFonts w:cs="Times New Roman"/>
        </w:rPr>
        <w:t xml:space="preserve"> (NSW) s 4, the </w:t>
      </w:r>
      <w:r w:rsidRPr="00E7516E">
        <w:rPr>
          <w:rFonts w:cs="Times New Roman"/>
          <w:i/>
          <w:iCs/>
        </w:rPr>
        <w:t>Information Privacy Act 2009</w:t>
      </w:r>
      <w:r w:rsidRPr="00E7516E">
        <w:rPr>
          <w:rFonts w:cs="Times New Roman"/>
        </w:rPr>
        <w:t xml:space="preserve"> (Qld) s 12</w:t>
      </w:r>
      <w:r w:rsidRPr="00E7516E">
        <w:rPr>
          <w:rFonts w:cs="Times New Roman"/>
          <w:i/>
          <w:iCs/>
        </w:rPr>
        <w:t xml:space="preserve"> </w:t>
      </w:r>
      <w:r w:rsidRPr="00E7516E">
        <w:rPr>
          <w:rFonts w:cs="Times New Roman"/>
        </w:rPr>
        <w:t>and the</w:t>
      </w:r>
      <w:r w:rsidRPr="00E7516E">
        <w:rPr>
          <w:rFonts w:cs="Times New Roman"/>
          <w:i/>
          <w:iCs/>
        </w:rPr>
        <w:t xml:space="preserve"> Information Privacy Act 2014</w:t>
      </w:r>
      <w:r w:rsidRPr="00E7516E">
        <w:rPr>
          <w:rFonts w:cs="Times New Roman"/>
        </w:rPr>
        <w:t xml:space="preserve"> (ACT) s 8. It is noted that the </w:t>
      </w:r>
      <w:r w:rsidRPr="00E7516E">
        <w:rPr>
          <w:rFonts w:cs="Times New Roman"/>
          <w:i/>
          <w:iCs/>
        </w:rPr>
        <w:t>Information Privacy and Other Legislation Amendment Act 2023</w:t>
      </w:r>
      <w:r w:rsidRPr="00E7516E">
        <w:rPr>
          <w:rFonts w:cs="Times New Roman"/>
        </w:rPr>
        <w:t xml:space="preserve"> (Qld) has been passed but not commenced.</w:t>
      </w:r>
    </w:p>
  </w:footnote>
  <w:footnote w:id="163">
    <w:p w14:paraId="04B7D7C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Australian Privacy Principles Guidelines: Chapter B: Key Concepts</w:t>
      </w:r>
      <w:r w:rsidRPr="00E7516E">
        <w:rPr>
          <w:rFonts w:cs="Times New Roman"/>
        </w:rPr>
        <w:t xml:space="preserve"> (2022) &lt;</w:t>
      </w:r>
      <w:hyperlink r:id="rId6" w:history="1">
        <w:r w:rsidRPr="00E7516E">
          <w:rPr>
            <w:rStyle w:val="Hyperlink"/>
            <w:rFonts w:cs="Times New Roman"/>
          </w:rPr>
          <w:t>https://www.oaic.gov.au/privacy/australian-privacy-principles/australian-privacy-principles-guidelines/chapter-b-key-concepts</w:t>
        </w:r>
      </w:hyperlink>
      <w:r w:rsidRPr="00E7516E">
        <w:rPr>
          <w:rFonts w:cs="Times New Roman"/>
        </w:rPr>
        <w:t xml:space="preserve">&gt;. </w:t>
      </w:r>
    </w:p>
  </w:footnote>
  <w:footnote w:id="164">
    <w:p w14:paraId="1BDED74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eastAsia="Times" w:cs="Times New Roman"/>
          <w:i/>
          <w:iCs/>
          <w:lang w:eastAsia="ja-JP"/>
        </w:rPr>
        <w:t>General Data Protection Regulation</w:t>
      </w:r>
      <w:r w:rsidRPr="00E7516E">
        <w:rPr>
          <w:rFonts w:cs="Times New Roman"/>
          <w:i/>
          <w:iCs/>
        </w:rPr>
        <w:t xml:space="preserve"> 2106/679</w:t>
      </w:r>
      <w:r w:rsidRPr="00E7516E">
        <w:rPr>
          <w:rFonts w:cs="Times New Roman"/>
        </w:rPr>
        <w:t xml:space="preserve"> (‘GDPR’) art 4(1) (emphasis added). </w:t>
      </w:r>
    </w:p>
  </w:footnote>
  <w:footnote w:id="165">
    <w:p w14:paraId="4EF55F5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Peter Nowak v Data Protection Commissioner </w:t>
      </w:r>
      <w:r w:rsidRPr="00E7516E">
        <w:rPr>
          <w:rFonts w:cs="Times New Roman"/>
        </w:rPr>
        <w:t>(Court of Justice of the European Union, C-434/16, ECLI:EU:C:2017:994, 20 December 2017);</w:t>
      </w:r>
      <w:r w:rsidRPr="00E7516E">
        <w:rPr>
          <w:rFonts w:cs="Times New Roman"/>
          <w:i/>
          <w:iCs/>
        </w:rPr>
        <w:t xml:space="preserve"> YS v Minister voor Immigratie, Integratie en Asiel and Minister voor Immigratie, Integratie en Asiel v M, S, </w:t>
      </w:r>
      <w:r w:rsidRPr="00E7516E">
        <w:rPr>
          <w:rFonts w:cs="Times New Roman"/>
        </w:rPr>
        <w:t xml:space="preserve">(Court of Justice of the European Union, C‑141/12 and C‑372/12, ECLI:EU:C:2014:2081, 17 July 2014). </w:t>
      </w:r>
    </w:p>
  </w:footnote>
  <w:footnote w:id="166">
    <w:p w14:paraId="3656537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2014</w:t>
      </w:r>
      <w:r w:rsidRPr="00E7516E">
        <w:rPr>
          <w:rFonts w:cs="Times New Roman"/>
        </w:rPr>
        <w:t xml:space="preserve"> (ACT) s 8.</w:t>
      </w:r>
    </w:p>
  </w:footnote>
  <w:footnote w:id="167">
    <w:p w14:paraId="28CC8FB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Privacy and Personal Information Protection Act 1998</w:t>
      </w:r>
      <w:r w:rsidRPr="00E7516E">
        <w:rPr>
          <w:rFonts w:cs="Times New Roman"/>
        </w:rPr>
        <w:t xml:space="preserve"> (NSW) (‘PPIP Act’) s 4(1).</w:t>
      </w:r>
    </w:p>
  </w:footnote>
  <w:footnote w:id="168">
    <w:p w14:paraId="4AB21BA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Information Privacy Act 2009 </w:t>
      </w:r>
      <w:r w:rsidRPr="00E7516E">
        <w:rPr>
          <w:rFonts w:cs="Times New Roman"/>
        </w:rPr>
        <w:t>(Qld) s</w:t>
      </w:r>
      <w:r w:rsidRPr="00E7516E">
        <w:rPr>
          <w:rFonts w:cs="Times New Roman"/>
          <w:i/>
        </w:rPr>
        <w:t xml:space="preserve"> </w:t>
      </w:r>
      <w:r w:rsidRPr="00E7516E">
        <w:rPr>
          <w:rFonts w:cs="Times New Roman"/>
        </w:rPr>
        <w:t xml:space="preserve">12. It is noted that the </w:t>
      </w:r>
      <w:r w:rsidRPr="00E7516E">
        <w:rPr>
          <w:rFonts w:cs="Times New Roman"/>
          <w:i/>
        </w:rPr>
        <w:t>Information Privacy and Other Legislation Amendment Act 2023</w:t>
      </w:r>
      <w:r w:rsidRPr="00E7516E">
        <w:rPr>
          <w:rFonts w:cs="Times New Roman"/>
        </w:rPr>
        <w:t xml:space="preserve"> (Qld) s 12 replaces the definition of personal information with a definition that is consistent with the definition in the </w:t>
      </w:r>
      <w:r w:rsidRPr="00E7516E">
        <w:rPr>
          <w:rFonts w:cs="Times New Roman"/>
          <w:i/>
        </w:rPr>
        <w:t xml:space="preserve">Privacy Act 1988 </w:t>
      </w:r>
      <w:r w:rsidRPr="00E7516E">
        <w:rPr>
          <w:rFonts w:cs="Times New Roman"/>
        </w:rPr>
        <w:t>(Cth) (yet to be commenced).</w:t>
      </w:r>
    </w:p>
  </w:footnote>
  <w:footnote w:id="169">
    <w:p w14:paraId="2DDB83A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 3.</w:t>
      </w:r>
    </w:p>
  </w:footnote>
  <w:footnote w:id="170">
    <w:p w14:paraId="59574B8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Act 2002</w:t>
      </w:r>
      <w:r w:rsidRPr="00E7516E">
        <w:rPr>
          <w:rFonts w:cs="Times New Roman"/>
        </w:rPr>
        <w:t xml:space="preserve"> (NT) s 4A.</w:t>
      </w:r>
    </w:p>
  </w:footnote>
  <w:footnote w:id="171">
    <w:p w14:paraId="04FA59E9"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 xml:space="preserve">What is Personal Information </w:t>
      </w:r>
      <w:r w:rsidRPr="00E7516E">
        <w:rPr>
          <w:rFonts w:cs="Times New Roman"/>
          <w:iCs/>
        </w:rPr>
        <w:t>(Guidance Document, May 2017) 8.</w:t>
      </w:r>
    </w:p>
  </w:footnote>
  <w:footnote w:id="172">
    <w:p w14:paraId="1357F286"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Ibid.</w:t>
      </w:r>
    </w:p>
  </w:footnote>
  <w:footnote w:id="173">
    <w:p w14:paraId="2FFFBEF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APP 11.2, 4.3, 6.4.</w:t>
      </w:r>
    </w:p>
  </w:footnote>
  <w:footnote w:id="174">
    <w:p w14:paraId="014E041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2009</w:t>
      </w:r>
      <w:r w:rsidRPr="00E7516E">
        <w:rPr>
          <w:rFonts w:cs="Times New Roman"/>
        </w:rPr>
        <w:t xml:space="preserve"> (Qld) schs 3 and 4; </w:t>
      </w:r>
      <w:r w:rsidRPr="00E7516E">
        <w:rPr>
          <w:rFonts w:cs="Times New Roman"/>
          <w:i/>
          <w:iCs/>
        </w:rPr>
        <w:t>Information Privacy Act 2014</w:t>
      </w:r>
      <w:r w:rsidRPr="00E7516E">
        <w:rPr>
          <w:rFonts w:cs="Times New Roman"/>
        </w:rPr>
        <w:t xml:space="preserve"> (ACT) sch 1; </w:t>
      </w:r>
      <w:r w:rsidRPr="00E7516E">
        <w:rPr>
          <w:rFonts w:cs="Times New Roman"/>
          <w:i/>
          <w:iCs/>
        </w:rPr>
        <w:t>Privacy and Data Protection Act 2014</w:t>
      </w:r>
      <w:r w:rsidRPr="00E7516E">
        <w:rPr>
          <w:rFonts w:cs="Times New Roman"/>
        </w:rPr>
        <w:t xml:space="preserve"> (Vic) sch 1; </w:t>
      </w:r>
      <w:r w:rsidRPr="00E7516E">
        <w:rPr>
          <w:rFonts w:cs="Times New Roman"/>
          <w:i/>
          <w:iCs/>
        </w:rPr>
        <w:t>Privacy and Personal Information Protection Act 1998</w:t>
      </w:r>
      <w:r w:rsidRPr="00E7516E">
        <w:rPr>
          <w:rFonts w:cs="Times New Roman"/>
        </w:rPr>
        <w:t xml:space="preserve"> (NSW) s 27B; </w:t>
      </w:r>
      <w:r w:rsidRPr="00E7516E">
        <w:rPr>
          <w:rFonts w:cs="Times New Roman"/>
          <w:i/>
          <w:iCs/>
        </w:rPr>
        <w:t>Information Act 2002</w:t>
      </w:r>
      <w:r w:rsidRPr="00E7516E">
        <w:rPr>
          <w:rFonts w:cs="Times New Roman"/>
        </w:rPr>
        <w:t xml:space="preserve"> (NT) sch 2). It is noted that the </w:t>
      </w:r>
      <w:r w:rsidRPr="00E7516E">
        <w:rPr>
          <w:rFonts w:cs="Times New Roman"/>
          <w:i/>
          <w:iCs/>
        </w:rPr>
        <w:t>Information Privacy and Other Legislation Amendment Act 2023</w:t>
      </w:r>
      <w:r w:rsidRPr="00E7516E">
        <w:rPr>
          <w:rFonts w:cs="Times New Roman"/>
        </w:rPr>
        <w:t xml:space="preserve"> (Qld) replaces sch 3 (Information Privacy Principles) and sch 4 (National Privacy Principles) with a new sch 3 (Queensland Privacy Principles) (yet to commence).</w:t>
      </w:r>
    </w:p>
  </w:footnote>
  <w:footnote w:id="175">
    <w:p w14:paraId="28FFB1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s 6(1) (definition of ‘de-identified’). </w:t>
      </w:r>
    </w:p>
  </w:footnote>
  <w:footnote w:id="176">
    <w:p w14:paraId="744C890E" w14:textId="5069B21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2014</w:t>
      </w:r>
      <w:r w:rsidRPr="00E7516E">
        <w:rPr>
          <w:rFonts w:cs="Times New Roman"/>
        </w:rPr>
        <w:t xml:space="preserve"> (ACT) s 18; </w:t>
      </w:r>
      <w:r w:rsidRPr="00E7516E">
        <w:rPr>
          <w:rFonts w:cs="Times New Roman"/>
          <w:i/>
          <w:iCs/>
        </w:rPr>
        <w:t>Privacy and Data Protection Act 2014</w:t>
      </w:r>
      <w:r w:rsidRPr="00E7516E">
        <w:rPr>
          <w:rFonts w:cs="Times New Roman"/>
        </w:rPr>
        <w:t xml:space="preserve"> (Vic) s</w:t>
      </w:r>
      <w:r w:rsidR="006C56CE">
        <w:rPr>
          <w:rFonts w:cs="Times New Roman"/>
        </w:rPr>
        <w:t> </w:t>
      </w:r>
      <w:r w:rsidRPr="00E7516E">
        <w:rPr>
          <w:rFonts w:cs="Times New Roman"/>
        </w:rPr>
        <w:t>3.</w:t>
      </w:r>
    </w:p>
  </w:footnote>
  <w:footnote w:id="177">
    <w:p w14:paraId="3732C0F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Australian</w:t>
      </w:r>
      <w:r w:rsidRPr="00E7516E">
        <w:rPr>
          <w:rFonts w:cs="Times New Roman"/>
          <w:i/>
          <w:iCs/>
        </w:rPr>
        <w:t xml:space="preserve"> Privacy Principles Guidelines</w:t>
      </w:r>
      <w:r w:rsidRPr="00E7516E">
        <w:rPr>
          <w:rFonts w:cs="Times New Roman"/>
        </w:rPr>
        <w:t xml:space="preserve"> [B.62].</w:t>
      </w:r>
    </w:p>
  </w:footnote>
  <w:footnote w:id="178">
    <w:p w14:paraId="31213139" w14:textId="2B6AE91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It is noted that the </w:t>
      </w:r>
      <w:r w:rsidRPr="00E7516E">
        <w:rPr>
          <w:rFonts w:cs="Times New Roman"/>
          <w:i/>
          <w:iCs/>
        </w:rPr>
        <w:t>Information Privacy and Other Legislation Amendment Act 2023</w:t>
      </w:r>
      <w:r w:rsidRPr="00E7516E">
        <w:rPr>
          <w:rFonts w:cs="Times New Roman"/>
        </w:rPr>
        <w:t xml:space="preserve"> (Qld includes a definition of de-identify that is consistent with the </w:t>
      </w:r>
      <w:r w:rsidRPr="00E7516E">
        <w:rPr>
          <w:rFonts w:cs="Times New Roman"/>
          <w:i/>
          <w:iCs/>
        </w:rPr>
        <w:t xml:space="preserve">Privacy Act 1988 </w:t>
      </w:r>
      <w:r w:rsidRPr="00E7516E">
        <w:rPr>
          <w:rFonts w:cs="Times New Roman"/>
        </w:rPr>
        <w:t>(Cth) in sch</w:t>
      </w:r>
      <w:r w:rsidR="006C56CE">
        <w:rPr>
          <w:rFonts w:cs="Times New Roman"/>
        </w:rPr>
        <w:t> </w:t>
      </w:r>
      <w:r w:rsidRPr="00E7516E">
        <w:rPr>
          <w:rFonts w:cs="Times New Roman"/>
        </w:rPr>
        <w:t>5 (yet to commence).</w:t>
      </w:r>
    </w:p>
  </w:footnote>
  <w:footnote w:id="179">
    <w:p w14:paraId="616A36B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Privacy Act Review Issues Paper Submission</w:t>
      </w:r>
      <w:r w:rsidRPr="00E7516E">
        <w:rPr>
          <w:rFonts w:cs="Times New Roman"/>
        </w:rPr>
        <w:t xml:space="preserve"> &lt;</w:t>
      </w:r>
      <w:hyperlink r:id="rId7" w:history="1">
        <w:r w:rsidRPr="00E7516E">
          <w:rPr>
            <w:rStyle w:val="Hyperlink"/>
            <w:rFonts w:cs="Times New Roman"/>
          </w:rPr>
          <w:t>https://www.oaic.gov.au/engage-with-us/submissions/privacy-act-review-issues-paper-submission/part-2-definition-of-personal-information</w:t>
        </w:r>
      </w:hyperlink>
      <w:r w:rsidRPr="00E7516E">
        <w:rPr>
          <w:rFonts w:cs="Times New Roman"/>
        </w:rPr>
        <w:t>&gt; [2.35].</w:t>
      </w:r>
    </w:p>
  </w:footnote>
  <w:footnote w:id="180">
    <w:p w14:paraId="42C1F09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GDPR art 4 (emphasis added). </w:t>
      </w:r>
    </w:p>
  </w:footnote>
  <w:footnote w:id="181">
    <w:p w14:paraId="25385A4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GDPR recital 26.</w:t>
      </w:r>
    </w:p>
  </w:footnote>
  <w:footnote w:id="182">
    <w:p w14:paraId="7DEB315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s 5; OAIC, ‘What is Personal Information?’. </w:t>
      </w:r>
    </w:p>
  </w:footnote>
  <w:footnote w:id="183">
    <w:p w14:paraId="42D0227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Privacy and Personal Information Protection Act 1998</w:t>
      </w:r>
      <w:r w:rsidRPr="00E7516E">
        <w:rPr>
          <w:rFonts w:cs="Times New Roman"/>
        </w:rPr>
        <w:t xml:space="preserve"> (NSW) s 4(3)(a); </w:t>
      </w:r>
      <w:r w:rsidRPr="00E7516E">
        <w:rPr>
          <w:rFonts w:cs="Times New Roman"/>
          <w:i/>
          <w:iCs/>
        </w:rPr>
        <w:t>Health Records Act 2001</w:t>
      </w:r>
      <w:r w:rsidRPr="00E7516E">
        <w:rPr>
          <w:rFonts w:cs="Times New Roman"/>
        </w:rPr>
        <w:t xml:space="preserve"> (Vic) s 3. Note that the Northern Territory extends protection for deceased persons for 5 years: </w:t>
      </w:r>
      <w:r w:rsidRPr="00E7516E">
        <w:rPr>
          <w:rFonts w:cs="Times New Roman"/>
          <w:i/>
          <w:iCs/>
        </w:rPr>
        <w:t xml:space="preserve">Information Act 2002 </w:t>
      </w:r>
      <w:r w:rsidRPr="00E7516E">
        <w:rPr>
          <w:rFonts w:cs="Times New Roman"/>
        </w:rPr>
        <w:t xml:space="preserve">(NT) s 4 (definition of ‘person’).  </w:t>
      </w:r>
    </w:p>
  </w:footnote>
  <w:footnote w:id="184">
    <w:p w14:paraId="45C6AC2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Act 2002 </w:t>
      </w:r>
      <w:r w:rsidRPr="00E7516E">
        <w:rPr>
          <w:rFonts w:cs="Times New Roman"/>
        </w:rPr>
        <w:t>(NT) s 4.</w:t>
      </w:r>
    </w:p>
  </w:footnote>
  <w:footnote w:id="185">
    <w:p w14:paraId="71C76992" w14:textId="176BD29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4.1.</w:t>
      </w:r>
    </w:p>
  </w:footnote>
  <w:footnote w:id="186">
    <w:p w14:paraId="0A2A0D97" w14:textId="6FCF46D1" w:rsidR="00FF302D" w:rsidRPr="00E7516E" w:rsidRDefault="00FF302D" w:rsidP="00E7516E">
      <w:pPr>
        <w:pStyle w:val="FootnoteText"/>
        <w:jc w:val="left"/>
        <w:rPr>
          <w:rFonts w:cs="Times New Roman"/>
        </w:rPr>
      </w:pPr>
      <w:r w:rsidRPr="00B32F4C">
        <w:rPr>
          <w:rStyle w:val="FootnoteReference"/>
          <w:rFonts w:ascii="Times New Roman" w:hAnsi="Times New Roman" w:cs="Times New Roman"/>
        </w:rPr>
        <w:footnoteRef/>
      </w:r>
      <w:r w:rsidRPr="00B32F4C">
        <w:rPr>
          <w:rFonts w:cs="Times New Roman"/>
        </w:rPr>
        <w:t xml:space="preserve"> </w:t>
      </w:r>
      <w:r w:rsidRPr="00EA22F8">
        <w:rPr>
          <w:rFonts w:cs="Times New Roman"/>
        </w:rPr>
        <w:t xml:space="preserve">ACCC, </w:t>
      </w:r>
      <w:r w:rsidRPr="00B32F4C">
        <w:rPr>
          <w:rFonts w:cs="Times New Roman"/>
          <w:i/>
          <w:iCs/>
        </w:rPr>
        <w:t xml:space="preserve">Digital Platforms Inquiry </w:t>
      </w:r>
      <w:r w:rsidRPr="00EA22F8">
        <w:rPr>
          <w:rFonts w:cs="Times New Roman"/>
          <w:i/>
          <w:iCs/>
        </w:rPr>
        <w:t>Report</w:t>
      </w:r>
      <w:r w:rsidRPr="00EA22F8">
        <w:rPr>
          <w:rFonts w:cs="Times New Roman"/>
        </w:rPr>
        <w:t xml:space="preserve"> 458</w:t>
      </w:r>
      <w:r w:rsidR="00B32F4C" w:rsidRPr="00EA22F8">
        <w:rPr>
          <w:rFonts w:cs="Times New Roman"/>
        </w:rPr>
        <w:t xml:space="preserve"> (‘</w:t>
      </w:r>
      <w:r w:rsidR="00B32F4C" w:rsidRPr="00EA22F8">
        <w:rPr>
          <w:rFonts w:cs="Times New Roman"/>
          <w:i/>
          <w:iCs/>
        </w:rPr>
        <w:t>DPI Report</w:t>
      </w:r>
      <w:r w:rsidR="00B32F4C" w:rsidRPr="00EA22F8">
        <w:rPr>
          <w:rFonts w:cs="Times New Roman"/>
        </w:rPr>
        <w:t>’)</w:t>
      </w:r>
      <w:r w:rsidRPr="00EA22F8">
        <w:rPr>
          <w:rFonts w:cs="Times New Roman"/>
        </w:rPr>
        <w:t>.</w:t>
      </w:r>
    </w:p>
  </w:footnote>
  <w:footnote w:id="187">
    <w:p w14:paraId="0A57FD9A" w14:textId="1E7A195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(2017) 249 FCR 24; ACCC, </w:t>
      </w:r>
      <w:r w:rsidRPr="00E7516E">
        <w:rPr>
          <w:rFonts w:cs="Times New Roman"/>
          <w:i/>
          <w:iCs/>
        </w:rPr>
        <w:t>DPI Report</w:t>
      </w:r>
      <w:r w:rsidRPr="00E7516E">
        <w:rPr>
          <w:rFonts w:cs="Times New Roman"/>
        </w:rPr>
        <w:t xml:space="preserve"> 459; and see </w:t>
      </w:r>
      <w:r w:rsidR="00915A83">
        <w:rPr>
          <w:rFonts w:cs="Times New Roman"/>
        </w:rPr>
        <w:t xml:space="preserve">Privacy Act Review Report 2022 </w:t>
      </w:r>
      <w:r w:rsidRPr="00E7516E">
        <w:rPr>
          <w:rFonts w:cs="Times New Roman"/>
        </w:rPr>
        <w:t>25.</w:t>
      </w:r>
    </w:p>
  </w:footnote>
  <w:footnote w:id="188">
    <w:p w14:paraId="6CA8A2B5" w14:textId="4DD81D4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D87267">
        <w:rPr>
          <w:rFonts w:cs="Times New Roman"/>
        </w:rPr>
        <w:t>Privacy Act Review Report 2022 25</w:t>
      </w:r>
      <w:r w:rsidRPr="00E7516E">
        <w:rPr>
          <w:rFonts w:cs="Times New Roman"/>
        </w:rPr>
        <w:t>.</w:t>
      </w:r>
    </w:p>
  </w:footnote>
  <w:footnote w:id="189">
    <w:p w14:paraId="1C76E893" w14:textId="30C7F5A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32F4C">
        <w:rPr>
          <w:rFonts w:cs="Times New Roman"/>
        </w:rPr>
        <w:t>Ibid</w:t>
      </w:r>
      <w:r w:rsidRPr="00E7516E">
        <w:rPr>
          <w:rFonts w:cs="Times New Roman"/>
        </w:rPr>
        <w:t xml:space="preserve"> 25 and citing Privacy Act Review Discussion Paper 26–27.</w:t>
      </w:r>
    </w:p>
  </w:footnote>
  <w:footnote w:id="190">
    <w:p w14:paraId="18C51BC2" w14:textId="0227145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32F4C">
        <w:rPr>
          <w:rFonts w:cs="Times New Roman"/>
        </w:rPr>
        <w:t xml:space="preserve">Ibid </w:t>
      </w:r>
      <w:r w:rsidRPr="00E7516E">
        <w:rPr>
          <w:rFonts w:cs="Times New Roman"/>
        </w:rPr>
        <w:t>26.</w:t>
      </w:r>
    </w:p>
  </w:footnote>
  <w:footnote w:id="191">
    <w:p w14:paraId="5CC69879" w14:textId="4A148EA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32F4C">
        <w:rPr>
          <w:rFonts w:cs="Times New Roman"/>
        </w:rPr>
        <w:t xml:space="preserve">Ibid </w:t>
      </w:r>
      <w:r w:rsidRPr="00E7516E">
        <w:rPr>
          <w:rFonts w:cs="Times New Roman"/>
        </w:rPr>
        <w:t>Proposal 4.1.</w:t>
      </w:r>
    </w:p>
  </w:footnote>
  <w:footnote w:id="192">
    <w:p w14:paraId="49D4403C" w14:textId="3044ABF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32F4C">
        <w:rPr>
          <w:rFonts w:cs="Times New Roman"/>
        </w:rPr>
        <w:t xml:space="preserve">Ibid </w:t>
      </w:r>
      <w:r w:rsidRPr="00E7516E">
        <w:rPr>
          <w:rFonts w:cs="Times New Roman"/>
        </w:rPr>
        <w:t>28.</w:t>
      </w:r>
    </w:p>
  </w:footnote>
  <w:footnote w:id="193">
    <w:p w14:paraId="6EB11550" w14:textId="14481B6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32F4C">
        <w:rPr>
          <w:rFonts w:cs="Times New Roman"/>
        </w:rPr>
        <w:t xml:space="preserve">Ibid </w:t>
      </w:r>
      <w:r w:rsidRPr="00E7516E">
        <w:rPr>
          <w:rFonts w:cs="Times New Roman"/>
        </w:rPr>
        <w:t>Proposal 4.2.</w:t>
      </w:r>
    </w:p>
  </w:footnote>
  <w:footnote w:id="194">
    <w:p w14:paraId="1A8B7DE6" w14:textId="507DDDB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A353E">
        <w:rPr>
          <w:rFonts w:cs="Times New Roman"/>
        </w:rPr>
        <w:t xml:space="preserve">Privacy Act Review Report 2022 </w:t>
      </w:r>
      <w:r w:rsidRPr="00E7516E">
        <w:rPr>
          <w:rFonts w:cs="Times New Roman"/>
        </w:rPr>
        <w:t>29.</w:t>
      </w:r>
    </w:p>
  </w:footnote>
  <w:footnote w:id="195">
    <w:p w14:paraId="7469A051" w14:textId="0305882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A353E">
        <w:rPr>
          <w:rFonts w:cs="Times New Roman"/>
        </w:rPr>
        <w:t>Ibid</w:t>
      </w:r>
      <w:r w:rsidRPr="00E7516E">
        <w:rPr>
          <w:rFonts w:cs="Times New Roman"/>
        </w:rPr>
        <w:t xml:space="preserve"> 32.</w:t>
      </w:r>
    </w:p>
  </w:footnote>
  <w:footnote w:id="196">
    <w:p w14:paraId="1338335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31.</w:t>
      </w:r>
    </w:p>
  </w:footnote>
  <w:footnote w:id="197">
    <w:p w14:paraId="6E17855F" w14:textId="013CBDB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D60025">
        <w:rPr>
          <w:rFonts w:cs="Times New Roman"/>
        </w:rPr>
        <w:t xml:space="preserve">Ibid </w:t>
      </w:r>
      <w:r w:rsidRPr="00E7516E">
        <w:rPr>
          <w:rFonts w:cs="Times New Roman"/>
        </w:rPr>
        <w:t>Proposal 4.4.</w:t>
      </w:r>
    </w:p>
  </w:footnote>
  <w:footnote w:id="198">
    <w:p w14:paraId="176480C1" w14:textId="56F898F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D60025" w:rsidRPr="004D3456">
        <w:rPr>
          <w:rFonts w:cs="Times New Roman"/>
        </w:rPr>
        <w:t xml:space="preserve">Ibid </w:t>
      </w:r>
      <w:r w:rsidRPr="004D3456">
        <w:rPr>
          <w:rFonts w:cs="Times New Roman"/>
        </w:rPr>
        <w:t xml:space="preserve">34 and </w:t>
      </w:r>
      <w:r w:rsidRPr="00EA22F8">
        <w:rPr>
          <w:rFonts w:cs="Times New Roman"/>
        </w:rPr>
        <w:t>citing a number of submissions</w:t>
      </w:r>
      <w:r w:rsidR="004D3456" w:rsidRPr="00EA22F8">
        <w:rPr>
          <w:rFonts w:cs="Times New Roman"/>
        </w:rPr>
        <w:t>.</w:t>
      </w:r>
    </w:p>
  </w:footnote>
  <w:footnote w:id="199">
    <w:p w14:paraId="05AC2DAE" w14:textId="06446A6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07BE0">
        <w:rPr>
          <w:rFonts w:cs="Times New Roman"/>
        </w:rPr>
        <w:t xml:space="preserve">Ibid </w:t>
      </w:r>
      <w:r w:rsidRPr="00E7516E">
        <w:rPr>
          <w:rFonts w:cs="Times New Roman"/>
        </w:rPr>
        <w:t>35</w:t>
      </w:r>
      <w:r w:rsidR="00CA353E">
        <w:rPr>
          <w:rFonts w:cs="Times New Roman"/>
        </w:rPr>
        <w:t>.</w:t>
      </w:r>
    </w:p>
  </w:footnote>
  <w:footnote w:id="200">
    <w:p w14:paraId="39611D37" w14:textId="42A422E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5.</w:t>
      </w:r>
    </w:p>
  </w:footnote>
  <w:footnote w:id="201">
    <w:p w14:paraId="5DAA98E0" w14:textId="608E683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36.</w:t>
      </w:r>
    </w:p>
  </w:footnote>
  <w:footnote w:id="202">
    <w:p w14:paraId="74B7B7A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see ACCC, </w:t>
      </w:r>
      <w:r w:rsidRPr="00E7516E">
        <w:rPr>
          <w:rFonts w:cs="Times New Roman"/>
          <w:i/>
          <w:iCs/>
        </w:rPr>
        <w:t xml:space="preserve">Digital Platforms Inquiry </w:t>
      </w:r>
      <w:r w:rsidRPr="00E7516E">
        <w:rPr>
          <w:rFonts w:cs="Times New Roman"/>
        </w:rPr>
        <w:t>476.</w:t>
      </w:r>
    </w:p>
  </w:footnote>
  <w:footnote w:id="203">
    <w:p w14:paraId="470E035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Discussion Paper Proposal 2.5.</w:t>
      </w:r>
    </w:p>
  </w:footnote>
  <w:footnote w:id="204">
    <w:p w14:paraId="7FA33A48" w14:textId="2DDB9BB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60F39">
        <w:rPr>
          <w:rFonts w:cs="Times New Roman"/>
        </w:rPr>
        <w:t>Ibid</w:t>
      </w:r>
      <w:r w:rsidRPr="00E7516E">
        <w:rPr>
          <w:rFonts w:cs="Times New Roman"/>
        </w:rPr>
        <w:t xml:space="preserve"> Proposal 4.5</w:t>
      </w:r>
    </w:p>
  </w:footnote>
  <w:footnote w:id="205">
    <w:p w14:paraId="33FFCAE7" w14:textId="20710B09" w:rsidR="00FF302D" w:rsidRPr="00EA22F8" w:rsidRDefault="00FF302D" w:rsidP="00E7516E">
      <w:pPr>
        <w:pStyle w:val="Heading3"/>
        <w:numPr>
          <w:ilvl w:val="2"/>
          <w:numId w:val="0"/>
        </w:numPr>
        <w:spacing w:after="0"/>
        <w:jc w:val="left"/>
        <w:rPr>
          <w:rFonts w:ascii="Times New Roman" w:hAnsi="Times New Roman" w:cs="Times New Roman"/>
          <w:color w:val="auto"/>
          <w:sz w:val="20"/>
          <w:szCs w:val="20"/>
        </w:rPr>
      </w:pPr>
      <w:r w:rsidRPr="00EA22F8">
        <w:rPr>
          <w:rStyle w:val="FootnoteReference"/>
          <w:rFonts w:ascii="Times New Roman" w:hAnsi="Times New Roman" w:cs="Times New Roman"/>
          <w:color w:val="auto"/>
        </w:rPr>
        <w:footnoteRef/>
      </w:r>
      <w:r w:rsidRPr="00EA22F8">
        <w:rPr>
          <w:rFonts w:ascii="Times New Roman" w:hAnsi="Times New Roman" w:cs="Times New Roman"/>
          <w:color w:val="auto"/>
          <w:sz w:val="20"/>
          <w:szCs w:val="20"/>
        </w:rPr>
        <w:t xml:space="preserve"> </w:t>
      </w:r>
      <w:r w:rsidR="00660F39" w:rsidRPr="00EA22F8">
        <w:rPr>
          <w:rFonts w:ascii="Times New Roman" w:hAnsi="Times New Roman" w:cs="Times New Roman"/>
          <w:color w:val="auto"/>
          <w:sz w:val="20"/>
          <w:szCs w:val="20"/>
        </w:rPr>
        <w:t xml:space="preserve">Ibid </w:t>
      </w:r>
      <w:r w:rsidRPr="00EA22F8">
        <w:rPr>
          <w:rFonts w:ascii="Times New Roman" w:hAnsi="Times New Roman" w:cs="Times New Roman"/>
          <w:color w:val="auto"/>
          <w:sz w:val="20"/>
          <w:szCs w:val="20"/>
        </w:rPr>
        <w:t xml:space="preserve">37. The Review also contemplated that technological developments might in future require the development of APP codes (discussed in Part 5 of this </w:t>
      </w:r>
      <w:r w:rsidR="00BC1B39" w:rsidRPr="00EA22F8">
        <w:rPr>
          <w:rFonts w:ascii="Times New Roman" w:hAnsi="Times New Roman" w:cs="Times New Roman"/>
          <w:color w:val="auto"/>
          <w:sz w:val="20"/>
          <w:szCs w:val="20"/>
        </w:rPr>
        <w:t>R</w:t>
      </w:r>
      <w:r w:rsidRPr="00EA22F8">
        <w:rPr>
          <w:rFonts w:ascii="Times New Roman" w:hAnsi="Times New Roman" w:cs="Times New Roman"/>
          <w:color w:val="auto"/>
          <w:sz w:val="20"/>
          <w:szCs w:val="20"/>
        </w:rPr>
        <w:t>eport) to deal with ‘technically complex and evolving uses of personal information and de-identified information’: ibid.</w:t>
      </w:r>
    </w:p>
  </w:footnote>
  <w:footnote w:id="206">
    <w:p w14:paraId="7717C560" w14:textId="7E8D3AC2" w:rsidR="00FF302D" w:rsidRPr="00660F39" w:rsidRDefault="00FF302D" w:rsidP="00E7516E">
      <w:pPr>
        <w:pStyle w:val="FootnoteText"/>
        <w:jc w:val="left"/>
        <w:rPr>
          <w:rFonts w:cs="Times New Roman"/>
        </w:rPr>
      </w:pPr>
      <w:r w:rsidRPr="00660F39">
        <w:rPr>
          <w:rStyle w:val="FootnoteReference"/>
          <w:rFonts w:ascii="Times New Roman" w:hAnsi="Times New Roman" w:cs="Times New Roman"/>
        </w:rPr>
        <w:footnoteRef/>
      </w:r>
      <w:r w:rsidRPr="00660F39">
        <w:rPr>
          <w:rFonts w:cs="Times New Roman"/>
        </w:rPr>
        <w:t xml:space="preserve"> </w:t>
      </w:r>
      <w:r w:rsidRPr="00EA22F8">
        <w:rPr>
          <w:rFonts w:cs="Times New Roman"/>
        </w:rPr>
        <w:t>Government Response</w:t>
      </w:r>
      <w:r w:rsidRPr="00660F39">
        <w:rPr>
          <w:rFonts w:cs="Times New Roman"/>
        </w:rPr>
        <w:t xml:space="preserve">. </w:t>
      </w:r>
    </w:p>
  </w:footnote>
  <w:footnote w:id="207">
    <w:p w14:paraId="65FBDC53" w14:textId="5241FC5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 xml:space="preserve">Proposal 4.7. The Review observed that criminal offences for re-identification of de-identified information released by government agencies are provided for in the </w:t>
      </w:r>
      <w:r w:rsidRPr="00E7516E">
        <w:rPr>
          <w:rFonts w:cs="Times New Roman"/>
          <w:i/>
          <w:iCs/>
        </w:rPr>
        <w:t>Data Availability and Transparency Act 2022</w:t>
      </w:r>
      <w:r w:rsidRPr="00E7516E">
        <w:rPr>
          <w:rFonts w:cs="Times New Roman"/>
        </w:rPr>
        <w:t xml:space="preserve"> (Cth), meaning the Review’s proposal was confined to strictly malicious re-identification: ibid 40.</w:t>
      </w:r>
    </w:p>
  </w:footnote>
  <w:footnote w:id="208">
    <w:p w14:paraId="0A403E16" w14:textId="257F8BB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4.</w:t>
      </w:r>
    </w:p>
  </w:footnote>
  <w:footnote w:id="209">
    <w:p w14:paraId="5D9A94FA" w14:textId="291FF86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4.8.</w:t>
      </w:r>
    </w:p>
  </w:footnote>
  <w:footnote w:id="210">
    <w:p w14:paraId="0E522380" w14:textId="39D7D07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5.</w:t>
      </w:r>
    </w:p>
  </w:footnote>
  <w:footnote w:id="211">
    <w:p w14:paraId="00288F77" w14:textId="2766264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41 and citing ALRC</w:t>
      </w:r>
      <w:r w:rsidR="00631ABA">
        <w:rPr>
          <w:rFonts w:cs="Times New Roman"/>
        </w:rPr>
        <w:t xml:space="preserve">, </w:t>
      </w:r>
      <w:r w:rsidR="00631ABA" w:rsidRPr="00EA22F8">
        <w:rPr>
          <w:rFonts w:cs="Times New Roman"/>
          <w:i/>
          <w:iCs/>
        </w:rPr>
        <w:t>Privacy</w:t>
      </w:r>
      <w:r w:rsidRPr="00E7516E">
        <w:rPr>
          <w:rFonts w:cs="Times New Roman"/>
        </w:rPr>
        <w:t xml:space="preserve"> 377.</w:t>
      </w:r>
    </w:p>
  </w:footnote>
  <w:footnote w:id="212">
    <w:p w14:paraId="2F1470EB" w14:textId="4121D69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84F79">
        <w:rPr>
          <w:rFonts w:cs="Times New Roman"/>
        </w:rPr>
        <w:t>Ibid</w:t>
      </w:r>
      <w:r w:rsidRPr="00E7516E">
        <w:rPr>
          <w:rFonts w:cs="Times New Roman"/>
        </w:rPr>
        <w:t xml:space="preserve"> 42 and citing Attorney-General’s Department, </w:t>
      </w:r>
      <w:hyperlink r:id="rId8" w:history="1">
        <w:r w:rsidRPr="00E7516E">
          <w:rPr>
            <w:rStyle w:val="Hyperlink"/>
            <w:rFonts w:cs="Times New Roman"/>
          </w:rPr>
          <w:t xml:space="preserve">Standing Council of Attorneys-General, </w:t>
        </w:r>
        <w:r w:rsidRPr="00E7516E">
          <w:rPr>
            <w:rStyle w:val="Hyperlink"/>
            <w:rFonts w:cs="Times New Roman"/>
            <w:i/>
            <w:iCs/>
          </w:rPr>
          <w:t>Communiqué</w:t>
        </w:r>
        <w:r w:rsidRPr="00E7516E" w:rsidDel="00333942">
          <w:rPr>
            <w:rStyle w:val="Hyperlink"/>
            <w:rFonts w:cs="Times New Roman"/>
          </w:rPr>
          <w:t xml:space="preserve"> </w:t>
        </w:r>
      </w:hyperlink>
      <w:r w:rsidRPr="00E7516E">
        <w:rPr>
          <w:rFonts w:cs="Times New Roman"/>
        </w:rPr>
        <w:t>(9</w:t>
      </w:r>
      <w:r w:rsidR="00484F79">
        <w:rPr>
          <w:rFonts w:cs="Times New Roman"/>
        </w:rPr>
        <w:t> </w:t>
      </w:r>
      <w:r w:rsidRPr="00E7516E">
        <w:rPr>
          <w:rFonts w:cs="Times New Roman"/>
        </w:rPr>
        <w:t>December 2022) 4.</w:t>
      </w:r>
    </w:p>
  </w:footnote>
  <w:footnote w:id="213">
    <w:p w14:paraId="3E3CB30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NSW Law Reform Commission, </w:t>
      </w:r>
      <w:r w:rsidRPr="00E7516E">
        <w:rPr>
          <w:rFonts w:cs="Times New Roman"/>
          <w:i/>
        </w:rPr>
        <w:t>Access to Digital Records Upon Death or Incapacity</w:t>
      </w:r>
      <w:r w:rsidRPr="00E7516E">
        <w:rPr>
          <w:rFonts w:cs="Times New Roman"/>
        </w:rPr>
        <w:t xml:space="preserve"> (Report No 147, December 2019) 81–83.</w:t>
      </w:r>
    </w:p>
  </w:footnote>
  <w:footnote w:id="214">
    <w:p w14:paraId="39ADCD1E" w14:textId="4A3258B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Council of Attorneys-General, </w:t>
      </w:r>
      <w:r w:rsidRPr="00E7516E">
        <w:rPr>
          <w:rFonts w:cs="Times New Roman"/>
          <w:i/>
          <w:iCs/>
        </w:rPr>
        <w:t>Communiqué</w:t>
      </w:r>
      <w:r w:rsidRPr="00E7516E" w:rsidDel="00DD20CB">
        <w:rPr>
          <w:rFonts w:cs="Times New Roman"/>
        </w:rPr>
        <w:t xml:space="preserve"> </w:t>
      </w:r>
      <w:r w:rsidRPr="00E7516E">
        <w:rPr>
          <w:rFonts w:cs="Times New Roman"/>
        </w:rPr>
        <w:t>(27 July 2020) &lt;</w:t>
      </w:r>
      <w:hyperlink r:id="rId9" w:history="1">
        <w:r w:rsidR="00787FE5" w:rsidRPr="00787FE5">
          <w:rPr>
            <w:rStyle w:val="Hyperlink"/>
          </w:rPr>
          <w:t>https://www.ag.gov.au/about-us/publications/council-attorneys-general-communique-july-2020</w:t>
        </w:r>
      </w:hyperlink>
      <w:r w:rsidRPr="00E7516E">
        <w:rPr>
          <w:rFonts w:cs="Times New Roman"/>
        </w:rPr>
        <w:t>&gt;; Meeting of Attorneys-General,</w:t>
      </w:r>
      <w:r w:rsidRPr="00E7516E">
        <w:rPr>
          <w:rFonts w:cs="Times New Roman"/>
          <w:i/>
          <w:iCs/>
        </w:rPr>
        <w:t xml:space="preserve"> Communiqué </w:t>
      </w:r>
      <w:r w:rsidRPr="00E7516E">
        <w:rPr>
          <w:rFonts w:cs="Times New Roman"/>
        </w:rPr>
        <w:t>(31 March 2021) &lt;</w:t>
      </w:r>
      <w:hyperlink r:id="rId10" w:history="1">
        <w:r w:rsidRPr="00E7516E">
          <w:rPr>
            <w:rStyle w:val="Hyperlink"/>
            <w:rFonts w:cs="Times New Roman"/>
          </w:rPr>
          <w:t>https://www.ag.gov.au/about-us/who-we-are/committees-and-councils/meeting-attorneys-general</w:t>
        </w:r>
      </w:hyperlink>
      <w:r w:rsidRPr="00E7516E">
        <w:rPr>
          <w:rFonts w:cs="Times New Roman"/>
        </w:rPr>
        <w:t xml:space="preserve">&gt;.  </w:t>
      </w:r>
    </w:p>
  </w:footnote>
  <w:footnote w:id="215">
    <w:p w14:paraId="5BA2D81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hyperlink r:id="rId11" w:history="1">
        <w:r w:rsidRPr="00E7516E">
          <w:rPr>
            <w:rStyle w:val="Hyperlink"/>
            <w:rFonts w:cs="Times New Roman"/>
          </w:rPr>
          <w:t xml:space="preserve">Standing Council of Attorneys-General, </w:t>
        </w:r>
        <w:r w:rsidRPr="00E7516E">
          <w:rPr>
            <w:rStyle w:val="Hyperlink"/>
            <w:rFonts w:cs="Times New Roman"/>
            <w:i/>
            <w:iCs/>
          </w:rPr>
          <w:t>Communiqué</w:t>
        </w:r>
        <w:r w:rsidRPr="00E7516E" w:rsidDel="00333942">
          <w:rPr>
            <w:rStyle w:val="Hyperlink"/>
            <w:rFonts w:cs="Times New Roman"/>
          </w:rPr>
          <w:t xml:space="preserve"> </w:t>
        </w:r>
      </w:hyperlink>
      <w:r w:rsidRPr="00E7516E">
        <w:rPr>
          <w:rFonts w:cs="Times New Roman"/>
        </w:rPr>
        <w:t>(22 September 2023) &lt;https://www.ag.gov.au/sites/default/files/2023-09/scag-communique-september-2023_0.pdf&gt;.</w:t>
      </w:r>
    </w:p>
  </w:footnote>
  <w:footnote w:id="216">
    <w:p w14:paraId="11496658" w14:textId="4126F3C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02936">
        <w:rPr>
          <w:rFonts w:cs="Times New Roman"/>
        </w:rPr>
        <w:t xml:space="preserve">Issues Paper </w:t>
      </w:r>
      <w:r w:rsidRPr="00E7516E">
        <w:rPr>
          <w:rFonts w:cs="Times New Roman"/>
        </w:rPr>
        <w:t>Part 2, Question 2.4.</w:t>
      </w:r>
    </w:p>
  </w:footnote>
  <w:footnote w:id="217">
    <w:p w14:paraId="47E7EBF9" w14:textId="397C8CB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4</w:t>
      </w:r>
      <w:r w:rsidR="008168C7">
        <w:rPr>
          <w:rFonts w:cs="Times New Roman"/>
        </w:rPr>
        <w:t xml:space="preserve"> (TasCOSS)</w:t>
      </w:r>
      <w:r w:rsidRPr="00E7516E">
        <w:rPr>
          <w:rFonts w:cs="Times New Roman"/>
        </w:rPr>
        <w:t>.</w:t>
      </w:r>
    </w:p>
  </w:footnote>
  <w:footnote w:id="218">
    <w:p w14:paraId="27549D87" w14:textId="3AD6756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17</w:t>
      </w:r>
      <w:r w:rsidR="008168C7">
        <w:rPr>
          <w:rFonts w:cs="Times New Roman"/>
        </w:rPr>
        <w:t xml:space="preserve"> (Centre for Law and Genetics)</w:t>
      </w:r>
      <w:r w:rsidRPr="00E7516E">
        <w:rPr>
          <w:rFonts w:cs="Times New Roman"/>
        </w:rPr>
        <w:t xml:space="preserve">. </w:t>
      </w:r>
    </w:p>
  </w:footnote>
  <w:footnote w:id="219">
    <w:p w14:paraId="742C175C" w14:textId="1856068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Proposals 4.4, 4.6.</w:t>
      </w:r>
    </w:p>
  </w:footnote>
  <w:footnote w:id="220">
    <w:p w14:paraId="5A892406" w14:textId="7AC9825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A353E">
        <w:rPr>
          <w:rFonts w:cs="Times New Roman"/>
        </w:rPr>
        <w:t xml:space="preserve">Ibid </w:t>
      </w:r>
      <w:r w:rsidRPr="00E7516E">
        <w:rPr>
          <w:rFonts w:cs="Times New Roman"/>
        </w:rPr>
        <w:t>Proposal 4.6.</w:t>
      </w:r>
    </w:p>
  </w:footnote>
  <w:footnote w:id="221">
    <w:p w14:paraId="5A37E0E8" w14:textId="6BC42B5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00BAD">
        <w:rPr>
          <w:rFonts w:cs="Times New Roman"/>
        </w:rPr>
        <w:t xml:space="preserve">Ibid </w:t>
      </w:r>
      <w:r w:rsidRPr="00E7516E">
        <w:rPr>
          <w:rFonts w:cs="Times New Roman"/>
        </w:rPr>
        <w:t>Proposal 4.7. This proposal reflects the powers of the Safety Commission relating to publishing private or identifying information about an individual with malicious intent to cause serious harm, see eSafety</w:t>
      </w:r>
      <w:r w:rsidR="00E00BAD">
        <w:rPr>
          <w:rFonts w:cs="Times New Roman"/>
        </w:rPr>
        <w:t xml:space="preserve"> </w:t>
      </w:r>
      <w:r w:rsidRPr="00E7516E">
        <w:rPr>
          <w:rFonts w:cs="Times New Roman"/>
        </w:rPr>
        <w:t>Commis</w:t>
      </w:r>
      <w:r w:rsidR="00AE2737">
        <w:rPr>
          <w:rFonts w:cs="Times New Roman"/>
        </w:rPr>
        <w:t>s</w:t>
      </w:r>
      <w:r w:rsidRPr="00E7516E">
        <w:rPr>
          <w:rFonts w:cs="Times New Roman"/>
        </w:rPr>
        <w:t xml:space="preserve">ioner, </w:t>
      </w:r>
      <w:r w:rsidRPr="00E7516E">
        <w:rPr>
          <w:rFonts w:cs="Times New Roman"/>
          <w:i/>
          <w:iCs/>
        </w:rPr>
        <w:t xml:space="preserve">Our Legislative Functions </w:t>
      </w:r>
      <w:r w:rsidRPr="00E7516E">
        <w:rPr>
          <w:rFonts w:cs="Times New Roman"/>
        </w:rPr>
        <w:t>(Web Page, 22 December 2023) &lt;https://www.esafety.gov.au/about-us/who-we-are/our-legislative-functions&gt;.</w:t>
      </w:r>
    </w:p>
  </w:footnote>
  <w:footnote w:id="222">
    <w:p w14:paraId="2CBBFF3F" w14:textId="721623F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4.8. The Review specified some exceptions to this prohibition; namely, where ‘the re-identified information was de-identified by the APP entity itself—in this case, the APP entity should simply comply with the APPs in the ordinary way’ and where ‘the re-identification is conducted by a processor with the authority of an APP entity controller of the information</w:t>
      </w:r>
      <w:r w:rsidRPr="00AE2737">
        <w:rPr>
          <w:rFonts w:cs="Times New Roman"/>
        </w:rPr>
        <w:t xml:space="preserve">’: </w:t>
      </w:r>
      <w:r w:rsidRPr="00EA22F8">
        <w:rPr>
          <w:rFonts w:cs="Times New Roman"/>
        </w:rPr>
        <w:t>ibid</w:t>
      </w:r>
      <w:r w:rsidRPr="00AE2737">
        <w:rPr>
          <w:rFonts w:cs="Times New Roman"/>
        </w:rPr>
        <w:t>.</w:t>
      </w:r>
    </w:p>
  </w:footnote>
  <w:footnote w:id="223">
    <w:p w14:paraId="433BDAFE" w14:textId="0ADE29D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10(5); </w:t>
      </w:r>
      <w:r w:rsidRPr="00EA22F8">
        <w:rPr>
          <w:rFonts w:cs="Times New Roman"/>
        </w:rPr>
        <w:t>see [</w:t>
      </w:r>
      <w:r w:rsidR="005239B2" w:rsidRPr="00EA22F8">
        <w:rPr>
          <w:rFonts w:cs="Times New Roman"/>
        </w:rPr>
        <w:fldChar w:fldCharType="begin"/>
      </w:r>
      <w:r w:rsidR="005239B2" w:rsidRPr="00EA22F8">
        <w:rPr>
          <w:rFonts w:cs="Times New Roman"/>
        </w:rPr>
        <w:instrText xml:space="preserve"> REF _Ref149559414 \n \h </w:instrText>
      </w:r>
      <w:r w:rsidR="005239B2">
        <w:rPr>
          <w:rFonts w:cs="Times New Roman"/>
        </w:rPr>
        <w:instrText xml:space="preserve"> \* MERGEFORMAT </w:instrText>
      </w:r>
      <w:r w:rsidR="005239B2" w:rsidRPr="00EA22F8">
        <w:rPr>
          <w:rFonts w:cs="Times New Roman"/>
        </w:rPr>
      </w:r>
      <w:r w:rsidR="005239B2" w:rsidRPr="00EA22F8">
        <w:rPr>
          <w:rFonts w:cs="Times New Roman"/>
        </w:rPr>
        <w:fldChar w:fldCharType="separate"/>
      </w:r>
      <w:r w:rsidR="00462C30">
        <w:rPr>
          <w:rFonts w:cs="Times New Roman"/>
          <w:cs/>
        </w:rPr>
        <w:t>‎</w:t>
      </w:r>
      <w:r w:rsidR="00462C30">
        <w:rPr>
          <w:rFonts w:cs="Times New Roman"/>
        </w:rPr>
        <w:t>5.2.9</w:t>
      </w:r>
      <w:r w:rsidR="005239B2" w:rsidRPr="00EA22F8">
        <w:rPr>
          <w:rFonts w:cs="Times New Roman"/>
        </w:rPr>
        <w:fldChar w:fldCharType="end"/>
      </w:r>
      <w:r w:rsidRPr="00EA22F8">
        <w:rPr>
          <w:rFonts w:cs="Times New Roman"/>
        </w:rPr>
        <w:t>]</w:t>
      </w:r>
      <w:r w:rsidR="005239B2" w:rsidRPr="00EA22F8">
        <w:rPr>
          <w:rFonts w:cs="Times New Roman"/>
        </w:rPr>
        <w:t xml:space="preserve"> below</w:t>
      </w:r>
      <w:r w:rsidRPr="00EA22F8">
        <w:rPr>
          <w:rFonts w:cs="Times New Roman"/>
        </w:rPr>
        <w:t>.</w:t>
      </w:r>
    </w:p>
  </w:footnote>
  <w:footnote w:id="224">
    <w:p w14:paraId="6A4D2A9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Note that the assignment, use, and disclosure of Commonwealth Government healthcare identifiers is also regulated under the </w:t>
      </w:r>
      <w:r w:rsidRPr="00E7516E">
        <w:rPr>
          <w:rFonts w:cs="Times New Roman"/>
          <w:i/>
        </w:rPr>
        <w:t>Healthcare Identifiers Act 2010</w:t>
      </w:r>
      <w:r w:rsidRPr="00E7516E">
        <w:rPr>
          <w:rFonts w:cs="Times New Roman"/>
        </w:rPr>
        <w:t xml:space="preserve"> (Cth).</w:t>
      </w:r>
    </w:p>
  </w:footnote>
  <w:footnote w:id="225">
    <w:p w14:paraId="2D671D4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hyperlink r:id="rId12" w:history="1">
        <w:r w:rsidRPr="00E7516E">
          <w:rPr>
            <w:rStyle w:val="Hyperlink"/>
            <w:rFonts w:cs="Times New Roman"/>
          </w:rPr>
          <w:t xml:space="preserve">Standing Council of Attorneys-General, </w:t>
        </w:r>
        <w:r w:rsidRPr="00E7516E">
          <w:rPr>
            <w:rStyle w:val="Hyperlink"/>
            <w:rFonts w:cs="Times New Roman"/>
            <w:i/>
            <w:iCs/>
          </w:rPr>
          <w:t>Communiqué</w:t>
        </w:r>
        <w:r w:rsidRPr="00E7516E" w:rsidDel="00333942">
          <w:rPr>
            <w:rStyle w:val="Hyperlink"/>
            <w:rFonts w:cs="Times New Roman"/>
          </w:rPr>
          <w:t xml:space="preserve"> </w:t>
        </w:r>
      </w:hyperlink>
      <w:r w:rsidRPr="00E7516E">
        <w:rPr>
          <w:rFonts w:cs="Times New Roman"/>
        </w:rPr>
        <w:t>(22 September 2023).</w:t>
      </w:r>
      <w:r w:rsidRPr="00E7516E" w:rsidDel="00E96AB0">
        <w:rPr>
          <w:rFonts w:cs="Times New Roman"/>
        </w:rPr>
        <w:t xml:space="preserve"> </w:t>
      </w:r>
    </w:p>
  </w:footnote>
  <w:footnote w:id="226">
    <w:p w14:paraId="2B1F115A" w14:textId="14FA4CD6" w:rsidR="000067D0" w:rsidRPr="00E7516E" w:rsidRDefault="000067D0"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8915C3">
        <w:rPr>
          <w:rFonts w:cs="Times New Roman"/>
        </w:rPr>
        <w:t xml:space="preserve"> </w:t>
      </w:r>
      <w:r w:rsidRPr="00E7516E">
        <w:rPr>
          <w:rFonts w:cs="Times New Roman"/>
        </w:rPr>
        <w:t>Report 2022 Proposal 4.5</w:t>
      </w:r>
      <w:r w:rsidR="00E64891">
        <w:rPr>
          <w:rFonts w:cs="Times New Roman"/>
        </w:rPr>
        <w:t>.</w:t>
      </w:r>
    </w:p>
  </w:footnote>
  <w:footnote w:id="227">
    <w:p w14:paraId="61E983E8" w14:textId="21114A22" w:rsidR="000067D0" w:rsidRPr="00E7516E" w:rsidRDefault="000067D0"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51CFF">
        <w:rPr>
          <w:rFonts w:cs="Times New Roman"/>
        </w:rPr>
        <w:t xml:space="preserve">Ibid </w:t>
      </w:r>
      <w:r w:rsidRPr="00E7516E">
        <w:rPr>
          <w:rFonts w:cs="Times New Roman"/>
        </w:rPr>
        <w:t>Proposal 4.7.</w:t>
      </w:r>
    </w:p>
  </w:footnote>
  <w:footnote w:id="228">
    <w:p w14:paraId="56764FCB" w14:textId="3C62EA9A" w:rsidR="000067D0" w:rsidRPr="00E7516E" w:rsidRDefault="000067D0"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51CFF">
        <w:rPr>
          <w:rFonts w:cs="Times New Roman"/>
        </w:rPr>
        <w:t xml:space="preserve">Ibid </w:t>
      </w:r>
      <w:r w:rsidRPr="00E7516E">
        <w:rPr>
          <w:rFonts w:cs="Times New Roman"/>
        </w:rPr>
        <w:t>Proposal 4.8.</w:t>
      </w:r>
    </w:p>
  </w:footnote>
  <w:footnote w:id="229">
    <w:p w14:paraId="7532B8CB"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PIPA </w:t>
      </w:r>
      <w:r w:rsidRPr="00E7516E">
        <w:rPr>
          <w:rFonts w:cs="Times New Roman"/>
          <w:iCs/>
        </w:rPr>
        <w:t>s 3.</w:t>
      </w:r>
    </w:p>
  </w:footnote>
  <w:footnote w:id="230">
    <w:p w14:paraId="35E834E4" w14:textId="50E1B39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51CFF" w:rsidRPr="00E7516E">
        <w:rPr>
          <w:rFonts w:cs="Times New Roman"/>
        </w:rPr>
        <w:t xml:space="preserve">PIPA </w:t>
      </w:r>
      <w:r w:rsidRPr="00E7516E">
        <w:rPr>
          <w:rFonts w:cs="Times New Roman"/>
        </w:rPr>
        <w:t>sch 1, PIPP 2(1).</w:t>
      </w:r>
    </w:p>
  </w:footnote>
  <w:footnote w:id="231">
    <w:p w14:paraId="2841CD18" w14:textId="7DB3302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51CFF" w:rsidRPr="00E7516E">
        <w:rPr>
          <w:rFonts w:cs="Times New Roman"/>
        </w:rPr>
        <w:t xml:space="preserve">PIPA </w:t>
      </w:r>
      <w:r w:rsidRPr="00E7516E">
        <w:rPr>
          <w:rFonts w:cs="Times New Roman"/>
        </w:rPr>
        <w:t>sch 110.</w:t>
      </w:r>
    </w:p>
  </w:footnote>
  <w:footnote w:id="232">
    <w:p w14:paraId="7F65E962" w14:textId="6162788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A5D03" w:rsidRPr="00E7516E">
        <w:rPr>
          <w:rFonts w:cs="Times New Roman"/>
        </w:rPr>
        <w:t>PIPA</w:t>
      </w:r>
      <w:r w:rsidR="00FA5D03" w:rsidRPr="00E7516E" w:rsidDel="00FA5D03">
        <w:rPr>
          <w:rFonts w:cs="Times New Roman"/>
        </w:rPr>
        <w:t xml:space="preserve"> </w:t>
      </w:r>
      <w:r w:rsidRPr="00E7516E">
        <w:rPr>
          <w:rFonts w:cs="Times New Roman"/>
        </w:rPr>
        <w:t xml:space="preserve">s 3 (definition of ‘sensitive information’, para (b)). </w:t>
      </w:r>
    </w:p>
  </w:footnote>
  <w:footnote w:id="233">
    <w:p w14:paraId="03B74260" w14:textId="19B66AC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A5D03" w:rsidRPr="00E7516E">
        <w:rPr>
          <w:rFonts w:cs="Times New Roman"/>
        </w:rPr>
        <w:t>PIPA</w:t>
      </w:r>
      <w:r w:rsidRPr="00E7516E">
        <w:rPr>
          <w:rFonts w:cs="Times New Roman"/>
        </w:rPr>
        <w:t xml:space="preserve"> s 3 (definition of ‘health information’, para (a)).</w:t>
      </w:r>
    </w:p>
  </w:footnote>
  <w:footnote w:id="234">
    <w:p w14:paraId="287A1466" w14:textId="062BDDD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A5D03" w:rsidRPr="00E7516E">
        <w:rPr>
          <w:rFonts w:cs="Times New Roman"/>
        </w:rPr>
        <w:t>PIPA</w:t>
      </w:r>
      <w:r w:rsidRPr="00E7516E">
        <w:rPr>
          <w:rFonts w:cs="Times New Roman"/>
        </w:rPr>
        <w:t xml:space="preserve"> s 3 (definition of ‘personal information’).</w:t>
      </w:r>
    </w:p>
  </w:footnote>
  <w:footnote w:id="235">
    <w:p w14:paraId="6E6D5762" w14:textId="770D821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A5D03" w:rsidRPr="00E7516E">
        <w:rPr>
          <w:rFonts w:cs="Times New Roman"/>
        </w:rPr>
        <w:t>PIPA</w:t>
      </w:r>
      <w:r w:rsidRPr="00E7516E">
        <w:rPr>
          <w:rFonts w:cs="Times New Roman"/>
        </w:rPr>
        <w:t xml:space="preserve"> s 3 (definition of ‘health information’).</w:t>
      </w:r>
    </w:p>
  </w:footnote>
  <w:footnote w:id="236">
    <w:p w14:paraId="73BE2BA2" w14:textId="0247A92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 ‘health service’ is defined </w:t>
      </w:r>
      <w:r w:rsidR="0080143D">
        <w:rPr>
          <w:rFonts w:cs="Times New Roman"/>
        </w:rPr>
        <w:t>in s 3</w:t>
      </w:r>
      <w:r w:rsidRPr="00E7516E">
        <w:rPr>
          <w:rFonts w:cs="Times New Roman"/>
        </w:rPr>
        <w:t xml:space="preserve"> as ‘an activity, other than a prescribed activity, performed in relation to an individual that is intended or claimed by the individual or the person performing it— </w:t>
      </w:r>
    </w:p>
    <w:p w14:paraId="619CC861" w14:textId="77777777" w:rsidR="00FF302D" w:rsidRPr="00E7516E" w:rsidRDefault="00FF302D" w:rsidP="00E7516E">
      <w:pPr>
        <w:pStyle w:val="FootnoteText"/>
        <w:numPr>
          <w:ilvl w:val="0"/>
          <w:numId w:val="35"/>
        </w:numPr>
        <w:jc w:val="left"/>
        <w:rPr>
          <w:rFonts w:cs="Times New Roman"/>
        </w:rPr>
      </w:pPr>
      <w:r w:rsidRPr="00E7516E">
        <w:rPr>
          <w:rFonts w:cs="Times New Roman"/>
        </w:rPr>
        <w:t>to assess, maintain or improve the individual’s health; or</w:t>
      </w:r>
    </w:p>
    <w:p w14:paraId="56C02C0B" w14:textId="77777777" w:rsidR="00FF302D" w:rsidRPr="00E7516E" w:rsidRDefault="00FF302D" w:rsidP="00E7516E">
      <w:pPr>
        <w:pStyle w:val="FootnoteText"/>
        <w:numPr>
          <w:ilvl w:val="0"/>
          <w:numId w:val="35"/>
        </w:numPr>
        <w:jc w:val="left"/>
        <w:rPr>
          <w:rFonts w:cs="Times New Roman"/>
        </w:rPr>
      </w:pPr>
      <w:r w:rsidRPr="00E7516E">
        <w:rPr>
          <w:rFonts w:cs="Times New Roman"/>
        </w:rPr>
        <w:t>to diagnose the individual’s illness, injury or disability; or</w:t>
      </w:r>
    </w:p>
    <w:p w14:paraId="25669709" w14:textId="77777777" w:rsidR="00FF302D" w:rsidRPr="00E7516E" w:rsidRDefault="00FF302D" w:rsidP="00E7516E">
      <w:pPr>
        <w:pStyle w:val="FootnoteText"/>
        <w:numPr>
          <w:ilvl w:val="0"/>
          <w:numId w:val="35"/>
        </w:numPr>
        <w:jc w:val="left"/>
        <w:rPr>
          <w:rFonts w:cs="Times New Roman"/>
        </w:rPr>
      </w:pPr>
      <w:r w:rsidRPr="00E7516E">
        <w:rPr>
          <w:rFonts w:cs="Times New Roman"/>
        </w:rPr>
        <w:t>to treat the individual’s illness, injury or disability or suspected illness, injury or disability;</w:t>
      </w:r>
    </w:p>
    <w:p w14:paraId="6BBD0377" w14:textId="77777777" w:rsidR="00FF302D" w:rsidRPr="00E7516E" w:rsidRDefault="00FF302D" w:rsidP="00E7516E">
      <w:pPr>
        <w:pStyle w:val="FootnoteText"/>
        <w:numPr>
          <w:ilvl w:val="0"/>
          <w:numId w:val="35"/>
        </w:numPr>
        <w:jc w:val="left"/>
        <w:rPr>
          <w:rFonts w:cs="Times New Roman"/>
        </w:rPr>
      </w:pPr>
      <w:r w:rsidRPr="00E7516E">
        <w:rPr>
          <w:rFonts w:cs="Times New Roman"/>
        </w:rPr>
        <w:t xml:space="preserve">to dispense on prescription a drug or medical preparation; or </w:t>
      </w:r>
    </w:p>
    <w:p w14:paraId="4D3AEC35" w14:textId="77777777" w:rsidR="00FF302D" w:rsidRPr="00E7516E" w:rsidRDefault="00FF302D" w:rsidP="00E7516E">
      <w:pPr>
        <w:pStyle w:val="FootnoteText"/>
        <w:numPr>
          <w:ilvl w:val="0"/>
          <w:numId w:val="35"/>
        </w:numPr>
        <w:jc w:val="left"/>
        <w:rPr>
          <w:rFonts w:cs="Times New Roman"/>
        </w:rPr>
      </w:pPr>
      <w:r w:rsidRPr="00E7516E">
        <w:rPr>
          <w:rFonts w:cs="Times New Roman"/>
        </w:rPr>
        <w:t>to provide a disability service, palliative care service or aged care service; or</w:t>
      </w:r>
    </w:p>
    <w:p w14:paraId="68849062" w14:textId="3CC204FE" w:rsidR="00FF302D" w:rsidRPr="00E7516E" w:rsidRDefault="00FF302D" w:rsidP="00E7516E">
      <w:pPr>
        <w:pStyle w:val="FootnoteText"/>
        <w:numPr>
          <w:ilvl w:val="0"/>
          <w:numId w:val="35"/>
        </w:numPr>
        <w:jc w:val="left"/>
        <w:rPr>
          <w:rFonts w:cs="Times New Roman"/>
        </w:rPr>
      </w:pPr>
      <w:r w:rsidRPr="00E7516E">
        <w:rPr>
          <w:rFonts w:cs="Times New Roman"/>
        </w:rPr>
        <w:t xml:space="preserve">to provide a prescribed service or a prescribed class of service in conjunction with any activity referred to in paragraph (a), (b), (c), (d) or </w:t>
      </w:r>
      <w:r w:rsidR="00902936">
        <w:rPr>
          <w:rFonts w:cs="Times New Roman"/>
        </w:rPr>
        <w:t>©</w:t>
      </w:r>
      <w:r w:rsidRPr="00E7516E">
        <w:rPr>
          <w:rFonts w:cs="Times New Roman"/>
        </w:rPr>
        <w:t>’</w:t>
      </w:r>
    </w:p>
    <w:p w14:paraId="40A3E55B" w14:textId="29E99C4B" w:rsidR="00FF302D" w:rsidRPr="00E7516E" w:rsidRDefault="00FF302D" w:rsidP="00E7516E">
      <w:pPr>
        <w:pStyle w:val="FootnoteText"/>
        <w:jc w:val="left"/>
        <w:rPr>
          <w:rFonts w:cs="Times New Roman"/>
        </w:rPr>
      </w:pPr>
      <w:r w:rsidRPr="00E7516E">
        <w:rPr>
          <w:rFonts w:cs="Times New Roman"/>
        </w:rPr>
        <w:t xml:space="preserve">Note that a ‘health service’ is defined differently in the </w:t>
      </w:r>
      <w:r w:rsidRPr="00E7516E">
        <w:rPr>
          <w:rFonts w:cs="Times New Roman"/>
          <w:i/>
        </w:rPr>
        <w:t>Health Complaints Act 1995</w:t>
      </w:r>
      <w:r w:rsidRPr="00E7516E">
        <w:rPr>
          <w:rFonts w:cs="Times New Roman"/>
        </w:rPr>
        <w:t xml:space="preserve"> (Tas). See discussion below </w:t>
      </w:r>
      <w:r w:rsidRPr="00EA22F8">
        <w:rPr>
          <w:rFonts w:cs="Times New Roman"/>
        </w:rPr>
        <w:t xml:space="preserve">at </w:t>
      </w:r>
      <w:r w:rsidR="005239B2" w:rsidRPr="00EA22F8">
        <w:rPr>
          <w:rFonts w:cs="Times New Roman"/>
        </w:rPr>
        <w:t>[</w:t>
      </w:r>
      <w:r w:rsidR="005239B2" w:rsidRPr="00EA22F8">
        <w:rPr>
          <w:rFonts w:cs="Times New Roman"/>
        </w:rPr>
        <w:fldChar w:fldCharType="begin"/>
      </w:r>
      <w:r w:rsidR="005239B2" w:rsidRPr="00EA22F8">
        <w:rPr>
          <w:rFonts w:cs="Times New Roman"/>
        </w:rPr>
        <w:instrText xml:space="preserve"> REF _Ref164853830 \n \h </w:instrText>
      </w:r>
      <w:r w:rsidR="005239B2">
        <w:rPr>
          <w:rFonts w:cs="Times New Roman"/>
        </w:rPr>
        <w:instrText xml:space="preserve"> \* MERGEFORMAT </w:instrText>
      </w:r>
      <w:r w:rsidR="005239B2" w:rsidRPr="00EA22F8">
        <w:rPr>
          <w:rFonts w:cs="Times New Roman"/>
        </w:rPr>
      </w:r>
      <w:r w:rsidR="005239B2" w:rsidRPr="00EA22F8">
        <w:rPr>
          <w:rFonts w:cs="Times New Roman"/>
        </w:rPr>
        <w:fldChar w:fldCharType="separate"/>
      </w:r>
      <w:r w:rsidR="00462C30">
        <w:rPr>
          <w:rFonts w:cs="Times New Roman"/>
          <w:cs/>
        </w:rPr>
        <w:t>‎</w:t>
      </w:r>
      <w:r w:rsidR="00462C30">
        <w:rPr>
          <w:rFonts w:cs="Times New Roman"/>
        </w:rPr>
        <w:t>10.17.2</w:t>
      </w:r>
      <w:r w:rsidR="005239B2" w:rsidRPr="00EA22F8">
        <w:rPr>
          <w:rFonts w:cs="Times New Roman"/>
        </w:rPr>
        <w:fldChar w:fldCharType="end"/>
      </w:r>
      <w:r w:rsidR="005239B2" w:rsidRPr="00EA22F8">
        <w:rPr>
          <w:rFonts w:cs="Times New Roman"/>
        </w:rPr>
        <w:t>].</w:t>
      </w:r>
    </w:p>
  </w:footnote>
  <w:footnote w:id="237">
    <w:p w14:paraId="6AA2A128" w14:textId="4DEC6D0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178AE" w:rsidRPr="00E7516E">
        <w:rPr>
          <w:rFonts w:cs="Times New Roman"/>
        </w:rPr>
        <w:t>PIPA</w:t>
      </w:r>
      <w:r w:rsidR="007178AE" w:rsidRPr="00E7516E" w:rsidDel="007178AE">
        <w:rPr>
          <w:rFonts w:cs="Times New Roman"/>
        </w:rPr>
        <w:t xml:space="preserve"> </w:t>
      </w:r>
      <w:r w:rsidRPr="00E7516E">
        <w:rPr>
          <w:rFonts w:cs="Times New Roman"/>
        </w:rPr>
        <w:t>s 3 (definition of ‘health information’ paras (b), (c) and (d)).</w:t>
      </w:r>
    </w:p>
  </w:footnote>
  <w:footnote w:id="238">
    <w:p w14:paraId="7C0D783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This is also the case under the </w:t>
      </w:r>
      <w:r w:rsidRPr="00E7516E">
        <w:rPr>
          <w:rFonts w:cs="Times New Roman"/>
          <w:i/>
          <w:iCs/>
        </w:rPr>
        <w:t>Privacy Act 1988</w:t>
      </w:r>
      <w:r w:rsidRPr="00E7516E">
        <w:rPr>
          <w:rFonts w:cs="Times New Roman"/>
        </w:rPr>
        <w:t xml:space="preserve"> (Cth) and in the ACT. In contrast, in the Northern Territory, health information is defined to include ‘personal information that is genetic information about a person …’, </w:t>
      </w:r>
      <w:r w:rsidRPr="00E7516E">
        <w:rPr>
          <w:rFonts w:cs="Times New Roman"/>
          <w:i/>
          <w:iCs/>
        </w:rPr>
        <w:t xml:space="preserve">Information Act 2002 </w:t>
      </w:r>
      <w:r w:rsidRPr="00E7516E">
        <w:rPr>
          <w:rFonts w:cs="Times New Roman"/>
        </w:rPr>
        <w:t xml:space="preserve">(NT) s 4. This is also the position in Victoria, </w:t>
      </w:r>
      <w:r w:rsidRPr="00E7516E">
        <w:rPr>
          <w:rFonts w:cs="Times New Roman"/>
          <w:i/>
          <w:iCs/>
        </w:rPr>
        <w:t xml:space="preserve">Health Records Act 2001 </w:t>
      </w:r>
      <w:r w:rsidRPr="00E7516E">
        <w:rPr>
          <w:rFonts w:cs="Times New Roman"/>
        </w:rPr>
        <w:t xml:space="preserve">(Vic) s 3. In New South Wales, genetic information is included in the definition of personal information in the </w:t>
      </w:r>
      <w:r w:rsidRPr="00E7516E">
        <w:rPr>
          <w:rFonts w:cs="Times New Roman"/>
          <w:i/>
          <w:iCs/>
        </w:rPr>
        <w:t xml:space="preserve">Health Records and Information Privacy Act 2002 </w:t>
      </w:r>
      <w:r w:rsidRPr="00E7516E">
        <w:rPr>
          <w:rFonts w:cs="Times New Roman"/>
        </w:rPr>
        <w:t xml:space="preserve">(NSW) s 5(2). Genetic information is not referred to in the </w:t>
      </w:r>
      <w:r w:rsidRPr="00E7516E">
        <w:rPr>
          <w:rFonts w:cs="Times New Roman"/>
          <w:i/>
          <w:iCs/>
        </w:rPr>
        <w:t xml:space="preserve">Information Privacy Act 2009 </w:t>
      </w:r>
      <w:r w:rsidRPr="00E7516E">
        <w:rPr>
          <w:rFonts w:cs="Times New Roman"/>
        </w:rPr>
        <w:t xml:space="preserve">(Qld). However, this will be included on the commencement of the </w:t>
      </w:r>
      <w:r w:rsidRPr="00E7516E">
        <w:rPr>
          <w:rFonts w:cs="Times New Roman"/>
          <w:i/>
          <w:iCs/>
        </w:rPr>
        <w:t>Information Privacy and Other Legislation Amendment Act 2023</w:t>
      </w:r>
      <w:r w:rsidRPr="00E7516E">
        <w:rPr>
          <w:rFonts w:cs="Times New Roman"/>
        </w:rPr>
        <w:t xml:space="preserve"> (Qld) (Schedule 5 amendment).</w:t>
      </w:r>
    </w:p>
  </w:footnote>
  <w:footnote w:id="239">
    <w:p w14:paraId="2BC9930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2(4). This exception only applies where the disclosure is considered necessary to provide appropriate care or treatment to the individual or is made for compassionate reasons, and only to the extent reasonable and necessary for that purpose. Such disclosure is not permitted if it is contrary to a wish of the individual, either expressed by them or that the person providing the health service is aware, or could reasonably be expected to be aware of.</w:t>
      </w:r>
    </w:p>
  </w:footnote>
  <w:footnote w:id="240">
    <w:p w14:paraId="6F1B0EB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10(3). The information must be collected as required by law (other than the PIPA) or in accordance with the professional confidentiality rules established by health or medical bodies which bind the personal information custodian: ibid.</w:t>
      </w:r>
    </w:p>
  </w:footnote>
  <w:footnote w:id="241">
    <w:p w14:paraId="7C0FAC9C" w14:textId="77777777" w:rsidR="00FF302D" w:rsidRPr="00EA22F8" w:rsidRDefault="00FF302D" w:rsidP="00E7516E">
      <w:pPr>
        <w:pStyle w:val="Heading3"/>
        <w:numPr>
          <w:ilvl w:val="2"/>
          <w:numId w:val="0"/>
        </w:numPr>
        <w:spacing w:after="0"/>
        <w:jc w:val="left"/>
        <w:rPr>
          <w:rFonts w:ascii="Times New Roman" w:hAnsi="Times New Roman" w:cs="Times New Roman"/>
          <w:color w:val="auto"/>
          <w:sz w:val="20"/>
          <w:szCs w:val="20"/>
        </w:rPr>
      </w:pPr>
      <w:r w:rsidRPr="00EA22F8">
        <w:rPr>
          <w:rStyle w:val="FootnoteReference"/>
          <w:rFonts w:ascii="Times New Roman" w:hAnsi="Times New Roman" w:cs="Times New Roman"/>
          <w:color w:val="auto"/>
        </w:rPr>
        <w:footnoteRef/>
      </w:r>
      <w:r w:rsidRPr="00EA22F8">
        <w:rPr>
          <w:rFonts w:ascii="Times New Roman" w:hAnsi="Times New Roman" w:cs="Times New Roman"/>
          <w:color w:val="auto"/>
          <w:sz w:val="20"/>
          <w:szCs w:val="20"/>
        </w:rPr>
        <w:t xml:space="preserve"> PIPA sch 1, PIPP 10(4). Collection is only permitted for these purposes where it is not possible for the purpose to be served by collecting non-identifying information, and the information is collected as required by law or in accordance with any professional confidentiality obligations: ibid. The personal information custodian must take reasonable steps to permanently de-identify health information collected for these purposes before disclosing it: ibid sch 1, PIPP 10(5). </w:t>
      </w:r>
    </w:p>
  </w:footnote>
  <w:footnote w:id="242">
    <w:p w14:paraId="005DD6E2" w14:textId="4973447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Or without complying with the requirements in PIPP 1(5): </w:t>
      </w:r>
      <w:r w:rsidRPr="00EA22F8">
        <w:rPr>
          <w:rFonts w:cs="Times New Roman"/>
        </w:rPr>
        <w:t>see [</w:t>
      </w:r>
      <w:r w:rsidR="00E5450C" w:rsidRPr="00EA22F8">
        <w:rPr>
          <w:rFonts w:cs="Times New Roman"/>
        </w:rPr>
        <w:fldChar w:fldCharType="begin"/>
      </w:r>
      <w:r w:rsidR="00E5450C" w:rsidRPr="00EA22F8">
        <w:rPr>
          <w:rFonts w:cs="Times New Roman"/>
        </w:rPr>
        <w:instrText xml:space="preserve"> REF _Ref164771443 \r \h </w:instrText>
      </w:r>
      <w:r w:rsidR="00E5450C">
        <w:rPr>
          <w:rFonts w:cs="Times New Roman"/>
        </w:rPr>
        <w:instrText xml:space="preserve"> \* MERGEFORMAT </w:instrText>
      </w:r>
      <w:r w:rsidR="00E5450C" w:rsidRPr="00EA22F8">
        <w:rPr>
          <w:rFonts w:cs="Times New Roman"/>
        </w:rPr>
      </w:r>
      <w:r w:rsidR="00E5450C" w:rsidRPr="00EA22F8">
        <w:rPr>
          <w:rFonts w:cs="Times New Roman"/>
        </w:rPr>
        <w:fldChar w:fldCharType="separate"/>
      </w:r>
      <w:r w:rsidR="00462C30">
        <w:rPr>
          <w:rFonts w:cs="Times New Roman"/>
          <w:cs/>
        </w:rPr>
        <w:t>‎</w:t>
      </w:r>
      <w:r w:rsidR="00462C30">
        <w:rPr>
          <w:rFonts w:cs="Times New Roman"/>
        </w:rPr>
        <w:t>5.2.4</w:t>
      </w:r>
      <w:r w:rsidR="00E5450C" w:rsidRPr="00EA22F8">
        <w:rPr>
          <w:rFonts w:cs="Times New Roman"/>
        </w:rPr>
        <w:fldChar w:fldCharType="end"/>
      </w:r>
      <w:r w:rsidRPr="00EA22F8">
        <w:rPr>
          <w:rFonts w:cs="Times New Roman"/>
        </w:rPr>
        <w:t>]</w:t>
      </w:r>
      <w:r w:rsidRPr="00E7516E">
        <w:rPr>
          <w:rFonts w:cs="Times New Roman"/>
        </w:rPr>
        <w:t xml:space="preserve"> below.</w:t>
      </w:r>
    </w:p>
  </w:footnote>
  <w:footnote w:id="243">
    <w:p w14:paraId="2B09597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10(6).</w:t>
      </w:r>
    </w:p>
  </w:footnote>
  <w:footnote w:id="244">
    <w:p w14:paraId="20BA215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2009</w:t>
      </w:r>
      <w:r w:rsidRPr="00E7516E">
        <w:rPr>
          <w:rFonts w:cs="Times New Roman"/>
        </w:rPr>
        <w:t xml:space="preserve"> (Qld) sch 5; </w:t>
      </w:r>
      <w:r w:rsidRPr="00E7516E">
        <w:rPr>
          <w:rFonts w:cs="Times New Roman"/>
          <w:i/>
          <w:iCs/>
        </w:rPr>
        <w:t>Information Privacy Act 2014</w:t>
      </w:r>
      <w:r w:rsidRPr="00E7516E">
        <w:rPr>
          <w:rFonts w:cs="Times New Roman"/>
        </w:rPr>
        <w:t xml:space="preserve"> (ACT) sch 1; </w:t>
      </w:r>
      <w:r w:rsidRPr="00E7516E">
        <w:rPr>
          <w:rFonts w:cs="Times New Roman"/>
          <w:i/>
          <w:iCs/>
        </w:rPr>
        <w:t>Privacy and Data Protection Act 2014</w:t>
      </w:r>
      <w:r w:rsidRPr="00E7516E">
        <w:rPr>
          <w:rFonts w:cs="Times New Roman"/>
        </w:rPr>
        <w:t xml:space="preserve"> (Vic) sch 1; </w:t>
      </w:r>
      <w:r w:rsidRPr="00E7516E">
        <w:rPr>
          <w:rFonts w:cs="Times New Roman"/>
          <w:i/>
          <w:iCs/>
        </w:rPr>
        <w:t>Information Act 2002</w:t>
      </w:r>
      <w:r w:rsidRPr="00E7516E">
        <w:rPr>
          <w:rFonts w:cs="Times New Roman"/>
        </w:rPr>
        <w:t xml:space="preserve"> (NT) s 4.</w:t>
      </w:r>
    </w:p>
  </w:footnote>
  <w:footnote w:id="245">
    <w:p w14:paraId="1F9EF408" w14:textId="61EF194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iCs/>
        </w:rPr>
        <w:t xml:space="preserve">Privacy Act 1988 </w:t>
      </w:r>
      <w:r w:rsidRPr="00E7516E">
        <w:rPr>
          <w:rFonts w:cs="Times New Roman"/>
        </w:rPr>
        <w:t xml:space="preserve">(Cth) s 6(1) (definition of ‘sensitive information’); </w:t>
      </w:r>
      <w:r w:rsidRPr="00E7516E">
        <w:rPr>
          <w:rFonts w:cs="Times New Roman"/>
          <w:i/>
          <w:iCs/>
        </w:rPr>
        <w:t>Information Privacy Act 2014</w:t>
      </w:r>
      <w:r w:rsidRPr="00E7516E">
        <w:rPr>
          <w:rFonts w:cs="Times New Roman"/>
        </w:rPr>
        <w:t xml:space="preserve"> (ACT) sch 1 (definition of ‘sensitive information’); </w:t>
      </w:r>
      <w:r w:rsidRPr="00E7516E">
        <w:rPr>
          <w:rFonts w:cs="Times New Roman"/>
          <w:i/>
          <w:iCs/>
        </w:rPr>
        <w:t>Privacy and Data Protection Act 2014</w:t>
      </w:r>
      <w:r w:rsidRPr="00E7516E">
        <w:rPr>
          <w:rFonts w:cs="Times New Roman"/>
        </w:rPr>
        <w:t xml:space="preserve"> (Vic) sch 1 (definition of ‘sensitive information’); </w:t>
      </w:r>
      <w:r w:rsidRPr="00E7516E">
        <w:rPr>
          <w:rFonts w:cs="Times New Roman"/>
          <w:i/>
          <w:iCs/>
        </w:rPr>
        <w:t>Information Act 2002</w:t>
      </w:r>
      <w:r w:rsidRPr="00E7516E">
        <w:rPr>
          <w:rFonts w:cs="Times New Roman"/>
        </w:rPr>
        <w:t xml:space="preserve"> (NT) s 4 (definition of ‘sensitive information’); </w:t>
      </w:r>
      <w:r w:rsidRPr="00E7516E">
        <w:rPr>
          <w:rFonts w:cs="Times New Roman"/>
          <w:i/>
          <w:iCs/>
        </w:rPr>
        <w:t>Information Privacy Act 2009</w:t>
      </w:r>
      <w:r w:rsidRPr="00E7516E">
        <w:rPr>
          <w:rFonts w:cs="Times New Roman"/>
        </w:rPr>
        <w:t xml:space="preserve"> (Qld) sch 5 (definition of ‘sensitive information’</w:t>
      </w:r>
      <w:r w:rsidRPr="004C5859">
        <w:rPr>
          <w:rFonts w:cs="Times New Roman"/>
        </w:rPr>
        <w:t xml:space="preserve">); </w:t>
      </w:r>
      <w:r w:rsidRPr="00EA22F8">
        <w:rPr>
          <w:rFonts w:cs="Times New Roman"/>
        </w:rPr>
        <w:t>see [</w:t>
      </w:r>
      <w:r w:rsidR="004C5859" w:rsidRPr="00EA22F8">
        <w:rPr>
          <w:rFonts w:cs="Times New Roman"/>
        </w:rPr>
        <w:fldChar w:fldCharType="begin"/>
      </w:r>
      <w:r w:rsidR="004C5859" w:rsidRPr="00EA22F8">
        <w:rPr>
          <w:rFonts w:cs="Times New Roman"/>
        </w:rPr>
        <w:instrText xml:space="preserve"> REF _Ref164771792 \r \h </w:instrText>
      </w:r>
      <w:r w:rsidR="004C5859">
        <w:rPr>
          <w:rFonts w:cs="Times New Roman"/>
        </w:rPr>
        <w:instrText xml:space="preserve"> \* MERGEFORMAT </w:instrText>
      </w:r>
      <w:r w:rsidR="004C5859" w:rsidRPr="00EA22F8">
        <w:rPr>
          <w:rFonts w:cs="Times New Roman"/>
        </w:rPr>
      </w:r>
      <w:r w:rsidR="004C5859" w:rsidRPr="00EA22F8">
        <w:rPr>
          <w:rFonts w:cs="Times New Roman"/>
        </w:rPr>
        <w:fldChar w:fldCharType="separate"/>
      </w:r>
      <w:r w:rsidR="00462C30">
        <w:rPr>
          <w:rFonts w:cs="Times New Roman"/>
          <w:cs/>
        </w:rPr>
        <w:t>‎</w:t>
      </w:r>
      <w:r w:rsidR="00462C30">
        <w:rPr>
          <w:rFonts w:cs="Times New Roman"/>
        </w:rPr>
        <w:t>4.7.2</w:t>
      </w:r>
      <w:r w:rsidR="004C5859" w:rsidRPr="00EA22F8">
        <w:rPr>
          <w:rFonts w:cs="Times New Roman"/>
        </w:rPr>
        <w:fldChar w:fldCharType="end"/>
      </w:r>
      <w:r w:rsidRPr="00EA22F8">
        <w:rPr>
          <w:rFonts w:cs="Times New Roman"/>
        </w:rPr>
        <w:t>] above for the</w:t>
      </w:r>
      <w:r w:rsidRPr="00E7516E">
        <w:rPr>
          <w:rFonts w:cs="Times New Roman"/>
        </w:rPr>
        <w:t xml:space="preserve"> PIPA definition.</w:t>
      </w:r>
    </w:p>
  </w:footnote>
  <w:footnote w:id="246">
    <w:p w14:paraId="3004AB6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s 6; </w:t>
      </w:r>
      <w:r w:rsidRPr="00E7516E">
        <w:rPr>
          <w:rFonts w:cs="Times New Roman"/>
          <w:i/>
          <w:iCs/>
        </w:rPr>
        <w:t>Information Privacy Act 2014</w:t>
      </w:r>
      <w:r w:rsidRPr="00E7516E">
        <w:rPr>
          <w:rFonts w:cs="Times New Roman"/>
        </w:rPr>
        <w:t xml:space="preserve"> (ACT) sch 1. It is noted that this will also be the Queensland position on the commencement of the </w:t>
      </w:r>
      <w:r w:rsidRPr="00E7516E">
        <w:rPr>
          <w:rFonts w:cs="Times New Roman"/>
          <w:i/>
          <w:iCs/>
        </w:rPr>
        <w:t>Information Privacy and Other Legislation Amendment Act 2023</w:t>
      </w:r>
      <w:r w:rsidRPr="00E7516E">
        <w:rPr>
          <w:rFonts w:cs="Times New Roman"/>
        </w:rPr>
        <w:t xml:space="preserve"> (Qld).</w:t>
      </w:r>
    </w:p>
  </w:footnote>
  <w:footnote w:id="247">
    <w:p w14:paraId="3E314A3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Biometric templates are the mathematical files that represent the individual’s unique features in digital form. They are produced after the unique features of an individual are extracted from a sample (such as a photo of their face or a voice recording), analysed, and then converted into mathematical data. </w:t>
      </w:r>
    </w:p>
  </w:footnote>
  <w:footnote w:id="248">
    <w:p w14:paraId="03F9F79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Biometrics Institute, </w:t>
      </w:r>
      <w:r w:rsidRPr="00E7516E">
        <w:rPr>
          <w:rFonts w:cs="Times New Roman"/>
          <w:i/>
          <w:iCs/>
        </w:rPr>
        <w:t>Types of Biometrics</w:t>
      </w:r>
      <w:r w:rsidRPr="00E7516E">
        <w:rPr>
          <w:rFonts w:cs="Times New Roman"/>
        </w:rPr>
        <w:t xml:space="preserve"> (Web Page, 2024) &lt;https://www.biometricsinstitute.org/what-is-biometrics/types-of-biometrics/&gt;.</w:t>
      </w:r>
    </w:p>
  </w:footnote>
  <w:footnote w:id="249">
    <w:p w14:paraId="279CA8F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6FA.</w:t>
      </w:r>
    </w:p>
  </w:footnote>
  <w:footnote w:id="250">
    <w:p w14:paraId="4009B86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ss 16B, 95, 95A</w:t>
      </w:r>
    </w:p>
  </w:footnote>
  <w:footnote w:id="251">
    <w:p w14:paraId="4FF54B79" w14:textId="6932D9EB" w:rsidR="00FF302D" w:rsidRPr="00EA22F8" w:rsidRDefault="00FF302D" w:rsidP="00E12C93">
      <w:pPr>
        <w:pStyle w:val="FootnoteText"/>
        <w:jc w:val="left"/>
        <w:rPr>
          <w:rFonts w:cs="Times New Roman"/>
          <w:highlight w:val="gree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 xml:space="preserve">See </w:t>
      </w:r>
      <w:r w:rsidR="00E12C93" w:rsidRPr="00EA22F8">
        <w:rPr>
          <w:rFonts w:cs="Times New Roman"/>
        </w:rPr>
        <w:t xml:space="preserve">(n </w:t>
      </w:r>
      <w:r w:rsidR="009225EC">
        <w:rPr>
          <w:rFonts w:cs="Times New Roman"/>
        </w:rPr>
        <w:t>159</w:t>
      </w:r>
      <w:r w:rsidR="00DC2AAC" w:rsidRPr="00EA22F8">
        <w:rPr>
          <w:rFonts w:cs="Times New Roman"/>
        </w:rPr>
        <w:t>)</w:t>
      </w:r>
      <w:r w:rsidRPr="00EA22F8">
        <w:rPr>
          <w:rFonts w:cs="Times New Roman"/>
        </w:rPr>
        <w:t xml:space="preserve"> above</w:t>
      </w:r>
      <w:r w:rsidRPr="00DC2AAC">
        <w:rPr>
          <w:rFonts w:cs="Times New Roman"/>
        </w:rPr>
        <w:t>.</w:t>
      </w:r>
    </w:p>
  </w:footnote>
  <w:footnote w:id="252">
    <w:p w14:paraId="105D2FE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59B.</w:t>
      </w:r>
    </w:p>
  </w:footnote>
  <w:footnote w:id="253">
    <w:p w14:paraId="6204A888" w14:textId="77777777" w:rsidR="00FF302D" w:rsidRPr="00E7516E" w:rsidRDefault="00FF302D" w:rsidP="00E7516E">
      <w:pPr>
        <w:pStyle w:val="FootnoteText"/>
        <w:jc w:val="left"/>
        <w:rPr>
          <w:rFonts w:cs="Times New Roman"/>
          <w:i/>
        </w:rPr>
      </w:pPr>
      <w:r w:rsidRPr="00E7516E">
        <w:rPr>
          <w:rStyle w:val="FootnoteReference"/>
          <w:rFonts w:ascii="Times New Roman" w:hAnsi="Times New Roman" w:cs="Times New Roman"/>
        </w:rPr>
        <w:footnoteRef/>
      </w:r>
      <w:r w:rsidRPr="00E7516E">
        <w:rPr>
          <w:rFonts w:cs="Times New Roman"/>
        </w:rPr>
        <w:t xml:space="preserve"> It is noted that ‘personal information’ is also defined in the </w:t>
      </w:r>
      <w:r w:rsidRPr="00EA22F8">
        <w:rPr>
          <w:rFonts w:cs="Times New Roman"/>
          <w:i/>
          <w:iCs/>
        </w:rPr>
        <w:t>Health Records and Information Privacy Act 2002</w:t>
      </w:r>
      <w:r w:rsidRPr="00EA22F8">
        <w:rPr>
          <w:rFonts w:cs="Times New Roman"/>
        </w:rPr>
        <w:t xml:space="preserve"> (NSW) (‘HRIP Act’)</w:t>
      </w:r>
      <w:r w:rsidRPr="00E7516E">
        <w:rPr>
          <w:rFonts w:cs="Times New Roman"/>
          <w:i/>
        </w:rPr>
        <w:t xml:space="preserve"> </w:t>
      </w:r>
      <w:r w:rsidRPr="00E7516E">
        <w:rPr>
          <w:rFonts w:cs="Times New Roman"/>
          <w:iCs/>
        </w:rPr>
        <w:t>s 5</w:t>
      </w:r>
      <w:r w:rsidRPr="00E7516E">
        <w:rPr>
          <w:rFonts w:cs="Times New Roman"/>
          <w:i/>
        </w:rPr>
        <w:t>.</w:t>
      </w:r>
    </w:p>
  </w:footnote>
  <w:footnote w:id="254">
    <w:p w14:paraId="67C258E6" w14:textId="72CFB48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4.9, 45.</w:t>
      </w:r>
    </w:p>
  </w:footnote>
  <w:footnote w:id="255">
    <w:p w14:paraId="25D9542F" w14:textId="334629B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6.</w:t>
      </w:r>
    </w:p>
  </w:footnote>
  <w:footnote w:id="256">
    <w:p w14:paraId="1D7F66BE" w14:textId="7451230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Australian Human Rights Commission (‘AHRC’), </w:t>
      </w:r>
      <w:r w:rsidRPr="00E7516E">
        <w:rPr>
          <w:rFonts w:cs="Times New Roman"/>
          <w:i/>
          <w:iCs/>
        </w:rPr>
        <w:t>Human Rights and Technology Final Report</w:t>
      </w:r>
      <w:r w:rsidRPr="00E7516E">
        <w:rPr>
          <w:rFonts w:cs="Times New Roman"/>
        </w:rPr>
        <w:t xml:space="preserve"> (Final Report, 2021) ch 9; </w:t>
      </w:r>
      <w:r w:rsidR="00915A83">
        <w:rPr>
          <w:rFonts w:cs="Times New Roman"/>
        </w:rPr>
        <w:t xml:space="preserve">Privacy Act Review Report 2022 </w:t>
      </w:r>
      <w:r w:rsidRPr="00E7516E">
        <w:rPr>
          <w:rFonts w:cs="Times New Roman"/>
        </w:rPr>
        <w:t>43.</w:t>
      </w:r>
    </w:p>
  </w:footnote>
  <w:footnote w:id="257">
    <w:p w14:paraId="3B954E6E" w14:textId="25BAD71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41274">
        <w:rPr>
          <w:rFonts w:cs="Times New Roman"/>
        </w:rPr>
        <w:t xml:space="preserve">AHRC, </w:t>
      </w:r>
      <w:r w:rsidR="00241274" w:rsidRPr="00E7516E">
        <w:rPr>
          <w:rFonts w:cs="Times New Roman"/>
          <w:i/>
          <w:iCs/>
        </w:rPr>
        <w:t>Human Rights and Technology Final Report</w:t>
      </w:r>
      <w:r w:rsidR="00241274" w:rsidRPr="00E7516E">
        <w:rPr>
          <w:rFonts w:cs="Times New Roman"/>
        </w:rPr>
        <w:t xml:space="preserve"> </w:t>
      </w:r>
      <w:r w:rsidRPr="00E7516E">
        <w:rPr>
          <w:rFonts w:cs="Times New Roman"/>
        </w:rPr>
        <w:t>116</w:t>
      </w:r>
      <w:r w:rsidRPr="00E7516E">
        <w:rPr>
          <w:rFonts w:cs="Times New Roman"/>
        </w:rPr>
        <w:softHyphen/>
        <w:t>–23.</w:t>
      </w:r>
    </w:p>
  </w:footnote>
  <w:footnote w:id="258">
    <w:p w14:paraId="69EEAFC5" w14:textId="659F0FE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19, 117, 119.</w:t>
      </w:r>
    </w:p>
  </w:footnote>
  <w:footnote w:id="259">
    <w:p w14:paraId="04DA024B" w14:textId="2231851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20.</w:t>
      </w:r>
    </w:p>
  </w:footnote>
  <w:footnote w:id="260">
    <w:p w14:paraId="3A96B609" w14:textId="60CB35A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21.</w:t>
      </w:r>
    </w:p>
  </w:footnote>
  <w:footnote w:id="261">
    <w:p w14:paraId="42D2595A" w14:textId="67B9A65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124.</w:t>
      </w:r>
    </w:p>
  </w:footnote>
  <w:footnote w:id="262">
    <w:p w14:paraId="1ABAA29F" w14:textId="62EB984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13.2 and 126</w:t>
      </w:r>
      <w:r w:rsidR="009C7C57">
        <w:rPr>
          <w:rFonts w:cs="Times New Roman"/>
        </w:rPr>
        <w:t>–</w:t>
      </w:r>
      <w:r w:rsidRPr="00E7516E">
        <w:rPr>
          <w:rFonts w:cs="Times New Roman"/>
        </w:rPr>
        <w:t>127</w:t>
      </w:r>
      <w:r w:rsidR="00744AB7">
        <w:rPr>
          <w:rFonts w:cs="Times New Roman"/>
        </w:rPr>
        <w:t>.</w:t>
      </w:r>
    </w:p>
  </w:footnote>
  <w:footnote w:id="263">
    <w:p w14:paraId="04FD67D6" w14:textId="763DB69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00BE68D8">
        <w:rPr>
          <w:rFonts w:cs="Times New Roman"/>
        </w:rPr>
        <w:t>.</w:t>
      </w:r>
    </w:p>
  </w:footnote>
  <w:footnote w:id="264">
    <w:p w14:paraId="08852774" w14:textId="39C6FA7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4.10.</w:t>
      </w:r>
    </w:p>
  </w:footnote>
  <w:footnote w:id="265">
    <w:p w14:paraId="77475525" w14:textId="21826D7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643F0">
        <w:rPr>
          <w:rFonts w:cs="Times New Roman"/>
        </w:rPr>
        <w:t>Ibid</w:t>
      </w:r>
      <w:r w:rsidRPr="00E7516E">
        <w:rPr>
          <w:rFonts w:cs="Times New Roman"/>
        </w:rPr>
        <w:t xml:space="preserve"> 45.</w:t>
      </w:r>
    </w:p>
  </w:footnote>
  <w:footnote w:id="266">
    <w:p w14:paraId="069A5BA4" w14:textId="23AEFCE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643F0">
        <w:rPr>
          <w:rFonts w:cs="Times New Roman"/>
        </w:rPr>
        <w:t>Ibid</w:t>
      </w:r>
      <w:r w:rsidRPr="00E7516E">
        <w:rPr>
          <w:rFonts w:cs="Times New Roman"/>
        </w:rPr>
        <w:t xml:space="preserve"> 2022 46.</w:t>
      </w:r>
    </w:p>
  </w:footnote>
  <w:footnote w:id="267">
    <w:p w14:paraId="6ABA44F8" w14:textId="0608AD3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6.</w:t>
      </w:r>
    </w:p>
  </w:footnote>
  <w:footnote w:id="268">
    <w:p w14:paraId="06F4C63F" w14:textId="5395936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02936">
        <w:rPr>
          <w:rFonts w:cs="Times New Roman"/>
        </w:rPr>
        <w:t xml:space="preserve">Issues Paper </w:t>
      </w:r>
      <w:r w:rsidRPr="00E7516E">
        <w:rPr>
          <w:rFonts w:cs="Times New Roman"/>
        </w:rPr>
        <w:t>Part 2, Question 2.5.</w:t>
      </w:r>
    </w:p>
  </w:footnote>
  <w:footnote w:id="269">
    <w:p w14:paraId="776624CB" w14:textId="033CDA8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Tasmania, </w:t>
      </w:r>
      <w:r w:rsidRPr="00E7516E">
        <w:rPr>
          <w:rFonts w:cs="Times New Roman"/>
          <w:i/>
          <w:iCs/>
        </w:rPr>
        <w:t>Parliamentary Debates</w:t>
      </w:r>
      <w:r w:rsidRPr="00E7516E">
        <w:rPr>
          <w:rFonts w:cs="Times New Roman"/>
        </w:rPr>
        <w:t>, Legislative Council, 24 August 2021, 27–</w:t>
      </w:r>
      <w:r w:rsidR="009C7C57">
        <w:rPr>
          <w:rFonts w:cs="Times New Roman"/>
        </w:rPr>
        <w:t>2</w:t>
      </w:r>
      <w:r w:rsidRPr="00E7516E">
        <w:rPr>
          <w:rFonts w:cs="Times New Roman"/>
        </w:rPr>
        <w:t xml:space="preserve">8. </w:t>
      </w:r>
    </w:p>
  </w:footnote>
  <w:footnote w:id="270">
    <w:p w14:paraId="249E6BA5" w14:textId="578EBB58" w:rsidR="00FF302D" w:rsidRPr="00E7516E" w:rsidRDefault="00FF302D" w:rsidP="00E7516E">
      <w:pPr>
        <w:pStyle w:val="FootnoteText"/>
        <w:jc w:val="left"/>
        <w:rPr>
          <w:rFonts w:cs="Times New Roman"/>
          <w:i/>
          <w:iCs/>
        </w:rPr>
      </w:pPr>
      <w:r w:rsidRPr="00E7516E">
        <w:rPr>
          <w:rStyle w:val="FootnoteReference"/>
          <w:rFonts w:ascii="Times New Roman" w:hAnsi="Times New Roman" w:cs="Times New Roman"/>
        </w:rPr>
        <w:footnoteRef/>
      </w:r>
      <w:r w:rsidRPr="00E7516E">
        <w:rPr>
          <w:rFonts w:cs="Times New Roman"/>
        </w:rPr>
        <w:t xml:space="preserve"> See Tasmanian Liquor and Gaming Commission, </w:t>
      </w:r>
      <w:r w:rsidRPr="00E7516E">
        <w:rPr>
          <w:rFonts w:cs="Times New Roman"/>
          <w:i/>
          <w:iCs/>
        </w:rPr>
        <w:t>Investigation of Harm Minimisation Technologies: Facial Recognition and Player Card Gaming</w:t>
      </w:r>
      <w:r w:rsidRPr="00E7516E">
        <w:rPr>
          <w:rFonts w:cs="Times New Roman"/>
        </w:rPr>
        <w:t xml:space="preserve"> (Report to the Treasurer, June 2022) &lt;https://www.treasury.tas.gov.au/Documents/TLGC%20Report%20to%20Treasurer%20-%20Investigation%20of%20harm%20minimisation%20technologies.PDF&gt;.</w:t>
      </w:r>
    </w:p>
  </w:footnote>
  <w:footnote w:id="271">
    <w:p w14:paraId="6C9461FE" w14:textId="4AD5B7A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647CB1">
        <w:rPr>
          <w:rFonts w:cs="Times New Roman"/>
        </w:rPr>
        <w:t xml:space="preserve"> (Meg Webb MLC)</w:t>
      </w:r>
      <w:r w:rsidRPr="00E7516E">
        <w:rPr>
          <w:rFonts w:cs="Times New Roman"/>
        </w:rPr>
        <w:t>.</w:t>
      </w:r>
    </w:p>
  </w:footnote>
  <w:footnote w:id="272">
    <w:p w14:paraId="1380514D" w14:textId="2460717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11</w:t>
      </w:r>
      <w:r w:rsidR="00647CB1">
        <w:rPr>
          <w:rFonts w:cs="Times New Roman"/>
        </w:rPr>
        <w:t xml:space="preserve"> (TasCOSS)</w:t>
      </w:r>
      <w:r w:rsidRPr="00E7516E">
        <w:rPr>
          <w:rFonts w:cs="Times New Roman"/>
        </w:rPr>
        <w:t>.</w:t>
      </w:r>
    </w:p>
  </w:footnote>
  <w:footnote w:id="273">
    <w:p w14:paraId="3CBBAC8C" w14:textId="2B6CFCE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18</w:t>
      </w:r>
      <w:r w:rsidR="00B750FC">
        <w:rPr>
          <w:rFonts w:cs="Times New Roman"/>
        </w:rPr>
        <w:t xml:space="preserve"> (Dr Sarah Moulds)</w:t>
      </w:r>
      <w:r w:rsidRPr="00E7516E">
        <w:rPr>
          <w:rFonts w:cs="Times New Roman"/>
        </w:rPr>
        <w:t>.</w:t>
      </w:r>
    </w:p>
  </w:footnote>
  <w:footnote w:id="274">
    <w:p w14:paraId="06D74BD5" w14:textId="5CC28AE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17</w:t>
      </w:r>
      <w:r w:rsidR="00B750FC">
        <w:rPr>
          <w:rFonts w:cs="Times New Roman"/>
        </w:rPr>
        <w:t xml:space="preserve"> (</w:t>
      </w:r>
      <w:r w:rsidR="00B750FC" w:rsidRPr="00E7516E">
        <w:rPr>
          <w:rFonts w:cs="Times New Roman"/>
        </w:rPr>
        <w:t>Centre for Law and Genetics</w:t>
      </w:r>
      <w:r w:rsidR="00B750FC">
        <w:rPr>
          <w:rFonts w:cs="Times New Roman"/>
        </w:rPr>
        <w:t>)</w:t>
      </w:r>
      <w:r w:rsidRPr="00E7516E">
        <w:rPr>
          <w:rFonts w:cs="Times New Roman"/>
        </w:rPr>
        <w:t>; Submission 8</w:t>
      </w:r>
      <w:r w:rsidR="00B750FC">
        <w:rPr>
          <w:rFonts w:cs="Times New Roman"/>
        </w:rPr>
        <w:t xml:space="preserve"> (</w:t>
      </w:r>
      <w:r w:rsidR="00B750FC" w:rsidRPr="00E7516E">
        <w:rPr>
          <w:rFonts w:cs="Times New Roman"/>
        </w:rPr>
        <w:t>Meg Webb MLC</w:t>
      </w:r>
      <w:r w:rsidR="00B750FC">
        <w:rPr>
          <w:rFonts w:cs="Times New Roman"/>
        </w:rPr>
        <w:t>)</w:t>
      </w:r>
      <w:r w:rsidRPr="00E7516E">
        <w:rPr>
          <w:rFonts w:cs="Times New Roman"/>
        </w:rPr>
        <w:t>.</w:t>
      </w:r>
    </w:p>
  </w:footnote>
  <w:footnote w:id="275">
    <w:p w14:paraId="0C84DD1C" w14:textId="2E57E6B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17</w:t>
      </w:r>
      <w:r w:rsidR="00B750FC">
        <w:rPr>
          <w:rFonts w:cs="Times New Roman"/>
        </w:rPr>
        <w:t xml:space="preserve"> (</w:t>
      </w:r>
      <w:r w:rsidR="00B750FC" w:rsidRPr="00E7516E">
        <w:rPr>
          <w:rFonts w:cs="Times New Roman"/>
        </w:rPr>
        <w:t>Centre for Law and Genetics</w:t>
      </w:r>
      <w:r w:rsidR="00B750FC">
        <w:rPr>
          <w:rFonts w:cs="Times New Roman"/>
        </w:rPr>
        <w:t>)</w:t>
      </w:r>
      <w:r w:rsidRPr="00E7516E">
        <w:rPr>
          <w:rFonts w:cs="Times New Roman"/>
        </w:rPr>
        <w:t>.</w:t>
      </w:r>
    </w:p>
  </w:footnote>
  <w:footnote w:id="276">
    <w:p w14:paraId="60232D8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3 (definition of ‘basic information’).</w:t>
      </w:r>
    </w:p>
  </w:footnote>
  <w:footnote w:id="277">
    <w:p w14:paraId="409649EB" w14:textId="4B594DE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the </w:t>
      </w:r>
      <w:r w:rsidRPr="00EA22F8">
        <w:rPr>
          <w:rFonts w:cs="Times New Roman"/>
        </w:rPr>
        <w:t>definition in Part 3</w:t>
      </w:r>
      <w:r w:rsidR="001111C2" w:rsidRPr="00EA22F8">
        <w:rPr>
          <w:rFonts w:cs="Times New Roman"/>
        </w:rPr>
        <w:t>,</w:t>
      </w:r>
      <w:r w:rsidRPr="00E7516E">
        <w:rPr>
          <w:rFonts w:cs="Times New Roman"/>
        </w:rPr>
        <w:t xml:space="preserve"> above.</w:t>
      </w:r>
    </w:p>
  </w:footnote>
  <w:footnote w:id="278">
    <w:p w14:paraId="609E86D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3 (definition of ‘employee information’). According to this definition, ‘employee information’ also includes: performance or conduct in carrying out their employment functions or duties, suitability for their employment, hours worked, salary, membership of a professional association, trade association or trade union, information supporting statistical reporting or personnel planning, or other information in relation to employees required by law: ibid.</w:t>
      </w:r>
    </w:p>
  </w:footnote>
  <w:footnote w:id="279">
    <w:p w14:paraId="3CA821C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w:t>
      </w:r>
      <w:r w:rsidRPr="00E7516E">
        <w:rPr>
          <w:rFonts w:cs="Times New Roman"/>
          <w:i/>
        </w:rPr>
        <w:t xml:space="preserve"> </w:t>
      </w:r>
      <w:r w:rsidRPr="00E7516E">
        <w:rPr>
          <w:rFonts w:cs="Times New Roman"/>
        </w:rPr>
        <w:t>s 3 (definition of ‘employee information’).</w:t>
      </w:r>
    </w:p>
  </w:footnote>
  <w:footnote w:id="280">
    <w:p w14:paraId="19258FB0" w14:textId="3C0E8CA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238FB">
        <w:rPr>
          <w:rFonts w:cs="Times New Roman"/>
        </w:rPr>
        <w:t>PIPA</w:t>
      </w:r>
      <w:r w:rsidRPr="00E7516E">
        <w:rPr>
          <w:rFonts w:cs="Times New Roman"/>
        </w:rPr>
        <w:t xml:space="preserve"> s 10.</w:t>
      </w:r>
    </w:p>
  </w:footnote>
  <w:footnote w:id="281">
    <w:p w14:paraId="51062116" w14:textId="1535E40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238FB">
        <w:rPr>
          <w:rFonts w:cs="Times New Roman"/>
        </w:rPr>
        <w:t>PIPA</w:t>
      </w:r>
      <w:r w:rsidRPr="00E7516E">
        <w:rPr>
          <w:rFonts w:cs="Times New Roman"/>
        </w:rPr>
        <w:t xml:space="preserve"> sch 1, PIPP 2(1)(i).</w:t>
      </w:r>
    </w:p>
  </w:footnote>
  <w:footnote w:id="282">
    <w:p w14:paraId="73303423" w14:textId="4F7A2E8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238FB">
        <w:rPr>
          <w:rFonts w:cs="Times New Roman"/>
        </w:rPr>
        <w:t>PIPA</w:t>
      </w:r>
      <w:r w:rsidRPr="00E7516E">
        <w:rPr>
          <w:rFonts w:cs="Times New Roman"/>
        </w:rPr>
        <w:t xml:space="preserve"> sch 1, PIPP 2(1)(j). This might include, for example, allowing someone’s past employment record, including union membership, to be shared and maintained by a new employer, or as a record relating to employment at other public authorities.</w:t>
      </w:r>
    </w:p>
  </w:footnote>
  <w:footnote w:id="283">
    <w:p w14:paraId="1B4D192E" w14:textId="1D578AD2" w:rsidR="00FF302D" w:rsidRPr="00E7516E" w:rsidRDefault="00FF302D" w:rsidP="00E7516E">
      <w:pPr>
        <w:pStyle w:val="FootnoteText"/>
        <w:jc w:val="left"/>
        <w:rPr>
          <w:rFonts w:cs="Times New Roman"/>
          <w:lang w:eastAsia="zh-TW"/>
        </w:rPr>
      </w:pPr>
      <w:r w:rsidRPr="00E7516E">
        <w:rPr>
          <w:rStyle w:val="FootnoteReference"/>
          <w:rFonts w:ascii="Times New Roman" w:hAnsi="Times New Roman" w:cs="Times New Roman"/>
        </w:rPr>
        <w:footnoteRef/>
      </w:r>
      <w:r w:rsidRPr="00E7516E">
        <w:rPr>
          <w:rFonts w:cs="Times New Roman"/>
        </w:rPr>
        <w:t xml:space="preserve"> </w:t>
      </w:r>
      <w:r w:rsidR="00A238FB">
        <w:rPr>
          <w:rFonts w:cs="Times New Roman"/>
        </w:rPr>
        <w:t>PIPA</w:t>
      </w:r>
      <w:r w:rsidRPr="00E7516E">
        <w:rPr>
          <w:rFonts w:cs="Times New Roman"/>
        </w:rPr>
        <w:t xml:space="preserve"> s 8.</w:t>
      </w:r>
    </w:p>
  </w:footnote>
  <w:footnote w:id="284">
    <w:p w14:paraId="77CBB3E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3.</w:t>
      </w:r>
    </w:p>
  </w:footnote>
  <w:footnote w:id="285">
    <w:p w14:paraId="5CC29078" w14:textId="4275605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238FB">
        <w:rPr>
          <w:rFonts w:cs="Times New Roman"/>
        </w:rPr>
        <w:t>PIPA</w:t>
      </w:r>
      <w:r w:rsidRPr="00E7516E">
        <w:rPr>
          <w:rFonts w:cs="Times New Roman"/>
        </w:rPr>
        <w:t xml:space="preserve"> s 3 (definition of ‘law enforcement agency’).</w:t>
      </w:r>
    </w:p>
  </w:footnote>
  <w:footnote w:id="286">
    <w:p w14:paraId="2F2D31B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Namely, the following PIPPs are not applicable to law enforcement information: 1(3), (4) and (5) (relating to collection of personal information); 2(1) (use and disclosure); 5(3)(c) (responding to a request on how a custodian collects, holds, uses, and discloses that information); 7 (unique identifiers); 9 (disclosure outside of Tasmania); and 10(1) (restrictions on collection of sensitive information).</w:t>
      </w:r>
    </w:p>
  </w:footnote>
  <w:footnote w:id="287">
    <w:p w14:paraId="73D94FC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1(3).</w:t>
      </w:r>
    </w:p>
  </w:footnote>
  <w:footnote w:id="288">
    <w:p w14:paraId="72D6BA1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2(1).</w:t>
      </w:r>
    </w:p>
  </w:footnote>
  <w:footnote w:id="289">
    <w:p w14:paraId="32AE101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10(1).</w:t>
      </w:r>
    </w:p>
  </w:footnote>
  <w:footnote w:id="290">
    <w:p w14:paraId="5AAC5FC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9.</w:t>
      </w:r>
    </w:p>
  </w:footnote>
  <w:footnote w:id="291">
    <w:p w14:paraId="21E34730" w14:textId="2BFE09C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32E4D">
        <w:rPr>
          <w:rFonts w:cs="Times New Roman"/>
        </w:rPr>
        <w:t>PIPA</w:t>
      </w:r>
      <w:r w:rsidRPr="00E7516E">
        <w:rPr>
          <w:rFonts w:cs="Times New Roman"/>
        </w:rPr>
        <w:t xml:space="preserve"> sch 1, PIPP 2(1)(g).</w:t>
      </w:r>
    </w:p>
  </w:footnote>
  <w:footnote w:id="292">
    <w:p w14:paraId="272EB38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3 (definition of ‘law enforcement information’).</w:t>
      </w:r>
    </w:p>
  </w:footnote>
  <w:footnote w:id="293">
    <w:p w14:paraId="45A96F7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Right to Information Act 2009 </w:t>
      </w:r>
      <w:r w:rsidRPr="00E7516E">
        <w:rPr>
          <w:rFonts w:cs="Times New Roman"/>
        </w:rPr>
        <w:t>(Tas) s 30(1).</w:t>
      </w:r>
    </w:p>
  </w:footnote>
  <w:footnote w:id="294">
    <w:p w14:paraId="1026485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Right to Information Act 2009 </w:t>
      </w:r>
      <w:r w:rsidRPr="00E7516E">
        <w:rPr>
          <w:rFonts w:cs="Times New Roman"/>
        </w:rPr>
        <w:t>(Tas) s 30(2).</w:t>
      </w:r>
    </w:p>
  </w:footnote>
  <w:footnote w:id="295">
    <w:p w14:paraId="27B284E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Right to Information Act 2009 </w:t>
      </w:r>
      <w:r w:rsidRPr="00E7516E">
        <w:rPr>
          <w:rFonts w:cs="Times New Roman"/>
        </w:rPr>
        <w:t>(Tas) sch 1.</w:t>
      </w:r>
    </w:p>
  </w:footnote>
  <w:footnote w:id="296">
    <w:p w14:paraId="06A1747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13.</w:t>
      </w:r>
    </w:p>
  </w:footnote>
  <w:footnote w:id="297">
    <w:p w14:paraId="7AFD342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13.</w:t>
      </w:r>
    </w:p>
  </w:footnote>
  <w:footnote w:id="298">
    <w:p w14:paraId="5EC65D8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14(1)(a).</w:t>
      </w:r>
    </w:p>
  </w:footnote>
  <w:footnote w:id="299">
    <w:p w14:paraId="7AFE3DF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14(2).</w:t>
      </w:r>
    </w:p>
  </w:footnote>
  <w:footnote w:id="300">
    <w:p w14:paraId="069CCCC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14(1)(b).</w:t>
      </w:r>
    </w:p>
  </w:footnote>
  <w:footnote w:id="301">
    <w:p w14:paraId="4867EAA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15.</w:t>
      </w:r>
    </w:p>
  </w:footnote>
  <w:footnote w:id="302">
    <w:p w14:paraId="55A1904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ss 14(3), 15(2).</w:t>
      </w:r>
    </w:p>
  </w:footnote>
  <w:footnote w:id="303">
    <w:p w14:paraId="322A14C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w:t>
      </w:r>
      <w:r w:rsidRPr="00E7516E">
        <w:rPr>
          <w:rFonts w:cs="Times New Roman"/>
          <w:i/>
          <w:iCs/>
        </w:rPr>
        <w:t>Tasmanian Government Gazette</w:t>
      </w:r>
      <w:r w:rsidRPr="00E7516E">
        <w:rPr>
          <w:rFonts w:cs="Times New Roman"/>
        </w:rPr>
        <w:t xml:space="preserve"> is available at &lt;</w:t>
      </w:r>
      <w:hyperlink r:id="rId13" w:history="1">
        <w:r w:rsidRPr="00E7516E">
          <w:rPr>
            <w:rStyle w:val="Hyperlink"/>
            <w:rFonts w:cs="Times New Roman"/>
          </w:rPr>
          <w:t>http://www.gazette.tas.gov.au/editions</w:t>
        </w:r>
      </w:hyperlink>
      <w:r w:rsidRPr="00E7516E">
        <w:rPr>
          <w:rFonts w:cs="Times New Roman"/>
        </w:rPr>
        <w:t xml:space="preserve">&gt;.  </w:t>
      </w:r>
    </w:p>
  </w:footnote>
  <w:footnote w:id="304">
    <w:p w14:paraId="136B9CE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Tasmania, </w:t>
      </w:r>
      <w:r w:rsidRPr="00E7516E">
        <w:rPr>
          <w:rFonts w:cs="Times New Roman"/>
          <w:i/>
          <w:iCs/>
        </w:rPr>
        <w:t>Gazette</w:t>
      </w:r>
      <w:r w:rsidRPr="00E7516E">
        <w:rPr>
          <w:rFonts w:cs="Times New Roman"/>
        </w:rPr>
        <w:t>, No 22037, 25 November 2020 &lt;</w:t>
      </w:r>
      <w:hyperlink r:id="rId14" w:history="1">
        <w:r w:rsidRPr="00E7516E">
          <w:rPr>
            <w:rStyle w:val="Hyperlink"/>
            <w:rFonts w:cs="Times New Roman"/>
          </w:rPr>
          <w:t>http://www.gazette.tas.gov.au/editions/2020/november_2020/22037_-_Gazette_25_November_2020.pdf</w:t>
        </w:r>
      </w:hyperlink>
      <w:r w:rsidRPr="00E7516E">
        <w:rPr>
          <w:rStyle w:val="Hyperlink"/>
          <w:rFonts w:cs="Times New Roman"/>
        </w:rPr>
        <w:t>&gt;</w:t>
      </w:r>
      <w:r w:rsidRPr="00E7516E">
        <w:rPr>
          <w:rFonts w:cs="Times New Roman"/>
        </w:rPr>
        <w:t xml:space="preserve">. </w:t>
      </w:r>
    </w:p>
  </w:footnote>
  <w:footnote w:id="305">
    <w:p w14:paraId="226E89B5" w14:textId="41B292B7" w:rsidR="00FF302D" w:rsidRPr="00EA22F8" w:rsidRDefault="00FF302D" w:rsidP="00E7516E">
      <w:pPr>
        <w:pStyle w:val="Heading3"/>
        <w:numPr>
          <w:ilvl w:val="2"/>
          <w:numId w:val="0"/>
        </w:numPr>
        <w:spacing w:after="0"/>
        <w:jc w:val="left"/>
        <w:rPr>
          <w:rFonts w:ascii="Times New Roman" w:hAnsi="Times New Roman" w:cs="Times New Roman"/>
          <w:color w:val="auto"/>
          <w:sz w:val="20"/>
          <w:szCs w:val="20"/>
        </w:rPr>
      </w:pPr>
      <w:r w:rsidRPr="00EA22F8">
        <w:rPr>
          <w:rStyle w:val="FootnoteReference"/>
          <w:rFonts w:ascii="Times New Roman" w:hAnsi="Times New Roman" w:cs="Times New Roman"/>
          <w:color w:val="auto"/>
        </w:rPr>
        <w:footnoteRef/>
      </w:r>
      <w:r w:rsidRPr="00EA22F8">
        <w:rPr>
          <w:rFonts w:ascii="Times New Roman" w:hAnsi="Times New Roman" w:cs="Times New Roman"/>
          <w:color w:val="auto"/>
          <w:sz w:val="20"/>
          <w:szCs w:val="20"/>
        </w:rPr>
        <w:t xml:space="preserve"> The Privacy Act does define a similar category of ‘identification information’ as a subset of ‘credit information’ relating to the credit reporting provisions of the Act: PIPA ss 3 (definition of ‘identification information’ and ‘credit information), 6N. Some other State and Territory legislation makes some special provision for information exchanges between public authorities, or in relation to information sharing under other legislation (see Part 9).</w:t>
      </w:r>
    </w:p>
  </w:footnote>
  <w:footnote w:id="306">
    <w:p w14:paraId="05A5A50C"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Defined in similar terms to employee information in the PIPA with the addition of taxation, banking, or superannuation affairs: </w:t>
      </w:r>
      <w:r w:rsidRPr="00E7516E">
        <w:rPr>
          <w:rFonts w:cs="Times New Roman"/>
          <w:i/>
        </w:rPr>
        <w:t>Privacy Act 1988</w:t>
      </w:r>
      <w:r w:rsidRPr="00E7516E">
        <w:rPr>
          <w:rFonts w:cs="Times New Roman"/>
          <w:iCs/>
        </w:rPr>
        <w:t xml:space="preserve"> (Cth) s 6 (definition of ‘employee record’).</w:t>
      </w:r>
    </w:p>
  </w:footnote>
  <w:footnote w:id="307">
    <w:p w14:paraId="3EB96AF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Privacy Act 1988</w:t>
      </w:r>
      <w:r w:rsidRPr="00E7516E">
        <w:rPr>
          <w:rFonts w:cs="Times New Roman"/>
          <w:iCs/>
        </w:rPr>
        <w:t xml:space="preserve"> (Cth) s </w:t>
      </w:r>
      <w:r w:rsidRPr="00E7516E">
        <w:rPr>
          <w:rFonts w:cs="Times New Roman"/>
        </w:rPr>
        <w:t>7B(3).</w:t>
      </w:r>
    </w:p>
  </w:footnote>
  <w:footnote w:id="308">
    <w:p w14:paraId="6A4A5D8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64; </w:t>
      </w:r>
      <w:r w:rsidRPr="00E7516E">
        <w:rPr>
          <w:rFonts w:cs="Times New Roman"/>
          <w:i/>
          <w:iCs/>
        </w:rPr>
        <w:t xml:space="preserve">Privacy Act </w:t>
      </w:r>
      <w:r w:rsidRPr="00E7516E">
        <w:rPr>
          <w:rFonts w:cs="Times New Roman"/>
        </w:rPr>
        <w:t>s 7B(3).</w:t>
      </w:r>
    </w:p>
  </w:footnote>
  <w:footnote w:id="309">
    <w:p w14:paraId="41F1DF6D" w14:textId="1CD59FF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iCs/>
        </w:rPr>
        <w:t xml:space="preserve"> ‘QF’ &amp; Others and Spotless Group Limited (Privacy)</w:t>
      </w:r>
      <w:r w:rsidRPr="00E7516E">
        <w:rPr>
          <w:rFonts w:cs="Times New Roman"/>
        </w:rPr>
        <w:t xml:space="preserve"> [2019] AICmr 20; see </w:t>
      </w:r>
      <w:r w:rsidR="00915A83">
        <w:rPr>
          <w:rFonts w:cs="Times New Roman"/>
        </w:rPr>
        <w:t xml:space="preserve">Privacy Act Review Report 2022 </w:t>
      </w:r>
      <w:r w:rsidRPr="00E7516E">
        <w:rPr>
          <w:rFonts w:cs="Times New Roman"/>
        </w:rPr>
        <w:t>64.</w:t>
      </w:r>
    </w:p>
  </w:footnote>
  <w:footnote w:id="310">
    <w:p w14:paraId="77152FF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4(3)(b).</w:t>
      </w:r>
    </w:p>
  </w:footnote>
  <w:footnote w:id="311">
    <w:p w14:paraId="02DDE8A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 12.</w:t>
      </w:r>
    </w:p>
  </w:footnote>
  <w:footnote w:id="312">
    <w:p w14:paraId="1632307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2009</w:t>
      </w:r>
      <w:r w:rsidRPr="00E7516E">
        <w:rPr>
          <w:rFonts w:cs="Times New Roman"/>
        </w:rPr>
        <w:t xml:space="preserve"> (Qld) sch 1 cl 7(a).</w:t>
      </w:r>
    </w:p>
  </w:footnote>
  <w:footnote w:id="313">
    <w:p w14:paraId="1E7B40F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eastAsia="Times New Roman" w:cs="Times New Roman"/>
          <w:i/>
          <w:iCs/>
        </w:rPr>
        <w:t xml:space="preserve">Information Act 2002 </w:t>
      </w:r>
      <w:r w:rsidRPr="00E7516E">
        <w:rPr>
          <w:rFonts w:eastAsia="Times New Roman" w:cs="Times New Roman"/>
        </w:rPr>
        <w:t>(NT) s 68.</w:t>
      </w:r>
    </w:p>
  </w:footnote>
  <w:footnote w:id="314">
    <w:p w14:paraId="797849D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iCs/>
        </w:rPr>
        <w:t>Privacy and Personal Information Protection Act 1998</w:t>
      </w:r>
      <w:r w:rsidRPr="00E7516E">
        <w:rPr>
          <w:rFonts w:cs="Times New Roman"/>
        </w:rPr>
        <w:t xml:space="preserve"> (NSW) s 23; </w:t>
      </w:r>
      <w:r w:rsidRPr="00E7516E">
        <w:rPr>
          <w:rFonts w:cs="Times New Roman"/>
          <w:i/>
          <w:iCs/>
        </w:rPr>
        <w:t>Privacy and Data Protection Act 2014</w:t>
      </w:r>
      <w:r w:rsidRPr="00E7516E">
        <w:rPr>
          <w:rFonts w:cs="Times New Roman"/>
        </w:rPr>
        <w:t xml:space="preserve"> (Vic) s 15; </w:t>
      </w:r>
      <w:r w:rsidRPr="00E7516E">
        <w:rPr>
          <w:rFonts w:cs="Times New Roman"/>
          <w:i/>
          <w:iCs/>
        </w:rPr>
        <w:t>Information Privacy Act 2009</w:t>
      </w:r>
      <w:r w:rsidRPr="00E7516E">
        <w:rPr>
          <w:rFonts w:cs="Times New Roman"/>
        </w:rPr>
        <w:t xml:space="preserve"> (Qld) s 29; </w:t>
      </w:r>
      <w:r w:rsidRPr="00E7516E">
        <w:rPr>
          <w:rFonts w:eastAsia="Times New Roman" w:cs="Times New Roman"/>
          <w:i/>
          <w:iCs/>
        </w:rPr>
        <w:t xml:space="preserve">Information Act 2002 </w:t>
      </w:r>
      <w:r w:rsidRPr="00E7516E">
        <w:rPr>
          <w:rFonts w:eastAsia="Times New Roman" w:cs="Times New Roman"/>
        </w:rPr>
        <w:t>(NT) s 70</w:t>
      </w:r>
      <w:r w:rsidRPr="00E7516E">
        <w:rPr>
          <w:rFonts w:cs="Times New Roman"/>
        </w:rPr>
        <w:t xml:space="preserve">. Note the amendments contained in the </w:t>
      </w:r>
      <w:r w:rsidRPr="00E7516E">
        <w:rPr>
          <w:rFonts w:cs="Times New Roman"/>
          <w:i/>
          <w:iCs/>
        </w:rPr>
        <w:t>Information Privacy and Other Legislation Amendment Act 2023</w:t>
      </w:r>
      <w:r w:rsidRPr="00E7516E">
        <w:rPr>
          <w:rFonts w:cs="Times New Roman"/>
        </w:rPr>
        <w:t xml:space="preserve"> (Qld) (yet to commence).</w:t>
      </w:r>
    </w:p>
  </w:footnote>
  <w:footnote w:id="315">
    <w:p w14:paraId="16B60F4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cl 3.4 (collection), cl 6.2 (use and disclosure).</w:t>
      </w:r>
    </w:p>
  </w:footnote>
  <w:footnote w:id="316">
    <w:p w14:paraId="617503F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iCs/>
        </w:rPr>
        <w:t>Privacy Act 1988</w:t>
      </w:r>
      <w:r w:rsidRPr="00E7516E">
        <w:rPr>
          <w:rFonts w:cs="Times New Roman"/>
        </w:rPr>
        <w:t xml:space="preserve"> (Cth) cl 9.2(e), 12.3(h).</w:t>
      </w:r>
    </w:p>
  </w:footnote>
  <w:footnote w:id="317">
    <w:p w14:paraId="6125E72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sch 1, cl 3.4, cl 6.2, cl 8.2.</w:t>
      </w:r>
    </w:p>
  </w:footnote>
  <w:footnote w:id="318">
    <w:p w14:paraId="0621CDD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16A, sch 1 cl 12.3(h) and (i).</w:t>
      </w:r>
    </w:p>
  </w:footnote>
  <w:footnote w:id="319">
    <w:p w14:paraId="59E3531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iCs/>
        </w:rPr>
        <w:t xml:space="preserve">Privacy Act 1988 </w:t>
      </w:r>
      <w:r w:rsidRPr="00E7516E">
        <w:rPr>
          <w:rFonts w:cs="Times New Roman"/>
        </w:rPr>
        <w:t>(Cth) cl 6.3 (use and disclosure), cl 8.2(f).</w:t>
      </w:r>
    </w:p>
  </w:footnote>
  <w:footnote w:id="320">
    <w:p w14:paraId="00F6FE2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ss 8C(1)(c), 29.</w:t>
      </w:r>
    </w:p>
  </w:footnote>
  <w:footnote w:id="321">
    <w:p w14:paraId="1E8120D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2009</w:t>
      </w:r>
      <w:r w:rsidRPr="00E7516E">
        <w:rPr>
          <w:rFonts w:cs="Times New Roman"/>
        </w:rPr>
        <w:t xml:space="preserve"> (Qld) ss 136, 157 (although principles relating to data security and access and correction cannot be disapplied: </w:t>
      </w:r>
      <w:r w:rsidRPr="00E7516E">
        <w:rPr>
          <w:rFonts w:cs="Times New Roman"/>
          <w:i/>
          <w:iCs/>
        </w:rPr>
        <w:t>Information Privacy Act 2009</w:t>
      </w:r>
      <w:r w:rsidRPr="00E7516E">
        <w:rPr>
          <w:rFonts w:cs="Times New Roman"/>
        </w:rPr>
        <w:t xml:space="preserve"> (Qld) s 29(3)). Note the amendments contained in the </w:t>
      </w:r>
      <w:r w:rsidRPr="00E7516E">
        <w:rPr>
          <w:rFonts w:cs="Times New Roman"/>
          <w:i/>
          <w:iCs/>
        </w:rPr>
        <w:t>Information Privacy and Other Legislation Amendment Act 2023</w:t>
      </w:r>
      <w:r w:rsidRPr="00E7516E">
        <w:rPr>
          <w:rFonts w:cs="Times New Roman"/>
        </w:rPr>
        <w:t xml:space="preserve"> (Qld) (yet to commence).</w:t>
      </w:r>
    </w:p>
  </w:footnote>
  <w:footnote w:id="322">
    <w:p w14:paraId="5AD5CFE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1988</w:t>
      </w:r>
      <w:r w:rsidRPr="00E7516E">
        <w:rPr>
          <w:rFonts w:cs="Times New Roman"/>
        </w:rPr>
        <w:t xml:space="preserve"> (NSW) s 41.</w:t>
      </w:r>
    </w:p>
  </w:footnote>
  <w:footnote w:id="323">
    <w:p w14:paraId="57963A5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iCs/>
        </w:rPr>
        <w:t>Privacy and Data Protection Act 2014</w:t>
      </w:r>
      <w:r w:rsidRPr="00E7516E">
        <w:rPr>
          <w:rFonts w:cs="Times New Roman"/>
        </w:rPr>
        <w:t xml:space="preserve"> (Vic) s 42; </w:t>
      </w:r>
      <w:r w:rsidRPr="00E7516E">
        <w:rPr>
          <w:rFonts w:cs="Times New Roman"/>
          <w:i/>
          <w:iCs/>
        </w:rPr>
        <w:t>Information Privacy Act 2009</w:t>
      </w:r>
      <w:r w:rsidRPr="00E7516E">
        <w:rPr>
          <w:rFonts w:cs="Times New Roman"/>
        </w:rPr>
        <w:t xml:space="preserve"> (Qld) s 157(3); </w:t>
      </w:r>
      <w:r w:rsidRPr="00E7516E">
        <w:rPr>
          <w:rFonts w:cs="Times New Roman"/>
          <w:i/>
          <w:iCs/>
        </w:rPr>
        <w:t xml:space="preserve">Statutory Instruments Act 1992 </w:t>
      </w:r>
      <w:r w:rsidRPr="00E7516E">
        <w:rPr>
          <w:rFonts w:cs="Times New Roman"/>
        </w:rPr>
        <w:t>(Qld) s 50.</w:t>
      </w:r>
    </w:p>
  </w:footnote>
  <w:footnote w:id="324">
    <w:p w14:paraId="39499E4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72. The process for the making of applications and determinations is set out in ss 73–79.</w:t>
      </w:r>
    </w:p>
  </w:footnote>
  <w:footnote w:id="325">
    <w:p w14:paraId="584924B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80B.</w:t>
      </w:r>
    </w:p>
  </w:footnote>
  <w:footnote w:id="326">
    <w:p w14:paraId="0912590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80A. </w:t>
      </w:r>
    </w:p>
  </w:footnote>
  <w:footnote w:id="327">
    <w:p w14:paraId="1FEEEFA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80A(2).</w:t>
      </w:r>
    </w:p>
  </w:footnote>
  <w:footnote w:id="328">
    <w:p w14:paraId="2C6CF91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80E. </w:t>
      </w:r>
    </w:p>
  </w:footnote>
  <w:footnote w:id="329">
    <w:p w14:paraId="6B9DBBC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iCs/>
        </w:rPr>
        <w:t xml:space="preserve"> Privacy Act 1988</w:t>
      </w:r>
      <w:r w:rsidRPr="00E7516E">
        <w:rPr>
          <w:rFonts w:cs="Times New Roman"/>
        </w:rPr>
        <w:t xml:space="preserve"> (Cth) s 80P.</w:t>
      </w:r>
    </w:p>
  </w:footnote>
  <w:footnote w:id="330">
    <w:p w14:paraId="1D38BC5F" w14:textId="60A7628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27D. Personal information collected, used, or disclosed under this provision must not be held for longer than 18 months (unless there are extenuating circumstances or consent has been obtained) and law enforcement agencies may not use the information for prosecuting an offence: s</w:t>
      </w:r>
      <w:r w:rsidR="00D82952">
        <w:rPr>
          <w:rFonts w:cs="Times New Roman"/>
        </w:rPr>
        <w:t> </w:t>
      </w:r>
      <w:r w:rsidRPr="00E7516E">
        <w:rPr>
          <w:rFonts w:cs="Times New Roman"/>
        </w:rPr>
        <w:t>27D(3).</w:t>
      </w:r>
    </w:p>
  </w:footnote>
  <w:footnote w:id="331">
    <w:p w14:paraId="249F59A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Information Privacy Act </w:t>
      </w:r>
      <w:r w:rsidRPr="00E7516E">
        <w:rPr>
          <w:rFonts w:cs="Times New Roman"/>
        </w:rPr>
        <w:t xml:space="preserve">(Qld) sch 3 cl 2(5). It is noted that the </w:t>
      </w:r>
      <w:r w:rsidRPr="00E7516E">
        <w:rPr>
          <w:rFonts w:cs="Times New Roman"/>
          <w:i/>
          <w:iCs/>
        </w:rPr>
        <w:t>Information Privacy and Other Legislation Amendment Act 2023</w:t>
      </w:r>
      <w:r w:rsidRPr="00E7516E">
        <w:rPr>
          <w:rFonts w:cs="Times New Roman"/>
        </w:rPr>
        <w:t xml:space="preserve"> (Qld) replaces schedule 3 (yet to commence). The new schedule 3 is based on the APP.</w:t>
      </w:r>
    </w:p>
  </w:footnote>
  <w:footnote w:id="332">
    <w:p w14:paraId="103F775F" w14:textId="4B59B44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Privacy Act Review</w:t>
      </w:r>
      <w:r w:rsidR="003E3FC9">
        <w:rPr>
          <w:rFonts w:cs="Times New Roman"/>
        </w:rPr>
        <w:t xml:space="preserve"> </w:t>
      </w:r>
      <w:r w:rsidRPr="00E7516E">
        <w:rPr>
          <w:rFonts w:cs="Times New Roman"/>
        </w:rPr>
        <w:t xml:space="preserve">Report </w:t>
      </w:r>
      <w:r w:rsidR="003E3FC9">
        <w:rPr>
          <w:rFonts w:cs="Times New Roman"/>
        </w:rPr>
        <w:t xml:space="preserve">2022 </w:t>
      </w:r>
      <w:r w:rsidRPr="00E7516E">
        <w:rPr>
          <w:rFonts w:cs="Times New Roman"/>
        </w:rPr>
        <w:t>65</w:t>
      </w:r>
      <w:r w:rsidR="000954CE">
        <w:rPr>
          <w:rFonts w:cs="Times New Roman"/>
        </w:rPr>
        <w:t>.</w:t>
      </w:r>
    </w:p>
  </w:footnote>
  <w:footnote w:id="333">
    <w:p w14:paraId="6DD33C38" w14:textId="5274B03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6625D">
        <w:rPr>
          <w:rFonts w:cs="Times New Roman"/>
        </w:rPr>
        <w:t>Privacy Act Review Report 2022</w:t>
      </w:r>
      <w:r w:rsidR="00915A83">
        <w:rPr>
          <w:rFonts w:cs="Times New Roman"/>
        </w:rPr>
        <w:t xml:space="preserve"> </w:t>
      </w:r>
      <w:r w:rsidRPr="00E7516E">
        <w:rPr>
          <w:rFonts w:cs="Times New Roman"/>
        </w:rPr>
        <w:t>2.</w:t>
      </w:r>
    </w:p>
  </w:footnote>
  <w:footnote w:id="334">
    <w:p w14:paraId="5BBA1FD6" w14:textId="24F6DC8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169EA">
        <w:rPr>
          <w:rFonts w:cs="Times New Roman"/>
        </w:rPr>
        <w:t>Ibid</w:t>
      </w:r>
      <w:r w:rsidRPr="00E7516E">
        <w:rPr>
          <w:rFonts w:cs="Times New Roman"/>
        </w:rPr>
        <w:t>.</w:t>
      </w:r>
    </w:p>
  </w:footnote>
  <w:footnote w:id="335">
    <w:p w14:paraId="0E643960" w14:textId="7DC44F2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169EA">
        <w:rPr>
          <w:rFonts w:cs="Times New Roman"/>
        </w:rPr>
        <w:t xml:space="preserve">Ibid </w:t>
      </w:r>
      <w:r w:rsidRPr="00E7516E">
        <w:rPr>
          <w:rFonts w:cs="Times New Roman"/>
        </w:rPr>
        <w:t>Proposal 7.1.</w:t>
      </w:r>
    </w:p>
  </w:footnote>
  <w:footnote w:id="336">
    <w:p w14:paraId="35F9C92E" w14:textId="2CCDEB9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169EA">
        <w:rPr>
          <w:rFonts w:cs="Times New Roman"/>
        </w:rPr>
        <w:t>Ibid</w:t>
      </w:r>
      <w:r w:rsidRPr="00E7516E">
        <w:rPr>
          <w:rFonts w:cs="Times New Roman"/>
        </w:rPr>
        <w:t>.</w:t>
      </w:r>
    </w:p>
  </w:footnote>
  <w:footnote w:id="337">
    <w:p w14:paraId="4AA7B11E" w14:textId="1A5AF2F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6.</w:t>
      </w:r>
    </w:p>
  </w:footnote>
  <w:footnote w:id="338">
    <w:p w14:paraId="1E42A9B6" w14:textId="303C4AE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29.</w:t>
      </w:r>
    </w:p>
  </w:footnote>
  <w:footnote w:id="339">
    <w:p w14:paraId="7E756E79" w14:textId="294CF1B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6625D">
        <w:rPr>
          <w:rFonts w:cs="Times New Roman"/>
        </w:rPr>
        <w:t>Privacy Act Review Report 2022 29</w:t>
      </w:r>
      <w:r w:rsidRPr="00E7516E">
        <w:rPr>
          <w:rFonts w:cs="Times New Roman"/>
        </w:rPr>
        <w:t>.</w:t>
      </w:r>
    </w:p>
  </w:footnote>
  <w:footnote w:id="340">
    <w:p w14:paraId="7A1C2378" w14:textId="0C8162A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D1595">
        <w:rPr>
          <w:rFonts w:cs="Times New Roman"/>
        </w:rPr>
        <w:t>Ibid</w:t>
      </w:r>
      <w:r w:rsidRPr="00E7516E">
        <w:rPr>
          <w:rFonts w:cs="Times New Roman"/>
        </w:rPr>
        <w:t xml:space="preserve"> Proposals 18.1, 18.2,</w:t>
      </w:r>
    </w:p>
  </w:footnote>
  <w:footnote w:id="341">
    <w:p w14:paraId="2489BB31" w14:textId="478665A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0013593E">
        <w:rPr>
          <w:rFonts w:cs="Times New Roman"/>
        </w:rPr>
        <w:t>ibid</w:t>
      </w:r>
      <w:r w:rsidR="00915A83">
        <w:rPr>
          <w:rFonts w:cs="Times New Roman"/>
        </w:rPr>
        <w:t xml:space="preserve"> </w:t>
      </w:r>
      <w:r w:rsidRPr="00E7516E">
        <w:rPr>
          <w:rFonts w:cs="Times New Roman"/>
        </w:rPr>
        <w:t>47.</w:t>
      </w:r>
    </w:p>
  </w:footnote>
  <w:footnote w:id="342">
    <w:p w14:paraId="52DEFF5F" w14:textId="2E26A82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76314">
        <w:rPr>
          <w:rFonts w:cs="Times New Roman"/>
        </w:rPr>
        <w:t xml:space="preserve">Ibid </w:t>
      </w:r>
      <w:r w:rsidRPr="00E7516E">
        <w:rPr>
          <w:rFonts w:cs="Times New Roman"/>
        </w:rPr>
        <w:t>Proposal 5.3, 50.</w:t>
      </w:r>
    </w:p>
  </w:footnote>
  <w:footnote w:id="343">
    <w:p w14:paraId="4FF7BEAC" w14:textId="1C0D6DC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76314">
        <w:rPr>
          <w:rFonts w:cs="Times New Roman"/>
        </w:rPr>
        <w:t xml:space="preserve">Ibid </w:t>
      </w:r>
      <w:r w:rsidRPr="00E7516E">
        <w:rPr>
          <w:rFonts w:cs="Times New Roman"/>
        </w:rPr>
        <w:t>Proposal 5.4, 51.</w:t>
      </w:r>
    </w:p>
  </w:footnote>
  <w:footnote w:id="344">
    <w:p w14:paraId="6E5A9A2F" w14:textId="78431A1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6625D">
        <w:rPr>
          <w:rFonts w:cs="Times New Roman"/>
        </w:rPr>
        <w:t>Privacy Act Review Report 2022</w:t>
      </w:r>
      <w:r w:rsidR="00676314">
        <w:rPr>
          <w:rFonts w:cs="Times New Roman"/>
        </w:rPr>
        <w:t xml:space="preserve"> </w:t>
      </w:r>
      <w:r w:rsidRPr="00E7516E">
        <w:rPr>
          <w:rFonts w:cs="Times New Roman"/>
        </w:rPr>
        <w:t>Proposal 5.5, 51.</w:t>
      </w:r>
    </w:p>
  </w:footnote>
  <w:footnote w:id="345">
    <w:p w14:paraId="24D9E4C7" w14:textId="3AB267A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76314">
        <w:rPr>
          <w:rFonts w:cs="Times New Roman"/>
        </w:rPr>
        <w:t>Ibid</w:t>
      </w:r>
      <w:r w:rsidRPr="00E7516E">
        <w:rPr>
          <w:rFonts w:cs="Times New Roman"/>
        </w:rPr>
        <w:t xml:space="preserve"> 51.</w:t>
      </w:r>
    </w:p>
  </w:footnote>
  <w:footnote w:id="346">
    <w:p w14:paraId="562A68C1" w14:textId="3BC6D50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E7516E">
        <w:rPr>
          <w:rFonts w:cs="Times New Roman"/>
        </w:rPr>
        <w:t xml:space="preserve"> 2, 16.</w:t>
      </w:r>
    </w:p>
  </w:footnote>
  <w:footnote w:id="347">
    <w:p w14:paraId="34019260" w14:textId="4AC0BCA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3D43C9">
        <w:rPr>
          <w:rFonts w:cs="Times New Roman"/>
        </w:rPr>
        <w:t xml:space="preserve">Issues Paper </w:t>
      </w:r>
      <w:r w:rsidRPr="00E7516E">
        <w:rPr>
          <w:rFonts w:cs="Times New Roman"/>
        </w:rPr>
        <w:t>Part 2, Question 2.6.</w:t>
      </w:r>
    </w:p>
  </w:footnote>
  <w:footnote w:id="348">
    <w:p w14:paraId="3B5933AF" w14:textId="7386DF8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D360AB">
        <w:rPr>
          <w:rFonts w:cs="Times New Roman"/>
        </w:rPr>
        <w:t xml:space="preserve"> (Meg Webb MLC)</w:t>
      </w:r>
      <w:r w:rsidRPr="00E7516E">
        <w:rPr>
          <w:rFonts w:cs="Times New Roman"/>
        </w:rPr>
        <w:t>.</w:t>
      </w:r>
    </w:p>
  </w:footnote>
  <w:footnote w:id="349">
    <w:p w14:paraId="68208D00" w14:textId="21B8755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70216">
        <w:rPr>
          <w:rFonts w:cs="Times New Roman"/>
        </w:rPr>
        <w:t xml:space="preserve">Submission 10 (Richard Griggs); </w:t>
      </w:r>
      <w:r w:rsidRPr="00E7516E">
        <w:rPr>
          <w:rFonts w:cs="Times New Roman"/>
          <w:i/>
          <w:iCs/>
        </w:rPr>
        <w:t>Anti-Discrimination Act</w:t>
      </w:r>
      <w:r w:rsidRPr="00E7516E">
        <w:rPr>
          <w:rFonts w:cs="Times New Roman"/>
        </w:rPr>
        <w:t xml:space="preserve"> </w:t>
      </w:r>
      <w:r w:rsidRPr="00E7516E">
        <w:rPr>
          <w:rFonts w:cs="Times New Roman"/>
          <w:i/>
          <w:iCs/>
        </w:rPr>
        <w:t xml:space="preserve">1998 </w:t>
      </w:r>
      <w:r w:rsidRPr="00E7516E">
        <w:rPr>
          <w:rFonts w:cs="Times New Roman"/>
        </w:rPr>
        <w:t>(Tas) s 59.</w:t>
      </w:r>
    </w:p>
  </w:footnote>
  <w:footnote w:id="350">
    <w:p w14:paraId="43CE1D54" w14:textId="5A2842F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10</w:t>
      </w:r>
      <w:r w:rsidR="00D360AB">
        <w:rPr>
          <w:rFonts w:cs="Times New Roman"/>
        </w:rPr>
        <w:t xml:space="preserve"> (Richard Griggs)</w:t>
      </w:r>
      <w:r w:rsidRPr="00E7516E">
        <w:rPr>
          <w:rFonts w:cs="Times New Roman"/>
        </w:rPr>
        <w:t>.</w:t>
      </w:r>
    </w:p>
  </w:footnote>
  <w:footnote w:id="351">
    <w:p w14:paraId="554801AC" w14:textId="31270F1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2</w:t>
      </w:r>
      <w:r w:rsidR="00D360AB">
        <w:rPr>
          <w:rFonts w:cs="Times New Roman"/>
        </w:rPr>
        <w:t xml:space="preserve"> (Kelvin Markham)</w:t>
      </w:r>
      <w:r w:rsidRPr="00E7516E">
        <w:rPr>
          <w:rFonts w:cs="Times New Roman"/>
        </w:rPr>
        <w:t xml:space="preserve">. The </w:t>
      </w:r>
      <w:r w:rsidRPr="00E7516E">
        <w:rPr>
          <w:rFonts w:cs="Times New Roman"/>
          <w:i/>
          <w:iCs/>
        </w:rPr>
        <w:t xml:space="preserve">Land Titles Act 1980 </w:t>
      </w:r>
      <w:r w:rsidRPr="00E7516E">
        <w:rPr>
          <w:rFonts w:cs="Times New Roman"/>
        </w:rPr>
        <w:t>(Tas) provides for the Register of Land Titles (and other associated documents) to be public records.</w:t>
      </w:r>
    </w:p>
  </w:footnote>
  <w:footnote w:id="352">
    <w:p w14:paraId="4674FB60" w14:textId="05A1309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64.</w:t>
      </w:r>
    </w:p>
  </w:footnote>
  <w:footnote w:id="353">
    <w:p w14:paraId="10DC6E3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354">
    <w:p w14:paraId="737BF8E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Harry Evans and Rosemary Laing (eds), </w:t>
      </w:r>
      <w:r w:rsidRPr="00E7516E">
        <w:rPr>
          <w:rFonts w:cs="Times New Roman"/>
          <w:i/>
          <w:iCs/>
        </w:rPr>
        <w:t>Odgers’ Australian Senate Practice</w:t>
      </w:r>
      <w:r w:rsidRPr="00E7516E">
        <w:rPr>
          <w:rFonts w:cs="Times New Roman"/>
        </w:rPr>
        <w:t xml:space="preserve"> (14</w:t>
      </w:r>
      <w:r w:rsidRPr="00E7516E">
        <w:rPr>
          <w:rFonts w:cs="Times New Roman"/>
          <w:vertAlign w:val="superscript"/>
        </w:rPr>
        <w:t>th</w:t>
      </w:r>
      <w:r w:rsidRPr="00E7516E">
        <w:rPr>
          <w:rFonts w:cs="Times New Roman"/>
        </w:rPr>
        <w:t xml:space="preserve"> ed, Department of the Senate, Canberra, 2012) 429, 433.</w:t>
      </w:r>
    </w:p>
  </w:footnote>
  <w:footnote w:id="355">
    <w:p w14:paraId="7607E0F2" w14:textId="54CBC4F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Australian Government, </w:t>
      </w:r>
      <w:r w:rsidRPr="00E7516E">
        <w:rPr>
          <w:rFonts w:cs="Times New Roman"/>
          <w:i/>
          <w:iCs/>
        </w:rPr>
        <w:t>The Royal Commission into National Natural Disaster Arrangements Report</w:t>
      </w:r>
      <w:r w:rsidRPr="00E7516E">
        <w:rPr>
          <w:rFonts w:cs="Times New Roman"/>
        </w:rPr>
        <w:t xml:space="preserve"> (Report, 2020) Recommendation 22.2.</w:t>
      </w:r>
    </w:p>
  </w:footnote>
  <w:footnote w:id="356">
    <w:p w14:paraId="274DA504" w14:textId="55E6755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3 (</w:t>
      </w:r>
      <w:r w:rsidR="00455990">
        <w:rPr>
          <w:rFonts w:cs="Times New Roman"/>
        </w:rPr>
        <w:t>A</w:t>
      </w:r>
      <w:r w:rsidRPr="00E7516E">
        <w:rPr>
          <w:rFonts w:cs="Times New Roman"/>
        </w:rPr>
        <w:t>nonymous); Submission 8 (Meg Webb MLC); Submission 12 (Youth Law Australia); Submission 17 (Centre for Law and Genetics).</w:t>
      </w:r>
    </w:p>
  </w:footnote>
  <w:footnote w:id="357">
    <w:p w14:paraId="68C06317" w14:textId="77777777" w:rsidR="00FF302D" w:rsidRPr="00455990"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455990">
        <w:rPr>
          <w:rFonts w:cs="Times New Roman"/>
          <w:i/>
          <w:iCs/>
        </w:rPr>
        <w:t>Personal Information Protection Bill 2004</w:t>
      </w:r>
      <w:r w:rsidRPr="00455990">
        <w:rPr>
          <w:rFonts w:cs="Times New Roman"/>
        </w:rPr>
        <w:t xml:space="preserve">, Second Reading Speech (Mrs Jackson, 20 October 2004, pt 2, 29–106): </w:t>
      </w:r>
      <w:r w:rsidRPr="00EA22F8">
        <w:rPr>
          <w:rStyle w:val="cf01"/>
          <w:rFonts w:ascii="Times New Roman" w:hAnsi="Times New Roman" w:cs="Times New Roman"/>
          <w:sz w:val="20"/>
          <w:szCs w:val="20"/>
        </w:rPr>
        <w:t>‘The personal information protection principles are consistent with the national privacy principles implemented by the Commonwealth in 2001 to amend the Privacy Act to extend the application of the legislation to the private sector’.</w:t>
      </w:r>
    </w:p>
  </w:footnote>
  <w:footnote w:id="358">
    <w:p w14:paraId="37A664FD" w14:textId="77777777" w:rsidR="00FF302D" w:rsidRPr="00455990" w:rsidRDefault="00FF302D" w:rsidP="00E7516E">
      <w:pPr>
        <w:pStyle w:val="FootnoteText"/>
        <w:jc w:val="left"/>
        <w:rPr>
          <w:rFonts w:cs="Times New Roman"/>
        </w:rPr>
      </w:pPr>
      <w:r w:rsidRPr="00455990">
        <w:rPr>
          <w:rStyle w:val="FootnoteReference"/>
          <w:rFonts w:ascii="Times New Roman" w:hAnsi="Times New Roman" w:cs="Times New Roman"/>
        </w:rPr>
        <w:footnoteRef/>
      </w:r>
      <w:r w:rsidRPr="00455990">
        <w:rPr>
          <w:rFonts w:cs="Times New Roman"/>
        </w:rPr>
        <w:t xml:space="preserve"> PIPA s 17(1).</w:t>
      </w:r>
    </w:p>
  </w:footnote>
  <w:footnote w:id="359">
    <w:p w14:paraId="057D0C8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PIPP1(3).</w:t>
      </w:r>
    </w:p>
  </w:footnote>
  <w:footnote w:id="360">
    <w:p w14:paraId="2955C5D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9.</w:t>
      </w:r>
    </w:p>
  </w:footnote>
  <w:footnote w:id="361">
    <w:p w14:paraId="5A92E7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10.</w:t>
      </w:r>
    </w:p>
  </w:footnote>
  <w:footnote w:id="362">
    <w:p w14:paraId="50B5B3E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1(4)–(5).</w:t>
      </w:r>
    </w:p>
  </w:footnote>
  <w:footnote w:id="363">
    <w:p w14:paraId="65C4C11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10.</w:t>
      </w:r>
    </w:p>
  </w:footnote>
  <w:footnote w:id="364">
    <w:p w14:paraId="4830BDC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9.</w:t>
      </w:r>
    </w:p>
  </w:footnote>
  <w:footnote w:id="365">
    <w:p w14:paraId="10EDC2D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10.</w:t>
      </w:r>
    </w:p>
  </w:footnote>
  <w:footnote w:id="366">
    <w:p w14:paraId="0C580DB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10(3).</w:t>
      </w:r>
    </w:p>
  </w:footnote>
  <w:footnote w:id="367">
    <w:p w14:paraId="29120E8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10(4), 10(5).</w:t>
      </w:r>
    </w:p>
  </w:footnote>
  <w:footnote w:id="368">
    <w:p w14:paraId="34C31E1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10(6).</w:t>
      </w:r>
    </w:p>
  </w:footnote>
  <w:footnote w:id="369">
    <w:p w14:paraId="3C6721A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9.</w:t>
      </w:r>
    </w:p>
  </w:footnote>
  <w:footnote w:id="370">
    <w:p w14:paraId="5B835C8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11.</w:t>
      </w:r>
    </w:p>
  </w:footnote>
  <w:footnote w:id="371">
    <w:p w14:paraId="5980DAB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terms ‘primary purpose’ and ‘secondary purpose’ do not expressly appear in the</w:t>
      </w:r>
      <w:r w:rsidRPr="00E7516E">
        <w:rPr>
          <w:rFonts w:cs="Times New Roman"/>
          <w:i/>
        </w:rPr>
        <w:t xml:space="preserve"> </w:t>
      </w:r>
      <w:r w:rsidRPr="00E7516E">
        <w:rPr>
          <w:rFonts w:cs="Times New Roman"/>
        </w:rPr>
        <w:t xml:space="preserve">PIPA and, for the purposes of this discussion, are adopted from APP 6.1 under the </w:t>
      </w:r>
      <w:r w:rsidRPr="00E7516E">
        <w:rPr>
          <w:rFonts w:cs="Times New Roman"/>
          <w:i/>
        </w:rPr>
        <w:t>Privacy Act 1988</w:t>
      </w:r>
      <w:r w:rsidRPr="00E7516E">
        <w:rPr>
          <w:rFonts w:cs="Times New Roman"/>
        </w:rPr>
        <w:t xml:space="preserve"> (Cth).</w:t>
      </w:r>
    </w:p>
  </w:footnote>
  <w:footnote w:id="372">
    <w:p w14:paraId="3F528E9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2(1).</w:t>
      </w:r>
    </w:p>
  </w:footnote>
  <w:footnote w:id="373">
    <w:p w14:paraId="5D3626D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9.</w:t>
      </w:r>
    </w:p>
  </w:footnote>
  <w:footnote w:id="374">
    <w:p w14:paraId="017C6E4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12.</w:t>
      </w:r>
    </w:p>
  </w:footnote>
  <w:footnote w:id="375">
    <w:p w14:paraId="1D9F7CC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2(5) sets out when a person is responsible for another.</w:t>
      </w:r>
    </w:p>
  </w:footnote>
  <w:footnote w:id="376">
    <w:p w14:paraId="0A828FC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9.</w:t>
      </w:r>
    </w:p>
  </w:footnote>
  <w:footnote w:id="377">
    <w:p w14:paraId="4DD1733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10(1)(a).</w:t>
      </w:r>
    </w:p>
  </w:footnote>
  <w:footnote w:id="378">
    <w:p w14:paraId="773E82A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2(1)(b).</w:t>
      </w:r>
    </w:p>
  </w:footnote>
  <w:footnote w:id="379">
    <w:p w14:paraId="3427052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9(b).</w:t>
      </w:r>
    </w:p>
  </w:footnote>
  <w:footnote w:id="380">
    <w:p w14:paraId="57FD83E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2(4)(a).</w:t>
      </w:r>
    </w:p>
  </w:footnote>
  <w:footnote w:id="381">
    <w:p w14:paraId="33BA33D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6, emphasis in original. </w:t>
      </w:r>
    </w:p>
  </w:footnote>
  <w:footnote w:id="382">
    <w:p w14:paraId="0963DA2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Privacy Act 2009</w:t>
      </w:r>
      <w:r w:rsidRPr="00E7516E">
        <w:rPr>
          <w:rFonts w:cs="Times New Roman"/>
        </w:rPr>
        <w:t xml:space="preserve"> (Qld) sch 3 IPP 1. It is noted that the </w:t>
      </w:r>
      <w:r w:rsidRPr="00E7516E">
        <w:rPr>
          <w:rFonts w:cs="Times New Roman"/>
          <w:i/>
          <w:iCs/>
        </w:rPr>
        <w:t>Information Privacy and Other Legislation Amendment Act 2023</w:t>
      </w:r>
      <w:r w:rsidRPr="00E7516E">
        <w:rPr>
          <w:rFonts w:cs="Times New Roman"/>
        </w:rPr>
        <w:t xml:space="preserve"> (Qld) replaces schedule 3 (yet to commence). The new schedule 3 is based on the APP.</w:t>
      </w:r>
    </w:p>
  </w:footnote>
  <w:footnote w:id="383">
    <w:p w14:paraId="56B41D1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the definition of ‘agency’ in </w:t>
      </w:r>
      <w:r w:rsidRPr="00E7516E">
        <w:rPr>
          <w:rFonts w:cs="Times New Roman"/>
          <w:i/>
          <w:iCs/>
        </w:rPr>
        <w:t xml:space="preserve">Privacy Act 1988 </w:t>
      </w:r>
      <w:r w:rsidRPr="00E7516E">
        <w:rPr>
          <w:rFonts w:cs="Times New Roman"/>
        </w:rPr>
        <w:t>(Cth) s 6.</w:t>
      </w:r>
    </w:p>
  </w:footnote>
  <w:footnote w:id="384">
    <w:p w14:paraId="56CC29C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 (</w:t>
      </w:r>
      <w:r w:rsidRPr="00E7516E">
        <w:rPr>
          <w:rFonts w:cs="Times New Roman"/>
        </w:rPr>
        <w:t xml:space="preserve">NSW) s 8; </w:t>
      </w:r>
      <w:r w:rsidRPr="00E7516E">
        <w:rPr>
          <w:rFonts w:cs="Times New Roman"/>
          <w:i/>
          <w:iCs/>
        </w:rPr>
        <w:t xml:space="preserve">Information Privacy Act 2014 </w:t>
      </w:r>
      <w:r w:rsidRPr="00E7516E">
        <w:rPr>
          <w:rFonts w:cs="Times New Roman"/>
        </w:rPr>
        <w:t>(ACT) TPP 3.</w:t>
      </w:r>
    </w:p>
  </w:footnote>
  <w:footnote w:id="385">
    <w:p w14:paraId="716AD8B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sch 1, 1.2; </w:t>
      </w:r>
      <w:r w:rsidRPr="00E7516E">
        <w:rPr>
          <w:rFonts w:cs="Times New Roman"/>
          <w:i/>
          <w:iCs/>
        </w:rPr>
        <w:t>Information Act 2002</w:t>
      </w:r>
      <w:r w:rsidRPr="00E7516E">
        <w:rPr>
          <w:rFonts w:cs="Times New Roman"/>
        </w:rPr>
        <w:t xml:space="preserve"> (NT) </w:t>
      </w:r>
      <w:r w:rsidRPr="0074387B">
        <w:rPr>
          <w:rFonts w:cs="Times New Roman"/>
        </w:rPr>
        <w:t xml:space="preserve">sch </w:t>
      </w:r>
      <w:r w:rsidRPr="00EA22F8">
        <w:rPr>
          <w:rFonts w:cs="Times New Roman"/>
        </w:rPr>
        <w:t>2, 1.2.</w:t>
      </w:r>
    </w:p>
  </w:footnote>
  <w:footnote w:id="386">
    <w:p w14:paraId="2B09754C" w14:textId="0EF8D94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OAIC, </w:t>
      </w:r>
      <w:r w:rsidRPr="00E7516E">
        <w:rPr>
          <w:rFonts w:cs="Times New Roman"/>
          <w:i/>
        </w:rPr>
        <w:t xml:space="preserve">Australian Privacy Principles Guidelines </w:t>
      </w:r>
      <w:r w:rsidRPr="00E7516E">
        <w:rPr>
          <w:rFonts w:cs="Times New Roman"/>
        </w:rPr>
        <w:t>(Guidance Document, July 2019) ch</w:t>
      </w:r>
      <w:r w:rsidR="00B52803">
        <w:rPr>
          <w:rFonts w:cs="Times New Roman"/>
        </w:rPr>
        <w:t> </w:t>
      </w:r>
      <w:r w:rsidRPr="00E7516E">
        <w:rPr>
          <w:rFonts w:cs="Times New Roman"/>
        </w:rPr>
        <w:t xml:space="preserve">3 [3.62]. In the ACT, the information must be either reasonably necessary for, or directly related to, a function or activity of the agency: </w:t>
      </w:r>
      <w:r w:rsidRPr="00E7516E">
        <w:rPr>
          <w:rFonts w:cs="Times New Roman"/>
          <w:i/>
          <w:iCs/>
        </w:rPr>
        <w:t xml:space="preserve">Information Privacy Act 2014 </w:t>
      </w:r>
      <w:r w:rsidRPr="00E7516E">
        <w:rPr>
          <w:rFonts w:cs="Times New Roman"/>
        </w:rPr>
        <w:t>(ACT) sch 1 TPP 3.</w:t>
      </w:r>
    </w:p>
  </w:footnote>
  <w:footnote w:id="387">
    <w:p w14:paraId="24E5A5B9" w14:textId="4743874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OAIC, </w:t>
      </w:r>
      <w:r w:rsidRPr="00E7516E">
        <w:rPr>
          <w:rFonts w:cs="Times New Roman"/>
          <w:i/>
        </w:rPr>
        <w:t>Australian Privacy Principles Guidelines</w:t>
      </w:r>
      <w:r w:rsidRPr="00E7516E">
        <w:rPr>
          <w:rFonts w:cs="Times New Roman"/>
        </w:rPr>
        <w:t xml:space="preserve"> ch 3 [3.62].</w:t>
      </w:r>
    </w:p>
  </w:footnote>
  <w:footnote w:id="388">
    <w:p w14:paraId="19137E2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 xml:space="preserve">(NSW) s 8; </w:t>
      </w:r>
      <w:r w:rsidRPr="00E7516E">
        <w:rPr>
          <w:rFonts w:cs="Times New Roman"/>
          <w:i/>
          <w:iCs/>
        </w:rPr>
        <w:t xml:space="preserve">Information Privacy Act 2009 </w:t>
      </w:r>
      <w:r w:rsidRPr="00E7516E">
        <w:rPr>
          <w:rFonts w:cs="Times New Roman"/>
        </w:rPr>
        <w:t xml:space="preserve">(Qld) sch 3 IPP 1. It is noted that the </w:t>
      </w:r>
      <w:r w:rsidRPr="00E7516E">
        <w:rPr>
          <w:rFonts w:cs="Times New Roman"/>
          <w:i/>
          <w:iCs/>
        </w:rPr>
        <w:t>Information Privacy and Other Legislation Amendment Act 2023</w:t>
      </w:r>
      <w:r w:rsidRPr="00E7516E">
        <w:rPr>
          <w:rFonts w:cs="Times New Roman"/>
        </w:rPr>
        <w:t xml:space="preserve"> (Qld) replaces schedule 3 (yet to commence). The new schedule 3 is based on the APP.</w:t>
      </w:r>
    </w:p>
  </w:footnote>
  <w:footnote w:id="389">
    <w:p w14:paraId="1BDA7C4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[3.10]–[3.12]. ‘Legal instruments’ are not limited to legislation, but also extends to executive schemes or arrangements.</w:t>
      </w:r>
    </w:p>
  </w:footnote>
  <w:footnote w:id="390">
    <w:p w14:paraId="27DD68E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[3.11].</w:t>
      </w:r>
    </w:p>
  </w:footnote>
  <w:footnote w:id="391">
    <w:p w14:paraId="740F6FD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the definition in the </w:t>
      </w:r>
      <w:r w:rsidRPr="00E7516E">
        <w:rPr>
          <w:rFonts w:cs="Times New Roman"/>
          <w:i/>
          <w:iCs/>
        </w:rPr>
        <w:t>Privacy Act 1988</w:t>
      </w:r>
      <w:r w:rsidRPr="00E7516E">
        <w:rPr>
          <w:rFonts w:cs="Times New Roman"/>
        </w:rPr>
        <w:t xml:space="preserve"> (Cth) s 6C.</w:t>
      </w:r>
    </w:p>
  </w:footnote>
  <w:footnote w:id="392">
    <w:p w14:paraId="0F417A5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APP 3.2.</w:t>
      </w:r>
    </w:p>
  </w:footnote>
  <w:footnote w:id="393">
    <w:p w14:paraId="5DFF5E8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cl 5.2.</w:t>
      </w:r>
    </w:p>
  </w:footnote>
  <w:footnote w:id="394">
    <w:p w14:paraId="28D9613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Privacy and Personal Information Protection Act 1998 (</w:t>
      </w:r>
      <w:r w:rsidRPr="00E7516E">
        <w:rPr>
          <w:rFonts w:cs="Times New Roman"/>
        </w:rPr>
        <w:t xml:space="preserve">NSW) s 10; </w:t>
      </w:r>
      <w:r w:rsidRPr="00E7516E">
        <w:rPr>
          <w:rFonts w:cs="Times New Roman"/>
          <w:i/>
          <w:iCs/>
        </w:rPr>
        <w:t>Privacy and Data Protection Act 2014</w:t>
      </w:r>
      <w:r w:rsidRPr="00E7516E">
        <w:rPr>
          <w:rFonts w:cs="Times New Roman"/>
        </w:rPr>
        <w:t xml:space="preserve"> (Vic) sch 1, 1.3; </w:t>
      </w:r>
      <w:r w:rsidRPr="00E7516E">
        <w:rPr>
          <w:rFonts w:cs="Times New Roman"/>
          <w:i/>
          <w:iCs/>
        </w:rPr>
        <w:t>Information Act 2002</w:t>
      </w:r>
      <w:r w:rsidRPr="00E7516E">
        <w:rPr>
          <w:rFonts w:cs="Times New Roman"/>
        </w:rPr>
        <w:t xml:space="preserve"> (NT) sch 2 1.3; </w:t>
      </w:r>
      <w:r w:rsidRPr="00E7516E">
        <w:rPr>
          <w:rFonts w:cs="Times New Roman"/>
          <w:i/>
          <w:iCs/>
        </w:rPr>
        <w:t xml:space="preserve">Information Privacy Act 2009 </w:t>
      </w:r>
      <w:r w:rsidRPr="00E7516E">
        <w:rPr>
          <w:rFonts w:cs="Times New Roman"/>
        </w:rPr>
        <w:t xml:space="preserve">(Qld) IPP 2.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395">
    <w:p w14:paraId="36735977" w14:textId="6BD26FF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cl 5.2. The Privacy Act requirements relating to privacy policies are discussed </w:t>
      </w:r>
      <w:r w:rsidR="003D4244">
        <w:rPr>
          <w:rFonts w:cs="Times New Roman"/>
        </w:rPr>
        <w:t>in Part 7 below.</w:t>
      </w:r>
    </w:p>
  </w:footnote>
  <w:footnote w:id="396">
    <w:p w14:paraId="023C05F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This is also the approach in Victoria, the Northern Territory, and the ACT.</w:t>
      </w:r>
    </w:p>
  </w:footnote>
  <w:footnote w:id="397">
    <w:p w14:paraId="53BCD4F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cl 3.6. Personal information can be collected from someone else with consent in NSW, and the ACT.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398">
    <w:p w14:paraId="0E436047" w14:textId="77777777" w:rsidR="00FF302D" w:rsidRPr="00E7516E" w:rsidRDefault="00FF302D" w:rsidP="00E7516E">
      <w:pPr>
        <w:spacing w:after="0"/>
        <w:jc w:val="left"/>
        <w:rPr>
          <w:rFonts w:cs="Times New Roman"/>
          <w:sz w:val="20"/>
          <w:szCs w:val="20"/>
        </w:rPr>
      </w:pPr>
      <w:r w:rsidRPr="00E7516E">
        <w:rPr>
          <w:rStyle w:val="FootnoteReference"/>
          <w:rFonts w:ascii="Times New Roman" w:eastAsia="Times New Roman" w:hAnsi="Times New Roman" w:cs="Times New Roman"/>
          <w:szCs w:val="20"/>
        </w:rPr>
        <w:footnoteRef/>
      </w:r>
      <w:r w:rsidRPr="00E7516E">
        <w:rPr>
          <w:rFonts w:eastAsia="Times New Roman" w:cs="Times New Roman"/>
          <w:sz w:val="20"/>
          <w:szCs w:val="20"/>
        </w:rPr>
        <w:t xml:space="preserve"> Although see the narrower ‘permitted general exception’ relating to personal information or identifiers where ‘</w:t>
      </w:r>
      <w:r w:rsidRPr="00E7516E">
        <w:rPr>
          <w:rFonts w:eastAsia="Times New Roman" w:cs="Times New Roman"/>
          <w:color w:val="000000" w:themeColor="text1"/>
          <w:sz w:val="20"/>
          <w:szCs w:val="20"/>
        </w:rPr>
        <w:t xml:space="preserve">the entity has reason to suspect that unlawful activity, or misconduct of a serious nature, that relates to the entity’s functions or activities has been, is being or may be engaged in’ and ‘the entity reasonably believes that the collection, use or disclosure is necessary in order for the entity to take appropriate action in relation to the matter’: </w:t>
      </w:r>
      <w:r w:rsidRPr="00EA22F8">
        <w:rPr>
          <w:rFonts w:cs="Times New Roman"/>
          <w:i/>
          <w:sz w:val="20"/>
          <w:szCs w:val="20"/>
        </w:rPr>
        <w:t>Privacy Act 1988</w:t>
      </w:r>
      <w:r w:rsidRPr="00EA22F8">
        <w:rPr>
          <w:rFonts w:cs="Times New Roman"/>
          <w:sz w:val="20"/>
          <w:szCs w:val="20"/>
        </w:rPr>
        <w:t xml:space="preserve"> (Cth)</w:t>
      </w:r>
      <w:r w:rsidRPr="00EA265D">
        <w:rPr>
          <w:rFonts w:cs="Times New Roman"/>
          <w:sz w:val="20"/>
          <w:szCs w:val="20"/>
        </w:rPr>
        <w:t xml:space="preserve"> </w:t>
      </w:r>
      <w:r w:rsidRPr="00EA265D">
        <w:rPr>
          <w:rFonts w:eastAsia="Times New Roman" w:cs="Times New Roman"/>
          <w:color w:val="000000" w:themeColor="text1"/>
          <w:sz w:val="20"/>
          <w:szCs w:val="20"/>
        </w:rPr>
        <w:t>s 16</w:t>
      </w:r>
      <w:r w:rsidRPr="00E7516E">
        <w:rPr>
          <w:rFonts w:eastAsia="Times New Roman" w:cs="Times New Roman"/>
          <w:color w:val="000000" w:themeColor="text1"/>
          <w:sz w:val="20"/>
          <w:szCs w:val="20"/>
        </w:rPr>
        <w:t xml:space="preserve"> A item 2.</w:t>
      </w:r>
    </w:p>
  </w:footnote>
  <w:footnote w:id="399">
    <w:p w14:paraId="49D14C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Broadly similar provisions exist in Victoria (sch 1 cl 10), the ACT (sch 1 TPP 3); NT (sch 2 IPP 10); NSW Division 3. In Queensland, health agencies must comply with the NPP (s 31).</w:t>
      </w:r>
    </w:p>
  </w:footnote>
  <w:footnote w:id="400">
    <w:p w14:paraId="7D5E5FE9" w14:textId="1968E1A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3.4. The exception is narrower where the APP entity is the Immigration Department, which must reasonably believe the collection is reasonably necessary for, or directly related to, one or more enforcement or related activities conducted by, or on behalf of, the entity: </w:t>
      </w:r>
      <w:r w:rsidRPr="00EA22F8">
        <w:rPr>
          <w:rFonts w:cs="Times New Roman"/>
          <w:i/>
        </w:rPr>
        <w:t>Privacy Act 1988</w:t>
      </w:r>
      <w:r w:rsidRPr="00EA22F8">
        <w:rPr>
          <w:rFonts w:cs="Times New Roman"/>
        </w:rPr>
        <w:t xml:space="preserve"> (Cth)</w:t>
      </w:r>
      <w:r w:rsidRPr="00EA265D">
        <w:rPr>
          <w:rFonts w:cs="Times New Roman"/>
        </w:rPr>
        <w:t xml:space="preserve"> s</w:t>
      </w:r>
      <w:r w:rsidRPr="00E7516E">
        <w:rPr>
          <w:rFonts w:cs="Times New Roman"/>
        </w:rPr>
        <w:t xml:space="preserve"> 3.4(d).</w:t>
      </w:r>
    </w:p>
  </w:footnote>
  <w:footnote w:id="401">
    <w:p w14:paraId="289276C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ibid s 16A, sch 1 pt 2 APP 3. </w:t>
      </w:r>
    </w:p>
  </w:footnote>
  <w:footnote w:id="402">
    <w:p w14:paraId="15E30044" w14:textId="13D2FC8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the brief discussion in </w:t>
      </w:r>
      <w:r w:rsidR="00915A83">
        <w:rPr>
          <w:rFonts w:cs="Times New Roman"/>
        </w:rPr>
        <w:t xml:space="preserve">Privacy Act Review Report 2022 </w:t>
      </w:r>
      <w:r w:rsidRPr="00E7516E">
        <w:rPr>
          <w:rFonts w:cs="Times New Roman"/>
        </w:rPr>
        <w:t>302.</w:t>
      </w:r>
    </w:p>
  </w:footnote>
  <w:footnote w:id="403">
    <w:p w14:paraId="408DF9F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Privacy Act 1988</w:t>
      </w:r>
      <w:r w:rsidRPr="00E7516E">
        <w:rPr>
          <w:rFonts w:cs="Times New Roman"/>
        </w:rPr>
        <w:t xml:space="preserve"> (Cth) s 16B(1).</w:t>
      </w:r>
    </w:p>
  </w:footnote>
  <w:footnote w:id="404">
    <w:p w14:paraId="21BC04C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16B(1A).</w:t>
      </w:r>
    </w:p>
  </w:footnote>
  <w:footnote w:id="405">
    <w:p w14:paraId="450F092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s 95(4). </w:t>
      </w:r>
    </w:p>
  </w:footnote>
  <w:footnote w:id="406">
    <w:p w14:paraId="6CDFCB8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ss 16B(2), 95A.</w:t>
      </w:r>
    </w:p>
  </w:footnote>
  <w:footnote w:id="407">
    <w:p w14:paraId="608EEAA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Provisions in relation to unsolicited information also exist in the ACT (TPP 4).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408">
    <w:p w14:paraId="65CC098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4.3.</w:t>
      </w:r>
    </w:p>
  </w:footnote>
  <w:footnote w:id="409">
    <w:p w14:paraId="5F95DD6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4.4.</w:t>
      </w:r>
    </w:p>
  </w:footnote>
  <w:footnote w:id="410">
    <w:p w14:paraId="135C7B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6.1.</w:t>
      </w:r>
    </w:p>
  </w:footnote>
  <w:footnote w:id="411">
    <w:p w14:paraId="5DFDECED" w14:textId="7252364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PPI</w:t>
      </w:r>
      <w:r w:rsidR="00E24DA9">
        <w:rPr>
          <w:rFonts w:cs="Times New Roman"/>
        </w:rPr>
        <w:t>P</w:t>
      </w:r>
      <w:r w:rsidRPr="00E7516E">
        <w:rPr>
          <w:rFonts w:cs="Times New Roman"/>
        </w:rPr>
        <w:t xml:space="preserve"> Act (NSW) ss 17-19; Division 3; PDP Act (Vic) sch 1 cl 2; IP Act (Qld) sch 3  IPP 10; IP Act (ACT) sch 1 TPP 6; Information Acy 2002 (NT) IPP2.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412">
    <w:p w14:paraId="71772C3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6.1(a).</w:t>
      </w:r>
    </w:p>
  </w:footnote>
  <w:footnote w:id="413">
    <w:p w14:paraId="03E83E4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6.1(b), 6.2.</w:t>
      </w:r>
    </w:p>
  </w:footnote>
  <w:footnote w:id="414">
    <w:p w14:paraId="7FAB07C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Privacy Act 1988 </w:t>
      </w:r>
      <w:r w:rsidRPr="00E7516E">
        <w:rPr>
          <w:rFonts w:cs="Times New Roman"/>
        </w:rPr>
        <w:t xml:space="preserve">(Cth) s 16A. Commonwealth law also permits agencies to use and disclose information for diplomatic or consular functions or activities and allows the Defence Force to use and disclose information for various activities outside Australia such as war or warlike operations, peacekeeping or peace enforcement or civil aid, humanitarian assistance, medical or civil emergency, or disaster relief: ibid. </w:t>
      </w:r>
    </w:p>
  </w:footnote>
  <w:footnote w:id="415">
    <w:p w14:paraId="5F566E8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16B(5); APP 6.2(d).</w:t>
      </w:r>
    </w:p>
  </w:footnote>
  <w:footnote w:id="416">
    <w:p w14:paraId="11DA259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16B(3); APP 6.2(d).</w:t>
      </w:r>
    </w:p>
  </w:footnote>
  <w:footnote w:id="417">
    <w:p w14:paraId="78E15D82" w14:textId="246BBF4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PP</w:t>
      </w:r>
      <w:r w:rsidR="00966108">
        <w:rPr>
          <w:rFonts w:cs="Times New Roman"/>
        </w:rPr>
        <w:t>I</w:t>
      </w:r>
      <w:r w:rsidRPr="00E7516E">
        <w:rPr>
          <w:rFonts w:cs="Times New Roman"/>
        </w:rPr>
        <w:t xml:space="preserve">P Act s 27B; PDP Act (Vic) sch 1 Cl 2, 10; IP Act (Qld) IPP 11; </w:t>
      </w:r>
      <w:r w:rsidRPr="00E7516E">
        <w:rPr>
          <w:rFonts w:cs="Times New Roman"/>
          <w:i/>
          <w:iCs/>
        </w:rPr>
        <w:t>Information Act 2002</w:t>
      </w:r>
      <w:r w:rsidRPr="00E7516E">
        <w:rPr>
          <w:rFonts w:cs="Times New Roman"/>
        </w:rPr>
        <w:t xml:space="preserve"> (NT) IPP 2.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418">
    <w:p w14:paraId="78CD38E3" w14:textId="1AD6D23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6.3. As </w:t>
      </w:r>
      <w:r w:rsidRPr="00EA22F8">
        <w:rPr>
          <w:rFonts w:cs="Times New Roman"/>
        </w:rPr>
        <w:t>discussed at [</w:t>
      </w:r>
      <w:r w:rsidR="00C71437" w:rsidRPr="00EA22F8">
        <w:rPr>
          <w:rFonts w:cs="Times New Roman"/>
        </w:rPr>
        <w:fldChar w:fldCharType="begin"/>
      </w:r>
      <w:r w:rsidR="00C71437" w:rsidRPr="00EA22F8">
        <w:rPr>
          <w:rFonts w:cs="Times New Roman"/>
        </w:rPr>
        <w:instrText xml:space="preserve"> REF _Ref164777746 \r \h </w:instrText>
      </w:r>
      <w:r w:rsidR="00C71437">
        <w:rPr>
          <w:rFonts w:cs="Times New Roman"/>
        </w:rPr>
        <w:instrText xml:space="preserve"> \* MERGEFORMAT </w:instrText>
      </w:r>
      <w:r w:rsidR="00C71437" w:rsidRPr="00EA22F8">
        <w:rPr>
          <w:rFonts w:cs="Times New Roman"/>
        </w:rPr>
      </w:r>
      <w:r w:rsidR="00C71437" w:rsidRPr="00EA22F8">
        <w:rPr>
          <w:rFonts w:cs="Times New Roman"/>
        </w:rPr>
        <w:fldChar w:fldCharType="separate"/>
      </w:r>
      <w:r w:rsidR="00462C30">
        <w:rPr>
          <w:rFonts w:cs="Times New Roman"/>
          <w:cs/>
        </w:rPr>
        <w:t>‎</w:t>
      </w:r>
      <w:r w:rsidR="00462C30">
        <w:rPr>
          <w:rFonts w:cs="Times New Roman"/>
        </w:rPr>
        <w:t>4.7.14</w:t>
      </w:r>
      <w:r w:rsidR="00C71437" w:rsidRPr="00EA22F8">
        <w:rPr>
          <w:rFonts w:cs="Times New Roman"/>
        </w:rPr>
        <w:fldChar w:fldCharType="end"/>
      </w:r>
      <w:r w:rsidRPr="00C71437">
        <w:rPr>
          <w:rFonts w:cs="Times New Roman"/>
        </w:rPr>
        <w:t>],</w:t>
      </w:r>
      <w:r w:rsidRPr="00E7516E">
        <w:rPr>
          <w:rFonts w:cs="Times New Roman"/>
        </w:rPr>
        <w:t xml:space="preserve"> certain biometric information and biometric templates are defined as forms of ‘sensitive information’ in the Privacy Act.</w:t>
      </w:r>
      <w:r w:rsidR="00AC5EA3">
        <w:rPr>
          <w:rFonts w:cs="Times New Roman"/>
        </w:rPr>
        <w:t xml:space="preserve"> </w:t>
      </w:r>
    </w:p>
  </w:footnote>
  <w:footnote w:id="419">
    <w:p w14:paraId="740C559F" w14:textId="73FED5D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s 16B(4). As </w:t>
      </w:r>
      <w:r w:rsidRPr="00A01BB8">
        <w:rPr>
          <w:rFonts w:cs="Times New Roman"/>
        </w:rPr>
        <w:t xml:space="preserve">discussed at </w:t>
      </w:r>
      <w:r w:rsidRPr="00EA22F8">
        <w:rPr>
          <w:rFonts w:cs="Times New Roman"/>
        </w:rPr>
        <w:t>[</w:t>
      </w:r>
      <w:r w:rsidR="00A01BB8" w:rsidRPr="00EA22F8">
        <w:rPr>
          <w:rFonts w:cs="Times New Roman"/>
        </w:rPr>
        <w:fldChar w:fldCharType="begin"/>
      </w:r>
      <w:r w:rsidR="00A01BB8" w:rsidRPr="00EA22F8">
        <w:rPr>
          <w:rFonts w:cs="Times New Roman"/>
        </w:rPr>
        <w:instrText xml:space="preserve"> REF _Ref164777746 \r \h </w:instrText>
      </w:r>
      <w:r w:rsidR="00A01BB8">
        <w:rPr>
          <w:rFonts w:cs="Times New Roman"/>
        </w:rPr>
        <w:instrText xml:space="preserve"> \* MERGEFORMAT </w:instrText>
      </w:r>
      <w:r w:rsidR="00A01BB8" w:rsidRPr="00EA22F8">
        <w:rPr>
          <w:rFonts w:cs="Times New Roman"/>
        </w:rPr>
      </w:r>
      <w:r w:rsidR="00A01BB8" w:rsidRPr="00EA22F8">
        <w:rPr>
          <w:rFonts w:cs="Times New Roman"/>
        </w:rPr>
        <w:fldChar w:fldCharType="separate"/>
      </w:r>
      <w:r w:rsidR="00462C30">
        <w:rPr>
          <w:rFonts w:cs="Times New Roman"/>
          <w:cs/>
        </w:rPr>
        <w:t>‎</w:t>
      </w:r>
      <w:r w:rsidR="00462C30">
        <w:rPr>
          <w:rFonts w:cs="Times New Roman"/>
        </w:rPr>
        <w:t>4.7.14</w:t>
      </w:r>
      <w:r w:rsidR="00A01BB8" w:rsidRPr="00EA22F8">
        <w:rPr>
          <w:rFonts w:cs="Times New Roman"/>
        </w:rPr>
        <w:fldChar w:fldCharType="end"/>
      </w:r>
      <w:r w:rsidRPr="00A01BB8">
        <w:rPr>
          <w:rFonts w:cs="Times New Roman"/>
        </w:rPr>
        <w:t>],</w:t>
      </w:r>
      <w:r w:rsidRPr="00E7516E">
        <w:rPr>
          <w:rFonts w:cs="Times New Roman"/>
        </w:rPr>
        <w:t xml:space="preserve"> genetic information that is not otherwise health information is defined as a form of ‘sensitive information’ in the Privacy Act.</w:t>
      </w:r>
    </w:p>
  </w:footnote>
  <w:footnote w:id="420">
    <w:p w14:paraId="183DAA0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Note that s 7A of the </w:t>
      </w:r>
      <w:r w:rsidRPr="00E7516E">
        <w:rPr>
          <w:rFonts w:cs="Times New Roman"/>
          <w:i/>
        </w:rPr>
        <w:t>Privacy Act 1988</w:t>
      </w:r>
      <w:r w:rsidRPr="00E7516E">
        <w:rPr>
          <w:rFonts w:cs="Times New Roman"/>
        </w:rPr>
        <w:t xml:space="preserve"> (Cth) provides for government agencies to act as non-government organisations where they are prescribed for this purpose or they are exempted from the </w:t>
      </w:r>
      <w:r w:rsidRPr="00E7516E">
        <w:rPr>
          <w:rFonts w:cs="Times New Roman"/>
          <w:i/>
        </w:rPr>
        <w:t>Freedom of Information Act 1982</w:t>
      </w:r>
      <w:r w:rsidRPr="00E7516E">
        <w:rPr>
          <w:rFonts w:cs="Times New Roman"/>
        </w:rPr>
        <w:t xml:space="preserve"> (Cth) in relation to commercial activities. </w:t>
      </w:r>
    </w:p>
  </w:footnote>
  <w:footnote w:id="421">
    <w:p w14:paraId="10B08C5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It is noted that </w:t>
      </w:r>
      <w:r w:rsidRPr="003215A2">
        <w:rPr>
          <w:rFonts w:cs="Times New Roman"/>
        </w:rPr>
        <w:t xml:space="preserve">in </w:t>
      </w:r>
      <w:r w:rsidRPr="00EA22F8">
        <w:rPr>
          <w:rFonts w:cs="Times New Roman"/>
        </w:rPr>
        <w:t>Queensland (IP Act s 33) and the ACT (IP Act TPP 8</w:t>
      </w:r>
      <w:r w:rsidRPr="003215A2">
        <w:rPr>
          <w:rFonts w:cs="Times New Roman"/>
        </w:rPr>
        <w:t>) provide</w:t>
      </w:r>
      <w:r w:rsidRPr="00E7516E">
        <w:rPr>
          <w:rFonts w:cs="Times New Roman"/>
        </w:rPr>
        <w:t xml:space="preserve"> from the transfer of personal information outside Australia.</w:t>
      </w:r>
    </w:p>
  </w:footnote>
  <w:footnote w:id="422">
    <w:p w14:paraId="600579A4" w14:textId="56F9949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Privacy Act 1988 </w:t>
      </w:r>
      <w:r w:rsidRPr="00E7516E">
        <w:rPr>
          <w:rFonts w:cs="Times New Roman"/>
        </w:rPr>
        <w:t xml:space="preserve">(Cth) s 16C; see OAIC, </w:t>
      </w:r>
      <w:r w:rsidRPr="00E7516E">
        <w:rPr>
          <w:rFonts w:cs="Times New Roman"/>
          <w:i/>
        </w:rPr>
        <w:t xml:space="preserve">Australian Privacy Principles Guidelines </w:t>
      </w:r>
      <w:r w:rsidRPr="00E7516E">
        <w:rPr>
          <w:rFonts w:cs="Times New Roman"/>
        </w:rPr>
        <w:t>(2022) [8.2]–[8.3], [8.16]–[8.55].</w:t>
      </w:r>
    </w:p>
  </w:footnote>
  <w:footnote w:id="423">
    <w:p w14:paraId="4D1868B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8.2(f).</w:t>
      </w:r>
    </w:p>
  </w:footnote>
  <w:footnote w:id="424">
    <w:p w14:paraId="3C75E9A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8.2(b).</w:t>
      </w:r>
    </w:p>
  </w:footnote>
  <w:footnote w:id="425">
    <w:p w14:paraId="129290B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Though there is allowance for authorisation under an international agreement relating to information sharing: see </w:t>
      </w:r>
      <w:r w:rsidRPr="00FC54A7">
        <w:rPr>
          <w:rFonts w:cs="Times New Roman"/>
        </w:rPr>
        <w:t>ibid</w:t>
      </w:r>
      <w:r w:rsidRPr="00E7516E">
        <w:rPr>
          <w:rFonts w:cs="Times New Roman"/>
        </w:rPr>
        <w:t xml:space="preserve"> sch 1, APP 8(2)(e)).</w:t>
      </w:r>
    </w:p>
  </w:footnote>
  <w:footnote w:id="426">
    <w:p w14:paraId="1BC610B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where it is necessary to prevent a serious threat to health and safety, to respond to suspected unlawful activity or misconduct, to locate missing persons, or it is related to a legal claim or confidential alternative dispute resolution process: </w:t>
      </w:r>
      <w:r w:rsidRPr="00E7516E">
        <w:rPr>
          <w:rFonts w:cs="Times New Roman"/>
          <w:i/>
        </w:rPr>
        <w:t xml:space="preserve">Privacy Act 1988 </w:t>
      </w:r>
      <w:r w:rsidRPr="00E7516E">
        <w:rPr>
          <w:rFonts w:cs="Times New Roman"/>
        </w:rPr>
        <w:t>(Cth) s 16A.</w:t>
      </w:r>
    </w:p>
  </w:footnote>
  <w:footnote w:id="427">
    <w:p w14:paraId="187C600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3.6.</w:t>
      </w:r>
    </w:p>
  </w:footnote>
  <w:footnote w:id="428">
    <w:p w14:paraId="767D9A3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3.3(a).</w:t>
      </w:r>
    </w:p>
  </w:footnote>
  <w:footnote w:id="429">
    <w:p w14:paraId="4B91A1A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6.1(a).</w:t>
      </w:r>
    </w:p>
  </w:footnote>
  <w:footnote w:id="430">
    <w:p w14:paraId="2CF402C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7.3(b).</w:t>
      </w:r>
    </w:p>
  </w:footnote>
  <w:footnote w:id="431">
    <w:p w14:paraId="281C389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8.2(b).</w:t>
      </w:r>
    </w:p>
  </w:footnote>
  <w:footnote w:id="432">
    <w:p w14:paraId="5DB46CB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A22F8">
        <w:rPr>
          <w:rFonts w:cs="Times New Roman"/>
        </w:rPr>
        <w:t>PPIP Act (NSW) s 9, 17(a); PDP (Vic) IPP 2, 9, 10; IP Act (Qld) IPP 10, 11, 33 (note that, in Queensland, agreed/agreement is used rather than consent; IP Act (ACT) TPP</w:t>
      </w:r>
      <w:r w:rsidRPr="00446214">
        <w:rPr>
          <w:rFonts w:cs="Times New Roman"/>
        </w:rPr>
        <w:t xml:space="preserve"> 3, 6,</w:t>
      </w:r>
      <w:r w:rsidRPr="00E7516E">
        <w:rPr>
          <w:rFonts w:cs="Times New Roman"/>
        </w:rPr>
        <w:t xml:space="preserve"> 8; Information Act (NT) IPP 2, 79, 10.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433">
    <w:p w14:paraId="6DBCBE7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Privacy Act 1988 </w:t>
      </w:r>
      <w:r w:rsidRPr="00E7516E">
        <w:rPr>
          <w:rFonts w:cs="Times New Roman"/>
        </w:rPr>
        <w:t>(Cth) s 6(1).</w:t>
      </w:r>
    </w:p>
  </w:footnote>
  <w:footnote w:id="434">
    <w:p w14:paraId="7CE2D3D5" w14:textId="751E60F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rPr>
        <w:t xml:space="preserve">Australian Privacy Principles Guidelines </w:t>
      </w:r>
      <w:r w:rsidRPr="00E7516E">
        <w:rPr>
          <w:rFonts w:cs="Times New Roman"/>
        </w:rPr>
        <w:t>ch B, [B.48]–[B.51].</w:t>
      </w:r>
    </w:p>
  </w:footnote>
  <w:footnote w:id="435">
    <w:p w14:paraId="24E58A0B" w14:textId="070F30E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w:t>
      </w:r>
      <w:r w:rsidR="000D1595">
        <w:rPr>
          <w:rFonts w:cs="Times New Roman"/>
        </w:rPr>
        <w:t xml:space="preserve">2022 </w:t>
      </w:r>
      <w:r w:rsidRPr="00E7516E">
        <w:rPr>
          <w:rFonts w:cs="Times New Roman"/>
        </w:rPr>
        <w:t>Proposal 4.3 and 30.</w:t>
      </w:r>
    </w:p>
  </w:footnote>
  <w:footnote w:id="436">
    <w:p w14:paraId="14ED7E9F" w14:textId="5BDCC48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w:t>
      </w:r>
      <w:r w:rsidRPr="00704B86">
        <w:rPr>
          <w:rFonts w:cs="Times New Roman"/>
        </w:rPr>
        <w:t xml:space="preserve"> 5</w:t>
      </w:r>
      <w:r w:rsidR="00FC54A7">
        <w:rPr>
          <w:rFonts w:cs="Times New Roman"/>
        </w:rPr>
        <w:t>.</w:t>
      </w:r>
    </w:p>
  </w:footnote>
  <w:footnote w:id="437">
    <w:p w14:paraId="761F5D32" w14:textId="35C1082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29.</w:t>
      </w:r>
    </w:p>
  </w:footnote>
  <w:footnote w:id="438">
    <w:p w14:paraId="2C47334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30. The Privacy Act Review recommended exceptions for commercially sensitive material: see ibid 30 and ch 18.</w:t>
      </w:r>
    </w:p>
  </w:footnote>
  <w:footnote w:id="439">
    <w:p w14:paraId="4287558E" w14:textId="7E29BD8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6625D">
        <w:rPr>
          <w:rFonts w:cs="Times New Roman"/>
        </w:rPr>
        <w:t>Privacy Act Review Report 2022</w:t>
      </w:r>
      <w:r w:rsidR="00704B86">
        <w:rPr>
          <w:rFonts w:cs="Times New Roman"/>
        </w:rPr>
        <w:t xml:space="preserve"> </w:t>
      </w:r>
      <w:r w:rsidRPr="00E7516E">
        <w:rPr>
          <w:rFonts w:cs="Times New Roman"/>
        </w:rPr>
        <w:t>Proposal 10.1.</w:t>
      </w:r>
    </w:p>
  </w:footnote>
  <w:footnote w:id="440">
    <w:p w14:paraId="5CEA00DA" w14:textId="761B7A7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04B86">
        <w:rPr>
          <w:rFonts w:cs="Times New Roman"/>
        </w:rPr>
        <w:t xml:space="preserve">Ibid </w:t>
      </w:r>
      <w:r w:rsidRPr="00E7516E">
        <w:rPr>
          <w:rFonts w:cs="Times New Roman"/>
        </w:rPr>
        <w:t>Proposal 16.3 and 151.</w:t>
      </w:r>
    </w:p>
  </w:footnote>
  <w:footnote w:id="441">
    <w:p w14:paraId="182F83FD" w14:textId="1737428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04B86">
        <w:rPr>
          <w:rFonts w:cs="Times New Roman"/>
        </w:rPr>
        <w:t xml:space="preserve">Ibid </w:t>
      </w:r>
      <w:r w:rsidRPr="00E7516E">
        <w:rPr>
          <w:rFonts w:cs="Times New Roman"/>
        </w:rPr>
        <w:t>Proposals 10.2, 18.7 and 23.5.</w:t>
      </w:r>
    </w:p>
  </w:footnote>
  <w:footnote w:id="442">
    <w:p w14:paraId="71E73DC0" w14:textId="3DFF767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04B86">
        <w:rPr>
          <w:rFonts w:cs="Times New Roman"/>
        </w:rPr>
        <w:t xml:space="preserve">Ibid </w:t>
      </w:r>
      <w:r w:rsidRPr="00E7516E">
        <w:rPr>
          <w:rFonts w:cs="Times New Roman"/>
        </w:rPr>
        <w:t>Proposal 16.3 and 151.</w:t>
      </w:r>
    </w:p>
  </w:footnote>
  <w:footnote w:id="443">
    <w:p w14:paraId="4F38DB78" w14:textId="0C710CD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04B86">
        <w:rPr>
          <w:rFonts w:cs="Times New Roman"/>
        </w:rPr>
        <w:t xml:space="preserve">Ibid </w:t>
      </w:r>
      <w:r w:rsidRPr="00E7516E">
        <w:rPr>
          <w:rFonts w:cs="Times New Roman"/>
        </w:rPr>
        <w:t>Proposal 10.3.</w:t>
      </w:r>
    </w:p>
  </w:footnote>
  <w:footnote w:id="444">
    <w:p w14:paraId="53487A03" w14:textId="340EE88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6625D">
        <w:rPr>
          <w:rFonts w:cs="Times New Roman"/>
        </w:rPr>
        <w:t xml:space="preserve">Privacy Act Review Report 2022 </w:t>
      </w:r>
      <w:r w:rsidRPr="00E7516E">
        <w:rPr>
          <w:rFonts w:cs="Times New Roman"/>
        </w:rPr>
        <w:t>Proposal 13.4.</w:t>
      </w:r>
    </w:p>
  </w:footnote>
  <w:footnote w:id="445">
    <w:p w14:paraId="1E7DA2C1" w14:textId="2E0BFB1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33866">
        <w:rPr>
          <w:rFonts w:cs="Times New Roman"/>
        </w:rPr>
        <w:t>Privacy Act Review Report 2022</w:t>
      </w:r>
      <w:r w:rsidRPr="00E7516E">
        <w:rPr>
          <w:rFonts w:cs="Times New Roman"/>
        </w:rPr>
        <w:t xml:space="preserve"> 130.</w:t>
      </w:r>
    </w:p>
  </w:footnote>
  <w:footnote w:id="446">
    <w:p w14:paraId="54D97B89" w14:textId="77777777"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Government Response</w:t>
      </w:r>
      <w:r w:rsidRPr="00E7516E">
        <w:rPr>
          <w:rFonts w:cs="Times New Roman"/>
        </w:rPr>
        <w:t xml:space="preserve"> 10, 14, 16–18.</w:t>
      </w:r>
    </w:p>
  </w:footnote>
  <w:footnote w:id="447">
    <w:p w14:paraId="3665242A" w14:textId="550A6CE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14.1.</w:t>
      </w:r>
    </w:p>
  </w:footnote>
  <w:footnote w:id="448">
    <w:p w14:paraId="61294097" w14:textId="3FBED99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A0D5C">
        <w:rPr>
          <w:rFonts w:cs="Times New Roman"/>
        </w:rPr>
        <w:t>Ibid</w:t>
      </w:r>
      <w:r w:rsidRPr="00E7516E">
        <w:rPr>
          <w:rFonts w:cs="Times New Roman"/>
        </w:rPr>
        <w:t xml:space="preserve"> 138.</w:t>
      </w:r>
    </w:p>
  </w:footnote>
  <w:footnote w:id="449">
    <w:p w14:paraId="069FB8D3" w14:textId="11741C8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A0D5C">
        <w:rPr>
          <w:rFonts w:cs="Times New Roman"/>
        </w:rPr>
        <w:t>Ibid</w:t>
      </w:r>
      <w:r w:rsidRPr="00E7516E">
        <w:rPr>
          <w:rFonts w:cs="Times New Roman"/>
        </w:rPr>
        <w:t xml:space="preserve"> Proposal 14.3 and 138–139.</w:t>
      </w:r>
    </w:p>
  </w:footnote>
  <w:footnote w:id="450">
    <w:p w14:paraId="38823392" w14:textId="4EB3150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A0D5C">
        <w:rPr>
          <w:rFonts w:cs="Times New Roman"/>
        </w:rPr>
        <w:t xml:space="preserve">Ibid </w:t>
      </w:r>
      <w:r w:rsidRPr="00E7516E">
        <w:rPr>
          <w:rFonts w:cs="Times New Roman"/>
        </w:rPr>
        <w:t>Proposals 14.2, 14.3.</w:t>
      </w:r>
    </w:p>
  </w:footnote>
  <w:footnote w:id="451">
    <w:p w14:paraId="7601355D" w14:textId="2E77622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A0D5C">
        <w:rPr>
          <w:rFonts w:cs="Times New Roman"/>
        </w:rPr>
        <w:t>Ibid</w:t>
      </w:r>
      <w:r w:rsidRPr="00E7516E">
        <w:rPr>
          <w:rFonts w:cs="Times New Roman"/>
        </w:rPr>
        <w:t xml:space="preserve"> 138.</w:t>
      </w:r>
    </w:p>
  </w:footnote>
  <w:footnote w:id="452">
    <w:p w14:paraId="27691C02" w14:textId="77777777" w:rsidR="00FF302D" w:rsidRPr="00E7516E" w:rsidRDefault="00FF302D" w:rsidP="00E7516E">
      <w:pPr>
        <w:pStyle w:val="FootnoteText"/>
        <w:jc w:val="left"/>
        <w:rPr>
          <w:rFonts w:cs="Times New Roman"/>
        </w:rPr>
      </w:pPr>
      <w:r w:rsidRPr="006A0D5C">
        <w:rPr>
          <w:rStyle w:val="FootnoteReference"/>
          <w:rFonts w:ascii="Times New Roman" w:hAnsi="Times New Roman" w:cs="Times New Roman"/>
        </w:rPr>
        <w:footnoteRef/>
      </w:r>
      <w:r w:rsidRPr="006A0D5C">
        <w:rPr>
          <w:rFonts w:cs="Times New Roman"/>
        </w:rPr>
        <w:t xml:space="preserve"> </w:t>
      </w:r>
      <w:r w:rsidRPr="00EA22F8">
        <w:rPr>
          <w:rFonts w:cs="Times New Roman"/>
        </w:rPr>
        <w:t>Government Response</w:t>
      </w:r>
      <w:r w:rsidRPr="006A0D5C">
        <w:rPr>
          <w:rFonts w:cs="Times New Roman"/>
        </w:rPr>
        <w:t xml:space="preserve"> 17</w:t>
      </w:r>
      <w:r w:rsidRPr="00E7516E">
        <w:rPr>
          <w:rFonts w:cs="Times New Roman"/>
        </w:rPr>
        <w:t>.</w:t>
      </w:r>
    </w:p>
  </w:footnote>
  <w:footnote w:id="453">
    <w:p w14:paraId="06644FDF" w14:textId="34FD365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15.1 and 143. </w:t>
      </w:r>
    </w:p>
  </w:footnote>
  <w:footnote w:id="454">
    <w:p w14:paraId="5158DB01" w14:textId="33A24D3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33866" w:rsidRPr="00E7516E">
        <w:rPr>
          <w:rFonts w:cs="Times New Roman"/>
        </w:rPr>
        <w:t>Privacy Act Review Report 2022 Proposal 15.1 and 143</w:t>
      </w:r>
      <w:r w:rsidR="00E33866">
        <w:rPr>
          <w:rFonts w:cs="Times New Roman"/>
        </w:rPr>
        <w:t>.</w:t>
      </w:r>
    </w:p>
  </w:footnote>
  <w:footnote w:id="455">
    <w:p w14:paraId="58D689A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456">
    <w:p w14:paraId="396BD922" w14:textId="77777777"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Government Response</w:t>
      </w:r>
      <w:r w:rsidRPr="002D0004">
        <w:rPr>
          <w:rFonts w:cs="Times New Roman"/>
        </w:rPr>
        <w:t xml:space="preserve"> 10</w:t>
      </w:r>
      <w:r w:rsidRPr="00E7516E">
        <w:rPr>
          <w:rFonts w:cs="Times New Roman"/>
        </w:rPr>
        <w:t>.</w:t>
      </w:r>
    </w:p>
  </w:footnote>
  <w:footnote w:id="457">
    <w:p w14:paraId="7975C4CA" w14:textId="33D32A0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3605F6">
        <w:rPr>
          <w:rFonts w:cs="Times New Roman"/>
        </w:rPr>
        <w:t xml:space="preserve"> </w:t>
      </w:r>
      <w:r w:rsidRPr="00E7516E">
        <w:rPr>
          <w:rFonts w:cs="Times New Roman"/>
        </w:rPr>
        <w:t>Report 2022 Proposal 23.6.</w:t>
      </w:r>
    </w:p>
  </w:footnote>
  <w:footnote w:id="458">
    <w:p w14:paraId="360B789D" w14:textId="364BA49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B18C9">
        <w:rPr>
          <w:rFonts w:cs="Times New Roman"/>
        </w:rPr>
        <w:t xml:space="preserve">Privacy Act Review Report 2022 </w:t>
      </w:r>
      <w:r w:rsidRPr="00E7516E">
        <w:rPr>
          <w:rFonts w:cs="Times New Roman"/>
        </w:rPr>
        <w:t>237.</w:t>
      </w:r>
    </w:p>
  </w:footnote>
  <w:footnote w:id="459">
    <w:p w14:paraId="711EE2FE" w14:textId="026108B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D0004">
        <w:rPr>
          <w:rFonts w:cs="Times New Roman"/>
        </w:rPr>
        <w:t>Ibid</w:t>
      </w:r>
      <w:r w:rsidRPr="00E7516E">
        <w:rPr>
          <w:rFonts w:cs="Times New Roman"/>
        </w:rPr>
        <w:t xml:space="preserve"> Proposal 23.2 and 238. </w:t>
      </w:r>
    </w:p>
  </w:footnote>
  <w:footnote w:id="460">
    <w:p w14:paraId="48F720C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16.</w:t>
      </w:r>
    </w:p>
  </w:footnote>
  <w:footnote w:id="461">
    <w:p w14:paraId="4BB28CD3" w14:textId="5F9742E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23.3 and 239.</w:t>
      </w:r>
    </w:p>
  </w:footnote>
  <w:footnote w:id="462">
    <w:p w14:paraId="1BD15C8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16.</w:t>
      </w:r>
    </w:p>
  </w:footnote>
  <w:footnote w:id="463">
    <w:p w14:paraId="49D6C99B" w14:textId="48EE27C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23.4 and 239–240.</w:t>
      </w:r>
    </w:p>
  </w:footnote>
  <w:footnote w:id="464">
    <w:p w14:paraId="50012C1B" w14:textId="7EBE2DF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33866" w:rsidRPr="00E7516E">
        <w:rPr>
          <w:rFonts w:cs="Times New Roman"/>
        </w:rPr>
        <w:t>Privacy Act Review Report 2022 Proposal 23.4 and 239–240.</w:t>
      </w:r>
    </w:p>
  </w:footnote>
  <w:footnote w:id="465">
    <w:p w14:paraId="5805D7C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16.</w:t>
      </w:r>
    </w:p>
  </w:footnote>
  <w:footnote w:id="466">
    <w:p w14:paraId="7333000B" w14:textId="7379E7C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23.6.</w:t>
      </w:r>
    </w:p>
  </w:footnote>
  <w:footnote w:id="467">
    <w:p w14:paraId="0695ACA5" w14:textId="39E15AE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B18C9">
        <w:rPr>
          <w:rFonts w:cs="Times New Roman"/>
        </w:rPr>
        <w:t>Privacy Act Review Report 2022</w:t>
      </w:r>
      <w:r w:rsidRPr="00E7516E">
        <w:rPr>
          <w:rFonts w:cs="Times New Roman"/>
        </w:rPr>
        <w:t xml:space="preserve"> 243 and citing OAIC, </w:t>
      </w:r>
      <w:r w:rsidRPr="00EA22F8">
        <w:rPr>
          <w:rFonts w:cs="Times New Roman"/>
          <w:i/>
          <w:iCs/>
        </w:rPr>
        <w:t>APP Guidelines</w:t>
      </w:r>
      <w:r w:rsidRPr="00E7516E">
        <w:rPr>
          <w:rFonts w:cs="Times New Roman"/>
        </w:rPr>
        <w:t xml:space="preserve"> [B.67], [B.71].</w:t>
      </w:r>
    </w:p>
  </w:footnote>
  <w:footnote w:id="468">
    <w:p w14:paraId="370CF927" w14:textId="6DD2C8C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54A73">
        <w:rPr>
          <w:rFonts w:cs="Times New Roman"/>
        </w:rPr>
        <w:t>Ibid</w:t>
      </w:r>
      <w:r w:rsidRPr="00E7516E">
        <w:rPr>
          <w:rFonts w:cs="Times New Roman"/>
        </w:rPr>
        <w:t>. The Review also proposed that further consideration be given to whether online publications of personal information should be excluded from the APP 8 cross-border disclosure requirements were it is in the public interest: Proposal 23.6.</w:t>
      </w:r>
    </w:p>
  </w:footnote>
  <w:footnote w:id="469">
    <w:p w14:paraId="07BF246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15.</w:t>
      </w:r>
    </w:p>
  </w:footnote>
  <w:footnote w:id="470">
    <w:p w14:paraId="4AE3ADED" w14:textId="67F4904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w:t>
      </w:r>
      <w:r w:rsidR="003605F6">
        <w:rPr>
          <w:rFonts w:cs="Times New Roman"/>
        </w:rPr>
        <w:t xml:space="preserve">Review </w:t>
      </w:r>
      <w:r w:rsidRPr="00E7516E">
        <w:rPr>
          <w:rFonts w:cs="Times New Roman"/>
        </w:rPr>
        <w:t>Report 2022 Proposal 4.6(b).</w:t>
      </w:r>
    </w:p>
  </w:footnote>
  <w:footnote w:id="471">
    <w:p w14:paraId="1B942D4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5.</w:t>
      </w:r>
    </w:p>
  </w:footnote>
  <w:footnote w:id="472">
    <w:p w14:paraId="1E99978B" w14:textId="2C50BAA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166.</w:t>
      </w:r>
    </w:p>
  </w:footnote>
  <w:footnote w:id="473">
    <w:p w14:paraId="0557836B" w14:textId="6C516F2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902E8">
        <w:rPr>
          <w:rFonts w:cs="Times New Roman"/>
        </w:rPr>
        <w:t xml:space="preserve">Ibid </w:t>
      </w:r>
      <w:r w:rsidRPr="00E7516E">
        <w:rPr>
          <w:rFonts w:cs="Times New Roman"/>
        </w:rPr>
        <w:t>Proposal 12.1. This amendment would necessitate the removal of the reference to ‘fair means’ of collection in APP 3</w:t>
      </w:r>
      <w:r w:rsidRPr="00141952">
        <w:rPr>
          <w:rFonts w:cs="Times New Roman"/>
        </w:rPr>
        <w:t xml:space="preserve">: </w:t>
      </w:r>
      <w:r w:rsidRPr="00EA22F8">
        <w:rPr>
          <w:rFonts w:cs="Times New Roman"/>
        </w:rPr>
        <w:t>Proposal</w:t>
      </w:r>
      <w:r w:rsidRPr="00E7516E">
        <w:rPr>
          <w:rFonts w:cs="Times New Roman"/>
        </w:rPr>
        <w:t xml:space="preserve"> 12.3.</w:t>
      </w:r>
    </w:p>
  </w:footnote>
  <w:footnote w:id="474">
    <w:p w14:paraId="09596422" w14:textId="5066791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902E8">
        <w:rPr>
          <w:rFonts w:cs="Times New Roman"/>
        </w:rPr>
        <w:t xml:space="preserve">Ibid </w:t>
      </w:r>
      <w:r w:rsidRPr="00E7516E">
        <w:rPr>
          <w:rFonts w:cs="Times New Roman"/>
        </w:rPr>
        <w:t>3.</w:t>
      </w:r>
    </w:p>
  </w:footnote>
  <w:footnote w:id="475">
    <w:p w14:paraId="45633209" w14:textId="18ADF40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902E8">
        <w:rPr>
          <w:rFonts w:cs="Times New Roman"/>
        </w:rPr>
        <w:t>Ibid</w:t>
      </w:r>
      <w:r w:rsidRPr="00E7516E">
        <w:rPr>
          <w:rFonts w:cs="Times New Roman"/>
        </w:rPr>
        <w:t xml:space="preserve"> 111–112.</w:t>
      </w:r>
    </w:p>
  </w:footnote>
  <w:footnote w:id="476">
    <w:p w14:paraId="09835A44" w14:textId="15A5C73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B18C9">
        <w:rPr>
          <w:rFonts w:cs="Times New Roman"/>
        </w:rPr>
        <w:t>Privacy Act Review Report 2022</w:t>
      </w:r>
      <w:r w:rsidRPr="00E7516E">
        <w:rPr>
          <w:rFonts w:cs="Times New Roman"/>
        </w:rPr>
        <w:t xml:space="preserve"> Proposals 12.2 and 16.4, and 120, 152.</w:t>
      </w:r>
    </w:p>
  </w:footnote>
  <w:footnote w:id="477">
    <w:p w14:paraId="0F2A91C3" w14:textId="76752F8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902E8">
        <w:rPr>
          <w:rFonts w:cs="Times New Roman"/>
        </w:rPr>
        <w:t xml:space="preserve">Ibid </w:t>
      </w:r>
      <w:r w:rsidRPr="00E7516E">
        <w:rPr>
          <w:rFonts w:cs="Times New Roman"/>
        </w:rPr>
        <w:t>Proposal 12.3.</w:t>
      </w:r>
    </w:p>
  </w:footnote>
  <w:footnote w:id="478">
    <w:p w14:paraId="6F269C03" w14:textId="36FC0B4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3.4, 6.2(b)-(e). Privacy Act Review Report 2022 Proposal 12.3 and 121.</w:t>
      </w:r>
    </w:p>
  </w:footnote>
  <w:footnote w:id="479">
    <w:p w14:paraId="373C057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8, 13.</w:t>
      </w:r>
    </w:p>
  </w:footnote>
  <w:footnote w:id="480">
    <w:p w14:paraId="14A99EB0" w14:textId="2129EF3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102.</w:t>
      </w:r>
    </w:p>
  </w:footnote>
  <w:footnote w:id="481">
    <w:p w14:paraId="4A398939" w14:textId="4ADBE8E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C5C3F">
        <w:rPr>
          <w:rFonts w:cs="Times New Roman"/>
        </w:rPr>
        <w:t xml:space="preserve">ACCC, </w:t>
      </w:r>
      <w:r w:rsidRPr="00EA22F8">
        <w:rPr>
          <w:rFonts w:cs="Times New Roman"/>
          <w:i/>
          <w:iCs/>
        </w:rPr>
        <w:t>DPI Report</w:t>
      </w:r>
      <w:r w:rsidRPr="00E7516E">
        <w:rPr>
          <w:rFonts w:cs="Times New Roman"/>
        </w:rPr>
        <w:t xml:space="preserve"> </w:t>
      </w:r>
      <w:r w:rsidRPr="00EA22F8">
        <w:rPr>
          <w:rFonts w:cs="Times New Roman"/>
        </w:rPr>
        <w:t>Recommendation 16(c</w:t>
      </w:r>
      <w:r w:rsidRPr="003215A2">
        <w:rPr>
          <w:rFonts w:cs="Times New Roman"/>
        </w:rPr>
        <w:t>),</w:t>
      </w:r>
      <w:r w:rsidR="00F11CD2" w:rsidRPr="003215A2">
        <w:rPr>
          <w:rFonts w:cs="Times New Roman"/>
        </w:rPr>
        <w:t xml:space="preserve"> </w:t>
      </w:r>
      <w:r w:rsidRPr="003215A2">
        <w:rPr>
          <w:rFonts w:cs="Times New Roman"/>
        </w:rPr>
        <w:t>464</w:t>
      </w:r>
      <w:r w:rsidRPr="00E7516E">
        <w:rPr>
          <w:rFonts w:cs="Times New Roman"/>
        </w:rPr>
        <w:t>; Privacy Act Review Report 2022 102.</w:t>
      </w:r>
    </w:p>
  </w:footnote>
  <w:footnote w:id="482">
    <w:p w14:paraId="1C522DE5" w14:textId="7183C75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102 and citing numerous submissions to its Issues Paper.</w:t>
      </w:r>
    </w:p>
  </w:footnote>
  <w:footnote w:id="483">
    <w:p w14:paraId="17B76A08" w14:textId="2E249E7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B18C9">
        <w:rPr>
          <w:rFonts w:cs="Times New Roman"/>
        </w:rPr>
        <w:t>Privacy Act Review Report 2022</w:t>
      </w:r>
      <w:r w:rsidRPr="00E7516E">
        <w:rPr>
          <w:rFonts w:cs="Times New Roman"/>
        </w:rPr>
        <w:t>.</w:t>
      </w:r>
    </w:p>
  </w:footnote>
  <w:footnote w:id="484">
    <w:p w14:paraId="726B8574" w14:textId="2B26B3B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11CD2">
        <w:rPr>
          <w:rFonts w:cs="Times New Roman"/>
        </w:rPr>
        <w:t>Ibid</w:t>
      </w:r>
      <w:r w:rsidRPr="00E7516E">
        <w:rPr>
          <w:rFonts w:cs="Times New Roman"/>
        </w:rPr>
        <w:t xml:space="preserve"> 11.1 and 104.</w:t>
      </w:r>
    </w:p>
  </w:footnote>
  <w:footnote w:id="485">
    <w:p w14:paraId="21EB9719" w14:textId="06C98E3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11CD2">
        <w:rPr>
          <w:rFonts w:cs="Times New Roman"/>
        </w:rPr>
        <w:t>Ibid</w:t>
      </w:r>
      <w:r w:rsidRPr="00E7516E">
        <w:rPr>
          <w:rFonts w:cs="Times New Roman"/>
        </w:rPr>
        <w:t xml:space="preserve"> Proposal 16.2 and 163–164.</w:t>
      </w:r>
    </w:p>
  </w:footnote>
  <w:footnote w:id="486">
    <w:p w14:paraId="6610598B" w14:textId="7D61647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11CD2">
        <w:rPr>
          <w:rFonts w:cs="Times New Roman"/>
        </w:rPr>
        <w:t xml:space="preserve">Ibid </w:t>
      </w:r>
      <w:r w:rsidRPr="00E7516E">
        <w:rPr>
          <w:rFonts w:cs="Times New Roman"/>
        </w:rPr>
        <w:t>162.</w:t>
      </w:r>
    </w:p>
  </w:footnote>
  <w:footnote w:id="487">
    <w:p w14:paraId="1C4823EE" w14:textId="1C58019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007A1929">
        <w:rPr>
          <w:rFonts w:cs="Times New Roman"/>
        </w:rPr>
        <w:t>162</w:t>
      </w:r>
      <w:r w:rsidRPr="00E7516E">
        <w:rPr>
          <w:rFonts w:cs="Times New Roman"/>
        </w:rPr>
        <w:t>.</w:t>
      </w:r>
    </w:p>
  </w:footnote>
  <w:footnote w:id="488">
    <w:p w14:paraId="169733A9" w14:textId="77411DD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A1929">
        <w:rPr>
          <w:rFonts w:cs="Times New Roman"/>
        </w:rPr>
        <w:t xml:space="preserve">Ibid </w:t>
      </w:r>
      <w:r w:rsidRPr="00E7516E">
        <w:rPr>
          <w:rFonts w:cs="Times New Roman"/>
        </w:rPr>
        <w:t>Proposal 17.2 and 164.</w:t>
      </w:r>
    </w:p>
  </w:footnote>
  <w:footnote w:id="489">
    <w:p w14:paraId="41A597D6" w14:textId="476C4AF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14. Note </w:t>
      </w:r>
      <w:r w:rsidRPr="00E73B3C">
        <w:rPr>
          <w:rFonts w:cs="Times New Roman"/>
        </w:rPr>
        <w:t xml:space="preserve">that </w:t>
      </w:r>
      <w:r w:rsidRPr="00EA22F8">
        <w:rPr>
          <w:rFonts w:cs="Times New Roman"/>
        </w:rPr>
        <w:t>Part 9</w:t>
      </w:r>
      <w:r w:rsidRPr="00E7516E">
        <w:rPr>
          <w:rFonts w:cs="Times New Roman"/>
        </w:rPr>
        <w:t xml:space="preserve"> of this Report discusses other contexts relating to safety in which information sharing has been identified as important.</w:t>
      </w:r>
    </w:p>
  </w:footnote>
  <w:footnote w:id="490">
    <w:p w14:paraId="08BEC47D" w14:textId="14A3D53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11.3 and 106–107.</w:t>
      </w:r>
    </w:p>
  </w:footnote>
  <w:footnote w:id="491">
    <w:p w14:paraId="1984976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17.</w:t>
      </w:r>
    </w:p>
  </w:footnote>
  <w:footnote w:id="492">
    <w:p w14:paraId="0EB1E3ED" w14:textId="6C37E84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B73E7">
        <w:rPr>
          <w:rFonts w:cs="Times New Roman"/>
        </w:rPr>
        <w:t>Ibid</w:t>
      </w:r>
      <w:r w:rsidRPr="00E7516E">
        <w:rPr>
          <w:rFonts w:cs="Times New Roman"/>
        </w:rPr>
        <w:t xml:space="preserve"> 8, 17.</w:t>
      </w:r>
    </w:p>
  </w:footnote>
  <w:footnote w:id="493">
    <w:p w14:paraId="5981BED5" w14:textId="798AF13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11.2 and 106.</w:t>
      </w:r>
    </w:p>
  </w:footnote>
  <w:footnote w:id="494">
    <w:p w14:paraId="6182D302" w14:textId="6254952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B73E7">
        <w:rPr>
          <w:rFonts w:cs="Times New Roman"/>
        </w:rPr>
        <w:t>Ibid</w:t>
      </w:r>
      <w:r w:rsidRPr="00E7516E">
        <w:rPr>
          <w:rFonts w:cs="Times New Roman"/>
        </w:rPr>
        <w:t xml:space="preserve"> Proposal 11.4 and 109. The Review proposed that ‘[o]nline privacy settings should reflect the privacy by default framework in the Act’, which the OAIC described as an approach ‘that requires entities to ensure that, by default, personal information is handled with the highest privacy protections’: OAIC, </w:t>
      </w:r>
      <w:r w:rsidRPr="00E7516E">
        <w:rPr>
          <w:rFonts w:cs="Times New Roman"/>
          <w:i/>
          <w:iCs/>
        </w:rPr>
        <w:t xml:space="preserve">Privacy Act Review: Issues Paper Submission </w:t>
      </w:r>
      <w:r w:rsidRPr="00E7516E">
        <w:rPr>
          <w:rFonts w:cs="Times New Roman"/>
        </w:rPr>
        <w:t xml:space="preserve">(11 December 2020) [7.14] &lt;https://www.oaic.gov.au/__data/assets/pdf_file/0018/1773/privacy-act-review-issues-paper-submission.pdf&gt; and citing European Commission, </w:t>
      </w:r>
      <w:r w:rsidRPr="00E7516E">
        <w:rPr>
          <w:rFonts w:cs="Times New Roman"/>
          <w:i/>
          <w:iCs/>
        </w:rPr>
        <w:t xml:space="preserve">What Does Data Protection ‘By Design’ and ‘By Default’ Mean? </w:t>
      </w:r>
      <w:r w:rsidRPr="00E7516E">
        <w:rPr>
          <w:rFonts w:cs="Times New Roman"/>
        </w:rPr>
        <w:t>(Web Page, 2023) &lt;</w:t>
      </w:r>
      <w:hyperlink r:id="rId15" w:history="1">
        <w:r w:rsidRPr="00E7516E">
          <w:rPr>
            <w:rStyle w:val="Hyperlink"/>
            <w:rFonts w:cs="Times New Roman"/>
          </w:rPr>
          <w:t>https://commission.europa.eu/law/law-topic/data-protection/reform/rules-business-and-organisations/obligations/what-does-data-protection-design-and-default-mean</w:t>
        </w:r>
        <w:r w:rsidRPr="00833410">
          <w:rPr>
            <w:rStyle w:val="Hyperlink"/>
            <w:rFonts w:cs="Times New Roman"/>
            <w:u w:val="single"/>
          </w:rPr>
          <w:t>_</w:t>
        </w:r>
        <w:r w:rsidRPr="00E7516E">
          <w:rPr>
            <w:rStyle w:val="Hyperlink"/>
            <w:rFonts w:cs="Times New Roman"/>
          </w:rPr>
          <w:t>en</w:t>
        </w:r>
      </w:hyperlink>
      <w:r w:rsidRPr="00E7516E">
        <w:rPr>
          <w:rFonts w:cs="Times New Roman"/>
        </w:rPr>
        <w:t>&gt;.</w:t>
      </w:r>
    </w:p>
  </w:footnote>
  <w:footnote w:id="495">
    <w:p w14:paraId="72E5E790" w14:textId="61EB192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146.</w:t>
      </w:r>
    </w:p>
  </w:footnote>
  <w:footnote w:id="496">
    <w:p w14:paraId="78F1787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497">
    <w:p w14:paraId="62A788DB" w14:textId="48E6A43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B18C9">
        <w:rPr>
          <w:rFonts w:cs="Times New Roman"/>
        </w:rPr>
        <w:t>Privacy Act Review Report 2022</w:t>
      </w:r>
      <w:r w:rsidR="00163198">
        <w:rPr>
          <w:rFonts w:cs="Times New Roman"/>
        </w:rPr>
        <w:t xml:space="preserve"> 146</w:t>
      </w:r>
      <w:r w:rsidRPr="00E7516E">
        <w:rPr>
          <w:rFonts w:cs="Times New Roman"/>
        </w:rPr>
        <w:t>.</w:t>
      </w:r>
    </w:p>
  </w:footnote>
  <w:footnote w:id="498">
    <w:p w14:paraId="503A1DBD" w14:textId="73162B1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83136">
        <w:rPr>
          <w:rFonts w:cs="Times New Roman"/>
        </w:rPr>
        <w:t>Privacy Act Review Report 2022</w:t>
      </w:r>
      <w:r w:rsidRPr="00E7516E">
        <w:rPr>
          <w:rFonts w:cs="Times New Roman"/>
        </w:rPr>
        <w:t xml:space="preserve"> Proposal 16.2.</w:t>
      </w:r>
    </w:p>
  </w:footnote>
  <w:footnote w:id="499">
    <w:p w14:paraId="6093AFE1" w14:textId="5943D2B6" w:rsidR="00FF302D" w:rsidRPr="00EA22F8" w:rsidRDefault="00FF302D" w:rsidP="00EA22F8">
      <w:pPr>
        <w:pStyle w:val="Heading3"/>
        <w:spacing w:before="0" w:after="0"/>
        <w:jc w:val="left"/>
        <w:rPr>
          <w:rFonts w:ascii="Times New Roman" w:hAnsi="Times New Roman" w:cs="Times New Roman"/>
          <w:color w:val="auto"/>
          <w:sz w:val="20"/>
          <w:szCs w:val="20"/>
        </w:rPr>
      </w:pPr>
      <w:r w:rsidRPr="00C76C6D">
        <w:rPr>
          <w:rStyle w:val="FootnoteReference"/>
          <w:rFonts w:ascii="Times New Roman" w:hAnsi="Times New Roman" w:cs="Times New Roman"/>
          <w:color w:val="auto"/>
        </w:rPr>
        <w:footnoteRef/>
      </w:r>
      <w:r w:rsidRPr="00EA22F8">
        <w:rPr>
          <w:rFonts w:ascii="Times New Roman" w:hAnsi="Times New Roman" w:cs="Times New Roman"/>
          <w:color w:val="auto"/>
          <w:sz w:val="20"/>
          <w:szCs w:val="20"/>
        </w:rPr>
        <w:t xml:space="preserve"> The Review considered, and sought submissions on, several options for a more appropriate consent mechanism for the handling of children’s information, including the ACCC’s recommendation in the DPI Report that all handling of personal information of children under 16 should only be permitted with the consent of a guardian or a narrower requirement for a guardian’s consent to handling a child’s information where consent is currently required in the Privacy Act: ACCC, </w:t>
      </w:r>
      <w:r w:rsidR="00C76C6D">
        <w:rPr>
          <w:rFonts w:ascii="Times New Roman" w:hAnsi="Times New Roman" w:cs="Times New Roman"/>
          <w:i/>
          <w:iCs/>
          <w:color w:val="auto"/>
          <w:sz w:val="20"/>
          <w:szCs w:val="20"/>
        </w:rPr>
        <w:t>DPI Report</w:t>
      </w:r>
      <w:r w:rsidRPr="00EA22F8">
        <w:rPr>
          <w:rFonts w:ascii="Times New Roman" w:hAnsi="Times New Roman" w:cs="Times New Roman"/>
          <w:color w:val="auto"/>
          <w:sz w:val="20"/>
          <w:szCs w:val="20"/>
        </w:rPr>
        <w:t xml:space="preserve"> 468, drawing on art 8 of the GDPR and also the United States’ </w:t>
      </w:r>
      <w:r w:rsidRPr="00EA22F8">
        <w:rPr>
          <w:rFonts w:ascii="Times New Roman" w:hAnsi="Times New Roman" w:cs="Times New Roman"/>
          <w:i/>
          <w:iCs/>
          <w:color w:val="auto"/>
          <w:sz w:val="20"/>
          <w:szCs w:val="20"/>
        </w:rPr>
        <w:t>Children’s Online Privacy Protection Act 1998</w:t>
      </w:r>
      <w:r w:rsidRPr="00EA22F8">
        <w:rPr>
          <w:rFonts w:ascii="Times New Roman" w:hAnsi="Times New Roman" w:cs="Times New Roman"/>
          <w:color w:val="auto"/>
          <w:sz w:val="20"/>
          <w:szCs w:val="20"/>
        </w:rPr>
        <w:t>: 15 USC §§ 6501–6506 (1998); Privacy Act Review</w:t>
      </w:r>
      <w:r w:rsidR="002A59D7">
        <w:rPr>
          <w:rFonts w:ascii="Times New Roman" w:hAnsi="Times New Roman" w:cs="Times New Roman"/>
          <w:color w:val="auto"/>
          <w:sz w:val="20"/>
          <w:szCs w:val="20"/>
        </w:rPr>
        <w:t xml:space="preserve"> </w:t>
      </w:r>
      <w:r w:rsidRPr="00EA22F8">
        <w:rPr>
          <w:rFonts w:ascii="Times New Roman" w:hAnsi="Times New Roman" w:cs="Times New Roman"/>
          <w:color w:val="auto"/>
          <w:sz w:val="20"/>
          <w:szCs w:val="20"/>
        </w:rPr>
        <w:t>Report 2022 147.</w:t>
      </w:r>
    </w:p>
  </w:footnote>
  <w:footnote w:id="500">
    <w:p w14:paraId="1CCF2AE0" w14:textId="431BD40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76C6D">
        <w:rPr>
          <w:rFonts w:cs="Times New Roman"/>
        </w:rPr>
        <w:t xml:space="preserve">Ibid </w:t>
      </w:r>
      <w:r w:rsidRPr="00E7516E">
        <w:rPr>
          <w:rFonts w:cs="Times New Roman"/>
        </w:rPr>
        <w:t>Proposal 16.2.</w:t>
      </w:r>
    </w:p>
  </w:footnote>
  <w:footnote w:id="501">
    <w:p w14:paraId="52AC8893" w14:textId="1DA15A9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76C6D">
        <w:rPr>
          <w:rFonts w:cs="Times New Roman"/>
        </w:rPr>
        <w:t>Ibid</w:t>
      </w:r>
      <w:r w:rsidRPr="00E7516E">
        <w:rPr>
          <w:rFonts w:cs="Times New Roman"/>
        </w:rPr>
        <w:t xml:space="preserve"> Proposal 16.2 and 149.</w:t>
      </w:r>
    </w:p>
  </w:footnote>
  <w:footnote w:id="502">
    <w:p w14:paraId="400047E5" w14:textId="521D5B7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76C6D">
        <w:rPr>
          <w:rFonts w:cs="Times New Roman"/>
        </w:rPr>
        <w:t xml:space="preserve">Ibid </w:t>
      </w:r>
      <w:r w:rsidRPr="00E7516E">
        <w:rPr>
          <w:rFonts w:cs="Times New Roman"/>
        </w:rPr>
        <w:t>Proposal 16.5.</w:t>
      </w:r>
    </w:p>
  </w:footnote>
  <w:footnote w:id="503">
    <w:p w14:paraId="65D2E385" w14:textId="4D17CC9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163198">
        <w:rPr>
          <w:rFonts w:cs="Times New Roman"/>
        </w:rPr>
        <w:t>Privacy Act Review Report 2022</w:t>
      </w:r>
      <w:r w:rsidR="00C76C6D">
        <w:rPr>
          <w:rFonts w:cs="Times New Roman"/>
        </w:rPr>
        <w:t xml:space="preserve"> </w:t>
      </w:r>
      <w:r w:rsidRPr="00E7516E">
        <w:rPr>
          <w:rFonts w:cs="Times New Roman"/>
        </w:rPr>
        <w:t>172.</w:t>
      </w:r>
    </w:p>
  </w:footnote>
  <w:footnote w:id="504">
    <w:p w14:paraId="666F6285" w14:textId="5A37C41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83136">
        <w:rPr>
          <w:rFonts w:cs="Times New Roman"/>
        </w:rPr>
        <w:t xml:space="preserve">Privacy Act Review Report 2022 </w:t>
      </w:r>
      <w:r w:rsidR="00683136" w:rsidRPr="00E7516E">
        <w:rPr>
          <w:rFonts w:cs="Times New Roman"/>
        </w:rPr>
        <w:t>172.</w:t>
      </w:r>
    </w:p>
  </w:footnote>
  <w:footnote w:id="505">
    <w:p w14:paraId="5A23762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506">
    <w:p w14:paraId="1D78E7AD" w14:textId="0FA3E17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E19DC">
        <w:rPr>
          <w:rFonts w:cs="Times New Roman"/>
        </w:rPr>
        <w:t xml:space="preserve">Issues Paper </w:t>
      </w:r>
      <w:r w:rsidRPr="00E7516E">
        <w:rPr>
          <w:rFonts w:cs="Times New Roman"/>
        </w:rPr>
        <w:t>Part 2, Question 2.8.</w:t>
      </w:r>
    </w:p>
  </w:footnote>
  <w:footnote w:id="507">
    <w:p w14:paraId="425C9716" w14:textId="3765AEA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E19DC">
        <w:rPr>
          <w:rFonts w:cs="Times New Roman"/>
        </w:rPr>
        <w:t xml:space="preserve">Ibid </w:t>
      </w:r>
      <w:r w:rsidRPr="00E7516E">
        <w:rPr>
          <w:rFonts w:cs="Times New Roman"/>
        </w:rPr>
        <w:t>Part 2, Question 2.9(a) and (e).</w:t>
      </w:r>
    </w:p>
  </w:footnote>
  <w:footnote w:id="508">
    <w:p w14:paraId="751D0C84" w14:textId="7463A99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392A25">
        <w:rPr>
          <w:rFonts w:cs="Times New Roman"/>
        </w:rPr>
        <w:t xml:space="preserve"> (Meg Webb MLC).</w:t>
      </w:r>
    </w:p>
  </w:footnote>
  <w:footnote w:id="509">
    <w:p w14:paraId="767628DF" w14:textId="0E32059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17</w:t>
      </w:r>
      <w:r w:rsidR="00473D04">
        <w:rPr>
          <w:rFonts w:cs="Times New Roman"/>
        </w:rPr>
        <w:t xml:space="preserve"> (Centre for Law and Genetics)</w:t>
      </w:r>
      <w:r w:rsidRPr="00E7516E">
        <w:rPr>
          <w:rFonts w:cs="Times New Roman"/>
        </w:rPr>
        <w:t>.</w:t>
      </w:r>
    </w:p>
  </w:footnote>
  <w:footnote w:id="510">
    <w:p w14:paraId="2E0AFC35" w14:textId="1508B4E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473D04">
        <w:rPr>
          <w:rFonts w:cs="Times New Roman"/>
        </w:rPr>
        <w:t xml:space="preserve"> (Meg Webb MLC)</w:t>
      </w:r>
      <w:r w:rsidRPr="00E7516E">
        <w:rPr>
          <w:rFonts w:cs="Times New Roman"/>
        </w:rPr>
        <w:t>.</w:t>
      </w:r>
    </w:p>
  </w:footnote>
  <w:footnote w:id="511">
    <w:p w14:paraId="767A473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512">
    <w:p w14:paraId="4C0AA0C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PIPP 1(f), 7(4)(a); PIPP 9(e); PIPP 10(1)(b).</w:t>
      </w:r>
    </w:p>
  </w:footnote>
  <w:footnote w:id="513">
    <w:p w14:paraId="4EC7F60C" w14:textId="696D820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10</w:t>
      </w:r>
      <w:r w:rsidR="00473D04">
        <w:rPr>
          <w:rFonts w:cs="Times New Roman"/>
        </w:rPr>
        <w:t xml:space="preserve"> (Richard Griggs)</w:t>
      </w:r>
      <w:r w:rsidRPr="00E7516E">
        <w:rPr>
          <w:rFonts w:cs="Times New Roman"/>
        </w:rPr>
        <w:t>.</w:t>
      </w:r>
    </w:p>
  </w:footnote>
  <w:footnote w:id="514">
    <w:p w14:paraId="683703D2" w14:textId="414B453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20</w:t>
      </w:r>
      <w:r w:rsidR="00473D04">
        <w:rPr>
          <w:rFonts w:cs="Times New Roman"/>
        </w:rPr>
        <w:t xml:space="preserve"> (Dr Joel Scanl</w:t>
      </w:r>
      <w:r w:rsidR="00DF1B6F">
        <w:rPr>
          <w:rFonts w:cs="Times New Roman"/>
        </w:rPr>
        <w:t>a</w:t>
      </w:r>
      <w:r w:rsidR="00473D04">
        <w:rPr>
          <w:rFonts w:cs="Times New Roman"/>
        </w:rPr>
        <w:t>n)</w:t>
      </w:r>
      <w:r w:rsidRPr="00E7516E">
        <w:rPr>
          <w:rFonts w:cs="Times New Roman"/>
        </w:rPr>
        <w:t>.</w:t>
      </w:r>
    </w:p>
  </w:footnote>
  <w:footnote w:id="515">
    <w:p w14:paraId="219A8AD9" w14:textId="19FD645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17</w:t>
      </w:r>
      <w:r w:rsidR="00473D04">
        <w:rPr>
          <w:rFonts w:cs="Times New Roman"/>
        </w:rPr>
        <w:t xml:space="preserve"> (Cent</w:t>
      </w:r>
      <w:r w:rsidR="00DF1B6F">
        <w:rPr>
          <w:rFonts w:cs="Times New Roman"/>
        </w:rPr>
        <w:t>re for Law and Genetics)</w:t>
      </w:r>
      <w:r w:rsidRPr="00E7516E">
        <w:rPr>
          <w:rFonts w:cs="Times New Roman"/>
        </w:rPr>
        <w:t>.</w:t>
      </w:r>
    </w:p>
  </w:footnote>
  <w:footnote w:id="516">
    <w:p w14:paraId="40CD6E77" w14:textId="24134DC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12</w:t>
      </w:r>
      <w:r w:rsidR="00A02E2E">
        <w:rPr>
          <w:rFonts w:cs="Times New Roman"/>
        </w:rPr>
        <w:t xml:space="preserve"> (Youth Law Australia)</w:t>
      </w:r>
      <w:r w:rsidRPr="00E7516E">
        <w:rPr>
          <w:rFonts w:cs="Times New Roman"/>
        </w:rPr>
        <w:t xml:space="preserve"> 3.</w:t>
      </w:r>
    </w:p>
  </w:footnote>
  <w:footnote w:id="517">
    <w:p w14:paraId="241397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518">
    <w:p w14:paraId="1EAB0C7E" w14:textId="3EC6246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21</w:t>
      </w:r>
      <w:r w:rsidR="00A02E2E">
        <w:rPr>
          <w:rFonts w:cs="Times New Roman"/>
        </w:rPr>
        <w:t xml:space="preserve"> (Commissioner for Children and Young People)</w:t>
      </w:r>
      <w:r w:rsidRPr="00E7516E">
        <w:rPr>
          <w:rFonts w:cs="Times New Roman"/>
        </w:rPr>
        <w:t>.</w:t>
      </w:r>
    </w:p>
  </w:footnote>
  <w:footnote w:id="519">
    <w:p w14:paraId="230AFDB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Submission 8 (Meg Webb MLC); Submission 5 (Tasmania Legal Aid); Submission 10 (Richard Griggs); Submission 11 (TasCOSS).</w:t>
      </w:r>
    </w:p>
  </w:footnote>
  <w:footnote w:id="520">
    <w:p w14:paraId="77B3207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cl 5.2.</w:t>
      </w:r>
    </w:p>
  </w:footnote>
  <w:footnote w:id="521">
    <w:p w14:paraId="2DF0E1F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cl. 5.1.</w:t>
      </w:r>
    </w:p>
  </w:footnote>
  <w:footnote w:id="522">
    <w:p w14:paraId="0D19F396" w14:textId="2E6E604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C25651">
        <w:rPr>
          <w:rFonts w:cs="Times New Roman"/>
        </w:rPr>
        <w:t xml:space="preserve"> </w:t>
      </w:r>
      <w:r w:rsidRPr="00E7516E">
        <w:rPr>
          <w:rFonts w:cs="Times New Roman"/>
        </w:rPr>
        <w:t>Report 2022 Proposals 10.1 and 16.3.</w:t>
      </w:r>
    </w:p>
  </w:footnote>
  <w:footnote w:id="523">
    <w:p w14:paraId="37A28B13" w14:textId="5B70237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172BD">
        <w:rPr>
          <w:rFonts w:cs="Times New Roman"/>
        </w:rPr>
        <w:t>Ibid</w:t>
      </w:r>
      <w:r w:rsidRPr="00E7516E">
        <w:rPr>
          <w:rFonts w:cs="Times New Roman"/>
        </w:rPr>
        <w:t xml:space="preserve"> Proposal 10.2.</w:t>
      </w:r>
    </w:p>
  </w:footnote>
  <w:footnote w:id="524">
    <w:p w14:paraId="71BE199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sch 1, cl 1.4.</w:t>
      </w:r>
    </w:p>
  </w:footnote>
  <w:footnote w:id="525">
    <w:p w14:paraId="24E9815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w:t>
      </w:r>
      <w:r w:rsidRPr="00E7516E">
        <w:rPr>
          <w:rFonts w:cs="Times New Roman"/>
        </w:rPr>
        <w:t xml:space="preserve">2009 (NSW) s 9.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26">
    <w:p w14:paraId="2D13B04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sch 1, cl 3.6.</w:t>
      </w:r>
    </w:p>
  </w:footnote>
  <w:footnote w:id="527">
    <w:p w14:paraId="675DC305" w14:textId="77777777" w:rsidR="00FF302D" w:rsidRPr="00EA22F8" w:rsidRDefault="00FF302D" w:rsidP="00E7516E">
      <w:pPr>
        <w:pStyle w:val="Heading3"/>
        <w:numPr>
          <w:ilvl w:val="2"/>
          <w:numId w:val="0"/>
        </w:numPr>
        <w:spacing w:after="0"/>
        <w:jc w:val="left"/>
        <w:rPr>
          <w:rFonts w:ascii="Times New Roman" w:hAnsi="Times New Roman" w:cs="Times New Roman"/>
          <w:color w:val="auto"/>
          <w:sz w:val="20"/>
          <w:szCs w:val="20"/>
        </w:rPr>
      </w:pPr>
      <w:r w:rsidRPr="00EA22F8">
        <w:rPr>
          <w:rStyle w:val="FootnoteReference"/>
          <w:rFonts w:ascii="Times New Roman" w:hAnsi="Times New Roman" w:cs="Times New Roman"/>
          <w:color w:val="auto"/>
        </w:rPr>
        <w:footnoteRef/>
      </w:r>
      <w:r w:rsidRPr="00EA22F8">
        <w:rPr>
          <w:rFonts w:ascii="Times New Roman" w:hAnsi="Times New Roman" w:cs="Times New Roman"/>
          <w:color w:val="auto"/>
          <w:sz w:val="20"/>
          <w:szCs w:val="20"/>
        </w:rPr>
        <w:t xml:space="preserve"> As set out at varying points in this Part, various PIPPs allow the handling of an individual’s personal information based on the provision of consent by the individual. Consent can be the basis for using personal information for a secondary purpose in PIPP 2, using unique identifiers in PIPP 7, disclosing information outside of Tasmania in PIPP 9, and collecting sensitive information under PIPP 10. The PIPA does not define what amounts to ‘consent’.</w:t>
      </w:r>
    </w:p>
  </w:footnote>
  <w:footnote w:id="528">
    <w:p w14:paraId="130F7800" w14:textId="569BAFE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11.2 and 106.</w:t>
      </w:r>
    </w:p>
  </w:footnote>
  <w:footnote w:id="529">
    <w:p w14:paraId="537B620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16B(1A); cf PIPA sch 1, PIPP 10(6).</w:t>
      </w:r>
    </w:p>
  </w:footnote>
  <w:footnote w:id="530">
    <w:p w14:paraId="3F6C921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11.</w:t>
      </w:r>
    </w:p>
  </w:footnote>
  <w:footnote w:id="531">
    <w:p w14:paraId="432C62C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4 provides for destruction or de-identification only where the information is no longer needed for any purpose: PIPA sch 1.</w:t>
      </w:r>
    </w:p>
  </w:footnote>
  <w:footnote w:id="532">
    <w:p w14:paraId="18D5520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(NSW) s 4(5).</w:t>
      </w:r>
    </w:p>
  </w:footnote>
  <w:footnote w:id="533">
    <w:p w14:paraId="4AB83D5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However, it is noted that the </w:t>
      </w:r>
      <w:r w:rsidRPr="00E7516E">
        <w:rPr>
          <w:rFonts w:cs="Times New Roman"/>
          <w:i/>
          <w:iCs/>
        </w:rPr>
        <w:t>Information Privacy and Other Legislation Amendment Act 2023</w:t>
      </w:r>
      <w:r w:rsidRPr="00E7516E">
        <w:rPr>
          <w:rFonts w:cs="Times New Roman"/>
        </w:rPr>
        <w:t xml:space="preserve"> (Qld) will include a QPP that deals with unsolicited personal information, (QPP 4) (yet to be commenced).</w:t>
      </w:r>
    </w:p>
  </w:footnote>
  <w:footnote w:id="534">
    <w:p w14:paraId="191717C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8.2(a)(ii).</w:t>
      </w:r>
    </w:p>
  </w:footnote>
  <w:footnote w:id="535">
    <w:p w14:paraId="25F875A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8.2(b).</w:t>
      </w:r>
    </w:p>
  </w:footnote>
  <w:footnote w:id="536">
    <w:p w14:paraId="47C65645" w14:textId="2DB8827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23.4 and 239–240.</w:t>
      </w:r>
    </w:p>
  </w:footnote>
  <w:footnote w:id="537">
    <w:p w14:paraId="1EE85D4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16C.</w:t>
      </w:r>
    </w:p>
  </w:footnote>
  <w:footnote w:id="538">
    <w:p w14:paraId="53500A58" w14:textId="1A72F77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DB3949">
        <w:rPr>
          <w:rFonts w:cs="Times New Roman"/>
        </w:rPr>
        <w:t xml:space="preserve"> </w:t>
      </w:r>
      <w:r w:rsidRPr="00E7516E">
        <w:rPr>
          <w:rFonts w:cs="Times New Roman"/>
        </w:rPr>
        <w:t>Report 2022 Proposal 23.6.</w:t>
      </w:r>
    </w:p>
  </w:footnote>
  <w:footnote w:id="539">
    <w:p w14:paraId="40A9B4B9" w14:textId="478D367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DB3949">
        <w:rPr>
          <w:rFonts w:cs="Times New Roman"/>
        </w:rPr>
        <w:t xml:space="preserve">Ibid </w:t>
      </w:r>
      <w:r w:rsidRPr="00E7516E">
        <w:rPr>
          <w:rFonts w:cs="Times New Roman"/>
        </w:rPr>
        <w:t>Proposal 23.2 and 238.</w:t>
      </w:r>
    </w:p>
  </w:footnote>
  <w:footnote w:id="540">
    <w:p w14:paraId="4987067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i/>
          <w:iCs/>
        </w:rPr>
        <w:t xml:space="preserve">Privacy and Personal Information Protection Act 1998 </w:t>
      </w:r>
      <w:r w:rsidRPr="00EA22F8">
        <w:rPr>
          <w:rFonts w:cs="Times New Roman"/>
        </w:rPr>
        <w:t>(NSW)</w:t>
      </w:r>
      <w:r w:rsidRPr="00E7516E">
        <w:rPr>
          <w:rFonts w:cs="Times New Roman"/>
        </w:rPr>
        <w:t xml:space="preserve"> s 8.</w:t>
      </w:r>
    </w:p>
  </w:footnote>
  <w:footnote w:id="541">
    <w:p w14:paraId="5C107E6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Privacy Act 2009 </w:t>
      </w:r>
      <w:r w:rsidRPr="00E7516E">
        <w:rPr>
          <w:rFonts w:cs="Times New Roman"/>
        </w:rPr>
        <w:t xml:space="preserve">(Qld) sch 3 cl 1(2); </w:t>
      </w:r>
      <w:r w:rsidRPr="00E7516E">
        <w:rPr>
          <w:rFonts w:cs="Times New Roman"/>
          <w:i/>
          <w:iCs/>
        </w:rPr>
        <w:t xml:space="preserve">Privacy and Data Protection Act 2014 </w:t>
      </w:r>
      <w:r w:rsidRPr="00E7516E">
        <w:rPr>
          <w:rFonts w:cs="Times New Roman"/>
        </w:rPr>
        <w:t xml:space="preserve">(Vic) sch 1, cl 1.2. In Queensland, the </w:t>
      </w:r>
      <w:r w:rsidRPr="00E7516E">
        <w:rPr>
          <w:rFonts w:cs="Times New Roman"/>
          <w:i/>
          <w:iCs/>
        </w:rPr>
        <w:t>Information Privacy and Other Legislation Amendment Act 2023</w:t>
      </w:r>
      <w:r w:rsidRPr="00E7516E">
        <w:rPr>
          <w:rFonts w:cs="Times New Roman"/>
        </w:rPr>
        <w:t xml:space="preserve"> (Qld) will specify that collection is by lawful and fair means (yet to be commenced).</w:t>
      </w:r>
    </w:p>
  </w:footnote>
  <w:footnote w:id="542">
    <w:p w14:paraId="7FCD96C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Submission 5 (Tasmania Legal Aid); Submission 8 (Meg Webb MLC); Submission 10 (Richard Griggs); Submission 18 (Dr Sarah Moulds).</w:t>
      </w:r>
    </w:p>
  </w:footnote>
  <w:footnote w:id="543">
    <w:p w14:paraId="0D1DF89C" w14:textId="492984B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w:t>
      </w:r>
      <w:r w:rsidR="00FB0784">
        <w:rPr>
          <w:rFonts w:cs="Times New Roman"/>
        </w:rPr>
        <w:t>P</w:t>
      </w:r>
      <w:r w:rsidRPr="00E7516E">
        <w:rPr>
          <w:rFonts w:cs="Times New Roman"/>
        </w:rPr>
        <w:t xml:space="preserve">roposal 15.1 and p. 143. </w:t>
      </w:r>
    </w:p>
  </w:footnote>
  <w:footnote w:id="544">
    <w:p w14:paraId="51D721A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sch 1, PIPP 2(1)(f); PIPP 10(1)(b).</w:t>
      </w:r>
    </w:p>
  </w:footnote>
  <w:footnote w:id="545">
    <w:p w14:paraId="45331195" w14:textId="58D6071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3817DE">
        <w:rPr>
          <w:rFonts w:cs="Times New Roman"/>
        </w:rPr>
        <w:t>PIPA</w:t>
      </w:r>
      <w:r w:rsidRPr="00E7516E">
        <w:rPr>
          <w:rFonts w:cs="Times New Roman"/>
        </w:rPr>
        <w:t xml:space="preserve"> sch 1, PIPP 2(1)(f).</w:t>
      </w:r>
    </w:p>
  </w:footnote>
  <w:footnote w:id="546">
    <w:p w14:paraId="53365C04" w14:textId="47BE849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APP 2.2(a), APP 3.4(a), APP 3.6(a)(ii), APP 5.2(c), APP 6.2(b), APP</w:t>
      </w:r>
      <w:r w:rsidR="003D33C2">
        <w:rPr>
          <w:rFonts w:cs="Times New Roman"/>
        </w:rPr>
        <w:t> </w:t>
      </w:r>
      <w:r w:rsidRPr="00E7516E">
        <w:rPr>
          <w:rFonts w:cs="Times New Roman"/>
        </w:rPr>
        <w:t>8.2(c), APP 9.1(a), APP 9.2(c), APP 12.3(g).</w:t>
      </w:r>
    </w:p>
  </w:footnote>
  <w:footnote w:id="547">
    <w:p w14:paraId="6774EBF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t>
      </w:r>
      <w:r w:rsidRPr="00E7516E">
        <w:rPr>
          <w:rFonts w:cs="Times New Roman"/>
          <w:i/>
          <w:iCs/>
        </w:rPr>
        <w:t xml:space="preserve">Privacy and Data Protection Act 2014 </w:t>
      </w:r>
      <w:r w:rsidRPr="00E7516E">
        <w:rPr>
          <w:rFonts w:cs="Times New Roman"/>
        </w:rPr>
        <w:t xml:space="preserve">(Vic) sch 1, cl 2.1(f), 6.1(g); </w:t>
      </w:r>
      <w:r w:rsidRPr="00E7516E">
        <w:rPr>
          <w:rFonts w:cs="Times New Roman"/>
          <w:i/>
          <w:iCs/>
        </w:rPr>
        <w:t xml:space="preserve">Information Privacy Act 2009 </w:t>
      </w:r>
      <w:r w:rsidRPr="00E7516E">
        <w:rPr>
          <w:rFonts w:cs="Times New Roman"/>
        </w:rPr>
        <w:t xml:space="preserve">(Qld) sch 3, cl 2(3)(b), 6(2), 10(1)(c), 11(1)(d); </w:t>
      </w:r>
      <w:r w:rsidRPr="00E7516E">
        <w:rPr>
          <w:rFonts w:cs="Times New Roman"/>
          <w:i/>
          <w:iCs/>
        </w:rPr>
        <w:t xml:space="preserve">Privacy and Personal Information Protection Act 1998 </w:t>
      </w:r>
      <w:r w:rsidRPr="00E7516E">
        <w:rPr>
          <w:rFonts w:cs="Times New Roman"/>
        </w:rPr>
        <w:t xml:space="preserve">(NSW) ss 19(2)(h), 25.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48">
    <w:p w14:paraId="0B8CDC11" w14:textId="5FF2CFF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rPr>
        <w:t>Australian Privacy Principle</w:t>
      </w:r>
      <w:r w:rsidR="00654417">
        <w:rPr>
          <w:rFonts w:cs="Times New Roman"/>
          <w:i/>
        </w:rPr>
        <w:t>s</w:t>
      </w:r>
      <w:r w:rsidRPr="00E7516E">
        <w:rPr>
          <w:rFonts w:cs="Times New Roman"/>
          <w:i/>
        </w:rPr>
        <w:t xml:space="preserve"> Guidelines</w:t>
      </w:r>
      <w:r w:rsidRPr="00E7516E">
        <w:rPr>
          <w:rFonts w:cs="Times New Roman"/>
        </w:rPr>
        <w:t xml:space="preserve"> ch B. </w:t>
      </w:r>
    </w:p>
  </w:footnote>
  <w:footnote w:id="549">
    <w:p w14:paraId="35E32549" w14:textId="14E5CC3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163198" w:rsidRPr="00E7516E">
        <w:rPr>
          <w:rFonts w:cs="Times New Roman"/>
        </w:rPr>
        <w:t xml:space="preserve">OAIC, </w:t>
      </w:r>
      <w:r w:rsidR="00163198" w:rsidRPr="00E7516E">
        <w:rPr>
          <w:rFonts w:cs="Times New Roman"/>
          <w:i/>
        </w:rPr>
        <w:t>Australian Privacy Principle</w:t>
      </w:r>
      <w:r w:rsidR="00163198">
        <w:rPr>
          <w:rFonts w:cs="Times New Roman"/>
          <w:i/>
        </w:rPr>
        <w:t>s</w:t>
      </w:r>
      <w:r w:rsidR="00163198" w:rsidRPr="00E7516E">
        <w:rPr>
          <w:rFonts w:cs="Times New Roman"/>
          <w:i/>
        </w:rPr>
        <w:t xml:space="preserve"> Guidelines</w:t>
      </w:r>
      <w:r w:rsidRPr="00E7516E">
        <w:rPr>
          <w:rFonts w:cs="Times New Roman"/>
        </w:rPr>
        <w:t xml:space="preserve"> 27.</w:t>
      </w:r>
    </w:p>
  </w:footnote>
  <w:footnote w:id="550">
    <w:p w14:paraId="661A2255" w14:textId="75C93CA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3D33C2">
        <w:rPr>
          <w:rFonts w:cs="Times New Roman"/>
        </w:rPr>
        <w:t xml:space="preserve">Ibid </w:t>
      </w:r>
      <w:r w:rsidR="00163198">
        <w:rPr>
          <w:rFonts w:cs="Times New Roman"/>
        </w:rPr>
        <w:t>[</w:t>
      </w:r>
      <w:r w:rsidRPr="00E7516E">
        <w:rPr>
          <w:rFonts w:cs="Times New Roman"/>
        </w:rPr>
        <w:t>B.136</w:t>
      </w:r>
      <w:r w:rsidR="00163198">
        <w:rPr>
          <w:rFonts w:cs="Times New Roman"/>
        </w:rPr>
        <w:t>]</w:t>
      </w:r>
      <w:r w:rsidRPr="00E7516E">
        <w:rPr>
          <w:rFonts w:cs="Times New Roman"/>
        </w:rPr>
        <w:t>.</w:t>
      </w:r>
    </w:p>
  </w:footnote>
  <w:footnote w:id="551">
    <w:p w14:paraId="13A3F54B" w14:textId="25DB2C0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3.</w:t>
      </w:r>
    </w:p>
  </w:footnote>
  <w:footnote w:id="552">
    <w:p w14:paraId="1405ECA1" w14:textId="4731A95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779FF">
        <w:rPr>
          <w:rFonts w:cs="Times New Roman"/>
        </w:rPr>
        <w:t>Ibid</w:t>
      </w:r>
      <w:r w:rsidRPr="00E7516E">
        <w:rPr>
          <w:rFonts w:cs="Times New Roman"/>
        </w:rPr>
        <w:t xml:space="preserve"> Proposal 14.1.</w:t>
      </w:r>
    </w:p>
  </w:footnote>
  <w:footnote w:id="553">
    <w:p w14:paraId="4253A0AC" w14:textId="573B251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257189">
        <w:rPr>
          <w:rFonts w:cs="Times New Roman"/>
        </w:rPr>
        <w:t xml:space="preserve"> </w:t>
      </w:r>
      <w:r w:rsidRPr="00E7516E">
        <w:rPr>
          <w:rFonts w:cs="Times New Roman"/>
        </w:rPr>
        <w:t>Report 2022 138.</w:t>
      </w:r>
    </w:p>
  </w:footnote>
  <w:footnote w:id="554">
    <w:p w14:paraId="1D47CB91" w14:textId="019CE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657B1">
        <w:rPr>
          <w:rFonts w:cs="Times New Roman"/>
        </w:rPr>
        <w:t>Ibid</w:t>
      </w:r>
      <w:r w:rsidRPr="00E7516E">
        <w:rPr>
          <w:rFonts w:cs="Times New Roman"/>
        </w:rPr>
        <w:t xml:space="preserve"> 147</w:t>
      </w:r>
      <w:r w:rsidR="00BE6BA3">
        <w:rPr>
          <w:rFonts w:cs="Times New Roman"/>
        </w:rPr>
        <w:t>.</w:t>
      </w:r>
    </w:p>
  </w:footnote>
  <w:footnote w:id="555">
    <w:p w14:paraId="66592E6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Privacy and Personal Information Protection Act 1988</w:t>
      </w:r>
      <w:r w:rsidRPr="00E7516E">
        <w:rPr>
          <w:rFonts w:cs="Times New Roman"/>
        </w:rPr>
        <w:t xml:space="preserve"> (NSW) s 9(b).</w:t>
      </w:r>
    </w:p>
  </w:footnote>
  <w:footnote w:id="556">
    <w:p w14:paraId="0656E0A5" w14:textId="7051424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16.5.</w:t>
      </w:r>
    </w:p>
  </w:footnote>
  <w:footnote w:id="557">
    <w:p w14:paraId="4DF4D3A3" w14:textId="3ADEC2E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57189">
        <w:rPr>
          <w:rFonts w:cs="Times New Roman"/>
        </w:rPr>
        <w:t>Ibid P</w:t>
      </w:r>
      <w:r w:rsidRPr="00E7516E">
        <w:rPr>
          <w:rFonts w:cs="Times New Roman"/>
        </w:rPr>
        <w:t>roposal 17.2 and 164.</w:t>
      </w:r>
    </w:p>
  </w:footnote>
  <w:footnote w:id="558">
    <w:p w14:paraId="4467E8CF" w14:textId="062D9AE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w:t>
      </w:r>
      <w:r w:rsidR="00A30111">
        <w:rPr>
          <w:rFonts w:cs="Times New Roman"/>
        </w:rPr>
        <w:t xml:space="preserve"> 2022</w:t>
      </w:r>
      <w:r w:rsidRPr="00E7516E">
        <w:rPr>
          <w:rFonts w:cs="Times New Roman"/>
        </w:rPr>
        <w:t xml:space="preserve"> Proposals 12.1, 12</w:t>
      </w:r>
      <w:r w:rsidRPr="00D17E24">
        <w:rPr>
          <w:rFonts w:cs="Times New Roman"/>
        </w:rPr>
        <w:t xml:space="preserve">.2, 12.3. </w:t>
      </w:r>
      <w:r w:rsidRPr="00EA22F8">
        <w:rPr>
          <w:rFonts w:cs="Times New Roman"/>
        </w:rPr>
        <w:t>See [</w:t>
      </w:r>
      <w:r w:rsidR="00D17E24" w:rsidRPr="00EA22F8">
        <w:rPr>
          <w:rFonts w:cs="Times New Roman"/>
        </w:rPr>
        <w:fldChar w:fldCharType="begin"/>
      </w:r>
      <w:r w:rsidR="00D17E24" w:rsidRPr="00EA22F8">
        <w:rPr>
          <w:rFonts w:cs="Times New Roman"/>
        </w:rPr>
        <w:instrText xml:space="preserve"> REF _Ref150165075 \r \h </w:instrText>
      </w:r>
      <w:r w:rsidR="00D17E24">
        <w:rPr>
          <w:rFonts w:cs="Times New Roman"/>
        </w:rPr>
        <w:instrText xml:space="preserve"> \* MERGEFORMAT </w:instrText>
      </w:r>
      <w:r w:rsidR="00D17E24" w:rsidRPr="00EA22F8">
        <w:rPr>
          <w:rFonts w:cs="Times New Roman"/>
        </w:rPr>
      </w:r>
      <w:r w:rsidR="00D17E24" w:rsidRPr="00EA22F8">
        <w:rPr>
          <w:rFonts w:cs="Times New Roman"/>
        </w:rPr>
        <w:fldChar w:fldCharType="separate"/>
      </w:r>
      <w:r w:rsidR="00462C30">
        <w:rPr>
          <w:rFonts w:cs="Times New Roman"/>
          <w:cs/>
        </w:rPr>
        <w:t>‎</w:t>
      </w:r>
      <w:r w:rsidR="00462C30">
        <w:rPr>
          <w:rFonts w:cs="Times New Roman"/>
        </w:rPr>
        <w:t>5.4.24</w:t>
      </w:r>
      <w:r w:rsidR="00D17E24" w:rsidRPr="00EA22F8">
        <w:rPr>
          <w:rFonts w:cs="Times New Roman"/>
        </w:rPr>
        <w:fldChar w:fldCharType="end"/>
      </w:r>
      <w:r w:rsidRPr="00EA22F8">
        <w:rPr>
          <w:rFonts w:cs="Times New Roman"/>
        </w:rPr>
        <w:t>]</w:t>
      </w:r>
      <w:r w:rsidR="00D17E24" w:rsidRPr="00EA22F8">
        <w:rPr>
          <w:rFonts w:cs="Times New Roman"/>
        </w:rPr>
        <w:t>–</w:t>
      </w:r>
      <w:r w:rsidRPr="00EA22F8">
        <w:rPr>
          <w:rFonts w:cs="Times New Roman"/>
        </w:rPr>
        <w:t>[</w:t>
      </w:r>
      <w:r w:rsidR="00D17E24" w:rsidRPr="00EA22F8">
        <w:rPr>
          <w:rFonts w:cs="Times New Roman"/>
        </w:rPr>
        <w:fldChar w:fldCharType="begin"/>
      </w:r>
      <w:r w:rsidR="00D17E24" w:rsidRPr="00EA22F8">
        <w:rPr>
          <w:rFonts w:cs="Times New Roman"/>
        </w:rPr>
        <w:instrText xml:space="preserve"> REF _Ref164780929 \r \h </w:instrText>
      </w:r>
      <w:r w:rsidR="00D17E24">
        <w:rPr>
          <w:rFonts w:cs="Times New Roman"/>
        </w:rPr>
        <w:instrText xml:space="preserve"> \* MERGEFORMAT </w:instrText>
      </w:r>
      <w:r w:rsidR="00D17E24" w:rsidRPr="00EA22F8">
        <w:rPr>
          <w:rFonts w:cs="Times New Roman"/>
        </w:rPr>
      </w:r>
      <w:r w:rsidR="00D17E24" w:rsidRPr="00EA22F8">
        <w:rPr>
          <w:rFonts w:cs="Times New Roman"/>
        </w:rPr>
        <w:fldChar w:fldCharType="separate"/>
      </w:r>
      <w:r w:rsidR="00462C30">
        <w:rPr>
          <w:rFonts w:cs="Times New Roman"/>
          <w:cs/>
        </w:rPr>
        <w:t>‎</w:t>
      </w:r>
      <w:r w:rsidR="00462C30">
        <w:rPr>
          <w:rFonts w:cs="Times New Roman"/>
        </w:rPr>
        <w:t>5.4.26</w:t>
      </w:r>
      <w:r w:rsidR="00D17E24" w:rsidRPr="00EA22F8">
        <w:rPr>
          <w:rFonts w:cs="Times New Roman"/>
        </w:rPr>
        <w:fldChar w:fldCharType="end"/>
      </w:r>
      <w:r w:rsidRPr="00EA22F8">
        <w:rPr>
          <w:rFonts w:cs="Times New Roman"/>
        </w:rPr>
        <w:t>] above</w:t>
      </w:r>
      <w:r w:rsidRPr="00D17E24">
        <w:rPr>
          <w:rFonts w:cs="Times New Roman"/>
        </w:rPr>
        <w:t>.</w:t>
      </w:r>
    </w:p>
  </w:footnote>
  <w:footnote w:id="559">
    <w:p w14:paraId="615B29C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4(1).</w:t>
      </w:r>
    </w:p>
  </w:footnote>
  <w:footnote w:id="560">
    <w:p w14:paraId="015FD78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PIPPs 4(2), 4(3).</w:t>
      </w:r>
    </w:p>
  </w:footnote>
  <w:footnote w:id="561">
    <w:p w14:paraId="54DBE3A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6(1)(a).</w:t>
      </w:r>
    </w:p>
  </w:footnote>
  <w:footnote w:id="562">
    <w:p w14:paraId="12BA664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6(1)(b).</w:t>
      </w:r>
    </w:p>
  </w:footnote>
  <w:footnote w:id="563">
    <w:p w14:paraId="13F35FF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ss 17A, 17B.</w:t>
      </w:r>
    </w:p>
  </w:footnote>
  <w:footnote w:id="564">
    <w:p w14:paraId="7AB5E90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ss 17A, 17B.</w:t>
      </w:r>
    </w:p>
  </w:footnote>
  <w:footnote w:id="565">
    <w:p w14:paraId="2FB9073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17C. According to s 17D, the notation must ‘specify the way in which the information is incomplete, incorrect, out of date or misleading’ and, ‘if the information is claimed to be out of date, set out the information required to bring it up to date’.</w:t>
      </w:r>
    </w:p>
  </w:footnote>
  <w:footnote w:id="566">
    <w:p w14:paraId="6856647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17I.</w:t>
      </w:r>
    </w:p>
  </w:footnote>
  <w:footnote w:id="567">
    <w:p w14:paraId="55598F8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17F.</w:t>
      </w:r>
    </w:p>
  </w:footnote>
  <w:footnote w:id="568">
    <w:p w14:paraId="67E548B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17G.</w:t>
      </w:r>
    </w:p>
  </w:footnote>
  <w:footnote w:id="569">
    <w:p w14:paraId="6223D10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17H.</w:t>
      </w:r>
    </w:p>
  </w:footnote>
  <w:footnote w:id="570">
    <w:p w14:paraId="1315C72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Other APPs apply to information that an APP entity holds (such as APP 11 regarding security of information). The </w:t>
      </w:r>
      <w:r w:rsidRPr="00E7516E">
        <w:rPr>
          <w:rFonts w:cs="Times New Roman"/>
          <w:i/>
          <w:iCs/>
        </w:rPr>
        <w:t xml:space="preserve">Privacy Act 1988 </w:t>
      </w:r>
      <w:r w:rsidRPr="00E7516E">
        <w:rPr>
          <w:rFonts w:cs="Times New Roman"/>
        </w:rPr>
        <w:t>(Cth)</w:t>
      </w:r>
      <w:r w:rsidRPr="00E7516E">
        <w:rPr>
          <w:rFonts w:cs="Times New Roman"/>
          <w:i/>
          <w:iCs/>
        </w:rPr>
        <w:t xml:space="preserve"> </w:t>
      </w:r>
      <w:r w:rsidRPr="00E7516E">
        <w:rPr>
          <w:rFonts w:cs="Times New Roman"/>
        </w:rPr>
        <w:t>defines ‘holds’ to mean ‘the entity has possession or control of a record that contains the personal information’ (s 6(1) definition of ‘holds’). The PIPA does not define the term ‘holds’.</w:t>
      </w:r>
    </w:p>
  </w:footnote>
  <w:footnote w:id="571">
    <w:p w14:paraId="45857743" w14:textId="39A26E3E" w:rsidR="00FF302D" w:rsidRPr="001A38F2"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PP</w:t>
      </w:r>
      <w:r w:rsidR="00966108">
        <w:rPr>
          <w:rFonts w:cs="Times New Roman"/>
        </w:rPr>
        <w:t>I</w:t>
      </w:r>
      <w:r w:rsidRPr="00EA22F8">
        <w:rPr>
          <w:rFonts w:cs="Times New Roman"/>
        </w:rPr>
        <w:t>P Act (NSW) s 11, 16; PDP Act (Vic) IPP 3; IP Act (Qld) IPPs 3, 8; IPA (ACT) TPP 10;</w:t>
      </w:r>
      <w:r w:rsidRPr="001A38F2">
        <w:rPr>
          <w:rFonts w:cs="Times New Roman"/>
        </w:rPr>
        <w:t xml:space="preserve"> </w:t>
      </w:r>
      <w:r w:rsidRPr="001A38F2">
        <w:rPr>
          <w:rFonts w:cs="Times New Roman"/>
          <w:i/>
          <w:iCs/>
        </w:rPr>
        <w:t xml:space="preserve">Information Act </w:t>
      </w:r>
      <w:r w:rsidRPr="001A38F2">
        <w:rPr>
          <w:rFonts w:cs="Times New Roman"/>
        </w:rPr>
        <w:t xml:space="preserve">(NT) IPP 3. It is noted that the </w:t>
      </w:r>
      <w:r w:rsidRPr="001A38F2">
        <w:rPr>
          <w:rFonts w:cs="Times New Roman"/>
          <w:i/>
          <w:iCs/>
        </w:rPr>
        <w:t>Information Privacy and Other Legislation Amendment Act 2023</w:t>
      </w:r>
      <w:r w:rsidRPr="001A38F2">
        <w:rPr>
          <w:rFonts w:cs="Times New Roman"/>
        </w:rPr>
        <w:t xml:space="preserve"> (Qld) replaces IPP with QPP set out in schedule 3 (yet to commence). The new schedule 3 is based on the APP.</w:t>
      </w:r>
    </w:p>
  </w:footnote>
  <w:footnote w:id="572">
    <w:p w14:paraId="2C3D0E3F" w14:textId="28AE49E9" w:rsidR="00FF302D" w:rsidRPr="001A38F2" w:rsidRDefault="00FF302D" w:rsidP="00E7516E">
      <w:pPr>
        <w:pStyle w:val="FootnoteText"/>
        <w:jc w:val="left"/>
        <w:rPr>
          <w:rFonts w:cs="Times New Roman"/>
        </w:rPr>
      </w:pPr>
      <w:r w:rsidRPr="001A38F2">
        <w:rPr>
          <w:rStyle w:val="FootnoteReference"/>
          <w:rFonts w:ascii="Times New Roman" w:hAnsi="Times New Roman" w:cs="Times New Roman"/>
        </w:rPr>
        <w:footnoteRef/>
      </w:r>
      <w:r w:rsidRPr="001A38F2">
        <w:rPr>
          <w:rFonts w:cs="Times New Roman"/>
        </w:rPr>
        <w:t xml:space="preserve"> </w:t>
      </w:r>
      <w:r w:rsidRPr="00EA22F8">
        <w:rPr>
          <w:rFonts w:cs="Times New Roman"/>
        </w:rPr>
        <w:t>PP</w:t>
      </w:r>
      <w:r w:rsidR="00966108">
        <w:rPr>
          <w:rFonts w:cs="Times New Roman"/>
        </w:rPr>
        <w:t>I</w:t>
      </w:r>
      <w:r w:rsidRPr="00EA22F8">
        <w:rPr>
          <w:rFonts w:cs="Times New Roman"/>
        </w:rPr>
        <w:t>P Act (NSW) s 12; PDP Act (Vic) IPP 4; IP Act (Qld) IPP 4; IP Act (ACT) TPP 11;</w:t>
      </w:r>
      <w:r w:rsidRPr="001A38F2">
        <w:rPr>
          <w:rFonts w:cs="Times New Roman"/>
        </w:rPr>
        <w:t xml:space="preserve"> </w:t>
      </w:r>
      <w:r w:rsidRPr="001A38F2">
        <w:rPr>
          <w:rFonts w:cs="Times New Roman"/>
          <w:i/>
          <w:iCs/>
        </w:rPr>
        <w:t xml:space="preserve">Information Act </w:t>
      </w:r>
      <w:r w:rsidRPr="001A38F2">
        <w:rPr>
          <w:rFonts w:cs="Times New Roman"/>
        </w:rPr>
        <w:t xml:space="preserve">(NT) IPP 4. It is noted that the </w:t>
      </w:r>
      <w:r w:rsidRPr="001A38F2">
        <w:rPr>
          <w:rFonts w:cs="Times New Roman"/>
          <w:i/>
          <w:iCs/>
        </w:rPr>
        <w:t>Information Privacy and Other Legislation Amendment Act 2023</w:t>
      </w:r>
      <w:r w:rsidRPr="001A38F2">
        <w:rPr>
          <w:rFonts w:cs="Times New Roman"/>
        </w:rPr>
        <w:t xml:space="preserve"> (Qld) replaces IPP with QPP set out in schedule 3 (yet to commence). The new schedule 3 is based on the APP.</w:t>
      </w:r>
    </w:p>
  </w:footnote>
  <w:footnote w:id="573">
    <w:p w14:paraId="3D58569C" w14:textId="77777777" w:rsidR="00FF302D" w:rsidRPr="001A38F2" w:rsidRDefault="00FF302D" w:rsidP="00E7516E">
      <w:pPr>
        <w:pStyle w:val="FootnoteText"/>
        <w:jc w:val="left"/>
        <w:rPr>
          <w:rFonts w:cs="Times New Roman"/>
        </w:rPr>
      </w:pPr>
      <w:r w:rsidRPr="001A38F2">
        <w:rPr>
          <w:rStyle w:val="FootnoteReference"/>
          <w:rFonts w:ascii="Times New Roman" w:hAnsi="Times New Roman" w:cs="Times New Roman"/>
        </w:rPr>
        <w:footnoteRef/>
      </w:r>
      <w:r w:rsidRPr="001A38F2">
        <w:rPr>
          <w:rFonts w:cs="Times New Roman"/>
        </w:rPr>
        <w:t xml:space="preserve"> APP 11.1.</w:t>
      </w:r>
    </w:p>
  </w:footnote>
  <w:footnote w:id="574">
    <w:p w14:paraId="00FF82B5" w14:textId="382E4C1D" w:rsidR="00FF302D" w:rsidRPr="00E7516E" w:rsidRDefault="00FF302D" w:rsidP="00E7516E">
      <w:pPr>
        <w:pStyle w:val="FootnoteText"/>
        <w:jc w:val="left"/>
        <w:rPr>
          <w:rFonts w:cs="Times New Roman"/>
        </w:rPr>
      </w:pPr>
      <w:r w:rsidRPr="001A38F2">
        <w:rPr>
          <w:rStyle w:val="FootnoteReference"/>
          <w:rFonts w:ascii="Times New Roman" w:hAnsi="Times New Roman" w:cs="Times New Roman"/>
        </w:rPr>
        <w:footnoteRef/>
      </w:r>
      <w:r w:rsidRPr="001A38F2">
        <w:rPr>
          <w:rFonts w:cs="Times New Roman"/>
        </w:rPr>
        <w:t xml:space="preserve"> </w:t>
      </w:r>
      <w:r w:rsidRPr="00EA22F8">
        <w:rPr>
          <w:rFonts w:cs="Times New Roman"/>
        </w:rPr>
        <w:t>PP</w:t>
      </w:r>
      <w:r w:rsidR="00966108">
        <w:rPr>
          <w:rFonts w:cs="Times New Roman"/>
        </w:rPr>
        <w:t>I</w:t>
      </w:r>
      <w:r w:rsidRPr="00EA22F8">
        <w:rPr>
          <w:rFonts w:cs="Times New Roman"/>
        </w:rPr>
        <w:t>P Act (NSW) s 12; PDP Act (Vic) IPP 4; IP Act (Qld) IPP 4; IP Act (ACT) TPP 11;</w:t>
      </w:r>
      <w:r w:rsidRPr="001A38F2">
        <w:rPr>
          <w:rFonts w:cs="Times New Roman"/>
        </w:rPr>
        <w:t xml:space="preserve"> </w:t>
      </w:r>
      <w:r w:rsidRPr="001A38F2">
        <w:rPr>
          <w:rFonts w:cs="Times New Roman"/>
          <w:i/>
          <w:iCs/>
        </w:rPr>
        <w:t xml:space="preserve">Information Act </w:t>
      </w:r>
      <w:r w:rsidRPr="001A38F2">
        <w:rPr>
          <w:rFonts w:cs="Times New Roman"/>
        </w:rPr>
        <w:t xml:space="preserve">(NT) IPP 4. It is noted that the </w:t>
      </w:r>
      <w:r w:rsidRPr="001A38F2">
        <w:rPr>
          <w:rFonts w:cs="Times New Roman"/>
          <w:i/>
          <w:iCs/>
        </w:rPr>
        <w:t>Information Privacy and Other Legislation</w:t>
      </w:r>
      <w:r w:rsidRPr="00E7516E">
        <w:rPr>
          <w:rFonts w:cs="Times New Roman"/>
          <w:i/>
          <w:iCs/>
        </w:rPr>
        <w:t xml:space="preserve"> Amendment Act 2023</w:t>
      </w:r>
      <w:r w:rsidRPr="00E7516E">
        <w:rPr>
          <w:rFonts w:cs="Times New Roman"/>
        </w:rPr>
        <w:t xml:space="preserve"> (Qld) replaces IPP with QPP set out in schedule 3 (yet to commence). The new schedule 3 is based on the APP.</w:t>
      </w:r>
    </w:p>
  </w:footnote>
  <w:footnote w:id="575">
    <w:p w14:paraId="6545F9A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11.2</w:t>
      </w:r>
    </w:p>
  </w:footnote>
  <w:footnote w:id="576">
    <w:p w14:paraId="488823DC" w14:textId="21C2729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PP</w:t>
      </w:r>
      <w:r w:rsidR="00966108">
        <w:rPr>
          <w:rFonts w:cs="Times New Roman"/>
        </w:rPr>
        <w:t>I</w:t>
      </w:r>
      <w:r w:rsidRPr="00EA22F8">
        <w:rPr>
          <w:rFonts w:cs="Times New Roman"/>
        </w:rPr>
        <w:t xml:space="preserve">P Act (NSW) s 12; PDP Act (Vic) IPP 4IP Act (ACT) TPP 11; </w:t>
      </w:r>
      <w:r w:rsidRPr="00EA22F8">
        <w:rPr>
          <w:rFonts w:cs="Times New Roman"/>
          <w:i/>
          <w:iCs/>
        </w:rPr>
        <w:t xml:space="preserve">Information Act </w:t>
      </w:r>
      <w:r w:rsidRPr="00EA22F8">
        <w:rPr>
          <w:rFonts w:cs="Times New Roman"/>
        </w:rPr>
        <w:t>(NT) IPP 4</w:t>
      </w:r>
      <w:r w:rsidRPr="0062608C">
        <w:rPr>
          <w:rFonts w:cs="Times New Roman"/>
        </w:rPr>
        <w:t>.</w:t>
      </w:r>
      <w:r w:rsidRPr="00E7516E">
        <w:rPr>
          <w:rFonts w:cs="Times New Roman"/>
        </w:rPr>
        <w:t xml:space="preserve">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77">
    <w:p w14:paraId="29D4953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GDPR art 89 in relation to the requirements for archiving purposes. </w:t>
      </w:r>
    </w:p>
  </w:footnote>
  <w:footnote w:id="578">
    <w:p w14:paraId="5B6C9D0B" w14:textId="2D1A53F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PP</w:t>
      </w:r>
      <w:r w:rsidR="003C2B27">
        <w:rPr>
          <w:rFonts w:cs="Times New Roman"/>
        </w:rPr>
        <w:t>I</w:t>
      </w:r>
      <w:r w:rsidRPr="00E7516E">
        <w:rPr>
          <w:rFonts w:cs="Times New Roman"/>
        </w:rPr>
        <w:t xml:space="preserve">P Act (NSW) s 14, 15; PDP Act (Vic) IPP 6; IP Act (Qld) IPPs 6, 7; IP Act (ACT) TPP 12; </w:t>
      </w:r>
      <w:r w:rsidRPr="00E7516E">
        <w:rPr>
          <w:rFonts w:cs="Times New Roman"/>
          <w:i/>
          <w:iCs/>
        </w:rPr>
        <w:t xml:space="preserve">Information Act </w:t>
      </w:r>
      <w:r w:rsidRPr="00E7516E">
        <w:rPr>
          <w:rFonts w:cs="Times New Roman"/>
        </w:rPr>
        <w:t xml:space="preserve">(NT) IPP 3.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79">
    <w:p w14:paraId="70D18ED4" w14:textId="5127582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APPs 12.1, 12.2. Imperative phrasing is also used in NSW, Victoria, Queensland, the ACT, and the NT (subject to the exemptions set out the respective legislation) (PP</w:t>
      </w:r>
      <w:r w:rsidR="003C2B27">
        <w:rPr>
          <w:rFonts w:cs="Times New Roman"/>
        </w:rPr>
        <w:t>I</w:t>
      </w:r>
      <w:r w:rsidRPr="00E7516E">
        <w:rPr>
          <w:rFonts w:cs="Times New Roman"/>
        </w:rPr>
        <w:t xml:space="preserve">P Act (NSW) s 14, 15; PDP Act (Vic) IPP 6; IP Act (Qld) IPPs 6, 7; IP Act (ACT) TPP 12; </w:t>
      </w:r>
      <w:r w:rsidRPr="00E7516E">
        <w:rPr>
          <w:rFonts w:cs="Times New Roman"/>
          <w:i/>
          <w:iCs/>
        </w:rPr>
        <w:t xml:space="preserve">Information Act </w:t>
      </w:r>
      <w:r w:rsidRPr="00E7516E">
        <w:rPr>
          <w:rFonts w:cs="Times New Roman"/>
        </w:rPr>
        <w:t xml:space="preserve">(NT) IPP 6.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 Different exceptions apply to organisations; they will not be required to provide access in circumstances such as where doing so would pose a serious threat to life, health, or safety of an individual or public health or safety; where the request is frivolous or vexatious; where giving access would be unlawful; and where the entity suspects unlawful activity or serious misconduct and giving access would be likely to prejudice the taking of appropriate action, among others: APP 12.3.</w:t>
      </w:r>
    </w:p>
  </w:footnote>
  <w:footnote w:id="580">
    <w:p w14:paraId="3261411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17E.</w:t>
      </w:r>
    </w:p>
  </w:footnote>
  <w:footnote w:id="581">
    <w:p w14:paraId="580A124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12.9. Provisions in relation to notice relating to access also exist in Victoria (IPP 6); ACT (TPP 12), NT (IPP 6).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82">
    <w:p w14:paraId="156CE7B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APPs 12.7, 13.5. Note that the </w:t>
      </w:r>
      <w:r w:rsidRPr="00E7516E">
        <w:rPr>
          <w:rFonts w:cs="Times New Roman"/>
          <w:i/>
        </w:rPr>
        <w:t>Freedom of Information Act 1982</w:t>
      </w:r>
      <w:r w:rsidRPr="00E7516E">
        <w:rPr>
          <w:rFonts w:cs="Times New Roman"/>
        </w:rPr>
        <w:t xml:space="preserve"> (Cth) also provides a right to access and correct personal information held by Commonwealth agencies and public authorities or official documents of Ministers, with internal and external review of decisions available. This is also the position in the ACT TPP 12.7 in relation to making a request or access to personal information, and 13.5 in relation to request to correct personal information.</w:t>
      </w:r>
    </w:p>
  </w:footnote>
  <w:footnote w:id="583">
    <w:p w14:paraId="0E0340B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13.1. NSW, Queensland, and the ACT also contain a reference to the relevance of the information: PPIP Act (NSW) s 15(1); IP Act (Qld) IPP 7(1); IP Act (ACT) 13.1.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84">
    <w:p w14:paraId="2DD6540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13.1(b). The PIPA does not draw this distinction and simply states that a person may request correction of information ‘if it is incorrect, incomplete, out of date or misleading’: s 17A.</w:t>
      </w:r>
    </w:p>
  </w:footnote>
  <w:footnote w:id="585">
    <w:p w14:paraId="1263003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Privacy Act 1988 </w:t>
      </w:r>
      <w:r w:rsidRPr="00E7516E">
        <w:rPr>
          <w:rFonts w:cs="Times New Roman"/>
        </w:rPr>
        <w:t>(Cth) sch 1, APP 13.1.</w:t>
      </w:r>
    </w:p>
  </w:footnote>
  <w:footnote w:id="586">
    <w:p w14:paraId="7B0D009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13.4. See also PPIP Act (NSW) s 15(3); PDP Act (Vic) IPP 6.6; IP Act (Qld) IPP 7(4); IP Act (ACT) 13.4.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87">
    <w:p w14:paraId="3CDDB32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ss 17G, 17H.</w:t>
      </w:r>
    </w:p>
  </w:footnote>
  <w:footnote w:id="588">
    <w:p w14:paraId="202E752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This is also the case in the ACT: IP Act (ACT) 13.2.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589">
    <w:p w14:paraId="31500892" w14:textId="765D3EE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E0152">
        <w:rPr>
          <w:rFonts w:cs="Times New Roman"/>
        </w:rPr>
        <w:t>PIPA</w:t>
      </w:r>
      <w:r w:rsidRPr="00E7516E">
        <w:rPr>
          <w:rFonts w:cs="Times New Roman"/>
        </w:rPr>
        <w:t xml:space="preserve"> sch 1, APP 13.2.</w:t>
      </w:r>
    </w:p>
  </w:footnote>
  <w:footnote w:id="590">
    <w:p w14:paraId="66658880" w14:textId="049DC76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17H.</w:t>
      </w:r>
    </w:p>
  </w:footnote>
  <w:footnote w:id="591">
    <w:p w14:paraId="603290E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12.1, APP 13.1(a).</w:t>
      </w:r>
    </w:p>
  </w:footnote>
  <w:footnote w:id="592">
    <w:p w14:paraId="0EEEF3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rPr>
        <w:t>Submission to Privacy Act Review</w:t>
      </w:r>
      <w:r w:rsidRPr="00E7516E">
        <w:rPr>
          <w:rFonts w:cs="Times New Roman"/>
        </w:rPr>
        <w:t xml:space="preserve"> 51.</w:t>
      </w:r>
    </w:p>
  </w:footnote>
  <w:footnote w:id="593">
    <w:p w14:paraId="7FEDEA9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GDPR art 15(1).</w:t>
      </w:r>
    </w:p>
  </w:footnote>
  <w:footnote w:id="594">
    <w:p w14:paraId="654EAD80" w14:textId="33F70A3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167.</w:t>
      </w:r>
    </w:p>
  </w:footnote>
  <w:footnote w:id="595">
    <w:p w14:paraId="1662FC5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596">
    <w:p w14:paraId="6E7669B8" w14:textId="1B42407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91DAB" w:rsidRPr="00E7516E">
        <w:rPr>
          <w:rFonts w:cs="Times New Roman"/>
        </w:rPr>
        <w:t>Privacy Act Review Report 2022</w:t>
      </w:r>
      <w:r w:rsidRPr="00E7516E">
        <w:rPr>
          <w:rFonts w:cs="Times New Roman"/>
        </w:rPr>
        <w:t xml:space="preserve"> 165.</w:t>
      </w:r>
    </w:p>
  </w:footnote>
  <w:footnote w:id="597">
    <w:p w14:paraId="4FC29DD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166.</w:t>
      </w:r>
    </w:p>
  </w:footnote>
  <w:footnote w:id="598">
    <w:p w14:paraId="782D635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599">
    <w:p w14:paraId="004A0470" w14:textId="2750A7D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Privacy Act</w:t>
      </w:r>
      <w:r w:rsidR="009045F9">
        <w:rPr>
          <w:rFonts w:cs="Times New Roman"/>
        </w:rPr>
        <w:t xml:space="preserve"> </w:t>
      </w:r>
      <w:r w:rsidRPr="00E7516E">
        <w:rPr>
          <w:rFonts w:cs="Times New Roman"/>
        </w:rPr>
        <w:t>Review noted in the final report that this would be similar to Article 19 of the GDPR: Privacy Act Review Report 2022 176.</w:t>
      </w:r>
    </w:p>
  </w:footnote>
  <w:footnote w:id="600">
    <w:p w14:paraId="3298F6C2" w14:textId="54CC774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C66D0" w:rsidRPr="00E7516E">
        <w:rPr>
          <w:rFonts w:cs="Times New Roman"/>
        </w:rPr>
        <w:t>Privacy Act Review Report 2022</w:t>
      </w:r>
      <w:r w:rsidRPr="00E7516E">
        <w:rPr>
          <w:rFonts w:cs="Times New Roman"/>
        </w:rPr>
        <w:t xml:space="preserve"> Proposal 18.3 and 174–176.</w:t>
      </w:r>
    </w:p>
  </w:footnote>
  <w:footnote w:id="601">
    <w:p w14:paraId="313F418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175.</w:t>
      </w:r>
    </w:p>
  </w:footnote>
  <w:footnote w:id="602">
    <w:p w14:paraId="62C2949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174. </w:t>
      </w:r>
      <w:bookmarkStart w:id="632" w:name="_Toc143872451"/>
      <w:r w:rsidRPr="00E7516E">
        <w:rPr>
          <w:rFonts w:cs="Times New Roman"/>
        </w:rPr>
        <w:t xml:space="preserve">This was broadly consistent with the recommendation in the ACCC’s </w:t>
      </w:r>
      <w:r w:rsidRPr="00E7516E">
        <w:rPr>
          <w:rFonts w:cs="Times New Roman"/>
          <w:i/>
          <w:iCs/>
        </w:rPr>
        <w:t>Digital Platforms Inquiry</w:t>
      </w:r>
      <w:r w:rsidRPr="00E7516E">
        <w:rPr>
          <w:rFonts w:cs="Times New Roman"/>
        </w:rPr>
        <w:t xml:space="preserve"> that Australia adopt a right to erasure, subject to possible further qualifications. For example, exceptions that allow the retention of information where it is necessary for the performance of a contract to which the consumer is a party, is required by law, or is otherwise necessary for an overriding public reason: ACCC, </w:t>
      </w:r>
      <w:r w:rsidRPr="00E7516E">
        <w:rPr>
          <w:rFonts w:cs="Times New Roman"/>
          <w:i/>
        </w:rPr>
        <w:t>Digital Platforms Inquiry</w:t>
      </w:r>
      <w:r w:rsidRPr="00E7516E">
        <w:rPr>
          <w:rFonts w:cs="Times New Roman"/>
        </w:rPr>
        <w:t xml:space="preserve"> 473</w:t>
      </w:r>
      <w:bookmarkEnd w:id="632"/>
      <w:r w:rsidRPr="00E7516E">
        <w:rPr>
          <w:rFonts w:cs="Times New Roman"/>
        </w:rPr>
        <w:t>.</w:t>
      </w:r>
    </w:p>
  </w:footnote>
  <w:footnote w:id="603">
    <w:p w14:paraId="5DCC356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18.</w:t>
      </w:r>
    </w:p>
  </w:footnote>
  <w:footnote w:id="604">
    <w:p w14:paraId="7E2ABA76" w14:textId="5C44C41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177. </w:t>
      </w:r>
    </w:p>
  </w:footnote>
  <w:footnote w:id="605">
    <w:p w14:paraId="48404A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178.</w:t>
      </w:r>
    </w:p>
  </w:footnote>
  <w:footnote w:id="606">
    <w:p w14:paraId="657A30EF" w14:textId="55239B6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51D5B" w:rsidRPr="00E7516E">
        <w:rPr>
          <w:rFonts w:cs="Times New Roman"/>
        </w:rPr>
        <w:t xml:space="preserve">Privacy Act Review Report 2022 </w:t>
      </w:r>
      <w:r w:rsidRPr="00E7516E">
        <w:rPr>
          <w:rFonts w:cs="Times New Roman"/>
        </w:rPr>
        <w:t>Proposal 18.5 and 178–179. The Review recommended this right be jurisdictionally limited to Australia, and that ‘[t]he search engine may refer a suitable request to the OAIC for a fee’: ibid.</w:t>
      </w:r>
    </w:p>
  </w:footnote>
  <w:footnote w:id="607">
    <w:p w14:paraId="1BB435D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18. </w:t>
      </w:r>
    </w:p>
  </w:footnote>
  <w:footnote w:id="608">
    <w:p w14:paraId="6B832E7B" w14:textId="520D40E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ch 21.</w:t>
      </w:r>
    </w:p>
  </w:footnote>
  <w:footnote w:id="609">
    <w:p w14:paraId="229B24AA" w14:textId="5179B32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20677">
        <w:rPr>
          <w:rFonts w:cs="Times New Roman"/>
        </w:rPr>
        <w:t>Ibid</w:t>
      </w:r>
      <w:r w:rsidRPr="00E7516E">
        <w:rPr>
          <w:rFonts w:cs="Times New Roman"/>
        </w:rPr>
        <w:t xml:space="preserve"> Proposal 21.1 and 222.</w:t>
      </w:r>
    </w:p>
  </w:footnote>
  <w:footnote w:id="610">
    <w:p w14:paraId="34DA4A8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8.</w:t>
      </w:r>
    </w:p>
  </w:footnote>
  <w:footnote w:id="611">
    <w:p w14:paraId="3569DC6F" w14:textId="203578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21.2 and 223. The Review suggested the outcomes-based factors in art 32(1) of the GDPR and the Australian Cyber Security Centre’s Cyber Security Principles could be used as a starting point for this: Privacy Act Review Report 2022 224.</w:t>
      </w:r>
    </w:p>
  </w:footnote>
  <w:footnote w:id="612">
    <w:p w14:paraId="393A5B6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8 </w:t>
      </w:r>
    </w:p>
  </w:footnote>
  <w:footnote w:id="613">
    <w:p w14:paraId="0ED23AEB" w14:textId="4CD9A53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21.7 and 228.</w:t>
      </w:r>
    </w:p>
  </w:footnote>
  <w:footnote w:id="614">
    <w:p w14:paraId="322B067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9.</w:t>
      </w:r>
    </w:p>
  </w:footnote>
  <w:footnote w:id="615">
    <w:p w14:paraId="37A2D1F3" w14:textId="18A46C7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4.6(a).</w:t>
      </w:r>
    </w:p>
  </w:footnote>
  <w:footnote w:id="616">
    <w:p w14:paraId="7C5D3A4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5, 9.</w:t>
      </w:r>
    </w:p>
  </w:footnote>
  <w:footnote w:id="617">
    <w:p w14:paraId="1F90CDCB" w14:textId="6C618A9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21.5 and 226.</w:t>
      </w:r>
    </w:p>
  </w:footnote>
  <w:footnote w:id="618">
    <w:p w14:paraId="1133BA1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8.</w:t>
      </w:r>
    </w:p>
  </w:footnote>
  <w:footnote w:id="619">
    <w:p w14:paraId="0876D9ED" w14:textId="34F2BB0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21.6 and 226–267.</w:t>
      </w:r>
    </w:p>
  </w:footnote>
  <w:footnote w:id="620">
    <w:p w14:paraId="52931D3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9.</w:t>
      </w:r>
    </w:p>
  </w:footnote>
  <w:footnote w:id="621">
    <w:p w14:paraId="70D4585C" w14:textId="4E7C396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18.1.</w:t>
      </w:r>
    </w:p>
  </w:footnote>
  <w:footnote w:id="622">
    <w:p w14:paraId="1D4EC70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168–169.</w:t>
      </w:r>
    </w:p>
  </w:footnote>
  <w:footnote w:id="623">
    <w:p w14:paraId="7235DF8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624">
    <w:p w14:paraId="17CE5B80" w14:textId="09CFF69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18.1 and 172. The Review also proposed that organisations (but not government agencies and related bodies) be permitted to charge a nominal fee for access and explanation.</w:t>
      </w:r>
    </w:p>
  </w:footnote>
  <w:footnote w:id="625">
    <w:p w14:paraId="6298FC5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18.</w:t>
      </w:r>
    </w:p>
  </w:footnote>
  <w:footnote w:id="626">
    <w:p w14:paraId="221664D6" w14:textId="7FE50F2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18.4.</w:t>
      </w:r>
    </w:p>
  </w:footnote>
  <w:footnote w:id="627">
    <w:p w14:paraId="5027328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18.</w:t>
      </w:r>
    </w:p>
  </w:footnote>
  <w:footnote w:id="628">
    <w:p w14:paraId="0ACADF4F" w14:textId="03F5603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18.6.</w:t>
      </w:r>
    </w:p>
  </w:footnote>
  <w:footnote w:id="629">
    <w:p w14:paraId="23E580E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18.</w:t>
      </w:r>
    </w:p>
  </w:footnote>
  <w:footnote w:id="630">
    <w:p w14:paraId="368E5E3B" w14:textId="77792F0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180.</w:t>
      </w:r>
    </w:p>
  </w:footnote>
  <w:footnote w:id="631">
    <w:p w14:paraId="0EC1C82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632">
    <w:p w14:paraId="3B27C43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180–181.</w:t>
      </w:r>
    </w:p>
  </w:footnote>
  <w:footnote w:id="633">
    <w:p w14:paraId="7F9FB2E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18.6 and 181–182.</w:t>
      </w:r>
    </w:p>
  </w:footnote>
  <w:footnote w:id="634">
    <w:p w14:paraId="2C9FD70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18.6 and 181.</w:t>
      </w:r>
    </w:p>
  </w:footnote>
  <w:footnote w:id="635">
    <w:p w14:paraId="0B084876" w14:textId="7F0E85A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184–187.</w:t>
      </w:r>
    </w:p>
  </w:footnote>
  <w:footnote w:id="636">
    <w:p w14:paraId="57D09D73" w14:textId="0B67EC0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43D9F">
        <w:rPr>
          <w:rFonts w:cs="Times New Roman"/>
        </w:rPr>
        <w:t xml:space="preserve">Privacy Act Review Report 2022 </w:t>
      </w:r>
      <w:r w:rsidRPr="00E7516E">
        <w:rPr>
          <w:rFonts w:cs="Times New Roman"/>
        </w:rPr>
        <w:t>Proposal 18.8 and 184.</w:t>
      </w:r>
    </w:p>
  </w:footnote>
  <w:footnote w:id="637">
    <w:p w14:paraId="793522A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18.9.</w:t>
      </w:r>
    </w:p>
  </w:footnote>
  <w:footnote w:id="638">
    <w:p w14:paraId="067F9E17" w14:textId="6B2A043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40BFD">
        <w:rPr>
          <w:rFonts w:cs="Times New Roman"/>
        </w:rPr>
        <w:t xml:space="preserve">Ibid </w:t>
      </w:r>
      <w:r w:rsidRPr="00E7516E">
        <w:rPr>
          <w:rFonts w:cs="Times New Roman"/>
        </w:rPr>
        <w:t>Proposal 18.10.</w:t>
      </w:r>
    </w:p>
  </w:footnote>
  <w:footnote w:id="639">
    <w:p w14:paraId="68E093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18.</w:t>
      </w:r>
    </w:p>
  </w:footnote>
  <w:footnote w:id="640">
    <w:p w14:paraId="0A752FA4" w14:textId="5E5DA5F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D31E7">
        <w:rPr>
          <w:rFonts w:cs="Times New Roman"/>
        </w:rPr>
        <w:t xml:space="preserve">Issues Paper </w:t>
      </w:r>
      <w:r w:rsidRPr="00E7516E">
        <w:rPr>
          <w:rFonts w:cs="Times New Roman"/>
        </w:rPr>
        <w:t>Part 2, Question 2.8.</w:t>
      </w:r>
    </w:p>
  </w:footnote>
  <w:footnote w:id="641">
    <w:p w14:paraId="4CB14D9E" w14:textId="1624F05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D31E7">
        <w:rPr>
          <w:rFonts w:cs="Times New Roman"/>
        </w:rPr>
        <w:t xml:space="preserve">Ibid </w:t>
      </w:r>
      <w:r w:rsidRPr="00E7516E">
        <w:rPr>
          <w:rFonts w:cs="Times New Roman"/>
        </w:rPr>
        <w:t>Part 2, Question 2.9(c).</w:t>
      </w:r>
    </w:p>
  </w:footnote>
  <w:footnote w:id="642">
    <w:p w14:paraId="48FB723A" w14:textId="2681D959" w:rsidR="00FF302D" w:rsidRPr="00E7516E" w:rsidRDefault="00FF302D" w:rsidP="00E7516E">
      <w:pPr>
        <w:pStyle w:val="FootnoteText"/>
        <w:jc w:val="left"/>
        <w:rPr>
          <w:rFonts w:cs="Times New Roman"/>
        </w:rPr>
      </w:pPr>
      <w:r w:rsidRPr="00274014">
        <w:rPr>
          <w:rStyle w:val="FootnoteReference"/>
          <w:rFonts w:ascii="Times New Roman" w:hAnsi="Times New Roman" w:cs="Times New Roman"/>
        </w:rPr>
        <w:footnoteRef/>
      </w:r>
      <w:r w:rsidRPr="00274014">
        <w:rPr>
          <w:rFonts w:cs="Times New Roman"/>
        </w:rPr>
        <w:t xml:space="preserve"> Submission </w:t>
      </w:r>
      <w:r w:rsidR="00274014" w:rsidRPr="00274014">
        <w:rPr>
          <w:rFonts w:cs="Times New Roman"/>
        </w:rPr>
        <w:t>20</w:t>
      </w:r>
      <w:r w:rsidR="00C40BFD">
        <w:rPr>
          <w:rFonts w:cs="Times New Roman"/>
        </w:rPr>
        <w:t xml:space="preserve"> (Dr Joel Scanlan)</w:t>
      </w:r>
      <w:r w:rsidRPr="00274014">
        <w:rPr>
          <w:rFonts w:cs="Times New Roman"/>
        </w:rPr>
        <w:t>.</w:t>
      </w:r>
    </w:p>
  </w:footnote>
  <w:footnote w:id="643">
    <w:p w14:paraId="7159EE0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6(1)(b).</w:t>
      </w:r>
    </w:p>
  </w:footnote>
  <w:footnote w:id="644">
    <w:p w14:paraId="220CEC37" w14:textId="732EA06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w:t>
      </w:r>
      <w:r w:rsidR="0086759C">
        <w:rPr>
          <w:rFonts w:cs="Times New Roman"/>
        </w:rPr>
        <w:t xml:space="preserve"> (Alex Kendall)</w:t>
      </w:r>
      <w:r w:rsidRPr="00E7516E">
        <w:rPr>
          <w:rFonts w:cs="Times New Roman"/>
        </w:rPr>
        <w:t>.</w:t>
      </w:r>
    </w:p>
  </w:footnote>
  <w:footnote w:id="645">
    <w:p w14:paraId="64CECF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PIPA s 17G.</w:t>
      </w:r>
    </w:p>
  </w:footnote>
  <w:footnote w:id="646">
    <w:p w14:paraId="6CE8F93C" w14:textId="7CC9D36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4</w:t>
      </w:r>
      <w:r w:rsidR="00A91494">
        <w:rPr>
          <w:rFonts w:cs="Times New Roman"/>
        </w:rPr>
        <w:t xml:space="preserve"> (Tasmanian Ombudsman)</w:t>
      </w:r>
      <w:r w:rsidRPr="00E7516E">
        <w:rPr>
          <w:rFonts w:cs="Times New Roman"/>
        </w:rPr>
        <w:t>.</w:t>
      </w:r>
    </w:p>
  </w:footnote>
  <w:footnote w:id="647">
    <w:p w14:paraId="40AE6DC1" w14:textId="45F1E81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Privacy Act Review Report 2022 167.</w:t>
      </w:r>
    </w:p>
  </w:footnote>
  <w:footnote w:id="648">
    <w:p w14:paraId="38FD9DE3" w14:textId="09D06244" w:rsidR="009C483B" w:rsidRPr="005D294F" w:rsidRDefault="009C483B">
      <w:pPr>
        <w:pStyle w:val="FootnoteText"/>
        <w:rPr>
          <w:rFonts w:cs="Times New Roman"/>
        </w:rPr>
      </w:pPr>
      <w:r w:rsidRPr="005D294F">
        <w:rPr>
          <w:rStyle w:val="FootnoteReference"/>
          <w:rFonts w:ascii="Times New Roman" w:hAnsi="Times New Roman" w:cs="Times New Roman"/>
        </w:rPr>
        <w:footnoteRef/>
      </w:r>
      <w:r w:rsidRPr="005D294F">
        <w:rPr>
          <w:rFonts w:cs="Times New Roman"/>
        </w:rPr>
        <w:t xml:space="preserve"> </w:t>
      </w:r>
      <w:r w:rsidR="005D294F" w:rsidRPr="005D294F">
        <w:rPr>
          <w:rFonts w:cs="Times New Roman"/>
        </w:rPr>
        <w:t>Submission 10</w:t>
      </w:r>
      <w:r w:rsidR="00A91494">
        <w:rPr>
          <w:rFonts w:cs="Times New Roman"/>
        </w:rPr>
        <w:t xml:space="preserve"> (Richard Griggs)</w:t>
      </w:r>
      <w:r w:rsidR="005D294F" w:rsidRPr="005D294F">
        <w:rPr>
          <w:rFonts w:cs="Times New Roman"/>
        </w:rPr>
        <w:t>.</w:t>
      </w:r>
    </w:p>
  </w:footnote>
  <w:footnote w:id="649">
    <w:p w14:paraId="1CE61307" w14:textId="315AD34E" w:rsidR="005D294F" w:rsidRPr="00DC446E" w:rsidRDefault="005D294F">
      <w:pPr>
        <w:pStyle w:val="FootnoteText"/>
        <w:rPr>
          <w:rFonts w:cs="Times New Roman"/>
        </w:rPr>
      </w:pPr>
      <w:r w:rsidRPr="00DC446E">
        <w:rPr>
          <w:rStyle w:val="FootnoteReference"/>
          <w:rFonts w:ascii="Times New Roman" w:hAnsi="Times New Roman" w:cs="Times New Roman"/>
        </w:rPr>
        <w:footnoteRef/>
      </w:r>
      <w:r w:rsidRPr="00DC446E">
        <w:rPr>
          <w:rFonts w:cs="Times New Roman"/>
        </w:rPr>
        <w:t xml:space="preserve"> </w:t>
      </w:r>
      <w:r w:rsidR="00DC446E" w:rsidRPr="00DC446E">
        <w:rPr>
          <w:rStyle w:val="cf01"/>
          <w:rFonts w:ascii="Times New Roman" w:hAnsi="Times New Roman" w:cs="Times New Roman"/>
          <w:sz w:val="20"/>
          <w:szCs w:val="20"/>
        </w:rPr>
        <w:t>See Privacy Act Review</w:t>
      </w:r>
      <w:r w:rsidR="00706AC5">
        <w:rPr>
          <w:rStyle w:val="cf01"/>
          <w:rFonts w:ascii="Times New Roman" w:hAnsi="Times New Roman" w:cs="Times New Roman"/>
          <w:sz w:val="20"/>
          <w:szCs w:val="20"/>
        </w:rPr>
        <w:t xml:space="preserve"> </w:t>
      </w:r>
      <w:r w:rsidR="00DC446E" w:rsidRPr="00DC446E">
        <w:rPr>
          <w:rStyle w:val="cf01"/>
          <w:rFonts w:ascii="Times New Roman" w:hAnsi="Times New Roman" w:cs="Times New Roman"/>
          <w:sz w:val="20"/>
          <w:szCs w:val="20"/>
        </w:rPr>
        <w:t>Report</w:t>
      </w:r>
      <w:r w:rsidR="00743D9F">
        <w:rPr>
          <w:rStyle w:val="cf01"/>
          <w:rFonts w:ascii="Times New Roman" w:hAnsi="Times New Roman" w:cs="Times New Roman"/>
          <w:sz w:val="20"/>
          <w:szCs w:val="20"/>
        </w:rPr>
        <w:t xml:space="preserve"> 2022</w:t>
      </w:r>
      <w:r w:rsidR="00DC446E" w:rsidRPr="00DC446E">
        <w:rPr>
          <w:rStyle w:val="cf01"/>
          <w:rFonts w:ascii="Times New Roman" w:hAnsi="Times New Roman" w:cs="Times New Roman"/>
          <w:sz w:val="20"/>
          <w:szCs w:val="20"/>
        </w:rPr>
        <w:t xml:space="preserve"> 226.</w:t>
      </w:r>
    </w:p>
  </w:footnote>
  <w:footnote w:id="650">
    <w:p w14:paraId="0F75C367" w14:textId="78FD39D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743D9F">
        <w:rPr>
          <w:rFonts w:cs="Times New Roman"/>
        </w:rPr>
        <w:t xml:space="preserve">Privacy Act Review Report 2022 </w:t>
      </w:r>
      <w:r w:rsidRPr="00E7516E">
        <w:rPr>
          <w:rFonts w:cs="Times New Roman"/>
        </w:rPr>
        <w:t>Proposal 4.6.</w:t>
      </w:r>
    </w:p>
  </w:footnote>
  <w:footnote w:id="651">
    <w:p w14:paraId="33D5F64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ss 3 (definition of ‘personal information’), 3A.</w:t>
      </w:r>
    </w:p>
  </w:footnote>
  <w:footnote w:id="652">
    <w:p w14:paraId="32569E12" w14:textId="1900C6B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Commission of Inquiry into the Tasmanian Government’s Responses to Child Sexual Abuse (Report, August 2023) Recommendation 17.8(1) &lt;</w:t>
      </w:r>
      <w:hyperlink r:id="rId16" w:history="1">
        <w:r w:rsidRPr="00E7516E">
          <w:rPr>
            <w:rStyle w:val="Hyperlink"/>
            <w:rFonts w:cs="Times New Roman"/>
          </w:rPr>
          <w:t>https://www.commissionofinquiry.tas.gov.au/__data/assets/file/0011/724439/COI_Full-Report.pdf</w:t>
        </w:r>
      </w:hyperlink>
      <w:r w:rsidRPr="00E7516E">
        <w:rPr>
          <w:rFonts w:cs="Times New Roman"/>
        </w:rPr>
        <w:t xml:space="preserve">&gt; (‘CoI </w:t>
      </w:r>
      <w:r w:rsidR="000B4F29">
        <w:rPr>
          <w:rFonts w:cs="Times New Roman"/>
        </w:rPr>
        <w:t xml:space="preserve">Final </w:t>
      </w:r>
      <w:r w:rsidRPr="00E7516E">
        <w:rPr>
          <w:rFonts w:cs="Times New Roman"/>
        </w:rPr>
        <w:t>Report’).</w:t>
      </w:r>
    </w:p>
  </w:footnote>
  <w:footnote w:id="653">
    <w:p w14:paraId="3FFAF7E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17.8(2).</w:t>
      </w:r>
    </w:p>
  </w:footnote>
  <w:footnote w:id="654">
    <w:p w14:paraId="1A05FB5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12.1</w:t>
      </w:r>
    </w:p>
  </w:footnote>
  <w:footnote w:id="655">
    <w:p w14:paraId="728813F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12.4(b). The TLRI observes that OAIC guidance gives examples of email, phone, in person, hard copy or electronic record access: OAIC, </w:t>
      </w:r>
      <w:r w:rsidRPr="00E7516E">
        <w:rPr>
          <w:rFonts w:cs="Times New Roman"/>
          <w:i/>
          <w:iCs/>
        </w:rPr>
        <w:t>APP Guidelines</w:t>
      </w:r>
      <w:r w:rsidRPr="00E7516E">
        <w:rPr>
          <w:rFonts w:cs="Times New Roman"/>
        </w:rPr>
        <w:t xml:space="preserve"> [12.68].</w:t>
      </w:r>
    </w:p>
  </w:footnote>
  <w:footnote w:id="656">
    <w:p w14:paraId="6971EE7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12.9.</w:t>
      </w:r>
    </w:p>
  </w:footnote>
  <w:footnote w:id="657">
    <w:p w14:paraId="52D77858" w14:textId="17BA10F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w:t>
      </w:r>
      <w:r w:rsidR="000B4F29">
        <w:rPr>
          <w:rFonts w:cs="Times New Roman"/>
        </w:rPr>
        <w:t xml:space="preserve">Final </w:t>
      </w:r>
      <w:r w:rsidRPr="00E7516E">
        <w:rPr>
          <w:rFonts w:cs="Times New Roman"/>
        </w:rPr>
        <w:t>Report 190.</w:t>
      </w:r>
    </w:p>
  </w:footnote>
  <w:footnote w:id="658">
    <w:p w14:paraId="2F30ABA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191.</w:t>
      </w:r>
    </w:p>
  </w:footnote>
  <w:footnote w:id="659">
    <w:p w14:paraId="7934E2ED" w14:textId="325D91B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D92327" w:rsidRPr="00E7516E">
        <w:rPr>
          <w:rFonts w:cs="Times New Roman"/>
        </w:rPr>
        <w:t xml:space="preserve">CoI </w:t>
      </w:r>
      <w:r w:rsidR="00D92327">
        <w:rPr>
          <w:rFonts w:cs="Times New Roman"/>
        </w:rPr>
        <w:t xml:space="preserve">Final </w:t>
      </w:r>
      <w:r w:rsidR="00D92327" w:rsidRPr="00E7516E">
        <w:rPr>
          <w:rFonts w:cs="Times New Roman"/>
        </w:rPr>
        <w:t>Report</w:t>
      </w:r>
      <w:r w:rsidRPr="00E7516E">
        <w:rPr>
          <w:rFonts w:cs="Times New Roman"/>
        </w:rPr>
        <w:t xml:space="preserve"> Recommendation 17.8(3).</w:t>
      </w:r>
    </w:p>
  </w:footnote>
  <w:footnote w:id="660">
    <w:p w14:paraId="7CF29B1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Recommendations 17.8(4) and 19.2.</w:t>
      </w:r>
    </w:p>
  </w:footnote>
  <w:footnote w:id="661">
    <w:p w14:paraId="02342736" w14:textId="07089F3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Privacy Act Review </w:t>
      </w:r>
      <w:r w:rsidR="00706AC5">
        <w:rPr>
          <w:rFonts w:cs="Times New Roman"/>
        </w:rPr>
        <w:t xml:space="preserve">Final </w:t>
      </w:r>
      <w:r w:rsidRPr="00E7516E">
        <w:rPr>
          <w:rFonts w:cs="Times New Roman"/>
        </w:rPr>
        <w:t>Report 2022 Proposal 18.1.</w:t>
      </w:r>
    </w:p>
  </w:footnote>
  <w:footnote w:id="662">
    <w:p w14:paraId="25D0E71C" w14:textId="4AACCC8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Report Recommendation 17.8(2).</w:t>
      </w:r>
    </w:p>
  </w:footnote>
  <w:footnote w:id="663">
    <w:p w14:paraId="5A3EE242" w14:textId="3A7B9D7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4</w:t>
      </w:r>
      <w:r w:rsidR="006C2807">
        <w:rPr>
          <w:rFonts w:cs="Times New Roman"/>
        </w:rPr>
        <w:t xml:space="preserve"> (</w:t>
      </w:r>
      <w:r w:rsidR="007E5CE0">
        <w:rPr>
          <w:rFonts w:cs="Times New Roman"/>
        </w:rPr>
        <w:t>Tasmanian Ombudsman)</w:t>
      </w:r>
      <w:r w:rsidRPr="00E7516E">
        <w:rPr>
          <w:rFonts w:cs="Times New Roman"/>
        </w:rPr>
        <w:t>.</w:t>
      </w:r>
    </w:p>
  </w:footnote>
  <w:footnote w:id="664">
    <w:p w14:paraId="397ADA97" w14:textId="70D04E4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177.</w:t>
      </w:r>
    </w:p>
  </w:footnote>
  <w:footnote w:id="665">
    <w:p w14:paraId="392099D0" w14:textId="78405C3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See [</w:t>
      </w:r>
      <w:r w:rsidR="000B3566" w:rsidRPr="00EA22F8">
        <w:rPr>
          <w:rFonts w:cs="Times New Roman"/>
        </w:rPr>
        <w:fldChar w:fldCharType="begin"/>
      </w:r>
      <w:r w:rsidR="000B3566" w:rsidRPr="00EA22F8">
        <w:rPr>
          <w:rFonts w:cs="Times New Roman"/>
        </w:rPr>
        <w:instrText xml:space="preserve"> REF _Ref164783701 \r \h </w:instrText>
      </w:r>
      <w:r w:rsidR="000B3566">
        <w:rPr>
          <w:rFonts w:cs="Times New Roman"/>
        </w:rPr>
        <w:instrText xml:space="preserve"> \* MERGEFORMAT </w:instrText>
      </w:r>
      <w:r w:rsidR="000B3566" w:rsidRPr="00EA22F8">
        <w:rPr>
          <w:rFonts w:cs="Times New Roman"/>
        </w:rPr>
      </w:r>
      <w:r w:rsidR="000B3566" w:rsidRPr="00EA22F8">
        <w:rPr>
          <w:rFonts w:cs="Times New Roman"/>
        </w:rPr>
        <w:fldChar w:fldCharType="separate"/>
      </w:r>
      <w:r w:rsidR="00462C30">
        <w:rPr>
          <w:rFonts w:cs="Times New Roman"/>
          <w:cs/>
        </w:rPr>
        <w:t>‎</w:t>
      </w:r>
      <w:r w:rsidR="00462C30">
        <w:rPr>
          <w:rFonts w:cs="Times New Roman"/>
        </w:rPr>
        <w:t>6.3.13</w:t>
      </w:r>
      <w:r w:rsidR="000B3566" w:rsidRPr="00EA22F8">
        <w:rPr>
          <w:rFonts w:cs="Times New Roman"/>
        </w:rPr>
        <w:fldChar w:fldCharType="end"/>
      </w:r>
      <w:r w:rsidRPr="00EA22F8">
        <w:rPr>
          <w:rFonts w:cs="Times New Roman"/>
        </w:rPr>
        <w:t>] above.</w:t>
      </w:r>
    </w:p>
  </w:footnote>
  <w:footnote w:id="666">
    <w:p w14:paraId="32B99AED" w14:textId="00041CB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Privacy Act Review</w:t>
      </w:r>
      <w:r w:rsidR="006816E0">
        <w:rPr>
          <w:rFonts w:cs="Times New Roman"/>
        </w:rPr>
        <w:t xml:space="preserve"> </w:t>
      </w:r>
      <w:r w:rsidRPr="00E7516E">
        <w:rPr>
          <w:rFonts w:cs="Times New Roman"/>
        </w:rPr>
        <w:t>Report 2022 Proposal 18.1.</w:t>
      </w:r>
    </w:p>
  </w:footnote>
  <w:footnote w:id="667">
    <w:p w14:paraId="1579523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 xml:space="preserve">(Vic) sch 1, cl 5; IPA (ACT) TPP 1; </w:t>
      </w:r>
      <w:r w:rsidRPr="00E7516E">
        <w:rPr>
          <w:rFonts w:cs="Times New Roman"/>
          <w:i/>
          <w:iCs/>
        </w:rPr>
        <w:t xml:space="preserve">Information Act 2002 </w:t>
      </w:r>
      <w:r w:rsidRPr="00E7516E">
        <w:rPr>
          <w:rFonts w:cs="Times New Roman"/>
        </w:rPr>
        <w:t>(NT) sch 2, cl 5.1, 5.2.</w:t>
      </w:r>
    </w:p>
  </w:footnote>
  <w:footnote w:id="668">
    <w:p w14:paraId="6A52B7F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APPs 1.3, 1.6.</w:t>
      </w:r>
    </w:p>
  </w:footnote>
  <w:footnote w:id="669">
    <w:p w14:paraId="0268E90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APP 1.4.</w:t>
      </w:r>
    </w:p>
  </w:footnote>
  <w:footnote w:id="670">
    <w:p w14:paraId="0DC0B16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w:t>
      </w:r>
      <w:r w:rsidRPr="00E7516E">
        <w:rPr>
          <w:rFonts w:cs="Times New Roman"/>
          <w:i/>
        </w:rPr>
        <w:t>, Privacy (Australian Government – Agencies Governance) APP Code</w:t>
      </w:r>
      <w:r w:rsidRPr="00E7516E">
        <w:rPr>
          <w:rFonts w:cs="Times New Roman"/>
        </w:rPr>
        <w:t xml:space="preserve"> (2017) &lt;</w:t>
      </w:r>
      <w:hyperlink r:id="rId17" w:history="1">
        <w:r w:rsidRPr="00E7516E">
          <w:rPr>
            <w:rStyle w:val="Hyperlink"/>
            <w:rFonts w:cs="Times New Roman"/>
          </w:rPr>
          <w:t>https://www.oaic.gov.au/privacy/privacy-registers/privacy-codes-register/australian-government-agencies-privacy-code/</w:t>
        </w:r>
      </w:hyperlink>
      <w:r w:rsidRPr="00E7516E">
        <w:rPr>
          <w:rFonts w:cs="Times New Roman"/>
        </w:rPr>
        <w:t>&gt;.</w:t>
      </w:r>
    </w:p>
  </w:footnote>
  <w:footnote w:id="671">
    <w:p w14:paraId="34615EB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Privacy Act 1988</w:t>
      </w:r>
      <w:r w:rsidRPr="00E7516E">
        <w:rPr>
          <w:rFonts w:cs="Times New Roman"/>
        </w:rPr>
        <w:t xml:space="preserve"> (Cth) Pt IIIB.</w:t>
      </w:r>
    </w:p>
  </w:footnote>
  <w:footnote w:id="672">
    <w:p w14:paraId="167B2464" w14:textId="40BF902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21.8.</w:t>
      </w:r>
    </w:p>
  </w:footnote>
  <w:footnote w:id="673">
    <w:p w14:paraId="0D2FD39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9.</w:t>
      </w:r>
    </w:p>
  </w:footnote>
  <w:footnote w:id="674">
    <w:p w14:paraId="7ED60C37" w14:textId="7D63246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Proposal 10.3 and 99–100.</w:t>
      </w:r>
    </w:p>
  </w:footnote>
  <w:footnote w:id="675">
    <w:p w14:paraId="749FA68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17.</w:t>
      </w:r>
    </w:p>
  </w:footnote>
  <w:footnote w:id="676">
    <w:p w14:paraId="2BC51969" w14:textId="552C51F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8.2 and 75.</w:t>
      </w:r>
    </w:p>
  </w:footnote>
  <w:footnote w:id="677">
    <w:p w14:paraId="436C8ED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24.</w:t>
      </w:r>
    </w:p>
  </w:footnote>
  <w:footnote w:id="678">
    <w:p w14:paraId="36AF87D9" w14:textId="762BA48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13.1 and 124–125. The Review also recommended the development of OAIC guidance which articulated a non-exhaustive list of factors that indicate when an individual may be experiencing vulnerability and be at a higher risk of harm from interferences with their personal information: Proposal 17.1 and 159–162. The Government agreed with this proposal: Government Response 14.</w:t>
      </w:r>
    </w:p>
  </w:footnote>
  <w:footnote w:id="679">
    <w:p w14:paraId="06FB51D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10.</w:t>
      </w:r>
    </w:p>
  </w:footnote>
  <w:footnote w:id="680">
    <w:p w14:paraId="727FA647" w14:textId="25BD128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594F23">
        <w:rPr>
          <w:rFonts w:cs="Times New Roman"/>
        </w:rPr>
        <w:t xml:space="preserve"> </w:t>
      </w:r>
      <w:r w:rsidRPr="00E7516E">
        <w:rPr>
          <w:rFonts w:cs="Times New Roman"/>
        </w:rPr>
        <w:t>Report Proposal 13.1. In this proposal, the Review also suggested that such a change be supported by OAIC guidance on the factors that might indicate a high privacy risk, and that an indicative list of high-risk practices could be included in the Act: ibid 124.</w:t>
      </w:r>
    </w:p>
  </w:footnote>
  <w:footnote w:id="681">
    <w:p w14:paraId="261AF7B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682">
    <w:p w14:paraId="739D0B8D" w14:textId="1202B5D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15.2 and 143–144. Legislation in most States and Territories does not require regulated entities to appoint a responsible privacy officer, although the Queensland legislation specifies that access and amendment requests to agencies must be dealt with by the agency’s principal officer, who may delegate the power to another officer: </w:t>
      </w:r>
      <w:r w:rsidRPr="00E7516E">
        <w:rPr>
          <w:rFonts w:cs="Times New Roman"/>
          <w:i/>
          <w:iCs/>
        </w:rPr>
        <w:t xml:space="preserve">Information Privacy Act 2009 </w:t>
      </w:r>
      <w:r w:rsidRPr="00E7516E">
        <w:rPr>
          <w:rFonts w:cs="Times New Roman"/>
        </w:rPr>
        <w:t>(Qld) s 50.</w:t>
      </w:r>
    </w:p>
  </w:footnote>
  <w:footnote w:id="683">
    <w:p w14:paraId="6AD120A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10.</w:t>
      </w:r>
    </w:p>
  </w:footnote>
  <w:footnote w:id="684">
    <w:p w14:paraId="73DE6707" w14:textId="0D07550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188.</w:t>
      </w:r>
    </w:p>
  </w:footnote>
  <w:footnote w:id="685">
    <w:p w14:paraId="362378F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188–189.</w:t>
      </w:r>
    </w:p>
  </w:footnote>
  <w:footnote w:id="686">
    <w:p w14:paraId="09E3AA1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GDPR</w:t>
      </w:r>
      <w:r w:rsidRPr="00E7516E">
        <w:rPr>
          <w:rFonts w:cs="Times New Roman"/>
          <w:i/>
        </w:rPr>
        <w:t xml:space="preserve"> </w:t>
      </w:r>
      <w:r w:rsidRPr="00E7516E">
        <w:rPr>
          <w:rFonts w:cs="Times New Roman"/>
        </w:rPr>
        <w:t>art 4 (definition of ‘profiling’).</w:t>
      </w:r>
    </w:p>
  </w:footnote>
  <w:footnote w:id="687">
    <w:p w14:paraId="7E0012F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AHRC, </w:t>
      </w:r>
      <w:r w:rsidRPr="00E7516E">
        <w:rPr>
          <w:rFonts w:cs="Times New Roman"/>
          <w:i/>
        </w:rPr>
        <w:t>Human Rights and Technology Final Report</w:t>
      </w:r>
      <w:r w:rsidRPr="00E7516E">
        <w:rPr>
          <w:rFonts w:cs="Times New Roman"/>
        </w:rPr>
        <w:t xml:space="preserve"> ch 5.</w:t>
      </w:r>
    </w:p>
  </w:footnote>
  <w:footnote w:id="688">
    <w:p w14:paraId="63E4377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55 (Recommendation 2).</w:t>
      </w:r>
    </w:p>
  </w:footnote>
  <w:footnote w:id="689">
    <w:p w14:paraId="4530B0D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68 (Recommendation 8).</w:t>
      </w:r>
    </w:p>
  </w:footnote>
  <w:footnote w:id="690">
    <w:p w14:paraId="77FBFA9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60 (Recommendation 3).</w:t>
      </w:r>
    </w:p>
  </w:footnote>
  <w:footnote w:id="691">
    <w:p w14:paraId="18C8992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62 (Recommendation 5).</w:t>
      </w:r>
    </w:p>
  </w:footnote>
  <w:footnote w:id="692">
    <w:p w14:paraId="62A8D046" w14:textId="03F8E91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19.1. </w:t>
      </w:r>
    </w:p>
  </w:footnote>
  <w:footnote w:id="693">
    <w:p w14:paraId="014AFC7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19.2 and 190.</w:t>
      </w:r>
    </w:p>
  </w:footnote>
  <w:footnote w:id="694">
    <w:p w14:paraId="34C48F2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19.3 and 193. The Review explained that the use of ‘substantially automated decisions’ rather than the GDPR language of ‘solely automated decisions’ was intended to ensure that entities could not avoid their obligations by introducing negligible human involvement in decision-making, and was consistent with the way the GDPR requirement had been interpreted: ibid 193.</w:t>
      </w:r>
    </w:p>
  </w:footnote>
  <w:footnote w:id="695">
    <w:p w14:paraId="73B4221B" w14:textId="4CAAD70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BB7762">
        <w:rPr>
          <w:rFonts w:cs="Times New Roman"/>
        </w:rPr>
        <w:t xml:space="preserve">Issues Paper </w:t>
      </w:r>
      <w:r w:rsidRPr="00E7516E">
        <w:rPr>
          <w:rFonts w:cs="Times New Roman"/>
        </w:rPr>
        <w:t>Part 2, Question 2.9(d).</w:t>
      </w:r>
    </w:p>
  </w:footnote>
  <w:footnote w:id="696">
    <w:p w14:paraId="608D5CD5" w14:textId="4CCA30F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107F49">
        <w:rPr>
          <w:rFonts w:cs="Times New Roman"/>
        </w:rPr>
        <w:t xml:space="preserve"> (Meg Webb MLC)</w:t>
      </w:r>
      <w:r w:rsidRPr="00E7516E">
        <w:rPr>
          <w:rFonts w:cs="Times New Roman"/>
        </w:rPr>
        <w:t>.</w:t>
      </w:r>
    </w:p>
  </w:footnote>
  <w:footnote w:id="697">
    <w:p w14:paraId="2A2F32B8" w14:textId="5814FD4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11 </w:t>
      </w:r>
      <w:r w:rsidR="00107F49">
        <w:rPr>
          <w:rFonts w:cs="Times New Roman"/>
        </w:rPr>
        <w:t>(TasC</w:t>
      </w:r>
      <w:r w:rsidR="00AF3CCB">
        <w:rPr>
          <w:rFonts w:cs="Times New Roman"/>
        </w:rPr>
        <w:t>OSS</w:t>
      </w:r>
      <w:r w:rsidR="00107F49">
        <w:rPr>
          <w:rFonts w:cs="Times New Roman"/>
        </w:rPr>
        <w:t xml:space="preserve">) </w:t>
      </w:r>
      <w:r w:rsidRPr="00E7516E">
        <w:rPr>
          <w:rFonts w:cs="Times New Roman"/>
        </w:rPr>
        <w:t>5.</w:t>
      </w:r>
    </w:p>
  </w:footnote>
  <w:footnote w:id="698">
    <w:p w14:paraId="6FB9806D" w14:textId="6A65D52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107F49">
        <w:rPr>
          <w:rFonts w:cs="Times New Roman"/>
        </w:rPr>
        <w:t xml:space="preserve"> (Meg Webb MLC)</w:t>
      </w:r>
      <w:r w:rsidRPr="00E7516E">
        <w:rPr>
          <w:rFonts w:cs="Times New Roman"/>
        </w:rPr>
        <w:t>.</w:t>
      </w:r>
    </w:p>
  </w:footnote>
  <w:footnote w:id="699">
    <w:p w14:paraId="3A80CFA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700">
    <w:p w14:paraId="7AAB35D2" w14:textId="7BBD3CB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Report 190–191</w:t>
      </w:r>
      <w:r w:rsidRPr="00AF3CCB">
        <w:rPr>
          <w:rFonts w:cs="Times New Roman"/>
        </w:rPr>
        <w:t xml:space="preserve">; </w:t>
      </w:r>
      <w:r w:rsidRPr="00EA22F8">
        <w:rPr>
          <w:rFonts w:cs="Times New Roman"/>
        </w:rPr>
        <w:t xml:space="preserve">see </w:t>
      </w:r>
      <w:r w:rsidR="00086FF7" w:rsidRPr="00EA22F8">
        <w:rPr>
          <w:rFonts w:cs="Times New Roman"/>
        </w:rPr>
        <w:t>Part</w:t>
      </w:r>
      <w:r w:rsidRPr="00EA22F8">
        <w:rPr>
          <w:rFonts w:cs="Times New Roman"/>
        </w:rPr>
        <w:t xml:space="preserve"> 6 above</w:t>
      </w:r>
      <w:r w:rsidRPr="00AF3CCB">
        <w:rPr>
          <w:rFonts w:cs="Times New Roman"/>
        </w:rPr>
        <w:t>.</w:t>
      </w:r>
    </w:p>
  </w:footnote>
  <w:footnote w:id="701">
    <w:p w14:paraId="153CB8AC" w14:textId="25CF168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4D6AC5">
        <w:rPr>
          <w:rFonts w:cs="Times New Roman"/>
        </w:rPr>
        <w:t xml:space="preserve"> </w:t>
      </w:r>
      <w:r w:rsidRPr="00E7516E">
        <w:rPr>
          <w:rFonts w:cs="Times New Roman"/>
        </w:rPr>
        <w:t>Report 2022 189.</w:t>
      </w:r>
    </w:p>
  </w:footnote>
  <w:footnote w:id="702">
    <w:p w14:paraId="558549D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3 (definition of ‘identifier’).</w:t>
      </w:r>
    </w:p>
  </w:footnote>
  <w:footnote w:id="703">
    <w:p w14:paraId="756FAA01" w14:textId="0F1F450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a discussion of how to identify a custodian’s functions, see the discussion in relation to PIPP 1, above at </w:t>
      </w:r>
      <w:r w:rsidRPr="00EA22F8">
        <w:rPr>
          <w:rFonts w:cs="Times New Roman"/>
        </w:rPr>
        <w:t>[</w:t>
      </w:r>
      <w:r w:rsidR="009C05FF" w:rsidRPr="00EA22F8">
        <w:rPr>
          <w:rFonts w:cs="Times New Roman"/>
        </w:rPr>
        <w:fldChar w:fldCharType="begin"/>
      </w:r>
      <w:r w:rsidR="009C05FF" w:rsidRPr="00EA22F8">
        <w:rPr>
          <w:rFonts w:cs="Times New Roman"/>
        </w:rPr>
        <w:instrText xml:space="preserve"> REF _Ref165021292 \r \h </w:instrText>
      </w:r>
      <w:r w:rsidR="009C05FF">
        <w:rPr>
          <w:rFonts w:cs="Times New Roman"/>
        </w:rPr>
        <w:instrText xml:space="preserve"> \* MERGEFORMAT </w:instrText>
      </w:r>
      <w:r w:rsidR="009C05FF" w:rsidRPr="00EA22F8">
        <w:rPr>
          <w:rFonts w:cs="Times New Roman"/>
        </w:rPr>
      </w:r>
      <w:r w:rsidR="009C05FF" w:rsidRPr="00EA22F8">
        <w:rPr>
          <w:rFonts w:cs="Times New Roman"/>
        </w:rPr>
        <w:fldChar w:fldCharType="separate"/>
      </w:r>
      <w:r w:rsidR="00462C30">
        <w:rPr>
          <w:rFonts w:cs="Times New Roman"/>
          <w:cs/>
        </w:rPr>
        <w:t>‎</w:t>
      </w:r>
      <w:r w:rsidR="00462C30">
        <w:rPr>
          <w:rFonts w:cs="Times New Roman"/>
        </w:rPr>
        <w:t>5.2.1</w:t>
      </w:r>
      <w:r w:rsidR="009C05FF" w:rsidRPr="00EA22F8">
        <w:rPr>
          <w:rFonts w:cs="Times New Roman"/>
        </w:rPr>
        <w:fldChar w:fldCharType="end"/>
      </w:r>
      <w:r w:rsidRPr="00EA22F8">
        <w:rPr>
          <w:rFonts w:cs="Times New Roman"/>
        </w:rPr>
        <w:t>].</w:t>
      </w:r>
    </w:p>
  </w:footnote>
  <w:footnote w:id="704">
    <w:p w14:paraId="57D9D8D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PIPP 7(2).</w:t>
      </w:r>
    </w:p>
  </w:footnote>
  <w:footnote w:id="705">
    <w:p w14:paraId="5B602F9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6(1).</w:t>
      </w:r>
    </w:p>
  </w:footnote>
  <w:footnote w:id="706">
    <w:p w14:paraId="140E368E" w14:textId="48E5B42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PP</w:t>
      </w:r>
      <w:r w:rsidR="003C2B27">
        <w:rPr>
          <w:rFonts w:cs="Times New Roman"/>
        </w:rPr>
        <w:t>I</w:t>
      </w:r>
      <w:r w:rsidRPr="00E7516E">
        <w:rPr>
          <w:rFonts w:cs="Times New Roman"/>
        </w:rPr>
        <w:t>P Act (NSW) s 59R.</w:t>
      </w:r>
    </w:p>
  </w:footnote>
  <w:footnote w:id="707">
    <w:p w14:paraId="004FADB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PDP Act (Vic) IPP 7.</w:t>
      </w:r>
    </w:p>
  </w:footnote>
  <w:footnote w:id="708">
    <w:p w14:paraId="0BC928C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Information Act</w:t>
      </w:r>
      <w:r w:rsidRPr="00E7516E">
        <w:rPr>
          <w:rFonts w:cs="Times New Roman"/>
        </w:rPr>
        <w:t xml:space="preserve"> (NT) s 4. It is noted that the </w:t>
      </w:r>
      <w:r w:rsidRPr="00E7516E">
        <w:rPr>
          <w:rFonts w:cs="Times New Roman"/>
          <w:i/>
          <w:iCs/>
        </w:rPr>
        <w:t>Information Privacy and Other Legislation Amendment Act 2023</w:t>
      </w:r>
      <w:r w:rsidRPr="00E7516E">
        <w:rPr>
          <w:rFonts w:cs="Times New Roman"/>
        </w:rPr>
        <w:t xml:space="preserve"> (Qld) sets out the definition of identifier by the new chapter 3 inserted by s 33 (yet to commence).</w:t>
      </w:r>
    </w:p>
  </w:footnote>
  <w:footnote w:id="709">
    <w:p w14:paraId="3F2EB44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6(1). OAIC guidance notes that other laws regulate the collection, use or disclosure of particular identifiers such as tax file numbers</w:t>
      </w:r>
      <w:r w:rsidRPr="00EA22F8">
        <w:rPr>
          <w:rFonts w:cs="Times New Roman"/>
        </w:rPr>
        <w:t xml:space="preserve">: OAIC, </w:t>
      </w:r>
      <w:r w:rsidRPr="00EA22F8">
        <w:rPr>
          <w:rFonts w:cs="Times New Roman"/>
          <w:i/>
          <w:iCs/>
        </w:rPr>
        <w:t>APP Guidelines</w:t>
      </w:r>
      <w:r w:rsidRPr="00EA22F8">
        <w:rPr>
          <w:rFonts w:cs="Times New Roman"/>
        </w:rPr>
        <w:t xml:space="preserve"> [9.9]</w:t>
      </w:r>
      <w:r w:rsidRPr="00C17AF5">
        <w:rPr>
          <w:rFonts w:cs="Times New Roman"/>
        </w:rPr>
        <w:t>.</w:t>
      </w:r>
    </w:p>
  </w:footnote>
  <w:footnote w:id="710">
    <w:p w14:paraId="7DC63F4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PDP Act (Vic) IPP 7; </w:t>
      </w:r>
      <w:r w:rsidRPr="00E7516E">
        <w:rPr>
          <w:rFonts w:cs="Times New Roman"/>
          <w:i/>
          <w:iCs/>
        </w:rPr>
        <w:t>Information Act</w:t>
      </w:r>
      <w:r w:rsidRPr="00E7516E">
        <w:rPr>
          <w:rFonts w:cs="Times New Roman"/>
        </w:rPr>
        <w:t xml:space="preserve"> (NT) IPP 7.</w:t>
      </w:r>
    </w:p>
  </w:footnote>
  <w:footnote w:id="711">
    <w:p w14:paraId="397571C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 but there is no QPP the equivalent of APP 9.</w:t>
      </w:r>
    </w:p>
  </w:footnote>
  <w:footnote w:id="712">
    <w:p w14:paraId="699A14E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where it is unreasonable or impracticable to obtain consent of the individual, and the use or disclosure is necessary to prevent a serious threat to life, health, or safety: </w:t>
      </w:r>
      <w:r w:rsidRPr="00E7516E">
        <w:rPr>
          <w:rFonts w:cs="Times New Roman"/>
          <w:i/>
        </w:rPr>
        <w:t xml:space="preserve">Privacy Act 1988 </w:t>
      </w:r>
      <w:r w:rsidRPr="00E7516E">
        <w:rPr>
          <w:rFonts w:cs="Times New Roman"/>
        </w:rPr>
        <w:t>(Cth) s 16A.</w:t>
      </w:r>
    </w:p>
  </w:footnote>
  <w:footnote w:id="713">
    <w:p w14:paraId="57203A8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9.2.</w:t>
      </w:r>
    </w:p>
  </w:footnote>
  <w:footnote w:id="714">
    <w:p w14:paraId="0A71523D" w14:textId="77777777" w:rsidR="00FF302D" w:rsidRPr="00EA22F8" w:rsidRDefault="00FF302D" w:rsidP="00E7516E">
      <w:pPr>
        <w:pStyle w:val="Heading3"/>
        <w:jc w:val="left"/>
        <w:rPr>
          <w:rFonts w:ascii="Times New Roman" w:hAnsi="Times New Roman" w:cs="Times New Roman"/>
          <w:color w:val="auto"/>
          <w:sz w:val="20"/>
          <w:szCs w:val="20"/>
        </w:rPr>
      </w:pPr>
      <w:r w:rsidRPr="00EA22F8">
        <w:rPr>
          <w:rStyle w:val="FootnoteReference"/>
          <w:rFonts w:ascii="Times New Roman" w:hAnsi="Times New Roman" w:cs="Times New Roman"/>
          <w:color w:val="auto"/>
          <w:szCs w:val="20"/>
        </w:rPr>
        <w:footnoteRef/>
      </w:r>
      <w:r w:rsidRPr="00EA22F8">
        <w:rPr>
          <w:rFonts w:ascii="Times New Roman" w:hAnsi="Times New Roman" w:cs="Times New Roman"/>
          <w:color w:val="auto"/>
          <w:sz w:val="20"/>
          <w:szCs w:val="20"/>
        </w:rPr>
        <w:t xml:space="preserve"> The OAIC guidelines specify that identifiers will constitute personal information ‘if the individual is identifiable or reasonably identifiable from the identifier, including from other information held by, or available to, the entity that holds the identifier’: OAIC, </w:t>
      </w:r>
      <w:r w:rsidRPr="00EA22F8">
        <w:rPr>
          <w:rFonts w:ascii="Times New Roman" w:hAnsi="Times New Roman" w:cs="Times New Roman"/>
          <w:i/>
          <w:iCs/>
          <w:color w:val="auto"/>
          <w:sz w:val="20"/>
          <w:szCs w:val="20"/>
        </w:rPr>
        <w:t>APP Guidelines</w:t>
      </w:r>
      <w:r w:rsidRPr="00EA22F8">
        <w:rPr>
          <w:rFonts w:ascii="Times New Roman" w:hAnsi="Times New Roman" w:cs="Times New Roman"/>
          <w:color w:val="auto"/>
          <w:sz w:val="20"/>
          <w:szCs w:val="20"/>
        </w:rPr>
        <w:t xml:space="preserve"> [9.4]. </w:t>
      </w:r>
      <w:bookmarkStart w:id="791" w:name="_Toc143872559"/>
      <w:r w:rsidRPr="00EA22F8">
        <w:rPr>
          <w:rFonts w:ascii="Times New Roman" w:hAnsi="Times New Roman" w:cs="Times New Roman"/>
          <w:color w:val="auto"/>
          <w:sz w:val="20"/>
          <w:szCs w:val="20"/>
        </w:rPr>
        <w:t xml:space="preserve">One exception to this, established in s 7A of the Privacy Act, specifies that the acts of agencies will be treated as acts of organisations (and hence be subject to APP 9) where the agency is listed in Part I of Schedule 2 of the </w:t>
      </w:r>
      <w:r w:rsidRPr="00EA22F8">
        <w:rPr>
          <w:rFonts w:ascii="Times New Roman" w:hAnsi="Times New Roman" w:cs="Times New Roman"/>
          <w:i/>
          <w:iCs/>
          <w:color w:val="auto"/>
          <w:sz w:val="20"/>
          <w:szCs w:val="20"/>
        </w:rPr>
        <w:t xml:space="preserve">Freedom of Information Act 1982 </w:t>
      </w:r>
      <w:r w:rsidRPr="00EA22F8">
        <w:rPr>
          <w:rFonts w:ascii="Times New Roman" w:hAnsi="Times New Roman" w:cs="Times New Roman"/>
          <w:color w:val="auto"/>
          <w:sz w:val="20"/>
          <w:szCs w:val="20"/>
        </w:rPr>
        <w:t xml:space="preserve">(‘FOI Act’) and is prescribed in regulations, or where the act or practice relates to the commercial activity of the agency or another entity and the agency is specified in Part II of Schedule 2 of the FOI Act: </w:t>
      </w:r>
      <w:r w:rsidRPr="00EA22F8">
        <w:rPr>
          <w:rFonts w:ascii="Times New Roman" w:hAnsi="Times New Roman" w:cs="Times New Roman"/>
          <w:i/>
          <w:iCs/>
          <w:color w:val="auto"/>
          <w:sz w:val="20"/>
          <w:szCs w:val="20"/>
        </w:rPr>
        <w:t>Privacy Act 1988</w:t>
      </w:r>
      <w:r w:rsidRPr="00EA22F8">
        <w:rPr>
          <w:rFonts w:ascii="Times New Roman" w:hAnsi="Times New Roman" w:cs="Times New Roman"/>
          <w:color w:val="auto"/>
          <w:sz w:val="20"/>
          <w:szCs w:val="20"/>
        </w:rPr>
        <w:t xml:space="preserve"> (Cth) s 7A; see OAIC, </w:t>
      </w:r>
      <w:r w:rsidRPr="00EA22F8">
        <w:rPr>
          <w:rFonts w:ascii="Times New Roman" w:hAnsi="Times New Roman" w:cs="Times New Roman"/>
          <w:i/>
          <w:iCs/>
          <w:color w:val="auto"/>
          <w:sz w:val="20"/>
          <w:szCs w:val="20"/>
        </w:rPr>
        <w:t>APP Guidelines</w:t>
      </w:r>
      <w:r w:rsidRPr="00EA22F8">
        <w:rPr>
          <w:rFonts w:ascii="Times New Roman" w:hAnsi="Times New Roman" w:cs="Times New Roman"/>
          <w:color w:val="auto"/>
          <w:sz w:val="20"/>
          <w:szCs w:val="20"/>
        </w:rPr>
        <w:t xml:space="preserve"> [9.11].</w:t>
      </w:r>
      <w:bookmarkEnd w:id="791"/>
    </w:p>
  </w:footnote>
  <w:footnote w:id="715">
    <w:p w14:paraId="386CACCD" w14:textId="03C94B8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 xml:space="preserve">(Vic) sch 2, cl 8; </w:t>
      </w:r>
      <w:r w:rsidRPr="00E7516E">
        <w:rPr>
          <w:rFonts w:cs="Times New Roman"/>
          <w:i/>
          <w:iCs/>
        </w:rPr>
        <w:t xml:space="preserve">Information Act 2002 </w:t>
      </w:r>
      <w:r w:rsidRPr="00E7516E">
        <w:rPr>
          <w:rFonts w:cs="Times New Roman"/>
        </w:rPr>
        <w:t xml:space="preserve">(NT) sch 2, cl 8.1; </w:t>
      </w:r>
      <w:r w:rsidRPr="00E7516E">
        <w:rPr>
          <w:rFonts w:cs="Times New Roman"/>
          <w:i/>
          <w:iCs/>
        </w:rPr>
        <w:t xml:space="preserve">Information Privacy </w:t>
      </w:r>
      <w:r w:rsidRPr="00EA22F8">
        <w:rPr>
          <w:rFonts w:cs="Times New Roman"/>
          <w:i/>
          <w:iCs/>
        </w:rPr>
        <w:t xml:space="preserve">Act 2014 </w:t>
      </w:r>
      <w:r w:rsidRPr="00EA22F8">
        <w:rPr>
          <w:rFonts w:cs="Times New Roman"/>
        </w:rPr>
        <w:t>(ACT)</w:t>
      </w:r>
      <w:r w:rsidRPr="00E7516E">
        <w:rPr>
          <w:rFonts w:cs="Times New Roman"/>
          <w:i/>
          <w:iCs/>
        </w:rPr>
        <w:t xml:space="preserve"> </w:t>
      </w:r>
      <w:r w:rsidRPr="00E7516E">
        <w:rPr>
          <w:rFonts w:cs="Times New Roman"/>
        </w:rPr>
        <w:t xml:space="preserve">TPP 2. See also </w:t>
      </w:r>
      <w:r w:rsidRPr="00E7516E">
        <w:rPr>
          <w:rFonts w:cs="Times New Roman"/>
          <w:i/>
          <w:iCs/>
        </w:rPr>
        <w:t xml:space="preserve">Information Privacy Act 2009 </w:t>
      </w:r>
      <w:r w:rsidRPr="00E7516E">
        <w:rPr>
          <w:rFonts w:cs="Times New Roman"/>
        </w:rPr>
        <w:t>(Qld) sch 4</w:t>
      </w:r>
      <w:r w:rsidR="00147966">
        <w:rPr>
          <w:rFonts w:cs="Times New Roman"/>
        </w:rPr>
        <w:t>,</w:t>
      </w:r>
      <w:r w:rsidRPr="00E7516E">
        <w:rPr>
          <w:rFonts w:cs="Times New Roman"/>
        </w:rPr>
        <w:t xml:space="preserve"> cl 8 which applies to health agencies.</w:t>
      </w:r>
    </w:p>
  </w:footnote>
  <w:footnote w:id="716">
    <w:p w14:paraId="3C2E089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It is noted that the </w:t>
      </w:r>
      <w:r w:rsidRPr="00E7516E">
        <w:rPr>
          <w:rFonts w:cs="Times New Roman"/>
          <w:i/>
          <w:iCs/>
        </w:rPr>
        <w:t>Information Privacy and Other Legislation Amendment Act 2023</w:t>
      </w:r>
      <w:r w:rsidRPr="00E7516E">
        <w:rPr>
          <w:rFonts w:cs="Times New Roman"/>
        </w:rPr>
        <w:t xml:space="preserve"> (Qld) replaces IPP with QPP set out in schedule 3 (yet to commence). The new schedule 3 is based on the APP.</w:t>
      </w:r>
    </w:p>
  </w:footnote>
  <w:footnote w:id="717">
    <w:p w14:paraId="4D0D6E90" w14:textId="589E6B9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w:t>
      </w:r>
      <w:r w:rsidR="001F6F83">
        <w:rPr>
          <w:rFonts w:cs="Times New Roman"/>
        </w:rPr>
        <w:t xml:space="preserve"> 2022</w:t>
      </w:r>
      <w:r w:rsidRPr="00E7516E">
        <w:rPr>
          <w:rFonts w:cs="Times New Roman"/>
        </w:rPr>
        <w:t xml:space="preserve"> Proposal 20.1.</w:t>
      </w:r>
    </w:p>
  </w:footnote>
  <w:footnote w:id="718">
    <w:p w14:paraId="17576A0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20.3. The Government noted this proposal: Government Response 13.</w:t>
      </w:r>
    </w:p>
  </w:footnote>
  <w:footnote w:id="719">
    <w:p w14:paraId="0F8A33C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20.6. The Government agreed in-principle with this proposal: Government Response 13.</w:t>
      </w:r>
    </w:p>
  </w:footnote>
  <w:footnote w:id="720">
    <w:p w14:paraId="43F03DF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20.8. The Government agreed in-principle with this proposal: Government Response 12.</w:t>
      </w:r>
    </w:p>
  </w:footnote>
  <w:footnote w:id="721">
    <w:p w14:paraId="7286182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20.9. The Government agreed in-principle with this proposal: Government Response 12.</w:t>
      </w:r>
    </w:p>
  </w:footnote>
  <w:footnote w:id="722">
    <w:p w14:paraId="1D5A625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4.6(a).</w:t>
      </w:r>
    </w:p>
  </w:footnote>
  <w:footnote w:id="723">
    <w:p w14:paraId="2F7AB3E4" w14:textId="72EA7DA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61764">
        <w:rPr>
          <w:rFonts w:cs="Times New Roman"/>
        </w:rPr>
        <w:t>Ibid</w:t>
      </w:r>
      <w:r w:rsidR="00FA1FC5">
        <w:rPr>
          <w:rFonts w:cs="Times New Roman"/>
        </w:rPr>
        <w:t xml:space="preserve"> </w:t>
      </w:r>
      <w:r w:rsidRPr="00E7516E">
        <w:rPr>
          <w:rFonts w:cs="Times New Roman"/>
        </w:rPr>
        <w:t>Proposal 20.1. The Government agreed in-principle with this proposal: Government Response 12.</w:t>
      </w:r>
    </w:p>
  </w:footnote>
  <w:footnote w:id="724">
    <w:p w14:paraId="1153EBF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20.4. The Government agreed in-principle with this proposal: Government Response 12.</w:t>
      </w:r>
    </w:p>
  </w:footnote>
  <w:footnote w:id="725">
    <w:p w14:paraId="5B90877F" w14:textId="17763CE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91DAB">
        <w:rPr>
          <w:rFonts w:cs="Times New Roman"/>
        </w:rPr>
        <w:t>Privacy Act Review Report 2022</w:t>
      </w:r>
      <w:r w:rsidRPr="00E7516E">
        <w:rPr>
          <w:rFonts w:cs="Times New Roman"/>
        </w:rPr>
        <w:t xml:space="preserve"> Proposal 20.7.</w:t>
      </w:r>
    </w:p>
  </w:footnote>
  <w:footnote w:id="726">
    <w:p w14:paraId="52AAFD62" w14:textId="4E822F3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20.1.</w:t>
      </w:r>
    </w:p>
  </w:footnote>
  <w:footnote w:id="727">
    <w:p w14:paraId="04C7882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20.2.</w:t>
      </w:r>
    </w:p>
  </w:footnote>
  <w:footnote w:id="728">
    <w:p w14:paraId="75BFC537" w14:textId="19F3E44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91DAB">
        <w:rPr>
          <w:rFonts w:cs="Times New Roman"/>
        </w:rPr>
        <w:t xml:space="preserve">Privacy Act Review Report 2022 </w:t>
      </w:r>
      <w:r w:rsidRPr="00E7516E">
        <w:rPr>
          <w:rFonts w:cs="Times New Roman"/>
        </w:rPr>
        <w:t>Proposal 20.5.</w:t>
      </w:r>
    </w:p>
  </w:footnote>
  <w:footnote w:id="729">
    <w:p w14:paraId="58FDC8E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12–13.</w:t>
      </w:r>
    </w:p>
  </w:footnote>
  <w:footnote w:id="730">
    <w:p w14:paraId="1B109AB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18(1), (2).</w:t>
      </w:r>
    </w:p>
  </w:footnote>
  <w:footnote w:id="731">
    <w:p w14:paraId="670B0CD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If the complaint is about the custodian refusing a request to amend personal information, the complainant only has 20 working days of them being notified of the refusal: ibid s 18(5).</w:t>
      </w:r>
    </w:p>
  </w:footnote>
  <w:footnote w:id="732">
    <w:p w14:paraId="2DF81861" w14:textId="5092972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34CA4" w:rsidRPr="00E7516E">
        <w:rPr>
          <w:rFonts w:cs="Times New Roman"/>
        </w:rPr>
        <w:t>PIPA</w:t>
      </w:r>
      <w:r w:rsidR="00634CA4" w:rsidRPr="00E7516E" w:rsidDel="00634CA4">
        <w:rPr>
          <w:rFonts w:cs="Times New Roman"/>
        </w:rPr>
        <w:t xml:space="preserve"> </w:t>
      </w:r>
      <w:r w:rsidRPr="00E7516E">
        <w:rPr>
          <w:rFonts w:cs="Times New Roman"/>
        </w:rPr>
        <w:t xml:space="preserve"> s 18(1).</w:t>
      </w:r>
    </w:p>
  </w:footnote>
  <w:footnote w:id="733">
    <w:p w14:paraId="21CC0247" w14:textId="24C6A90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34CA4" w:rsidRPr="00E7516E">
        <w:rPr>
          <w:rFonts w:cs="Times New Roman"/>
        </w:rPr>
        <w:t>PIPA</w:t>
      </w:r>
      <w:r w:rsidR="00634CA4" w:rsidRPr="00E7516E" w:rsidDel="00634CA4">
        <w:rPr>
          <w:rFonts w:cs="Times New Roman"/>
        </w:rPr>
        <w:t xml:space="preserve"> </w:t>
      </w:r>
      <w:r w:rsidRPr="00E7516E">
        <w:rPr>
          <w:rFonts w:cs="Times New Roman"/>
        </w:rPr>
        <w:t>s 19.</w:t>
      </w:r>
    </w:p>
  </w:footnote>
  <w:footnote w:id="734">
    <w:p w14:paraId="2A802ABF" w14:textId="744EE57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34CA4" w:rsidRPr="00E7516E">
        <w:rPr>
          <w:rFonts w:cs="Times New Roman"/>
        </w:rPr>
        <w:t>PIPA</w:t>
      </w:r>
      <w:r w:rsidRPr="00E7516E">
        <w:rPr>
          <w:rFonts w:cs="Times New Roman"/>
        </w:rPr>
        <w:t xml:space="preserve"> s 19(1A).</w:t>
      </w:r>
    </w:p>
  </w:footnote>
  <w:footnote w:id="735">
    <w:p w14:paraId="11F4A9C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19(2).</w:t>
      </w:r>
    </w:p>
  </w:footnote>
  <w:footnote w:id="736">
    <w:p w14:paraId="7221AFDF" w14:textId="11C6702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34CA4" w:rsidRPr="00E7516E">
        <w:rPr>
          <w:rFonts w:cs="Times New Roman"/>
        </w:rPr>
        <w:t>PIPA</w:t>
      </w:r>
      <w:r w:rsidRPr="00E7516E">
        <w:rPr>
          <w:rFonts w:cs="Times New Roman"/>
        </w:rPr>
        <w:t xml:space="preserve"> s 20.</w:t>
      </w:r>
    </w:p>
  </w:footnote>
  <w:footnote w:id="737">
    <w:p w14:paraId="1164FEE4" w14:textId="04C98BA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34CA4" w:rsidRPr="00E7516E">
        <w:rPr>
          <w:rFonts w:cs="Times New Roman"/>
        </w:rPr>
        <w:t>PIPA</w:t>
      </w:r>
      <w:r w:rsidRPr="00E7516E">
        <w:rPr>
          <w:rFonts w:cs="Times New Roman"/>
        </w:rPr>
        <w:t xml:space="preserve"> s 21.</w:t>
      </w:r>
    </w:p>
  </w:footnote>
  <w:footnote w:id="738">
    <w:p w14:paraId="6A93347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rPr>
        <w:t xml:space="preserve"> Ombudsman Act 1978</w:t>
      </w:r>
      <w:r w:rsidRPr="00E7516E">
        <w:rPr>
          <w:rFonts w:cs="Times New Roman"/>
        </w:rPr>
        <w:t xml:space="preserve"> (Tas) 23(1).</w:t>
      </w:r>
    </w:p>
  </w:footnote>
  <w:footnote w:id="739">
    <w:p w14:paraId="2C517A1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Ombudsman Act 1978</w:t>
      </w:r>
      <w:r w:rsidRPr="00E7516E">
        <w:rPr>
          <w:rFonts w:cs="Times New Roman"/>
        </w:rPr>
        <w:t xml:space="preserve"> (Tas) 23A(1)</w:t>
      </w:r>
    </w:p>
  </w:footnote>
  <w:footnote w:id="740">
    <w:p w14:paraId="4CC4FC8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Ombudsman Act 1978</w:t>
      </w:r>
      <w:r w:rsidRPr="00E7516E">
        <w:rPr>
          <w:rFonts w:cs="Times New Roman"/>
        </w:rPr>
        <w:t xml:space="preserve"> (Tas) </w:t>
      </w:r>
      <w:r w:rsidRPr="00E7516E">
        <w:rPr>
          <w:rFonts w:cs="Times New Roman"/>
          <w:iCs/>
        </w:rPr>
        <w:t>s</w:t>
      </w:r>
      <w:r w:rsidRPr="00E7516E">
        <w:rPr>
          <w:rFonts w:cs="Times New Roman"/>
        </w:rPr>
        <w:t xml:space="preserve"> 23A(3).</w:t>
      </w:r>
    </w:p>
  </w:footnote>
  <w:footnote w:id="741">
    <w:p w14:paraId="3C178CE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Ombudsman Act 1978</w:t>
      </w:r>
      <w:r w:rsidRPr="00E7516E">
        <w:rPr>
          <w:rFonts w:cs="Times New Roman"/>
        </w:rPr>
        <w:t xml:space="preserve"> (Tas) s 23A(5), (6).</w:t>
      </w:r>
    </w:p>
  </w:footnote>
  <w:footnote w:id="742">
    <w:p w14:paraId="6E860C1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Ombudsman Act 1978</w:t>
      </w:r>
      <w:r w:rsidRPr="00E7516E">
        <w:rPr>
          <w:rFonts w:cs="Times New Roman"/>
        </w:rPr>
        <w:t xml:space="preserve"> (Tas) s 24.</w:t>
      </w:r>
    </w:p>
  </w:footnote>
  <w:footnote w:id="743">
    <w:p w14:paraId="278A4D0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Cs/>
        </w:rPr>
        <w:t xml:space="preserve"> </w:t>
      </w:r>
      <w:r w:rsidRPr="00E7516E">
        <w:rPr>
          <w:rFonts w:cs="Times New Roman"/>
          <w:i/>
        </w:rPr>
        <w:t>Ombudsman Act 1978</w:t>
      </w:r>
      <w:r w:rsidRPr="00E7516E">
        <w:rPr>
          <w:rFonts w:cs="Times New Roman"/>
        </w:rPr>
        <w:t xml:space="preserve"> (Tas) s 25.</w:t>
      </w:r>
    </w:p>
  </w:footnote>
  <w:footnote w:id="744">
    <w:p w14:paraId="7FB9155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22(1).</w:t>
      </w:r>
    </w:p>
  </w:footnote>
  <w:footnote w:id="745">
    <w:p w14:paraId="7A75E0E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22(2) and (3).</w:t>
      </w:r>
    </w:p>
  </w:footnote>
  <w:footnote w:id="746">
    <w:p w14:paraId="174321B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Ombudsman Tasmania, </w:t>
      </w:r>
      <w:r w:rsidRPr="00E7516E">
        <w:rPr>
          <w:rFonts w:cs="Times New Roman"/>
          <w:i/>
          <w:iCs/>
        </w:rPr>
        <w:t>Annual Report 2021–2022</w:t>
      </w:r>
      <w:r w:rsidRPr="00E7516E">
        <w:rPr>
          <w:rFonts w:cs="Times New Roman"/>
        </w:rPr>
        <w:t xml:space="preserve"> (Report, 2022) 12 &lt;https://www.ombudsman.tas.gov.au/__data/assets/pdf_file/0007/683251/Final-signed-Ombudsman-Annual-Report-2021-2022.PDF&gt;.</w:t>
      </w:r>
    </w:p>
  </w:footnote>
  <w:footnote w:id="747">
    <w:p w14:paraId="057245A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Noting that, under s 33(3) of the </w:t>
      </w:r>
      <w:r w:rsidRPr="00E7516E">
        <w:rPr>
          <w:rFonts w:cs="Times New Roman"/>
          <w:i/>
          <w:iCs/>
        </w:rPr>
        <w:t>Ombudsman Act 1978</w:t>
      </w:r>
      <w:r w:rsidRPr="00E7516E">
        <w:rPr>
          <w:rFonts w:cs="Times New Roman"/>
        </w:rPr>
        <w:t xml:space="preserve"> (Tas), an injunction is not to be issued, and an order of review is not to be made under the </w:t>
      </w:r>
      <w:r w:rsidRPr="00E7516E">
        <w:rPr>
          <w:rFonts w:cs="Times New Roman"/>
          <w:i/>
          <w:iCs/>
        </w:rPr>
        <w:t>Judicial Review Act 2000</w:t>
      </w:r>
      <w:r w:rsidRPr="00E7516E">
        <w:rPr>
          <w:rFonts w:cs="Times New Roman"/>
        </w:rPr>
        <w:t xml:space="preserve"> (Tas), if these would restrain the Ombudsman from carrying out, or compelling the Ombudsman to carry out, any investigation under this or any other Act.</w:t>
      </w:r>
    </w:p>
  </w:footnote>
  <w:footnote w:id="748">
    <w:p w14:paraId="0BE7B48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Ombudsman Act 1978</w:t>
      </w:r>
      <w:r w:rsidRPr="00E7516E">
        <w:rPr>
          <w:rFonts w:cs="Times New Roman"/>
        </w:rPr>
        <w:t xml:space="preserve"> (Tas) s 12.</w:t>
      </w:r>
    </w:p>
  </w:footnote>
  <w:footnote w:id="749">
    <w:p w14:paraId="5306294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PIPA s 21, which provides for the Ombudsman to conduct an investigation into any general issue or matter under this Act; however, there is no indication that this provision, entitled ‘Dealing with complaints’, is intended to authorise investigations in the absence of a complaint. Cf </w:t>
      </w:r>
      <w:r w:rsidRPr="00E7516E">
        <w:rPr>
          <w:rFonts w:cs="Times New Roman"/>
          <w:i/>
        </w:rPr>
        <w:t>Privacy Act 1988</w:t>
      </w:r>
      <w:r w:rsidRPr="00E7516E">
        <w:rPr>
          <w:rFonts w:cs="Times New Roman"/>
        </w:rPr>
        <w:t xml:space="preserve"> (Cth) s 40(2). </w:t>
      </w:r>
    </w:p>
  </w:footnote>
  <w:footnote w:id="750">
    <w:p w14:paraId="2E69D75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(NSW) ss 34, 36.</w:t>
      </w:r>
    </w:p>
  </w:footnote>
  <w:footnote w:id="751">
    <w:p w14:paraId="2D7702F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Freedom of Information Act 1982 </w:t>
      </w:r>
      <w:r w:rsidRPr="00E7516E">
        <w:rPr>
          <w:rFonts w:cs="Times New Roman"/>
        </w:rPr>
        <w:t xml:space="preserve">(Vic) Part 2A; </w:t>
      </w:r>
      <w:r w:rsidRPr="00E7516E">
        <w:rPr>
          <w:rFonts w:cs="Times New Roman"/>
          <w:i/>
          <w:iCs/>
        </w:rPr>
        <w:t xml:space="preserve">Privacy and Data Protection Act 2014 </w:t>
      </w:r>
      <w:r w:rsidRPr="00E7516E">
        <w:rPr>
          <w:rFonts w:cs="Times New Roman"/>
        </w:rPr>
        <w:t xml:space="preserve">(Vic) s 3; </w:t>
      </w:r>
      <w:r w:rsidRPr="00E7516E">
        <w:rPr>
          <w:rFonts w:cs="Times New Roman"/>
          <w:i/>
          <w:iCs/>
        </w:rPr>
        <w:t xml:space="preserve">Information Privacy Act 2009 </w:t>
      </w:r>
      <w:r w:rsidRPr="00E7516E">
        <w:rPr>
          <w:rFonts w:cs="Times New Roman"/>
        </w:rPr>
        <w:t>(Qld) Ch 4 Pt 3.</w:t>
      </w:r>
    </w:p>
  </w:footnote>
  <w:footnote w:id="752">
    <w:p w14:paraId="49B8A55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It is noted that legislation in other jurisdictions address similar details to PIPA such as power to refer complaints received to other bodies, time frames for responding to complaints and the like.</w:t>
      </w:r>
    </w:p>
  </w:footnote>
  <w:footnote w:id="753">
    <w:p w14:paraId="4BAB4FD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36.</w:t>
      </w:r>
    </w:p>
  </w:footnote>
  <w:footnote w:id="754">
    <w:p w14:paraId="06220FF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40.</w:t>
      </w:r>
    </w:p>
  </w:footnote>
  <w:footnote w:id="755">
    <w:p w14:paraId="63CC61E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40A. The Commissioner must notify the complainant and respondent if the Commissioner is satisfied there is no reasonable likelihood the complaint will be resolved by conciliation, and may decide not to (further) investigate: ibid ss 40A(3), (4).</w:t>
      </w:r>
    </w:p>
  </w:footnote>
  <w:footnote w:id="756">
    <w:p w14:paraId="32D4EAE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52(1).</w:t>
      </w:r>
    </w:p>
  </w:footnote>
  <w:footnote w:id="757">
    <w:p w14:paraId="2D458AA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ss 57, 62(1)(c).</w:t>
      </w:r>
    </w:p>
  </w:footnote>
  <w:footnote w:id="758">
    <w:p w14:paraId="5FE4C22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 xml:space="preserve">(Vic) s 67; see also VCAT, </w:t>
      </w:r>
      <w:r w:rsidRPr="00E7516E">
        <w:rPr>
          <w:rFonts w:cs="Times New Roman"/>
          <w:i/>
          <w:iCs/>
        </w:rPr>
        <w:t xml:space="preserve">Information Privacy Complaints </w:t>
      </w:r>
      <w:r w:rsidRPr="00E7516E">
        <w:rPr>
          <w:rFonts w:cs="Times New Roman"/>
        </w:rPr>
        <w:t>(Web Page) &lt;</w:t>
      </w:r>
      <w:hyperlink r:id="rId18" w:anchor=":~:text=If%20you%20believe%20someone%20has,resolve%20your%20complaint%20through%20conciliation" w:history="1">
        <w:r w:rsidRPr="00E7516E">
          <w:rPr>
            <w:rStyle w:val="Hyperlink"/>
            <w:rFonts w:cs="Times New Roman"/>
          </w:rPr>
          <w:t>https://www.vcat.vic.gov.au/case-types/privacy-and-health-records/information-privacy-complaints#:~:text=If%20you%20believe%20someone%20has,resolve%20your%20complaint%20through%20conciliation</w:t>
        </w:r>
      </w:hyperlink>
      <w:r w:rsidRPr="00E7516E">
        <w:rPr>
          <w:rFonts w:cs="Times New Roman"/>
        </w:rPr>
        <w:t>&gt;.</w:t>
      </w:r>
    </w:p>
  </w:footnote>
  <w:footnote w:id="759">
    <w:p w14:paraId="65F8D5F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 69.</w:t>
      </w:r>
    </w:p>
  </w:footnote>
  <w:footnote w:id="760">
    <w:p w14:paraId="16362ED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45.</w:t>
      </w:r>
    </w:p>
  </w:footnote>
  <w:footnote w:id="761">
    <w:p w14:paraId="37B0B9F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Pt 5.</w:t>
      </w:r>
    </w:p>
  </w:footnote>
  <w:footnote w:id="762">
    <w:p w14:paraId="11DAFED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46(3)(e). If a complaint about a government agency is made directly to the Privacy Commissioner, the Commissioner must inform the complainant of the internal review process available and the remedial action that may be available if they complain directly to the agency: ibid s 46(2).</w:t>
      </w:r>
    </w:p>
  </w:footnote>
  <w:footnote w:id="763">
    <w:p w14:paraId="19703EB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54. Complaints about private bodies can be made directly to the Privacy Commissioner, and where the Commissioner </w:t>
      </w:r>
      <w:r w:rsidRPr="00E7516E">
        <w:rPr>
          <w:rFonts w:cs="Times New Roman"/>
          <w:lang w:val="en-US"/>
        </w:rPr>
        <w:t>decides to deal with a complaint, it must endeavour to resolve the matter via conciliation: ibid s 49.</w:t>
      </w:r>
      <w:r w:rsidRPr="00E7516E">
        <w:rPr>
          <w:rFonts w:cs="Times New Roman"/>
          <w:vertAlign w:val="superscript"/>
          <w:lang w:val="en-US"/>
        </w:rPr>
        <w:t xml:space="preserve"> </w:t>
      </w:r>
      <w:r w:rsidRPr="00E7516E">
        <w:rPr>
          <w:rFonts w:cs="Times New Roman"/>
          <w:lang w:val="en-US"/>
        </w:rPr>
        <w:t>The Commissioner may make a report as to any findings or recommendations in relation to the complaint: ibid s 50(1).</w:t>
      </w:r>
    </w:p>
  </w:footnote>
  <w:footnote w:id="764">
    <w:p w14:paraId="0223224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49.</w:t>
      </w:r>
    </w:p>
  </w:footnote>
  <w:footnote w:id="765">
    <w:p w14:paraId="18E6432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Privacy Act 2009 </w:t>
      </w:r>
      <w:r w:rsidRPr="00E7516E">
        <w:rPr>
          <w:rFonts w:cs="Times New Roman"/>
        </w:rPr>
        <w:t xml:space="preserve">(Qld) ss 165(1), (3)(a), 168. It is noted that the </w:t>
      </w:r>
      <w:r w:rsidRPr="00E7516E">
        <w:rPr>
          <w:rFonts w:cs="Times New Roman"/>
          <w:i/>
          <w:iCs/>
        </w:rPr>
        <w:t>Information Privacy and Other Legislation Amendment Act 2023</w:t>
      </w:r>
      <w:r w:rsidRPr="00E7516E">
        <w:rPr>
          <w:rFonts w:cs="Times New Roman"/>
        </w:rPr>
        <w:t xml:space="preserve"> (Qld) amends the provisions in relation to the complaint process (not yet commenced). It is noted that the reforms enhance the powers and functions of the Information Commissioner and enhance arrangements for privacy complaints: see Explanatory Memorandum 2, 4.</w:t>
      </w:r>
    </w:p>
  </w:footnote>
  <w:footnote w:id="766">
    <w:p w14:paraId="54A9F3D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Privacy Act 2009 </w:t>
      </w:r>
      <w:r w:rsidRPr="00E7516E">
        <w:rPr>
          <w:rFonts w:cs="Times New Roman"/>
        </w:rPr>
        <w:t>(Qld) s 171.</w:t>
      </w:r>
    </w:p>
  </w:footnote>
  <w:footnote w:id="767">
    <w:p w14:paraId="16FCB8C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Privacy Act 2009 </w:t>
      </w:r>
      <w:r w:rsidRPr="00E7516E">
        <w:rPr>
          <w:rFonts w:cs="Times New Roman"/>
        </w:rPr>
        <w:t xml:space="preserve">(Qld) sch 5 (definition of ‘reviewable decision’). It is noted that the </w:t>
      </w:r>
      <w:r w:rsidRPr="00E7516E">
        <w:rPr>
          <w:rFonts w:cs="Times New Roman"/>
          <w:i/>
          <w:iCs/>
        </w:rPr>
        <w:t>Information Privacy and Other Legislation Amendment Act 2023</w:t>
      </w:r>
      <w:r w:rsidRPr="00E7516E">
        <w:rPr>
          <w:rFonts w:cs="Times New Roman"/>
        </w:rPr>
        <w:t xml:space="preserve"> (Qld) omits the definition of reviewable decision in Schedule 5.</w:t>
      </w:r>
    </w:p>
  </w:footnote>
  <w:footnote w:id="768">
    <w:p w14:paraId="7849882D" w14:textId="22EFE94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Privacy Act 2009 </w:t>
      </w:r>
      <w:r w:rsidRPr="00E7516E">
        <w:rPr>
          <w:rFonts w:cs="Times New Roman"/>
        </w:rPr>
        <w:t>(Qld) ss 93</w:t>
      </w:r>
      <w:r w:rsidR="00C959CC">
        <w:rPr>
          <w:rFonts w:cs="Times New Roman"/>
        </w:rPr>
        <w:t>–</w:t>
      </w:r>
      <w:r w:rsidRPr="00E7516E">
        <w:rPr>
          <w:rFonts w:cs="Times New Roman"/>
        </w:rPr>
        <w:t xml:space="preserve">97. It is noted that Chapter 3 (ss 40–133) is replaced by a new Chapter 3 in the </w:t>
      </w:r>
      <w:r w:rsidRPr="00E7516E">
        <w:rPr>
          <w:rFonts w:cs="Times New Roman"/>
          <w:i/>
          <w:iCs/>
        </w:rPr>
        <w:t>Information Privacy and Other Legislation Amendment Act 2023</w:t>
      </w:r>
      <w:r w:rsidRPr="00E7516E">
        <w:rPr>
          <w:rFonts w:cs="Times New Roman"/>
        </w:rPr>
        <w:t xml:space="preserve"> (Qld), which includes new provisions about internal and external review, and appeals to the QCAT (not yet commenced). This chapter also contains new provisions about mandatory data breach notificatio</w:t>
      </w:r>
      <w:r w:rsidRPr="00C959CC">
        <w:rPr>
          <w:rFonts w:cs="Times New Roman"/>
        </w:rPr>
        <w:t>ns</w:t>
      </w:r>
      <w:r w:rsidRPr="00EA22F8">
        <w:rPr>
          <w:rFonts w:cs="Times New Roman"/>
        </w:rPr>
        <w:t>.</w:t>
      </w:r>
    </w:p>
  </w:footnote>
  <w:footnote w:id="769">
    <w:p w14:paraId="37FA170A" w14:textId="68D55C0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959CC" w:rsidRPr="00E7516E">
        <w:rPr>
          <w:rFonts w:cs="Times New Roman"/>
          <w:i/>
          <w:iCs/>
        </w:rPr>
        <w:t xml:space="preserve">Information Privacy Act 2009 </w:t>
      </w:r>
      <w:r w:rsidR="00C959CC" w:rsidRPr="00E7516E">
        <w:rPr>
          <w:rFonts w:cs="Times New Roman"/>
        </w:rPr>
        <w:t xml:space="preserve">(Qld) </w:t>
      </w:r>
      <w:r w:rsidRPr="00E7516E">
        <w:rPr>
          <w:rFonts w:cs="Times New Roman"/>
        </w:rPr>
        <w:t>s 99.</w:t>
      </w:r>
    </w:p>
  </w:footnote>
  <w:footnote w:id="770">
    <w:p w14:paraId="1052BBAB" w14:textId="5C384F7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959CC" w:rsidRPr="00E7516E">
        <w:rPr>
          <w:rFonts w:cs="Times New Roman"/>
          <w:i/>
          <w:iCs/>
        </w:rPr>
        <w:t xml:space="preserve">Information Privacy Act 2009 </w:t>
      </w:r>
      <w:r w:rsidR="00C959CC" w:rsidRPr="00E7516E">
        <w:rPr>
          <w:rFonts w:cs="Times New Roman"/>
        </w:rPr>
        <w:t xml:space="preserve">(Qld) </w:t>
      </w:r>
      <w:r w:rsidRPr="00E7516E">
        <w:rPr>
          <w:rFonts w:cs="Times New Roman"/>
        </w:rPr>
        <w:t>s 107.</w:t>
      </w:r>
    </w:p>
  </w:footnote>
  <w:footnote w:id="771">
    <w:p w14:paraId="50F64B36" w14:textId="774D305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959CC" w:rsidRPr="00E7516E">
        <w:rPr>
          <w:rFonts w:cs="Times New Roman"/>
          <w:i/>
          <w:iCs/>
        </w:rPr>
        <w:t xml:space="preserve">Information Privacy Act 2009 </w:t>
      </w:r>
      <w:r w:rsidR="00C959CC" w:rsidRPr="00E7516E">
        <w:rPr>
          <w:rFonts w:cs="Times New Roman"/>
        </w:rPr>
        <w:t xml:space="preserve">(Qld) </w:t>
      </w:r>
      <w:r w:rsidRPr="00E7516E">
        <w:rPr>
          <w:rFonts w:cs="Times New Roman"/>
        </w:rPr>
        <w:t>s 103.</w:t>
      </w:r>
    </w:p>
  </w:footnote>
  <w:footnote w:id="772">
    <w:p w14:paraId="13B04A62" w14:textId="6743741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959CC" w:rsidRPr="00E7516E">
        <w:rPr>
          <w:rFonts w:cs="Times New Roman"/>
          <w:i/>
          <w:iCs/>
        </w:rPr>
        <w:t xml:space="preserve">Information Privacy Act 2009 </w:t>
      </w:r>
      <w:r w:rsidR="00C959CC" w:rsidRPr="00E7516E">
        <w:rPr>
          <w:rFonts w:cs="Times New Roman"/>
        </w:rPr>
        <w:t xml:space="preserve">(Qld) </w:t>
      </w:r>
      <w:r w:rsidRPr="00E7516E">
        <w:rPr>
          <w:rFonts w:cs="Times New Roman"/>
        </w:rPr>
        <w:t>s 123.</w:t>
      </w:r>
    </w:p>
  </w:footnote>
  <w:footnote w:id="773">
    <w:p w14:paraId="6D225D6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96.</w:t>
      </w:r>
    </w:p>
  </w:footnote>
  <w:footnote w:id="774">
    <w:p w14:paraId="5A6717E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Administrative Decisions (Judicial Review) Act 1977</w:t>
      </w:r>
      <w:r w:rsidRPr="00E7516E">
        <w:rPr>
          <w:rFonts w:cs="Times New Roman"/>
        </w:rPr>
        <w:t xml:space="preserve"> (Cth) s 5; OAIC, </w:t>
      </w:r>
      <w:r w:rsidRPr="00E7516E">
        <w:rPr>
          <w:rFonts w:cs="Times New Roman"/>
          <w:i/>
          <w:iCs/>
        </w:rPr>
        <w:t xml:space="preserve">Guide to Privacy Regulatory Action </w:t>
      </w:r>
      <w:r w:rsidRPr="00E7516E">
        <w:rPr>
          <w:rFonts w:cs="Times New Roman"/>
        </w:rPr>
        <w:t xml:space="preserve"> ch 4 [4.24].</w:t>
      </w:r>
    </w:p>
  </w:footnote>
  <w:footnote w:id="775">
    <w:p w14:paraId="400CFC1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ss 66, 71.</w:t>
      </w:r>
    </w:p>
  </w:footnote>
  <w:footnote w:id="776">
    <w:p w14:paraId="4D30E6C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 65.</w:t>
      </w:r>
    </w:p>
  </w:footnote>
  <w:footnote w:id="777">
    <w:p w14:paraId="681194D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iCs/>
        </w:rPr>
        <w:t xml:space="preserve"> Privacy and Personal Information Protection Act 1998</w:t>
      </w:r>
      <w:r w:rsidRPr="00E7516E">
        <w:rPr>
          <w:rFonts w:cs="Times New Roman"/>
        </w:rPr>
        <w:t xml:space="preserve"> (NSW)</w:t>
      </w:r>
      <w:r w:rsidRPr="00E7516E" w:rsidDel="00483E2B">
        <w:rPr>
          <w:rFonts w:cs="Times New Roman"/>
        </w:rPr>
        <w:t xml:space="preserve"> </w:t>
      </w:r>
      <w:r w:rsidRPr="00E7516E">
        <w:rPr>
          <w:rFonts w:cs="Times New Roman"/>
        </w:rPr>
        <w:t>ss 53(6), 55.</w:t>
      </w:r>
    </w:p>
  </w:footnote>
  <w:footnote w:id="778">
    <w:p w14:paraId="0587D95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Information Privacy Act 2009 </w:t>
      </w:r>
      <w:r w:rsidRPr="00E7516E">
        <w:rPr>
          <w:rFonts w:cs="Times New Roman"/>
        </w:rPr>
        <w:t xml:space="preserve">(Qld) ss 174–178. It is noted that the </w:t>
      </w:r>
      <w:r w:rsidRPr="00E7516E">
        <w:rPr>
          <w:rFonts w:cs="Times New Roman"/>
          <w:i/>
          <w:iCs/>
        </w:rPr>
        <w:t>Information Privacy and Other Legislation Amendment Act 2023</w:t>
      </w:r>
      <w:r w:rsidRPr="00E7516E">
        <w:rPr>
          <w:rFonts w:cs="Times New Roman"/>
        </w:rPr>
        <w:t xml:space="preserve"> (Qld) amends the provisions in relation to the complaint process (not yet commenced). It is noted that the reforms enhance arrangements for privacy complaints: see Explanatory Memorandum 4.</w:t>
      </w:r>
    </w:p>
  </w:footnote>
  <w:footnote w:id="779">
    <w:p w14:paraId="47A8D0C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40(2).</w:t>
      </w:r>
    </w:p>
  </w:footnote>
  <w:footnote w:id="780">
    <w:p w14:paraId="325DCEF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52(1A).</w:t>
      </w:r>
    </w:p>
  </w:footnote>
  <w:footnote w:id="781">
    <w:p w14:paraId="53D99273" w14:textId="77777777" w:rsidR="00FF302D" w:rsidRPr="00E7516E" w:rsidRDefault="00FF302D" w:rsidP="00E7516E">
      <w:pPr>
        <w:spacing w:after="0"/>
        <w:jc w:val="left"/>
        <w:rPr>
          <w:rFonts w:cs="Times New Roman"/>
          <w:sz w:val="20"/>
          <w:szCs w:val="20"/>
        </w:rPr>
      </w:pPr>
      <w:r w:rsidRPr="00E7516E">
        <w:rPr>
          <w:rStyle w:val="FootnoteReference"/>
          <w:rFonts w:ascii="Times New Roman" w:hAnsi="Times New Roman" w:cs="Times New Roman"/>
          <w:szCs w:val="20"/>
        </w:rPr>
        <w:footnoteRef/>
      </w:r>
      <w:r w:rsidRPr="00E7516E">
        <w:rPr>
          <w:rFonts w:cs="Times New Roman"/>
          <w:sz w:val="20"/>
          <w:szCs w:val="20"/>
        </w:rPr>
        <w:t xml:space="preserve"> </w:t>
      </w:r>
      <w:r w:rsidRPr="00E7516E">
        <w:rPr>
          <w:rFonts w:cs="Times New Roman"/>
          <w:i/>
          <w:iCs/>
          <w:sz w:val="20"/>
          <w:szCs w:val="20"/>
        </w:rPr>
        <w:t>Privacy and Personal Information Protection Act 1998</w:t>
      </w:r>
      <w:r w:rsidRPr="00E7516E">
        <w:rPr>
          <w:rFonts w:cs="Times New Roman"/>
          <w:sz w:val="20"/>
          <w:szCs w:val="20"/>
        </w:rPr>
        <w:t xml:space="preserve"> (NSW) s 36(2)(l).</w:t>
      </w:r>
    </w:p>
  </w:footnote>
  <w:footnote w:id="782">
    <w:p w14:paraId="5CD432D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51.</w:t>
      </w:r>
    </w:p>
  </w:footnote>
  <w:footnote w:id="783">
    <w:p w14:paraId="53B080D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Privacy Act 2009 </w:t>
      </w:r>
      <w:r w:rsidRPr="00E7516E">
        <w:rPr>
          <w:rFonts w:cs="Times New Roman"/>
        </w:rPr>
        <w:t xml:space="preserve">(Qld) s 135. It is noted that the </w:t>
      </w:r>
      <w:r w:rsidRPr="00E7516E">
        <w:rPr>
          <w:rFonts w:cs="Times New Roman"/>
          <w:i/>
          <w:iCs/>
        </w:rPr>
        <w:t>Information Privacy and Other Legislation Amendment Act 2023</w:t>
      </w:r>
      <w:r w:rsidRPr="00E7516E">
        <w:rPr>
          <w:rFonts w:cs="Times New Roman"/>
        </w:rPr>
        <w:t xml:space="preserve"> (Qld) amends the provisions in relation to the complaint process (not yet commenced). It is noted that the reforms enhance the powers and functions of the Information Commissioner: see Explanatory Memorandum 2.</w:t>
      </w:r>
    </w:p>
  </w:footnote>
  <w:footnote w:id="784">
    <w:p w14:paraId="354B53D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 8C(2).</w:t>
      </w:r>
    </w:p>
  </w:footnote>
  <w:footnote w:id="785">
    <w:p w14:paraId="25DBCDC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 78.</w:t>
      </w:r>
    </w:p>
  </w:footnote>
  <w:footnote w:id="786">
    <w:p w14:paraId="7C72E68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52(1)(b)(iii).</w:t>
      </w:r>
    </w:p>
  </w:footnote>
  <w:footnote w:id="787">
    <w:p w14:paraId="5F026D3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52(1AB).</w:t>
      </w:r>
    </w:p>
  </w:footnote>
  <w:footnote w:id="788">
    <w:p w14:paraId="7B25667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52(1). </w:t>
      </w:r>
    </w:p>
  </w:footnote>
  <w:footnote w:id="789">
    <w:p w14:paraId="64D8007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60.</w:t>
      </w:r>
    </w:p>
  </w:footnote>
  <w:footnote w:id="790">
    <w:p w14:paraId="4D9712E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 xml:space="preserve">Annual Report 2020–21 </w:t>
      </w:r>
      <w:r w:rsidRPr="00E7516E">
        <w:rPr>
          <w:rFonts w:cs="Times New Roman"/>
        </w:rPr>
        <w:t xml:space="preserve">(Report, September 2021) 127. The most recent annual report (2021-22) does not provide this information. </w:t>
      </w:r>
    </w:p>
  </w:footnote>
  <w:footnote w:id="791">
    <w:p w14:paraId="37BBEAF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13G.</w:t>
      </w:r>
    </w:p>
  </w:footnote>
  <w:footnote w:id="792">
    <w:p w14:paraId="3F31425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Privacy Act 1988 </w:t>
      </w:r>
      <w:r w:rsidRPr="00E7516E">
        <w:rPr>
          <w:rFonts w:cs="Times New Roman"/>
        </w:rPr>
        <w:t>(Cth) s 80U.</w:t>
      </w:r>
    </w:p>
  </w:footnote>
  <w:footnote w:id="793">
    <w:p w14:paraId="5FCC050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 xml:space="preserve">Guide to Privacy Regulatory Action </w:t>
      </w:r>
      <w:r w:rsidRPr="00E7516E">
        <w:rPr>
          <w:rFonts w:cs="Times New Roman"/>
        </w:rPr>
        <w:t>(Guidance Document, January 2023) ch 7 [7.22].</w:t>
      </w:r>
    </w:p>
  </w:footnote>
  <w:footnote w:id="794">
    <w:p w14:paraId="30EA11E6" w14:textId="556737A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252 and citing </w:t>
      </w:r>
      <w:r w:rsidRPr="00E7516E">
        <w:rPr>
          <w:rFonts w:cs="Times New Roman"/>
          <w:i/>
          <w:iCs/>
        </w:rPr>
        <w:t xml:space="preserve">Australian Information Commissioner v Facebook Inc </w:t>
      </w:r>
      <w:r w:rsidRPr="00E7516E">
        <w:rPr>
          <w:rFonts w:cs="Times New Roman"/>
        </w:rPr>
        <w:t xml:space="preserve">[2020] FCA 531, </w:t>
      </w:r>
      <w:r w:rsidRPr="00E7516E">
        <w:rPr>
          <w:rFonts w:cs="Times New Roman"/>
          <w:i/>
          <w:iCs/>
        </w:rPr>
        <w:t>Australian Information Commissioner v Facebook Inc (No</w:t>
      </w:r>
      <w:r w:rsidR="00F72190">
        <w:rPr>
          <w:rFonts w:cs="Times New Roman"/>
          <w:i/>
          <w:iCs/>
        </w:rPr>
        <w:t> </w:t>
      </w:r>
      <w:r w:rsidRPr="00E7516E">
        <w:rPr>
          <w:rFonts w:cs="Times New Roman"/>
          <w:i/>
          <w:iCs/>
        </w:rPr>
        <w:t>2)</w:t>
      </w:r>
      <w:r w:rsidRPr="00E7516E">
        <w:rPr>
          <w:rFonts w:cs="Times New Roman"/>
        </w:rPr>
        <w:t xml:space="preserve"> [2020] FCA 1307.</w:t>
      </w:r>
      <w:r w:rsidRPr="00E7516E">
        <w:rPr>
          <w:rFonts w:cs="Times New Roman"/>
          <w:i/>
          <w:iCs/>
        </w:rPr>
        <w:t xml:space="preserve"> </w:t>
      </w:r>
    </w:p>
  </w:footnote>
  <w:footnote w:id="795">
    <w:p w14:paraId="1EBD600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w:t>
      </w:r>
      <w:r w:rsidRPr="00E7516E">
        <w:rPr>
          <w:rFonts w:cs="Times New Roman"/>
          <w:color w:val="000000" w:themeColor="text1"/>
        </w:rPr>
        <w:t>s 80W</w:t>
      </w:r>
      <w:r w:rsidRPr="00E7516E">
        <w:rPr>
          <w:rFonts w:cs="Times New Roman"/>
        </w:rPr>
        <w:t>.</w:t>
      </w:r>
    </w:p>
  </w:footnote>
  <w:footnote w:id="796">
    <w:p w14:paraId="621A8EB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80V.</w:t>
      </w:r>
    </w:p>
  </w:footnote>
  <w:footnote w:id="797">
    <w:p w14:paraId="2FE2D57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 xml:space="preserve">Guide to Privacy Regulatory Action </w:t>
      </w:r>
      <w:r w:rsidRPr="00E7516E">
        <w:rPr>
          <w:rFonts w:cs="Times New Roman"/>
        </w:rPr>
        <w:t>(Guidance Document, January 2023) ch 4 [4.18].</w:t>
      </w:r>
    </w:p>
  </w:footnote>
  <w:footnote w:id="798">
    <w:p w14:paraId="2C23B974" w14:textId="4F94D42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3323F6">
        <w:rPr>
          <w:rFonts w:cs="Times New Roman"/>
        </w:rPr>
        <w:t>Ibid</w:t>
      </w:r>
      <w:r w:rsidRPr="00E7516E">
        <w:rPr>
          <w:rFonts w:cs="Times New Roman"/>
          <w:i/>
          <w:iCs/>
        </w:rPr>
        <w:t xml:space="preserve"> </w:t>
      </w:r>
      <w:r w:rsidRPr="00E7516E">
        <w:rPr>
          <w:rFonts w:cs="Times New Roman"/>
        </w:rPr>
        <w:t>ch 4.</w:t>
      </w:r>
    </w:p>
  </w:footnote>
  <w:footnote w:id="799">
    <w:p w14:paraId="718E69B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80W; </w:t>
      </w:r>
      <w:r w:rsidRPr="00E7516E">
        <w:rPr>
          <w:rFonts w:cs="Times New Roman"/>
          <w:i/>
          <w:iCs/>
        </w:rPr>
        <w:t>Regulatory Powers (Standard Provisions) Act 2014</w:t>
      </w:r>
      <w:r w:rsidRPr="00E7516E">
        <w:rPr>
          <w:rFonts w:cs="Times New Roman"/>
        </w:rPr>
        <w:t xml:space="preserve"> (Cth) s 121.</w:t>
      </w:r>
    </w:p>
  </w:footnote>
  <w:footnote w:id="800">
    <w:p w14:paraId="7F7A4B6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55(2).</w:t>
      </w:r>
    </w:p>
  </w:footnote>
  <w:footnote w:id="801">
    <w:p w14:paraId="11AB71A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s 55.</w:t>
      </w:r>
    </w:p>
  </w:footnote>
  <w:footnote w:id="802">
    <w:p w14:paraId="793304C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 77(1).</w:t>
      </w:r>
    </w:p>
  </w:footnote>
  <w:footnote w:id="803">
    <w:p w14:paraId="354B37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Information Privacy Act 2009 </w:t>
      </w:r>
      <w:r w:rsidRPr="00E7516E">
        <w:rPr>
          <w:rFonts w:cs="Times New Roman"/>
        </w:rPr>
        <w:t xml:space="preserve">(Qld) s 178. It is noted that the </w:t>
      </w:r>
      <w:r w:rsidRPr="00E7516E">
        <w:rPr>
          <w:rFonts w:cs="Times New Roman"/>
          <w:i/>
          <w:iCs/>
        </w:rPr>
        <w:t>Information Privacy and Other Legislation Amendment Act 2023</w:t>
      </w:r>
      <w:r w:rsidRPr="00E7516E">
        <w:rPr>
          <w:rFonts w:cs="Times New Roman"/>
        </w:rPr>
        <w:t xml:space="preserve"> (Qld) amends the provisions in relation to how QCAT may dispose of a complaint (not yet commenced). </w:t>
      </w:r>
    </w:p>
  </w:footnote>
  <w:footnote w:id="804">
    <w:p w14:paraId="21A0418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t>
      </w:r>
      <w:r w:rsidRPr="00E7516E">
        <w:rPr>
          <w:rFonts w:cs="Times New Roman"/>
          <w:i/>
          <w:iCs/>
        </w:rPr>
        <w:t xml:space="preserve">Civil and Administrative Tribunal Act 2013 </w:t>
      </w:r>
      <w:r w:rsidRPr="00E7516E">
        <w:rPr>
          <w:rFonts w:cs="Times New Roman"/>
        </w:rPr>
        <w:t xml:space="preserve">(NSW) s 83; </w:t>
      </w:r>
      <w:r w:rsidRPr="00E7516E">
        <w:rPr>
          <w:rFonts w:cs="Times New Roman"/>
          <w:i/>
          <w:iCs/>
        </w:rPr>
        <w:t xml:space="preserve">Civil and Administrative Tribunal Act 1998 </w:t>
      </w:r>
      <w:r w:rsidRPr="00E7516E">
        <w:rPr>
          <w:rFonts w:cs="Times New Roman"/>
        </w:rPr>
        <w:t xml:space="preserve">(Vic), s 148; </w:t>
      </w:r>
      <w:r w:rsidRPr="00E7516E">
        <w:rPr>
          <w:rFonts w:cs="Times New Roman"/>
          <w:i/>
          <w:iCs/>
        </w:rPr>
        <w:t xml:space="preserve">Civil and Administrative Tribunal </w:t>
      </w:r>
      <w:r w:rsidRPr="00ED5F94">
        <w:rPr>
          <w:rFonts w:cs="Times New Roman"/>
          <w:i/>
          <w:iCs/>
        </w:rPr>
        <w:t xml:space="preserve">Act </w:t>
      </w:r>
      <w:r w:rsidRPr="00EA22F8">
        <w:rPr>
          <w:rFonts w:cs="Times New Roman"/>
          <w:i/>
          <w:iCs/>
        </w:rPr>
        <w:t>2009</w:t>
      </w:r>
      <w:r w:rsidRPr="00ED5F94">
        <w:rPr>
          <w:rFonts w:cs="Times New Roman"/>
          <w:i/>
          <w:iCs/>
        </w:rPr>
        <w:t xml:space="preserve"> </w:t>
      </w:r>
      <w:r w:rsidRPr="00ED5F94">
        <w:rPr>
          <w:rFonts w:cs="Times New Roman"/>
        </w:rPr>
        <w:t>(</w:t>
      </w:r>
      <w:r w:rsidRPr="00E7516E">
        <w:rPr>
          <w:rFonts w:cs="Times New Roman"/>
        </w:rPr>
        <w:t>Qld) s 149.</w:t>
      </w:r>
    </w:p>
  </w:footnote>
  <w:footnote w:id="805">
    <w:p w14:paraId="1BFF595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Privacy and Data Protection Act 2014 </w:t>
      </w:r>
      <w:r w:rsidRPr="00E7516E">
        <w:rPr>
          <w:rFonts w:cs="Times New Roman"/>
        </w:rPr>
        <w:t xml:space="preserve">(Vic) ss 82, 83E, 83H, 120, 121, 122; </w:t>
      </w:r>
      <w:r w:rsidRPr="00E7516E">
        <w:rPr>
          <w:rFonts w:cs="Times New Roman"/>
          <w:i/>
          <w:iCs/>
        </w:rPr>
        <w:t xml:space="preserve">Information Privacy Act 2009 </w:t>
      </w:r>
      <w:r w:rsidRPr="00E7516E">
        <w:rPr>
          <w:rFonts w:cs="Times New Roman"/>
        </w:rPr>
        <w:t xml:space="preserve">(Qld) Ch 6, Pt 2; </w:t>
      </w:r>
      <w:r w:rsidRPr="00E7516E">
        <w:rPr>
          <w:rFonts w:cs="Times New Roman"/>
          <w:i/>
          <w:iCs/>
        </w:rPr>
        <w:t>Privacy and Personal Information Protection Act 1998</w:t>
      </w:r>
      <w:r w:rsidRPr="00E7516E">
        <w:rPr>
          <w:rFonts w:cs="Times New Roman"/>
        </w:rPr>
        <w:t xml:space="preserve"> (NSW) Pt 8. Note amendments in </w:t>
      </w:r>
      <w:r w:rsidRPr="00E7516E">
        <w:rPr>
          <w:rFonts w:cs="Times New Roman"/>
          <w:i/>
          <w:iCs/>
        </w:rPr>
        <w:t>Information Privacy and Other Legislation Amendment Act 2023</w:t>
      </w:r>
      <w:r w:rsidRPr="00E7516E">
        <w:rPr>
          <w:rFonts w:cs="Times New Roman"/>
        </w:rPr>
        <w:t xml:space="preserve"> (Qld) (not yet commenced).</w:t>
      </w:r>
    </w:p>
  </w:footnote>
  <w:footnote w:id="806">
    <w:p w14:paraId="2E137BB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 78. </w:t>
      </w:r>
    </w:p>
  </w:footnote>
  <w:footnote w:id="807">
    <w:p w14:paraId="3C7E8AF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Office of the Victorian Information Commissioner, </w:t>
      </w:r>
      <w:r w:rsidRPr="00E7516E">
        <w:rPr>
          <w:rFonts w:cs="Times New Roman"/>
          <w:i/>
          <w:iCs/>
        </w:rPr>
        <w:t xml:space="preserve">Regulatory Action Policy </w:t>
      </w:r>
      <w:r w:rsidRPr="00E7516E">
        <w:rPr>
          <w:rFonts w:cs="Times New Roman"/>
        </w:rPr>
        <w:t>(Web Page, 12 October 2022) &lt;</w:t>
      </w:r>
      <w:hyperlink r:id="rId19" w:history="1">
        <w:r w:rsidRPr="00E7516E">
          <w:rPr>
            <w:rStyle w:val="Hyperlink"/>
            <w:rFonts w:cs="Times New Roman"/>
          </w:rPr>
          <w:t>https://ovic.vic.gov.au/regulatory-action/regulatory-action-policy/</w:t>
        </w:r>
      </w:hyperlink>
      <w:r w:rsidRPr="00E7516E">
        <w:rPr>
          <w:rFonts w:cs="Times New Roman"/>
        </w:rPr>
        <w:t>&gt;.</w:t>
      </w:r>
    </w:p>
  </w:footnote>
  <w:footnote w:id="808">
    <w:p w14:paraId="5DA57A3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 82.</w:t>
      </w:r>
    </w:p>
  </w:footnote>
  <w:footnote w:id="809">
    <w:p w14:paraId="304DBBE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Data Protection Act 2014</w:t>
      </w:r>
      <w:r w:rsidRPr="00E7516E">
        <w:rPr>
          <w:rFonts w:cs="Times New Roman"/>
        </w:rPr>
        <w:t xml:space="preserve"> (Vic) s 83.</w:t>
      </w:r>
    </w:p>
  </w:footnote>
  <w:footnote w:id="810">
    <w:p w14:paraId="312EBB21" w14:textId="1B9C0E3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252.</w:t>
      </w:r>
    </w:p>
  </w:footnote>
  <w:footnote w:id="811">
    <w:p w14:paraId="68CDA08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275.</w:t>
      </w:r>
    </w:p>
  </w:footnote>
  <w:footnote w:id="812">
    <w:p w14:paraId="3394361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272.</w:t>
      </w:r>
    </w:p>
  </w:footnote>
  <w:footnote w:id="813">
    <w:p w14:paraId="57EB91B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ibid 273.</w:t>
      </w:r>
    </w:p>
  </w:footnote>
  <w:footnote w:id="814">
    <w:p w14:paraId="03418A9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275.</w:t>
      </w:r>
    </w:p>
  </w:footnote>
  <w:footnote w:id="815">
    <w:p w14:paraId="046DD743" w14:textId="4CD9842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941D9">
        <w:rPr>
          <w:rFonts w:cs="Times New Roman"/>
        </w:rPr>
        <w:t>Ibid</w:t>
      </w:r>
      <w:r w:rsidR="00915A83">
        <w:rPr>
          <w:rFonts w:cs="Times New Roman"/>
        </w:rPr>
        <w:t xml:space="preserve"> </w:t>
      </w:r>
      <w:r w:rsidRPr="00E7516E">
        <w:rPr>
          <w:rFonts w:cs="Times New Roman"/>
        </w:rPr>
        <w:t>Proposal 26.1.</w:t>
      </w:r>
    </w:p>
  </w:footnote>
  <w:footnote w:id="816">
    <w:p w14:paraId="04E7DF1E" w14:textId="111ADED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E47D2" w:rsidRPr="00E7516E">
        <w:rPr>
          <w:rFonts w:cs="Times New Roman"/>
        </w:rPr>
        <w:t>Privacy Act Review Report 2022</w:t>
      </w:r>
      <w:r w:rsidRPr="00E7516E">
        <w:rPr>
          <w:rFonts w:cs="Times New Roman"/>
        </w:rPr>
        <w:t xml:space="preserve"> 273. The Review also sought submissions on a proposal for the establishment of a distinct role of Federal Privacy Ombudsman to handle complaints but did not make such a proposal in its Final Report: ibid 268–269.</w:t>
      </w:r>
    </w:p>
  </w:footnote>
  <w:footnote w:id="817">
    <w:p w14:paraId="4E6727B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19.</w:t>
      </w:r>
    </w:p>
  </w:footnote>
  <w:footnote w:id="818">
    <w:p w14:paraId="666BF119" w14:textId="4BEC184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272, 275. The ACCC made similar recommendations concerning damages for financial and non-financial harm suffered as a result of interference with privacy in the DPI Report: ACCC, </w:t>
      </w:r>
      <w:r w:rsidRPr="00E7516E">
        <w:rPr>
          <w:rFonts w:cs="Times New Roman"/>
          <w:i/>
          <w:iCs/>
        </w:rPr>
        <w:t xml:space="preserve">Digital Platforms Inquiry </w:t>
      </w:r>
      <w:r w:rsidRPr="00E7516E">
        <w:rPr>
          <w:rFonts w:cs="Times New Roman"/>
        </w:rPr>
        <w:t>472–473.</w:t>
      </w:r>
    </w:p>
  </w:footnote>
  <w:footnote w:id="819">
    <w:p w14:paraId="560D3FEC" w14:textId="3B6CE5A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253–254.</w:t>
      </w:r>
    </w:p>
  </w:footnote>
  <w:footnote w:id="820">
    <w:p w14:paraId="555A138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254.</w:t>
      </w:r>
    </w:p>
  </w:footnote>
  <w:footnote w:id="821">
    <w:p w14:paraId="7BAC173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25.1 and 255. The Review suggested that low-level penalties would be suitable for breaches such as a breach of the requirement in APP1.3 to have a clearly expressed and up-to-date privacy policy and the requirement in APP2.1 to give individuals the option of not identifying themselves: ibid 256. </w:t>
      </w:r>
    </w:p>
  </w:footnote>
  <w:footnote w:id="822">
    <w:p w14:paraId="14040F9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25.1 and 255.</w:t>
      </w:r>
    </w:p>
  </w:footnote>
  <w:footnote w:id="823">
    <w:p w14:paraId="7AD6257C" w14:textId="656095E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20</w:t>
      </w:r>
      <w:r w:rsidR="00ED5F94">
        <w:rPr>
          <w:rFonts w:cs="Times New Roman"/>
        </w:rPr>
        <w:t>.</w:t>
      </w:r>
    </w:p>
  </w:footnote>
  <w:footnote w:id="824">
    <w:p w14:paraId="0468F0E6" w14:textId="6B5AE43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Recommendation 25.2 and 258. The Review suggested that a serious interference may include:</w:t>
      </w:r>
    </w:p>
    <w:p w14:paraId="48EE5BEE" w14:textId="77777777" w:rsidR="00FF302D" w:rsidRPr="00E7516E" w:rsidRDefault="00FF302D" w:rsidP="00E7516E">
      <w:pPr>
        <w:pStyle w:val="FootnoteText"/>
        <w:numPr>
          <w:ilvl w:val="0"/>
          <w:numId w:val="39"/>
        </w:numPr>
        <w:jc w:val="left"/>
        <w:rPr>
          <w:rFonts w:cs="Times New Roman"/>
        </w:rPr>
      </w:pPr>
      <w:r w:rsidRPr="00E7516E">
        <w:rPr>
          <w:rFonts w:cs="Times New Roman"/>
        </w:rPr>
        <w:t>‘those involving ‘sensitive information’ or other information of a sensitive nature;</w:t>
      </w:r>
    </w:p>
    <w:p w14:paraId="7B499206" w14:textId="77777777" w:rsidR="00FF302D" w:rsidRPr="00E7516E" w:rsidRDefault="00FF302D" w:rsidP="00E7516E">
      <w:pPr>
        <w:pStyle w:val="FootnoteText"/>
        <w:numPr>
          <w:ilvl w:val="0"/>
          <w:numId w:val="39"/>
        </w:numPr>
        <w:jc w:val="left"/>
        <w:rPr>
          <w:rFonts w:cs="Times New Roman"/>
        </w:rPr>
      </w:pPr>
      <w:r w:rsidRPr="00E7516E">
        <w:rPr>
          <w:rFonts w:cs="Times New Roman"/>
        </w:rPr>
        <w:t>‘those adversely affecting large groups of individuals’;</w:t>
      </w:r>
    </w:p>
    <w:p w14:paraId="5073E4D8" w14:textId="77777777" w:rsidR="00FF302D" w:rsidRPr="00E7516E" w:rsidRDefault="00FF302D" w:rsidP="00E7516E">
      <w:pPr>
        <w:pStyle w:val="FootnoteText"/>
        <w:numPr>
          <w:ilvl w:val="0"/>
          <w:numId w:val="39"/>
        </w:numPr>
        <w:jc w:val="left"/>
        <w:rPr>
          <w:rFonts w:cs="Times New Roman"/>
        </w:rPr>
      </w:pPr>
      <w:r w:rsidRPr="00E7516E">
        <w:rPr>
          <w:rFonts w:cs="Times New Roman"/>
        </w:rPr>
        <w:t>‘those impacting people experiencing vulnerability’;</w:t>
      </w:r>
    </w:p>
    <w:p w14:paraId="091F0545" w14:textId="77777777" w:rsidR="00FF302D" w:rsidRPr="00E7516E" w:rsidRDefault="00FF302D" w:rsidP="00E7516E">
      <w:pPr>
        <w:pStyle w:val="FootnoteText"/>
        <w:numPr>
          <w:ilvl w:val="0"/>
          <w:numId w:val="39"/>
        </w:numPr>
        <w:jc w:val="left"/>
        <w:rPr>
          <w:rFonts w:cs="Times New Roman"/>
        </w:rPr>
      </w:pPr>
      <w:r w:rsidRPr="00E7516E">
        <w:rPr>
          <w:rFonts w:cs="Times New Roman"/>
        </w:rPr>
        <w:t>‘repeated breaches’;</w:t>
      </w:r>
    </w:p>
    <w:p w14:paraId="0619D088" w14:textId="77777777" w:rsidR="00FF302D" w:rsidRPr="00E7516E" w:rsidRDefault="00FF302D" w:rsidP="00E7516E">
      <w:pPr>
        <w:pStyle w:val="FootnoteText"/>
        <w:numPr>
          <w:ilvl w:val="0"/>
          <w:numId w:val="39"/>
        </w:numPr>
        <w:jc w:val="left"/>
        <w:rPr>
          <w:rFonts w:cs="Times New Roman"/>
        </w:rPr>
      </w:pPr>
      <w:r w:rsidRPr="00E7516E">
        <w:rPr>
          <w:rFonts w:cs="Times New Roman"/>
        </w:rPr>
        <w:t>‘wilful misconduct’; and</w:t>
      </w:r>
    </w:p>
    <w:p w14:paraId="2761A82E" w14:textId="77777777" w:rsidR="00FF302D" w:rsidRPr="00E7516E" w:rsidRDefault="00FF302D" w:rsidP="00E7516E">
      <w:pPr>
        <w:pStyle w:val="FootnoteText"/>
        <w:numPr>
          <w:ilvl w:val="0"/>
          <w:numId w:val="39"/>
        </w:numPr>
        <w:jc w:val="left"/>
        <w:rPr>
          <w:rFonts w:cs="Times New Roman"/>
        </w:rPr>
      </w:pPr>
      <w:r w:rsidRPr="00E7516E">
        <w:rPr>
          <w:rFonts w:cs="Times New Roman"/>
        </w:rPr>
        <w:t>‘serious failures to take proper steps to protect personal data’: ibid Recommendation 25.2.</w:t>
      </w:r>
    </w:p>
  </w:footnote>
  <w:footnote w:id="825">
    <w:p w14:paraId="687DBE1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20.</w:t>
      </w:r>
    </w:p>
  </w:footnote>
  <w:footnote w:id="826">
    <w:p w14:paraId="3AF20F82" w14:textId="4C2E5E5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E47D2">
        <w:rPr>
          <w:rFonts w:cs="Times New Roman"/>
        </w:rPr>
        <w:t>Government Response 20</w:t>
      </w:r>
      <w:r w:rsidR="00A14160">
        <w:rPr>
          <w:rFonts w:cs="Times New Roman"/>
        </w:rPr>
        <w:t>.</w:t>
      </w:r>
    </w:p>
  </w:footnote>
  <w:footnote w:id="827">
    <w:p w14:paraId="7349CCEF" w14:textId="405F5F1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Recommendation 25.3.</w:t>
      </w:r>
    </w:p>
  </w:footnote>
  <w:footnote w:id="828">
    <w:p w14:paraId="7147DD7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25.4.</w:t>
      </w:r>
    </w:p>
  </w:footnote>
  <w:footnote w:id="829">
    <w:p w14:paraId="6D07123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25.5. The Review recommended that OAIC guidance should be developed to guide entities on how to achieve this.</w:t>
      </w:r>
    </w:p>
  </w:footnote>
  <w:footnote w:id="830">
    <w:p w14:paraId="4351A90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264.</w:t>
      </w:r>
    </w:p>
  </w:footnote>
  <w:footnote w:id="831">
    <w:p w14:paraId="2ECF746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25.6; Government Response 20.</w:t>
      </w:r>
    </w:p>
  </w:footnote>
  <w:footnote w:id="832">
    <w:p w14:paraId="67B13FA0" w14:textId="237F964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Recommendation 25.7.</w:t>
      </w:r>
    </w:p>
  </w:footnote>
  <w:footnote w:id="833">
    <w:p w14:paraId="15E2BD6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25.8.</w:t>
      </w:r>
    </w:p>
  </w:footnote>
  <w:footnote w:id="834">
    <w:p w14:paraId="3689284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20.</w:t>
      </w:r>
    </w:p>
  </w:footnote>
  <w:footnote w:id="835">
    <w:p w14:paraId="46DB2268" w14:textId="5B7C306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Recommendation 25.9.</w:t>
      </w:r>
    </w:p>
  </w:footnote>
  <w:footnote w:id="836">
    <w:p w14:paraId="5FC3B7D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20.</w:t>
      </w:r>
    </w:p>
  </w:footnote>
  <w:footnote w:id="837">
    <w:p w14:paraId="72716915" w14:textId="19818CF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Recommendation 25.10. The Government agreed with this proposal: Government Response 20.</w:t>
      </w:r>
    </w:p>
  </w:footnote>
  <w:footnote w:id="838">
    <w:p w14:paraId="03D935A1" w14:textId="1A83572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92CF5">
        <w:rPr>
          <w:rFonts w:cs="Times New Roman"/>
        </w:rPr>
        <w:t xml:space="preserve">Issues Paper </w:t>
      </w:r>
      <w:r w:rsidRPr="00E7516E">
        <w:rPr>
          <w:rFonts w:cs="Times New Roman"/>
        </w:rPr>
        <w:t xml:space="preserve">Part 2, Question 2.10. </w:t>
      </w:r>
    </w:p>
  </w:footnote>
  <w:footnote w:id="839">
    <w:p w14:paraId="3EEB23A6" w14:textId="7F77F87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92CF5">
        <w:rPr>
          <w:rFonts w:cs="Times New Roman"/>
        </w:rPr>
        <w:t xml:space="preserve">Ibid </w:t>
      </w:r>
      <w:r w:rsidRPr="00E7516E">
        <w:rPr>
          <w:rFonts w:cs="Times New Roman"/>
        </w:rPr>
        <w:t>Part 2, Question 2.11.</w:t>
      </w:r>
    </w:p>
  </w:footnote>
  <w:footnote w:id="840">
    <w:p w14:paraId="5DC3800E" w14:textId="57543D1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92CF5">
        <w:rPr>
          <w:rFonts w:cs="Times New Roman"/>
        </w:rPr>
        <w:t xml:space="preserve">Ibid </w:t>
      </w:r>
      <w:r w:rsidRPr="00E7516E">
        <w:rPr>
          <w:rFonts w:cs="Times New Roman"/>
        </w:rPr>
        <w:t>Part 2, Question 2.12.</w:t>
      </w:r>
    </w:p>
  </w:footnote>
  <w:footnote w:id="841">
    <w:p w14:paraId="30147061" w14:textId="0028CE9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492CF5">
        <w:rPr>
          <w:rFonts w:cs="Times New Roman"/>
        </w:rPr>
        <w:t>I</w:t>
      </w:r>
      <w:r w:rsidR="00F921B6">
        <w:rPr>
          <w:rFonts w:cs="Times New Roman"/>
        </w:rPr>
        <w:t>ssues Paper</w:t>
      </w:r>
      <w:r w:rsidR="00492CF5">
        <w:rPr>
          <w:rFonts w:cs="Times New Roman"/>
        </w:rPr>
        <w:t xml:space="preserve"> </w:t>
      </w:r>
      <w:r w:rsidRPr="00E7516E">
        <w:rPr>
          <w:rFonts w:cs="Times New Roman"/>
        </w:rPr>
        <w:t>Part 2, Question 2.13.</w:t>
      </w:r>
    </w:p>
  </w:footnote>
  <w:footnote w:id="842">
    <w:p w14:paraId="1B28042B" w14:textId="531D2E5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492CF5">
        <w:rPr>
          <w:rFonts w:cs="Times New Roman"/>
        </w:rPr>
        <w:t xml:space="preserve"> (Meg Webb MLC)</w:t>
      </w:r>
      <w:r w:rsidRPr="00E7516E">
        <w:rPr>
          <w:rFonts w:cs="Times New Roman"/>
        </w:rPr>
        <w:t>.</w:t>
      </w:r>
    </w:p>
  </w:footnote>
  <w:footnote w:id="843">
    <w:p w14:paraId="6934B1AC" w14:textId="7B5DD6E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 </w:t>
      </w:r>
      <w:r w:rsidR="00492CF5">
        <w:rPr>
          <w:rFonts w:cs="Times New Roman"/>
        </w:rPr>
        <w:t xml:space="preserve">(Meg Webb MLC) </w:t>
      </w:r>
      <w:r w:rsidRPr="00E7516E">
        <w:rPr>
          <w:rFonts w:cs="Times New Roman"/>
        </w:rPr>
        <w:t>12; see also Submission 11</w:t>
      </w:r>
      <w:r w:rsidR="00492CF5">
        <w:rPr>
          <w:rFonts w:cs="Times New Roman"/>
        </w:rPr>
        <w:t xml:space="preserve"> (</w:t>
      </w:r>
      <w:r w:rsidR="00492CF5" w:rsidRPr="00E7516E">
        <w:rPr>
          <w:rFonts w:cs="Times New Roman"/>
        </w:rPr>
        <w:t>TasCOSS</w:t>
      </w:r>
      <w:r w:rsidR="00492CF5">
        <w:rPr>
          <w:rFonts w:cs="Times New Roman"/>
        </w:rPr>
        <w:t>)</w:t>
      </w:r>
      <w:r w:rsidRPr="00E7516E">
        <w:rPr>
          <w:rFonts w:cs="Times New Roman"/>
        </w:rPr>
        <w:t>. The TLRI notes that the Ombudsman does appear to have this power</w:t>
      </w:r>
      <w:r w:rsidRPr="00492CF5">
        <w:rPr>
          <w:rFonts w:cs="Times New Roman"/>
        </w:rPr>
        <w:t xml:space="preserve">: </w:t>
      </w:r>
      <w:r w:rsidRPr="00EA22F8">
        <w:rPr>
          <w:rFonts w:cs="Times New Roman"/>
        </w:rPr>
        <w:t>see [</w:t>
      </w:r>
      <w:r w:rsidRPr="00EA22F8">
        <w:rPr>
          <w:rFonts w:cs="Times New Roman"/>
        </w:rPr>
        <w:fldChar w:fldCharType="begin"/>
      </w:r>
      <w:r w:rsidRPr="00EA22F8">
        <w:rPr>
          <w:rFonts w:cs="Times New Roman"/>
        </w:rPr>
        <w:instrText xml:space="preserve"> REF _Ref157699075 \r \h  \* MERGEFORMAT </w:instrText>
      </w:r>
      <w:r w:rsidRPr="00EA22F8">
        <w:rPr>
          <w:rFonts w:cs="Times New Roman"/>
        </w:rPr>
      </w:r>
      <w:r w:rsidRPr="00EA22F8">
        <w:rPr>
          <w:rFonts w:cs="Times New Roman"/>
        </w:rPr>
        <w:fldChar w:fldCharType="separate"/>
      </w:r>
      <w:r w:rsidR="00462C30">
        <w:rPr>
          <w:rFonts w:cs="Times New Roman"/>
          <w:cs/>
        </w:rPr>
        <w:t>‎</w:t>
      </w:r>
      <w:r w:rsidR="00462C30">
        <w:rPr>
          <w:rFonts w:cs="Times New Roman"/>
        </w:rPr>
        <w:t>8.2.10</w:t>
      </w:r>
      <w:r w:rsidRPr="00EA22F8">
        <w:rPr>
          <w:rFonts w:cs="Times New Roman"/>
        </w:rPr>
        <w:fldChar w:fldCharType="end"/>
      </w:r>
      <w:r w:rsidRPr="00EA22F8">
        <w:rPr>
          <w:rFonts w:cs="Times New Roman"/>
        </w:rPr>
        <w:t>] above</w:t>
      </w:r>
      <w:r w:rsidRPr="00492CF5">
        <w:rPr>
          <w:rFonts w:cs="Times New Roman"/>
        </w:rPr>
        <w:t>.</w:t>
      </w:r>
    </w:p>
  </w:footnote>
  <w:footnote w:id="844">
    <w:p w14:paraId="2590FB56" w14:textId="6C4DD5C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4 </w:t>
      </w:r>
      <w:r w:rsidR="00B81488">
        <w:rPr>
          <w:rFonts w:cs="Times New Roman"/>
        </w:rPr>
        <w:t xml:space="preserve">(Tasmanian Ombudsman) </w:t>
      </w:r>
      <w:r w:rsidRPr="00E7516E">
        <w:rPr>
          <w:rFonts w:cs="Times New Roman"/>
        </w:rPr>
        <w:t>2.</w:t>
      </w:r>
    </w:p>
  </w:footnote>
  <w:footnote w:id="845">
    <w:p w14:paraId="4606E2A4" w14:textId="4638C52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11</w:t>
      </w:r>
      <w:r w:rsidR="00B81488">
        <w:rPr>
          <w:rFonts w:cs="Times New Roman"/>
        </w:rPr>
        <w:t xml:space="preserve"> (TasCOSS)</w:t>
      </w:r>
      <w:r w:rsidRPr="00E7516E">
        <w:rPr>
          <w:rFonts w:cs="Times New Roman"/>
        </w:rPr>
        <w:t>.</w:t>
      </w:r>
    </w:p>
  </w:footnote>
  <w:footnote w:id="846">
    <w:p w14:paraId="11318399" w14:textId="6FDC5C5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B81488">
        <w:rPr>
          <w:rFonts w:cs="Times New Roman"/>
        </w:rPr>
        <w:t xml:space="preserve"> (Meg Webb MLC)</w:t>
      </w:r>
      <w:r w:rsidRPr="00E7516E">
        <w:rPr>
          <w:rFonts w:cs="Times New Roman"/>
        </w:rPr>
        <w:t>.</w:t>
      </w:r>
    </w:p>
  </w:footnote>
  <w:footnote w:id="847">
    <w:p w14:paraId="33924C24" w14:textId="5A4A7E3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12</w:t>
      </w:r>
      <w:r w:rsidR="00B81488">
        <w:rPr>
          <w:rFonts w:cs="Times New Roman"/>
        </w:rPr>
        <w:t xml:space="preserve"> </w:t>
      </w:r>
      <w:r w:rsidR="00D61F22">
        <w:rPr>
          <w:rFonts w:cs="Times New Roman"/>
        </w:rPr>
        <w:t>(Youth Law Australia)</w:t>
      </w:r>
      <w:r w:rsidRPr="00E7516E">
        <w:rPr>
          <w:rFonts w:cs="Times New Roman"/>
        </w:rPr>
        <w:t>.</w:t>
      </w:r>
    </w:p>
  </w:footnote>
  <w:footnote w:id="848">
    <w:p w14:paraId="0E7FC677" w14:textId="477B6DB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w:t>
      </w:r>
      <w:r w:rsidR="00D61F22">
        <w:rPr>
          <w:rFonts w:cs="Times New Roman"/>
        </w:rPr>
        <w:t xml:space="preserve"> (Alex Kendall)</w:t>
      </w:r>
      <w:r w:rsidRPr="00E7516E">
        <w:rPr>
          <w:rFonts w:cs="Times New Roman"/>
        </w:rPr>
        <w:t>.</w:t>
      </w:r>
    </w:p>
  </w:footnote>
  <w:footnote w:id="849">
    <w:p w14:paraId="56ED7E59" w14:textId="4777A23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Report Recommendation 17.8(2)</w:t>
      </w:r>
      <w:r w:rsidR="00D61F22">
        <w:rPr>
          <w:rFonts w:cs="Times New Roman"/>
        </w:rPr>
        <w:t>.</w:t>
      </w:r>
    </w:p>
  </w:footnote>
  <w:footnote w:id="850">
    <w:p w14:paraId="7015023B" w14:textId="17A31DD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11</w:t>
      </w:r>
      <w:r w:rsidR="00886340">
        <w:rPr>
          <w:rFonts w:cs="Times New Roman"/>
        </w:rPr>
        <w:t xml:space="preserve"> (TasCOSS)</w:t>
      </w:r>
      <w:r w:rsidRPr="00E7516E">
        <w:rPr>
          <w:rFonts w:cs="Times New Roman"/>
        </w:rPr>
        <w:t>.</w:t>
      </w:r>
    </w:p>
  </w:footnote>
  <w:footnote w:id="851">
    <w:p w14:paraId="710392D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852">
    <w:p w14:paraId="3124E9E5" w14:textId="663C506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12 </w:t>
      </w:r>
      <w:r w:rsidR="00886340">
        <w:rPr>
          <w:rFonts w:cs="Times New Roman"/>
        </w:rPr>
        <w:t>(</w:t>
      </w:r>
      <w:r w:rsidR="007E320B">
        <w:rPr>
          <w:rFonts w:cs="Times New Roman"/>
        </w:rPr>
        <w:t xml:space="preserve">Youth Law Australia) </w:t>
      </w:r>
      <w:r w:rsidRPr="00E7516E">
        <w:rPr>
          <w:rFonts w:cs="Times New Roman"/>
        </w:rPr>
        <w:t>quoting Committee on the Rights of the Child, General Comment No</w:t>
      </w:r>
      <w:r w:rsidR="00F5040D">
        <w:rPr>
          <w:rFonts w:cs="Times New Roman"/>
        </w:rPr>
        <w:t> </w:t>
      </w:r>
      <w:r w:rsidRPr="00E7516E">
        <w:rPr>
          <w:rFonts w:cs="Times New Roman"/>
        </w:rPr>
        <w:t xml:space="preserve">5 (2003) </w:t>
      </w:r>
      <w:r w:rsidRPr="00E7516E">
        <w:rPr>
          <w:rFonts w:cs="Times New Roman"/>
          <w:i/>
          <w:iCs/>
        </w:rPr>
        <w:t xml:space="preserve">General Measures of Implementation of the Convention on the Rights of the </w:t>
      </w:r>
      <w:r w:rsidRPr="00F5040D">
        <w:rPr>
          <w:rFonts w:cs="Times New Roman"/>
          <w:i/>
          <w:iCs/>
        </w:rPr>
        <w:t>Child</w:t>
      </w:r>
      <w:r w:rsidRPr="00EA22F8">
        <w:rPr>
          <w:rFonts w:cs="Times New Roman"/>
        </w:rPr>
        <w:t xml:space="preserve"> (arts 4, 42 and 44, para 6)</w:t>
      </w:r>
      <w:r w:rsidRPr="00F5040D">
        <w:rPr>
          <w:rFonts w:cs="Times New Roman"/>
        </w:rPr>
        <w:t xml:space="preserve"> </w:t>
      </w:r>
      <w:r w:rsidRPr="00E7516E">
        <w:rPr>
          <w:rFonts w:cs="Times New Roman"/>
        </w:rPr>
        <w:t xml:space="preserve">UN Doc CRC/GC/2003/527. </w:t>
      </w:r>
    </w:p>
  </w:footnote>
  <w:footnote w:id="853">
    <w:p w14:paraId="702DBB0C" w14:textId="32E609F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Report Recommendation 17.8(2).</w:t>
      </w:r>
    </w:p>
  </w:footnote>
  <w:footnote w:id="854">
    <w:p w14:paraId="256DB8CB" w14:textId="4CD3301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Information Privacy Act 2009 </w:t>
      </w:r>
      <w:r w:rsidRPr="00E7516E">
        <w:rPr>
          <w:rFonts w:cs="Times New Roman"/>
        </w:rPr>
        <w:t xml:space="preserve">(Qld) Ch 5 Pt 4; </w:t>
      </w:r>
      <w:r w:rsidRPr="00E7516E">
        <w:rPr>
          <w:rFonts w:cs="Times New Roman"/>
          <w:i/>
          <w:iCs/>
        </w:rPr>
        <w:t xml:space="preserve">Privacy and Data Protection Act 2014 </w:t>
      </w:r>
      <w:r w:rsidRPr="00E7516E">
        <w:rPr>
          <w:rFonts w:cs="Times New Roman"/>
        </w:rPr>
        <w:t>(Vic) s</w:t>
      </w:r>
      <w:r w:rsidR="00987211">
        <w:rPr>
          <w:rFonts w:cs="Times New Roman"/>
        </w:rPr>
        <w:t xml:space="preserve"> </w:t>
      </w:r>
      <w:r w:rsidRPr="00E7516E">
        <w:rPr>
          <w:rFonts w:cs="Times New Roman"/>
        </w:rPr>
        <w:t xml:space="preserve">66.  </w:t>
      </w:r>
    </w:p>
  </w:footnote>
  <w:footnote w:id="855">
    <w:p w14:paraId="7D56F9EA" w14:textId="3D9EB5E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987211">
        <w:rPr>
          <w:rFonts w:cs="Times New Roman"/>
        </w:rPr>
        <w:t xml:space="preserve"> </w:t>
      </w:r>
      <w:r w:rsidRPr="00E7516E">
        <w:rPr>
          <w:rFonts w:cs="Times New Roman"/>
        </w:rPr>
        <w:t>Report 2022 Recommendation 25.5. The Review recommended that OAIC guidance should be developed to guide entities on how to achieve this.</w:t>
      </w:r>
    </w:p>
  </w:footnote>
  <w:footnote w:id="856">
    <w:p w14:paraId="0CBE92BA" w14:textId="09587974" w:rsidR="00FF302D" w:rsidRPr="00E7516E" w:rsidRDefault="00FF302D" w:rsidP="00E7516E">
      <w:pPr>
        <w:pStyle w:val="FootnoteText"/>
        <w:jc w:val="left"/>
        <w:rPr>
          <w:rFonts w:cs="Times New Roman"/>
        </w:rPr>
      </w:pPr>
      <w:r w:rsidRPr="00675350">
        <w:rPr>
          <w:rStyle w:val="FootnoteReference"/>
          <w:rFonts w:ascii="Times New Roman" w:hAnsi="Times New Roman" w:cs="Times New Roman"/>
        </w:rPr>
        <w:footnoteRef/>
      </w:r>
      <w:r w:rsidRPr="00675350">
        <w:rPr>
          <w:rFonts w:cs="Times New Roman"/>
        </w:rPr>
        <w:t xml:space="preserve"> Ibid 253–</w:t>
      </w:r>
      <w:r w:rsidR="00675350" w:rsidRPr="00675350">
        <w:rPr>
          <w:rFonts w:cs="Times New Roman"/>
        </w:rPr>
        <w:t>255</w:t>
      </w:r>
      <w:r w:rsidRPr="00675350">
        <w:rPr>
          <w:rFonts w:cs="Times New Roman"/>
        </w:rPr>
        <w:t>.</w:t>
      </w:r>
    </w:p>
  </w:footnote>
  <w:footnote w:id="857">
    <w:p w14:paraId="060FA1D8" w14:textId="71D7E56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02296">
        <w:rPr>
          <w:rFonts w:cs="Times New Roman"/>
        </w:rPr>
        <w:t>Privacy Act Review Report 2022</w:t>
      </w:r>
      <w:r w:rsidRPr="00E7516E">
        <w:rPr>
          <w:rFonts w:cs="Times New Roman"/>
        </w:rPr>
        <w:t xml:space="preserve"> 274.</w:t>
      </w:r>
    </w:p>
  </w:footnote>
  <w:footnote w:id="858">
    <w:p w14:paraId="20C09EC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275.</w:t>
      </w:r>
    </w:p>
  </w:footnote>
  <w:footnote w:id="859">
    <w:p w14:paraId="1897304D" w14:textId="770D1DF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 xml:space="preserve">See </w:t>
      </w:r>
      <w:r w:rsidR="001D7A02">
        <w:rPr>
          <w:rFonts w:cs="Times New Roman"/>
        </w:rPr>
        <w:t>[</w:t>
      </w:r>
      <w:r w:rsidR="004C6CE9" w:rsidRPr="00EA22F8">
        <w:rPr>
          <w:rFonts w:cs="Times New Roman"/>
        </w:rPr>
        <w:fldChar w:fldCharType="begin"/>
      </w:r>
      <w:r w:rsidR="004C6CE9" w:rsidRPr="00EA22F8">
        <w:rPr>
          <w:rFonts w:cs="Times New Roman"/>
        </w:rPr>
        <w:instrText xml:space="preserve"> REF _Ref165022559 \r \h </w:instrText>
      </w:r>
      <w:r w:rsidR="004C6CE9">
        <w:rPr>
          <w:rFonts w:cs="Times New Roman"/>
        </w:rPr>
        <w:instrText xml:space="preserve"> \* MERGEFORMAT </w:instrText>
      </w:r>
      <w:r w:rsidR="004C6CE9" w:rsidRPr="00EA22F8">
        <w:rPr>
          <w:rFonts w:cs="Times New Roman"/>
        </w:rPr>
      </w:r>
      <w:r w:rsidR="004C6CE9" w:rsidRPr="00EA22F8">
        <w:rPr>
          <w:rFonts w:cs="Times New Roman"/>
        </w:rPr>
        <w:fldChar w:fldCharType="separate"/>
      </w:r>
      <w:r w:rsidR="00462C30">
        <w:rPr>
          <w:rFonts w:cs="Times New Roman"/>
          <w:cs/>
        </w:rPr>
        <w:t>‎</w:t>
      </w:r>
      <w:r w:rsidR="00462C30">
        <w:rPr>
          <w:rFonts w:cs="Times New Roman"/>
        </w:rPr>
        <w:t>8.12.9</w:t>
      </w:r>
      <w:r w:rsidR="004C6CE9" w:rsidRPr="00EA22F8">
        <w:rPr>
          <w:rFonts w:cs="Times New Roman"/>
        </w:rPr>
        <w:fldChar w:fldCharType="end"/>
      </w:r>
      <w:r w:rsidR="004C6CE9" w:rsidRPr="00EA22F8">
        <w:rPr>
          <w:rFonts w:cs="Times New Roman"/>
        </w:rPr>
        <w:t>]</w:t>
      </w:r>
      <w:r w:rsidR="004C6CE9">
        <w:rPr>
          <w:rFonts w:cs="Times New Roman"/>
        </w:rPr>
        <w:t xml:space="preserve"> below</w:t>
      </w:r>
      <w:r w:rsidRPr="00EA22F8">
        <w:rPr>
          <w:rFonts w:cs="Times New Roman"/>
        </w:rPr>
        <w:t>.</w:t>
      </w:r>
    </w:p>
  </w:footnote>
  <w:footnote w:id="860">
    <w:p w14:paraId="7B24B9C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s 26C; OAIC, </w:t>
      </w:r>
      <w:r w:rsidRPr="00E7516E">
        <w:rPr>
          <w:rFonts w:cs="Times New Roman"/>
          <w:i/>
          <w:iCs/>
        </w:rPr>
        <w:t>APP Guidelines</w:t>
      </w:r>
      <w:r w:rsidRPr="00E7516E">
        <w:rPr>
          <w:rFonts w:cs="Times New Roman"/>
        </w:rPr>
        <w:t xml:space="preserve"> [B.126].</w:t>
      </w:r>
    </w:p>
  </w:footnote>
  <w:footnote w:id="861">
    <w:p w14:paraId="4AF9311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APP Guidelines</w:t>
      </w:r>
      <w:r w:rsidRPr="00E7516E">
        <w:rPr>
          <w:rFonts w:cs="Times New Roman"/>
        </w:rPr>
        <w:t xml:space="preserve"> [B.128].</w:t>
      </w:r>
    </w:p>
  </w:footnote>
  <w:footnote w:id="862">
    <w:p w14:paraId="54DDE33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 xml:space="preserve">(Cth) s 13(1)(b); OAIC, </w:t>
      </w:r>
      <w:r w:rsidRPr="00E7516E">
        <w:rPr>
          <w:rFonts w:cs="Times New Roman"/>
          <w:i/>
          <w:iCs/>
        </w:rPr>
        <w:t>APP Guidelines</w:t>
      </w:r>
      <w:r w:rsidRPr="00E7516E">
        <w:rPr>
          <w:rFonts w:cs="Times New Roman"/>
        </w:rPr>
        <w:t xml:space="preserve"> [B.127].</w:t>
      </w:r>
    </w:p>
  </w:footnote>
  <w:footnote w:id="863">
    <w:p w14:paraId="5F62082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iCs/>
        </w:rPr>
        <w:t xml:space="preserve"> Privacy Act 1988</w:t>
      </w:r>
      <w:r w:rsidRPr="00E7516E">
        <w:rPr>
          <w:rFonts w:cs="Times New Roman"/>
        </w:rPr>
        <w:t xml:space="preserve"> (Cth) s 26E.</w:t>
      </w:r>
    </w:p>
  </w:footnote>
  <w:footnote w:id="864">
    <w:p w14:paraId="4EE0685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bookmarkStart w:id="883" w:name="_Hlk164172864"/>
      <w:r w:rsidRPr="00E7516E">
        <w:rPr>
          <w:rFonts w:cs="Times New Roman"/>
          <w:i/>
          <w:iCs/>
        </w:rPr>
        <w:t>Privacy Act 1988</w:t>
      </w:r>
      <w:r w:rsidRPr="00E7516E">
        <w:rPr>
          <w:rFonts w:cs="Times New Roman"/>
        </w:rPr>
        <w:t xml:space="preserve"> (Cth) </w:t>
      </w:r>
      <w:bookmarkEnd w:id="883"/>
      <w:r w:rsidRPr="00E7516E">
        <w:rPr>
          <w:rFonts w:cs="Times New Roman"/>
        </w:rPr>
        <w:t>s 26G.</w:t>
      </w:r>
    </w:p>
  </w:footnote>
  <w:footnote w:id="865">
    <w:p w14:paraId="12106C3D" w14:textId="77777777" w:rsidR="00FF302D" w:rsidRPr="00E7516E" w:rsidRDefault="00FF302D" w:rsidP="00E7516E">
      <w:pPr>
        <w:pStyle w:val="FootnoteText"/>
        <w:jc w:val="left"/>
        <w:rPr>
          <w:rFonts w:cs="Times New Roman"/>
          <w:color w:val="000000" w:themeColor="text1"/>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w:t>
      </w:r>
      <w:r w:rsidRPr="00E7516E">
        <w:rPr>
          <w:rFonts w:cs="Times New Roman"/>
          <w:color w:val="000000" w:themeColor="text1"/>
        </w:rPr>
        <w:t>s 26C.</w:t>
      </w:r>
    </w:p>
  </w:footnote>
  <w:footnote w:id="866">
    <w:p w14:paraId="1B15195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ss 26F–26H.</w:t>
      </w:r>
    </w:p>
  </w:footnote>
  <w:footnote w:id="867">
    <w:p w14:paraId="13799C10" w14:textId="14A8A2B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(Credit Reporting) Code 2014; Privacy (Australian Government Agencies – Governance) APP Code 2017</w:t>
      </w:r>
      <w:r w:rsidR="00A60DBD">
        <w:rPr>
          <w:rFonts w:cs="Times New Roman"/>
        </w:rPr>
        <w:t xml:space="preserve"> (Cth)</w:t>
      </w:r>
      <w:r w:rsidRPr="00E7516E">
        <w:rPr>
          <w:rFonts w:cs="Times New Roman"/>
        </w:rPr>
        <w:t xml:space="preserve">; Privacy (Market and Social Research) Code 2021: see OAIC, </w:t>
      </w:r>
      <w:r w:rsidRPr="00E7516E">
        <w:rPr>
          <w:rFonts w:cs="Times New Roman"/>
          <w:i/>
          <w:iCs/>
        </w:rPr>
        <w:t>Privacy Codes Register</w:t>
      </w:r>
      <w:r w:rsidRPr="00E7516E">
        <w:rPr>
          <w:rFonts w:cs="Times New Roman"/>
        </w:rPr>
        <w:t xml:space="preserve"> (2020) &lt;</w:t>
      </w:r>
      <w:hyperlink r:id="rId20" w:history="1">
        <w:r w:rsidRPr="00E7516E">
          <w:rPr>
            <w:rStyle w:val="Hyperlink"/>
            <w:rFonts w:cs="Times New Roman"/>
          </w:rPr>
          <w:t>https://www.oaic.gov.au/privacy/privacy-registers/privacy-codes-register/</w:t>
        </w:r>
      </w:hyperlink>
      <w:r w:rsidRPr="00E7516E">
        <w:rPr>
          <w:rFonts w:cs="Times New Roman"/>
        </w:rPr>
        <w:t>&gt;.</w:t>
      </w:r>
    </w:p>
  </w:footnote>
  <w:footnote w:id="868">
    <w:p w14:paraId="3B64BE8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Code 2017 s 12.</w:t>
      </w:r>
    </w:p>
  </w:footnote>
  <w:footnote w:id="869">
    <w:p w14:paraId="22EEC53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33D.</w:t>
      </w:r>
    </w:p>
  </w:footnote>
  <w:footnote w:id="870">
    <w:p w14:paraId="3D0FDBD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Guide to Undertaking Privacy Impact Assessments</w:t>
      </w:r>
      <w:r w:rsidRPr="00E7516E">
        <w:rPr>
          <w:rFonts w:cs="Times New Roman"/>
        </w:rPr>
        <w:t xml:space="preserve"> (Guidance Document, May 2020)  &lt;</w:t>
      </w:r>
      <w:hyperlink r:id="rId21" w:history="1">
        <w:r w:rsidRPr="00E7516E">
          <w:rPr>
            <w:rStyle w:val="Hyperlink"/>
            <w:rFonts w:cs="Times New Roman"/>
          </w:rPr>
          <w:t>https://www.oaic.gov.au/privacy/guidance-and-advice/guide-to-undertaking-privacy-impact-assessments</w:t>
        </w:r>
      </w:hyperlink>
      <w:r w:rsidRPr="00E7516E">
        <w:rPr>
          <w:rFonts w:cs="Times New Roman"/>
        </w:rPr>
        <w:t xml:space="preserve">&gt;. </w:t>
      </w:r>
    </w:p>
  </w:footnote>
  <w:footnote w:id="871">
    <w:p w14:paraId="2470B3CC" w14:textId="3404547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APP Code 2017 ss 13, 15(1).</w:t>
      </w:r>
    </w:p>
  </w:footnote>
  <w:footnote w:id="872">
    <w:p w14:paraId="12AE6EE8" w14:textId="379EDBF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 xml:space="preserve">(NSW) s 30(1); </w:t>
      </w:r>
      <w:r w:rsidRPr="00E7516E">
        <w:rPr>
          <w:rFonts w:cs="Times New Roman"/>
          <w:i/>
          <w:iCs/>
        </w:rPr>
        <w:t xml:space="preserve">Privacy and Data Protection Act 2014 </w:t>
      </w:r>
      <w:r w:rsidRPr="00E7516E">
        <w:rPr>
          <w:rFonts w:cs="Times New Roman"/>
        </w:rPr>
        <w:t xml:space="preserve">(Vic) s 21. Codes may also be made under the Victorian Act in relation to a specified industry, profession, or calling: </w:t>
      </w:r>
      <w:r w:rsidRPr="00E7516E">
        <w:rPr>
          <w:rFonts w:cs="Times New Roman"/>
          <w:i/>
          <w:iCs/>
        </w:rPr>
        <w:t xml:space="preserve">Privacy and Data Protection Act 2014 </w:t>
      </w:r>
      <w:r w:rsidRPr="00E7516E">
        <w:rPr>
          <w:rFonts w:cs="Times New Roman"/>
        </w:rPr>
        <w:t>(Vic) s</w:t>
      </w:r>
      <w:r w:rsidR="00BB7543">
        <w:rPr>
          <w:rFonts w:cs="Times New Roman"/>
        </w:rPr>
        <w:t> </w:t>
      </w:r>
      <w:r w:rsidRPr="00E7516E">
        <w:rPr>
          <w:rFonts w:cs="Times New Roman"/>
        </w:rPr>
        <w:t>21(3).</w:t>
      </w:r>
    </w:p>
  </w:footnote>
  <w:footnote w:id="873">
    <w:p w14:paraId="48E16CE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21(2)(a).</w:t>
      </w:r>
    </w:p>
  </w:footnote>
  <w:footnote w:id="874">
    <w:p w14:paraId="0B1CDE9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 21(2), (4).</w:t>
      </w:r>
    </w:p>
  </w:footnote>
  <w:footnote w:id="875">
    <w:p w14:paraId="6D93676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 xml:space="preserve">(Vic) s 21(1). </w:t>
      </w:r>
    </w:p>
  </w:footnote>
  <w:footnote w:id="876">
    <w:p w14:paraId="4AF27E2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 24.</w:t>
      </w:r>
    </w:p>
  </w:footnote>
  <w:footnote w:id="877">
    <w:p w14:paraId="53DEB71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(NSW) s 29(7)(b).</w:t>
      </w:r>
    </w:p>
  </w:footnote>
  <w:footnote w:id="878">
    <w:p w14:paraId="2223098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(NSW) s 30(2).</w:t>
      </w:r>
    </w:p>
  </w:footnote>
  <w:footnote w:id="879">
    <w:p w14:paraId="3530886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(NSW) s 32.</w:t>
      </w:r>
    </w:p>
  </w:footnote>
  <w:footnote w:id="880">
    <w:p w14:paraId="21ECEE5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 xml:space="preserve">(NSW) ss 31(1), 31(2); </w:t>
      </w:r>
      <w:r w:rsidRPr="00E7516E">
        <w:rPr>
          <w:rFonts w:cs="Times New Roman"/>
          <w:i/>
          <w:iCs/>
        </w:rPr>
        <w:t xml:space="preserve">Privacy and Data Protection Act 2014 </w:t>
      </w:r>
      <w:r w:rsidRPr="00E7516E">
        <w:rPr>
          <w:rFonts w:cs="Times New Roman"/>
        </w:rPr>
        <w:t>(Vic) s 22(1). The NSW legislation specifies that requirements imposed under a code must not impose requirements that are more stringent than the information privacy principles (s 29(7)(b)), while the Victorian legislation specifies that a code of practice may only prescribe standards that are at least as stringent as the standards prescribed in the information privacy principle (s 21(2)(a)).</w:t>
      </w:r>
    </w:p>
  </w:footnote>
  <w:footnote w:id="881">
    <w:p w14:paraId="1981730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(NSW) s 31(4).</w:t>
      </w:r>
    </w:p>
  </w:footnote>
  <w:footnote w:id="882">
    <w:p w14:paraId="1626961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Data Protection Act 2014 </w:t>
      </w:r>
      <w:r w:rsidRPr="00E7516E">
        <w:rPr>
          <w:rFonts w:cs="Times New Roman"/>
        </w:rPr>
        <w:t>(Vic) ss 22(2), (3).</w:t>
      </w:r>
    </w:p>
  </w:footnote>
  <w:footnote w:id="883">
    <w:p w14:paraId="6158627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Health Records Information Privacy Act 2002 </w:t>
      </w:r>
      <w:r w:rsidRPr="00E7516E">
        <w:rPr>
          <w:rFonts w:cs="Times New Roman"/>
        </w:rPr>
        <w:t>(NSW) Pt 5.</w:t>
      </w:r>
    </w:p>
  </w:footnote>
  <w:footnote w:id="884">
    <w:p w14:paraId="16C764D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OVIC, </w:t>
      </w:r>
      <w:r w:rsidRPr="00E7516E">
        <w:rPr>
          <w:rFonts w:cs="Times New Roman"/>
          <w:i/>
          <w:iCs/>
        </w:rPr>
        <w:t xml:space="preserve">The PDP Act – A Deep Dive </w:t>
      </w:r>
      <w:r w:rsidRPr="00E7516E">
        <w:rPr>
          <w:rFonts w:cs="Times New Roman"/>
        </w:rPr>
        <w:t>(Web Page) &lt;</w:t>
      </w:r>
      <w:hyperlink r:id="rId22" w:history="1">
        <w:r w:rsidRPr="00E7516E">
          <w:rPr>
            <w:rStyle w:val="Hyperlink"/>
            <w:rFonts w:cs="Times New Roman"/>
          </w:rPr>
          <w:t>https://ovic.vic.gov.au/privacy/resources-for-organisations/privacy-officer-toolkit/the-pdp-act-a-deep-dive/</w:t>
        </w:r>
      </w:hyperlink>
      <w:r w:rsidRPr="00E7516E">
        <w:rPr>
          <w:rFonts w:cs="Times New Roman"/>
        </w:rPr>
        <w:t>&gt;.</w:t>
      </w:r>
    </w:p>
  </w:footnote>
  <w:footnote w:id="885">
    <w:p w14:paraId="7A73BF73" w14:textId="392E49E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2F7A28">
        <w:rPr>
          <w:rFonts w:cs="Times New Roman"/>
        </w:rPr>
        <w:t>IPCNSW, Codes of Practice (Web Page, 2023) &lt;</w:t>
      </w:r>
      <w:hyperlink r:id="rId23" w:history="1">
        <w:r w:rsidR="002F7A28" w:rsidRPr="00971780">
          <w:rPr>
            <w:rStyle w:val="Hyperlink"/>
            <w:rFonts w:cs="Times New Roman"/>
          </w:rPr>
          <w:t>https://www.ipc.nsw.gov.au/privacy/nsw-privacy-laws/privacy-codes-practice</w:t>
        </w:r>
      </w:hyperlink>
      <w:r w:rsidR="002F7A28">
        <w:rPr>
          <w:rFonts w:cs="Times New Roman"/>
        </w:rPr>
        <w:t>&gt;</w:t>
      </w:r>
      <w:r w:rsidRPr="00E7516E">
        <w:rPr>
          <w:rFonts w:cs="Times New Roman"/>
        </w:rPr>
        <w:t>.</w:t>
      </w:r>
    </w:p>
  </w:footnote>
  <w:footnote w:id="886">
    <w:p w14:paraId="4584A5F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OVIC, </w:t>
      </w:r>
      <w:r w:rsidRPr="00E7516E">
        <w:rPr>
          <w:rFonts w:cs="Times New Roman"/>
          <w:i/>
          <w:iCs/>
        </w:rPr>
        <w:t xml:space="preserve">Privacy Impact Assessment Guide </w:t>
      </w:r>
      <w:hyperlink r:id="rId24" w:history="1">
        <w:r w:rsidRPr="00E7516E">
          <w:rPr>
            <w:rStyle w:val="Hyperlink"/>
            <w:rFonts w:cs="Times New Roman"/>
          </w:rPr>
          <w:t>https://ovic.vic.gov.au/privacy/resources-for-organisations/privacy-impact-assessment/</w:t>
        </w:r>
      </w:hyperlink>
      <w:r w:rsidRPr="00E7516E">
        <w:rPr>
          <w:rFonts w:cs="Times New Roman"/>
        </w:rPr>
        <w:t xml:space="preserve"> ; Information and Privacy Commission New South Wales, </w:t>
      </w:r>
      <w:r w:rsidRPr="00E7516E">
        <w:rPr>
          <w:rFonts w:cs="Times New Roman"/>
          <w:i/>
          <w:iCs/>
        </w:rPr>
        <w:t>A Guide to Privacy Impact Assessments</w:t>
      </w:r>
      <w:r w:rsidRPr="00E7516E">
        <w:rPr>
          <w:rFonts w:cs="Times New Roman"/>
        </w:rPr>
        <w:t xml:space="preserve"> (Updated May 2020) &lt;</w:t>
      </w:r>
      <w:hyperlink r:id="rId25" w:history="1">
        <w:r w:rsidRPr="00E7516E">
          <w:rPr>
            <w:rStyle w:val="Hyperlink"/>
            <w:rFonts w:cs="Times New Roman"/>
          </w:rPr>
          <w:t>https://www.ipc.nsw.gov.au/sites/default/files/2021-03/Guide_to_Privacy_Impact_Assessments_May_2020.pdf</w:t>
        </w:r>
      </w:hyperlink>
      <w:r w:rsidRPr="00E7516E">
        <w:rPr>
          <w:rFonts w:cs="Times New Roman"/>
        </w:rPr>
        <w:t xml:space="preserve">&gt;; Office of the Information Commissioner Queensland, </w:t>
      </w:r>
      <w:r w:rsidRPr="00E7516E">
        <w:rPr>
          <w:rFonts w:cs="Times New Roman"/>
          <w:i/>
          <w:iCs/>
        </w:rPr>
        <w:t xml:space="preserve">Undertaking a Privacy Impact Assessment </w:t>
      </w:r>
      <w:r w:rsidRPr="00E7516E">
        <w:rPr>
          <w:rFonts w:cs="Times New Roman"/>
        </w:rPr>
        <w:t>(Web Page, 7 March 2022) &lt;https://www.oic.qld.gov.au/guidelines/for-government/guidelines-privacy-principles/privacy-compliance/overview-privacy-impact-assessment-process/undertaking-a-privacy-impact-assessment&gt;</w:t>
      </w:r>
    </w:p>
  </w:footnote>
  <w:footnote w:id="887">
    <w:p w14:paraId="0CDF28D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in Explanatory Memorandum 18–20.</w:t>
      </w:r>
    </w:p>
  </w:footnote>
  <w:footnote w:id="888">
    <w:p w14:paraId="682E26C7" w14:textId="62AEA67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w:t>
      </w:r>
      <w:r w:rsidR="008F7EDE">
        <w:rPr>
          <w:rFonts w:cs="Times New Roman"/>
        </w:rPr>
        <w:t xml:space="preserve">Report </w:t>
      </w:r>
      <w:r w:rsidRPr="00E7516E">
        <w:rPr>
          <w:rFonts w:cs="Times New Roman"/>
        </w:rPr>
        <w:t>2022 Proposal 5.1.</w:t>
      </w:r>
    </w:p>
  </w:footnote>
  <w:footnote w:id="889">
    <w:p w14:paraId="4D92915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890">
    <w:p w14:paraId="0ADF53F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5.2.</w:t>
      </w:r>
    </w:p>
  </w:footnote>
  <w:footnote w:id="891">
    <w:p w14:paraId="34A3C5A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49–50.</w:t>
      </w:r>
    </w:p>
  </w:footnote>
  <w:footnote w:id="892">
    <w:p w14:paraId="09E34D2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15.</w:t>
      </w:r>
    </w:p>
  </w:footnote>
  <w:footnote w:id="893">
    <w:p w14:paraId="70127ED7" w14:textId="78FD82E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Proposal 16.5 (see also Proposal 16.3); Government Response 13.</w:t>
      </w:r>
    </w:p>
  </w:footnote>
  <w:footnote w:id="894">
    <w:p w14:paraId="1099037B" w14:textId="4769021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00651882">
        <w:rPr>
          <w:rFonts w:cs="Times New Roman"/>
        </w:rPr>
        <w:t xml:space="preserve"> Ibid</w:t>
      </w:r>
      <w:r w:rsidRPr="00E7516E">
        <w:rPr>
          <w:rFonts w:cs="Times New Roman"/>
        </w:rPr>
        <w:t xml:space="preserve"> Proposal 10.3 and 99–100.</w:t>
      </w:r>
    </w:p>
  </w:footnote>
  <w:footnote w:id="895">
    <w:p w14:paraId="5927457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7.1.</w:t>
      </w:r>
    </w:p>
  </w:footnote>
  <w:footnote w:id="896">
    <w:p w14:paraId="52A0165B" w14:textId="2281C7C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13.1; Government Response 10.</w:t>
      </w:r>
    </w:p>
  </w:footnote>
  <w:footnote w:id="897">
    <w:p w14:paraId="62868922" w14:textId="67DA099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E5109">
        <w:rPr>
          <w:rFonts w:cs="Times New Roman"/>
        </w:rPr>
        <w:t xml:space="preserve">Ibid </w:t>
      </w:r>
      <w:r w:rsidRPr="00E7516E">
        <w:rPr>
          <w:rFonts w:cs="Times New Roman"/>
        </w:rPr>
        <w:t>Proposal 13.1.</w:t>
      </w:r>
    </w:p>
  </w:footnote>
  <w:footnote w:id="898">
    <w:p w14:paraId="5E47C2A7" w14:textId="5775959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and see Proposal 13.3.</w:t>
      </w:r>
    </w:p>
  </w:footnote>
  <w:footnote w:id="899">
    <w:p w14:paraId="020370B1" w14:textId="09A5102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E5109">
        <w:rPr>
          <w:rFonts w:cs="Times New Roman"/>
        </w:rPr>
        <w:t xml:space="preserve">Issues Paper </w:t>
      </w:r>
      <w:r w:rsidRPr="00E7516E">
        <w:rPr>
          <w:rFonts w:cs="Times New Roman"/>
        </w:rPr>
        <w:t>Part 2, Question 2.14.</w:t>
      </w:r>
    </w:p>
  </w:footnote>
  <w:footnote w:id="900">
    <w:p w14:paraId="5906D89E" w14:textId="2304B7C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8</w:t>
      </w:r>
      <w:r w:rsidR="00AE5109">
        <w:rPr>
          <w:rFonts w:cs="Times New Roman"/>
        </w:rPr>
        <w:t xml:space="preserve"> (Meg Webb MLC)</w:t>
      </w:r>
      <w:r w:rsidRPr="00E7516E">
        <w:rPr>
          <w:rFonts w:cs="Times New Roman"/>
        </w:rPr>
        <w:t>.</w:t>
      </w:r>
    </w:p>
  </w:footnote>
  <w:footnote w:id="901">
    <w:p w14:paraId="76B1069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Amendment (Notifiable Data Breaches) Act 2017</w:t>
      </w:r>
      <w:r w:rsidRPr="00E7516E">
        <w:rPr>
          <w:rFonts w:cs="Times New Roman"/>
        </w:rPr>
        <w:t xml:space="preserve"> (Cth); </w:t>
      </w:r>
      <w:r w:rsidRPr="00E7516E">
        <w:rPr>
          <w:rFonts w:cs="Times New Roman"/>
          <w:i/>
          <w:iCs/>
        </w:rPr>
        <w:t>Privacy Act</w:t>
      </w:r>
      <w:r w:rsidRPr="00E7516E">
        <w:rPr>
          <w:rFonts w:cs="Times New Roman"/>
        </w:rPr>
        <w:t xml:space="preserve"> Part IIIC.</w:t>
      </w:r>
    </w:p>
  </w:footnote>
  <w:footnote w:id="902">
    <w:p w14:paraId="0056632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Attorney-General’s Department, </w:t>
      </w:r>
      <w:r w:rsidRPr="00E7516E">
        <w:rPr>
          <w:rFonts w:cs="Times New Roman"/>
          <w:i/>
          <w:iCs/>
        </w:rPr>
        <w:t>Privacy Amendment (Notifiable Data Breaches) Bill 2016 Regulation Impact Statement</w:t>
      </w:r>
      <w:r w:rsidRPr="00E7516E">
        <w:rPr>
          <w:rFonts w:cs="Times New Roman"/>
        </w:rPr>
        <w:t xml:space="preserve"> (Regulation Impact Statement, 11 January 2017) 15.</w:t>
      </w:r>
    </w:p>
  </w:footnote>
  <w:footnote w:id="903">
    <w:p w14:paraId="0D26FE6E" w14:textId="77777777" w:rsidR="00FF302D" w:rsidRPr="00E7516E" w:rsidRDefault="00FF302D" w:rsidP="00E7516E">
      <w:pPr>
        <w:pStyle w:val="FootnoteText"/>
        <w:jc w:val="left"/>
        <w:rPr>
          <w:rFonts w:cs="Times New Roman"/>
          <w:i/>
          <w:iCs/>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Act 1988 </w:t>
      </w:r>
      <w:r w:rsidRPr="00E7516E">
        <w:rPr>
          <w:rFonts w:cs="Times New Roman"/>
        </w:rPr>
        <w:t>(Cth) s 26WE.</w:t>
      </w:r>
    </w:p>
  </w:footnote>
  <w:footnote w:id="904">
    <w:p w14:paraId="2BFB6FF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ss 26WE–26WG.</w:t>
      </w:r>
    </w:p>
  </w:footnote>
  <w:footnote w:id="905">
    <w:p w14:paraId="6803532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26WG. This provides that regard should be had to factors such as: the kind(s) of information, the sensitivity of the information, whether the information is protected by security measures, and the persons or kinds of persons who have obtained, or could obtain, the information.</w:t>
      </w:r>
    </w:p>
  </w:footnote>
  <w:footnote w:id="906">
    <w:p w14:paraId="629ACAF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26WF.</w:t>
      </w:r>
    </w:p>
  </w:footnote>
  <w:footnote w:id="907">
    <w:p w14:paraId="676A21C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26WK.</w:t>
      </w:r>
    </w:p>
  </w:footnote>
  <w:footnote w:id="908">
    <w:p w14:paraId="6D9EAF4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26WL. The OAIC guidance document on data breaches states that the entities must ‘must publish a copy of the statement prepared for the Commissioner on its website, and take reasonable steps to bring its contents to the attention of individuals at risk of serious harm’: OAIC, </w:t>
      </w:r>
      <w:r w:rsidRPr="00E7516E">
        <w:rPr>
          <w:rFonts w:cs="Times New Roman"/>
          <w:i/>
          <w:iCs/>
        </w:rPr>
        <w:t xml:space="preserve">Data Breach Preparation and Response: A Guide to Managing Data Breaches in Accordance with the Privacy Act 1988 (Cth) </w:t>
      </w:r>
      <w:r w:rsidRPr="00E7516E">
        <w:rPr>
          <w:rFonts w:cs="Times New Roman"/>
        </w:rPr>
        <w:t>(Guidance Document, July 2019) 48 (‘</w:t>
      </w:r>
      <w:r w:rsidRPr="00E7516E">
        <w:rPr>
          <w:rFonts w:cs="Times New Roman"/>
          <w:i/>
          <w:iCs/>
        </w:rPr>
        <w:t>Data Breach Preparation and Response</w:t>
      </w:r>
      <w:r w:rsidRPr="00E7516E">
        <w:rPr>
          <w:rFonts w:cs="Times New Roman"/>
        </w:rPr>
        <w:t>’).</w:t>
      </w:r>
    </w:p>
  </w:footnote>
  <w:footnote w:id="909">
    <w:p w14:paraId="7BB7046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26WH(1) and (2)(a).</w:t>
      </w:r>
    </w:p>
  </w:footnote>
  <w:footnote w:id="910">
    <w:p w14:paraId="37315D9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26WH(2)(b).</w:t>
      </w:r>
    </w:p>
  </w:footnote>
  <w:footnote w:id="911">
    <w:p w14:paraId="7BE0C9F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 xml:space="preserve">Data Breach Preparation and Response </w:t>
      </w:r>
      <w:r w:rsidRPr="00E7516E">
        <w:rPr>
          <w:rFonts w:cs="Times New Roman"/>
        </w:rPr>
        <w:t xml:space="preserve">47. </w:t>
      </w:r>
    </w:p>
  </w:footnote>
  <w:footnote w:id="912">
    <w:p w14:paraId="79B0ED95" w14:textId="77777777" w:rsidR="00FF302D" w:rsidRPr="00E7516E" w:rsidRDefault="00FF302D" w:rsidP="00E7516E">
      <w:pPr>
        <w:pStyle w:val="FootnoteText"/>
        <w:jc w:val="left"/>
        <w:rPr>
          <w:rFonts w:cs="Times New Roman"/>
          <w:i/>
          <w:iCs/>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Act 1988</w:t>
      </w:r>
      <w:r w:rsidRPr="00E7516E">
        <w:rPr>
          <w:rFonts w:cs="Times New Roman"/>
        </w:rPr>
        <w:t xml:space="preserve"> (Cth) s 13(4A).</w:t>
      </w:r>
    </w:p>
  </w:footnote>
  <w:footnote w:id="913">
    <w:p w14:paraId="139759D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Defined as a breach of security leading to the accidental or unlawful destruction, loss, alteration, unauthorised disclosure of, or access to, personal data: see GDPR art 4. </w:t>
      </w:r>
    </w:p>
  </w:footnote>
  <w:footnote w:id="914">
    <w:p w14:paraId="305EC94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GDPR art 33.</w:t>
      </w:r>
    </w:p>
  </w:footnote>
  <w:footnote w:id="915">
    <w:p w14:paraId="3F5B79E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GDPR art 34.</w:t>
      </w:r>
    </w:p>
  </w:footnote>
  <w:footnote w:id="916">
    <w:p w14:paraId="3360BB6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Notifiable Data Breaches Scheme 12-month Insights Report</w:t>
      </w:r>
      <w:r w:rsidRPr="00E7516E">
        <w:rPr>
          <w:rFonts w:cs="Times New Roman"/>
        </w:rPr>
        <w:t xml:space="preserve"> (Report, 13 May 2019) 8.</w:t>
      </w:r>
    </w:p>
  </w:footnote>
  <w:footnote w:id="917">
    <w:p w14:paraId="2103585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OAIC, </w:t>
      </w:r>
      <w:r w:rsidRPr="00E7516E">
        <w:rPr>
          <w:rFonts w:cs="Times New Roman"/>
          <w:i/>
          <w:iCs/>
        </w:rPr>
        <w:t>Notifiable Data Breaches Report January to June 2023</w:t>
      </w:r>
      <w:r w:rsidRPr="00E7516E">
        <w:rPr>
          <w:rFonts w:cs="Times New Roman"/>
        </w:rPr>
        <w:t xml:space="preserve"> (Report, 5 September 2023) 5, 19, 29.</w:t>
      </w:r>
    </w:p>
  </w:footnote>
  <w:footnote w:id="918">
    <w:p w14:paraId="18617C65" w14:textId="77777777" w:rsidR="00FF302D" w:rsidRPr="00E7516E" w:rsidRDefault="00FF302D" w:rsidP="00E7516E">
      <w:pPr>
        <w:pStyle w:val="FootnoteText"/>
        <w:jc w:val="left"/>
        <w:rPr>
          <w:rFonts w:cs="Times New Roman"/>
          <w:highlight w:val="yellow"/>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Amendment Act 2022 </w:t>
      </w:r>
      <w:r w:rsidRPr="00E7516E">
        <w:rPr>
          <w:rFonts w:cs="Times New Roman"/>
        </w:rPr>
        <w:t>(NSW) s 2; NSW Government, Statement of Public Interest, Privacy and Personal Information Protection Amendment Bill 2022 (NSW) 2 &lt;https://www.parliament.nsw.gov.au/bill/files/4040/SPI%20-%20Privacy%20and%20Personal%20Information%20Protection%20Amendment%20Bill%202022.pdf&gt;.</w:t>
      </w:r>
    </w:p>
  </w:footnote>
  <w:footnote w:id="919">
    <w:p w14:paraId="6EEDE04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also Queensland Government, </w:t>
      </w:r>
      <w:r w:rsidRPr="00E7516E">
        <w:rPr>
          <w:rFonts w:cs="Times New Roman"/>
          <w:i/>
          <w:iCs/>
        </w:rPr>
        <w:t>Consultation Paper: Proposed Changes to Queensland’s Information Privacy and Right to Information Framework</w:t>
      </w:r>
      <w:r w:rsidRPr="00E7516E">
        <w:rPr>
          <w:rFonts w:cs="Times New Roman"/>
        </w:rPr>
        <w:t xml:space="preserve"> (June 2022) &lt;</w:t>
      </w:r>
      <w:hyperlink r:id="rId26" w:history="1">
        <w:r w:rsidRPr="00E7516E">
          <w:rPr>
            <w:rStyle w:val="Hyperlink"/>
            <w:rFonts w:cs="Times New Roman"/>
          </w:rPr>
          <w:t>https://www.publications.qld.gov.au/ckan-publications-attachments-prod/resources/7326cb08-a3da-451c-8c48-dc08ea9dcc6d/consultation-paper-proposed-changes-qld-ip-rti-framework.pdf?ETag=f9671bcc9b57d55cc316d1c803234761</w:t>
        </w:r>
      </w:hyperlink>
      <w:r w:rsidRPr="00E7516E">
        <w:rPr>
          <w:rFonts w:cs="Times New Roman"/>
        </w:rPr>
        <w:t>&gt;.</w:t>
      </w:r>
    </w:p>
  </w:footnote>
  <w:footnote w:id="920">
    <w:p w14:paraId="36C28087" w14:textId="4F7371A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 2022 ch 28. </w:t>
      </w:r>
    </w:p>
  </w:footnote>
  <w:footnote w:id="921">
    <w:p w14:paraId="5EC9887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289.</w:t>
      </w:r>
    </w:p>
  </w:footnote>
  <w:footnote w:id="922">
    <w:p w14:paraId="7484493D" w14:textId="1ADCB12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915A83">
        <w:rPr>
          <w:rFonts w:cs="Times New Roman"/>
        </w:rPr>
        <w:t xml:space="preserve">Privacy Act Review Report 2022 </w:t>
      </w:r>
      <w:r w:rsidRPr="00E7516E">
        <w:rPr>
          <w:rFonts w:cs="Times New Roman"/>
        </w:rPr>
        <w:t>Proposal 28.1 and 290–291.</w:t>
      </w:r>
    </w:p>
  </w:footnote>
  <w:footnote w:id="923">
    <w:p w14:paraId="11FAA27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10.</w:t>
      </w:r>
    </w:p>
  </w:footnote>
  <w:footnote w:id="924">
    <w:p w14:paraId="5737B26E" w14:textId="410302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w:t>
      </w:r>
      <w:r w:rsidR="001146F6">
        <w:rPr>
          <w:rFonts w:cs="Times New Roman"/>
        </w:rPr>
        <w:t xml:space="preserve"> </w:t>
      </w:r>
      <w:r w:rsidRPr="00E7516E">
        <w:rPr>
          <w:rFonts w:cs="Times New Roman"/>
        </w:rPr>
        <w:t>Report 2022 Proposal 28.2.</w:t>
      </w:r>
    </w:p>
  </w:footnote>
  <w:footnote w:id="925">
    <w:p w14:paraId="0EC501D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294. </w:t>
      </w:r>
    </w:p>
  </w:footnote>
  <w:footnote w:id="926">
    <w:p w14:paraId="36E3C9A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28.2.</w:t>
      </w:r>
    </w:p>
  </w:footnote>
  <w:footnote w:id="927">
    <w:p w14:paraId="5BBBE8E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w:t>
      </w:r>
    </w:p>
  </w:footnote>
  <w:footnote w:id="928">
    <w:p w14:paraId="52E1D814" w14:textId="7E96E01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342DF">
        <w:rPr>
          <w:rFonts w:cs="Times New Roman"/>
        </w:rPr>
        <w:t>Ibid</w:t>
      </w:r>
      <w:r w:rsidRPr="00E7516E">
        <w:rPr>
          <w:rFonts w:cs="Times New Roman"/>
        </w:rPr>
        <w:t xml:space="preserve"> Proposal 28.3. </w:t>
      </w:r>
    </w:p>
  </w:footnote>
  <w:footnote w:id="929">
    <w:p w14:paraId="3D2B57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28.3 and 297.</w:t>
      </w:r>
    </w:p>
  </w:footnote>
  <w:footnote w:id="930">
    <w:p w14:paraId="42B6604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Proposal 28.4 and 297–298.</w:t>
      </w:r>
    </w:p>
  </w:footnote>
  <w:footnote w:id="931">
    <w:p w14:paraId="6997D76F" w14:textId="56FB38B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53A94">
        <w:rPr>
          <w:rFonts w:cs="Times New Roman"/>
        </w:rPr>
        <w:t xml:space="preserve">Issues Paper </w:t>
      </w:r>
      <w:r w:rsidRPr="00E7516E">
        <w:rPr>
          <w:rFonts w:cs="Times New Roman"/>
        </w:rPr>
        <w:t>Part 2, Question 2.15.</w:t>
      </w:r>
    </w:p>
  </w:footnote>
  <w:footnote w:id="932">
    <w:p w14:paraId="0130A92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Clancy Balen and Meg Whitfield, ‘Minister Confirms 16,000 Documents Released Online in Tasmanian Data Breach, Helpline Set Up’ (</w:t>
      </w:r>
      <w:r w:rsidRPr="00E7516E">
        <w:rPr>
          <w:rFonts w:cs="Times New Roman"/>
          <w:i/>
          <w:iCs/>
        </w:rPr>
        <w:t>ABC News Online</w:t>
      </w:r>
      <w:r w:rsidRPr="00E7516E">
        <w:rPr>
          <w:rFonts w:cs="Times New Roman"/>
        </w:rPr>
        <w:t>, 7 April 2023) &lt;https://www.abc.net.au/news/2023-04-07/tasmania-goanywheremft-file-share-data-breach-16k-documents-out/102197658&gt;.</w:t>
      </w:r>
    </w:p>
  </w:footnote>
  <w:footnote w:id="933">
    <w:p w14:paraId="42D5D8E4" w14:textId="3FC3284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10</w:t>
      </w:r>
      <w:r w:rsidR="00E53A94">
        <w:rPr>
          <w:rFonts w:cs="Times New Roman"/>
        </w:rPr>
        <w:t xml:space="preserve"> (Richard Griggs)</w:t>
      </w:r>
      <w:r w:rsidRPr="00E7516E">
        <w:rPr>
          <w:rFonts w:cs="Times New Roman"/>
        </w:rPr>
        <w:t>.</w:t>
      </w:r>
    </w:p>
  </w:footnote>
  <w:footnote w:id="934">
    <w:p w14:paraId="20EE849D" w14:textId="02F7123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20</w:t>
      </w:r>
      <w:r w:rsidR="00E53A94">
        <w:rPr>
          <w:rFonts w:cs="Times New Roman"/>
        </w:rPr>
        <w:t xml:space="preserve"> </w:t>
      </w:r>
      <w:r w:rsidR="0018662C">
        <w:rPr>
          <w:rFonts w:cs="Times New Roman"/>
        </w:rPr>
        <w:t>(Dr Joel Scanlan)</w:t>
      </w:r>
      <w:r w:rsidRPr="00E7516E">
        <w:rPr>
          <w:rFonts w:cs="Times New Roman"/>
        </w:rPr>
        <w:t>.</w:t>
      </w:r>
    </w:p>
  </w:footnote>
  <w:footnote w:id="935">
    <w:p w14:paraId="79623B8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936">
    <w:p w14:paraId="489352C2" w14:textId="7C189D0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I</w:t>
      </w:r>
      <w:r w:rsidR="0018662C">
        <w:rPr>
          <w:rFonts w:cs="Times New Roman"/>
        </w:rPr>
        <w:t xml:space="preserve">ssues </w:t>
      </w:r>
      <w:r w:rsidRPr="00E7516E">
        <w:rPr>
          <w:rFonts w:cs="Times New Roman"/>
        </w:rPr>
        <w:t>P</w:t>
      </w:r>
      <w:r w:rsidR="0018662C">
        <w:rPr>
          <w:rFonts w:cs="Times New Roman"/>
        </w:rPr>
        <w:t>aper</w:t>
      </w:r>
      <w:r w:rsidRPr="00E7516E">
        <w:rPr>
          <w:rFonts w:cs="Times New Roman"/>
        </w:rPr>
        <w:t xml:space="preserve"> [3.2].</w:t>
      </w:r>
    </w:p>
  </w:footnote>
  <w:footnote w:id="937">
    <w:p w14:paraId="56DAC1B4" w14:textId="2B82709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00E16642">
        <w:rPr>
          <w:rFonts w:cs="Times New Roman"/>
        </w:rPr>
        <w:t>ibid</w:t>
      </w:r>
      <w:r w:rsidRPr="00E7516E">
        <w:rPr>
          <w:rFonts w:cs="Times New Roman"/>
        </w:rPr>
        <w:t xml:space="preserve"> [3.3].</w:t>
      </w:r>
    </w:p>
  </w:footnote>
  <w:footnote w:id="938">
    <w:p w14:paraId="2145FF7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ibid.</w:t>
      </w:r>
    </w:p>
  </w:footnote>
  <w:footnote w:id="939">
    <w:p w14:paraId="15655ED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4.</w:t>
      </w:r>
    </w:p>
  </w:footnote>
  <w:footnote w:id="940">
    <w:p w14:paraId="6CF4B200"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Right to Information Act 2009 </w:t>
      </w:r>
      <w:r w:rsidRPr="00E7516E">
        <w:rPr>
          <w:rFonts w:cs="Times New Roman"/>
          <w:bCs/>
          <w:iCs/>
        </w:rPr>
        <w:t>(Tas)</w:t>
      </w:r>
      <w:r w:rsidRPr="00E7516E">
        <w:rPr>
          <w:rFonts w:cs="Times New Roman"/>
          <w:bCs/>
          <w:i/>
        </w:rPr>
        <w:t xml:space="preserve"> </w:t>
      </w:r>
      <w:r w:rsidRPr="00E7516E">
        <w:rPr>
          <w:rFonts w:cs="Times New Roman"/>
          <w:bCs/>
          <w:iCs/>
        </w:rPr>
        <w:t>s 7</w:t>
      </w:r>
      <w:r w:rsidRPr="00E7516E">
        <w:rPr>
          <w:rFonts w:cs="Times New Roman"/>
          <w:bCs/>
          <w:i/>
        </w:rPr>
        <w:t xml:space="preserve">. </w:t>
      </w:r>
      <w:r w:rsidRPr="00E7516E">
        <w:rPr>
          <w:rFonts w:cs="Times New Roman"/>
          <w:bCs/>
          <w:iCs/>
        </w:rPr>
        <w:t xml:space="preserve">The Tasmanian Ombudsman has determined that the PIPA does not prevent the release of personal information under the </w:t>
      </w:r>
      <w:r w:rsidRPr="00E7516E">
        <w:rPr>
          <w:rFonts w:cs="Times New Roman"/>
          <w:bCs/>
          <w:i/>
        </w:rPr>
        <w:t xml:space="preserve">Right to Information Act 2009 </w:t>
      </w:r>
      <w:r w:rsidRPr="00E7516E">
        <w:rPr>
          <w:rFonts w:cs="Times New Roman"/>
          <w:bCs/>
          <w:iCs/>
        </w:rPr>
        <w:t>(Tas):</w:t>
      </w:r>
      <w:r w:rsidRPr="00E7516E">
        <w:rPr>
          <w:rFonts w:cs="Times New Roman"/>
          <w:bCs/>
          <w:i/>
        </w:rPr>
        <w:t xml:space="preserve"> Clive Stott and Hydro Tasmania </w:t>
      </w:r>
      <w:r w:rsidRPr="00E7516E">
        <w:rPr>
          <w:rFonts w:cs="Times New Roman"/>
          <w:bCs/>
          <w:iCs/>
        </w:rPr>
        <w:t xml:space="preserve">[2021] Ombudsman Tasmania, Decision 1702–115 [69]. </w:t>
      </w:r>
    </w:p>
  </w:footnote>
  <w:footnote w:id="941">
    <w:p w14:paraId="025D9DE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Right to Information Act 2009 </w:t>
      </w:r>
      <w:r w:rsidRPr="00E7516E">
        <w:rPr>
          <w:rFonts w:cs="Times New Roman"/>
          <w:bCs/>
          <w:iCs/>
        </w:rPr>
        <w:t>(Tas) ss 33</w:t>
      </w:r>
      <w:r w:rsidRPr="00E7516E">
        <w:rPr>
          <w:rFonts w:cs="Times New Roman"/>
          <w:bCs/>
        </w:rPr>
        <w:t>.</w:t>
      </w:r>
    </w:p>
  </w:footnote>
  <w:footnote w:id="942">
    <w:p w14:paraId="5C7FF3D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Right to Information Act 2009 </w:t>
      </w:r>
      <w:r w:rsidRPr="00E7516E">
        <w:rPr>
          <w:rFonts w:cs="Times New Roman"/>
          <w:bCs/>
          <w:iCs/>
        </w:rPr>
        <w:t xml:space="preserve">(Tas) ss 36, 37. See ss 38–39 for other exemptions subject to a public interest test, including </w:t>
      </w:r>
      <w:r w:rsidRPr="00E7516E">
        <w:rPr>
          <w:rFonts w:cs="Times New Roman"/>
        </w:rPr>
        <w:t xml:space="preserve">disclosure of </w:t>
      </w:r>
      <w:r w:rsidRPr="00E7516E">
        <w:rPr>
          <w:rFonts w:cs="Times New Roman"/>
          <w:bCs/>
        </w:rPr>
        <w:t>information relating to a public authority’s business affairs and information obtained in confidence.</w:t>
      </w:r>
    </w:p>
  </w:footnote>
  <w:footnote w:id="943">
    <w:p w14:paraId="33BA9D8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Right to Information Act 2009 </w:t>
      </w:r>
      <w:r w:rsidRPr="00E7516E">
        <w:rPr>
          <w:rFonts w:cs="Times New Roman"/>
        </w:rPr>
        <w:t>(Tas) sch 1.</w:t>
      </w:r>
    </w:p>
  </w:footnote>
  <w:footnote w:id="944">
    <w:p w14:paraId="19394E4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Stolen Generations of Aboriginal Children Act 2006 </w:t>
      </w:r>
      <w:r w:rsidRPr="00E7516E">
        <w:rPr>
          <w:rFonts w:cs="Times New Roman"/>
          <w:iCs/>
        </w:rPr>
        <w:t>(Tas) s 16(2).</w:t>
      </w:r>
      <w:r w:rsidRPr="00E7516E">
        <w:rPr>
          <w:rFonts w:cs="Times New Roman"/>
        </w:rPr>
        <w:t xml:space="preserve"> </w:t>
      </w:r>
    </w:p>
  </w:footnote>
  <w:footnote w:id="945">
    <w:p w14:paraId="467BFF2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Child and Youth Safe Organisations Act 2023 </w:t>
      </w:r>
      <w:r w:rsidRPr="00E7516E">
        <w:rPr>
          <w:rFonts w:cs="Times New Roman"/>
        </w:rPr>
        <w:t>(Tas) ss 38, 39, 40.</w:t>
      </w:r>
    </w:p>
  </w:footnote>
  <w:footnote w:id="946">
    <w:p w14:paraId="1DF7AE4B" w14:textId="46251C47" w:rsidR="00FF302D" w:rsidRPr="00EA22F8" w:rsidRDefault="00FF302D" w:rsidP="00E7516E">
      <w:pPr>
        <w:pStyle w:val="FootnoteText"/>
        <w:jc w:val="left"/>
        <w:rPr>
          <w:rFonts w:cs="Times New Roman"/>
        </w:rPr>
      </w:pPr>
      <w:r w:rsidRPr="00E16642">
        <w:rPr>
          <w:rStyle w:val="FootnoteReference"/>
          <w:rFonts w:ascii="Times New Roman" w:hAnsi="Times New Roman" w:cs="Times New Roman"/>
        </w:rPr>
        <w:footnoteRef/>
      </w:r>
      <w:r w:rsidRPr="00E16642">
        <w:rPr>
          <w:rFonts w:cs="Times New Roman"/>
        </w:rPr>
        <w:t xml:space="preserve"> </w:t>
      </w:r>
      <w:r w:rsidRPr="00EA22F8">
        <w:rPr>
          <w:rFonts w:cs="Times New Roman"/>
          <w:i/>
          <w:iCs/>
        </w:rPr>
        <w:t xml:space="preserve">Child and Youth Safe Organisations Act 2023 </w:t>
      </w:r>
      <w:r w:rsidRPr="00EA22F8">
        <w:rPr>
          <w:rFonts w:cs="Times New Roman"/>
        </w:rPr>
        <w:t>(Tas) s 39(3).</w:t>
      </w:r>
    </w:p>
  </w:footnote>
  <w:footnote w:id="947">
    <w:p w14:paraId="41E63F26" w14:textId="77777777" w:rsidR="00FF302D" w:rsidRPr="00EA22F8"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Pr="00EA22F8">
        <w:rPr>
          <w:rFonts w:cs="Times New Roman"/>
          <w:i/>
          <w:iCs/>
        </w:rPr>
        <w:t xml:space="preserve">Commissions of Inquiry Act 1995 </w:t>
      </w:r>
      <w:r w:rsidRPr="00EA22F8">
        <w:rPr>
          <w:rFonts w:cs="Times New Roman"/>
        </w:rPr>
        <w:t>(Tas) s 7A.</w:t>
      </w:r>
    </w:p>
  </w:footnote>
  <w:footnote w:id="948">
    <w:p w14:paraId="39116EB8" w14:textId="77777777"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Pr="00EA22F8">
        <w:rPr>
          <w:rFonts w:cs="Times New Roman"/>
          <w:i/>
          <w:iCs/>
        </w:rPr>
        <w:t xml:space="preserve">Family Violence Act 2004 </w:t>
      </w:r>
      <w:r w:rsidRPr="00EA22F8">
        <w:rPr>
          <w:rFonts w:cs="Times New Roman"/>
        </w:rPr>
        <w:t>(Tas) s 37.</w:t>
      </w:r>
    </w:p>
  </w:footnote>
  <w:footnote w:id="949">
    <w:p w14:paraId="6CD1617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Children, Young Persons and Their Families Act 1997 </w:t>
      </w:r>
      <w:r w:rsidRPr="00E7516E">
        <w:rPr>
          <w:rFonts w:cs="Times New Roman"/>
        </w:rPr>
        <w:t>(Tas) s 111B.</w:t>
      </w:r>
    </w:p>
  </w:footnote>
  <w:footnote w:id="950">
    <w:p w14:paraId="3795A75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Corrections Act 1997 </w:t>
      </w:r>
      <w:r w:rsidRPr="00E7516E">
        <w:rPr>
          <w:rFonts w:cs="Times New Roman"/>
        </w:rPr>
        <w:t>(Tas) s 87C.</w:t>
      </w:r>
    </w:p>
  </w:footnote>
  <w:footnote w:id="951">
    <w:p w14:paraId="03409D2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Dangerous Criminals and High Risk Offenders Act 2021 </w:t>
      </w:r>
      <w:r w:rsidRPr="00E7516E">
        <w:rPr>
          <w:rFonts w:cs="Times New Roman"/>
        </w:rPr>
        <w:t>(Tas) s 46. See also s 47, which provides for the disclosure of compliance information, and ss (3), which provides that the requirement to comply with a request for information from a judge, magistrate, or relevant officer ‘has effect despite the [PIPA] or other law relating to confidentiality of privacy of information’.</w:t>
      </w:r>
    </w:p>
  </w:footnote>
  <w:footnote w:id="952">
    <w:p w14:paraId="60DA9D8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End-of-Life Choices (Voluntary Assisted Dying) Act 2021</w:t>
      </w:r>
      <w:r w:rsidRPr="00E7516E">
        <w:rPr>
          <w:rFonts w:cs="Times New Roman"/>
        </w:rPr>
        <w:t xml:space="preserve"> (Tas) s 101.</w:t>
      </w:r>
    </w:p>
  </w:footnote>
  <w:footnote w:id="953">
    <w:p w14:paraId="3DD9A67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Sentencing Act 1997 </w:t>
      </w:r>
      <w:r w:rsidRPr="00E7516E">
        <w:rPr>
          <w:rFonts w:cs="Times New Roman"/>
        </w:rPr>
        <w:t>(Tas) s 27U.</w:t>
      </w:r>
    </w:p>
  </w:footnote>
  <w:footnote w:id="954">
    <w:p w14:paraId="61D35DE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Youth Justice Act 1997 </w:t>
      </w:r>
      <w:r w:rsidRPr="00E7516E">
        <w:rPr>
          <w:rFonts w:cs="Times New Roman"/>
        </w:rPr>
        <w:t>(Tas) s 167A.</w:t>
      </w:r>
    </w:p>
  </w:footnote>
  <w:footnote w:id="955">
    <w:p w14:paraId="04C6FFE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Registration to Work with Vulnerable People Act 2013 </w:t>
      </w:r>
      <w:r w:rsidRPr="00E7516E">
        <w:rPr>
          <w:rFonts w:cs="Times New Roman"/>
        </w:rPr>
        <w:t>(Tas) s 57.</w:t>
      </w:r>
    </w:p>
  </w:footnote>
  <w:footnote w:id="956">
    <w:p w14:paraId="6153FA3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w:t>
      </w:r>
      <w:r w:rsidRPr="00E7516E">
        <w:rPr>
          <w:rFonts w:cs="Times New Roman"/>
          <w:i/>
          <w:iCs/>
        </w:rPr>
        <w:t>Adoption Act 1988</w:t>
      </w:r>
      <w:r w:rsidRPr="00E7516E">
        <w:rPr>
          <w:rFonts w:cs="Times New Roman"/>
        </w:rPr>
        <w:t xml:space="preserve"> (Tas), s 75 creates a protection for privacy in so far as ‘a person shall not, under this Part, give to an applicant under this Part, and an applicant under this Part is not entitled to obtain, information relating to the personal affairs of a person, whether living or dead, other than the applicant or from which another person may be identified, whether directly or indirectly, except subject to and in accordance with this Part’.</w:t>
      </w:r>
    </w:p>
  </w:footnote>
  <w:footnote w:id="957">
    <w:p w14:paraId="6DB3CE4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Education Act 2016</w:t>
      </w:r>
      <w:r w:rsidRPr="00E7516E">
        <w:rPr>
          <w:rFonts w:cs="Times New Roman"/>
        </w:rPr>
        <w:t xml:space="preserve"> (Tas) ss 42(10), 62.</w:t>
      </w:r>
    </w:p>
  </w:footnote>
  <w:footnote w:id="958">
    <w:p w14:paraId="25FD44A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in CoI Report 184.</w:t>
      </w:r>
    </w:p>
  </w:footnote>
  <w:footnote w:id="959">
    <w:p w14:paraId="003F597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185.</w:t>
      </w:r>
    </w:p>
  </w:footnote>
  <w:footnote w:id="960">
    <w:p w14:paraId="1957F6C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Recommendation 6.10.</w:t>
      </w:r>
    </w:p>
  </w:footnote>
  <w:footnote w:id="961">
    <w:p w14:paraId="5EA42F1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Freedom of Information Act 1982 </w:t>
      </w:r>
      <w:r w:rsidRPr="00E7516E">
        <w:rPr>
          <w:rFonts w:cs="Times New Roman"/>
        </w:rPr>
        <w:t>(Vic) s 6(2). See also s 14, which contains an explicit exemption for the Act from the application of IPP 6.</w:t>
      </w:r>
    </w:p>
  </w:footnote>
  <w:footnote w:id="962">
    <w:p w14:paraId="054D1B49" w14:textId="47A834A9" w:rsidR="00FF302D" w:rsidRPr="00E7516E" w:rsidRDefault="00FF302D" w:rsidP="00E7516E">
      <w:pPr>
        <w:pStyle w:val="FootnoteText"/>
        <w:jc w:val="left"/>
        <w:rPr>
          <w:rFonts w:cs="Times New Roman"/>
        </w:rPr>
      </w:pPr>
      <w:r w:rsidRPr="004D02AA">
        <w:rPr>
          <w:rStyle w:val="FootnoteReference"/>
          <w:rFonts w:ascii="Times New Roman" w:hAnsi="Times New Roman" w:cs="Times New Roman"/>
        </w:rPr>
        <w:footnoteRef/>
      </w:r>
      <w:r w:rsidRPr="004D02AA">
        <w:rPr>
          <w:rFonts w:cs="Times New Roman"/>
        </w:rPr>
        <w:t xml:space="preserve"> </w:t>
      </w:r>
      <w:r w:rsidRPr="004D02AA">
        <w:rPr>
          <w:rFonts w:cs="Times New Roman"/>
          <w:i/>
          <w:iCs/>
        </w:rPr>
        <w:t>Freedom of Information Act 1982</w:t>
      </w:r>
      <w:r w:rsidRPr="004D02AA">
        <w:rPr>
          <w:rFonts w:cs="Times New Roman"/>
        </w:rPr>
        <w:t xml:space="preserve"> (Vic) s 33. See OVIC, </w:t>
      </w:r>
      <w:r w:rsidRPr="004D02AA">
        <w:rPr>
          <w:rFonts w:cs="Times New Roman"/>
          <w:i/>
          <w:iCs/>
        </w:rPr>
        <w:t>Section 33 – D</w:t>
      </w:r>
      <w:r w:rsidR="00A54C68" w:rsidRPr="004D02AA">
        <w:rPr>
          <w:rFonts w:cs="Times New Roman"/>
          <w:i/>
          <w:iCs/>
        </w:rPr>
        <w:t>ocument affecting Personal Privacy</w:t>
      </w:r>
      <w:r w:rsidR="00A54C68">
        <w:rPr>
          <w:rFonts w:cs="Times New Roman"/>
        </w:rPr>
        <w:t xml:space="preserve"> (Web Page</w:t>
      </w:r>
      <w:r w:rsidRPr="00E7516E">
        <w:rPr>
          <w:rFonts w:cs="Times New Roman"/>
        </w:rPr>
        <w:t>,</w:t>
      </w:r>
      <w:r w:rsidR="004D02AA">
        <w:rPr>
          <w:rFonts w:cs="Times New Roman"/>
        </w:rPr>
        <w:t xml:space="preserve"> 2024) </w:t>
      </w:r>
      <w:r w:rsidRPr="00E7516E">
        <w:rPr>
          <w:rFonts w:cs="Times New Roman"/>
        </w:rPr>
        <w:t>&lt;</w:t>
      </w:r>
      <w:r w:rsidR="00A54C68" w:rsidRPr="00A54C68">
        <w:rPr>
          <w:rFonts w:cs="Times New Roman"/>
        </w:rPr>
        <w:t>https://ovic.vic.gov.au/freedom-of-information/foi-guidelines/section-33/</w:t>
      </w:r>
      <w:r w:rsidRPr="00E7516E">
        <w:rPr>
          <w:rStyle w:val="Hyperlink"/>
          <w:rFonts w:cs="Times New Roman"/>
        </w:rPr>
        <w:t>&gt;.</w:t>
      </w:r>
    </w:p>
  </w:footnote>
  <w:footnote w:id="963">
    <w:p w14:paraId="7A1C7F9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Style w:val="FootnoteReference"/>
          <w:rFonts w:ascii="Times New Roman" w:hAnsi="Times New Roman" w:cs="Times New Roman"/>
        </w:rPr>
        <w:t xml:space="preserve">  </w:t>
      </w:r>
      <w:r w:rsidRPr="00945F4D">
        <w:rPr>
          <w:rStyle w:val="FootnoteReference"/>
          <w:rFonts w:ascii="Times New Roman" w:hAnsi="Times New Roman" w:cs="Times New Roman"/>
          <w:i/>
          <w:iCs/>
          <w:vertAlign w:val="baseline"/>
        </w:rPr>
        <w:t xml:space="preserve">Freedom of Information Act 1982 </w:t>
      </w:r>
      <w:r w:rsidRPr="00945F4D">
        <w:rPr>
          <w:rStyle w:val="FootnoteReference"/>
          <w:rFonts w:ascii="Times New Roman" w:hAnsi="Times New Roman" w:cs="Times New Roman"/>
          <w:vertAlign w:val="baseline"/>
        </w:rPr>
        <w:t xml:space="preserve">(Cth) s 47F. See OAIC, </w:t>
      </w:r>
      <w:r w:rsidRPr="00945F4D">
        <w:rPr>
          <w:rStyle w:val="FootnoteReference"/>
          <w:rFonts w:ascii="Times New Roman" w:hAnsi="Times New Roman" w:cs="Times New Roman"/>
          <w:i/>
          <w:iCs/>
          <w:vertAlign w:val="baseline"/>
        </w:rPr>
        <w:t xml:space="preserve">Freedom of Information Guidelines </w:t>
      </w:r>
      <w:r w:rsidRPr="00945F4D">
        <w:rPr>
          <w:rStyle w:val="FootnoteReference"/>
          <w:rFonts w:ascii="Times New Roman" w:hAnsi="Times New Roman" w:cs="Times New Roman"/>
          <w:vertAlign w:val="baseline"/>
        </w:rPr>
        <w:t>&lt;</w:t>
      </w:r>
      <w:hyperlink r:id="rId27" w:anchor="documents-affecting-personal-privacy-s-47f" w:history="1">
        <w:r w:rsidRPr="00E7516E">
          <w:rPr>
            <w:rStyle w:val="Hyperlink"/>
            <w:rFonts w:cs="Times New Roman"/>
          </w:rPr>
          <w:t>https://www.oaic.gov.au/freedom-of-information/freedom-of-information-guidance-for-government-agencies/foi-guidelines/part-6-conditional-exemptions#documents-affecting-personal-privacy-s-47f</w:t>
        </w:r>
      </w:hyperlink>
      <w:r w:rsidRPr="00E7516E">
        <w:rPr>
          <w:rStyle w:val="FootnoteReference"/>
          <w:rFonts w:ascii="Times New Roman" w:hAnsi="Times New Roman" w:cs="Times New Roman"/>
        </w:rPr>
        <w:t xml:space="preserve">&gt;.    </w:t>
      </w:r>
      <w:r w:rsidRPr="00E7516E">
        <w:rPr>
          <w:rFonts w:cs="Times New Roman"/>
        </w:rPr>
        <w:t xml:space="preserve"> </w:t>
      </w:r>
    </w:p>
  </w:footnote>
  <w:footnote w:id="964">
    <w:p w14:paraId="32575C9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Privacy and Personal Information Protection Act 1998 </w:t>
      </w:r>
      <w:r w:rsidRPr="00E7516E">
        <w:rPr>
          <w:rFonts w:cs="Times New Roman"/>
        </w:rPr>
        <w:t>(NSW) s 5.</w:t>
      </w:r>
    </w:p>
  </w:footnote>
  <w:footnote w:id="965">
    <w:p w14:paraId="5C8797D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Government Information (Public Access) Act 2009</w:t>
      </w:r>
      <w:r w:rsidRPr="00E7516E">
        <w:rPr>
          <w:rFonts w:cs="Times New Roman"/>
        </w:rPr>
        <w:t xml:space="preserve"> (NSW) s 14; Table 3(b).</w:t>
      </w:r>
    </w:p>
  </w:footnote>
  <w:footnote w:id="966">
    <w:p w14:paraId="58DA1463" w14:textId="77777777" w:rsidR="00FF302D" w:rsidRPr="00E7516E" w:rsidRDefault="00FF302D" w:rsidP="00E7516E">
      <w:pPr>
        <w:pStyle w:val="FootnoteText"/>
        <w:jc w:val="left"/>
        <w:rPr>
          <w:rFonts w:cs="Times New Roman"/>
          <w:i/>
          <w:iCs/>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i/>
          <w:iCs/>
        </w:rPr>
        <w:t>Right to Information Act 2009</w:t>
      </w:r>
      <w:r w:rsidRPr="00E7516E">
        <w:rPr>
          <w:rFonts w:cs="Times New Roman"/>
        </w:rPr>
        <w:t xml:space="preserve"> (Qld) s 6. The Act also sets out details about the relationship between the </w:t>
      </w:r>
      <w:r w:rsidRPr="00E7516E">
        <w:rPr>
          <w:rFonts w:cs="Times New Roman"/>
          <w:i/>
          <w:iCs/>
        </w:rPr>
        <w:t xml:space="preserve">Information Privacy Act 2009 </w:t>
      </w:r>
      <w:r w:rsidRPr="00E7516E">
        <w:rPr>
          <w:rFonts w:cs="Times New Roman"/>
        </w:rPr>
        <w:t xml:space="preserve">(Qld) in s 8. This is amended by the </w:t>
      </w:r>
      <w:r w:rsidRPr="00E7516E">
        <w:rPr>
          <w:rFonts w:cs="Times New Roman"/>
          <w:i/>
          <w:iCs/>
        </w:rPr>
        <w:t>Information Privacy and Other Legislation Amendment Act 2023</w:t>
      </w:r>
      <w:r w:rsidRPr="00E7516E">
        <w:rPr>
          <w:rFonts w:cs="Times New Roman"/>
        </w:rPr>
        <w:t xml:space="preserve"> (Qld) (yet to be commenced). There is also a provision setting out the relationship with the </w:t>
      </w:r>
      <w:r w:rsidRPr="00E7516E">
        <w:rPr>
          <w:rFonts w:cs="Times New Roman"/>
          <w:i/>
          <w:iCs/>
        </w:rPr>
        <w:t xml:space="preserve">Right to Information Act 2009 </w:t>
      </w:r>
      <w:r w:rsidRPr="00E7516E">
        <w:rPr>
          <w:rFonts w:cs="Times New Roman"/>
        </w:rPr>
        <w:t xml:space="preserve">(Qld) in the </w:t>
      </w:r>
      <w:r w:rsidRPr="00E7516E">
        <w:rPr>
          <w:rFonts w:cs="Times New Roman"/>
          <w:i/>
          <w:iCs/>
        </w:rPr>
        <w:t xml:space="preserve">Information Privacy Act 2009 </w:t>
      </w:r>
      <w:r w:rsidRPr="00E7516E">
        <w:rPr>
          <w:rFonts w:cs="Times New Roman"/>
        </w:rPr>
        <w:t xml:space="preserve">(Qld) s 9. This is omitted by the </w:t>
      </w:r>
      <w:r w:rsidRPr="00E7516E">
        <w:rPr>
          <w:rFonts w:cs="Times New Roman"/>
          <w:i/>
          <w:iCs/>
        </w:rPr>
        <w:t>Information Privacy and Other Legislation Amendment Act 2023</w:t>
      </w:r>
      <w:r w:rsidRPr="00E7516E">
        <w:rPr>
          <w:rFonts w:cs="Times New Roman"/>
        </w:rPr>
        <w:t xml:space="preserve"> (Qld) (yet to be commenced).</w:t>
      </w:r>
    </w:p>
  </w:footnote>
  <w:footnote w:id="967">
    <w:p w14:paraId="414CF3A7" w14:textId="77777777" w:rsidR="00FF302D" w:rsidRPr="00E42696" w:rsidRDefault="00FF302D" w:rsidP="00E7516E">
      <w:pPr>
        <w:pStyle w:val="FootnoteText"/>
        <w:jc w:val="left"/>
        <w:rPr>
          <w:rFonts w:cs="Times New Roman"/>
          <w:i/>
          <w:iCs/>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Right to Information Act 2009</w:t>
      </w:r>
      <w:r w:rsidRPr="00E7516E">
        <w:rPr>
          <w:rFonts w:cs="Times New Roman"/>
        </w:rPr>
        <w:t xml:space="preserve"> (Qld) s 49, sch 4, Pt 3. See also sch 4, pt 4, cl 6, which sets our factors favouring non-disclosure in the public interest because of public interest harm in disclosure. It is noted that the </w:t>
      </w:r>
      <w:r w:rsidRPr="00E7516E">
        <w:rPr>
          <w:rFonts w:cs="Times New Roman"/>
          <w:i/>
          <w:iCs/>
        </w:rPr>
        <w:t>Information Privacy and Other Legislation Amendment Act 2023</w:t>
      </w:r>
      <w:r w:rsidRPr="00E7516E">
        <w:rPr>
          <w:rFonts w:cs="Times New Roman"/>
        </w:rPr>
        <w:t xml:space="preserve"> (Qld) (yet to be commenced) amends s 49 and </w:t>
      </w:r>
      <w:r w:rsidRPr="00E42696">
        <w:rPr>
          <w:rFonts w:cs="Times New Roman"/>
        </w:rPr>
        <w:t>Schedule 4 in relation to the public interest test.</w:t>
      </w:r>
    </w:p>
  </w:footnote>
  <w:footnote w:id="968">
    <w:p w14:paraId="402C37C4" w14:textId="4D74AD3A" w:rsidR="00FF302D" w:rsidRPr="00E7516E" w:rsidRDefault="00FF302D" w:rsidP="00E7516E">
      <w:pPr>
        <w:pStyle w:val="FootnoteText"/>
        <w:jc w:val="left"/>
        <w:rPr>
          <w:rFonts w:cs="Times New Roman"/>
          <w:highlight w:val="green"/>
        </w:rPr>
      </w:pPr>
      <w:r w:rsidRPr="00EA22F8">
        <w:rPr>
          <w:rStyle w:val="FootnoteReference"/>
          <w:rFonts w:ascii="Times New Roman" w:hAnsi="Times New Roman" w:cs="Times New Roman"/>
        </w:rPr>
        <w:footnoteRef/>
      </w:r>
      <w:r w:rsidRPr="00EA22F8">
        <w:rPr>
          <w:rFonts w:cs="Times New Roman"/>
        </w:rPr>
        <w:t xml:space="preserve"> </w:t>
      </w:r>
      <w:r w:rsidR="00E42696" w:rsidRPr="00EA22F8">
        <w:rPr>
          <w:rFonts w:cs="Times New Roman"/>
        </w:rPr>
        <w:t>Privacy Act Review Report 2022</w:t>
      </w:r>
      <w:r w:rsidR="006B2091">
        <w:rPr>
          <w:rFonts w:cs="Times New Roman"/>
        </w:rPr>
        <w:t>:</w:t>
      </w:r>
      <w:r w:rsidR="00E42696" w:rsidRPr="00EA22F8">
        <w:rPr>
          <w:rFonts w:cs="Times New Roman"/>
        </w:rPr>
        <w:t xml:space="preserve"> s</w:t>
      </w:r>
      <w:r w:rsidRPr="00EA22F8">
        <w:rPr>
          <w:rFonts w:cs="Times New Roman"/>
        </w:rPr>
        <w:t>ee discussion at 29.1</w:t>
      </w:r>
      <w:r w:rsidR="006B2091">
        <w:rPr>
          <w:rFonts w:cs="Times New Roman"/>
        </w:rPr>
        <w:t>.</w:t>
      </w:r>
      <w:r w:rsidRPr="00EA22F8">
        <w:rPr>
          <w:rFonts w:cs="Times New Roman"/>
        </w:rPr>
        <w:t xml:space="preserve"> </w:t>
      </w:r>
    </w:p>
  </w:footnote>
  <w:footnote w:id="969">
    <w:p w14:paraId="7B643BD5" w14:textId="08008C93"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00E42696" w:rsidRPr="00EA22F8">
        <w:rPr>
          <w:rFonts w:cs="Times New Roman"/>
        </w:rPr>
        <w:t xml:space="preserve">Ibid </w:t>
      </w:r>
      <w:r w:rsidRPr="00EA22F8">
        <w:rPr>
          <w:rFonts w:cs="Times New Roman"/>
        </w:rPr>
        <w:t>29.1.1.</w:t>
      </w:r>
    </w:p>
  </w:footnote>
  <w:footnote w:id="970">
    <w:p w14:paraId="4F584E38" w14:textId="30503202" w:rsidR="00FF302D" w:rsidRPr="00B63A56"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Government Response 37</w:t>
      </w:r>
      <w:r w:rsidRPr="00B63A56">
        <w:rPr>
          <w:rFonts w:cs="Times New Roman"/>
        </w:rPr>
        <w:t>.</w:t>
      </w:r>
    </w:p>
  </w:footnote>
  <w:footnote w:id="971">
    <w:p w14:paraId="09BD8D4B" w14:textId="65FB6745"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See discussion at</w:t>
      </w:r>
      <w:r w:rsidR="000E3F81">
        <w:rPr>
          <w:rFonts w:cs="Times New Roman"/>
        </w:rPr>
        <w:t xml:space="preserve"> [</w:t>
      </w:r>
      <w:r w:rsidR="000E3F81">
        <w:rPr>
          <w:rFonts w:cs="Times New Roman"/>
        </w:rPr>
        <w:fldChar w:fldCharType="begin"/>
      </w:r>
      <w:r w:rsidR="000E3F81">
        <w:rPr>
          <w:rFonts w:cs="Times New Roman"/>
        </w:rPr>
        <w:instrText xml:space="preserve"> REF _Ref165023905 \r \h </w:instrText>
      </w:r>
      <w:r w:rsidR="000E3F81">
        <w:rPr>
          <w:rFonts w:cs="Times New Roman"/>
        </w:rPr>
      </w:r>
      <w:r w:rsidR="000E3F81">
        <w:rPr>
          <w:rFonts w:cs="Times New Roman"/>
        </w:rPr>
        <w:fldChar w:fldCharType="separate"/>
      </w:r>
      <w:r w:rsidR="00462C30">
        <w:rPr>
          <w:rFonts w:cs="Times New Roman"/>
          <w:cs/>
        </w:rPr>
        <w:t>‎</w:t>
      </w:r>
      <w:r w:rsidR="00462C30">
        <w:rPr>
          <w:rFonts w:cs="Times New Roman"/>
        </w:rPr>
        <w:t>6.5.6</w:t>
      </w:r>
      <w:r w:rsidR="000E3F81">
        <w:rPr>
          <w:rFonts w:cs="Times New Roman"/>
        </w:rPr>
        <w:fldChar w:fldCharType="end"/>
      </w:r>
      <w:r w:rsidR="000E3F81">
        <w:rPr>
          <w:rFonts w:cs="Times New Roman"/>
        </w:rPr>
        <w:t>] and following</w:t>
      </w:r>
      <w:r w:rsidRPr="00EA22F8">
        <w:rPr>
          <w:rFonts w:cs="Times New Roman"/>
        </w:rPr>
        <w:t>.</w:t>
      </w:r>
    </w:p>
  </w:footnote>
  <w:footnote w:id="972">
    <w:p w14:paraId="47E22CA5" w14:textId="02461DB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22 </w:t>
      </w:r>
      <w:r w:rsidR="006B2091">
        <w:rPr>
          <w:rFonts w:cs="Times New Roman"/>
        </w:rPr>
        <w:t>(</w:t>
      </w:r>
      <w:r w:rsidRPr="00E7516E">
        <w:rPr>
          <w:rFonts w:cs="Times New Roman"/>
        </w:rPr>
        <w:t>Anonymous</w:t>
      </w:r>
      <w:r w:rsidR="006B2091">
        <w:rPr>
          <w:rFonts w:cs="Times New Roman"/>
        </w:rPr>
        <w:t>)</w:t>
      </w:r>
      <w:r w:rsidRPr="00E7516E">
        <w:rPr>
          <w:rFonts w:cs="Times New Roman"/>
        </w:rPr>
        <w:t>.</w:t>
      </w:r>
    </w:p>
  </w:footnote>
  <w:footnote w:id="973">
    <w:p w14:paraId="4AD78AD6" w14:textId="165FFC3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 xml:space="preserve">Submission 10 </w:t>
      </w:r>
      <w:r w:rsidR="00AC5DF5" w:rsidRPr="00EA22F8">
        <w:rPr>
          <w:rFonts w:cs="Times New Roman"/>
        </w:rPr>
        <w:t>(</w:t>
      </w:r>
      <w:r w:rsidRPr="00EA22F8">
        <w:rPr>
          <w:rFonts w:cs="Times New Roman"/>
        </w:rPr>
        <w:t>Richard Griggs</w:t>
      </w:r>
      <w:r w:rsidR="00AC5DF5" w:rsidRPr="00EA22F8">
        <w:rPr>
          <w:rFonts w:cs="Times New Roman"/>
        </w:rPr>
        <w:t>)</w:t>
      </w:r>
      <w:r w:rsidRPr="00EA22F8">
        <w:rPr>
          <w:rFonts w:cs="Times New Roman"/>
        </w:rPr>
        <w:t>.</w:t>
      </w:r>
    </w:p>
  </w:footnote>
  <w:footnote w:id="974">
    <w:p w14:paraId="49F605DD" w14:textId="072B680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Ian Watt, </w:t>
      </w:r>
      <w:r w:rsidRPr="00E7516E">
        <w:rPr>
          <w:rFonts w:cs="Times New Roman"/>
          <w:i/>
          <w:iCs/>
        </w:rPr>
        <w:t xml:space="preserve">Independent Review of the Tasmanian State Service: Final Report </w:t>
      </w:r>
      <w:r w:rsidRPr="00E7516E">
        <w:rPr>
          <w:rFonts w:cs="Times New Roman"/>
        </w:rPr>
        <w:t>(2021), Recommendation 19 &lt;</w:t>
      </w:r>
      <w:hyperlink r:id="rId28">
        <w:r w:rsidRPr="00E7516E">
          <w:rPr>
            <w:rStyle w:val="Hyperlink"/>
            <w:rFonts w:cs="Times New Roman"/>
          </w:rPr>
          <w:t>https://www.dpac.tas.gov.au/</w:t>
        </w:r>
        <w:r w:rsidRPr="00EA22F8">
          <w:rPr>
            <w:rStyle w:val="Hyperlink"/>
            <w:rFonts w:cs="Times New Roman"/>
          </w:rPr>
          <w:t>__</w:t>
        </w:r>
        <w:r w:rsidRPr="00E7516E">
          <w:rPr>
            <w:rStyle w:val="Hyperlink"/>
            <w:rFonts w:cs="Times New Roman"/>
          </w:rPr>
          <w:t>data/assets/pdf_file/0026/136934/TSSR_Final_Report.pdf</w:t>
        </w:r>
      </w:hyperlink>
      <w:r w:rsidRPr="00E7516E">
        <w:rPr>
          <w:rStyle w:val="Hyperlink"/>
          <w:rFonts w:cs="Times New Roman"/>
        </w:rPr>
        <w:t>&gt;</w:t>
      </w:r>
    </w:p>
  </w:footnote>
  <w:footnote w:id="975">
    <w:p w14:paraId="7E4BCC1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also Department of Justice and Attorney-General (Qld), </w:t>
      </w:r>
      <w:r w:rsidRPr="00E7516E">
        <w:rPr>
          <w:rFonts w:cs="Times New Roman"/>
          <w:i/>
          <w:iCs/>
        </w:rPr>
        <w:t xml:space="preserve">Proposed Changes to Queensland’s Information Privacy and Right to Information Framework </w:t>
      </w:r>
      <w:r w:rsidRPr="00E7516E">
        <w:rPr>
          <w:rFonts w:cs="Times New Roman"/>
        </w:rPr>
        <w:t>(Consultation Paper, 2022) 10.</w:t>
      </w:r>
    </w:p>
  </w:footnote>
  <w:footnote w:id="976">
    <w:p w14:paraId="3CE29D2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Department for Education, Children and Young People, </w:t>
      </w:r>
      <w:r w:rsidRPr="00E7516E">
        <w:rPr>
          <w:rFonts w:cs="Times New Roman"/>
          <w:i/>
          <w:iCs/>
        </w:rPr>
        <w:t xml:space="preserve">Youth Justice Blueprint 2024 – 2034: Keeping Children and Young People Out of the Youth Justice System </w:t>
      </w:r>
      <w:r w:rsidRPr="00E7516E">
        <w:rPr>
          <w:rFonts w:cs="Times New Roman"/>
        </w:rPr>
        <w:t xml:space="preserve">(2023) 33 &lt;https://publicdocumentcentre.education.tas.gov.au/library/Shared%20Documents/Youth-Justice-Blueprint.pdf&gt;. </w:t>
      </w:r>
    </w:p>
  </w:footnote>
  <w:footnote w:id="977">
    <w:p w14:paraId="5CB2A2C6" w14:textId="1755AC0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w:t>
      </w:r>
      <w:r w:rsidR="00C023B5">
        <w:rPr>
          <w:rFonts w:cs="Times New Roman"/>
        </w:rPr>
        <w:t xml:space="preserve">Final </w:t>
      </w:r>
      <w:r w:rsidRPr="00E7516E">
        <w:rPr>
          <w:rFonts w:cs="Times New Roman"/>
        </w:rPr>
        <w:t>Report 75 and Recommendation 19.7.</w:t>
      </w:r>
    </w:p>
  </w:footnote>
  <w:footnote w:id="978">
    <w:p w14:paraId="4C1B711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42–43.</w:t>
      </w:r>
    </w:p>
  </w:footnote>
  <w:footnote w:id="979">
    <w:p w14:paraId="53CDDC5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rPr>
        <w:t>First Home Owner Grant Act 2000</w:t>
      </w:r>
      <w:r w:rsidRPr="00E7516E">
        <w:rPr>
          <w:rFonts w:cs="Times New Roman"/>
        </w:rPr>
        <w:t xml:space="preserve"> </w:t>
      </w:r>
      <w:r w:rsidRPr="00E7516E">
        <w:rPr>
          <w:rFonts w:cs="Times New Roman"/>
          <w:iCs/>
        </w:rPr>
        <w:t>(Tas) s 40(3).</w:t>
      </w:r>
    </w:p>
  </w:footnote>
  <w:footnote w:id="980">
    <w:p w14:paraId="1B8BBC4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Financial Transaction Reports Act 1993</w:t>
      </w:r>
      <w:r w:rsidRPr="00E7516E">
        <w:rPr>
          <w:rFonts w:cs="Times New Roman"/>
        </w:rPr>
        <w:t xml:space="preserve"> </w:t>
      </w:r>
      <w:r w:rsidRPr="00E7516E">
        <w:rPr>
          <w:rFonts w:cs="Times New Roman"/>
          <w:iCs/>
        </w:rPr>
        <w:t>(Tas) s 10.</w:t>
      </w:r>
    </w:p>
  </w:footnote>
  <w:footnote w:id="981">
    <w:p w14:paraId="5AC3614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First Home Owner Grant Act 2000</w:t>
      </w:r>
      <w:r w:rsidRPr="00E7516E">
        <w:rPr>
          <w:rFonts w:cs="Times New Roman"/>
        </w:rPr>
        <w:t xml:space="preserve"> </w:t>
      </w:r>
      <w:r w:rsidRPr="00E7516E">
        <w:rPr>
          <w:rFonts w:cs="Times New Roman"/>
          <w:iCs/>
        </w:rPr>
        <w:t>(Tas)</w:t>
      </w:r>
      <w:r w:rsidRPr="00E7516E">
        <w:rPr>
          <w:rFonts w:cs="Times New Roman"/>
        </w:rPr>
        <w:t xml:space="preserve"> </w:t>
      </w:r>
      <w:r w:rsidRPr="00E7516E">
        <w:rPr>
          <w:rFonts w:cs="Times New Roman"/>
          <w:iCs/>
        </w:rPr>
        <w:t>s 40.</w:t>
      </w:r>
      <w:r w:rsidRPr="00E7516E">
        <w:rPr>
          <w:rFonts w:cs="Times New Roman"/>
          <w:i/>
        </w:rPr>
        <w:t xml:space="preserve"> </w:t>
      </w:r>
    </w:p>
  </w:footnote>
  <w:footnote w:id="982">
    <w:p w14:paraId="147817C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Occupational Licensing Act 2005</w:t>
      </w:r>
      <w:r w:rsidRPr="00E7516E">
        <w:rPr>
          <w:rFonts w:cs="Times New Roman"/>
        </w:rPr>
        <w:t xml:space="preserve"> </w:t>
      </w:r>
      <w:r w:rsidRPr="00E7516E">
        <w:rPr>
          <w:rFonts w:cs="Times New Roman"/>
          <w:iCs/>
        </w:rPr>
        <w:t>(Tas)</w:t>
      </w:r>
      <w:r w:rsidRPr="00E7516E">
        <w:rPr>
          <w:rFonts w:cs="Times New Roman"/>
          <w:i/>
        </w:rPr>
        <w:t xml:space="preserve"> </w:t>
      </w:r>
      <w:r w:rsidRPr="00E7516E">
        <w:rPr>
          <w:rFonts w:cs="Times New Roman"/>
          <w:iCs/>
        </w:rPr>
        <w:t>s 51</w:t>
      </w:r>
      <w:r w:rsidRPr="00E7516E">
        <w:rPr>
          <w:rFonts w:cs="Times New Roman"/>
        </w:rPr>
        <w:t>.</w:t>
      </w:r>
    </w:p>
  </w:footnote>
  <w:footnote w:id="983">
    <w:p w14:paraId="5E34A9C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Registration to Work with Vulnerable People Act 2013</w:t>
      </w:r>
      <w:r w:rsidRPr="00E7516E">
        <w:rPr>
          <w:rFonts w:cs="Times New Roman"/>
        </w:rPr>
        <w:t xml:space="preserve"> </w:t>
      </w:r>
      <w:r w:rsidRPr="00E7516E">
        <w:rPr>
          <w:rFonts w:cs="Times New Roman"/>
          <w:iCs/>
        </w:rPr>
        <w:t>(Tas) s 54.</w:t>
      </w:r>
    </w:p>
  </w:footnote>
  <w:footnote w:id="984">
    <w:p w14:paraId="2561D62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Australian Crime Commission Act 2004</w:t>
      </w:r>
      <w:r w:rsidRPr="00E7516E">
        <w:rPr>
          <w:rFonts w:cs="Times New Roman"/>
        </w:rPr>
        <w:t xml:space="preserve"> </w:t>
      </w:r>
      <w:r w:rsidRPr="00E7516E">
        <w:rPr>
          <w:rFonts w:cs="Times New Roman"/>
          <w:iCs/>
        </w:rPr>
        <w:t>(Tas) s 44.</w:t>
      </w:r>
    </w:p>
  </w:footnote>
  <w:footnote w:id="985">
    <w:p w14:paraId="3561DCC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Commissioner for Corporate Affairs Act 1980</w:t>
      </w:r>
      <w:r w:rsidRPr="00E7516E">
        <w:rPr>
          <w:rFonts w:cs="Times New Roman"/>
        </w:rPr>
        <w:t xml:space="preserve"> </w:t>
      </w:r>
      <w:r w:rsidRPr="00E7516E">
        <w:rPr>
          <w:rFonts w:cs="Times New Roman"/>
          <w:iCs/>
        </w:rPr>
        <w:t xml:space="preserve">(Tas) s 6E. </w:t>
      </w:r>
    </w:p>
  </w:footnote>
  <w:footnote w:id="986">
    <w:p w14:paraId="0660929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Consumer Affairs Act 1988</w:t>
      </w:r>
      <w:r w:rsidRPr="00E7516E">
        <w:rPr>
          <w:rFonts w:cs="Times New Roman"/>
        </w:rPr>
        <w:t xml:space="preserve"> </w:t>
      </w:r>
      <w:r w:rsidRPr="00E7516E">
        <w:rPr>
          <w:rFonts w:cs="Times New Roman"/>
          <w:iCs/>
        </w:rPr>
        <w:t>(Tas)</w:t>
      </w:r>
      <w:r w:rsidRPr="00E7516E">
        <w:rPr>
          <w:rFonts w:cs="Times New Roman"/>
        </w:rPr>
        <w:t xml:space="preserve"> s 22.</w:t>
      </w:r>
    </w:p>
  </w:footnote>
  <w:footnote w:id="987">
    <w:p w14:paraId="41E591B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Workers Rehabilitation and Compensation Act 1988 </w:t>
      </w:r>
      <w:r w:rsidRPr="00E7516E">
        <w:rPr>
          <w:rFonts w:cs="Times New Roman"/>
          <w:iCs/>
        </w:rPr>
        <w:t>(Tas) s 158.</w:t>
      </w:r>
    </w:p>
  </w:footnote>
  <w:footnote w:id="988">
    <w:p w14:paraId="1F12E20F"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rPr>
        <w:t>First Home Owner Grant Act 2000</w:t>
      </w:r>
      <w:r w:rsidRPr="00E7516E">
        <w:rPr>
          <w:rFonts w:cs="Times New Roman"/>
        </w:rPr>
        <w:t xml:space="preserve"> </w:t>
      </w:r>
      <w:r w:rsidRPr="00E7516E">
        <w:rPr>
          <w:rFonts w:cs="Times New Roman"/>
          <w:iCs/>
        </w:rPr>
        <w:t xml:space="preserve">(Tas) s 40; </w:t>
      </w:r>
      <w:r w:rsidRPr="00E7516E">
        <w:rPr>
          <w:rFonts w:cs="Times New Roman"/>
          <w:i/>
        </w:rPr>
        <w:t xml:space="preserve">First Home Owner Grant Regulations 2021 </w:t>
      </w:r>
      <w:r w:rsidRPr="00E7516E">
        <w:rPr>
          <w:rFonts w:cs="Times New Roman"/>
          <w:iCs/>
        </w:rPr>
        <w:t>(Tas) s 6. Examples of exceptions for when information can be disclosed include: where the person to whom the information relates requests or consents to disclosure; where it is for the purposes of legal proceedings; or where disclosure is in connection with the administration or enforcement of tax law.</w:t>
      </w:r>
    </w:p>
  </w:footnote>
  <w:footnote w:id="989">
    <w:p w14:paraId="32771A1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Financial Transaction Reports Act 1993</w:t>
      </w:r>
      <w:r w:rsidRPr="00E7516E">
        <w:rPr>
          <w:rFonts w:cs="Times New Roman"/>
        </w:rPr>
        <w:t xml:space="preserve"> </w:t>
      </w:r>
      <w:r w:rsidRPr="00E7516E">
        <w:rPr>
          <w:rFonts w:cs="Times New Roman"/>
          <w:iCs/>
        </w:rPr>
        <w:t>(Tas)</w:t>
      </w:r>
      <w:r w:rsidRPr="00E7516E">
        <w:rPr>
          <w:rFonts w:cs="Times New Roman"/>
        </w:rPr>
        <w:t xml:space="preserve"> </w:t>
      </w:r>
      <w:r w:rsidRPr="00E7516E">
        <w:rPr>
          <w:rFonts w:cs="Times New Roman"/>
          <w:iCs/>
        </w:rPr>
        <w:t>s 10</w:t>
      </w:r>
      <w:r w:rsidRPr="00E7516E">
        <w:rPr>
          <w:rFonts w:cs="Times New Roman"/>
          <w:i/>
        </w:rPr>
        <w:t>; First Home Owner Grant Act 2000</w:t>
      </w:r>
      <w:r w:rsidRPr="00E7516E">
        <w:rPr>
          <w:rFonts w:cs="Times New Roman"/>
        </w:rPr>
        <w:t xml:space="preserve"> </w:t>
      </w:r>
      <w:r w:rsidRPr="00E7516E">
        <w:rPr>
          <w:rFonts w:cs="Times New Roman"/>
          <w:iCs/>
        </w:rPr>
        <w:t>(Tas) s 40</w:t>
      </w:r>
      <w:r w:rsidRPr="003E45E0">
        <w:rPr>
          <w:rFonts w:cs="Times New Roman"/>
          <w:iCs/>
        </w:rPr>
        <w:t>;</w:t>
      </w:r>
      <w:r w:rsidRPr="00E7516E">
        <w:rPr>
          <w:rFonts w:cs="Times New Roman"/>
          <w:i/>
        </w:rPr>
        <w:t xml:space="preserve"> Occupational Licensing Act 2005</w:t>
      </w:r>
      <w:r w:rsidRPr="00E7516E">
        <w:rPr>
          <w:rFonts w:cs="Times New Roman"/>
        </w:rPr>
        <w:t xml:space="preserve"> </w:t>
      </w:r>
      <w:r w:rsidRPr="00E7516E">
        <w:rPr>
          <w:rFonts w:cs="Times New Roman"/>
          <w:iCs/>
        </w:rPr>
        <w:t>(Tas)</w:t>
      </w:r>
      <w:r w:rsidRPr="00E7516E">
        <w:rPr>
          <w:rFonts w:cs="Times New Roman"/>
        </w:rPr>
        <w:t xml:space="preserve"> s 51; </w:t>
      </w:r>
      <w:r w:rsidRPr="00E7516E">
        <w:rPr>
          <w:rFonts w:cs="Times New Roman"/>
          <w:bCs/>
          <w:i/>
          <w:iCs/>
        </w:rPr>
        <w:t>Home Builder Grants Act 2020</w:t>
      </w:r>
      <w:r w:rsidRPr="00E7516E">
        <w:rPr>
          <w:rFonts w:cs="Times New Roman"/>
          <w:bCs/>
        </w:rPr>
        <w:t xml:space="preserve"> (Tas) s 52; </w:t>
      </w:r>
      <w:r w:rsidRPr="00E7516E">
        <w:rPr>
          <w:rFonts w:cs="Times New Roman"/>
          <w:bCs/>
          <w:i/>
          <w:iCs/>
        </w:rPr>
        <w:t>Asbestos-Related Diseases (Occupational Exposure) Compensation Act 2011</w:t>
      </w:r>
      <w:r w:rsidRPr="00E7516E">
        <w:rPr>
          <w:rFonts w:cs="Times New Roman"/>
          <w:bCs/>
        </w:rPr>
        <w:t xml:space="preserve"> (Tas) s 184.</w:t>
      </w:r>
    </w:p>
  </w:footnote>
  <w:footnote w:id="990">
    <w:p w14:paraId="1E319B0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Consumer Affairs Act 1988</w:t>
      </w:r>
      <w:r w:rsidRPr="00E7516E">
        <w:rPr>
          <w:rFonts w:cs="Times New Roman"/>
        </w:rPr>
        <w:t xml:space="preserve"> </w:t>
      </w:r>
      <w:r w:rsidRPr="00E7516E">
        <w:rPr>
          <w:rFonts w:cs="Times New Roman"/>
          <w:iCs/>
        </w:rPr>
        <w:t>(Tas) s 22;</w:t>
      </w:r>
      <w:r w:rsidRPr="00E7516E">
        <w:rPr>
          <w:rFonts w:cs="Times New Roman"/>
        </w:rPr>
        <w:t xml:space="preserve"> </w:t>
      </w:r>
      <w:r w:rsidRPr="00E7516E">
        <w:rPr>
          <w:rFonts w:cs="Times New Roman"/>
          <w:i/>
        </w:rPr>
        <w:t>Registration to Work with Vulnerable People Act 2013</w:t>
      </w:r>
      <w:r w:rsidRPr="00E7516E">
        <w:rPr>
          <w:rFonts w:cs="Times New Roman"/>
        </w:rPr>
        <w:t xml:space="preserve"> </w:t>
      </w:r>
      <w:r w:rsidRPr="00E7516E">
        <w:rPr>
          <w:rFonts w:cs="Times New Roman"/>
          <w:iCs/>
        </w:rPr>
        <w:t>(Tas) s 54</w:t>
      </w:r>
      <w:r w:rsidRPr="00E7516E">
        <w:rPr>
          <w:rFonts w:cs="Times New Roman"/>
        </w:rPr>
        <w:t xml:space="preserve">; </w:t>
      </w:r>
      <w:r w:rsidRPr="00E7516E">
        <w:rPr>
          <w:rFonts w:cs="Times New Roman"/>
          <w:i/>
          <w:iCs/>
        </w:rPr>
        <w:t>Valuation of Law Act 2001</w:t>
      </w:r>
      <w:r w:rsidRPr="00E7516E">
        <w:rPr>
          <w:rFonts w:cs="Times New Roman"/>
        </w:rPr>
        <w:t xml:space="preserve"> (Tas) s 58; </w:t>
      </w:r>
      <w:r w:rsidRPr="00E7516E">
        <w:rPr>
          <w:rFonts w:cs="Times New Roman"/>
          <w:i/>
          <w:iCs/>
        </w:rPr>
        <w:t>Tasmanian Development Act 1983</w:t>
      </w:r>
      <w:r w:rsidRPr="00E7516E">
        <w:rPr>
          <w:rFonts w:cs="Times New Roman"/>
        </w:rPr>
        <w:t xml:space="preserve"> (Tas) s 45; </w:t>
      </w:r>
      <w:r w:rsidRPr="00E7516E">
        <w:rPr>
          <w:rFonts w:cs="Times New Roman"/>
          <w:i/>
          <w:iCs/>
        </w:rPr>
        <w:t>Industrial Relations Act 1984</w:t>
      </w:r>
      <w:r w:rsidRPr="00E7516E">
        <w:rPr>
          <w:rFonts w:cs="Times New Roman"/>
        </w:rPr>
        <w:t xml:space="preserve"> (Tas) s 83; </w:t>
      </w:r>
      <w:r w:rsidRPr="00E7516E">
        <w:rPr>
          <w:rFonts w:cs="Times New Roman"/>
          <w:i/>
          <w:iCs/>
        </w:rPr>
        <w:t>Health Practitioners Tribunal Act 2010</w:t>
      </w:r>
      <w:r w:rsidRPr="00E7516E">
        <w:rPr>
          <w:rFonts w:cs="Times New Roman"/>
        </w:rPr>
        <w:t xml:space="preserve"> (Tas) s 54.</w:t>
      </w:r>
    </w:p>
  </w:footnote>
  <w:footnote w:id="991">
    <w:p w14:paraId="701478B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Gaming Control Act 1993 </w:t>
      </w:r>
      <w:r w:rsidRPr="00E7516E">
        <w:rPr>
          <w:rFonts w:cs="Times New Roman"/>
        </w:rPr>
        <w:t>(Tas)</w:t>
      </w:r>
      <w:r w:rsidRPr="00E7516E">
        <w:rPr>
          <w:rFonts w:cs="Times New Roman"/>
          <w:i/>
          <w:iCs/>
        </w:rPr>
        <w:t xml:space="preserve"> </w:t>
      </w:r>
      <w:r w:rsidRPr="00E7516E">
        <w:rPr>
          <w:rFonts w:cs="Times New Roman"/>
        </w:rPr>
        <w:t>s 157</w:t>
      </w:r>
      <w:r w:rsidRPr="003E45E0">
        <w:rPr>
          <w:rFonts w:cs="Times New Roman"/>
        </w:rPr>
        <w:t>;</w:t>
      </w:r>
      <w:r w:rsidRPr="00E7516E">
        <w:rPr>
          <w:rFonts w:cs="Times New Roman"/>
          <w:i/>
          <w:iCs/>
        </w:rPr>
        <w:t xml:space="preserve"> Vehicle and Traffic (Driver Licensing and Vehicle Registration) Regulations 2010 </w:t>
      </w:r>
      <w:r w:rsidRPr="00E7516E">
        <w:rPr>
          <w:rFonts w:cs="Times New Roman"/>
        </w:rPr>
        <w:t xml:space="preserve">(Tas) s 125. </w:t>
      </w:r>
    </w:p>
  </w:footnote>
  <w:footnote w:id="992">
    <w:p w14:paraId="5C67C7E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Threatened Species Protection Act 1995</w:t>
      </w:r>
      <w:r w:rsidRPr="00E7516E">
        <w:rPr>
          <w:rFonts w:cs="Times New Roman"/>
        </w:rPr>
        <w:t xml:space="preserve"> (Tas) s 59.</w:t>
      </w:r>
    </w:p>
  </w:footnote>
  <w:footnote w:id="993">
    <w:p w14:paraId="146D482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iCs/>
        </w:rPr>
        <w:t>Asbestos-Related Diseases (Occupational Exposure) Compensation Act 2011</w:t>
      </w:r>
      <w:r w:rsidRPr="00E7516E">
        <w:rPr>
          <w:rFonts w:cs="Times New Roman"/>
          <w:bCs/>
        </w:rPr>
        <w:t xml:space="preserve"> (Tas) s 184.</w:t>
      </w:r>
      <w:r w:rsidRPr="00E7516E">
        <w:rPr>
          <w:rFonts w:cs="Times New Roman"/>
        </w:rPr>
        <w:t xml:space="preserve"> </w:t>
      </w:r>
    </w:p>
  </w:footnote>
  <w:footnote w:id="994">
    <w:p w14:paraId="3F74F7F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First Home Owner Grant Regulations 2010</w:t>
      </w:r>
      <w:r w:rsidRPr="00E7516E">
        <w:rPr>
          <w:rFonts w:cs="Times New Roman"/>
          <w:bCs/>
        </w:rPr>
        <w:t xml:space="preserve"> (Cth) s 6.</w:t>
      </w:r>
    </w:p>
  </w:footnote>
  <w:footnote w:id="995">
    <w:p w14:paraId="0558F69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It is also noted that the </w:t>
      </w:r>
      <w:r w:rsidRPr="00E7516E">
        <w:rPr>
          <w:rFonts w:cs="Times New Roman"/>
          <w:i/>
          <w:iCs/>
        </w:rPr>
        <w:t>Youth Justice Act</w:t>
      </w:r>
      <w:r w:rsidRPr="00E7516E">
        <w:rPr>
          <w:rFonts w:cs="Times New Roman"/>
        </w:rPr>
        <w:t xml:space="preserve"> </w:t>
      </w:r>
      <w:r w:rsidRPr="00E7516E">
        <w:rPr>
          <w:rFonts w:cs="Times New Roman"/>
          <w:i/>
          <w:iCs/>
        </w:rPr>
        <w:t xml:space="preserve">1997 </w:t>
      </w:r>
      <w:r w:rsidRPr="00E7516E">
        <w:rPr>
          <w:rFonts w:cs="Times New Roman"/>
        </w:rPr>
        <w:t>(Tas) s 31 also contains a prohibition on anyone publishing information identifying, or which may lead to the identification of, a youth the subject of, or a witness in, proceedings.</w:t>
      </w:r>
    </w:p>
  </w:footnote>
  <w:footnote w:id="996">
    <w:p w14:paraId="40F84250" w14:textId="7C78B2D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w:t>
      </w:r>
      <w:r w:rsidR="00773771">
        <w:rPr>
          <w:rFonts w:cs="Times New Roman"/>
        </w:rPr>
        <w:t xml:space="preserve">Final </w:t>
      </w:r>
      <w:r w:rsidRPr="00E7516E">
        <w:rPr>
          <w:rFonts w:cs="Times New Roman"/>
        </w:rPr>
        <w:t>Report 321–323.</w:t>
      </w:r>
    </w:p>
  </w:footnote>
  <w:footnote w:id="997">
    <w:p w14:paraId="0F14D9E5" w14:textId="6D30222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Recommendation </w:t>
      </w:r>
      <w:r w:rsidR="005735C1" w:rsidRPr="00042EF6">
        <w:rPr>
          <w:rFonts w:cs="Times New Roman"/>
        </w:rPr>
        <w:t>30</w:t>
      </w:r>
      <w:r w:rsidRPr="00042EF6">
        <w:rPr>
          <w:rFonts w:cs="Times New Roman"/>
        </w:rPr>
        <w:t xml:space="preserve"> </w:t>
      </w:r>
      <w:r w:rsidRPr="00EA22F8">
        <w:rPr>
          <w:rFonts w:cs="Times New Roman"/>
        </w:rPr>
        <w:t xml:space="preserve">at </w:t>
      </w:r>
      <w:r w:rsidR="000C0C8E">
        <w:rPr>
          <w:rFonts w:cs="Times New Roman"/>
        </w:rPr>
        <w:t>[</w:t>
      </w:r>
      <w:r w:rsidR="00042EF6" w:rsidRPr="00EA22F8">
        <w:rPr>
          <w:rFonts w:cs="Times New Roman"/>
        </w:rPr>
        <w:fldChar w:fldCharType="begin"/>
      </w:r>
      <w:r w:rsidR="00042EF6" w:rsidRPr="00EA22F8">
        <w:rPr>
          <w:rFonts w:cs="Times New Roman"/>
        </w:rPr>
        <w:instrText xml:space="preserve"> REF _Ref165024166 \r \h </w:instrText>
      </w:r>
      <w:r w:rsidR="00042EF6">
        <w:rPr>
          <w:rFonts w:cs="Times New Roman"/>
        </w:rPr>
        <w:instrText xml:space="preserve"> \* MERGEFORMAT </w:instrText>
      </w:r>
      <w:r w:rsidR="00042EF6" w:rsidRPr="00EA22F8">
        <w:rPr>
          <w:rFonts w:cs="Times New Roman"/>
        </w:rPr>
      </w:r>
      <w:r w:rsidR="00042EF6" w:rsidRPr="00EA22F8">
        <w:rPr>
          <w:rFonts w:cs="Times New Roman"/>
        </w:rPr>
        <w:fldChar w:fldCharType="separate"/>
      </w:r>
      <w:r w:rsidR="00462C30">
        <w:rPr>
          <w:rFonts w:cs="Times New Roman"/>
          <w:cs/>
        </w:rPr>
        <w:t>‎</w:t>
      </w:r>
      <w:r w:rsidR="00462C30">
        <w:rPr>
          <w:rFonts w:cs="Times New Roman"/>
        </w:rPr>
        <w:t>5.7</w:t>
      </w:r>
      <w:r w:rsidR="00042EF6" w:rsidRPr="00EA22F8">
        <w:rPr>
          <w:rFonts w:cs="Times New Roman"/>
        </w:rPr>
        <w:fldChar w:fldCharType="end"/>
      </w:r>
      <w:r w:rsidR="00042EF6" w:rsidRPr="00EA22F8">
        <w:rPr>
          <w:rFonts w:cs="Times New Roman"/>
        </w:rPr>
        <w:t>].</w:t>
      </w:r>
    </w:p>
  </w:footnote>
  <w:footnote w:id="998">
    <w:p w14:paraId="2DF7F01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in OVIC, </w:t>
      </w:r>
      <w:r w:rsidRPr="00E7516E">
        <w:rPr>
          <w:rFonts w:cs="Times New Roman"/>
          <w:i/>
          <w:iCs/>
        </w:rPr>
        <w:t xml:space="preserve">Information Sharing and Privacy: Guidance for Sharing Personal Information (2021) </w:t>
      </w:r>
      <w:r w:rsidRPr="00E7516E">
        <w:rPr>
          <w:rFonts w:cs="Times New Roman"/>
        </w:rPr>
        <w:t xml:space="preserve">5–6; Information and Privacy Commission New South Wales, </w:t>
      </w:r>
      <w:r w:rsidRPr="00E7516E">
        <w:rPr>
          <w:rFonts w:cs="Times New Roman"/>
          <w:i/>
          <w:iCs/>
        </w:rPr>
        <w:t>Data Sharing and Privacy: A Guide for Public Sector Agencies</w:t>
      </w:r>
      <w:r w:rsidRPr="00E7516E">
        <w:rPr>
          <w:rFonts w:cs="Times New Roman"/>
        </w:rPr>
        <w:t xml:space="preserve"> (2020) 3 &lt;</w:t>
      </w:r>
      <w:hyperlink r:id="rId29" w:history="1">
        <w:r w:rsidRPr="00E7516E">
          <w:rPr>
            <w:rStyle w:val="Hyperlink"/>
            <w:rFonts w:cs="Times New Roman"/>
          </w:rPr>
          <w:t>https://www.ipc.nsw.gov.au/sites/default/files/2021-03/Guide</w:t>
        </w:r>
        <w:r w:rsidRPr="00EA22F8">
          <w:rPr>
            <w:rStyle w:val="Hyperlink"/>
            <w:rFonts w:cs="Times New Roman"/>
            <w:u w:val="single"/>
          </w:rPr>
          <w:t>_</w:t>
        </w:r>
        <w:r w:rsidRPr="00402EEC">
          <w:rPr>
            <w:rStyle w:val="Hyperlink"/>
            <w:rFonts w:cs="Times New Roman"/>
          </w:rPr>
          <w:t>Data</w:t>
        </w:r>
        <w:r w:rsidRPr="00EA22F8">
          <w:rPr>
            <w:rStyle w:val="Hyperlink"/>
            <w:rFonts w:cs="Times New Roman"/>
            <w:u w:val="single"/>
          </w:rPr>
          <w:t>_</w:t>
        </w:r>
        <w:r w:rsidRPr="00402EEC">
          <w:rPr>
            <w:rStyle w:val="Hyperlink"/>
            <w:rFonts w:cs="Times New Roman"/>
          </w:rPr>
          <w:t>Sharing</w:t>
        </w:r>
        <w:r w:rsidRPr="00EA22F8">
          <w:rPr>
            <w:rStyle w:val="Hyperlink"/>
            <w:rFonts w:cs="Times New Roman"/>
            <w:u w:val="single"/>
          </w:rPr>
          <w:t>_</w:t>
        </w:r>
        <w:r w:rsidRPr="00402EEC">
          <w:rPr>
            <w:rStyle w:val="Hyperlink"/>
            <w:rFonts w:cs="Times New Roman"/>
          </w:rPr>
          <w:t>and</w:t>
        </w:r>
        <w:r w:rsidRPr="00EA22F8">
          <w:rPr>
            <w:rStyle w:val="Hyperlink"/>
            <w:rFonts w:cs="Times New Roman"/>
            <w:u w:val="single"/>
          </w:rPr>
          <w:t>_</w:t>
        </w:r>
        <w:r w:rsidRPr="00402EEC">
          <w:rPr>
            <w:rStyle w:val="Hyperlink"/>
            <w:rFonts w:cs="Times New Roman"/>
          </w:rPr>
          <w:t>Privacy</w:t>
        </w:r>
        <w:r w:rsidRPr="00EA22F8">
          <w:rPr>
            <w:rStyle w:val="Hyperlink"/>
            <w:rFonts w:cs="Times New Roman"/>
            <w:u w:val="single"/>
          </w:rPr>
          <w:t>_</w:t>
        </w:r>
        <w:r w:rsidRPr="00402EEC">
          <w:rPr>
            <w:rStyle w:val="Hyperlink"/>
            <w:rFonts w:cs="Times New Roman"/>
          </w:rPr>
          <w:t>July</w:t>
        </w:r>
        <w:r w:rsidRPr="00EA22F8">
          <w:rPr>
            <w:rStyle w:val="Hyperlink"/>
            <w:rFonts w:cs="Times New Roman"/>
            <w:u w:val="single"/>
          </w:rPr>
          <w:t>_</w:t>
        </w:r>
        <w:r w:rsidRPr="00402EEC">
          <w:rPr>
            <w:rStyle w:val="Hyperlink"/>
            <w:rFonts w:cs="Times New Roman"/>
          </w:rPr>
          <w:t>2</w:t>
        </w:r>
        <w:r w:rsidRPr="00E7516E">
          <w:rPr>
            <w:rStyle w:val="Hyperlink"/>
            <w:rFonts w:cs="Times New Roman"/>
          </w:rPr>
          <w:t>020.pdf</w:t>
        </w:r>
      </w:hyperlink>
      <w:r w:rsidRPr="00E7516E">
        <w:rPr>
          <w:rFonts w:cs="Times New Roman"/>
        </w:rPr>
        <w:t>&gt;.</w:t>
      </w:r>
    </w:p>
  </w:footnote>
  <w:footnote w:id="999">
    <w:p w14:paraId="1BC1C02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1000">
    <w:p w14:paraId="72F46071" w14:textId="6AF1AD9E" w:rsidR="00FF302D" w:rsidRPr="00E7516E" w:rsidRDefault="00FF302D" w:rsidP="00E7516E">
      <w:pPr>
        <w:pStyle w:val="FootnoteText"/>
        <w:jc w:val="left"/>
        <w:rPr>
          <w:rFonts w:cs="Times New Roman"/>
        </w:rPr>
      </w:pPr>
      <w:r w:rsidRPr="00901C73">
        <w:rPr>
          <w:rStyle w:val="FootnoteReference"/>
          <w:rFonts w:ascii="Times New Roman" w:hAnsi="Times New Roman" w:cs="Times New Roman"/>
        </w:rPr>
        <w:footnoteRef/>
      </w:r>
      <w:r w:rsidRPr="00901C73">
        <w:rPr>
          <w:rFonts w:cs="Times New Roman"/>
        </w:rPr>
        <w:t xml:space="preserve"> </w:t>
      </w:r>
      <w:r w:rsidRPr="00EA22F8">
        <w:rPr>
          <w:rFonts w:cs="Times New Roman"/>
        </w:rPr>
        <w:t xml:space="preserve">See </w:t>
      </w:r>
      <w:r w:rsidR="00901C73" w:rsidRPr="00EA22F8">
        <w:rPr>
          <w:rFonts w:cs="Times New Roman"/>
        </w:rPr>
        <w:t>[</w:t>
      </w:r>
      <w:r w:rsidR="00901C73" w:rsidRPr="00EA22F8">
        <w:rPr>
          <w:rFonts w:cs="Times New Roman"/>
        </w:rPr>
        <w:fldChar w:fldCharType="begin"/>
      </w:r>
      <w:r w:rsidR="00901C73" w:rsidRPr="00EA22F8">
        <w:rPr>
          <w:rFonts w:cs="Times New Roman"/>
        </w:rPr>
        <w:instrText xml:space="preserve"> REF _Ref91685494 \r \h </w:instrText>
      </w:r>
      <w:r w:rsidR="00901C73">
        <w:rPr>
          <w:rFonts w:cs="Times New Roman"/>
        </w:rPr>
        <w:instrText xml:space="preserve"> \* MERGEFORMAT </w:instrText>
      </w:r>
      <w:r w:rsidR="00901C73" w:rsidRPr="00EA22F8">
        <w:rPr>
          <w:rFonts w:cs="Times New Roman"/>
        </w:rPr>
      </w:r>
      <w:r w:rsidR="00901C73" w:rsidRPr="00EA22F8">
        <w:rPr>
          <w:rFonts w:cs="Times New Roman"/>
        </w:rPr>
        <w:fldChar w:fldCharType="separate"/>
      </w:r>
      <w:r w:rsidR="00462C30">
        <w:rPr>
          <w:rFonts w:cs="Times New Roman"/>
          <w:cs/>
        </w:rPr>
        <w:t>‎</w:t>
      </w:r>
      <w:r w:rsidR="00462C30">
        <w:rPr>
          <w:rFonts w:cs="Times New Roman"/>
        </w:rPr>
        <w:t>9.10</w:t>
      </w:r>
      <w:r w:rsidR="00901C73" w:rsidRPr="00EA22F8">
        <w:rPr>
          <w:rFonts w:cs="Times New Roman"/>
        </w:rPr>
        <w:fldChar w:fldCharType="end"/>
      </w:r>
      <w:r w:rsidR="00901C73" w:rsidRPr="00EA22F8">
        <w:rPr>
          <w:rFonts w:cs="Times New Roman"/>
        </w:rPr>
        <w:t>]</w:t>
      </w:r>
      <w:r w:rsidRPr="00901C73">
        <w:rPr>
          <w:rFonts w:cs="Times New Roman"/>
        </w:rPr>
        <w:t>.</w:t>
      </w:r>
    </w:p>
  </w:footnote>
  <w:footnote w:id="1001">
    <w:p w14:paraId="2424C092" w14:textId="551919D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CoI Report Recommendation 19.7.</w:t>
      </w:r>
    </w:p>
  </w:footnote>
  <w:footnote w:id="1002">
    <w:p w14:paraId="30FC5BB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name, residential address, postal address, date of birth, and gender of an individual: PIPA s 3 (definition of ‘basic information’).</w:t>
      </w:r>
    </w:p>
  </w:footnote>
  <w:footnote w:id="1003">
    <w:p w14:paraId="5C57113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PIPA s 12. </w:t>
      </w:r>
    </w:p>
  </w:footnote>
  <w:footnote w:id="1004">
    <w:p w14:paraId="133C120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Family Violence Act 2004</w:t>
      </w:r>
      <w:r w:rsidRPr="00E7516E">
        <w:rPr>
          <w:rFonts w:cs="Times New Roman"/>
        </w:rPr>
        <w:t xml:space="preserve"> (Tas) s 53B.</w:t>
      </w:r>
    </w:p>
  </w:footnote>
  <w:footnote w:id="1005">
    <w:p w14:paraId="028C15A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Commissioner for Children and Young People Act 2016 </w:t>
      </w:r>
      <w:r w:rsidRPr="00E7516E">
        <w:rPr>
          <w:rFonts w:cs="Times New Roman"/>
        </w:rPr>
        <w:t>(Tas) Pt 2 Div 3.</w:t>
      </w:r>
    </w:p>
  </w:footnote>
  <w:footnote w:id="1006">
    <w:p w14:paraId="53272DE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Dangerous Criminal and High Risk Offenders Act 2021 </w:t>
      </w:r>
      <w:r w:rsidRPr="00E7516E">
        <w:rPr>
          <w:rFonts w:cs="Times New Roman"/>
        </w:rPr>
        <w:t>(Tas) s 46.</w:t>
      </w:r>
    </w:p>
  </w:footnote>
  <w:footnote w:id="1007">
    <w:p w14:paraId="21183A3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Disability Services Act 2011</w:t>
      </w:r>
      <w:r w:rsidRPr="00E7516E">
        <w:rPr>
          <w:rFonts w:cs="Times New Roman"/>
        </w:rPr>
        <w:t xml:space="preserve"> (Tas) s 50.</w:t>
      </w:r>
    </w:p>
  </w:footnote>
  <w:footnote w:id="1008">
    <w:p w14:paraId="397EAEF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Education Act 2015</w:t>
      </w:r>
      <w:r w:rsidRPr="00E7516E">
        <w:rPr>
          <w:rFonts w:cs="Times New Roman"/>
        </w:rPr>
        <w:t xml:space="preserve"> (Tas) ss 224B and 231F.</w:t>
      </w:r>
    </w:p>
  </w:footnote>
  <w:footnote w:id="1009">
    <w:p w14:paraId="4C0B292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Sentencing Act 1997</w:t>
      </w:r>
      <w:r w:rsidRPr="00E7516E">
        <w:rPr>
          <w:rFonts w:cs="Times New Roman"/>
        </w:rPr>
        <w:t xml:space="preserve"> (Tas) s 27U.</w:t>
      </w:r>
    </w:p>
  </w:footnote>
  <w:footnote w:id="1010">
    <w:p w14:paraId="6336747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Work Health and Safety Act 2012</w:t>
      </w:r>
      <w:r w:rsidRPr="00E7516E">
        <w:rPr>
          <w:rFonts w:cs="Times New Roman"/>
        </w:rPr>
        <w:t xml:space="preserve"> (Tas) sch 2, pt 2, cl 4.</w:t>
      </w:r>
    </w:p>
  </w:footnote>
  <w:footnote w:id="1011">
    <w:p w14:paraId="3B1ED50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Youth Justice Act 1997</w:t>
      </w:r>
      <w:r w:rsidRPr="00E7516E">
        <w:rPr>
          <w:rFonts w:cs="Times New Roman"/>
        </w:rPr>
        <w:t xml:space="preserve"> (Tas) ss 22(4A), 31, 45 and 167A.</w:t>
      </w:r>
    </w:p>
  </w:footnote>
  <w:footnote w:id="1012">
    <w:p w14:paraId="28DEE7D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Department of Premier and Cabinet, </w:t>
      </w:r>
      <w:r w:rsidRPr="00E7516E">
        <w:rPr>
          <w:rFonts w:cs="Times New Roman"/>
          <w:i/>
          <w:iCs/>
        </w:rPr>
        <w:t>Digital Data Privacy</w:t>
      </w:r>
      <w:r w:rsidRPr="00E7516E">
        <w:rPr>
          <w:rFonts w:cs="Times New Roman"/>
        </w:rPr>
        <w:t xml:space="preserve"> (Web Page)</w:t>
      </w:r>
      <w:r w:rsidRPr="00E7516E">
        <w:rPr>
          <w:rFonts w:cs="Times New Roman"/>
          <w:i/>
          <w:iCs/>
        </w:rPr>
        <w:t xml:space="preserve"> </w:t>
      </w:r>
      <w:r w:rsidRPr="00E7516E">
        <w:rPr>
          <w:rFonts w:cs="Times New Roman"/>
        </w:rPr>
        <w:t>&lt;</w:t>
      </w:r>
      <w:hyperlink r:id="rId30" w:history="1">
        <w:r w:rsidRPr="00E7516E">
          <w:rPr>
            <w:rStyle w:val="Hyperlink"/>
            <w:rFonts w:cs="Times New Roman"/>
          </w:rPr>
          <w:t>https://www.dpac.tas.gov.au/divisions/digital_strategy_and_services/policies/digital_data_privacy</w:t>
        </w:r>
      </w:hyperlink>
      <w:r w:rsidRPr="00E7516E">
        <w:rPr>
          <w:rFonts w:cs="Times New Roman"/>
        </w:rPr>
        <w:t>&gt;.</w:t>
      </w:r>
    </w:p>
  </w:footnote>
  <w:footnote w:id="1013">
    <w:p w14:paraId="0A71512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Department of Premier and Cabinet, </w:t>
      </w:r>
      <w:r w:rsidRPr="00E7516E">
        <w:rPr>
          <w:rFonts w:cs="Times New Roman"/>
          <w:i/>
          <w:iCs/>
        </w:rPr>
        <w:t>ADEPT Principles</w:t>
      </w:r>
      <w:r w:rsidRPr="00E7516E">
        <w:rPr>
          <w:rFonts w:cs="Times New Roman"/>
        </w:rPr>
        <w:t xml:space="preserve"> (Web Page)</w:t>
      </w:r>
      <w:r w:rsidRPr="00E7516E">
        <w:rPr>
          <w:rFonts w:cs="Times New Roman"/>
          <w:i/>
          <w:iCs/>
        </w:rPr>
        <w:t xml:space="preserve"> </w:t>
      </w:r>
      <w:r w:rsidRPr="00E7516E">
        <w:rPr>
          <w:rFonts w:cs="Times New Roman"/>
        </w:rPr>
        <w:t>&lt;</w:t>
      </w:r>
      <w:hyperlink r:id="rId31" w:history="1">
        <w:r w:rsidRPr="00E7516E">
          <w:rPr>
            <w:rStyle w:val="Hyperlink"/>
            <w:rFonts w:cs="Times New Roman"/>
          </w:rPr>
          <w:t>http://www.dpac.tas.gov.au/divisions/digital_strategy_and_services/policies/digital_data_privacy/adept</w:t>
        </w:r>
      </w:hyperlink>
      <w:r w:rsidRPr="00E7516E">
        <w:rPr>
          <w:rFonts w:cs="Times New Roman"/>
        </w:rPr>
        <w:t>&gt;.</w:t>
      </w:r>
    </w:p>
  </w:footnote>
  <w:footnote w:id="1014">
    <w:p w14:paraId="3843903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1015">
    <w:p w14:paraId="1300BDF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1016">
    <w:p w14:paraId="1E85603D" w14:textId="60B2B2DC"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0050565B" w:rsidRPr="00E7516E">
        <w:rPr>
          <w:rFonts w:cs="Times New Roman"/>
        </w:rPr>
        <w:t xml:space="preserve">Department of Premier and Cabinet, </w:t>
      </w:r>
      <w:r w:rsidR="0050565B" w:rsidRPr="00E7516E">
        <w:rPr>
          <w:rFonts w:cs="Times New Roman"/>
          <w:i/>
          <w:iCs/>
        </w:rPr>
        <w:t>ADEPT Principles</w:t>
      </w:r>
      <w:r w:rsidRPr="00EA22F8">
        <w:rPr>
          <w:rFonts w:cs="Times New Roman"/>
        </w:rPr>
        <w:t>.</w:t>
      </w:r>
      <w:r w:rsidRPr="005D7D8D">
        <w:rPr>
          <w:rFonts w:cs="Times New Roman"/>
        </w:rPr>
        <w:t xml:space="preserve"> For more discussion in relation to the research exemption, </w:t>
      </w:r>
      <w:r w:rsidRPr="00EA22F8">
        <w:rPr>
          <w:rFonts w:cs="Times New Roman"/>
        </w:rPr>
        <w:t xml:space="preserve">see </w:t>
      </w:r>
      <w:r w:rsidR="005D7D8D" w:rsidRPr="00EA22F8">
        <w:rPr>
          <w:rFonts w:cs="Times New Roman"/>
        </w:rPr>
        <w:t>[</w:t>
      </w:r>
      <w:r w:rsidR="005D7D8D" w:rsidRPr="00EA22F8">
        <w:rPr>
          <w:rFonts w:cs="Times New Roman"/>
        </w:rPr>
        <w:fldChar w:fldCharType="begin"/>
      </w:r>
      <w:r w:rsidR="005D7D8D" w:rsidRPr="00EA22F8">
        <w:rPr>
          <w:rFonts w:cs="Times New Roman"/>
        </w:rPr>
        <w:instrText xml:space="preserve"> REF _Ref165024382 \r \h </w:instrText>
      </w:r>
      <w:r w:rsidR="005D7D8D">
        <w:rPr>
          <w:rFonts w:cs="Times New Roman"/>
        </w:rPr>
        <w:instrText xml:space="preserve"> \* MERGEFORMAT </w:instrText>
      </w:r>
      <w:r w:rsidR="005D7D8D" w:rsidRPr="00EA22F8">
        <w:rPr>
          <w:rFonts w:cs="Times New Roman"/>
        </w:rPr>
      </w:r>
      <w:r w:rsidR="005D7D8D" w:rsidRPr="00EA22F8">
        <w:rPr>
          <w:rFonts w:cs="Times New Roman"/>
        </w:rPr>
        <w:fldChar w:fldCharType="separate"/>
      </w:r>
      <w:r w:rsidR="00462C30">
        <w:rPr>
          <w:rFonts w:cs="Times New Roman"/>
          <w:cs/>
        </w:rPr>
        <w:t>‎</w:t>
      </w:r>
      <w:r w:rsidR="00462C30">
        <w:rPr>
          <w:rFonts w:cs="Times New Roman"/>
        </w:rPr>
        <w:t>9.11.2</w:t>
      </w:r>
      <w:r w:rsidR="005D7D8D" w:rsidRPr="00EA22F8">
        <w:rPr>
          <w:rFonts w:cs="Times New Roman"/>
        </w:rPr>
        <w:fldChar w:fldCharType="end"/>
      </w:r>
      <w:r w:rsidR="005D7D8D" w:rsidRPr="00EA22F8">
        <w:rPr>
          <w:rFonts w:cs="Times New Roman"/>
        </w:rPr>
        <w:t>]</w:t>
      </w:r>
      <w:r w:rsidRPr="005D7D8D">
        <w:rPr>
          <w:rFonts w:cs="Times New Roman"/>
        </w:rPr>
        <w:t>.</w:t>
      </w:r>
    </w:p>
  </w:footnote>
  <w:footnote w:id="1017">
    <w:p w14:paraId="7DC9C904" w14:textId="5850737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0565B">
        <w:rPr>
          <w:rFonts w:cs="Times New Roman"/>
        </w:rPr>
        <w:t>Ibid</w:t>
      </w:r>
      <w:r w:rsidRPr="00E7516E">
        <w:rPr>
          <w:rFonts w:cs="Times New Roman"/>
        </w:rPr>
        <w:t>.</w:t>
      </w:r>
    </w:p>
  </w:footnote>
  <w:footnote w:id="1018">
    <w:p w14:paraId="41319BE2" w14:textId="72FF31C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This is discussed further in relation to information sharing within </w:t>
      </w:r>
      <w:r w:rsidRPr="009E70AD">
        <w:rPr>
          <w:rFonts w:cs="Times New Roman"/>
        </w:rPr>
        <w:t>government</w:t>
      </w:r>
      <w:r w:rsidR="009E70AD" w:rsidRPr="00EA22F8">
        <w:rPr>
          <w:rFonts w:cs="Times New Roman"/>
        </w:rPr>
        <w:t>: s</w:t>
      </w:r>
      <w:r w:rsidRPr="00EA22F8">
        <w:rPr>
          <w:rFonts w:cs="Times New Roman"/>
        </w:rPr>
        <w:t xml:space="preserve">ee </w:t>
      </w:r>
      <w:r w:rsidR="009E70AD" w:rsidRPr="00EA22F8">
        <w:rPr>
          <w:rFonts w:cs="Times New Roman"/>
        </w:rPr>
        <w:t>[</w:t>
      </w:r>
      <w:r w:rsidR="009E70AD" w:rsidRPr="00EA22F8">
        <w:rPr>
          <w:rFonts w:cs="Times New Roman"/>
        </w:rPr>
        <w:fldChar w:fldCharType="begin"/>
      </w:r>
      <w:r w:rsidR="009E70AD" w:rsidRPr="00EA22F8">
        <w:rPr>
          <w:rFonts w:cs="Times New Roman"/>
        </w:rPr>
        <w:instrText xml:space="preserve"> REF _Ref165024447 \r \h </w:instrText>
      </w:r>
      <w:r w:rsidR="009E70AD">
        <w:rPr>
          <w:rFonts w:cs="Times New Roman"/>
        </w:rPr>
        <w:instrText xml:space="preserve"> \* MERGEFORMAT </w:instrText>
      </w:r>
      <w:r w:rsidR="009E70AD" w:rsidRPr="00EA22F8">
        <w:rPr>
          <w:rFonts w:cs="Times New Roman"/>
        </w:rPr>
      </w:r>
      <w:r w:rsidR="009E70AD" w:rsidRPr="00EA22F8">
        <w:rPr>
          <w:rFonts w:cs="Times New Roman"/>
        </w:rPr>
        <w:fldChar w:fldCharType="separate"/>
      </w:r>
      <w:r w:rsidR="00462C30">
        <w:rPr>
          <w:rFonts w:cs="Times New Roman"/>
          <w:cs/>
        </w:rPr>
        <w:t>‎</w:t>
      </w:r>
      <w:r w:rsidR="00462C30">
        <w:rPr>
          <w:rFonts w:cs="Times New Roman"/>
        </w:rPr>
        <w:t>9.13.3</w:t>
      </w:r>
      <w:r w:rsidR="009E70AD" w:rsidRPr="00EA22F8">
        <w:rPr>
          <w:rFonts w:cs="Times New Roman"/>
        </w:rPr>
        <w:fldChar w:fldCharType="end"/>
      </w:r>
      <w:r w:rsidR="009E70AD" w:rsidRPr="00EA22F8">
        <w:rPr>
          <w:rFonts w:cs="Times New Roman"/>
        </w:rPr>
        <w:t>]</w:t>
      </w:r>
      <w:r w:rsidRPr="009E70AD">
        <w:rPr>
          <w:rFonts w:cs="Times New Roman"/>
        </w:rPr>
        <w:t>.</w:t>
      </w:r>
    </w:p>
  </w:footnote>
  <w:footnote w:id="1019">
    <w:p w14:paraId="273609A4" w14:textId="0D9E1A8D" w:rsidR="00FF302D" w:rsidRPr="00E7516E" w:rsidRDefault="00FF302D" w:rsidP="00E7516E">
      <w:pPr>
        <w:pStyle w:val="FootnoteText"/>
        <w:jc w:val="left"/>
        <w:rPr>
          <w:rFonts w:cs="Times New Roman"/>
          <w:highlight w:val="green"/>
        </w:rPr>
      </w:pPr>
      <w:r w:rsidRPr="00EA22F8">
        <w:rPr>
          <w:rStyle w:val="FootnoteReference"/>
          <w:rFonts w:ascii="Times New Roman" w:hAnsi="Times New Roman" w:cs="Times New Roman"/>
        </w:rPr>
        <w:footnoteRef/>
      </w:r>
      <w:r w:rsidRPr="00EA22F8">
        <w:rPr>
          <w:rFonts w:cs="Times New Roman"/>
        </w:rPr>
        <w:t xml:space="preserve"> CoI</w:t>
      </w:r>
      <w:r w:rsidR="005D7D8D" w:rsidRPr="00EA22F8">
        <w:rPr>
          <w:rFonts w:cs="Times New Roman"/>
        </w:rPr>
        <w:t xml:space="preserve"> Final</w:t>
      </w:r>
      <w:r w:rsidRPr="00EA22F8">
        <w:rPr>
          <w:rFonts w:cs="Times New Roman"/>
        </w:rPr>
        <w:t xml:space="preserve"> Report 75.</w:t>
      </w:r>
    </w:p>
  </w:footnote>
  <w:footnote w:id="1020">
    <w:p w14:paraId="5F1C9891" w14:textId="55DA4CC8"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0050565B">
        <w:rPr>
          <w:rFonts w:cs="Times New Roman"/>
        </w:rPr>
        <w:t>Ibid</w:t>
      </w:r>
      <w:r w:rsidRPr="00EA22F8">
        <w:rPr>
          <w:rFonts w:cs="Times New Roman"/>
        </w:rPr>
        <w:t>.</w:t>
      </w:r>
    </w:p>
  </w:footnote>
  <w:footnote w:id="1021">
    <w:p w14:paraId="6715D12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iCs/>
        </w:rPr>
        <w:t xml:space="preserve">Data Sharing (Government Sector) Act 2015 </w:t>
      </w:r>
      <w:r w:rsidRPr="00E7516E">
        <w:rPr>
          <w:rFonts w:cs="Times New Roman"/>
          <w:bCs/>
          <w:iCs/>
        </w:rPr>
        <w:t>(NSW) s 6.</w:t>
      </w:r>
    </w:p>
  </w:footnote>
  <w:footnote w:id="1022">
    <w:p w14:paraId="4B05ED9B" w14:textId="0149FE76" w:rsidR="00FF302D" w:rsidRPr="00E7516E" w:rsidRDefault="00FF302D" w:rsidP="00E7516E">
      <w:pPr>
        <w:pStyle w:val="FootnoteText"/>
        <w:jc w:val="left"/>
        <w:rPr>
          <w:rFonts w:cs="Times New Roman"/>
        </w:rPr>
      </w:pPr>
      <w:r w:rsidRPr="00366D3F">
        <w:rPr>
          <w:rStyle w:val="FootnoteReference"/>
          <w:rFonts w:ascii="Times New Roman" w:hAnsi="Times New Roman" w:cs="Times New Roman"/>
        </w:rPr>
        <w:footnoteRef/>
      </w:r>
      <w:r w:rsidRPr="00366D3F">
        <w:rPr>
          <w:rFonts w:cs="Times New Roman"/>
        </w:rPr>
        <w:t xml:space="preserve"> </w:t>
      </w:r>
      <w:r w:rsidRPr="00EA22F8">
        <w:rPr>
          <w:rFonts w:cs="Times New Roman"/>
        </w:rPr>
        <w:t>I</w:t>
      </w:r>
      <w:r w:rsidR="00366D3F">
        <w:rPr>
          <w:rFonts w:cs="Times New Roman"/>
        </w:rPr>
        <w:t xml:space="preserve">nformation </w:t>
      </w:r>
      <w:r w:rsidRPr="00EA22F8">
        <w:rPr>
          <w:rFonts w:cs="Times New Roman"/>
        </w:rPr>
        <w:t>P</w:t>
      </w:r>
      <w:r w:rsidR="00366D3F">
        <w:rPr>
          <w:rFonts w:cs="Times New Roman"/>
        </w:rPr>
        <w:t xml:space="preserve">rivacy </w:t>
      </w:r>
      <w:r w:rsidRPr="00EA22F8">
        <w:rPr>
          <w:rFonts w:cs="Times New Roman"/>
        </w:rPr>
        <w:t>C</w:t>
      </w:r>
      <w:r w:rsidR="00366D3F">
        <w:rPr>
          <w:rFonts w:cs="Times New Roman"/>
        </w:rPr>
        <w:t xml:space="preserve">ommission </w:t>
      </w:r>
      <w:r w:rsidRPr="00EA22F8">
        <w:rPr>
          <w:rFonts w:cs="Times New Roman"/>
        </w:rPr>
        <w:t>NSW</w:t>
      </w:r>
      <w:r w:rsidRPr="00366D3F">
        <w:rPr>
          <w:rFonts w:cs="Times New Roman"/>
        </w:rPr>
        <w:t>,</w:t>
      </w:r>
      <w:r w:rsidRPr="00E7516E">
        <w:rPr>
          <w:rFonts w:cs="Times New Roman"/>
        </w:rPr>
        <w:t xml:space="preserve"> </w:t>
      </w:r>
      <w:r w:rsidRPr="00E7516E">
        <w:rPr>
          <w:rFonts w:cs="Times New Roman"/>
          <w:i/>
          <w:iCs/>
        </w:rPr>
        <w:t xml:space="preserve">Guide – Data Sharing and Privacy </w:t>
      </w:r>
      <w:r w:rsidRPr="00E7516E">
        <w:rPr>
          <w:rFonts w:cs="Times New Roman"/>
        </w:rPr>
        <w:t>&lt;https://www.ipc.nsw.gov.au/guide-data-sharing-and-privacy&gt;</w:t>
      </w:r>
    </w:p>
  </w:footnote>
  <w:footnote w:id="1023">
    <w:p w14:paraId="3D7939B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Privacy and Personal Information Protection Act 1998</w:t>
      </w:r>
      <w:r w:rsidRPr="00E7516E">
        <w:rPr>
          <w:rFonts w:cs="Times New Roman"/>
        </w:rPr>
        <w:t xml:space="preserve"> (NSW); </w:t>
      </w:r>
      <w:r w:rsidRPr="00E7516E">
        <w:rPr>
          <w:rFonts w:cs="Times New Roman"/>
          <w:i/>
          <w:iCs/>
        </w:rPr>
        <w:t xml:space="preserve">Health Records and Information Privacy Act 2002 </w:t>
      </w:r>
      <w:r w:rsidRPr="00E7516E">
        <w:rPr>
          <w:rFonts w:cs="Times New Roman"/>
        </w:rPr>
        <w:t xml:space="preserve">(NSW). </w:t>
      </w:r>
    </w:p>
  </w:footnote>
  <w:footnote w:id="1024">
    <w:p w14:paraId="6EA8C6B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bCs/>
          <w:i/>
          <w:iCs/>
        </w:rPr>
        <w:t xml:space="preserve">Data Sharing (Government Sector) Act 2015 </w:t>
      </w:r>
      <w:r w:rsidRPr="00E7516E">
        <w:rPr>
          <w:rFonts w:cs="Times New Roman"/>
          <w:bCs/>
          <w:iCs/>
        </w:rPr>
        <w:t>(NSW)</w:t>
      </w:r>
      <w:r w:rsidRPr="00E7516E">
        <w:rPr>
          <w:rFonts w:cs="Times New Roman"/>
          <w:bCs/>
          <w:i/>
          <w:iCs/>
        </w:rPr>
        <w:t xml:space="preserve"> </w:t>
      </w:r>
      <w:r w:rsidRPr="00E7516E">
        <w:rPr>
          <w:rFonts w:cs="Times New Roman"/>
          <w:bCs/>
        </w:rPr>
        <w:t xml:space="preserve">pt 3. See discussion </w:t>
      </w:r>
      <w:r w:rsidRPr="00A10B93">
        <w:rPr>
          <w:rFonts w:cs="Times New Roman"/>
          <w:bCs/>
        </w:rPr>
        <w:t xml:space="preserve">in </w:t>
      </w:r>
      <w:r w:rsidRPr="00EA22F8">
        <w:rPr>
          <w:rFonts w:cs="Times New Roman"/>
        </w:rPr>
        <w:t xml:space="preserve">New South Wales, </w:t>
      </w:r>
      <w:r w:rsidRPr="00EA22F8">
        <w:rPr>
          <w:rFonts w:cs="Times New Roman"/>
          <w:i/>
          <w:iCs/>
        </w:rPr>
        <w:t>Data Sharing and Privacy: A Guide for Public Sector Agencies</w:t>
      </w:r>
      <w:r w:rsidRPr="00EA22F8">
        <w:rPr>
          <w:rFonts w:cs="Times New Roman"/>
        </w:rPr>
        <w:t xml:space="preserve"> (2020) &lt;</w:t>
      </w:r>
      <w:hyperlink r:id="rId32" w:history="1">
        <w:r w:rsidRPr="00EA22F8">
          <w:rPr>
            <w:rStyle w:val="Hyperlink"/>
            <w:rFonts w:cs="Times New Roman"/>
          </w:rPr>
          <w:t>https://www.ipc.nsw.gov.au/sites/default/files/2021-03/Guide_Data_Sharing_and_Privacy_July_2020.pdf</w:t>
        </w:r>
      </w:hyperlink>
      <w:r w:rsidRPr="00A10B93">
        <w:rPr>
          <w:rFonts w:cs="Times New Roman"/>
        </w:rPr>
        <w:t>&gt;.</w:t>
      </w:r>
    </w:p>
  </w:footnote>
  <w:footnote w:id="1025">
    <w:p w14:paraId="5BDD8B57" w14:textId="4AA5CDB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A22F8">
        <w:rPr>
          <w:rFonts w:cs="Times New Roman"/>
          <w:i/>
          <w:iCs/>
        </w:rPr>
        <w:t xml:space="preserve">Victorian Data Sharing Act 2017 </w:t>
      </w:r>
      <w:r w:rsidRPr="00EA22F8">
        <w:rPr>
          <w:rFonts w:cs="Times New Roman"/>
        </w:rPr>
        <w:t xml:space="preserve">– </w:t>
      </w:r>
      <w:r w:rsidRPr="00EA22F8">
        <w:rPr>
          <w:rFonts w:cs="Times New Roman"/>
          <w:i/>
          <w:iCs/>
        </w:rPr>
        <w:t>Guidance for Departments and Agencies</w:t>
      </w:r>
      <w:r w:rsidRPr="00EA22F8">
        <w:rPr>
          <w:rFonts w:cs="Times New Roman"/>
        </w:rPr>
        <w:t xml:space="preserve"> </w:t>
      </w:r>
      <w:r w:rsidR="00366D3F" w:rsidRPr="00EA22F8">
        <w:rPr>
          <w:rFonts w:cs="Times New Roman"/>
        </w:rPr>
        <w:t>&lt;</w:t>
      </w:r>
      <w:hyperlink r:id="rId33" w:history="1">
        <w:r w:rsidR="003A3F4A" w:rsidRPr="003215A2">
          <w:rPr>
            <w:rStyle w:val="Hyperlink"/>
          </w:rPr>
          <w:t>https://ovic.vic.gov.au/privacy/resources-for-organisations/information-sharing-and-privacy/</w:t>
        </w:r>
      </w:hyperlink>
      <w:r w:rsidR="003A3F4A">
        <w:t>&gt;.</w:t>
      </w:r>
      <w:r w:rsidR="003A3F4A" w:rsidRPr="00E7516E" w:rsidDel="003A3F4A">
        <w:rPr>
          <w:rFonts w:cs="Times New Roman"/>
          <w:color w:val="0000FF"/>
          <w:highlight w:val="cyan"/>
          <w:u w:val="single"/>
        </w:rPr>
        <w:t xml:space="preserve"> </w:t>
      </w:r>
    </w:p>
  </w:footnote>
  <w:footnote w:id="1026">
    <w:p w14:paraId="5D376F7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Victorian Data Sharing Act 2017 </w:t>
      </w:r>
      <w:r w:rsidRPr="00E7516E">
        <w:rPr>
          <w:rFonts w:cs="Times New Roman"/>
        </w:rPr>
        <w:t>(Vic) s 5.</w:t>
      </w:r>
    </w:p>
  </w:footnote>
  <w:footnote w:id="1027">
    <w:p w14:paraId="32BCAA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Victorian Data Sharing Act 2017 </w:t>
      </w:r>
      <w:r w:rsidRPr="00E7516E">
        <w:rPr>
          <w:rFonts w:cs="Times New Roman"/>
        </w:rPr>
        <w:t>(Vic) ss 15, 24(2).</w:t>
      </w:r>
    </w:p>
  </w:footnote>
  <w:footnote w:id="1028">
    <w:p w14:paraId="0AE8FB5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Productivity Commission, </w:t>
      </w:r>
      <w:r w:rsidRPr="00E7516E">
        <w:rPr>
          <w:rFonts w:cs="Times New Roman"/>
          <w:i/>
          <w:iCs/>
        </w:rPr>
        <w:t>Data Availability and Use Final Report</w:t>
      </w:r>
      <w:r w:rsidRPr="00E7516E">
        <w:rPr>
          <w:rFonts w:cs="Times New Roman"/>
        </w:rPr>
        <w:t xml:space="preserve"> (Report, May 2017) &lt;</w:t>
      </w:r>
      <w:hyperlink r:id="rId34" w:history="1">
        <w:r w:rsidRPr="00E7516E">
          <w:rPr>
            <w:rStyle w:val="Hyperlink"/>
            <w:rFonts w:cs="Times New Roman"/>
          </w:rPr>
          <w:t>https://www.pc.gov.au/inquiries/completed/data-access/report</w:t>
        </w:r>
      </w:hyperlink>
      <w:r w:rsidRPr="00E7516E">
        <w:rPr>
          <w:rFonts w:cs="Times New Roman"/>
        </w:rPr>
        <w:t>&gt;.</w:t>
      </w:r>
    </w:p>
  </w:footnote>
  <w:footnote w:id="1029">
    <w:p w14:paraId="26FFBB1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Office of the National Data Commissioner (Department of Prime Minister and Cabinet), </w:t>
      </w:r>
      <w:r w:rsidRPr="00E7516E">
        <w:rPr>
          <w:rFonts w:cs="Times New Roman"/>
          <w:i/>
          <w:iCs/>
        </w:rPr>
        <w:t>Best Practice Guide to Applying Data Sharing Principles</w:t>
      </w:r>
      <w:r w:rsidRPr="00E7516E">
        <w:rPr>
          <w:rFonts w:cs="Times New Roman"/>
        </w:rPr>
        <w:t xml:space="preserve"> (2019).</w:t>
      </w:r>
    </w:p>
  </w:footnote>
  <w:footnote w:id="1030">
    <w:p w14:paraId="3BB9EDF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Office of the National Data Commissioner, </w:t>
      </w:r>
      <w:r w:rsidRPr="00E7516E">
        <w:rPr>
          <w:rFonts w:cs="Times New Roman"/>
          <w:i/>
          <w:iCs/>
        </w:rPr>
        <w:t>Office of the National Data Commissioner</w:t>
      </w:r>
      <w:r w:rsidRPr="00E7516E">
        <w:rPr>
          <w:rFonts w:cs="Times New Roman"/>
        </w:rPr>
        <w:t xml:space="preserve"> &lt;https://www.datacommissioner.gov.au/the-data-scheme&gt;.</w:t>
      </w:r>
    </w:p>
  </w:footnote>
  <w:footnote w:id="1031">
    <w:p w14:paraId="66EB4A43" w14:textId="77777777" w:rsidR="00FF302D" w:rsidRPr="00E42696"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42696">
        <w:rPr>
          <w:rFonts w:cs="Times New Roman"/>
        </w:rPr>
        <w:t xml:space="preserve">the </w:t>
      </w:r>
      <w:r w:rsidRPr="00EA22F8">
        <w:rPr>
          <w:rFonts w:cs="Times New Roman"/>
          <w:i/>
          <w:iCs/>
        </w:rPr>
        <w:t>Data Availability and Transparency Act 202</w:t>
      </w:r>
      <w:r w:rsidRPr="00E42696">
        <w:rPr>
          <w:rFonts w:cs="Times New Roman"/>
          <w:i/>
          <w:iCs/>
        </w:rPr>
        <w:t xml:space="preserve">2 </w:t>
      </w:r>
      <w:r w:rsidRPr="00E42696">
        <w:rPr>
          <w:rFonts w:cs="Times New Roman"/>
        </w:rPr>
        <w:t xml:space="preserve">(Cth) s 16B(4)(a); </w:t>
      </w:r>
      <w:r w:rsidRPr="00EA22F8">
        <w:rPr>
          <w:rFonts w:cs="Times New Roman"/>
          <w:i/>
          <w:iCs/>
        </w:rPr>
        <w:t>Data Availability and Transparency Code 202</w:t>
      </w:r>
      <w:r w:rsidRPr="00E42696">
        <w:rPr>
          <w:rFonts w:cs="Times New Roman"/>
          <w:i/>
          <w:iCs/>
        </w:rPr>
        <w:t xml:space="preserve">2 </w:t>
      </w:r>
      <w:r w:rsidRPr="00E42696">
        <w:rPr>
          <w:rFonts w:cs="Times New Roman"/>
        </w:rPr>
        <w:t>(Cth) s 21.</w:t>
      </w:r>
    </w:p>
  </w:footnote>
  <w:footnote w:id="1032">
    <w:p w14:paraId="6B8CE040" w14:textId="77777777" w:rsidR="00FF302D" w:rsidRPr="00E42696" w:rsidRDefault="00FF302D" w:rsidP="00E7516E">
      <w:pPr>
        <w:pStyle w:val="FootnoteText"/>
        <w:jc w:val="left"/>
        <w:rPr>
          <w:rFonts w:cs="Times New Roman"/>
        </w:rPr>
      </w:pPr>
      <w:r w:rsidRPr="00E42696">
        <w:rPr>
          <w:rStyle w:val="FootnoteReference"/>
          <w:rFonts w:ascii="Times New Roman" w:hAnsi="Times New Roman" w:cs="Times New Roman"/>
        </w:rPr>
        <w:footnoteRef/>
      </w:r>
      <w:r w:rsidRPr="00E42696">
        <w:rPr>
          <w:rFonts w:cs="Times New Roman"/>
        </w:rPr>
        <w:t xml:space="preserve"> </w:t>
      </w:r>
      <w:r w:rsidRPr="00E42696">
        <w:rPr>
          <w:rFonts w:cs="Times New Roman"/>
          <w:i/>
          <w:iCs/>
        </w:rPr>
        <w:t>Data Availability and Transparency Act 2022</w:t>
      </w:r>
      <w:r w:rsidRPr="00E42696">
        <w:rPr>
          <w:rFonts w:cs="Times New Roman"/>
        </w:rPr>
        <w:t xml:space="preserve"> (Cth) s 17(5).</w:t>
      </w:r>
    </w:p>
  </w:footnote>
  <w:footnote w:id="1033">
    <w:p w14:paraId="1683F761" w14:textId="77777777" w:rsidR="00FF302D" w:rsidRPr="00E7516E" w:rsidRDefault="00FF302D" w:rsidP="00E7516E">
      <w:pPr>
        <w:pStyle w:val="FootnoteText"/>
        <w:jc w:val="left"/>
        <w:rPr>
          <w:rFonts w:cs="Times New Roman"/>
        </w:rPr>
      </w:pPr>
      <w:r w:rsidRPr="00E42696">
        <w:rPr>
          <w:rStyle w:val="FootnoteReference"/>
          <w:rFonts w:ascii="Times New Roman" w:hAnsi="Times New Roman" w:cs="Times New Roman"/>
        </w:rPr>
        <w:footnoteRef/>
      </w:r>
      <w:r w:rsidRPr="00E42696">
        <w:rPr>
          <w:rFonts w:cs="Times New Roman"/>
        </w:rPr>
        <w:t xml:space="preserve"> </w:t>
      </w:r>
      <w:r w:rsidRPr="00EA22F8">
        <w:rPr>
          <w:rFonts w:cs="Times New Roman"/>
          <w:i/>
          <w:iCs/>
        </w:rPr>
        <w:t>Data Availability and Transparency Act 202</w:t>
      </w:r>
      <w:r w:rsidRPr="00E42696">
        <w:rPr>
          <w:rFonts w:cs="Times New Roman"/>
          <w:i/>
          <w:iCs/>
        </w:rPr>
        <w:t xml:space="preserve">2 </w:t>
      </w:r>
      <w:r w:rsidRPr="00E42696">
        <w:rPr>
          <w:rFonts w:cs="Times New Roman"/>
        </w:rPr>
        <w:t>(Cth) s 16.</w:t>
      </w:r>
    </w:p>
  </w:footnote>
  <w:footnote w:id="1034">
    <w:p w14:paraId="5FB60F1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Identity–matching Services Bill 2019</w:t>
      </w:r>
      <w:r w:rsidRPr="00E7516E">
        <w:rPr>
          <w:rFonts w:cs="Times New Roman"/>
        </w:rPr>
        <w:t xml:space="preserve"> (Cth).</w:t>
      </w:r>
    </w:p>
  </w:footnote>
  <w:footnote w:id="1035">
    <w:p w14:paraId="666DD0C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Queensland Government, </w:t>
      </w:r>
      <w:r w:rsidRPr="00E7516E">
        <w:rPr>
          <w:rFonts w:cs="Times New Roman"/>
          <w:i/>
          <w:iCs/>
        </w:rPr>
        <w:t xml:space="preserve">Information Sharing Authorising Framework </w:t>
      </w:r>
      <w:r w:rsidRPr="00E7516E">
        <w:rPr>
          <w:rFonts w:cs="Times New Roman"/>
        </w:rPr>
        <w:t>&lt;https://www.forgov.qld.gov.au/information-and-communication-technology/qgea-policies-standards-and-guidelines/information-sharing-authorising-framework&gt;.</w:t>
      </w:r>
    </w:p>
  </w:footnote>
  <w:footnote w:id="1036">
    <w:p w14:paraId="1DF0347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17.</w:t>
      </w:r>
    </w:p>
  </w:footnote>
  <w:footnote w:id="1037">
    <w:p w14:paraId="2318C971" w14:textId="58C9673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6217F1" w:rsidRPr="00E7516E">
        <w:rPr>
          <w:rFonts w:cs="Times New Roman"/>
        </w:rPr>
        <w:t xml:space="preserve">Queensland Government, </w:t>
      </w:r>
      <w:r w:rsidR="006217F1" w:rsidRPr="00E7516E">
        <w:rPr>
          <w:rFonts w:cs="Times New Roman"/>
          <w:i/>
          <w:iCs/>
        </w:rPr>
        <w:t xml:space="preserve">Information Sharing Authorising Framework </w:t>
      </w:r>
      <w:r w:rsidRPr="00E7516E">
        <w:rPr>
          <w:rFonts w:cs="Times New Roman"/>
        </w:rPr>
        <w:t>7.</w:t>
      </w:r>
    </w:p>
  </w:footnote>
  <w:footnote w:id="1038">
    <w:p w14:paraId="08F4A73B" w14:textId="0311852E"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See Part 5.</w:t>
      </w:r>
    </w:p>
  </w:footnote>
  <w:footnote w:id="1039">
    <w:p w14:paraId="2CC0383C" w14:textId="78422CB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C40A0">
        <w:rPr>
          <w:rFonts w:cs="Times New Roman"/>
        </w:rPr>
        <w:t xml:space="preserve">Issues Paper </w:t>
      </w:r>
      <w:r w:rsidRPr="00E7516E">
        <w:rPr>
          <w:rFonts w:cs="Times New Roman"/>
        </w:rPr>
        <w:t>Part 3, Question 3.1.</w:t>
      </w:r>
    </w:p>
  </w:footnote>
  <w:footnote w:id="1040">
    <w:p w14:paraId="653A194E" w14:textId="7632FC5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C40A0">
        <w:rPr>
          <w:rFonts w:cs="Times New Roman"/>
        </w:rPr>
        <w:t xml:space="preserve">Ibid </w:t>
      </w:r>
      <w:r w:rsidRPr="00E7516E">
        <w:rPr>
          <w:rFonts w:cs="Times New Roman"/>
        </w:rPr>
        <w:t>Part 3, Question 3.2.</w:t>
      </w:r>
    </w:p>
  </w:footnote>
  <w:footnote w:id="1041">
    <w:p w14:paraId="00E9B86E" w14:textId="522EF67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3</w:t>
      </w:r>
      <w:r w:rsidR="00FC40A0">
        <w:rPr>
          <w:rFonts w:cs="Times New Roman"/>
        </w:rPr>
        <w:t xml:space="preserve"> (Anonymous)</w:t>
      </w:r>
      <w:r w:rsidRPr="00E7516E">
        <w:rPr>
          <w:rFonts w:cs="Times New Roman"/>
        </w:rPr>
        <w:t>.</w:t>
      </w:r>
    </w:p>
  </w:footnote>
  <w:footnote w:id="1042">
    <w:p w14:paraId="21550770" w14:textId="3DB12CA9" w:rsidR="00FF302D" w:rsidRPr="00E7516E" w:rsidRDefault="00FF302D" w:rsidP="00E7516E">
      <w:pPr>
        <w:pStyle w:val="FootnoteText"/>
        <w:jc w:val="left"/>
        <w:rPr>
          <w:rFonts w:cs="Times New Roman"/>
        </w:rPr>
      </w:pPr>
      <w:r w:rsidRPr="003215A2">
        <w:rPr>
          <w:rStyle w:val="FootnoteReference"/>
          <w:rFonts w:ascii="Times New Roman" w:hAnsi="Times New Roman" w:cs="Times New Roman"/>
        </w:rPr>
        <w:footnoteRef/>
      </w:r>
      <w:r w:rsidRPr="003215A2">
        <w:rPr>
          <w:rFonts w:cs="Times New Roman"/>
        </w:rPr>
        <w:t xml:space="preserve"> </w:t>
      </w:r>
      <w:r w:rsidRPr="00EA22F8">
        <w:rPr>
          <w:rFonts w:cs="Times New Roman"/>
        </w:rPr>
        <w:t xml:space="preserve">See </w:t>
      </w:r>
      <w:r w:rsidR="00FC202B" w:rsidRPr="00EA22F8">
        <w:rPr>
          <w:rFonts w:cs="Times New Roman"/>
        </w:rPr>
        <w:t>[</w:t>
      </w:r>
      <w:r w:rsidR="00FC202B" w:rsidRPr="00EA22F8">
        <w:rPr>
          <w:rFonts w:cs="Times New Roman"/>
        </w:rPr>
        <w:fldChar w:fldCharType="begin"/>
      </w:r>
      <w:r w:rsidR="00FC202B" w:rsidRPr="00EA22F8">
        <w:rPr>
          <w:rFonts w:cs="Times New Roman"/>
        </w:rPr>
        <w:instrText xml:space="preserve"> REF _Ref165024891 \r \h </w:instrText>
      </w:r>
      <w:r w:rsidR="00FC202B">
        <w:rPr>
          <w:rFonts w:cs="Times New Roman"/>
        </w:rPr>
        <w:instrText xml:space="preserve"> \* MERGEFORMAT </w:instrText>
      </w:r>
      <w:r w:rsidR="00FC202B" w:rsidRPr="00EA22F8">
        <w:rPr>
          <w:rFonts w:cs="Times New Roman"/>
        </w:rPr>
      </w:r>
      <w:r w:rsidR="00FC202B" w:rsidRPr="00EA22F8">
        <w:rPr>
          <w:rFonts w:cs="Times New Roman"/>
        </w:rPr>
        <w:fldChar w:fldCharType="separate"/>
      </w:r>
      <w:r w:rsidR="00462C30">
        <w:rPr>
          <w:rFonts w:cs="Times New Roman"/>
          <w:cs/>
        </w:rPr>
        <w:t>‎</w:t>
      </w:r>
      <w:r w:rsidR="00462C30">
        <w:rPr>
          <w:rFonts w:cs="Times New Roman"/>
        </w:rPr>
        <w:t>8.4.12</w:t>
      </w:r>
      <w:r w:rsidR="00FC202B" w:rsidRPr="00EA22F8">
        <w:rPr>
          <w:rFonts w:cs="Times New Roman"/>
        </w:rPr>
        <w:fldChar w:fldCharType="end"/>
      </w:r>
      <w:r w:rsidR="00FC202B" w:rsidRPr="00EA22F8">
        <w:rPr>
          <w:rFonts w:cs="Times New Roman"/>
        </w:rPr>
        <w:t>]</w:t>
      </w:r>
      <w:r w:rsidRPr="00E7516E">
        <w:rPr>
          <w:rFonts w:cs="Times New Roman"/>
        </w:rPr>
        <w:t xml:space="preserve"> in relation to the proposals to made changes to appeal options and the remedies that are available.</w:t>
      </w:r>
    </w:p>
  </w:footnote>
  <w:footnote w:id="1043">
    <w:p w14:paraId="560B255C" w14:textId="6697F8B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363DCC">
        <w:rPr>
          <w:rFonts w:cs="Times New Roman"/>
        </w:rPr>
        <w:t>Submission 21 (</w:t>
      </w:r>
      <w:r w:rsidRPr="00E7516E">
        <w:rPr>
          <w:rFonts w:cs="Times New Roman"/>
        </w:rPr>
        <w:t>Commissioner for Children</w:t>
      </w:r>
      <w:r w:rsidR="00363DCC">
        <w:rPr>
          <w:rFonts w:cs="Times New Roman"/>
        </w:rPr>
        <w:t xml:space="preserve"> and Young People); Submission </w:t>
      </w:r>
      <w:r w:rsidR="00E5396B">
        <w:rPr>
          <w:rFonts w:cs="Times New Roman"/>
        </w:rPr>
        <w:t xml:space="preserve">12 </w:t>
      </w:r>
      <w:r w:rsidR="00363DCC">
        <w:rPr>
          <w:rFonts w:cs="Times New Roman"/>
        </w:rPr>
        <w:t>(</w:t>
      </w:r>
      <w:r w:rsidRPr="00E7516E">
        <w:rPr>
          <w:rFonts w:cs="Times New Roman"/>
        </w:rPr>
        <w:t>Youth Law Australia</w:t>
      </w:r>
      <w:r w:rsidR="00363DCC">
        <w:rPr>
          <w:rFonts w:cs="Times New Roman"/>
        </w:rPr>
        <w:t>);</w:t>
      </w:r>
      <w:r w:rsidRPr="00E7516E">
        <w:rPr>
          <w:rFonts w:cs="Times New Roman"/>
        </w:rPr>
        <w:t xml:space="preserve"> Submission 22</w:t>
      </w:r>
      <w:r w:rsidR="00FC202B">
        <w:rPr>
          <w:rFonts w:cs="Times New Roman"/>
        </w:rPr>
        <w:t xml:space="preserve"> (</w:t>
      </w:r>
      <w:r w:rsidR="00FC202B" w:rsidRPr="00E7516E">
        <w:rPr>
          <w:rFonts w:cs="Times New Roman"/>
        </w:rPr>
        <w:t>Anonymous</w:t>
      </w:r>
      <w:r w:rsidR="00FC202B">
        <w:rPr>
          <w:rFonts w:cs="Times New Roman"/>
        </w:rPr>
        <w:t>)</w:t>
      </w:r>
      <w:r w:rsidRPr="00E7516E">
        <w:rPr>
          <w:rFonts w:cs="Times New Roman"/>
        </w:rPr>
        <w:t xml:space="preserve">. Further discussion of the law in relation to privacy and young </w:t>
      </w:r>
      <w:r w:rsidRPr="00D5517E">
        <w:rPr>
          <w:rFonts w:cs="Times New Roman"/>
        </w:rPr>
        <w:t xml:space="preserve">people is </w:t>
      </w:r>
      <w:r w:rsidRPr="00EA22F8">
        <w:rPr>
          <w:rFonts w:cs="Times New Roman"/>
        </w:rPr>
        <w:t xml:space="preserve">discussed at </w:t>
      </w:r>
      <w:r w:rsidR="2012938D" w:rsidRPr="00D5517E">
        <w:rPr>
          <w:rFonts w:cs="Times New Roman"/>
        </w:rPr>
        <w:t>[10</w:t>
      </w:r>
      <w:r w:rsidR="2012938D" w:rsidRPr="2012938D">
        <w:rPr>
          <w:rFonts w:cs="Times New Roman"/>
        </w:rPr>
        <w:t>.4]</w:t>
      </w:r>
      <w:r w:rsidR="00D5517E">
        <w:rPr>
          <w:rFonts w:cs="Times New Roman"/>
        </w:rPr>
        <w:t>.</w:t>
      </w:r>
    </w:p>
  </w:footnote>
  <w:footnote w:id="1044">
    <w:p w14:paraId="04A51F51" w14:textId="768EAED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15 </w:t>
      </w:r>
      <w:r w:rsidR="00441534">
        <w:rPr>
          <w:rFonts w:cs="Times New Roman"/>
        </w:rPr>
        <w:t>(</w:t>
      </w:r>
      <w:r w:rsidRPr="00E7516E">
        <w:rPr>
          <w:rFonts w:cs="Times New Roman"/>
        </w:rPr>
        <w:t>Norma and Carolynn Jamieson</w:t>
      </w:r>
      <w:r w:rsidR="00441534">
        <w:rPr>
          <w:rFonts w:cs="Times New Roman"/>
        </w:rPr>
        <w:t>)</w:t>
      </w:r>
      <w:r w:rsidRPr="00E7516E">
        <w:rPr>
          <w:rFonts w:cs="Times New Roman"/>
        </w:rPr>
        <w:t>.</w:t>
      </w:r>
    </w:p>
  </w:footnote>
  <w:footnote w:id="1045">
    <w:p w14:paraId="4DAF1CF9" w14:textId="45563FC2"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CoI</w:t>
      </w:r>
      <w:r w:rsidR="003A76CF">
        <w:rPr>
          <w:rFonts w:cs="Times New Roman"/>
        </w:rPr>
        <w:t xml:space="preserve"> Final</w:t>
      </w:r>
      <w:r w:rsidRPr="00E7516E">
        <w:rPr>
          <w:rFonts w:cs="Times New Roman"/>
        </w:rPr>
        <w:t xml:space="preserve"> Report Recommendations 19.7 and 19.8.</w:t>
      </w:r>
    </w:p>
  </w:footnote>
  <w:footnote w:id="1046">
    <w:p w14:paraId="51F75F49" w14:textId="77777777" w:rsidR="00FF302D" w:rsidRPr="00E7516E" w:rsidRDefault="00FF302D" w:rsidP="00E7516E">
      <w:pPr>
        <w:jc w:val="left"/>
        <w:rPr>
          <w:rFonts w:cs="Times New Roman"/>
          <w:sz w:val="20"/>
          <w:szCs w:val="20"/>
        </w:rPr>
      </w:pPr>
    </w:p>
  </w:footnote>
  <w:footnote w:id="1047">
    <w:p w14:paraId="1A0F63C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 xml:space="preserve">(Tas) s 5(1). </w:t>
      </w:r>
    </w:p>
  </w:footnote>
  <w:footnote w:id="1048">
    <w:p w14:paraId="5B730D6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(Tas) ss 9, 10 and 11.</w:t>
      </w:r>
    </w:p>
  </w:footnote>
  <w:footnote w:id="1049">
    <w:p w14:paraId="67D6E36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(Tas) s 12.</w:t>
      </w:r>
    </w:p>
  </w:footnote>
  <w:footnote w:id="1050">
    <w:p w14:paraId="39DF4B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 xml:space="preserve">(Tas) </w:t>
      </w:r>
      <w:r w:rsidRPr="00E7516E">
        <w:rPr>
          <w:rFonts w:cs="Times New Roman"/>
        </w:rPr>
        <w:t xml:space="preserve">s 3(1). </w:t>
      </w:r>
    </w:p>
  </w:footnote>
  <w:footnote w:id="1051">
    <w:p w14:paraId="464E062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 xml:space="preserve">(Tas) </w:t>
      </w:r>
      <w:r w:rsidRPr="00E7516E">
        <w:rPr>
          <w:rFonts w:cs="Times New Roman"/>
        </w:rPr>
        <w:t xml:space="preserve">pt III. </w:t>
      </w:r>
    </w:p>
  </w:footnote>
  <w:footnote w:id="1052">
    <w:p w14:paraId="3A4E483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 xml:space="preserve">(Tas) </w:t>
      </w:r>
      <w:r w:rsidRPr="00E7516E">
        <w:rPr>
          <w:rFonts w:cs="Times New Roman"/>
        </w:rPr>
        <w:t>s 21.</w:t>
      </w:r>
    </w:p>
  </w:footnote>
  <w:footnote w:id="1053">
    <w:p w14:paraId="6834C46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(Tas)</w:t>
      </w:r>
      <w:r w:rsidRPr="00E7516E">
        <w:rPr>
          <w:rFonts w:cs="Times New Roman"/>
        </w:rPr>
        <w:t xml:space="preserve"> ss 5(2)-(7). </w:t>
      </w:r>
    </w:p>
  </w:footnote>
  <w:footnote w:id="1054">
    <w:p w14:paraId="4B5FE1F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(Tas)</w:t>
      </w:r>
      <w:r w:rsidRPr="00E7516E">
        <w:rPr>
          <w:rFonts w:cs="Times New Roman"/>
        </w:rPr>
        <w:t xml:space="preserve"> pt IV.</w:t>
      </w:r>
    </w:p>
  </w:footnote>
  <w:footnote w:id="1055">
    <w:p w14:paraId="386C70D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Listening Devices Act 1991 </w:t>
      </w:r>
      <w:r w:rsidRPr="00E7516E">
        <w:rPr>
          <w:rFonts w:cs="Times New Roman"/>
        </w:rPr>
        <w:t>(Tas) s 5(2)(bb).</w:t>
      </w:r>
    </w:p>
  </w:footnote>
  <w:footnote w:id="1056">
    <w:p w14:paraId="33318CBF" w14:textId="7C84199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000B13FB">
        <w:rPr>
          <w:rFonts w:cs="Times New Roman"/>
          <w:i/>
          <w:iCs/>
        </w:rPr>
        <w:t xml:space="preserve"> </w:t>
      </w:r>
      <w:r w:rsidRPr="00E7516E">
        <w:rPr>
          <w:rFonts w:cs="Times New Roman"/>
          <w:i/>
          <w:iCs/>
        </w:rPr>
        <w:t xml:space="preserve">Listening Devices Act 1991 (Tas) </w:t>
      </w:r>
      <w:r w:rsidRPr="00E7516E">
        <w:rPr>
          <w:rFonts w:cs="Times New Roman"/>
        </w:rPr>
        <w:t>s 2(ba).</w:t>
      </w:r>
    </w:p>
  </w:footnote>
  <w:footnote w:id="1057">
    <w:p w14:paraId="0EF14E6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Telecommunications (Interception) Act 1979 </w:t>
      </w:r>
      <w:r w:rsidRPr="00E7516E">
        <w:rPr>
          <w:rFonts w:cs="Times New Roman"/>
          <w:iCs/>
        </w:rPr>
        <w:t>(Cth)</w:t>
      </w:r>
      <w:r w:rsidRPr="00E7516E">
        <w:rPr>
          <w:rFonts w:cs="Times New Roman"/>
        </w:rPr>
        <w:t xml:space="preserve">; </w:t>
      </w:r>
      <w:r w:rsidRPr="00E7516E">
        <w:rPr>
          <w:rFonts w:cs="Times New Roman"/>
          <w:i/>
        </w:rPr>
        <w:t xml:space="preserve">Police Powers (Surveillance Devices) Act 2006 </w:t>
      </w:r>
      <w:r w:rsidRPr="00E7516E">
        <w:rPr>
          <w:rFonts w:cs="Times New Roman"/>
          <w:iCs/>
        </w:rPr>
        <w:t>(Tas).</w:t>
      </w:r>
    </w:p>
  </w:footnote>
  <w:footnote w:id="1058">
    <w:p w14:paraId="5A59CF82" w14:textId="67BD1E5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D13137">
        <w:rPr>
          <w:rFonts w:cs="Times New Roman"/>
          <w:bCs/>
          <w:i/>
        </w:rPr>
        <w:t xml:space="preserve">Listening Devices Act 1991 </w:t>
      </w:r>
      <w:r w:rsidRPr="00D13137">
        <w:rPr>
          <w:rFonts w:cs="Times New Roman"/>
          <w:bCs/>
          <w:iCs/>
        </w:rPr>
        <w:t>(Tas) s</w:t>
      </w:r>
      <w:r w:rsidRPr="00D13137">
        <w:rPr>
          <w:rFonts w:cs="Times New Roman"/>
        </w:rPr>
        <w:t xml:space="preserve"> 5(3)(b)(i</w:t>
      </w:r>
      <w:r w:rsidRPr="00E7516E">
        <w:rPr>
          <w:rFonts w:cs="Times New Roman"/>
        </w:rPr>
        <w:t xml:space="preserve">). In the Queensland context, in the context of family violence, the following examples are given of when a recording may be to protect a person’s lawful interests (‘current or continuing abuse and exploitation, contravention of a domestic violence order where the person had a ‘genuine concern for their own safety’) and not falling within the exception (‘where a recording was made to </w:t>
      </w:r>
      <w:r w:rsidR="00EA1DEE">
        <w:rPr>
          <w:rFonts w:cs="Times New Roman"/>
        </w:rPr>
        <w:t>“</w:t>
      </w:r>
      <w:r w:rsidRPr="00E7516E">
        <w:rPr>
          <w:rFonts w:cs="Times New Roman"/>
        </w:rPr>
        <w:t>trap</w:t>
      </w:r>
      <w:r w:rsidR="00EA1DEE">
        <w:rPr>
          <w:rFonts w:cs="Times New Roman"/>
        </w:rPr>
        <w:t>”</w:t>
      </w:r>
      <w:r w:rsidRPr="00E7516E">
        <w:rPr>
          <w:rFonts w:cs="Times New Roman"/>
        </w:rPr>
        <w:t xml:space="preserve"> the other party in engaging in particular conduct where the ‘threat of disclosure’ of the recording could be used to ‘persuade’ the other party to take certain action’ or where a victim of crime records a conversation with an alleged offender for the purpose of obtaining admissions; however, this will depend on the particular circumstances, including the proximity in time of the offending to the conversation and the victim’s ability to take other reasonable action, such as approaching the police’</w:t>
      </w:r>
      <w:r w:rsidR="00EA1DEE">
        <w:rPr>
          <w:rFonts w:cs="Times New Roman"/>
        </w:rPr>
        <w:t>:</w:t>
      </w:r>
      <w:r w:rsidRPr="00E7516E">
        <w:rPr>
          <w:rFonts w:cs="Times New Roman"/>
        </w:rPr>
        <w:t xml:space="preserve"> Department of Justice and Attorney-General (Qld), </w:t>
      </w:r>
      <w:r w:rsidRPr="00E7516E">
        <w:rPr>
          <w:rFonts w:cs="Times New Roman"/>
          <w:i/>
          <w:iCs/>
        </w:rPr>
        <w:t>Civil Surveillance Reforms</w:t>
      </w:r>
      <w:r w:rsidRPr="00E7516E">
        <w:rPr>
          <w:rFonts w:cs="Times New Roman"/>
        </w:rPr>
        <w:t xml:space="preserve"> (2023) 29.</w:t>
      </w:r>
    </w:p>
  </w:footnote>
  <w:footnote w:id="1059">
    <w:p w14:paraId="427AA55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serious narcotics offences or an imminent threat of serious violence to persons or of substantial damage to property: </w:t>
      </w:r>
      <w:r w:rsidRPr="00E7516E">
        <w:rPr>
          <w:rFonts w:cs="Times New Roman"/>
          <w:bCs/>
          <w:i/>
        </w:rPr>
        <w:t xml:space="preserve">Listening Devices Act 1991 </w:t>
      </w:r>
      <w:r w:rsidRPr="00E7516E">
        <w:rPr>
          <w:rFonts w:cs="Times New Roman"/>
          <w:bCs/>
          <w:iCs/>
        </w:rPr>
        <w:t xml:space="preserve">(Tas) </w:t>
      </w:r>
      <w:r w:rsidRPr="00E7516E">
        <w:rPr>
          <w:rFonts w:cs="Times New Roman"/>
          <w:bCs/>
          <w:lang w:val="en-GB"/>
        </w:rPr>
        <w:t>s 5(2)(c).</w:t>
      </w:r>
    </w:p>
  </w:footnote>
  <w:footnote w:id="1060">
    <w:p w14:paraId="7626B34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(Tas) s 5(4); see also s 5(7).</w:t>
      </w:r>
    </w:p>
  </w:footnote>
  <w:footnote w:id="1061">
    <w:p w14:paraId="45B8AA7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 xml:space="preserve">(Tas) s 6(2). </w:t>
      </w:r>
    </w:p>
  </w:footnote>
  <w:footnote w:id="1062">
    <w:p w14:paraId="5870AB3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Listening Devices Act 1991 </w:t>
      </w:r>
      <w:r w:rsidRPr="00E7516E">
        <w:rPr>
          <w:rFonts w:cs="Times New Roman"/>
          <w:bCs/>
          <w:iCs/>
        </w:rPr>
        <w:t xml:space="preserve">(Tas) </w:t>
      </w:r>
      <w:r w:rsidRPr="00E7516E">
        <w:rPr>
          <w:rFonts w:cs="Times New Roman"/>
        </w:rPr>
        <w:t xml:space="preserve">s 17(2). </w:t>
      </w:r>
    </w:p>
  </w:footnote>
  <w:footnote w:id="1063">
    <w:p w14:paraId="75652CD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Kirkland v Tippett</w:t>
      </w:r>
      <w:r w:rsidRPr="00E7516E">
        <w:rPr>
          <w:rFonts w:cs="Times New Roman"/>
        </w:rPr>
        <w:t xml:space="preserve"> [2000] TASSC 94 (19 July 2000).</w:t>
      </w:r>
    </w:p>
  </w:footnote>
  <w:footnote w:id="1064">
    <w:p w14:paraId="4576992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lang w:val="en-GB"/>
        </w:rPr>
        <w:t xml:space="preserve">Police Powers (Surveillance Devices) Act 2006 </w:t>
      </w:r>
      <w:r w:rsidRPr="00E7516E">
        <w:rPr>
          <w:rFonts w:cs="Times New Roman"/>
          <w:bCs/>
          <w:iCs/>
          <w:lang w:val="en-GB"/>
        </w:rPr>
        <w:t>(Tas)</w:t>
      </w:r>
      <w:r w:rsidRPr="00E7516E">
        <w:rPr>
          <w:rFonts w:cs="Times New Roman"/>
          <w:bCs/>
          <w:i/>
          <w:lang w:val="en-GB"/>
        </w:rPr>
        <w:t xml:space="preserve"> </w:t>
      </w:r>
      <w:r w:rsidRPr="00E7516E">
        <w:rPr>
          <w:rFonts w:cs="Times New Roman"/>
          <w:bCs/>
          <w:lang w:val="en-GB"/>
        </w:rPr>
        <w:t>s 9.</w:t>
      </w:r>
    </w:p>
  </w:footnote>
  <w:footnote w:id="1065">
    <w:p w14:paraId="71DE9E5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lang w:val="en-GB"/>
        </w:rPr>
        <w:t xml:space="preserve">Police Powers (Surveillance Devices) Act 2006 </w:t>
      </w:r>
      <w:r w:rsidRPr="00E7516E">
        <w:rPr>
          <w:rFonts w:cs="Times New Roman"/>
          <w:bCs/>
          <w:iCs/>
          <w:lang w:val="en-GB"/>
        </w:rPr>
        <w:t>(Tas)</w:t>
      </w:r>
      <w:r w:rsidRPr="00E7516E">
        <w:rPr>
          <w:rFonts w:cs="Times New Roman"/>
          <w:bCs/>
          <w:i/>
          <w:lang w:val="en-GB"/>
        </w:rPr>
        <w:t xml:space="preserve"> </w:t>
      </w:r>
      <w:r w:rsidRPr="00E7516E">
        <w:rPr>
          <w:rFonts w:cs="Times New Roman"/>
          <w:bCs/>
          <w:lang w:val="en-GB"/>
        </w:rPr>
        <w:t>pt 3.</w:t>
      </w:r>
    </w:p>
  </w:footnote>
  <w:footnote w:id="1066">
    <w:p w14:paraId="046E929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Surveillance Legislation Amendments (Personal Police Cameras) Act 2018</w:t>
      </w:r>
      <w:r w:rsidRPr="00E7516E">
        <w:rPr>
          <w:rFonts w:cs="Times New Roman"/>
        </w:rPr>
        <w:t xml:space="preserve"> (Tas).</w:t>
      </w:r>
    </w:p>
  </w:footnote>
  <w:footnote w:id="1067">
    <w:p w14:paraId="20FB13F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lang w:val="en-GB"/>
        </w:rPr>
        <w:t>Police Powers (Surveillance Devices) Act 2006</w:t>
      </w:r>
      <w:r w:rsidRPr="00E7516E">
        <w:rPr>
          <w:rFonts w:cs="Times New Roman"/>
          <w:bCs/>
          <w:iCs/>
          <w:lang w:val="en-GB"/>
        </w:rPr>
        <w:t xml:space="preserve"> (Tas)</w:t>
      </w:r>
      <w:r w:rsidRPr="00E7516E">
        <w:rPr>
          <w:rFonts w:cs="Times New Roman"/>
          <w:bCs/>
          <w:i/>
          <w:lang w:val="en-GB"/>
        </w:rPr>
        <w:t xml:space="preserve"> </w:t>
      </w:r>
      <w:r w:rsidRPr="00E7516E">
        <w:rPr>
          <w:rFonts w:cs="Times New Roman"/>
        </w:rPr>
        <w:t>pt 5.</w:t>
      </w:r>
    </w:p>
  </w:footnote>
  <w:footnote w:id="1068">
    <w:p w14:paraId="5B397B1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lang w:val="en-GB"/>
        </w:rPr>
        <w:t xml:space="preserve">Police Powers (Surveillance Devices) Act 2006 </w:t>
      </w:r>
      <w:r w:rsidRPr="00E7516E">
        <w:rPr>
          <w:rFonts w:cs="Times New Roman"/>
          <w:bCs/>
          <w:iCs/>
          <w:lang w:val="en-GB"/>
        </w:rPr>
        <w:t>(Tas)</w:t>
      </w:r>
      <w:r w:rsidRPr="00E7516E">
        <w:rPr>
          <w:rFonts w:cs="Times New Roman"/>
          <w:bCs/>
          <w:i/>
          <w:lang w:val="en-GB"/>
        </w:rPr>
        <w:t xml:space="preserve"> </w:t>
      </w:r>
      <w:r w:rsidRPr="00E7516E">
        <w:rPr>
          <w:rFonts w:cs="Times New Roman"/>
        </w:rPr>
        <w:t>ss 32–3.</w:t>
      </w:r>
    </w:p>
  </w:footnote>
  <w:footnote w:id="1069">
    <w:p w14:paraId="4733059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Police Offences Act 1935 </w:t>
      </w:r>
      <w:r w:rsidRPr="00E7516E">
        <w:rPr>
          <w:rFonts w:cs="Times New Roman"/>
          <w:bCs/>
          <w:iCs/>
        </w:rPr>
        <w:t>(Tas) s 13A(1).</w:t>
      </w:r>
    </w:p>
  </w:footnote>
  <w:footnote w:id="1070">
    <w:p w14:paraId="0B69E6C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Hickman v PWJ</w:t>
      </w:r>
      <w:r w:rsidRPr="00E7516E">
        <w:rPr>
          <w:rFonts w:cs="Times New Roman"/>
        </w:rPr>
        <w:t xml:space="preserve"> [2015] TASSC 55 (20 November 2015). This is a recent case in which the respondent was found guilty of the offence of observation and recording, contrary to </w:t>
      </w:r>
      <w:r w:rsidRPr="00E7516E">
        <w:rPr>
          <w:rFonts w:cs="Times New Roman"/>
          <w:bCs/>
          <w:i/>
        </w:rPr>
        <w:t>Police Offences Act 1935</w:t>
      </w:r>
      <w:r w:rsidRPr="00E7516E">
        <w:rPr>
          <w:rFonts w:cs="Times New Roman"/>
          <w:bCs/>
          <w:iCs/>
        </w:rPr>
        <w:t xml:space="preserve"> (Tas)</w:t>
      </w:r>
      <w:r w:rsidRPr="00E7516E">
        <w:rPr>
          <w:rFonts w:cs="Times New Roman"/>
        </w:rPr>
        <w:t xml:space="preserve"> s </w:t>
      </w:r>
      <w:r w:rsidRPr="00E7516E">
        <w:rPr>
          <w:rFonts w:cs="Times New Roman"/>
          <w:bCs/>
          <w:iCs/>
        </w:rPr>
        <w:t>13A(1).</w:t>
      </w:r>
    </w:p>
  </w:footnote>
  <w:footnote w:id="1071">
    <w:p w14:paraId="78C6CB8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Police Offences Act 1935 </w:t>
      </w:r>
      <w:r w:rsidRPr="00E7516E">
        <w:rPr>
          <w:rFonts w:cs="Times New Roman"/>
          <w:bCs/>
          <w:iCs/>
        </w:rPr>
        <w:t xml:space="preserve">(Tas) s 13C. </w:t>
      </w:r>
    </w:p>
  </w:footnote>
  <w:footnote w:id="1072">
    <w:p w14:paraId="7D7B3AE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Police Offences Act 1935 </w:t>
      </w:r>
      <w:r w:rsidRPr="00E7516E">
        <w:rPr>
          <w:rFonts w:cs="Times New Roman"/>
          <w:bCs/>
          <w:iCs/>
        </w:rPr>
        <w:t xml:space="preserve">(Tas) </w:t>
      </w:r>
      <w:r w:rsidRPr="00E7516E">
        <w:rPr>
          <w:rFonts w:cs="Times New Roman"/>
        </w:rPr>
        <w:t>s 13B.</w:t>
      </w:r>
    </w:p>
  </w:footnote>
  <w:footnote w:id="1073">
    <w:p w14:paraId="7B8FC51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Police Offences Act 1935 </w:t>
      </w:r>
      <w:r w:rsidRPr="00E7516E">
        <w:rPr>
          <w:rFonts w:cs="Times New Roman"/>
          <w:bCs/>
          <w:iCs/>
        </w:rPr>
        <w:t xml:space="preserve">(Tas) </w:t>
      </w:r>
      <w:r w:rsidRPr="00E7516E">
        <w:rPr>
          <w:rFonts w:cs="Times New Roman"/>
        </w:rPr>
        <w:t xml:space="preserve">s 13A(2). </w:t>
      </w:r>
    </w:p>
  </w:footnote>
  <w:footnote w:id="1074">
    <w:p w14:paraId="558942C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Police Offences Act 1935 </w:t>
      </w:r>
      <w:r w:rsidRPr="00E7516E">
        <w:rPr>
          <w:rFonts w:cs="Times New Roman"/>
          <w:bCs/>
          <w:iCs/>
        </w:rPr>
        <w:t xml:space="preserve">(Tas) </w:t>
      </w:r>
      <w:r w:rsidRPr="00E7516E">
        <w:rPr>
          <w:rFonts w:cs="Times New Roman"/>
        </w:rPr>
        <w:t xml:space="preserve">s 13D. </w:t>
      </w:r>
    </w:p>
  </w:footnote>
  <w:footnote w:id="1075">
    <w:p w14:paraId="0DD4698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rPr>
        <w:t>Civil Aviation Safety Regulations 1998</w:t>
      </w:r>
      <w:r w:rsidRPr="00E7516E">
        <w:rPr>
          <w:rFonts w:cs="Times New Roman"/>
        </w:rPr>
        <w:t xml:space="preserve"> (Cth) ss 101.025, 101.055.</w:t>
      </w:r>
    </w:p>
  </w:footnote>
  <w:footnote w:id="1076">
    <w:p w14:paraId="28E1E6BE" w14:textId="498EC25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summary provided at Department of Infrastructure, Transport, Regional Development, Communications and the Arts, Drones: Privacy Policy &lt;</w:t>
      </w:r>
      <w:hyperlink r:id="rId35" w:history="1">
        <w:r w:rsidRPr="00E7516E">
          <w:rPr>
            <w:rStyle w:val="Hyperlink"/>
            <w:rFonts w:cs="Times New Roman"/>
          </w:rPr>
          <w:t>https://www.drones.gov.au/policies-and-programs/policies/privacy-policy</w:t>
        </w:r>
      </w:hyperlink>
      <w:r w:rsidRPr="00E7516E">
        <w:rPr>
          <w:rFonts w:cs="Times New Roman"/>
        </w:rPr>
        <w:t xml:space="preserve">&gt;. It is noted that the </w:t>
      </w:r>
      <w:r w:rsidRPr="00E7516E">
        <w:rPr>
          <w:rFonts w:cs="Times New Roman"/>
          <w:i/>
          <w:iCs/>
        </w:rPr>
        <w:t xml:space="preserve">Surveillance Devices Act 2004 </w:t>
      </w:r>
      <w:r w:rsidRPr="00E7516E">
        <w:rPr>
          <w:rFonts w:cs="Times New Roman"/>
        </w:rPr>
        <w:t xml:space="preserve">(Cth) applies to the use of surveillance devices by agencies, including </w:t>
      </w:r>
      <w:r w:rsidR="00C930A3">
        <w:rPr>
          <w:rFonts w:cs="Times New Roman"/>
        </w:rPr>
        <w:t>S</w:t>
      </w:r>
      <w:r w:rsidRPr="00E7516E">
        <w:rPr>
          <w:rFonts w:cs="Times New Roman"/>
        </w:rPr>
        <w:t xml:space="preserve">tate and </w:t>
      </w:r>
      <w:r w:rsidR="00C930A3">
        <w:rPr>
          <w:rFonts w:cs="Times New Roman"/>
        </w:rPr>
        <w:t>T</w:t>
      </w:r>
      <w:r w:rsidRPr="00E7516E">
        <w:rPr>
          <w:rFonts w:cs="Times New Roman"/>
        </w:rPr>
        <w:t>erritory law enforcement agencies when they are using surveillance devices under Commonwealth Laws.</w:t>
      </w:r>
    </w:p>
  </w:footnote>
  <w:footnote w:id="1077">
    <w:p w14:paraId="7D5DDA6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in Department of Justice and Attorney-General (Qld), </w:t>
      </w:r>
      <w:r w:rsidRPr="00E7516E">
        <w:rPr>
          <w:rFonts w:cs="Times New Roman"/>
          <w:i/>
          <w:iCs/>
        </w:rPr>
        <w:t>Civil Surveillance Reforms</w:t>
      </w:r>
      <w:r w:rsidRPr="00E7516E">
        <w:rPr>
          <w:rFonts w:cs="Times New Roman"/>
        </w:rPr>
        <w:t xml:space="preserve"> (2023) 9–11.</w:t>
      </w:r>
    </w:p>
  </w:footnote>
  <w:footnote w:id="1078">
    <w:p w14:paraId="14911B1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Workplace Surveillance Act 2005 </w:t>
      </w:r>
      <w:r w:rsidRPr="00E7516E">
        <w:rPr>
          <w:rFonts w:cs="Times New Roman"/>
        </w:rPr>
        <w:t xml:space="preserve">(NSW); </w:t>
      </w:r>
      <w:r w:rsidRPr="00E7516E">
        <w:rPr>
          <w:rFonts w:cs="Times New Roman"/>
          <w:i/>
          <w:iCs/>
        </w:rPr>
        <w:t xml:space="preserve">Surveillance Devices Act 1999 </w:t>
      </w:r>
      <w:r w:rsidRPr="00E7516E">
        <w:rPr>
          <w:rFonts w:cs="Times New Roman"/>
        </w:rPr>
        <w:t xml:space="preserve">(Vic) pt 2A; </w:t>
      </w:r>
      <w:r w:rsidRPr="00E7516E">
        <w:rPr>
          <w:rFonts w:cs="Times New Roman"/>
          <w:i/>
          <w:iCs/>
        </w:rPr>
        <w:t>Workplace Privacy Act 2011</w:t>
      </w:r>
      <w:r w:rsidRPr="00E7516E">
        <w:rPr>
          <w:rFonts w:cs="Times New Roman"/>
        </w:rPr>
        <w:t xml:space="preserve"> (ACT).</w:t>
      </w:r>
    </w:p>
  </w:footnote>
  <w:footnote w:id="1079">
    <w:p w14:paraId="1DC8B0C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Select Committee on the Impact of Technological and Other Change on the Future of Work and Workers in New South Wales, </w:t>
      </w:r>
      <w:r w:rsidRPr="00E7516E">
        <w:rPr>
          <w:rFonts w:cs="Times New Roman"/>
          <w:i/>
          <w:iCs/>
        </w:rPr>
        <w:t>Impact of Technological and Other Change on the Future of Work and Workers in New South Wales: Final Report – Workplace Surveillance and Automation</w:t>
      </w:r>
      <w:r w:rsidRPr="00E7516E">
        <w:rPr>
          <w:rFonts w:cs="Times New Roman"/>
        </w:rPr>
        <w:t>, Report 22 (November 2022) 11.</w:t>
      </w:r>
    </w:p>
  </w:footnote>
  <w:footnote w:id="1080">
    <w:p w14:paraId="3733567B" w14:textId="3F50AFA1"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00FB6E20" w:rsidRPr="00EA22F8">
        <w:rPr>
          <w:rFonts w:cs="Times New Roman"/>
        </w:rPr>
        <w:t xml:space="preserve">Ibid </w:t>
      </w:r>
      <w:r w:rsidRPr="00EA22F8">
        <w:rPr>
          <w:rFonts w:cs="Times New Roman"/>
        </w:rPr>
        <w:t>Recommendations 2, 5.</w:t>
      </w:r>
    </w:p>
  </w:footnote>
  <w:footnote w:id="1081">
    <w:p w14:paraId="4789746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Department of Justice and Attorney-General (Qld), </w:t>
      </w:r>
      <w:r w:rsidRPr="00E7516E">
        <w:rPr>
          <w:rFonts w:cs="Times New Roman"/>
          <w:i/>
          <w:iCs/>
        </w:rPr>
        <w:t>Civil Surveillance Reforms</w:t>
      </w:r>
      <w:r w:rsidRPr="00E7516E">
        <w:rPr>
          <w:rFonts w:cs="Times New Roman"/>
        </w:rPr>
        <w:t xml:space="preserve"> 44–45.</w:t>
      </w:r>
    </w:p>
  </w:footnote>
  <w:footnote w:id="1082">
    <w:p w14:paraId="7F42F3A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w:t>
      </w:r>
    </w:p>
  </w:footnote>
  <w:footnote w:id="1083">
    <w:p w14:paraId="468A008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Queensland Law Reform Commission, </w:t>
      </w:r>
      <w:r w:rsidRPr="00E7516E">
        <w:rPr>
          <w:rFonts w:cs="Times New Roman"/>
          <w:i/>
          <w:iCs/>
        </w:rPr>
        <w:t>Review of Queensland’s law relating to Civil Surveillance and the Protection of Privacy in the Context of Current and Emerging Technology</w:t>
      </w:r>
      <w:r w:rsidRPr="00E7516E">
        <w:rPr>
          <w:rFonts w:cs="Times New Roman"/>
        </w:rPr>
        <w:t>, Report 77 (2020).</w:t>
      </w:r>
    </w:p>
  </w:footnote>
  <w:footnote w:id="1084">
    <w:p w14:paraId="3743BB3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Department of Justice and Attorney-General (Qld), </w:t>
      </w:r>
      <w:r w:rsidRPr="00E7516E">
        <w:rPr>
          <w:rFonts w:cs="Times New Roman"/>
          <w:i/>
          <w:iCs/>
        </w:rPr>
        <w:t xml:space="preserve">Civil Surveillance Reforms </w:t>
      </w:r>
      <w:r w:rsidRPr="00E7516E">
        <w:rPr>
          <w:rFonts w:cs="Times New Roman"/>
        </w:rPr>
        <w:t xml:space="preserve">8. See also Women’s Safety and Justice Taskforce, </w:t>
      </w:r>
      <w:r w:rsidRPr="00E7516E">
        <w:rPr>
          <w:rFonts w:cs="Times New Roman"/>
          <w:i/>
          <w:iCs/>
        </w:rPr>
        <w:t>Hear Her Voice: Report One – Addressing Coercive Control and Domestic and Family Violence in Queensland</w:t>
      </w:r>
      <w:r w:rsidRPr="00E7516E">
        <w:rPr>
          <w:rFonts w:cs="Times New Roman"/>
        </w:rPr>
        <w:t xml:space="preserve"> (2022).</w:t>
      </w:r>
    </w:p>
  </w:footnote>
  <w:footnote w:id="1085">
    <w:p w14:paraId="3C7254A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National Domestic and Family Violence Bench Book: Following, Harassing and Monitoring</w:t>
      </w:r>
      <w:r w:rsidRPr="00E7516E">
        <w:rPr>
          <w:rFonts w:cs="Times New Roman"/>
        </w:rPr>
        <w:t xml:space="preserve"> (2023) &lt;https://dfvbenchbook.aija.org.au/understanding-domestic-and-family-violence/following-harassing-and-monitoring/&gt;.</w:t>
      </w:r>
    </w:p>
  </w:footnote>
  <w:footnote w:id="1086">
    <w:p w14:paraId="09271198" w14:textId="3111F8CF"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at</w:t>
      </w:r>
      <w:r w:rsidR="00FA134B">
        <w:rPr>
          <w:rFonts w:cs="Times New Roman"/>
        </w:rPr>
        <w:t xml:space="preserve"> [</w:t>
      </w:r>
      <w:r w:rsidR="00ED1A1D">
        <w:rPr>
          <w:rFonts w:cs="Times New Roman"/>
        </w:rPr>
        <w:fldChar w:fldCharType="begin"/>
      </w:r>
      <w:r w:rsidR="00ED1A1D">
        <w:rPr>
          <w:rFonts w:cs="Times New Roman"/>
        </w:rPr>
        <w:instrText xml:space="preserve"> REF _Ref165025425 \r \h </w:instrText>
      </w:r>
      <w:r w:rsidR="00ED1A1D">
        <w:rPr>
          <w:rFonts w:cs="Times New Roman"/>
        </w:rPr>
      </w:r>
      <w:r w:rsidR="00ED1A1D">
        <w:rPr>
          <w:rFonts w:cs="Times New Roman"/>
        </w:rPr>
        <w:fldChar w:fldCharType="separate"/>
      </w:r>
      <w:r w:rsidR="00462C30">
        <w:rPr>
          <w:rFonts w:cs="Times New Roman"/>
          <w:cs/>
        </w:rPr>
        <w:t>‎</w:t>
      </w:r>
      <w:r w:rsidR="00462C30">
        <w:rPr>
          <w:rFonts w:cs="Times New Roman"/>
        </w:rPr>
        <w:t>11.4</w:t>
      </w:r>
      <w:r w:rsidR="00ED1A1D">
        <w:rPr>
          <w:rFonts w:cs="Times New Roman"/>
        </w:rPr>
        <w:fldChar w:fldCharType="end"/>
      </w:r>
      <w:r w:rsidR="00ED1A1D">
        <w:rPr>
          <w:rFonts w:cs="Times New Roman"/>
        </w:rPr>
        <w:t>]</w:t>
      </w:r>
      <w:r w:rsidRPr="00E7516E">
        <w:rPr>
          <w:rFonts w:cs="Times New Roman"/>
        </w:rPr>
        <w:t>.</w:t>
      </w:r>
    </w:p>
  </w:footnote>
  <w:footnote w:id="1087">
    <w:p w14:paraId="3ADAB628" w14:textId="514BE0C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at</w:t>
      </w:r>
      <w:r w:rsidR="00ED1A1D">
        <w:rPr>
          <w:rFonts w:cs="Times New Roman"/>
        </w:rPr>
        <w:t xml:space="preserve"> [</w:t>
      </w:r>
      <w:r w:rsidR="00F94541">
        <w:rPr>
          <w:rFonts w:cs="Times New Roman"/>
        </w:rPr>
        <w:fldChar w:fldCharType="begin"/>
      </w:r>
      <w:r w:rsidR="00F94541">
        <w:rPr>
          <w:rFonts w:cs="Times New Roman"/>
        </w:rPr>
        <w:instrText xml:space="preserve"> REF _Ref165025660 \r \h </w:instrText>
      </w:r>
      <w:r w:rsidR="00F94541">
        <w:rPr>
          <w:rFonts w:cs="Times New Roman"/>
        </w:rPr>
      </w:r>
      <w:r w:rsidR="00F94541">
        <w:rPr>
          <w:rFonts w:cs="Times New Roman"/>
        </w:rPr>
        <w:fldChar w:fldCharType="separate"/>
      </w:r>
      <w:r w:rsidR="00462C30">
        <w:rPr>
          <w:rFonts w:cs="Times New Roman"/>
          <w:cs/>
        </w:rPr>
        <w:t>‎</w:t>
      </w:r>
      <w:r w:rsidR="00462C30">
        <w:rPr>
          <w:rFonts w:cs="Times New Roman"/>
        </w:rPr>
        <w:t>11.4.2</w:t>
      </w:r>
      <w:r w:rsidR="00F94541">
        <w:rPr>
          <w:rFonts w:cs="Times New Roman"/>
        </w:rPr>
        <w:fldChar w:fldCharType="end"/>
      </w:r>
      <w:r w:rsidR="00F94541">
        <w:rPr>
          <w:rFonts w:cs="Times New Roman"/>
        </w:rPr>
        <w:t>]</w:t>
      </w:r>
      <w:r w:rsidRPr="00E7516E">
        <w:rPr>
          <w:rFonts w:cs="Times New Roman"/>
        </w:rPr>
        <w:t>.</w:t>
      </w:r>
    </w:p>
  </w:footnote>
  <w:footnote w:id="1088">
    <w:p w14:paraId="738AF06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Australian Government, </w:t>
      </w:r>
      <w:r w:rsidRPr="00E7516E">
        <w:rPr>
          <w:rFonts w:cs="Times New Roman"/>
          <w:i/>
          <w:iCs/>
        </w:rPr>
        <w:t xml:space="preserve">Government Response to the Privacy Act Review Report </w:t>
      </w:r>
      <w:r w:rsidRPr="00E7516E">
        <w:rPr>
          <w:rFonts w:cs="Times New Roman"/>
        </w:rPr>
        <w:t>(2023) 19.</w:t>
      </w:r>
    </w:p>
  </w:footnote>
  <w:footnote w:id="1089">
    <w:p w14:paraId="34347688" w14:textId="5218D43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0F0C28">
        <w:rPr>
          <w:rFonts w:cs="Times New Roman"/>
        </w:rPr>
        <w:t xml:space="preserve">See </w:t>
      </w:r>
      <w:r w:rsidRPr="00EA22F8">
        <w:rPr>
          <w:rFonts w:cs="Times New Roman"/>
        </w:rPr>
        <w:t xml:space="preserve">discussion at </w:t>
      </w:r>
      <w:r w:rsidR="2012938D" w:rsidRPr="00EA22F8">
        <w:rPr>
          <w:rFonts w:cs="Times New Roman"/>
        </w:rPr>
        <w:t>[4.8].</w:t>
      </w:r>
    </w:p>
  </w:footnote>
  <w:footnote w:id="1090">
    <w:p w14:paraId="5BB4095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Department of Infrastructure, </w:t>
      </w:r>
      <w:r w:rsidRPr="00E7516E">
        <w:rPr>
          <w:rFonts w:cs="Times New Roman"/>
          <w:i/>
          <w:iCs/>
        </w:rPr>
        <w:t xml:space="preserve">Don’t Pry When You Fly: Privacy Considerations for Drone Use </w:t>
      </w:r>
      <w:r w:rsidRPr="00E7516E">
        <w:rPr>
          <w:rFonts w:cs="Times New Roman"/>
        </w:rPr>
        <w:t>(Commonwealth of Australia, 2023) 6.</w:t>
      </w:r>
    </w:p>
  </w:footnote>
  <w:footnote w:id="1091">
    <w:p w14:paraId="24D7F2FA"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5.</w:t>
      </w:r>
    </w:p>
  </w:footnote>
  <w:footnote w:id="1092">
    <w:p w14:paraId="0B91318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Attorney-General’s Department, </w:t>
      </w:r>
      <w:r w:rsidRPr="00E7516E">
        <w:rPr>
          <w:rFonts w:cs="Times New Roman"/>
          <w:i/>
          <w:iCs/>
        </w:rPr>
        <w:t>Reform of Australia’s Electronic Surveillance Framework</w:t>
      </w:r>
      <w:r w:rsidRPr="00E7516E">
        <w:rPr>
          <w:rFonts w:cs="Times New Roman"/>
        </w:rPr>
        <w:t xml:space="preserve"> &lt;</w:t>
      </w:r>
      <w:hyperlink r:id="rId36" w:history="1">
        <w:r w:rsidRPr="00E7516E">
          <w:rPr>
            <w:rStyle w:val="Hyperlink"/>
            <w:rFonts w:cs="Times New Roman"/>
          </w:rPr>
          <w:t>https://www.ag.gov.au/crime/telecommunications-interception-and-surveillance/reform-australias-electronic-surveillance-framework</w:t>
        </w:r>
      </w:hyperlink>
      <w:r w:rsidRPr="00E7516E">
        <w:rPr>
          <w:rFonts w:cs="Times New Roman"/>
        </w:rPr>
        <w:t xml:space="preserve">&gt;; D Richardson, </w:t>
      </w:r>
      <w:r w:rsidRPr="00E7516E">
        <w:rPr>
          <w:rFonts w:cs="Times New Roman"/>
          <w:i/>
          <w:iCs/>
        </w:rPr>
        <w:t xml:space="preserve">The Comprehensive Review of the Legal Framework of the National Intelligence Community </w:t>
      </w:r>
      <w:r w:rsidRPr="00E7516E">
        <w:rPr>
          <w:rFonts w:cs="Times New Roman"/>
        </w:rPr>
        <w:t>(2019) &lt;</w:t>
      </w:r>
      <w:hyperlink r:id="rId37">
        <w:r w:rsidRPr="00E7516E">
          <w:rPr>
            <w:rStyle w:val="Hyperlink"/>
            <w:rFonts w:cs="Times New Roman"/>
          </w:rPr>
          <w:t>https://www.ag.gov.au/national-security/consultations/comprehensive-review-legal-framework-governing-national-intelligence-community</w:t>
        </w:r>
      </w:hyperlink>
      <w:r w:rsidRPr="00E7516E">
        <w:rPr>
          <w:rStyle w:val="Hyperlink"/>
          <w:rFonts w:cs="Times New Roman"/>
        </w:rPr>
        <w:t>&gt;.</w:t>
      </w:r>
    </w:p>
  </w:footnote>
  <w:footnote w:id="1093">
    <w:p w14:paraId="5C2586D8" w14:textId="4985724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2416B">
        <w:rPr>
          <w:rFonts w:cs="Times New Roman"/>
        </w:rPr>
        <w:t xml:space="preserve">Issues Paper </w:t>
      </w:r>
      <w:r w:rsidRPr="00E7516E">
        <w:rPr>
          <w:rFonts w:cs="Times New Roman"/>
        </w:rPr>
        <w:t>Part 4, Question 4.1.</w:t>
      </w:r>
    </w:p>
  </w:footnote>
  <w:footnote w:id="1094">
    <w:p w14:paraId="26B2E9E8" w14:textId="1D2EFFC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2416B">
        <w:rPr>
          <w:rFonts w:cs="Times New Roman"/>
        </w:rPr>
        <w:t xml:space="preserve">Ibid </w:t>
      </w:r>
      <w:r w:rsidRPr="00E7516E">
        <w:rPr>
          <w:rFonts w:cs="Times New Roman"/>
        </w:rPr>
        <w:t>Part 4, Question 4.2.</w:t>
      </w:r>
    </w:p>
  </w:footnote>
  <w:footnote w:id="1095">
    <w:p w14:paraId="38C4302A" w14:textId="63FBB09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2416B">
        <w:rPr>
          <w:rFonts w:cs="Times New Roman"/>
        </w:rPr>
        <w:t xml:space="preserve">Ibid </w:t>
      </w:r>
      <w:r w:rsidRPr="00E7516E">
        <w:rPr>
          <w:rFonts w:cs="Times New Roman"/>
        </w:rPr>
        <w:t>Part 4, Question 4.3.</w:t>
      </w:r>
    </w:p>
  </w:footnote>
  <w:footnote w:id="1096">
    <w:p w14:paraId="59788EA7" w14:textId="57CB002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82416B">
        <w:rPr>
          <w:rFonts w:cs="Times New Roman"/>
        </w:rPr>
        <w:t xml:space="preserve">Ibid </w:t>
      </w:r>
      <w:r w:rsidRPr="00E7516E">
        <w:rPr>
          <w:rFonts w:cs="Times New Roman"/>
        </w:rPr>
        <w:t>Part 4, Question 4.4.</w:t>
      </w:r>
    </w:p>
  </w:footnote>
  <w:footnote w:id="1097">
    <w:p w14:paraId="01057CE1" w14:textId="1D9121F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Ombudsman Act 1978 </w:t>
      </w:r>
      <w:r w:rsidRPr="00E7516E">
        <w:rPr>
          <w:rFonts w:cs="Times New Roman"/>
        </w:rPr>
        <w:t>(Tas) Div 3.</w:t>
      </w:r>
    </w:p>
  </w:footnote>
  <w:footnote w:id="1098">
    <w:p w14:paraId="4A947FE8" w14:textId="63CFA84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TasC</w:t>
      </w:r>
      <w:r w:rsidR="0082416B">
        <w:rPr>
          <w:rFonts w:cs="Times New Roman"/>
        </w:rPr>
        <w:t>OSS</w:t>
      </w:r>
      <w:r w:rsidRPr="00E7516E">
        <w:rPr>
          <w:rFonts w:cs="Times New Roman"/>
        </w:rPr>
        <w:t xml:space="preserve"> referred to concerns about potential privacy breaches through the use of listening devices and surveillance equipment by Tasmania Police at Risdon Prison.</w:t>
      </w:r>
    </w:p>
  </w:footnote>
  <w:footnote w:id="1099">
    <w:p w14:paraId="3DFBBBA7" w14:textId="3076F56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1771FE">
        <w:rPr>
          <w:rFonts w:cs="Times New Roman"/>
        </w:rPr>
        <w:t>Submission 8 (</w:t>
      </w:r>
      <w:r w:rsidRPr="00E7516E">
        <w:rPr>
          <w:rFonts w:cs="Times New Roman"/>
        </w:rPr>
        <w:t>Meg Webb MLC</w:t>
      </w:r>
      <w:r w:rsidR="001771FE">
        <w:rPr>
          <w:rFonts w:cs="Times New Roman"/>
        </w:rPr>
        <w:t>)</w:t>
      </w:r>
      <w:r w:rsidRPr="00E7516E">
        <w:rPr>
          <w:rFonts w:cs="Times New Roman"/>
        </w:rPr>
        <w:t>; Submission 3</w:t>
      </w:r>
      <w:r w:rsidR="001771FE">
        <w:rPr>
          <w:rFonts w:cs="Times New Roman"/>
        </w:rPr>
        <w:t xml:space="preserve"> (Anonymous)</w:t>
      </w:r>
      <w:r w:rsidRPr="00E7516E">
        <w:rPr>
          <w:rFonts w:cs="Times New Roman"/>
        </w:rPr>
        <w:t>.</w:t>
      </w:r>
    </w:p>
  </w:footnote>
  <w:footnote w:id="1100">
    <w:p w14:paraId="7D5AC8D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Listening Devices Act 1991 </w:t>
      </w:r>
      <w:r w:rsidRPr="00E7516E">
        <w:rPr>
          <w:rFonts w:cs="Times New Roman"/>
        </w:rPr>
        <w:t>(Tas) ss 8 and 19.</w:t>
      </w:r>
    </w:p>
  </w:footnote>
  <w:footnote w:id="1101">
    <w:p w14:paraId="1ED7AB6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Listening Devices Act 1991 </w:t>
      </w:r>
      <w:r w:rsidRPr="00E7516E">
        <w:rPr>
          <w:rFonts w:cs="Times New Roman"/>
        </w:rPr>
        <w:t>(Tas) s 22.</w:t>
      </w:r>
    </w:p>
  </w:footnote>
  <w:footnote w:id="1102">
    <w:p w14:paraId="52D7A3C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Police Powers (Surveillance Devices) Act 2006</w:t>
      </w:r>
      <w:r w:rsidRPr="00E7516E">
        <w:rPr>
          <w:rFonts w:cs="Times New Roman"/>
        </w:rPr>
        <w:t xml:space="preserve"> (Tas) s 29</w:t>
      </w:r>
    </w:p>
  </w:footnote>
  <w:footnote w:id="1103">
    <w:p w14:paraId="35B1D6F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Police Powers (Surveillance Devices) Act 2006</w:t>
      </w:r>
      <w:r w:rsidRPr="00E7516E">
        <w:rPr>
          <w:rFonts w:cs="Times New Roman"/>
        </w:rPr>
        <w:t xml:space="preserve"> (Tas) s 44.</w:t>
      </w:r>
    </w:p>
  </w:footnote>
  <w:footnote w:id="1104">
    <w:p w14:paraId="02908FE2" w14:textId="20FF280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iCs/>
        </w:rPr>
        <w:t xml:space="preserve">Tasmania v Thompson </w:t>
      </w:r>
      <w:r w:rsidRPr="00E7516E">
        <w:rPr>
          <w:rFonts w:cs="Times New Roman"/>
        </w:rPr>
        <w:t xml:space="preserve">[2022] TASSC 53, </w:t>
      </w:r>
      <w:r w:rsidRPr="00E7516E">
        <w:rPr>
          <w:rFonts w:cs="Times New Roman"/>
          <w:i/>
          <w:iCs/>
        </w:rPr>
        <w:t xml:space="preserve">Tasmania v Thompson (No 2) </w:t>
      </w:r>
      <w:r w:rsidRPr="00E7516E">
        <w:rPr>
          <w:rFonts w:cs="Times New Roman"/>
        </w:rPr>
        <w:t xml:space="preserve">[2022] TASSC 55. The use of police surveillance in this case is the subject of an independent review: see Tasmanian Government, </w:t>
      </w:r>
      <w:r w:rsidRPr="00E7516E">
        <w:rPr>
          <w:rFonts w:cs="Times New Roman"/>
          <w:i/>
          <w:iCs/>
        </w:rPr>
        <w:t xml:space="preserve">Review of the Use of Surveillance Devices in Prisons: Terms of Reference </w:t>
      </w:r>
      <w:r w:rsidRPr="00E7516E">
        <w:rPr>
          <w:rFonts w:cs="Times New Roman"/>
        </w:rPr>
        <w:t>(2022) &lt;</w:t>
      </w:r>
      <w:hyperlink r:id="rId38" w:history="1">
        <w:r w:rsidRPr="00E7516E">
          <w:rPr>
            <w:rStyle w:val="Hyperlink"/>
            <w:rFonts w:cs="Times New Roman"/>
          </w:rPr>
          <w:t>https://www.police.tas.gov.au/uploads/Review-of-Surveillance-Devicesin-Prisons-Terms-of-Reference-November-2022.pdf</w:t>
        </w:r>
      </w:hyperlink>
      <w:r w:rsidRPr="00E7516E">
        <w:rPr>
          <w:rFonts w:cs="Times New Roman"/>
        </w:rPr>
        <w:t>&gt;</w:t>
      </w:r>
      <w:r w:rsidR="007F21CF">
        <w:rPr>
          <w:rFonts w:cs="Times New Roman"/>
        </w:rPr>
        <w:t>; s</w:t>
      </w:r>
      <w:r w:rsidRPr="00EA22F8">
        <w:rPr>
          <w:rFonts w:cs="Times New Roman"/>
        </w:rPr>
        <w:t xml:space="preserve">ee also </w:t>
      </w:r>
      <w:r w:rsidR="007F21CF" w:rsidRPr="00EA22F8">
        <w:rPr>
          <w:rFonts w:cs="Times New Roman"/>
        </w:rPr>
        <w:fldChar w:fldCharType="begin"/>
      </w:r>
      <w:r w:rsidR="007F21CF" w:rsidRPr="00EA22F8">
        <w:rPr>
          <w:rFonts w:cs="Times New Roman"/>
        </w:rPr>
        <w:instrText xml:space="preserve"> REF _Ref165026235 \r \h </w:instrText>
      </w:r>
      <w:r w:rsidR="007F21CF">
        <w:rPr>
          <w:rFonts w:cs="Times New Roman"/>
        </w:rPr>
        <w:instrText xml:space="preserve"> \* MERGEFORMAT </w:instrText>
      </w:r>
      <w:r w:rsidR="007F21CF" w:rsidRPr="00EA22F8">
        <w:rPr>
          <w:rFonts w:cs="Times New Roman"/>
        </w:rPr>
      </w:r>
      <w:r w:rsidR="007F21CF" w:rsidRPr="00EA22F8">
        <w:rPr>
          <w:rFonts w:cs="Times New Roman"/>
        </w:rPr>
        <w:fldChar w:fldCharType="separate"/>
      </w:r>
      <w:r w:rsidR="00462C30">
        <w:rPr>
          <w:rFonts w:cs="Times New Roman"/>
          <w:cs/>
        </w:rPr>
        <w:t>‎</w:t>
      </w:r>
      <w:r w:rsidR="005611F5">
        <w:rPr>
          <w:rFonts w:cs="Times New Roman"/>
        </w:rPr>
        <w:t>[</w:t>
      </w:r>
      <w:r w:rsidR="00462C30">
        <w:rPr>
          <w:rFonts w:cs="Times New Roman"/>
        </w:rPr>
        <w:t>10.5</w:t>
      </w:r>
      <w:r w:rsidR="007F21CF" w:rsidRPr="00EA22F8">
        <w:rPr>
          <w:rFonts w:cs="Times New Roman"/>
        </w:rPr>
        <w:fldChar w:fldCharType="end"/>
      </w:r>
      <w:r w:rsidR="007F21CF" w:rsidRPr="00EA22F8">
        <w:rPr>
          <w:rFonts w:cs="Times New Roman"/>
        </w:rPr>
        <w:t>]</w:t>
      </w:r>
      <w:r w:rsidR="007F21CF">
        <w:rPr>
          <w:rFonts w:cs="Times New Roman"/>
        </w:rPr>
        <w:t>.</w:t>
      </w:r>
    </w:p>
  </w:footnote>
  <w:footnote w:id="1105">
    <w:p w14:paraId="7EEC95E2" w14:textId="26D8FAD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lang w:val="en-GB"/>
        </w:rPr>
        <w:t>See a current governmental review of laws applicable to stalking, harassment</w:t>
      </w:r>
      <w:r w:rsidR="00A51DF3">
        <w:rPr>
          <w:rFonts w:cs="Times New Roman"/>
          <w:lang w:val="en-GB"/>
        </w:rPr>
        <w:t>,</w:t>
      </w:r>
      <w:r w:rsidRPr="00E7516E">
        <w:rPr>
          <w:rFonts w:cs="Times New Roman"/>
          <w:lang w:val="en-GB"/>
        </w:rPr>
        <w:t xml:space="preserve"> and similar conduct, conducted by the Victorian Law Reform Commission: Victorian Law Reform Commission, </w:t>
      </w:r>
      <w:r w:rsidRPr="00E7516E">
        <w:rPr>
          <w:rFonts w:cs="Times New Roman"/>
          <w:i/>
          <w:lang w:val="en-GB"/>
        </w:rPr>
        <w:t>Stalking: Consultation Paper – Terms of Reference</w:t>
      </w:r>
      <w:r w:rsidRPr="00E7516E">
        <w:rPr>
          <w:rFonts w:cs="Times New Roman"/>
          <w:lang w:val="en-GB"/>
        </w:rPr>
        <w:t xml:space="preserve"> (Web Page, 18 February 2021) &lt;https://www.lawreform.vic.gov.au/publication/stalking-2/terms-of-reference/&gt;; Victorian Law Reform Commission, </w:t>
      </w:r>
      <w:r w:rsidRPr="00E7516E">
        <w:rPr>
          <w:rFonts w:cs="Times New Roman"/>
          <w:i/>
          <w:lang w:val="en-GB"/>
        </w:rPr>
        <w:t>Stalking</w:t>
      </w:r>
      <w:r w:rsidRPr="00E7516E">
        <w:rPr>
          <w:rFonts w:cs="Times New Roman"/>
          <w:lang w:val="en-GB"/>
        </w:rPr>
        <w:t xml:space="preserve"> (Consultation Paper, 24 June 2021)</w:t>
      </w:r>
      <w:r w:rsidRPr="00E7516E">
        <w:rPr>
          <w:rFonts w:cs="Times New Roman"/>
        </w:rPr>
        <w:t>.</w:t>
      </w:r>
    </w:p>
  </w:footnote>
  <w:footnote w:id="1106">
    <w:p w14:paraId="553EF591" w14:textId="475F43F0" w:rsidR="00FF302D" w:rsidRPr="00EA22F8"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See </w:t>
      </w:r>
      <w:r w:rsidR="006B66A5" w:rsidRPr="00EA22F8">
        <w:rPr>
          <w:rFonts w:cs="Times New Roman"/>
        </w:rPr>
        <w:t>[</w:t>
      </w:r>
      <w:r w:rsidR="006B66A5" w:rsidRPr="00EA22F8">
        <w:rPr>
          <w:rFonts w:cs="Times New Roman"/>
        </w:rPr>
        <w:fldChar w:fldCharType="begin"/>
      </w:r>
      <w:r w:rsidR="006B66A5" w:rsidRPr="00EA22F8">
        <w:rPr>
          <w:rFonts w:cs="Times New Roman"/>
        </w:rPr>
        <w:instrText xml:space="preserve"> REF _Ref165026393 \r \h </w:instrText>
      </w:r>
      <w:r w:rsidR="00A51DF3">
        <w:rPr>
          <w:rFonts w:cs="Times New Roman"/>
        </w:rPr>
        <w:instrText xml:space="preserve"> \* MERGEFORMAT </w:instrText>
      </w:r>
      <w:r w:rsidR="006B66A5" w:rsidRPr="00EA22F8">
        <w:rPr>
          <w:rFonts w:cs="Times New Roman"/>
        </w:rPr>
      </w:r>
      <w:r w:rsidR="006B66A5" w:rsidRPr="00EA22F8">
        <w:rPr>
          <w:rFonts w:cs="Times New Roman"/>
        </w:rPr>
        <w:fldChar w:fldCharType="separate"/>
      </w:r>
      <w:r w:rsidR="00462C30">
        <w:rPr>
          <w:rFonts w:cs="Times New Roman"/>
          <w:cs/>
        </w:rPr>
        <w:t>‎</w:t>
      </w:r>
      <w:r w:rsidR="00462C30">
        <w:rPr>
          <w:rFonts w:cs="Times New Roman"/>
        </w:rPr>
        <w:t>10.12</w:t>
      </w:r>
      <w:r w:rsidR="006B66A5" w:rsidRPr="00EA22F8">
        <w:rPr>
          <w:rFonts w:cs="Times New Roman"/>
        </w:rPr>
        <w:fldChar w:fldCharType="end"/>
      </w:r>
      <w:r w:rsidR="006B66A5" w:rsidRPr="00EA22F8">
        <w:rPr>
          <w:rFonts w:cs="Times New Roman"/>
        </w:rPr>
        <w:t>].</w:t>
      </w:r>
    </w:p>
  </w:footnote>
  <w:footnote w:id="1107">
    <w:p w14:paraId="6B5F8CD2" w14:textId="135DA563"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See </w:t>
      </w:r>
      <w:r w:rsidR="00A51DF3" w:rsidRPr="00EA22F8">
        <w:rPr>
          <w:rFonts w:cs="Times New Roman"/>
        </w:rPr>
        <w:t>[</w:t>
      </w:r>
      <w:r w:rsidR="00A51DF3" w:rsidRPr="00EA22F8">
        <w:rPr>
          <w:rFonts w:cs="Times New Roman"/>
        </w:rPr>
        <w:fldChar w:fldCharType="begin"/>
      </w:r>
      <w:r w:rsidR="00A51DF3" w:rsidRPr="00EA22F8">
        <w:rPr>
          <w:rFonts w:cs="Times New Roman"/>
        </w:rPr>
        <w:instrText xml:space="preserve"> REF _Ref165026658 \r \h </w:instrText>
      </w:r>
      <w:r w:rsidR="00A51DF3">
        <w:rPr>
          <w:rFonts w:cs="Times New Roman"/>
        </w:rPr>
        <w:instrText xml:space="preserve"> \* MERGEFORMAT </w:instrText>
      </w:r>
      <w:r w:rsidR="00A51DF3" w:rsidRPr="00EA22F8">
        <w:rPr>
          <w:rFonts w:cs="Times New Roman"/>
        </w:rPr>
      </w:r>
      <w:r w:rsidR="00A51DF3" w:rsidRPr="00EA22F8">
        <w:rPr>
          <w:rFonts w:cs="Times New Roman"/>
        </w:rPr>
        <w:fldChar w:fldCharType="separate"/>
      </w:r>
      <w:r w:rsidR="00462C30">
        <w:rPr>
          <w:rFonts w:cs="Times New Roman"/>
          <w:cs/>
        </w:rPr>
        <w:t>‎</w:t>
      </w:r>
      <w:r w:rsidR="00462C30">
        <w:rPr>
          <w:rFonts w:cs="Times New Roman"/>
        </w:rPr>
        <w:t>10.12.4</w:t>
      </w:r>
      <w:r w:rsidR="00A51DF3" w:rsidRPr="00EA22F8">
        <w:rPr>
          <w:rFonts w:cs="Times New Roman"/>
        </w:rPr>
        <w:fldChar w:fldCharType="end"/>
      </w:r>
      <w:r w:rsidR="00A51DF3" w:rsidRPr="00EA22F8">
        <w:rPr>
          <w:rFonts w:cs="Times New Roman"/>
        </w:rPr>
        <w:t>]</w:t>
      </w:r>
      <w:r w:rsidRPr="003215A2">
        <w:rPr>
          <w:rFonts w:cs="Times New Roman"/>
        </w:rPr>
        <w:t>.</w:t>
      </w:r>
    </w:p>
  </w:footnote>
  <w:footnote w:id="1108">
    <w:p w14:paraId="4BAA49A0" w14:textId="77777777" w:rsidR="00FF302D" w:rsidRPr="00E7516E" w:rsidRDefault="00FF302D" w:rsidP="00E7516E">
      <w:pPr>
        <w:pStyle w:val="FootnoteText"/>
        <w:jc w:val="left"/>
        <w:rPr>
          <w:rFonts w:cs="Times New Roman"/>
          <w:i/>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Criminal Code </w:t>
      </w:r>
      <w:r w:rsidRPr="00E7516E">
        <w:rPr>
          <w:rFonts w:cs="Times New Roman"/>
          <w:iCs/>
        </w:rPr>
        <w:t>(Tas) s 192</w:t>
      </w:r>
      <w:r w:rsidRPr="00E7516E">
        <w:rPr>
          <w:rFonts w:cs="Times New Roman"/>
          <w:i/>
        </w:rPr>
        <w:t>.</w:t>
      </w:r>
      <w:r w:rsidRPr="00E7516E">
        <w:rPr>
          <w:rFonts w:cs="Times New Roman"/>
          <w:iCs/>
        </w:rPr>
        <w:t xml:space="preserve"> </w:t>
      </w:r>
    </w:p>
  </w:footnote>
  <w:footnote w:id="1109">
    <w:p w14:paraId="5ED76A59"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Criminal Code </w:t>
      </w:r>
      <w:r w:rsidRPr="00E7516E">
        <w:rPr>
          <w:rFonts w:cs="Times New Roman"/>
        </w:rPr>
        <w:t xml:space="preserve">(Tas) s 192(6). </w:t>
      </w:r>
      <w:r w:rsidRPr="00E7516E">
        <w:rPr>
          <w:rFonts w:cs="Times New Roman"/>
          <w:iCs/>
        </w:rPr>
        <w:t xml:space="preserve">This can also be tried summarily with the consent of the prosecutor, see </w:t>
      </w:r>
      <w:r w:rsidRPr="00E7516E">
        <w:rPr>
          <w:rFonts w:cs="Times New Roman"/>
          <w:i/>
        </w:rPr>
        <w:t xml:space="preserve">Justices Act 1959 </w:t>
      </w:r>
      <w:r w:rsidRPr="00E7516E">
        <w:rPr>
          <w:rFonts w:cs="Times New Roman"/>
          <w:iCs/>
        </w:rPr>
        <w:t>(Tas) s 72(4).</w:t>
      </w:r>
    </w:p>
  </w:footnote>
  <w:footnote w:id="1110">
    <w:p w14:paraId="0917AF67" w14:textId="3580359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discussion in the Director of Public Prosecutions (Tas), </w:t>
      </w:r>
      <w:r w:rsidRPr="00E7516E">
        <w:rPr>
          <w:rFonts w:cs="Times New Roman"/>
          <w:i/>
          <w:iCs/>
        </w:rPr>
        <w:t>DPP Prosecution Guidelines</w:t>
      </w:r>
      <w:r w:rsidRPr="00E7516E">
        <w:rPr>
          <w:rFonts w:cs="Times New Roman"/>
        </w:rPr>
        <w:t xml:space="preserve"> 99–100 &lt;</w:t>
      </w:r>
      <w:r w:rsidRPr="009C3ED8">
        <w:rPr>
          <w:rFonts w:cs="Times New Roman"/>
        </w:rPr>
        <w:t>https://www.dpp.tas.gov.au/</w:t>
      </w:r>
      <w:r w:rsidRPr="00EA22F8">
        <w:rPr>
          <w:rFonts w:cs="Times New Roman"/>
          <w:u w:val="single"/>
        </w:rPr>
        <w:t>__</w:t>
      </w:r>
      <w:r w:rsidRPr="009C3ED8">
        <w:rPr>
          <w:rFonts w:cs="Times New Roman"/>
        </w:rPr>
        <w:t>data/assets/pdf_file/0011/681167/DPP-prosecution-guidelines</w:t>
      </w:r>
      <w:r w:rsidRPr="005611F5">
        <w:rPr>
          <w:rFonts w:cs="Times New Roman"/>
        </w:rPr>
        <w:t>_</w:t>
      </w:r>
      <w:r w:rsidRPr="009C3ED8">
        <w:rPr>
          <w:rFonts w:cs="Times New Roman"/>
        </w:rPr>
        <w:t>v9.pdf&gt; (‘DPP Guidelines’</w:t>
      </w:r>
      <w:r w:rsidRPr="00E7516E">
        <w:rPr>
          <w:rFonts w:cs="Times New Roman"/>
        </w:rPr>
        <w:t>).</w:t>
      </w:r>
    </w:p>
  </w:footnote>
  <w:footnote w:id="1111">
    <w:p w14:paraId="6CB0B870" w14:textId="7387604F" w:rsidR="00FF302D" w:rsidRPr="00E7516E" w:rsidRDefault="00FF302D" w:rsidP="00E7516E">
      <w:pPr>
        <w:pStyle w:val="FootnoteText"/>
        <w:jc w:val="left"/>
        <w:rPr>
          <w:rFonts w:cs="Times New Roman"/>
        </w:rPr>
      </w:pPr>
      <w:r w:rsidRPr="00F4630F">
        <w:rPr>
          <w:rStyle w:val="FootnoteReference"/>
          <w:rFonts w:ascii="Times New Roman" w:hAnsi="Times New Roman" w:cs="Times New Roman"/>
        </w:rPr>
        <w:footnoteRef/>
      </w:r>
      <w:r w:rsidRPr="00F4630F">
        <w:rPr>
          <w:rFonts w:cs="Times New Roman"/>
        </w:rPr>
        <w:t xml:space="preserve"> </w:t>
      </w:r>
      <w:r w:rsidR="006A5BA2" w:rsidRPr="00F4630F">
        <w:rPr>
          <w:rFonts w:cs="Times New Roman"/>
          <w:i/>
          <w:iCs/>
        </w:rPr>
        <w:t>Criminal Code</w:t>
      </w:r>
      <w:r w:rsidR="006A5BA2" w:rsidRPr="00F4630F">
        <w:rPr>
          <w:rFonts w:cs="Times New Roman"/>
        </w:rPr>
        <w:t xml:space="preserve"> (Tas)</w:t>
      </w:r>
      <w:r w:rsidRPr="00F4630F">
        <w:rPr>
          <w:rFonts w:cs="Times New Roman"/>
        </w:rPr>
        <w:t xml:space="preserve"> s 192(2).</w:t>
      </w:r>
    </w:p>
  </w:footnote>
  <w:footnote w:id="1112">
    <w:p w14:paraId="52A09F7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In this context, ‘knowledge’ refers to what the defendant actually knew, or what they ought to have known. </w:t>
      </w:r>
      <w:r w:rsidRPr="005D4B1B">
        <w:rPr>
          <w:rFonts w:cs="Times New Roman"/>
        </w:rPr>
        <w:t>See also ibid s 13.</w:t>
      </w:r>
    </w:p>
  </w:footnote>
  <w:footnote w:id="1113">
    <w:p w14:paraId="77127EF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DPP Guidelines 99. Other relevant considerations include the number and type of incidents, the period of time over which the incidents have occurred, the planning and motivation for the conduct, whether individual charges or other court measure have failed to stop the assault, did other serious crimes occur such as sexual assault or the distribution of child exploitation material, the effect the conduct has had on the complainant and whether there is another remedy such as a complaint to the Anti-Discrimination Commissioner or to an employer or school that is taking disciplinary action: see ibid 100.</w:t>
      </w:r>
    </w:p>
  </w:footnote>
  <w:footnote w:id="1114">
    <w:p w14:paraId="7E448C59" w14:textId="77777777" w:rsidR="00FF302D" w:rsidRPr="00E7516E" w:rsidRDefault="00FF302D" w:rsidP="00E7516E">
      <w:pPr>
        <w:pStyle w:val="FootnoteText"/>
        <w:jc w:val="left"/>
        <w:rPr>
          <w:rFonts w:cs="Times New Roman"/>
          <w:i/>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Family Violence Act 2004 </w:t>
      </w:r>
      <w:r w:rsidRPr="00E7516E">
        <w:rPr>
          <w:rFonts w:cs="Times New Roman"/>
          <w:iCs/>
        </w:rPr>
        <w:t>(Tas) ss 14(3)(d)–(f), s 16.</w:t>
      </w:r>
    </w:p>
  </w:footnote>
  <w:footnote w:id="1115">
    <w:p w14:paraId="26C9289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Legal Profession (Solicitors Conduct) Rules 2000</w:t>
      </w:r>
      <w:r w:rsidRPr="00E7516E">
        <w:rPr>
          <w:rFonts w:cs="Times New Roman"/>
        </w:rPr>
        <w:t xml:space="preserve"> </w:t>
      </w:r>
      <w:r w:rsidRPr="00E7516E">
        <w:rPr>
          <w:rFonts w:cs="Times New Roman"/>
          <w:iCs/>
        </w:rPr>
        <w:t>(Tas)</w:t>
      </w:r>
      <w:r w:rsidRPr="00E7516E">
        <w:rPr>
          <w:rFonts w:cs="Times New Roman"/>
          <w:i/>
        </w:rPr>
        <w:t xml:space="preserve"> </w:t>
      </w:r>
      <w:r w:rsidRPr="00E7516E">
        <w:rPr>
          <w:rFonts w:cs="Times New Roman"/>
        </w:rPr>
        <w:t xml:space="preserve">regs 26(1)(c), (2)(c), (8)(a)(ii).  </w:t>
      </w:r>
    </w:p>
  </w:footnote>
  <w:footnote w:id="1116">
    <w:p w14:paraId="0E2634C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Passenger Transport Regulations 2000 </w:t>
      </w:r>
      <w:r w:rsidRPr="00E7516E">
        <w:rPr>
          <w:rFonts w:cs="Times New Roman"/>
          <w:iCs/>
        </w:rPr>
        <w:t>(Tas)</w:t>
      </w:r>
      <w:r w:rsidRPr="00E7516E">
        <w:rPr>
          <w:rFonts w:cs="Times New Roman"/>
          <w:i/>
        </w:rPr>
        <w:t xml:space="preserve"> </w:t>
      </w:r>
      <w:r w:rsidRPr="00E7516E">
        <w:rPr>
          <w:rFonts w:cs="Times New Roman"/>
          <w:iCs/>
        </w:rPr>
        <w:t xml:space="preserve">regs 20(2)(b)–(d). </w:t>
      </w:r>
    </w:p>
  </w:footnote>
  <w:footnote w:id="1117">
    <w:p w14:paraId="6AC41BB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Anti-Discrimination Act 1998 </w:t>
      </w:r>
      <w:r w:rsidRPr="00E7516E">
        <w:rPr>
          <w:rFonts w:cs="Times New Roman"/>
          <w:bCs/>
          <w:iCs/>
        </w:rPr>
        <w:t xml:space="preserve">(Tas) s 17(1). </w:t>
      </w:r>
    </w:p>
  </w:footnote>
  <w:footnote w:id="1118">
    <w:p w14:paraId="00686918"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iCs/>
        </w:rPr>
        <w:t xml:space="preserve">Crimes Act 1900 </w:t>
      </w:r>
      <w:r w:rsidRPr="00E7516E">
        <w:rPr>
          <w:rFonts w:cs="Times New Roman"/>
        </w:rPr>
        <w:t xml:space="preserve">(ACT) s 35; </w:t>
      </w:r>
      <w:r w:rsidRPr="00E7516E">
        <w:rPr>
          <w:rFonts w:cs="Times New Roman"/>
          <w:i/>
          <w:iCs/>
        </w:rPr>
        <w:t xml:space="preserve">Crimes (Domestic and Personal Violence) Act 2007 </w:t>
      </w:r>
      <w:r w:rsidRPr="00E7516E">
        <w:rPr>
          <w:rFonts w:cs="Times New Roman"/>
        </w:rPr>
        <w:t xml:space="preserve">(NSW) s 13; </w:t>
      </w:r>
      <w:r w:rsidRPr="00E7516E">
        <w:rPr>
          <w:rFonts w:cs="Times New Roman"/>
          <w:i/>
          <w:iCs/>
        </w:rPr>
        <w:t xml:space="preserve">Criminal Code </w:t>
      </w:r>
      <w:r w:rsidRPr="00E7516E">
        <w:rPr>
          <w:rFonts w:cs="Times New Roman"/>
        </w:rPr>
        <w:t>(NT) s 189</w:t>
      </w:r>
      <w:r w:rsidRPr="00E7516E">
        <w:rPr>
          <w:rFonts w:cs="Times New Roman"/>
          <w:i/>
          <w:iCs/>
        </w:rPr>
        <w:t xml:space="preserve">; Criminal Code 1899 </w:t>
      </w:r>
      <w:r w:rsidRPr="00E7516E">
        <w:rPr>
          <w:rFonts w:cs="Times New Roman"/>
        </w:rPr>
        <w:t xml:space="preserve">(Qld) Ch 33A; </w:t>
      </w:r>
      <w:r w:rsidRPr="00E7516E">
        <w:rPr>
          <w:rFonts w:cs="Times New Roman"/>
          <w:i/>
          <w:iCs/>
        </w:rPr>
        <w:t xml:space="preserve">Criminal Law Consolidation Act 1935 </w:t>
      </w:r>
      <w:r w:rsidRPr="00E7516E">
        <w:rPr>
          <w:rFonts w:cs="Times New Roman"/>
        </w:rPr>
        <w:t xml:space="preserve">(SA) s 19AA; </w:t>
      </w:r>
      <w:r w:rsidRPr="00E7516E">
        <w:rPr>
          <w:rFonts w:cs="Times New Roman"/>
          <w:i/>
          <w:iCs/>
        </w:rPr>
        <w:t xml:space="preserve">Crimes Act </w:t>
      </w:r>
      <w:r w:rsidRPr="00E7516E">
        <w:rPr>
          <w:rFonts w:cs="Times New Roman"/>
        </w:rPr>
        <w:t xml:space="preserve">(Vic) s 21A; </w:t>
      </w:r>
      <w:r w:rsidRPr="00E7516E">
        <w:rPr>
          <w:rFonts w:cs="Times New Roman"/>
          <w:i/>
          <w:iCs/>
        </w:rPr>
        <w:t xml:space="preserve">Criminal Code </w:t>
      </w:r>
      <w:r w:rsidRPr="00E7516E">
        <w:rPr>
          <w:rFonts w:cs="Times New Roman"/>
        </w:rPr>
        <w:t>(WA) s 338E.</w:t>
      </w:r>
    </w:p>
  </w:footnote>
  <w:footnote w:id="1119">
    <w:p w14:paraId="40946BF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Criminal Code 1899 </w:t>
      </w:r>
      <w:r w:rsidRPr="00E7516E">
        <w:rPr>
          <w:rFonts w:cs="Times New Roman"/>
        </w:rPr>
        <w:t>(Qld) s 359B(b).</w:t>
      </w:r>
    </w:p>
  </w:footnote>
  <w:footnote w:id="1120">
    <w:p w14:paraId="18FE25E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Criminal Code 1899 </w:t>
      </w:r>
      <w:r w:rsidRPr="00E7516E">
        <w:rPr>
          <w:rFonts w:cs="Times New Roman"/>
        </w:rPr>
        <w:t>(Qld) s 359B(c).</w:t>
      </w:r>
    </w:p>
  </w:footnote>
  <w:footnote w:id="1121">
    <w:p w14:paraId="6900712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 xml:space="preserve">Criminal Code 1899 </w:t>
      </w:r>
      <w:r w:rsidRPr="00E7516E">
        <w:rPr>
          <w:rFonts w:cs="Times New Roman"/>
        </w:rPr>
        <w:t>(Qld) s 359B(c)(iv).</w:t>
      </w:r>
    </w:p>
  </w:footnote>
  <w:footnote w:id="1122">
    <w:p w14:paraId="51027A8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Crimes (Domestic and Personal Violence) Act 2007 </w:t>
      </w:r>
      <w:r w:rsidRPr="00E7516E">
        <w:rPr>
          <w:rFonts w:cs="Times New Roman"/>
        </w:rPr>
        <w:t>(NSW) s 13.</w:t>
      </w:r>
    </w:p>
  </w:footnote>
  <w:footnote w:id="1123">
    <w:p w14:paraId="67245DB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Crimes (Domestic and Personal Violence) Act 2007 </w:t>
      </w:r>
      <w:r w:rsidRPr="00E7516E">
        <w:rPr>
          <w:rFonts w:cs="Times New Roman"/>
        </w:rPr>
        <w:t>(NSW) s 8(1).</w:t>
      </w:r>
    </w:p>
  </w:footnote>
  <w:footnote w:id="1124">
    <w:p w14:paraId="792B53C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Crimes (Domestic and Personal Violence) Act 2007 </w:t>
      </w:r>
      <w:r w:rsidRPr="00E7516E">
        <w:rPr>
          <w:rFonts w:cs="Times New Roman"/>
        </w:rPr>
        <w:t>(NSW) ss 7, 13.</w:t>
      </w:r>
    </w:p>
  </w:footnote>
  <w:footnote w:id="1125">
    <w:p w14:paraId="0E39B22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iCs/>
        </w:rPr>
        <w:t xml:space="preserve"> </w:t>
      </w:r>
      <w:r w:rsidRPr="00E7516E">
        <w:rPr>
          <w:rFonts w:cs="Times New Roman"/>
        </w:rPr>
        <w:t xml:space="preserve">See, eg, </w:t>
      </w:r>
      <w:r w:rsidRPr="00E7516E">
        <w:rPr>
          <w:rFonts w:cs="Times New Roman"/>
          <w:i/>
          <w:iCs/>
        </w:rPr>
        <w:t xml:space="preserve">Crimes (Domestic and Personal Violence) Act 2007 </w:t>
      </w:r>
      <w:r w:rsidRPr="00E7516E">
        <w:rPr>
          <w:rFonts w:cs="Times New Roman"/>
        </w:rPr>
        <w:t xml:space="preserve">(NSW) pts 4 and 5; </w:t>
      </w:r>
      <w:r w:rsidRPr="00E7516E">
        <w:rPr>
          <w:rFonts w:cs="Times New Roman"/>
          <w:i/>
          <w:iCs/>
        </w:rPr>
        <w:t xml:space="preserve">Domestic and Family Violence Protection Act 2012 </w:t>
      </w:r>
      <w:r w:rsidRPr="00E7516E">
        <w:rPr>
          <w:rFonts w:cs="Times New Roman"/>
        </w:rPr>
        <w:t xml:space="preserve">(Qld); </w:t>
      </w:r>
      <w:r w:rsidRPr="00E7516E">
        <w:rPr>
          <w:rFonts w:cs="Times New Roman"/>
          <w:i/>
          <w:iCs/>
        </w:rPr>
        <w:t xml:space="preserve">Personal Safety Intervention Orders Act 2010 </w:t>
      </w:r>
      <w:r w:rsidRPr="00E7516E">
        <w:rPr>
          <w:rFonts w:cs="Times New Roman"/>
        </w:rPr>
        <w:t xml:space="preserve">(Vic); </w:t>
      </w:r>
      <w:r w:rsidRPr="00E7516E">
        <w:rPr>
          <w:rFonts w:cs="Times New Roman"/>
          <w:i/>
          <w:iCs/>
        </w:rPr>
        <w:t xml:space="preserve">Family Violence Protection Act 2008 </w:t>
      </w:r>
      <w:r w:rsidRPr="00E7516E">
        <w:rPr>
          <w:rFonts w:cs="Times New Roman"/>
        </w:rPr>
        <w:t>(Vic).</w:t>
      </w:r>
    </w:p>
  </w:footnote>
  <w:footnote w:id="1126">
    <w:p w14:paraId="5674CA00" w14:textId="025BE15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cs="Times New Roman"/>
          <w:i/>
          <w:iCs/>
        </w:rPr>
        <w:t xml:space="preserve">Domestic and Family Violence Protection Act 2012 </w:t>
      </w:r>
      <w:r w:rsidRPr="00E7516E">
        <w:rPr>
          <w:rFonts w:cs="Times New Roman"/>
        </w:rPr>
        <w:t xml:space="preserve">(Qld) s 11; </w:t>
      </w:r>
      <w:r w:rsidRPr="00E7516E">
        <w:rPr>
          <w:rFonts w:cs="Times New Roman"/>
          <w:i/>
          <w:iCs/>
        </w:rPr>
        <w:t xml:space="preserve">Crimes (Domestic and Personal Violence) Act 2007 </w:t>
      </w:r>
      <w:r w:rsidRPr="00E7516E">
        <w:rPr>
          <w:rFonts w:cs="Times New Roman"/>
        </w:rPr>
        <w:t xml:space="preserve">(NSW) s 7; </w:t>
      </w:r>
      <w:r w:rsidRPr="00E7516E">
        <w:rPr>
          <w:rFonts w:cs="Times New Roman"/>
          <w:i/>
          <w:iCs/>
        </w:rPr>
        <w:t xml:space="preserve">Family Violence Protection Act 2008 </w:t>
      </w:r>
      <w:r w:rsidRPr="00E7516E">
        <w:rPr>
          <w:rFonts w:cs="Times New Roman"/>
        </w:rPr>
        <w:t xml:space="preserve">(Vic) s 7; </w:t>
      </w:r>
      <w:r w:rsidRPr="00E7516E">
        <w:rPr>
          <w:rFonts w:cs="Times New Roman"/>
          <w:i/>
          <w:iCs/>
        </w:rPr>
        <w:t xml:space="preserve">Family Violence Act 2016 </w:t>
      </w:r>
      <w:r w:rsidRPr="00E7516E">
        <w:rPr>
          <w:rFonts w:cs="Times New Roman"/>
        </w:rPr>
        <w:t xml:space="preserve">(ACT) s 8(3); </w:t>
      </w:r>
      <w:r w:rsidRPr="00E7516E">
        <w:rPr>
          <w:rFonts w:cs="Times New Roman"/>
          <w:i/>
          <w:iCs/>
        </w:rPr>
        <w:t xml:space="preserve">Restraining Orders Act 19991 </w:t>
      </w:r>
      <w:r w:rsidRPr="00E7516E">
        <w:rPr>
          <w:rFonts w:cs="Times New Roman"/>
        </w:rPr>
        <w:t xml:space="preserve">(WA) s 5A; </w:t>
      </w:r>
      <w:r w:rsidRPr="00E7516E">
        <w:rPr>
          <w:rFonts w:cs="Times New Roman"/>
          <w:i/>
          <w:iCs/>
        </w:rPr>
        <w:t>Domestic and Family Violence</w:t>
      </w:r>
      <w:r w:rsidRPr="00E7516E">
        <w:rPr>
          <w:rFonts w:cs="Times New Roman"/>
        </w:rPr>
        <w:t xml:space="preserve"> </w:t>
      </w:r>
      <w:r w:rsidRPr="00E7516E">
        <w:rPr>
          <w:rFonts w:cs="Times New Roman"/>
          <w:i/>
          <w:iCs/>
        </w:rPr>
        <w:t xml:space="preserve">Act 2007 </w:t>
      </w:r>
      <w:r w:rsidRPr="00E7516E">
        <w:rPr>
          <w:rFonts w:cs="Times New Roman"/>
        </w:rPr>
        <w:t>(NT) ss 5, 6. It is noted that in Tasmania, a police family violence may require a person to refrain from harassing (as defined in s 4) another person</w:t>
      </w:r>
      <w:r w:rsidRPr="003215A2">
        <w:rPr>
          <w:rFonts w:cs="Times New Roman"/>
        </w:rPr>
        <w:t xml:space="preserve">: </w:t>
      </w:r>
      <w:r w:rsidR="00FF60A1">
        <w:rPr>
          <w:rFonts w:cs="Times New Roman"/>
          <w:i/>
          <w:iCs/>
        </w:rPr>
        <w:t xml:space="preserve">Family Violence Act 2004 </w:t>
      </w:r>
      <w:r w:rsidR="00FF60A1">
        <w:rPr>
          <w:rFonts w:cs="Times New Roman"/>
        </w:rPr>
        <w:t xml:space="preserve">(Tas) </w:t>
      </w:r>
      <w:r w:rsidRPr="00EA22F8">
        <w:rPr>
          <w:rFonts w:cs="Times New Roman"/>
        </w:rPr>
        <w:t>see s 14(3)(a).</w:t>
      </w:r>
      <w:r w:rsidRPr="003215A2">
        <w:rPr>
          <w:rFonts w:cs="Times New Roman"/>
        </w:rPr>
        <w:t xml:space="preserve"> However, harassment is not specifically included as an order that can be made in relation to the making of a Family Violence Order: </w:t>
      </w:r>
      <w:r w:rsidR="00FF60A1">
        <w:rPr>
          <w:rFonts w:cs="Times New Roman"/>
        </w:rPr>
        <w:t xml:space="preserve">ibid </w:t>
      </w:r>
      <w:r w:rsidRPr="00EA22F8">
        <w:rPr>
          <w:rFonts w:cs="Times New Roman"/>
        </w:rPr>
        <w:t>see s 16</w:t>
      </w:r>
      <w:r w:rsidRPr="00E7516E">
        <w:rPr>
          <w:rFonts w:cs="Times New Roman"/>
        </w:rPr>
        <w:t>.</w:t>
      </w:r>
    </w:p>
  </w:footnote>
  <w:footnote w:id="1127">
    <w:p w14:paraId="59764C8C" w14:textId="0B22F59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D4B1B" w:rsidRPr="003215A2">
        <w:rPr>
          <w:rFonts w:cs="Times New Roman"/>
        </w:rPr>
        <w:t xml:space="preserve">Government Response </w:t>
      </w:r>
      <w:r w:rsidRPr="00EA22F8">
        <w:rPr>
          <w:rFonts w:cs="Times New Roman"/>
        </w:rPr>
        <w:t>19.</w:t>
      </w:r>
    </w:p>
  </w:footnote>
  <w:footnote w:id="1128">
    <w:p w14:paraId="2A637BF0" w14:textId="7367488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E97E98">
        <w:rPr>
          <w:rFonts w:cs="Times New Roman"/>
        </w:rPr>
        <w:t xml:space="preserve">Issues Paper </w:t>
      </w:r>
      <w:r w:rsidRPr="00E7516E">
        <w:rPr>
          <w:rFonts w:cs="Times New Roman"/>
        </w:rPr>
        <w:t>Part 4, Question 4.5.</w:t>
      </w:r>
    </w:p>
  </w:footnote>
  <w:footnote w:id="1129">
    <w:p w14:paraId="4596814D" w14:textId="1295977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F562E5">
        <w:rPr>
          <w:rFonts w:cs="Times New Roman"/>
        </w:rPr>
        <w:t>Submission 8 (</w:t>
      </w:r>
      <w:r w:rsidRPr="00E7516E">
        <w:rPr>
          <w:rFonts w:cs="Times New Roman"/>
        </w:rPr>
        <w:t>Meg Webb MLC</w:t>
      </w:r>
      <w:r w:rsidR="00F562E5">
        <w:rPr>
          <w:rFonts w:cs="Times New Roman"/>
        </w:rPr>
        <w:t>)</w:t>
      </w:r>
      <w:r w:rsidRPr="00E7516E">
        <w:rPr>
          <w:rFonts w:cs="Times New Roman"/>
        </w:rPr>
        <w:t>; Submission 3</w:t>
      </w:r>
      <w:r w:rsidR="00F562E5">
        <w:rPr>
          <w:rFonts w:cs="Times New Roman"/>
        </w:rPr>
        <w:t xml:space="preserve"> (Anonymous)</w:t>
      </w:r>
      <w:r w:rsidRPr="00E7516E">
        <w:rPr>
          <w:rFonts w:cs="Times New Roman"/>
        </w:rPr>
        <w:t>;</w:t>
      </w:r>
      <w:r w:rsidR="00F562E5">
        <w:rPr>
          <w:rFonts w:cs="Times New Roman"/>
        </w:rPr>
        <w:t xml:space="preserve"> Submission </w:t>
      </w:r>
      <w:r w:rsidR="00E97E98">
        <w:rPr>
          <w:rFonts w:cs="Times New Roman"/>
        </w:rPr>
        <w:t>5</w:t>
      </w:r>
      <w:r w:rsidRPr="00E7516E">
        <w:rPr>
          <w:rFonts w:cs="Times New Roman"/>
        </w:rPr>
        <w:t xml:space="preserve"> </w:t>
      </w:r>
      <w:r w:rsidR="00E97E98">
        <w:rPr>
          <w:rFonts w:cs="Times New Roman"/>
        </w:rPr>
        <w:t>(</w:t>
      </w:r>
      <w:r w:rsidRPr="00E7516E">
        <w:rPr>
          <w:rFonts w:cs="Times New Roman"/>
        </w:rPr>
        <w:t>TLA</w:t>
      </w:r>
      <w:r w:rsidR="00E97E98">
        <w:rPr>
          <w:rFonts w:cs="Times New Roman"/>
        </w:rPr>
        <w:t>)</w:t>
      </w:r>
      <w:r w:rsidRPr="00E7516E">
        <w:rPr>
          <w:rFonts w:cs="Times New Roman"/>
        </w:rPr>
        <w:t>.</w:t>
      </w:r>
    </w:p>
  </w:footnote>
  <w:footnote w:id="1130">
    <w:p w14:paraId="39EB3C0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Howe v S</w:t>
      </w:r>
      <w:r w:rsidRPr="00E7516E">
        <w:rPr>
          <w:rFonts w:cs="Times New Roman"/>
        </w:rPr>
        <w:t xml:space="preserve"> [2013] TASMC 33.</w:t>
      </w:r>
    </w:p>
  </w:footnote>
  <w:footnote w:id="1131">
    <w:p w14:paraId="106A4584" w14:textId="16030C32" w:rsidR="00FF302D" w:rsidRPr="003215A2"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It is noted that</w:t>
      </w:r>
      <w:r w:rsidR="002636F9">
        <w:rPr>
          <w:rFonts w:cs="Times New Roman"/>
        </w:rPr>
        <w:t>,</w:t>
      </w:r>
      <w:r w:rsidRPr="00EA22F8">
        <w:rPr>
          <w:rFonts w:cs="Times New Roman"/>
        </w:rPr>
        <w:t xml:space="preserve"> in </w:t>
      </w:r>
      <w:r w:rsidR="003E1411" w:rsidRPr="00EA22F8">
        <w:rPr>
          <w:rFonts w:cs="Times New Roman"/>
        </w:rPr>
        <w:t>Part</w:t>
      </w:r>
      <w:r w:rsidR="00E97E98" w:rsidRPr="00EA22F8">
        <w:rPr>
          <w:rFonts w:cs="Times New Roman"/>
        </w:rPr>
        <w:t xml:space="preserve"> 11</w:t>
      </w:r>
      <w:r w:rsidRPr="00EA22F8">
        <w:rPr>
          <w:rFonts w:cs="Times New Roman"/>
        </w:rPr>
        <w:t>, the TLRI also discusses the creation of a tort for the invasion of privacy that would provide a civil remedy that may apply in some of these situations.</w:t>
      </w:r>
    </w:p>
  </w:footnote>
  <w:footnote w:id="1132">
    <w:p w14:paraId="57F9872F" w14:textId="77777777" w:rsidR="00FF302D" w:rsidRPr="00E7516E" w:rsidRDefault="00FF302D" w:rsidP="00E7516E">
      <w:pPr>
        <w:pStyle w:val="FootnoteText"/>
        <w:jc w:val="left"/>
        <w:rPr>
          <w:rFonts w:cs="Times New Roman"/>
        </w:rPr>
      </w:pPr>
      <w:r w:rsidRPr="003215A2">
        <w:rPr>
          <w:rStyle w:val="FootnoteReference"/>
          <w:rFonts w:ascii="Times New Roman" w:hAnsi="Times New Roman" w:cs="Times New Roman"/>
        </w:rPr>
        <w:footnoteRef/>
      </w:r>
      <w:r w:rsidRPr="003215A2">
        <w:rPr>
          <w:rFonts w:cs="Times New Roman"/>
        </w:rPr>
        <w:t xml:space="preserve"> AIHW, </w:t>
      </w:r>
      <w:r w:rsidRPr="003215A2">
        <w:rPr>
          <w:rFonts w:cs="Times New Roman"/>
          <w:i/>
          <w:iCs/>
        </w:rPr>
        <w:t>Stalking and Surveillance</w:t>
      </w:r>
      <w:r w:rsidRPr="003215A2">
        <w:rPr>
          <w:rFonts w:cs="Times New Roman"/>
        </w:rPr>
        <w:t xml:space="preserve"> (Web Page, 12 April 2024) &lt;https://www.aihw.gov.au/family-domestic-</w:t>
      </w:r>
      <w:r w:rsidRPr="00E7516E">
        <w:rPr>
          <w:rFonts w:cs="Times New Roman"/>
        </w:rPr>
        <w:t>and-sexual-violence/types-of-violence/stalking-surveillance&gt;.</w:t>
      </w:r>
    </w:p>
  </w:footnote>
  <w:footnote w:id="1133">
    <w:p w14:paraId="1AC3F2B0" w14:textId="646980B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Nicola Henry, Asher Flynn and Anastasia Powell ‘Image-based Sexual Abuse: Victims and Perpetrators’ (2019) 572 </w:t>
      </w:r>
      <w:r w:rsidRPr="00E7516E">
        <w:rPr>
          <w:rFonts w:cs="Times New Roman"/>
          <w:i/>
          <w:iCs/>
        </w:rPr>
        <w:t>Trends and Issues in Criminal Justice</w:t>
      </w:r>
      <w:r w:rsidRPr="00E7516E">
        <w:rPr>
          <w:rFonts w:cs="Times New Roman"/>
        </w:rPr>
        <w:t xml:space="preserve"> 1, 10.</w:t>
      </w:r>
    </w:p>
  </w:footnote>
  <w:footnote w:id="1134">
    <w:p w14:paraId="6A4210E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eSafety Commissioner, </w:t>
      </w:r>
      <w:r w:rsidRPr="00E7516E">
        <w:rPr>
          <w:rFonts w:cs="Times New Roman"/>
          <w:i/>
          <w:iCs/>
        </w:rPr>
        <w:t xml:space="preserve">Image-Based Abuse Scheme Regulatory Guidance: eSC RG 2 </w:t>
      </w:r>
      <w:r w:rsidRPr="00E7516E">
        <w:rPr>
          <w:rFonts w:cs="Times New Roman"/>
        </w:rPr>
        <w:t>(2021) 4.</w:t>
      </w:r>
    </w:p>
  </w:footnote>
  <w:footnote w:id="1135">
    <w:p w14:paraId="038EFB8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Attorney-General’s Department (Cth), </w:t>
      </w:r>
      <w:r w:rsidRPr="00E7516E">
        <w:rPr>
          <w:rFonts w:cs="Times New Roman"/>
          <w:i/>
          <w:iCs/>
        </w:rPr>
        <w:t>National Statement of Principles Relating to the Criminalisation of the Non-Consensual Sharing of Intimate Images</w:t>
      </w:r>
      <w:r w:rsidRPr="00E7516E">
        <w:rPr>
          <w:rFonts w:cs="Times New Roman"/>
        </w:rPr>
        <w:t xml:space="preserve"> (2017) &lt;https://www.ag.gov.au/crime/publications/national-statement-principles-relating-criminalisation-non-consensual-sharing-intimate-images&gt;.  </w:t>
      </w:r>
    </w:p>
  </w:footnote>
  <w:footnote w:id="1136">
    <w:p w14:paraId="1F5552AD" w14:textId="4B8A6A3C" w:rsidR="00FF302D" w:rsidRPr="00E7516E" w:rsidRDefault="00FF302D" w:rsidP="00E7516E">
      <w:pPr>
        <w:pStyle w:val="FootnoteText"/>
        <w:jc w:val="left"/>
        <w:rPr>
          <w:rFonts w:cs="Times New Roman"/>
          <w:i/>
          <w:iCs/>
        </w:rPr>
      </w:pPr>
      <w:r w:rsidRPr="00E7516E">
        <w:rPr>
          <w:rStyle w:val="FootnoteReference"/>
          <w:rFonts w:ascii="Times New Roman" w:hAnsi="Times New Roman" w:cs="Times New Roman"/>
        </w:rPr>
        <w:footnoteRef/>
      </w:r>
      <w:r w:rsidRPr="00E7516E">
        <w:rPr>
          <w:rFonts w:cs="Times New Roman"/>
        </w:rPr>
        <w:t xml:space="preserve"> See Asher Flynn, Jonathan Clough and Talani Cooke, ‘Disrupting and Preventing Deepfake Abuse; Exploring Criminal Law Responses to AI-Facilitated Abuse’ in </w:t>
      </w:r>
      <w:r w:rsidR="00971475" w:rsidRPr="00E7516E">
        <w:rPr>
          <w:rFonts w:cs="Times New Roman"/>
        </w:rPr>
        <w:t>Anastasia Powell, Asher Flynn and Lida Sugiura</w:t>
      </w:r>
      <w:r w:rsidR="009A2245">
        <w:rPr>
          <w:rFonts w:cs="Times New Roman"/>
        </w:rPr>
        <w:t xml:space="preserve"> (eds),</w:t>
      </w:r>
      <w:r w:rsidR="00971475" w:rsidRPr="00E7516E">
        <w:rPr>
          <w:rFonts w:cs="Times New Roman"/>
          <w:i/>
          <w:iCs/>
        </w:rPr>
        <w:t xml:space="preserve"> </w:t>
      </w:r>
      <w:r w:rsidRPr="00E7516E">
        <w:rPr>
          <w:rFonts w:cs="Times New Roman"/>
          <w:i/>
          <w:iCs/>
        </w:rPr>
        <w:t>The Palgrave Handbook of Gendered Violence and Technology</w:t>
      </w:r>
      <w:r w:rsidRPr="00E7516E">
        <w:rPr>
          <w:rFonts w:cs="Times New Roman"/>
        </w:rPr>
        <w:t xml:space="preserve"> (Palgrave Macmillan, 2021) 583.</w:t>
      </w:r>
    </w:p>
  </w:footnote>
  <w:footnote w:id="1137">
    <w:p w14:paraId="27517364" w14:textId="039D075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Clare McGlynn, Kelly Johnson and Anastasia Powell, ‘“It’s Torture for the Soul”: The Harms of Image-Based Sexual Abuse’ (2021) 30 </w:t>
      </w:r>
      <w:r w:rsidRPr="00E7516E">
        <w:rPr>
          <w:rFonts w:cs="Times New Roman"/>
          <w:i/>
          <w:iCs/>
        </w:rPr>
        <w:t>Social and Legal Issues</w:t>
      </w:r>
      <w:r w:rsidRPr="00E7516E">
        <w:rPr>
          <w:rFonts w:cs="Times New Roman"/>
        </w:rPr>
        <w:t xml:space="preserve"> 541. See also Joanne Worsley and Grace carter, ‘The Impact of Technology-Facilitated Sexual Violence: A Literature Review of Qualitative Research’ in </w:t>
      </w:r>
      <w:r w:rsidR="00971475" w:rsidRPr="00E7516E">
        <w:rPr>
          <w:rFonts w:cs="Times New Roman"/>
        </w:rPr>
        <w:t>Anastasia Powell, Asher Flynn and Lida Sugiura</w:t>
      </w:r>
      <w:r w:rsidR="00971475">
        <w:rPr>
          <w:rFonts w:cs="Times New Roman"/>
        </w:rPr>
        <w:t xml:space="preserve"> (eds),</w:t>
      </w:r>
      <w:r w:rsidR="00971475" w:rsidRPr="00E7516E">
        <w:rPr>
          <w:rFonts w:cs="Times New Roman"/>
        </w:rPr>
        <w:t xml:space="preserve"> </w:t>
      </w:r>
      <w:r w:rsidRPr="00E7516E">
        <w:rPr>
          <w:rFonts w:cs="Times New Roman"/>
          <w:i/>
          <w:iCs/>
        </w:rPr>
        <w:t>The Palgrave Handbook of Gendered Violence and Technology</w:t>
      </w:r>
      <w:r w:rsidR="00971475">
        <w:rPr>
          <w:rFonts w:cs="Times New Roman"/>
        </w:rPr>
        <w:t xml:space="preserve"> </w:t>
      </w:r>
      <w:r w:rsidRPr="00E7516E">
        <w:rPr>
          <w:rFonts w:cs="Times New Roman"/>
        </w:rPr>
        <w:t xml:space="preserve">(Palgrave Macmillan, 2021) 261. </w:t>
      </w:r>
    </w:p>
  </w:footnote>
  <w:footnote w:id="1138">
    <w:p w14:paraId="7AC4942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Clare McGlynn, Kelly Johnson and Anastasia Powell, ‘“It’s Torture for the Soul’: The Harms of Image-Based Sexual Abuse’ 543 quoting Clare McGlynn and Erika Rackley, </w:t>
      </w:r>
      <w:r w:rsidRPr="00E7516E">
        <w:rPr>
          <w:rFonts w:cs="Times New Roman"/>
          <w:i/>
          <w:iCs/>
        </w:rPr>
        <w:t xml:space="preserve">Image-Based Sexual Abuse </w:t>
      </w:r>
      <w:r w:rsidRPr="00E7516E">
        <w:rPr>
          <w:rFonts w:cs="Times New Roman"/>
        </w:rPr>
        <w:t xml:space="preserve">(2017) 37 </w:t>
      </w:r>
      <w:r w:rsidRPr="00E7516E">
        <w:rPr>
          <w:rFonts w:cs="Times New Roman"/>
          <w:i/>
          <w:iCs/>
        </w:rPr>
        <w:t xml:space="preserve">Oxford Journal of Legal Studies </w:t>
      </w:r>
      <w:r w:rsidRPr="00E7516E">
        <w:rPr>
          <w:rFonts w:cs="Times New Roman"/>
        </w:rPr>
        <w:t>535, 546.</w:t>
      </w:r>
    </w:p>
  </w:footnote>
  <w:footnote w:id="1139">
    <w:p w14:paraId="62755BCF" w14:textId="1DF9CD54" w:rsidR="00FF302D" w:rsidRPr="00EA22F8"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See discussion at </w:t>
      </w:r>
      <w:r w:rsidR="00A32EDA">
        <w:rPr>
          <w:rFonts w:cs="Times New Roman"/>
        </w:rPr>
        <w:t>[</w:t>
      </w:r>
      <w:r w:rsidR="00593F00" w:rsidRPr="00EA22F8">
        <w:rPr>
          <w:rFonts w:cs="Times New Roman"/>
        </w:rPr>
        <w:fldChar w:fldCharType="begin"/>
      </w:r>
      <w:r w:rsidR="00593F00" w:rsidRPr="00EA22F8">
        <w:rPr>
          <w:rFonts w:cs="Times New Roman"/>
        </w:rPr>
        <w:instrText xml:space="preserve"> REF _Ref165027039 \r \h </w:instrText>
      </w:r>
      <w:r w:rsidR="00593F00">
        <w:rPr>
          <w:rFonts w:cs="Times New Roman"/>
        </w:rPr>
        <w:instrText xml:space="preserve"> \* MERGEFORMAT </w:instrText>
      </w:r>
      <w:r w:rsidR="00593F00" w:rsidRPr="00EA22F8">
        <w:rPr>
          <w:rFonts w:cs="Times New Roman"/>
        </w:rPr>
      </w:r>
      <w:r w:rsidR="00593F00" w:rsidRPr="00EA22F8">
        <w:rPr>
          <w:rFonts w:cs="Times New Roman"/>
        </w:rPr>
        <w:fldChar w:fldCharType="separate"/>
      </w:r>
      <w:r w:rsidR="00462C30">
        <w:rPr>
          <w:rFonts w:cs="Times New Roman"/>
          <w:cs/>
        </w:rPr>
        <w:t>‎</w:t>
      </w:r>
      <w:r w:rsidR="00462C30">
        <w:rPr>
          <w:rFonts w:cs="Times New Roman"/>
        </w:rPr>
        <w:t>10.2</w:t>
      </w:r>
      <w:r w:rsidR="00593F00" w:rsidRPr="00EA22F8">
        <w:rPr>
          <w:rFonts w:cs="Times New Roman"/>
        </w:rPr>
        <w:fldChar w:fldCharType="end"/>
      </w:r>
      <w:r w:rsidR="00593F00" w:rsidRPr="00EA22F8">
        <w:rPr>
          <w:rFonts w:cs="Times New Roman"/>
        </w:rPr>
        <w:t>].</w:t>
      </w:r>
    </w:p>
  </w:footnote>
  <w:footnote w:id="1140">
    <w:p w14:paraId="4B500FE8" w14:textId="42492B2F"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See </w:t>
      </w:r>
      <w:r w:rsidR="004A64A7" w:rsidRPr="003215A2">
        <w:rPr>
          <w:rFonts w:cs="Times New Roman"/>
        </w:rPr>
        <w:t>[</w:t>
      </w:r>
      <w:r w:rsidR="004A64A7" w:rsidRPr="003215A2">
        <w:rPr>
          <w:rFonts w:cs="Times New Roman"/>
        </w:rPr>
        <w:fldChar w:fldCharType="begin"/>
      </w:r>
      <w:r w:rsidR="004A64A7" w:rsidRPr="003215A2">
        <w:rPr>
          <w:rFonts w:cs="Times New Roman"/>
        </w:rPr>
        <w:instrText xml:space="preserve"> REF _Ref165026658 \r \h </w:instrText>
      </w:r>
      <w:r w:rsidR="004A64A7">
        <w:rPr>
          <w:rFonts w:cs="Times New Roman"/>
        </w:rPr>
        <w:instrText xml:space="preserve"> \* MERGEFORMAT </w:instrText>
      </w:r>
      <w:r w:rsidR="004A64A7" w:rsidRPr="003215A2">
        <w:rPr>
          <w:rFonts w:cs="Times New Roman"/>
        </w:rPr>
      </w:r>
      <w:r w:rsidR="004A64A7" w:rsidRPr="003215A2">
        <w:rPr>
          <w:rFonts w:cs="Times New Roman"/>
        </w:rPr>
        <w:fldChar w:fldCharType="separate"/>
      </w:r>
      <w:r w:rsidR="00462C30">
        <w:rPr>
          <w:rFonts w:cs="Times New Roman"/>
          <w:cs/>
        </w:rPr>
        <w:t>‎</w:t>
      </w:r>
      <w:r w:rsidR="00462C30">
        <w:rPr>
          <w:rFonts w:cs="Times New Roman"/>
        </w:rPr>
        <w:t>10.12.4</w:t>
      </w:r>
      <w:r w:rsidR="004A64A7" w:rsidRPr="003215A2">
        <w:rPr>
          <w:rFonts w:cs="Times New Roman"/>
        </w:rPr>
        <w:fldChar w:fldCharType="end"/>
      </w:r>
      <w:r w:rsidR="004A64A7">
        <w:rPr>
          <w:rFonts w:cs="Times New Roman"/>
        </w:rPr>
        <w:t>].</w:t>
      </w:r>
    </w:p>
  </w:footnote>
  <w:footnote w:id="1141">
    <w:p w14:paraId="597F0CD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Parliament of Tasmania, ‘Civil Digital Communications Bill 2017’ (Web Page, 2021) &lt;</w:t>
      </w:r>
      <w:hyperlink r:id="rId39" w:history="1">
        <w:r w:rsidRPr="00E7516E">
          <w:rPr>
            <w:rStyle w:val="Hyperlink"/>
            <w:rFonts w:cs="Times New Roman"/>
          </w:rPr>
          <w:t>https://www.parliament.tas.gov.au/Bills/Bills2017/62_of_2017.html</w:t>
        </w:r>
      </w:hyperlink>
      <w:r w:rsidRPr="00E7516E">
        <w:rPr>
          <w:rFonts w:cs="Times New Roman"/>
        </w:rPr>
        <w:t xml:space="preserve">&gt;. </w:t>
      </w:r>
    </w:p>
  </w:footnote>
  <w:footnote w:id="1142">
    <w:p w14:paraId="7A1CCB4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Criminal Code Act 1995 </w:t>
      </w:r>
      <w:r w:rsidRPr="00E7516E">
        <w:rPr>
          <w:rFonts w:cs="Times New Roman"/>
        </w:rPr>
        <w:t>(Cth) vol 2 sch, s 474.17A.</w:t>
      </w:r>
    </w:p>
  </w:footnote>
  <w:footnote w:id="1143">
    <w:p w14:paraId="3DB04D72" w14:textId="77777777" w:rsidR="00FF302D" w:rsidRPr="00E7516E" w:rsidRDefault="00FF302D" w:rsidP="00E7516E">
      <w:pPr>
        <w:pStyle w:val="FootnoteText"/>
        <w:jc w:val="left"/>
        <w:rPr>
          <w:rFonts w:cs="Times New Roman"/>
          <w:iCs/>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Cs/>
        </w:rPr>
        <w:t>Supplementary Explanatory Memorandum,</w:t>
      </w:r>
      <w:r w:rsidRPr="00E7516E">
        <w:rPr>
          <w:rFonts w:cs="Times New Roman"/>
          <w:i/>
        </w:rPr>
        <w:t xml:space="preserve"> </w:t>
      </w:r>
      <w:r w:rsidRPr="00E7516E">
        <w:rPr>
          <w:rFonts w:cs="Times New Roman"/>
          <w:iCs/>
        </w:rPr>
        <w:t>Online Safety Bill 2021 (Cth) 1.</w:t>
      </w:r>
    </w:p>
  </w:footnote>
  <w:footnote w:id="1144">
    <w:p w14:paraId="2F97EDA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Online Safety Act 2021 </w:t>
      </w:r>
      <w:r w:rsidRPr="00E7516E">
        <w:rPr>
          <w:rFonts w:cs="Times New Roman"/>
          <w:iCs/>
        </w:rPr>
        <w:t>(Cth)</w:t>
      </w:r>
      <w:r w:rsidRPr="00E7516E">
        <w:rPr>
          <w:rFonts w:cs="Times New Roman"/>
        </w:rPr>
        <w:t xml:space="preserve"> s 234.</w:t>
      </w:r>
    </w:p>
  </w:footnote>
  <w:footnote w:id="1145">
    <w:p w14:paraId="7284CDF9" w14:textId="331C873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Attorney-General’s Department (Cth), </w:t>
      </w:r>
      <w:r w:rsidRPr="00E7516E">
        <w:rPr>
          <w:rFonts w:cs="Times New Roman"/>
          <w:i/>
          <w:iCs/>
        </w:rPr>
        <w:t>National Statement of Principles Relating to the Criminalisation of the Non-Consensual Sharing of Intimate Images</w:t>
      </w:r>
      <w:r w:rsidRPr="00E7516E">
        <w:rPr>
          <w:rFonts w:cs="Times New Roman"/>
        </w:rPr>
        <w:t xml:space="preserve"> (2017) &lt;https://www.ag.gov.au/crime/publications/national-statement-principles-relating-criminalisation-non-consensual-sharing-intimate-images&gt;.</w:t>
      </w:r>
    </w:p>
  </w:footnote>
  <w:footnote w:id="1146">
    <w:p w14:paraId="6BDEAD0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i/>
          <w:iCs/>
        </w:rPr>
        <w:t>Summary Offences Act 1966</w:t>
      </w:r>
      <w:r w:rsidRPr="00E7516E">
        <w:rPr>
          <w:rFonts w:cs="Times New Roman"/>
        </w:rPr>
        <w:t xml:space="preserve"> (Vic) ss 40, 41A, 41B, 41C, 41DA, 41DB; </w:t>
      </w:r>
      <w:r w:rsidRPr="00E7516E">
        <w:rPr>
          <w:rFonts w:cs="Times New Roman"/>
          <w:i/>
          <w:iCs/>
        </w:rPr>
        <w:t xml:space="preserve">Crimes Act 1958 </w:t>
      </w:r>
      <w:r w:rsidRPr="00E7516E">
        <w:rPr>
          <w:rFonts w:cs="Times New Roman"/>
        </w:rPr>
        <w:t xml:space="preserve">(Vic) Div 1 pt (8FAAB); </w:t>
      </w:r>
      <w:r w:rsidRPr="00E7516E">
        <w:rPr>
          <w:rFonts w:cs="Times New Roman"/>
          <w:i/>
          <w:iCs/>
        </w:rPr>
        <w:t xml:space="preserve">Criminal Code </w:t>
      </w:r>
      <w:r w:rsidRPr="00E7516E">
        <w:rPr>
          <w:rFonts w:cs="Times New Roman"/>
        </w:rPr>
        <w:t xml:space="preserve">(WA) ss 221BA–22BF, 338, 338B, 338C; </w:t>
      </w:r>
      <w:r w:rsidRPr="00E7516E">
        <w:rPr>
          <w:rFonts w:cs="Times New Roman"/>
          <w:i/>
          <w:iCs/>
        </w:rPr>
        <w:t xml:space="preserve">Crimes Act 1900 </w:t>
      </w:r>
      <w:r w:rsidRPr="00E7516E">
        <w:rPr>
          <w:rFonts w:cs="Times New Roman"/>
        </w:rPr>
        <w:t xml:space="preserve">(ACT) Div 15C; </w:t>
      </w:r>
      <w:r w:rsidRPr="00E7516E">
        <w:rPr>
          <w:rFonts w:cs="Times New Roman"/>
          <w:i/>
          <w:iCs/>
        </w:rPr>
        <w:t xml:space="preserve">Criminal Code 1983 </w:t>
      </w:r>
      <w:r w:rsidRPr="00E7516E">
        <w:rPr>
          <w:rFonts w:cs="Times New Roman"/>
        </w:rPr>
        <w:t xml:space="preserve">(NT) Part VI, Div 7A; </w:t>
      </w:r>
      <w:r w:rsidRPr="00E7516E">
        <w:rPr>
          <w:rFonts w:cs="Times New Roman"/>
          <w:i/>
          <w:iCs/>
        </w:rPr>
        <w:t xml:space="preserve">Criminal Code 1899 </w:t>
      </w:r>
      <w:r w:rsidRPr="00E7516E">
        <w:rPr>
          <w:rFonts w:cs="Times New Roman"/>
        </w:rPr>
        <w:t xml:space="preserve">(Qld) s 207A, 223, 229A; </w:t>
      </w:r>
      <w:r w:rsidRPr="00E7516E">
        <w:rPr>
          <w:rFonts w:cs="Times New Roman"/>
          <w:i/>
          <w:iCs/>
        </w:rPr>
        <w:t>Summary Offences Act 1953</w:t>
      </w:r>
      <w:r w:rsidRPr="00E7516E">
        <w:rPr>
          <w:rFonts w:cs="Times New Roman"/>
        </w:rPr>
        <w:t xml:space="preserve"> (SA) ss 26A–26E; </w:t>
      </w:r>
      <w:r w:rsidRPr="00E7516E">
        <w:rPr>
          <w:rFonts w:cs="Times New Roman"/>
          <w:i/>
          <w:iCs/>
        </w:rPr>
        <w:t xml:space="preserve">Crimes Act 1900 </w:t>
      </w:r>
      <w:r w:rsidRPr="00E7516E">
        <w:rPr>
          <w:rFonts w:cs="Times New Roman"/>
        </w:rPr>
        <w:t>(NSW) Div 15C, ss 91N, 91Q, 91R.</w:t>
      </w:r>
    </w:p>
  </w:footnote>
  <w:footnote w:id="1147">
    <w:p w14:paraId="58A11B8B" w14:textId="77777777" w:rsidR="00FF302D" w:rsidRPr="003215A2"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A22F8">
        <w:rPr>
          <w:rFonts w:cs="Times New Roman"/>
        </w:rPr>
        <w:t xml:space="preserve">For example, the </w:t>
      </w:r>
      <w:r w:rsidRPr="00EA22F8">
        <w:rPr>
          <w:rFonts w:cs="Times New Roman"/>
          <w:i/>
          <w:iCs/>
        </w:rPr>
        <w:t xml:space="preserve">Crimes Act 1900 </w:t>
      </w:r>
      <w:r w:rsidRPr="00EA22F8">
        <w:rPr>
          <w:rFonts w:cs="Times New Roman"/>
        </w:rPr>
        <w:t>(NSW) s 91N defined ‘intimate image’ to mean ‘an image of a person’s private parts, or of a person engaged in a private act, in circumstances in which a reasonable person would reasonably expect to be afforded privacy, or an image that has been altered to appear to show a person’s private parts, or a person engaged in a private act, in circumstances in which a reasonable peons would reasonably expect to be afforded privacy’.</w:t>
      </w:r>
    </w:p>
  </w:footnote>
  <w:footnote w:id="1148">
    <w:p w14:paraId="37AA8547" w14:textId="1349A649"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00976482" w:rsidRPr="00EA22F8">
        <w:rPr>
          <w:rFonts w:cs="Times New Roman"/>
        </w:rPr>
        <w:t xml:space="preserve">Privacy Act Review Report </w:t>
      </w:r>
      <w:r w:rsidR="00475603">
        <w:rPr>
          <w:rFonts w:cs="Times New Roman"/>
        </w:rPr>
        <w:t xml:space="preserve">2022 </w:t>
      </w:r>
      <w:r w:rsidRPr="00EA22F8">
        <w:rPr>
          <w:rFonts w:cs="Times New Roman"/>
        </w:rPr>
        <w:t>27.3.2.</w:t>
      </w:r>
    </w:p>
  </w:footnote>
  <w:footnote w:id="1149">
    <w:p w14:paraId="23C7D035" w14:textId="62EED36C"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AE3C9D">
        <w:rPr>
          <w:rFonts w:cs="Times New Roman"/>
        </w:rPr>
        <w:t xml:space="preserve">Issues Paper </w:t>
      </w:r>
      <w:r w:rsidRPr="00E7516E">
        <w:rPr>
          <w:rFonts w:cs="Times New Roman"/>
        </w:rPr>
        <w:t>Part 4, Question 4.6</w:t>
      </w:r>
    </w:p>
  </w:footnote>
  <w:footnote w:id="1150">
    <w:p w14:paraId="438B4BCF" w14:textId="0B7CFD6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Submission 3</w:t>
      </w:r>
      <w:r w:rsidR="00AE3C9D">
        <w:rPr>
          <w:rFonts w:cs="Times New Roman"/>
        </w:rPr>
        <w:t xml:space="preserve"> (</w:t>
      </w:r>
      <w:r w:rsidR="00AE3C9D" w:rsidRPr="00E7516E">
        <w:rPr>
          <w:rFonts w:cs="Times New Roman"/>
        </w:rPr>
        <w:t>Anonymous</w:t>
      </w:r>
      <w:r w:rsidR="00AE3C9D">
        <w:rPr>
          <w:rFonts w:cs="Times New Roman"/>
        </w:rPr>
        <w:t>)</w:t>
      </w:r>
      <w:r w:rsidRPr="00E7516E">
        <w:rPr>
          <w:rFonts w:cs="Times New Roman"/>
        </w:rPr>
        <w:t>;</w:t>
      </w:r>
      <w:r w:rsidR="00AE3C9D">
        <w:rPr>
          <w:rFonts w:cs="Times New Roman"/>
        </w:rPr>
        <w:t xml:space="preserve"> Submission 8</w:t>
      </w:r>
      <w:r w:rsidRPr="00E7516E">
        <w:rPr>
          <w:rFonts w:cs="Times New Roman"/>
        </w:rPr>
        <w:t xml:space="preserve"> </w:t>
      </w:r>
      <w:r w:rsidR="00AE3C9D">
        <w:rPr>
          <w:rFonts w:cs="Times New Roman"/>
        </w:rPr>
        <w:t>(</w:t>
      </w:r>
      <w:r w:rsidRPr="00E7516E">
        <w:rPr>
          <w:rFonts w:cs="Times New Roman"/>
        </w:rPr>
        <w:t>Meg Webb MLC</w:t>
      </w:r>
      <w:r w:rsidR="00AE3C9D">
        <w:rPr>
          <w:rFonts w:cs="Times New Roman"/>
        </w:rPr>
        <w:t>)</w:t>
      </w:r>
      <w:r w:rsidRPr="00E7516E">
        <w:rPr>
          <w:rFonts w:cs="Times New Roman"/>
        </w:rPr>
        <w:t>;</w:t>
      </w:r>
      <w:r w:rsidR="00AE3C9D">
        <w:rPr>
          <w:rFonts w:cs="Times New Roman"/>
        </w:rPr>
        <w:t xml:space="preserve"> Submission </w:t>
      </w:r>
      <w:r w:rsidR="003D6459">
        <w:rPr>
          <w:rFonts w:cs="Times New Roman"/>
        </w:rPr>
        <w:t>12</w:t>
      </w:r>
      <w:r w:rsidRPr="00E7516E">
        <w:rPr>
          <w:rFonts w:cs="Times New Roman"/>
        </w:rPr>
        <w:t xml:space="preserve"> </w:t>
      </w:r>
      <w:r w:rsidR="003D6459">
        <w:rPr>
          <w:rFonts w:cs="Times New Roman"/>
        </w:rPr>
        <w:t>(</w:t>
      </w:r>
      <w:r w:rsidRPr="00E7516E">
        <w:rPr>
          <w:rFonts w:cs="Times New Roman"/>
        </w:rPr>
        <w:t>Youth Law Australia</w:t>
      </w:r>
      <w:r w:rsidR="003D6459">
        <w:rPr>
          <w:rFonts w:cs="Times New Roman"/>
        </w:rPr>
        <w:t>)</w:t>
      </w:r>
      <w:r w:rsidRPr="00E7516E">
        <w:rPr>
          <w:rFonts w:cs="Times New Roman"/>
        </w:rPr>
        <w:t>.</w:t>
      </w:r>
    </w:p>
  </w:footnote>
  <w:footnote w:id="1151">
    <w:p w14:paraId="51E813C6" w14:textId="52BB41E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This can be compared to the definition of ‘health service’ in the PIPA, see above at </w:t>
      </w:r>
      <w:r w:rsidR="004933B9">
        <w:rPr>
          <w:rFonts w:cs="Times New Roman"/>
        </w:rPr>
        <w:t>(n</w:t>
      </w:r>
      <w:r w:rsidR="00D16C5D">
        <w:rPr>
          <w:rFonts w:cs="Times New Roman"/>
        </w:rPr>
        <w:t> </w:t>
      </w:r>
      <w:r w:rsidR="004933B9">
        <w:rPr>
          <w:rFonts w:cs="Times New Roman"/>
        </w:rPr>
        <w:t>235).</w:t>
      </w:r>
    </w:p>
  </w:footnote>
  <w:footnote w:id="1152">
    <w:p w14:paraId="4F4B690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Health Complaints Act 1995 </w:t>
      </w:r>
      <w:r w:rsidRPr="00E7516E">
        <w:rPr>
          <w:rFonts w:cs="Times New Roman"/>
          <w:bCs/>
          <w:iCs/>
        </w:rPr>
        <w:t xml:space="preserve">(Tas) sch 1 pt 1. Note that services related to claims under the </w:t>
      </w:r>
      <w:r w:rsidRPr="00E7516E">
        <w:rPr>
          <w:rFonts w:cs="Times New Roman"/>
          <w:bCs/>
          <w:i/>
        </w:rPr>
        <w:t>Workers Rehabilitation and Compensation Act 1988</w:t>
      </w:r>
      <w:r w:rsidRPr="00E7516E">
        <w:rPr>
          <w:rFonts w:cs="Times New Roman"/>
          <w:bCs/>
          <w:iCs/>
        </w:rPr>
        <w:t xml:space="preserve"> (Tas) and action under the </w:t>
      </w:r>
      <w:r w:rsidRPr="00E7516E">
        <w:rPr>
          <w:rFonts w:cs="Times New Roman"/>
          <w:bCs/>
          <w:i/>
        </w:rPr>
        <w:t>Asbestos-Related Diseases (Occupational Exposure) Compensation Act 2011</w:t>
      </w:r>
      <w:r w:rsidRPr="00E7516E">
        <w:rPr>
          <w:rFonts w:cs="Times New Roman"/>
          <w:bCs/>
          <w:iCs/>
        </w:rPr>
        <w:t xml:space="preserve"> (Tas) are not health services: ibid sch 1 pt 2.</w:t>
      </w:r>
    </w:p>
  </w:footnote>
  <w:footnote w:id="1153">
    <w:p w14:paraId="1B08D9B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bCs/>
          <w:i/>
        </w:rPr>
        <w:t xml:space="preserve">Health Complaints Act 1995 </w:t>
      </w:r>
      <w:r w:rsidRPr="00E7516E">
        <w:rPr>
          <w:rFonts w:cs="Times New Roman"/>
          <w:bCs/>
          <w:iCs/>
        </w:rPr>
        <w:t xml:space="preserve">(Tas) ss 5, 6. </w:t>
      </w:r>
    </w:p>
  </w:footnote>
  <w:footnote w:id="1154">
    <w:p w14:paraId="3D94B60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Health Complaints Commissioner Tasmania, </w:t>
      </w:r>
      <w:r w:rsidRPr="00E7516E">
        <w:rPr>
          <w:rFonts w:cs="Times New Roman"/>
          <w:i/>
          <w:iCs/>
        </w:rPr>
        <w:t xml:space="preserve">About Us </w:t>
      </w:r>
      <w:r w:rsidRPr="00E7516E">
        <w:rPr>
          <w:rFonts w:cs="Times New Roman"/>
        </w:rPr>
        <w:t>(Web Page) &lt;</w:t>
      </w:r>
      <w:hyperlink r:id="rId40" w:history="1">
        <w:r w:rsidRPr="00E7516E">
          <w:rPr>
            <w:rStyle w:val="Hyperlink"/>
            <w:rFonts w:cs="Times New Roman"/>
          </w:rPr>
          <w:t>https://www.healthcomplaints.tas.gov.au/about-us</w:t>
        </w:r>
      </w:hyperlink>
      <w:r w:rsidRPr="00E7516E">
        <w:rPr>
          <w:rFonts w:cs="Times New Roman"/>
        </w:rPr>
        <w:t>&gt;.</w:t>
      </w:r>
    </w:p>
  </w:footnote>
  <w:footnote w:id="1155">
    <w:p w14:paraId="0D17995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23(1)(f).</w:t>
      </w:r>
    </w:p>
  </w:footnote>
  <w:footnote w:id="1156">
    <w:p w14:paraId="5D614E1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23(1)(i).</w:t>
      </w:r>
    </w:p>
  </w:footnote>
  <w:footnote w:id="1157">
    <w:p w14:paraId="78FD420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s 23(1)(k).</w:t>
      </w:r>
    </w:p>
  </w:footnote>
  <w:footnote w:id="1158">
    <w:p w14:paraId="26DC2FC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Ibid s 75.</w:t>
      </w:r>
    </w:p>
  </w:footnote>
  <w:footnote w:id="1159">
    <w:p w14:paraId="68211E7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Tasmanian</w:t>
      </w:r>
      <w:r w:rsidRPr="00E7516E">
        <w:rPr>
          <w:rFonts w:cs="Times New Roman"/>
        </w:rPr>
        <w:t xml:space="preserve"> </w:t>
      </w:r>
      <w:r w:rsidRPr="00E7516E">
        <w:rPr>
          <w:rFonts w:cs="Times New Roman"/>
          <w:bCs/>
          <w:i/>
        </w:rPr>
        <w:t xml:space="preserve">Charter of Health Rights and Responsibilities </w:t>
      </w:r>
      <w:r w:rsidRPr="00E7516E">
        <w:rPr>
          <w:rFonts w:cs="Times New Roman"/>
          <w:bCs/>
          <w:iCs/>
        </w:rPr>
        <w:t>arts 1, 3.</w:t>
      </w:r>
    </w:p>
  </w:footnote>
  <w:footnote w:id="1160">
    <w:p w14:paraId="599B624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25.</w:t>
      </w:r>
    </w:p>
  </w:footnote>
  <w:footnote w:id="1161">
    <w:p w14:paraId="3916E2F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62B.</w:t>
      </w:r>
    </w:p>
  </w:footnote>
  <w:footnote w:id="1162">
    <w:p w14:paraId="3E0ED489" w14:textId="55DD816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45</w:t>
      </w:r>
      <w:r w:rsidR="00AD58A7">
        <w:rPr>
          <w:rFonts w:cs="Times New Roman"/>
        </w:rPr>
        <w:t>.</w:t>
      </w:r>
    </w:p>
  </w:footnote>
  <w:footnote w:id="1163">
    <w:p w14:paraId="59FC5054" w14:textId="2DBA972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46</w:t>
      </w:r>
      <w:r w:rsidR="00AD58A7">
        <w:rPr>
          <w:rFonts w:cs="Times New Roman"/>
        </w:rPr>
        <w:t>.</w:t>
      </w:r>
    </w:p>
  </w:footnote>
  <w:footnote w:id="1164">
    <w:p w14:paraId="3FA28813" w14:textId="6A4660C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47</w:t>
      </w:r>
      <w:r w:rsidR="00AD58A7">
        <w:rPr>
          <w:rFonts w:cs="Times New Roman"/>
        </w:rPr>
        <w:t>.</w:t>
      </w:r>
    </w:p>
  </w:footnote>
  <w:footnote w:id="1165">
    <w:p w14:paraId="594B076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47A.</w:t>
      </w:r>
    </w:p>
  </w:footnote>
  <w:footnote w:id="1166">
    <w:p w14:paraId="2E681E1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65. These include penalties for recording, disclosing, or using confidential information gained through administration of the Act unless it is necessary for the purposes of the Act, expressly authorised or required under other legislation or regulations, or authorised in writing by the person to whom it relates. </w:t>
      </w:r>
    </w:p>
  </w:footnote>
  <w:footnote w:id="1167">
    <w:p w14:paraId="6B561A4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65(5). </w:t>
      </w:r>
    </w:p>
  </w:footnote>
  <w:footnote w:id="1168">
    <w:p w14:paraId="613A5CF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56(1), (2)</w:t>
      </w:r>
    </w:p>
  </w:footnote>
  <w:footnote w:id="1169">
    <w:p w14:paraId="170E88C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56(3).</w:t>
      </w:r>
    </w:p>
  </w:footnote>
  <w:footnote w:id="1170">
    <w:p w14:paraId="23A190C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Complaints Act 1995</w:t>
      </w:r>
      <w:r w:rsidRPr="00E7516E">
        <w:rPr>
          <w:rFonts w:cs="Times New Roman"/>
        </w:rPr>
        <w:t xml:space="preserve"> (Tas) s 56(3).</w:t>
      </w:r>
    </w:p>
  </w:footnote>
  <w:footnote w:id="1171">
    <w:p w14:paraId="083C30B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i/>
        </w:rPr>
        <w:t xml:space="preserve"> </w:t>
      </w:r>
      <w:r w:rsidRPr="00E7516E">
        <w:rPr>
          <w:rFonts w:cs="Times New Roman"/>
          <w:bCs/>
          <w:i/>
        </w:rPr>
        <w:t xml:space="preserve">Forensic Procedures Act 2000 </w:t>
      </w:r>
      <w:r w:rsidRPr="00E7516E">
        <w:rPr>
          <w:rFonts w:cs="Times New Roman"/>
          <w:bCs/>
          <w:iCs/>
        </w:rPr>
        <w:t>(Tas) ss</w:t>
      </w:r>
      <w:r w:rsidRPr="00E7516E">
        <w:rPr>
          <w:rFonts w:cs="Times New Roman"/>
        </w:rPr>
        <w:t xml:space="preserve"> 34K(1)(b), 35(a). </w:t>
      </w:r>
    </w:p>
  </w:footnote>
  <w:footnote w:id="1172">
    <w:p w14:paraId="08265B3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Health Care Complaints Act 1993 </w:t>
      </w:r>
      <w:r w:rsidRPr="00E7516E">
        <w:rPr>
          <w:rFonts w:cs="Times New Roman"/>
        </w:rPr>
        <w:t>(NSW) s 76.</w:t>
      </w:r>
    </w:p>
  </w:footnote>
  <w:footnote w:id="1173">
    <w:p w14:paraId="4286FCD1" w14:textId="77777777" w:rsidR="00FF302D" w:rsidRPr="00E7516E" w:rsidRDefault="00FF302D" w:rsidP="00E7516E">
      <w:pPr>
        <w:pStyle w:val="Dotpointlist"/>
        <w:numPr>
          <w:ilvl w:val="0"/>
          <w:numId w:val="0"/>
        </w:numPr>
        <w:spacing w:after="0" w:line="240" w:lineRule="auto"/>
        <w:rPr>
          <w:rFonts w:ascii="Times New Roman" w:hAnsi="Times New Roman" w:cs="Times New Roman"/>
          <w:sz w:val="20"/>
          <w:szCs w:val="20"/>
        </w:rPr>
      </w:pPr>
      <w:r w:rsidRPr="00E7516E">
        <w:rPr>
          <w:rStyle w:val="FootnoteReference"/>
          <w:rFonts w:ascii="Times New Roman" w:hAnsi="Times New Roman" w:cs="Times New Roman"/>
          <w:szCs w:val="20"/>
        </w:rPr>
        <w:footnoteRef/>
      </w:r>
      <w:r w:rsidRPr="00E7516E">
        <w:rPr>
          <w:rFonts w:ascii="Times New Roman" w:hAnsi="Times New Roman" w:cs="Times New Roman"/>
          <w:sz w:val="20"/>
          <w:szCs w:val="20"/>
        </w:rPr>
        <w:t xml:space="preserve"> </w:t>
      </w:r>
      <w:r w:rsidRPr="00E7516E">
        <w:rPr>
          <w:rFonts w:ascii="Times New Roman" w:hAnsi="Times New Roman" w:cs="Times New Roman"/>
          <w:i/>
          <w:iCs/>
          <w:sz w:val="20"/>
          <w:szCs w:val="20"/>
        </w:rPr>
        <w:t xml:space="preserve">Health Ombudsman Act 2013 </w:t>
      </w:r>
      <w:r w:rsidRPr="00E7516E">
        <w:rPr>
          <w:rFonts w:ascii="Times New Roman" w:hAnsi="Times New Roman" w:cs="Times New Roman"/>
          <w:sz w:val="20"/>
          <w:szCs w:val="20"/>
        </w:rPr>
        <w:t>(Qld) s 24.</w:t>
      </w:r>
    </w:p>
  </w:footnote>
  <w:footnote w:id="1174">
    <w:p w14:paraId="4F9DA69B" w14:textId="77777777" w:rsidR="00FF302D" w:rsidRPr="00E7516E" w:rsidRDefault="00FF302D" w:rsidP="00E7516E">
      <w:pPr>
        <w:pStyle w:val="Dotpointlist"/>
        <w:numPr>
          <w:ilvl w:val="0"/>
          <w:numId w:val="0"/>
        </w:numPr>
        <w:spacing w:after="0" w:line="240" w:lineRule="auto"/>
        <w:rPr>
          <w:rFonts w:ascii="Times New Roman" w:hAnsi="Times New Roman" w:cs="Times New Roman"/>
          <w:sz w:val="20"/>
          <w:szCs w:val="20"/>
        </w:rPr>
      </w:pPr>
      <w:r w:rsidRPr="00E7516E">
        <w:rPr>
          <w:rStyle w:val="FootnoteReference"/>
          <w:rFonts w:ascii="Times New Roman" w:hAnsi="Times New Roman" w:cs="Times New Roman"/>
          <w:szCs w:val="20"/>
        </w:rPr>
        <w:footnoteRef/>
      </w:r>
      <w:r w:rsidRPr="00E7516E">
        <w:rPr>
          <w:rFonts w:ascii="Times New Roman" w:hAnsi="Times New Roman" w:cs="Times New Roman"/>
          <w:sz w:val="20"/>
          <w:szCs w:val="20"/>
        </w:rPr>
        <w:t xml:space="preserve"> </w:t>
      </w:r>
      <w:r w:rsidRPr="00E7516E">
        <w:rPr>
          <w:rStyle w:val="Emphasis"/>
          <w:rFonts w:ascii="Times New Roman" w:hAnsi="Times New Roman" w:cs="Times New Roman"/>
          <w:color w:val="000000"/>
          <w:sz w:val="20"/>
          <w:shd w:val="clear" w:color="auto" w:fill="FFFEFE"/>
        </w:rPr>
        <w:t>Health Complaints Act 2016</w:t>
      </w:r>
      <w:r w:rsidRPr="00E7516E">
        <w:rPr>
          <w:rFonts w:ascii="Times New Roman" w:hAnsi="Times New Roman" w:cs="Times New Roman"/>
          <w:sz w:val="20"/>
          <w:szCs w:val="20"/>
        </w:rPr>
        <w:t xml:space="preserve"> (Vic) s 110.</w:t>
      </w:r>
    </w:p>
  </w:footnote>
  <w:footnote w:id="1175">
    <w:p w14:paraId="6E0D697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Health and Disability Services (Complaints) Act</w:t>
      </w:r>
      <w:r w:rsidRPr="00E7516E">
        <w:rPr>
          <w:rFonts w:cs="Times New Roman"/>
        </w:rPr>
        <w:t xml:space="preserve"> 1995 (WA).</w:t>
      </w:r>
    </w:p>
  </w:footnote>
  <w:footnote w:id="1176">
    <w:p w14:paraId="1394D0CE" w14:textId="5D9358F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potential value of privacy codes is discussed </w:t>
      </w:r>
      <w:r w:rsidRPr="003215A2">
        <w:rPr>
          <w:rFonts w:cs="Times New Roman"/>
        </w:rPr>
        <w:t xml:space="preserve">in </w:t>
      </w:r>
      <w:r w:rsidRPr="00EA22F8">
        <w:rPr>
          <w:rFonts w:cs="Times New Roman"/>
        </w:rPr>
        <w:t>Part 8</w:t>
      </w:r>
      <w:r w:rsidRPr="00E7516E">
        <w:rPr>
          <w:rFonts w:cs="Times New Roman"/>
        </w:rPr>
        <w:t xml:space="preserve"> of this Report.</w:t>
      </w:r>
    </w:p>
  </w:footnote>
  <w:footnote w:id="1177">
    <w:p w14:paraId="4F1B33F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example, </w:t>
      </w:r>
      <w:r w:rsidRPr="00E7516E">
        <w:rPr>
          <w:rFonts w:cs="Times New Roman"/>
          <w:i/>
        </w:rPr>
        <w:t xml:space="preserve">R v Brown </w:t>
      </w:r>
      <w:r w:rsidRPr="00E7516E">
        <w:rPr>
          <w:rFonts w:cs="Times New Roman"/>
        </w:rPr>
        <w:t>[2014] TASSC 18</w:t>
      </w:r>
      <w:r w:rsidRPr="00E7516E">
        <w:rPr>
          <w:rFonts w:cs="Times New Roman"/>
          <w:iCs/>
        </w:rPr>
        <w:t>;</w:t>
      </w:r>
      <w:r w:rsidRPr="00E7516E">
        <w:rPr>
          <w:rFonts w:cs="Times New Roman"/>
          <w:i/>
        </w:rPr>
        <w:t xml:space="preserve"> R v Pettit </w:t>
      </w:r>
      <w:r w:rsidRPr="00E7516E">
        <w:rPr>
          <w:rFonts w:cs="Times New Roman"/>
        </w:rPr>
        <w:t>[2015] TASSC 14</w:t>
      </w:r>
      <w:r w:rsidRPr="00E7516E">
        <w:rPr>
          <w:rFonts w:cs="Times New Roman"/>
          <w:iCs/>
        </w:rPr>
        <w:t>;</w:t>
      </w:r>
      <w:r w:rsidRPr="00E7516E">
        <w:rPr>
          <w:rFonts w:cs="Times New Roman"/>
          <w:i/>
        </w:rPr>
        <w:t xml:space="preserve"> Tasmania v Wykes</w:t>
      </w:r>
      <w:r w:rsidRPr="00E7516E">
        <w:rPr>
          <w:rFonts w:cs="Times New Roman"/>
        </w:rPr>
        <w:t xml:space="preserve"> [2019] TASSC 18; </w:t>
      </w:r>
      <w:r w:rsidRPr="00E7516E">
        <w:rPr>
          <w:rFonts w:cs="Times New Roman"/>
          <w:i/>
        </w:rPr>
        <w:t>Carnevale v Baker</w:t>
      </w:r>
      <w:r w:rsidRPr="00E7516E">
        <w:rPr>
          <w:rFonts w:cs="Times New Roman"/>
        </w:rPr>
        <w:t xml:space="preserve"> [1996] TASSC 9 [20]; </w:t>
      </w:r>
      <w:r w:rsidRPr="00E7516E">
        <w:rPr>
          <w:rFonts w:cs="Times New Roman"/>
          <w:i/>
        </w:rPr>
        <w:t>Tasmania v Melick</w:t>
      </w:r>
      <w:r w:rsidRPr="00E7516E">
        <w:rPr>
          <w:rFonts w:cs="Times New Roman"/>
        </w:rPr>
        <w:t xml:space="preserve"> [2019] TASSC 19 [13], [20](d); </w:t>
      </w:r>
      <w:r w:rsidRPr="00E7516E">
        <w:rPr>
          <w:rFonts w:cs="Times New Roman"/>
          <w:i/>
          <w:iCs/>
        </w:rPr>
        <w:t xml:space="preserve">Sierra 4 v Moles </w:t>
      </w:r>
      <w:r w:rsidRPr="00E7516E">
        <w:rPr>
          <w:rFonts w:cs="Times New Roman"/>
        </w:rPr>
        <w:t>[1994] TASSC 38.</w:t>
      </w:r>
    </w:p>
  </w:footnote>
  <w:footnote w:id="1178">
    <w:p w14:paraId="61A68A3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Giller v Procopets [No 2] </w:t>
      </w:r>
      <w:r w:rsidRPr="00E7516E">
        <w:rPr>
          <w:rFonts w:cs="Times New Roman"/>
        </w:rPr>
        <w:t xml:space="preserve">(2008) 24 VR 1; </w:t>
      </w:r>
      <w:r w:rsidRPr="00E7516E">
        <w:rPr>
          <w:rFonts w:cs="Times New Roman"/>
          <w:i/>
        </w:rPr>
        <w:t xml:space="preserve">Wilson v Ferguson </w:t>
      </w:r>
      <w:r w:rsidRPr="00E7516E">
        <w:rPr>
          <w:rFonts w:cs="Times New Roman"/>
        </w:rPr>
        <w:t>[2015] WASC 15.</w:t>
      </w:r>
    </w:p>
  </w:footnote>
  <w:footnote w:id="1179">
    <w:p w14:paraId="4D112BE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Australian Broadcasting Corporation v Lenah Game Meats Pty Ltd</w:t>
      </w:r>
      <w:r w:rsidRPr="00E7516E">
        <w:rPr>
          <w:rFonts w:cs="Times New Roman"/>
        </w:rPr>
        <w:t xml:space="preserve"> </w:t>
      </w:r>
      <w:r w:rsidRPr="00E7516E">
        <w:rPr>
          <w:rFonts w:cs="Times New Roman"/>
          <w:color w:val="000000" w:themeColor="text1"/>
        </w:rPr>
        <w:t>(2001) 208 CLR 199 (‘</w:t>
      </w:r>
      <w:r w:rsidRPr="00E7516E">
        <w:rPr>
          <w:rFonts w:cs="Times New Roman"/>
          <w:i/>
        </w:rPr>
        <w:t>Lenah Game Meats</w:t>
      </w:r>
      <w:r w:rsidRPr="00E7516E">
        <w:rPr>
          <w:rFonts w:cs="Times New Roman"/>
          <w:color w:val="000000" w:themeColor="text1"/>
        </w:rPr>
        <w:t>’).</w:t>
      </w:r>
    </w:p>
  </w:footnote>
  <w:footnote w:id="1180">
    <w:p w14:paraId="26CD5704"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Grosse v Purvis </w:t>
      </w:r>
      <w:r w:rsidRPr="00E7516E">
        <w:rPr>
          <w:rFonts w:cs="Times New Roman"/>
        </w:rPr>
        <w:t xml:space="preserve">[2003] QDC 151; </w:t>
      </w:r>
      <w:r w:rsidRPr="00E7516E">
        <w:rPr>
          <w:rFonts w:cs="Times New Roman"/>
          <w:i/>
        </w:rPr>
        <w:t xml:space="preserve">Doe v Australian Broadcasting Corporation </w:t>
      </w:r>
      <w:r w:rsidRPr="00E7516E">
        <w:rPr>
          <w:rFonts w:cs="Times New Roman"/>
        </w:rPr>
        <w:t>[2007] VCC 281.</w:t>
      </w:r>
    </w:p>
  </w:footnote>
  <w:footnote w:id="1181">
    <w:p w14:paraId="2E900D18" w14:textId="5EC64698" w:rsidR="00FF302D" w:rsidRPr="00E7516E"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See </w:t>
      </w:r>
      <w:r w:rsidR="004933B9" w:rsidRPr="00EA22F8">
        <w:rPr>
          <w:rFonts w:cs="Times New Roman"/>
        </w:rPr>
        <w:fldChar w:fldCharType="begin"/>
      </w:r>
      <w:r w:rsidR="004933B9" w:rsidRPr="00EA22F8">
        <w:rPr>
          <w:rFonts w:cs="Times New Roman"/>
        </w:rPr>
        <w:instrText xml:space="preserve"> REF _Ref146701574 \r \h </w:instrText>
      </w:r>
      <w:r w:rsidR="004933B9">
        <w:rPr>
          <w:rFonts w:cs="Times New Roman"/>
        </w:rPr>
        <w:instrText xml:space="preserve"> \* MERGEFORMAT </w:instrText>
      </w:r>
      <w:r w:rsidR="004933B9" w:rsidRPr="00EA22F8">
        <w:rPr>
          <w:rFonts w:cs="Times New Roman"/>
        </w:rPr>
      </w:r>
      <w:r w:rsidR="004933B9" w:rsidRPr="00EA22F8">
        <w:rPr>
          <w:rFonts w:cs="Times New Roman"/>
        </w:rPr>
        <w:fldChar w:fldCharType="separate"/>
      </w:r>
      <w:r w:rsidR="00462C30">
        <w:rPr>
          <w:rFonts w:cs="Times New Roman"/>
          <w:cs/>
        </w:rPr>
        <w:t>‎</w:t>
      </w:r>
      <w:r w:rsidR="00B416BC">
        <w:rPr>
          <w:rFonts w:cs="Times New Roman"/>
        </w:rPr>
        <w:t>[</w:t>
      </w:r>
      <w:r w:rsidR="00462C30">
        <w:rPr>
          <w:rFonts w:cs="Times New Roman"/>
        </w:rPr>
        <w:t>11.3.5</w:t>
      </w:r>
      <w:r w:rsidR="004933B9" w:rsidRPr="00EA22F8">
        <w:rPr>
          <w:rFonts w:cs="Times New Roman"/>
        </w:rPr>
        <w:fldChar w:fldCharType="end"/>
      </w:r>
      <w:r w:rsidR="004933B9" w:rsidRPr="00EA22F8">
        <w:rPr>
          <w:rFonts w:cs="Times New Roman"/>
        </w:rPr>
        <w:t>]</w:t>
      </w:r>
      <w:r w:rsidRPr="00EA22F8">
        <w:rPr>
          <w:rFonts w:cs="Times New Roman"/>
        </w:rPr>
        <w:t xml:space="preserve"> below.</w:t>
      </w:r>
    </w:p>
  </w:footnote>
  <w:footnote w:id="1182">
    <w:p w14:paraId="675326FC" w14:textId="34D935C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Lenah Game Meats</w:t>
      </w:r>
      <w:r w:rsidRPr="00E7516E">
        <w:rPr>
          <w:rFonts w:cs="Times New Roman"/>
          <w:color w:val="000000" w:themeColor="text1"/>
        </w:rPr>
        <w:t>.</w:t>
      </w:r>
    </w:p>
  </w:footnote>
  <w:footnote w:id="1183">
    <w:p w14:paraId="7C0B868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Jelena Gligorijevic, ‘A Common Law Tort of Interference with Privacy for Australia: Reaffirming </w:t>
      </w:r>
      <w:r w:rsidRPr="00E7516E">
        <w:rPr>
          <w:rFonts w:cs="Times New Roman"/>
          <w:i/>
          <w:iCs/>
        </w:rPr>
        <w:t>ABC v Lenah Game Meats</w:t>
      </w:r>
      <w:r w:rsidRPr="00E7516E">
        <w:rPr>
          <w:rFonts w:cs="Times New Roman"/>
        </w:rPr>
        <w:t xml:space="preserve">’ (2021) 44(2) </w:t>
      </w:r>
      <w:r w:rsidRPr="00E7516E">
        <w:rPr>
          <w:rFonts w:cs="Times New Roman"/>
          <w:i/>
        </w:rPr>
        <w:t xml:space="preserve">University of New South Wales Law Journal </w:t>
      </w:r>
      <w:r w:rsidRPr="00E7516E">
        <w:rPr>
          <w:rFonts w:cs="Times New Roman"/>
        </w:rPr>
        <w:t xml:space="preserve">673, 686–7 (‘Reaffirming </w:t>
      </w:r>
      <w:r w:rsidRPr="00E7516E">
        <w:rPr>
          <w:rFonts w:cs="Times New Roman"/>
          <w:i/>
          <w:iCs/>
        </w:rPr>
        <w:t>ABC v Lenah Game Meats</w:t>
      </w:r>
      <w:r w:rsidRPr="00E7516E">
        <w:rPr>
          <w:rFonts w:cs="Times New Roman"/>
        </w:rPr>
        <w:t>’</w:t>
      </w:r>
      <w:r w:rsidRPr="00E7516E" w:rsidDel="00E25E8F">
        <w:rPr>
          <w:rFonts w:cs="Times New Roman"/>
        </w:rPr>
        <w:t>)</w:t>
      </w:r>
      <w:r w:rsidRPr="00E7516E">
        <w:rPr>
          <w:rFonts w:cs="Times New Roman"/>
        </w:rPr>
        <w:t>.</w:t>
      </w:r>
    </w:p>
  </w:footnote>
  <w:footnote w:id="1184">
    <w:p w14:paraId="613417D2" w14:textId="069F3843"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Victoria Park Racing and Recreation Grounds Co Ltd v Taylor </w:t>
      </w:r>
      <w:r w:rsidRPr="00E7516E">
        <w:rPr>
          <w:rFonts w:cs="Times New Roman"/>
        </w:rPr>
        <w:t>(1937) 58 CLR 479; see, eg,</w:t>
      </w:r>
      <w:r w:rsidRPr="00E7516E">
        <w:rPr>
          <w:rFonts w:cs="Times New Roman"/>
          <w:i/>
          <w:iCs/>
        </w:rPr>
        <w:t xml:space="preserve"> Lenah Game Meats</w:t>
      </w:r>
      <w:r w:rsidRPr="00E7516E">
        <w:rPr>
          <w:rFonts w:cs="Times New Roman"/>
        </w:rPr>
        <w:t xml:space="preserve"> (n </w:t>
      </w:r>
      <w:r w:rsidRPr="00E7516E">
        <w:rPr>
          <w:rFonts w:cs="Times New Roman"/>
        </w:rPr>
        <w:fldChar w:fldCharType="begin"/>
      </w:r>
      <w:r w:rsidRPr="00E7516E">
        <w:rPr>
          <w:rFonts w:cs="Times New Roman"/>
        </w:rPr>
        <w:instrText xml:space="preserve"> NOTEREF _Ref91831731 \h  \* MERGEFORMAT </w:instrText>
      </w:r>
      <w:r w:rsidRPr="00E7516E">
        <w:rPr>
          <w:rFonts w:cs="Times New Roman"/>
        </w:rPr>
      </w:r>
      <w:r w:rsidRPr="00E7516E">
        <w:rPr>
          <w:rFonts w:cs="Times New Roman"/>
        </w:rPr>
        <w:fldChar w:fldCharType="separate"/>
      </w:r>
      <w:r w:rsidR="00462C30">
        <w:rPr>
          <w:rFonts w:cs="Times New Roman"/>
        </w:rPr>
        <w:t>1182</w:t>
      </w:r>
      <w:r w:rsidRPr="00E7516E">
        <w:rPr>
          <w:rFonts w:cs="Times New Roman"/>
        </w:rPr>
        <w:fldChar w:fldCharType="end"/>
      </w:r>
      <w:r w:rsidRPr="00E7516E">
        <w:rPr>
          <w:rFonts w:cs="Times New Roman"/>
        </w:rPr>
        <w:t>) [185]–[189].</w:t>
      </w:r>
    </w:p>
  </w:footnote>
  <w:footnote w:id="1185">
    <w:p w14:paraId="2682B107"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Smethurst v Commissioner of the Australian Federal Police</w:t>
      </w:r>
      <w:r w:rsidRPr="00E7516E">
        <w:rPr>
          <w:rFonts w:cs="Times New Roman"/>
        </w:rPr>
        <w:t xml:space="preserve"> </w:t>
      </w:r>
      <w:r w:rsidRPr="00E7516E">
        <w:rPr>
          <w:rFonts w:cs="Times New Roman"/>
          <w:iCs/>
        </w:rPr>
        <w:t>(2020) 94 ALJR 502</w:t>
      </w:r>
      <w:r w:rsidRPr="00E7516E">
        <w:rPr>
          <w:rFonts w:cs="Times New Roman"/>
        </w:rPr>
        <w:t>, [48], [86], [129].</w:t>
      </w:r>
    </w:p>
  </w:footnote>
  <w:footnote w:id="1186">
    <w:p w14:paraId="7ECE15EF"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Grosse v Purvis </w:t>
      </w:r>
      <w:r w:rsidRPr="00E7516E">
        <w:rPr>
          <w:rFonts w:cs="Times New Roman"/>
        </w:rPr>
        <w:t xml:space="preserve">[2003] QDC 151; </w:t>
      </w:r>
      <w:r w:rsidRPr="00E7516E">
        <w:rPr>
          <w:rFonts w:cs="Times New Roman"/>
          <w:i/>
        </w:rPr>
        <w:t xml:space="preserve">Doe v Australian Broadcasting Corporation </w:t>
      </w:r>
      <w:r w:rsidRPr="00E7516E">
        <w:rPr>
          <w:rFonts w:cs="Times New Roman"/>
        </w:rPr>
        <w:t>[2007] VCC 281.</w:t>
      </w:r>
    </w:p>
  </w:footnote>
  <w:footnote w:id="1187">
    <w:p w14:paraId="432C5B1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Kalaba v Commonwealth of Australia </w:t>
      </w:r>
      <w:r w:rsidRPr="00E7516E">
        <w:rPr>
          <w:rFonts w:cs="Times New Roman"/>
        </w:rPr>
        <w:t xml:space="preserve">[2004] FCA 763. It was also noted by Callinan J in </w:t>
      </w:r>
      <w:r w:rsidRPr="00E7516E">
        <w:rPr>
          <w:rFonts w:cs="Times New Roman"/>
          <w:i/>
        </w:rPr>
        <w:t xml:space="preserve">Batistatos v Roads &amp; Traffic Authority of New South Wales </w:t>
      </w:r>
      <w:r w:rsidRPr="00E7516E">
        <w:rPr>
          <w:rFonts w:cs="Times New Roman"/>
        </w:rPr>
        <w:t xml:space="preserve">(2006) 226 CLR 256, that, following </w:t>
      </w:r>
      <w:r w:rsidRPr="00E7516E">
        <w:rPr>
          <w:rFonts w:cs="Times New Roman"/>
          <w:i/>
        </w:rPr>
        <w:t>Lenah Game Meats</w:t>
      </w:r>
      <w:r w:rsidRPr="00E7516E">
        <w:rPr>
          <w:rFonts w:cs="Times New Roman"/>
          <w:iCs/>
        </w:rPr>
        <w:t xml:space="preserve">, </w:t>
      </w:r>
      <w:r w:rsidRPr="00E7516E">
        <w:rPr>
          <w:rFonts w:cs="Times New Roman"/>
        </w:rPr>
        <w:t>some courts’ refusal to recognise an actionable privacy claim means Australian common law is not yet ready to entertain standalone privacy claims: at [216].</w:t>
      </w:r>
    </w:p>
  </w:footnote>
  <w:footnote w:id="1188">
    <w:p w14:paraId="17AFAFD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iCs/>
        </w:rPr>
        <w:t xml:space="preserve">Giller v Procopets [No 2] </w:t>
      </w:r>
      <w:r w:rsidRPr="00E7516E">
        <w:rPr>
          <w:rFonts w:cs="Times New Roman"/>
        </w:rPr>
        <w:t xml:space="preserve">(2008) 24 VR 1; </w:t>
      </w:r>
      <w:r w:rsidRPr="00E7516E">
        <w:rPr>
          <w:rFonts w:cs="Times New Roman"/>
          <w:i/>
        </w:rPr>
        <w:t xml:space="preserve">Wilson v Ferguson </w:t>
      </w:r>
      <w:r w:rsidRPr="00E7516E">
        <w:rPr>
          <w:rFonts w:cs="Times New Roman"/>
        </w:rPr>
        <w:t>[2015] WASC 15.</w:t>
      </w:r>
    </w:p>
  </w:footnote>
  <w:footnote w:id="1189">
    <w:p w14:paraId="49FA8CB3"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E7516E">
        <w:rPr>
          <w:rFonts w:cs="Times New Roman"/>
          <w:i/>
        </w:rPr>
        <w:t xml:space="preserve">Wilson v Ferguson </w:t>
      </w:r>
      <w:r w:rsidRPr="00E7516E">
        <w:rPr>
          <w:rFonts w:cs="Times New Roman"/>
        </w:rPr>
        <w:t>[2015] WASC 15.</w:t>
      </w:r>
    </w:p>
  </w:footnote>
  <w:footnote w:id="1190">
    <w:p w14:paraId="2BF4799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Gligorijevic, ‘Reaffirming </w:t>
      </w:r>
      <w:r w:rsidRPr="00E7516E">
        <w:rPr>
          <w:rFonts w:cs="Times New Roman"/>
          <w:i/>
          <w:iCs/>
        </w:rPr>
        <w:t>ABC v Lenah Game Meats</w:t>
      </w:r>
      <w:r w:rsidRPr="00E7516E">
        <w:rPr>
          <w:rFonts w:cs="Times New Roman"/>
        </w:rPr>
        <w:t xml:space="preserve">’; </w:t>
      </w:r>
      <w:r w:rsidRPr="00E7516E">
        <w:rPr>
          <w:rFonts w:eastAsia="Times New Roman" w:cs="Times New Roman"/>
        </w:rPr>
        <w:t xml:space="preserve">J D Heydon, M J Leeming and P G Turner, </w:t>
      </w:r>
      <w:r w:rsidRPr="00E7516E">
        <w:rPr>
          <w:rFonts w:eastAsia="Times New Roman" w:cs="Times New Roman"/>
          <w:i/>
          <w:iCs/>
        </w:rPr>
        <w:t>Meagher, Gummow and Lehane’s Equity: Doctrines and Remedies</w:t>
      </w:r>
      <w:r w:rsidRPr="00E7516E">
        <w:rPr>
          <w:rFonts w:eastAsia="Times New Roman" w:cs="Times New Roman"/>
        </w:rPr>
        <w:t xml:space="preserve"> (LexisNexis Butterworths, 5</w:t>
      </w:r>
      <w:r w:rsidRPr="00E7516E">
        <w:rPr>
          <w:rFonts w:eastAsia="Times New Roman" w:cs="Times New Roman"/>
          <w:vertAlign w:val="superscript"/>
        </w:rPr>
        <w:t>th</w:t>
      </w:r>
      <w:r w:rsidRPr="00E7516E">
        <w:rPr>
          <w:rFonts w:eastAsia="Times New Roman" w:cs="Times New Roman"/>
        </w:rPr>
        <w:t xml:space="preserve"> ed, 2015)</w:t>
      </w:r>
      <w:r w:rsidRPr="00E7516E">
        <w:rPr>
          <w:rFonts w:cs="Times New Roman"/>
        </w:rPr>
        <w:t xml:space="preserve"> 882–883; </w:t>
      </w:r>
      <w:r w:rsidRPr="00E7516E">
        <w:rPr>
          <w:rFonts w:eastAsia="Times New Roman" w:cs="Times New Roman"/>
        </w:rPr>
        <w:t xml:space="preserve">P G Turner, ‘Privacy Remedies Viewed through an Equitable Lens’ in Jason N E Varuhas and N A Moreham (eds), </w:t>
      </w:r>
      <w:r w:rsidRPr="00E7516E">
        <w:rPr>
          <w:rFonts w:eastAsia="Times New Roman" w:cs="Times New Roman"/>
          <w:i/>
          <w:iCs/>
        </w:rPr>
        <w:t>Remedies for Breach of Privacy</w:t>
      </w:r>
      <w:r w:rsidRPr="00E7516E">
        <w:rPr>
          <w:rFonts w:eastAsia="Times New Roman" w:cs="Times New Roman"/>
        </w:rPr>
        <w:t xml:space="preserve"> (Hart Publishing, 2018) 265</w:t>
      </w:r>
      <w:r w:rsidRPr="00E7516E">
        <w:rPr>
          <w:rFonts w:cs="Times New Roman"/>
        </w:rPr>
        <w:t>.</w:t>
      </w:r>
    </w:p>
  </w:footnote>
  <w:footnote w:id="1191">
    <w:p w14:paraId="5CE918B4" w14:textId="5ECCB857" w:rsidR="00FF302D" w:rsidRPr="00E7516E" w:rsidRDefault="00FF302D" w:rsidP="00E7516E">
      <w:pPr>
        <w:pStyle w:val="FootnoteText"/>
        <w:jc w:val="left"/>
        <w:rPr>
          <w:rFonts w:cs="Times New Roman"/>
          <w:i/>
        </w:rPr>
      </w:pPr>
      <w:r w:rsidRPr="00E7516E">
        <w:rPr>
          <w:rStyle w:val="FootnoteReference"/>
          <w:rFonts w:ascii="Times New Roman" w:hAnsi="Times New Roman" w:cs="Times New Roman"/>
        </w:rPr>
        <w:footnoteRef/>
      </w:r>
      <w:r w:rsidRPr="00E7516E">
        <w:rPr>
          <w:rFonts w:cs="Times New Roman"/>
        </w:rPr>
        <w:t xml:space="preserve"> The development of common law privacy protection in jurisdictions outside Australia has largely been based on media intrusions: see, eg, </w:t>
      </w:r>
      <w:r w:rsidRPr="00E7516E">
        <w:rPr>
          <w:rFonts w:cs="Times New Roman"/>
          <w:i/>
        </w:rPr>
        <w:t xml:space="preserve">Campbell v MGN Ltd </w:t>
      </w:r>
      <w:r w:rsidRPr="00E7516E">
        <w:rPr>
          <w:rFonts w:cs="Times New Roman"/>
        </w:rPr>
        <w:t xml:space="preserve">[2004] 2 AC 457; </w:t>
      </w:r>
      <w:r w:rsidRPr="00E7516E">
        <w:rPr>
          <w:rFonts w:cs="Times New Roman"/>
          <w:i/>
        </w:rPr>
        <w:t xml:space="preserve">PJS v News Group Newspapers Ltd </w:t>
      </w:r>
      <w:r w:rsidRPr="00E7516E">
        <w:rPr>
          <w:rFonts w:cs="Times New Roman"/>
        </w:rPr>
        <w:t xml:space="preserve">[2016] AC 1081; </w:t>
      </w:r>
      <w:r w:rsidRPr="00E7516E">
        <w:rPr>
          <w:rFonts w:cs="Times New Roman"/>
          <w:i/>
        </w:rPr>
        <w:t xml:space="preserve">Hosking v Runting </w:t>
      </w:r>
      <w:r w:rsidRPr="00E7516E">
        <w:rPr>
          <w:rFonts w:cs="Times New Roman"/>
        </w:rPr>
        <w:t>[2005] 1 NZLR 1</w:t>
      </w:r>
      <w:r w:rsidRPr="00E7516E">
        <w:rPr>
          <w:rFonts w:cs="Times New Roman"/>
          <w:i/>
        </w:rPr>
        <w:t>.</w:t>
      </w:r>
      <w:r w:rsidRPr="00E7516E">
        <w:rPr>
          <w:rFonts w:cs="Times New Roman"/>
        </w:rPr>
        <w:t xml:space="preserve"> However, it is noted here and with </w:t>
      </w:r>
      <w:r w:rsidRPr="003215A2">
        <w:rPr>
          <w:rFonts w:cs="Times New Roman"/>
        </w:rPr>
        <w:t xml:space="preserve">regard to </w:t>
      </w:r>
      <w:r w:rsidRPr="00EA22F8">
        <w:rPr>
          <w:rFonts w:cs="Times New Roman"/>
        </w:rPr>
        <w:t>(</w:t>
      </w:r>
      <w:r w:rsidRPr="00EA22F8">
        <w:rPr>
          <w:rFonts w:cs="Times New Roman"/>
          <w:color w:val="000000"/>
          <w:lang w:eastAsia="en-GB"/>
        </w:rPr>
        <w:t xml:space="preserve">n </w:t>
      </w:r>
      <w:r w:rsidR="00500539" w:rsidRPr="00EA22F8">
        <w:rPr>
          <w:rFonts w:cs="Times New Roman"/>
          <w:color w:val="000000"/>
          <w:lang w:eastAsia="en-GB"/>
        </w:rPr>
        <w:t>1198</w:t>
      </w:r>
      <w:r w:rsidRPr="00EA22F8">
        <w:rPr>
          <w:rFonts w:cs="Times New Roman"/>
          <w:color w:val="000000"/>
          <w:lang w:eastAsia="en-GB"/>
        </w:rPr>
        <w:t>)</w:t>
      </w:r>
      <w:r w:rsidRPr="00E7516E">
        <w:rPr>
          <w:rFonts w:cs="Times New Roman"/>
          <w:color w:val="000000"/>
          <w:lang w:eastAsia="en-GB"/>
        </w:rPr>
        <w:t xml:space="preserve"> that</w:t>
      </w:r>
      <w:r w:rsidRPr="00E7516E">
        <w:rPr>
          <w:rFonts w:cs="Times New Roman"/>
        </w:rPr>
        <w:t xml:space="preserve"> cases in the jurisdiction of the United Kingdom must be seen against the backdrop of the </w:t>
      </w:r>
      <w:r w:rsidRPr="00E7516E">
        <w:rPr>
          <w:rFonts w:cs="Times New Roman"/>
          <w:i/>
          <w:iCs/>
        </w:rPr>
        <w:t>Human Rights Act 1998</w:t>
      </w:r>
      <w:r w:rsidRPr="00E7516E">
        <w:rPr>
          <w:rFonts w:cs="Times New Roman"/>
        </w:rPr>
        <w:t xml:space="preserve"> (UK), which implements relevant provisions of the European Court of Human Rights. Case law in the United Kingdom uses the language of a ‘reasonable expectation of privacy’, most recently being described as a tort of misuse of private information: see, eg, </w:t>
      </w:r>
      <w:r w:rsidRPr="00E7516E">
        <w:rPr>
          <w:rFonts w:cs="Times New Roman"/>
          <w:i/>
          <w:iCs/>
          <w:color w:val="000000"/>
          <w:lang w:eastAsia="en-GB"/>
        </w:rPr>
        <w:t>ZXC v Bloomberg LP</w:t>
      </w:r>
      <w:r w:rsidRPr="00E7516E">
        <w:rPr>
          <w:rFonts w:cs="Times New Roman"/>
          <w:color w:val="000000"/>
          <w:lang w:eastAsia="en-GB"/>
        </w:rPr>
        <w:t xml:space="preserve"> [2022] 2 WLR 424. </w:t>
      </w:r>
      <w:r w:rsidRPr="00E7516E">
        <w:rPr>
          <w:rFonts w:cs="Times New Roman"/>
        </w:rPr>
        <w:t xml:space="preserve">For the Council of Europe jurisdiction and the human right to a private and family life, see </w:t>
      </w:r>
      <w:r w:rsidRPr="00E7516E">
        <w:rPr>
          <w:rFonts w:eastAsia="Calibri" w:cs="Times New Roman"/>
          <w:i/>
          <w:color w:val="000000" w:themeColor="text1"/>
        </w:rPr>
        <w:t>Von</w:t>
      </w:r>
      <w:r w:rsidRPr="00E7516E">
        <w:rPr>
          <w:rFonts w:cs="Times New Roman"/>
          <w:i/>
          <w:color w:val="000000" w:themeColor="text1"/>
        </w:rPr>
        <w:t xml:space="preserve"> </w:t>
      </w:r>
      <w:r w:rsidRPr="00E7516E">
        <w:rPr>
          <w:rFonts w:eastAsia="Calibri" w:cs="Times New Roman"/>
          <w:i/>
          <w:color w:val="000000" w:themeColor="text1"/>
        </w:rPr>
        <w:t>Hannover</w:t>
      </w:r>
      <w:r w:rsidRPr="00E7516E">
        <w:rPr>
          <w:rFonts w:cs="Times New Roman"/>
          <w:i/>
          <w:color w:val="000000" w:themeColor="text1"/>
        </w:rPr>
        <w:t xml:space="preserve"> </w:t>
      </w:r>
      <w:r w:rsidRPr="00E7516E">
        <w:rPr>
          <w:rFonts w:eastAsia="Calibri" w:cs="Times New Roman"/>
          <w:i/>
          <w:color w:val="000000" w:themeColor="text1"/>
        </w:rPr>
        <w:t>v</w:t>
      </w:r>
      <w:r w:rsidRPr="00E7516E">
        <w:rPr>
          <w:rFonts w:cs="Times New Roman"/>
          <w:i/>
          <w:color w:val="000000" w:themeColor="text1"/>
        </w:rPr>
        <w:t xml:space="preserve"> </w:t>
      </w:r>
      <w:r w:rsidRPr="00E7516E">
        <w:rPr>
          <w:rFonts w:eastAsia="Calibri" w:cs="Times New Roman"/>
          <w:i/>
          <w:color w:val="000000" w:themeColor="text1"/>
        </w:rPr>
        <w:t xml:space="preserve">Germany </w:t>
      </w:r>
      <w:r w:rsidRPr="00E7516E">
        <w:rPr>
          <w:rFonts w:cs="Times New Roman"/>
          <w:i/>
          <w:color w:val="000000" w:themeColor="text1"/>
        </w:rPr>
        <w:t>(</w:t>
      </w:r>
      <w:r w:rsidRPr="00E7516E">
        <w:rPr>
          <w:rFonts w:eastAsia="Calibri" w:cs="Times New Roman"/>
          <w:i/>
          <w:color w:val="000000" w:themeColor="text1"/>
        </w:rPr>
        <w:t>No</w:t>
      </w:r>
      <w:r w:rsidRPr="00E7516E">
        <w:rPr>
          <w:rFonts w:cs="Times New Roman"/>
          <w:i/>
          <w:color w:val="000000" w:themeColor="text1"/>
        </w:rPr>
        <w:t xml:space="preserve"> 1) </w:t>
      </w:r>
      <w:r w:rsidRPr="00E7516E">
        <w:rPr>
          <w:rFonts w:cs="Times New Roman"/>
          <w:color w:val="000000" w:themeColor="text1"/>
        </w:rPr>
        <w:t xml:space="preserve">[2004] </w:t>
      </w:r>
      <w:r w:rsidRPr="00E7516E">
        <w:rPr>
          <w:rFonts w:eastAsia="Calibri" w:cs="Times New Roman"/>
          <w:color w:val="000000" w:themeColor="text1"/>
        </w:rPr>
        <w:t>EMLR</w:t>
      </w:r>
      <w:r w:rsidRPr="00E7516E">
        <w:rPr>
          <w:rFonts w:cs="Times New Roman"/>
          <w:color w:val="000000" w:themeColor="text1"/>
        </w:rPr>
        <w:t xml:space="preserve"> 21</w:t>
      </w:r>
      <w:r w:rsidRPr="00E7516E">
        <w:rPr>
          <w:rFonts w:cs="Times New Roman"/>
          <w:i/>
        </w:rPr>
        <w:t>.</w:t>
      </w:r>
    </w:p>
  </w:footnote>
  <w:footnote w:id="1192">
    <w:p w14:paraId="7565877B" w14:textId="18B7F878"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Such situations have resulted in equitable remedies in breach of confidence in some Australian courts: see, eg, </w:t>
      </w:r>
      <w:r w:rsidRPr="00E7516E">
        <w:rPr>
          <w:rFonts w:cs="Times New Roman"/>
          <w:i/>
        </w:rPr>
        <w:t>Giller v Procopets (No 2)</w:t>
      </w:r>
      <w:r w:rsidRPr="00E7516E">
        <w:rPr>
          <w:rFonts w:cs="Times New Roman"/>
        </w:rPr>
        <w:t xml:space="preserve"> (2008) 24 VR 1; cf </w:t>
      </w:r>
      <w:r w:rsidRPr="00E7516E">
        <w:rPr>
          <w:rFonts w:cs="Times New Roman"/>
          <w:i/>
          <w:iCs/>
        </w:rPr>
        <w:t>Wilson v Ferguson</w:t>
      </w:r>
      <w:r w:rsidRPr="00E7516E">
        <w:rPr>
          <w:rFonts w:cs="Times New Roman"/>
        </w:rPr>
        <w:t xml:space="preserve"> [2015] WASC 15. For a critical discussion of why equitable remedies are inappropriate for this type of harm, see </w:t>
      </w:r>
      <w:r w:rsidRPr="00E7516E">
        <w:rPr>
          <w:rFonts w:cs="Times New Roman"/>
          <w:color w:val="000000" w:themeColor="text1"/>
        </w:rPr>
        <w:t xml:space="preserve">Gligorijevic, ‘Reaffirming </w:t>
      </w:r>
      <w:r w:rsidRPr="00E7516E">
        <w:rPr>
          <w:rFonts w:cs="Times New Roman"/>
          <w:i/>
          <w:color w:val="000000" w:themeColor="text1"/>
        </w:rPr>
        <w:t>ABC v Lenah Game Meats</w:t>
      </w:r>
      <w:r w:rsidRPr="00E7516E">
        <w:rPr>
          <w:rFonts w:cs="Times New Roman"/>
          <w:iCs/>
          <w:color w:val="000000" w:themeColor="text1"/>
        </w:rPr>
        <w:t>’</w:t>
      </w:r>
      <w:r w:rsidRPr="00E7516E">
        <w:rPr>
          <w:rFonts w:cs="Times New Roman"/>
          <w:color w:val="000000" w:themeColor="text1"/>
        </w:rPr>
        <w:t>; and</w:t>
      </w:r>
      <w:r w:rsidRPr="00E7516E">
        <w:rPr>
          <w:rFonts w:cs="Times New Roman"/>
        </w:rPr>
        <w:t xml:space="preserve"> </w:t>
      </w:r>
      <w:r w:rsidRPr="00E7516E">
        <w:rPr>
          <w:rFonts w:eastAsia="Times New Roman" w:cs="Times New Roman"/>
        </w:rPr>
        <w:t>Tur</w:t>
      </w:r>
      <w:r w:rsidRPr="003215A2">
        <w:rPr>
          <w:rFonts w:eastAsia="Times New Roman" w:cs="Times New Roman"/>
        </w:rPr>
        <w:t>ner</w:t>
      </w:r>
      <w:r w:rsidR="00AF4C5C">
        <w:rPr>
          <w:rFonts w:eastAsia="Times New Roman" w:cs="Times New Roman"/>
        </w:rPr>
        <w:t xml:space="preserve">, ‘Privacy Remedies Viewed </w:t>
      </w:r>
      <w:r w:rsidR="0092206A">
        <w:rPr>
          <w:rFonts w:eastAsia="Times New Roman" w:cs="Times New Roman"/>
        </w:rPr>
        <w:t>through an Equitable Lens’</w:t>
      </w:r>
      <w:r w:rsidRPr="00E7516E">
        <w:rPr>
          <w:rFonts w:eastAsia="Times New Roman" w:cs="Times New Roman"/>
        </w:rPr>
        <w:t xml:space="preserve"> 265</w:t>
      </w:r>
      <w:r w:rsidRPr="00E7516E">
        <w:rPr>
          <w:rFonts w:cs="Times New Roman"/>
        </w:rPr>
        <w:t xml:space="preserve">. For an example of where a sexual photograph of an unidentifiable individual was made public and led to a remedy when litigated: see </w:t>
      </w:r>
      <w:r w:rsidRPr="00E7516E">
        <w:rPr>
          <w:rFonts w:cs="Times New Roman"/>
          <w:i/>
        </w:rPr>
        <w:t xml:space="preserve">L v G </w:t>
      </w:r>
      <w:r w:rsidRPr="00E7516E">
        <w:rPr>
          <w:rFonts w:cs="Times New Roman"/>
        </w:rPr>
        <w:t xml:space="preserve">[2002] DCR 234 (District Court of New Zealand). Judge Abbott reasoned that there was sufficient dignitary harm and humiliation in the fact that the plaintiff could identify herself from the photograph, and that that was sufficient to ground a remedy in tort </w:t>
      </w:r>
      <w:r w:rsidRPr="009146DF">
        <w:rPr>
          <w:rFonts w:cs="Times New Roman"/>
        </w:rPr>
        <w:t xml:space="preserve">law. </w:t>
      </w:r>
    </w:p>
  </w:footnote>
  <w:footnote w:id="1193">
    <w:p w14:paraId="530B6E9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Interim injunction applications in response to privacy blackmail threats are common in England and Wales. See, eg, </w:t>
      </w:r>
      <w:r w:rsidRPr="00E7516E">
        <w:rPr>
          <w:rFonts w:cs="Times New Roman"/>
          <w:i/>
        </w:rPr>
        <w:t xml:space="preserve">AMM v HXW </w:t>
      </w:r>
      <w:r w:rsidRPr="00E7516E">
        <w:rPr>
          <w:rFonts w:cs="Times New Roman"/>
        </w:rPr>
        <w:t xml:space="preserve">[2010] EWHC 2457 (QB); </w:t>
      </w:r>
      <w:r w:rsidRPr="00E7516E">
        <w:rPr>
          <w:rFonts w:eastAsia="Calibri" w:cs="Times New Roman"/>
          <w:bCs/>
          <w:i/>
          <w:color w:val="000000" w:themeColor="text1"/>
        </w:rPr>
        <w:t>KJH</w:t>
      </w:r>
      <w:r w:rsidRPr="00E7516E">
        <w:rPr>
          <w:rFonts w:cs="Times New Roman"/>
          <w:bCs/>
          <w:i/>
          <w:color w:val="000000" w:themeColor="text1"/>
        </w:rPr>
        <w:t xml:space="preserve"> </w:t>
      </w:r>
      <w:r w:rsidRPr="00E7516E">
        <w:rPr>
          <w:rFonts w:eastAsia="Calibri" w:cs="Times New Roman"/>
          <w:bCs/>
          <w:i/>
          <w:color w:val="000000" w:themeColor="text1"/>
        </w:rPr>
        <w:t>v</w:t>
      </w:r>
      <w:r w:rsidRPr="00E7516E">
        <w:rPr>
          <w:rFonts w:cs="Times New Roman"/>
          <w:bCs/>
          <w:i/>
          <w:color w:val="000000" w:themeColor="text1"/>
        </w:rPr>
        <w:t xml:space="preserve"> </w:t>
      </w:r>
      <w:r w:rsidRPr="00E7516E">
        <w:rPr>
          <w:rFonts w:eastAsia="Calibri" w:cs="Times New Roman"/>
          <w:bCs/>
          <w:i/>
          <w:color w:val="000000" w:themeColor="text1"/>
        </w:rPr>
        <w:t>HGF</w:t>
      </w:r>
      <w:r w:rsidRPr="00E7516E">
        <w:rPr>
          <w:rFonts w:cs="Times New Roman"/>
          <w:bCs/>
          <w:i/>
          <w:color w:val="000000" w:themeColor="text1"/>
        </w:rPr>
        <w:t xml:space="preserve"> </w:t>
      </w:r>
      <w:r w:rsidRPr="00E7516E">
        <w:rPr>
          <w:rFonts w:cs="Times New Roman"/>
          <w:bCs/>
          <w:color w:val="000000" w:themeColor="text1"/>
        </w:rPr>
        <w:t xml:space="preserve">[2010] </w:t>
      </w:r>
      <w:r w:rsidRPr="00E7516E">
        <w:rPr>
          <w:rFonts w:eastAsia="Calibri" w:cs="Times New Roman"/>
          <w:bCs/>
          <w:color w:val="000000" w:themeColor="text1"/>
        </w:rPr>
        <w:t>EWHC</w:t>
      </w:r>
      <w:r w:rsidRPr="00E7516E">
        <w:rPr>
          <w:rFonts w:cs="Times New Roman"/>
          <w:bCs/>
          <w:color w:val="000000" w:themeColor="text1"/>
        </w:rPr>
        <w:t xml:space="preserve"> 3064 (</w:t>
      </w:r>
      <w:r w:rsidRPr="00E7516E">
        <w:rPr>
          <w:rFonts w:eastAsia="Calibri" w:cs="Times New Roman"/>
          <w:bCs/>
          <w:color w:val="000000" w:themeColor="text1"/>
        </w:rPr>
        <w:t>QB</w:t>
      </w:r>
      <w:r w:rsidRPr="00E7516E">
        <w:rPr>
          <w:rFonts w:cs="Times New Roman"/>
          <w:bCs/>
          <w:color w:val="000000" w:themeColor="text1"/>
        </w:rPr>
        <w:t xml:space="preserve">); </w:t>
      </w:r>
      <w:r w:rsidRPr="00E7516E">
        <w:rPr>
          <w:rFonts w:cs="Times New Roman"/>
          <w:i/>
        </w:rPr>
        <w:t>LJY v Persons Unknown</w:t>
      </w:r>
      <w:r w:rsidRPr="00E7516E">
        <w:rPr>
          <w:rFonts w:cs="Times New Roman"/>
        </w:rPr>
        <w:t xml:space="preserve"> [2018] </w:t>
      </w:r>
      <w:r w:rsidRPr="00E7516E">
        <w:rPr>
          <w:rFonts w:eastAsia="Calibri" w:cs="Times New Roman"/>
        </w:rPr>
        <w:t>EMLR 9</w:t>
      </w:r>
      <w:r w:rsidRPr="00E7516E">
        <w:rPr>
          <w:rFonts w:cs="Times New Roman"/>
          <w:bCs/>
          <w:color w:val="000000" w:themeColor="text1"/>
        </w:rPr>
        <w:t xml:space="preserve">; </w:t>
      </w:r>
      <w:r w:rsidRPr="00E7516E">
        <w:rPr>
          <w:rFonts w:cs="Times New Roman"/>
          <w:i/>
          <w:color w:val="000000" w:themeColor="text1"/>
        </w:rPr>
        <w:t>AXB v BXA</w:t>
      </w:r>
      <w:r w:rsidRPr="00E7516E">
        <w:rPr>
          <w:rFonts w:cs="Times New Roman"/>
          <w:color w:val="000000" w:themeColor="text1"/>
        </w:rPr>
        <w:t xml:space="preserve"> [2018] EWHC 588 (QB).</w:t>
      </w:r>
    </w:p>
  </w:footnote>
  <w:footnote w:id="1194">
    <w:p w14:paraId="789DBEA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an instance of media misuse of private information in such circumstances in England, see </w:t>
      </w:r>
      <w:r w:rsidRPr="00E7516E">
        <w:rPr>
          <w:rFonts w:cs="Times New Roman"/>
          <w:i/>
        </w:rPr>
        <w:t xml:space="preserve">Richard v British Broadcasting Corporation </w:t>
      </w:r>
      <w:r w:rsidRPr="00E7516E">
        <w:rPr>
          <w:rFonts w:cs="Times New Roman"/>
          <w:iCs/>
        </w:rPr>
        <w:t>[2019] ch 169</w:t>
      </w:r>
      <w:r w:rsidRPr="00E7516E">
        <w:rPr>
          <w:rFonts w:cs="Times New Roman"/>
        </w:rPr>
        <w:t xml:space="preserve">. See also NA Moreham and Y Tinsley, ‘Media Intrusion into Grief: Lessons from the Pike River Mining Disaster’ in AT Kenyon (ed), </w:t>
      </w:r>
      <w:r w:rsidRPr="00E7516E">
        <w:rPr>
          <w:rFonts w:cs="Times New Roman"/>
          <w:i/>
        </w:rPr>
        <w:t>Comparative Defamation and Privacy Law</w:t>
      </w:r>
      <w:r w:rsidRPr="00E7516E">
        <w:rPr>
          <w:rFonts w:cs="Times New Roman"/>
        </w:rPr>
        <w:t xml:space="preserve"> (Cambridge University Press, 2016) 115.</w:t>
      </w:r>
    </w:p>
  </w:footnote>
  <w:footnote w:id="1195">
    <w:p w14:paraId="56A8619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w:t>
      </w:r>
      <w:r w:rsidRPr="00E7516E">
        <w:rPr>
          <w:rFonts w:cs="Times New Roman"/>
          <w:color w:val="000000" w:themeColor="text1"/>
        </w:rPr>
        <w:t xml:space="preserve">Jelena Gligorijevic, ‘Children’s Privacy: The Role of Parental Control and Consent’ (2019) 19(2) </w:t>
      </w:r>
      <w:r w:rsidRPr="00E7516E">
        <w:rPr>
          <w:rFonts w:cs="Times New Roman"/>
          <w:i/>
          <w:color w:val="000000" w:themeColor="text1"/>
        </w:rPr>
        <w:t>Human Rights Law Review</w:t>
      </w:r>
      <w:r w:rsidRPr="00E7516E">
        <w:rPr>
          <w:rFonts w:cs="Times New Roman"/>
          <w:color w:val="000000" w:themeColor="text1"/>
        </w:rPr>
        <w:t xml:space="preserve"> 201</w:t>
      </w:r>
      <w:r w:rsidRPr="00E7516E">
        <w:rPr>
          <w:rFonts w:cs="Times New Roman"/>
        </w:rPr>
        <w:t>.</w:t>
      </w:r>
    </w:p>
  </w:footnote>
  <w:footnote w:id="1196">
    <w:p w14:paraId="14B5A69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a summary of how the courts in England and Wales have addressed the conflict between privacy and open justice (and freedom of expression) in processes and publications associated with the administration of justice, see Jelena Gligorijevic, ‘Publication Restrictions on Judgements and Judicial Proceedings: Problems with the Presumptive Equivalence of Rights’ (2017) 9(2) </w:t>
      </w:r>
      <w:r w:rsidRPr="00E7516E">
        <w:rPr>
          <w:rFonts w:cs="Times New Roman"/>
          <w:i/>
        </w:rPr>
        <w:t>Journal of Media Law</w:t>
      </w:r>
      <w:r w:rsidRPr="00E7516E">
        <w:rPr>
          <w:rFonts w:cs="Times New Roman"/>
        </w:rPr>
        <w:t xml:space="preserve"> 215.</w:t>
      </w:r>
    </w:p>
  </w:footnote>
  <w:footnote w:id="1197">
    <w:p w14:paraId="17C3DD0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For a summary of the public figure doctrine in English and Welsh privacy law and European human rights law: see Kirsty Hughes, ‘The Public Figure Doctrine and the Right to Privacy’ (2019) 78(1) </w:t>
      </w:r>
      <w:r w:rsidRPr="00E7516E">
        <w:rPr>
          <w:rFonts w:cs="Times New Roman"/>
          <w:i/>
        </w:rPr>
        <w:t>Cambridge Law Journal</w:t>
      </w:r>
      <w:r w:rsidRPr="00E7516E">
        <w:rPr>
          <w:rFonts w:cs="Times New Roman"/>
        </w:rPr>
        <w:t xml:space="preserve"> 70.</w:t>
      </w:r>
    </w:p>
  </w:footnote>
  <w:footnote w:id="1198">
    <w:p w14:paraId="5003DD11"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Such actions have resulted in privacy injunctions (at least interim injunctions) in the English and Welsh jurisdiction: see, eg, </w:t>
      </w:r>
      <w:r w:rsidRPr="00E7516E">
        <w:rPr>
          <w:rFonts w:eastAsia="Calibri" w:cs="Times New Roman"/>
          <w:i/>
          <w:color w:val="000000" w:themeColor="text1"/>
        </w:rPr>
        <w:t>CTB</w:t>
      </w:r>
      <w:r w:rsidRPr="00E7516E">
        <w:rPr>
          <w:rFonts w:cs="Times New Roman"/>
          <w:i/>
          <w:color w:val="000000" w:themeColor="text1"/>
        </w:rPr>
        <w:t xml:space="preserve"> </w:t>
      </w:r>
      <w:r w:rsidRPr="00E7516E">
        <w:rPr>
          <w:rFonts w:eastAsia="Calibri" w:cs="Times New Roman"/>
          <w:i/>
          <w:color w:val="000000" w:themeColor="text1"/>
        </w:rPr>
        <w:t>v</w:t>
      </w:r>
      <w:r w:rsidRPr="00E7516E">
        <w:rPr>
          <w:rFonts w:cs="Times New Roman"/>
          <w:i/>
          <w:color w:val="000000" w:themeColor="text1"/>
        </w:rPr>
        <w:t xml:space="preserve"> </w:t>
      </w:r>
      <w:r w:rsidRPr="00E7516E">
        <w:rPr>
          <w:rFonts w:eastAsia="Calibri" w:cs="Times New Roman"/>
          <w:i/>
          <w:color w:val="000000" w:themeColor="text1"/>
        </w:rPr>
        <w:t>NGN</w:t>
      </w:r>
      <w:r w:rsidRPr="00E7516E">
        <w:rPr>
          <w:rFonts w:cs="Times New Roman"/>
          <w:i/>
          <w:color w:val="000000" w:themeColor="text1"/>
        </w:rPr>
        <w:t xml:space="preserve"> </w:t>
      </w:r>
      <w:r w:rsidRPr="00E7516E">
        <w:rPr>
          <w:rFonts w:eastAsia="Calibri" w:cs="Times New Roman"/>
          <w:i/>
          <w:color w:val="000000" w:themeColor="text1"/>
        </w:rPr>
        <w:t>Ltd</w:t>
      </w:r>
      <w:r w:rsidRPr="00E7516E">
        <w:rPr>
          <w:rFonts w:cs="Times New Roman"/>
          <w:i/>
          <w:color w:val="000000" w:themeColor="text1"/>
        </w:rPr>
        <w:t xml:space="preserve"> </w:t>
      </w:r>
      <w:r w:rsidRPr="00E7516E">
        <w:rPr>
          <w:rFonts w:cs="Times New Roman"/>
          <w:color w:val="000000" w:themeColor="text1"/>
        </w:rPr>
        <w:t xml:space="preserve">[2011] </w:t>
      </w:r>
      <w:r w:rsidRPr="00E7516E">
        <w:rPr>
          <w:rFonts w:eastAsia="Calibri" w:cs="Times New Roman"/>
          <w:color w:val="000000" w:themeColor="text1"/>
        </w:rPr>
        <w:t>EWHC</w:t>
      </w:r>
      <w:r w:rsidRPr="00E7516E">
        <w:rPr>
          <w:rFonts w:cs="Times New Roman"/>
          <w:color w:val="000000" w:themeColor="text1"/>
        </w:rPr>
        <w:t xml:space="preserve"> 1326 (</w:t>
      </w:r>
      <w:r w:rsidRPr="00E7516E">
        <w:rPr>
          <w:rFonts w:eastAsia="Calibri" w:cs="Times New Roman"/>
          <w:color w:val="000000" w:themeColor="text1"/>
        </w:rPr>
        <w:t xml:space="preserve">QB); </w:t>
      </w:r>
      <w:r w:rsidRPr="00E7516E">
        <w:rPr>
          <w:rFonts w:cs="Times New Roman"/>
          <w:i/>
        </w:rPr>
        <w:t xml:space="preserve">PJS v News Group Newspapers Ltd </w:t>
      </w:r>
      <w:r w:rsidRPr="00E7516E">
        <w:rPr>
          <w:rFonts w:cs="Times New Roman"/>
        </w:rPr>
        <w:t xml:space="preserve">[2016] AC 1081. However, some such applications have also failed: see, eg, </w:t>
      </w:r>
      <w:r w:rsidRPr="00E7516E">
        <w:rPr>
          <w:rFonts w:eastAsia="Calibri" w:cs="Times New Roman"/>
          <w:i/>
          <w:color w:val="000000" w:themeColor="text1"/>
        </w:rPr>
        <w:t>Theakston</w:t>
      </w:r>
      <w:r w:rsidRPr="00E7516E">
        <w:rPr>
          <w:rFonts w:cs="Times New Roman"/>
          <w:i/>
          <w:color w:val="000000" w:themeColor="text1"/>
        </w:rPr>
        <w:t xml:space="preserve"> </w:t>
      </w:r>
      <w:r w:rsidRPr="00E7516E">
        <w:rPr>
          <w:rFonts w:eastAsia="Calibri" w:cs="Times New Roman"/>
          <w:i/>
          <w:color w:val="000000" w:themeColor="text1"/>
        </w:rPr>
        <w:t>v</w:t>
      </w:r>
      <w:r w:rsidRPr="00E7516E">
        <w:rPr>
          <w:rFonts w:cs="Times New Roman"/>
          <w:i/>
          <w:color w:val="000000" w:themeColor="text1"/>
        </w:rPr>
        <w:t xml:space="preserve"> </w:t>
      </w:r>
      <w:r w:rsidRPr="00E7516E">
        <w:rPr>
          <w:rFonts w:eastAsia="Calibri" w:cs="Times New Roman"/>
          <w:i/>
          <w:color w:val="000000" w:themeColor="text1"/>
        </w:rPr>
        <w:t>MGN</w:t>
      </w:r>
      <w:r w:rsidRPr="00E7516E">
        <w:rPr>
          <w:rFonts w:cs="Times New Roman"/>
          <w:i/>
          <w:color w:val="000000" w:themeColor="text1"/>
        </w:rPr>
        <w:t xml:space="preserve"> </w:t>
      </w:r>
      <w:r w:rsidRPr="00E7516E">
        <w:rPr>
          <w:rFonts w:eastAsia="Calibri" w:cs="Times New Roman"/>
          <w:i/>
          <w:color w:val="000000" w:themeColor="text1"/>
        </w:rPr>
        <w:t>Ltd</w:t>
      </w:r>
      <w:r w:rsidRPr="00E7516E">
        <w:rPr>
          <w:rFonts w:cs="Times New Roman"/>
          <w:color w:val="000000" w:themeColor="text1"/>
        </w:rPr>
        <w:t xml:space="preserve"> [2002] </w:t>
      </w:r>
      <w:r w:rsidRPr="00E7516E">
        <w:rPr>
          <w:rFonts w:eastAsia="Calibri" w:cs="Times New Roman"/>
          <w:color w:val="000000" w:themeColor="text1"/>
        </w:rPr>
        <w:t>EMLR 22</w:t>
      </w:r>
      <w:r w:rsidRPr="00E7516E">
        <w:rPr>
          <w:rFonts w:cs="Times New Roman"/>
        </w:rPr>
        <w:t xml:space="preserve">; </w:t>
      </w:r>
      <w:r w:rsidRPr="00E7516E">
        <w:rPr>
          <w:rFonts w:cs="Times New Roman"/>
          <w:i/>
        </w:rPr>
        <w:t>YXB v TNO</w:t>
      </w:r>
      <w:r w:rsidRPr="00E7516E">
        <w:rPr>
          <w:rFonts w:cs="Times New Roman"/>
        </w:rPr>
        <w:t xml:space="preserve"> [2015] EWHC 826 (QB). Other such cases resulted in anonymity orders, requiring any publication of the relevant information not to reveal the identity of the other party: see, eg, </w:t>
      </w:r>
      <w:r w:rsidRPr="00E7516E">
        <w:rPr>
          <w:rFonts w:cs="Times New Roman"/>
          <w:bCs/>
          <w:i/>
          <w:iCs/>
          <w:color w:val="000000" w:themeColor="text1"/>
        </w:rPr>
        <w:t>NEJ v BDZ</w:t>
      </w:r>
      <w:r w:rsidRPr="00E7516E">
        <w:rPr>
          <w:rFonts w:cs="Times New Roman"/>
          <w:bCs/>
          <w:color w:val="000000" w:themeColor="text1"/>
        </w:rPr>
        <w:t xml:space="preserve"> [2011] EWHC 1972 (QB); </w:t>
      </w:r>
      <w:r w:rsidRPr="00E7516E">
        <w:rPr>
          <w:rFonts w:cs="Times New Roman"/>
          <w:bCs/>
          <w:i/>
          <w:iCs/>
          <w:color w:val="000000" w:themeColor="text1"/>
        </w:rPr>
        <w:t xml:space="preserve">MJN v NGN Ltd </w:t>
      </w:r>
      <w:r w:rsidRPr="00E7516E">
        <w:rPr>
          <w:rFonts w:cs="Times New Roman"/>
          <w:bCs/>
          <w:iCs/>
          <w:color w:val="000000" w:themeColor="text1"/>
        </w:rPr>
        <w:t>[2011] EWHC 1192 (QB).</w:t>
      </w:r>
    </w:p>
  </w:footnote>
  <w:footnote w:id="1199">
    <w:p w14:paraId="3F44A87F" w14:textId="03481C6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00E7516E">
        <w:rPr>
          <w:rFonts w:eastAsia="Calibri" w:cs="Times New Roman"/>
          <w:bCs/>
          <w:i/>
          <w:color w:val="000000" w:themeColor="text1"/>
        </w:rPr>
        <w:t>Murray</w:t>
      </w:r>
      <w:r w:rsidRPr="00E7516E">
        <w:rPr>
          <w:rFonts w:cs="Times New Roman"/>
          <w:bCs/>
          <w:i/>
          <w:color w:val="000000" w:themeColor="text1"/>
        </w:rPr>
        <w:t xml:space="preserve"> </w:t>
      </w:r>
      <w:r w:rsidRPr="00E7516E">
        <w:rPr>
          <w:rFonts w:eastAsia="Calibri" w:cs="Times New Roman"/>
          <w:bCs/>
          <w:i/>
          <w:color w:val="000000" w:themeColor="text1"/>
        </w:rPr>
        <w:t>v</w:t>
      </w:r>
      <w:r w:rsidRPr="00E7516E">
        <w:rPr>
          <w:rFonts w:cs="Times New Roman"/>
          <w:bCs/>
          <w:i/>
          <w:color w:val="000000" w:themeColor="text1"/>
        </w:rPr>
        <w:t xml:space="preserve"> </w:t>
      </w:r>
      <w:r w:rsidRPr="00E7516E">
        <w:rPr>
          <w:rFonts w:eastAsia="Calibri" w:cs="Times New Roman"/>
          <w:bCs/>
          <w:i/>
          <w:color w:val="000000" w:themeColor="text1"/>
        </w:rPr>
        <w:t>Big</w:t>
      </w:r>
      <w:r w:rsidRPr="00E7516E">
        <w:rPr>
          <w:rFonts w:cs="Times New Roman"/>
          <w:bCs/>
          <w:i/>
          <w:color w:val="000000" w:themeColor="text1"/>
        </w:rPr>
        <w:t xml:space="preserve"> </w:t>
      </w:r>
      <w:r w:rsidRPr="00E7516E">
        <w:rPr>
          <w:rFonts w:eastAsia="Calibri" w:cs="Times New Roman"/>
          <w:bCs/>
          <w:i/>
          <w:color w:val="000000" w:themeColor="text1"/>
        </w:rPr>
        <w:t>Pictures</w:t>
      </w:r>
      <w:r w:rsidRPr="00E7516E">
        <w:rPr>
          <w:rFonts w:cs="Times New Roman"/>
          <w:bCs/>
          <w:i/>
          <w:color w:val="000000" w:themeColor="text1"/>
        </w:rPr>
        <w:t xml:space="preserve"> </w:t>
      </w:r>
      <w:r w:rsidRPr="00E7516E">
        <w:rPr>
          <w:rFonts w:eastAsia="Calibri" w:cs="Times New Roman"/>
          <w:bCs/>
          <w:i/>
          <w:color w:val="000000" w:themeColor="text1"/>
        </w:rPr>
        <w:t>Ltd</w:t>
      </w:r>
      <w:r w:rsidRPr="00E7516E">
        <w:rPr>
          <w:rFonts w:cs="Times New Roman"/>
          <w:bCs/>
          <w:color w:val="000000" w:themeColor="text1"/>
        </w:rPr>
        <w:t xml:space="preserve"> [2008] 3 </w:t>
      </w:r>
      <w:r w:rsidRPr="00E7516E">
        <w:rPr>
          <w:rFonts w:eastAsia="Calibri" w:cs="Times New Roman"/>
          <w:bCs/>
          <w:color w:val="000000" w:themeColor="text1"/>
        </w:rPr>
        <w:t>WLR</w:t>
      </w:r>
      <w:r w:rsidRPr="00E7516E">
        <w:rPr>
          <w:rFonts w:cs="Times New Roman"/>
          <w:bCs/>
          <w:color w:val="000000" w:themeColor="text1"/>
        </w:rPr>
        <w:t xml:space="preserve"> 1360; </w:t>
      </w:r>
      <w:r w:rsidRPr="00E7516E">
        <w:rPr>
          <w:rFonts w:eastAsia="Calibri" w:cs="Times New Roman"/>
          <w:bCs/>
          <w:i/>
          <w:color w:val="000000" w:themeColor="text1"/>
        </w:rPr>
        <w:t>Weller</w:t>
      </w:r>
      <w:r w:rsidRPr="00E7516E">
        <w:rPr>
          <w:rFonts w:cs="Times New Roman"/>
          <w:bCs/>
          <w:i/>
          <w:color w:val="000000" w:themeColor="text1"/>
        </w:rPr>
        <w:t xml:space="preserve"> </w:t>
      </w:r>
      <w:r w:rsidRPr="00E7516E">
        <w:rPr>
          <w:rFonts w:eastAsia="Calibri" w:cs="Times New Roman"/>
          <w:bCs/>
          <w:i/>
          <w:color w:val="000000" w:themeColor="text1"/>
        </w:rPr>
        <w:t>v</w:t>
      </w:r>
      <w:r w:rsidRPr="00E7516E">
        <w:rPr>
          <w:rFonts w:cs="Times New Roman"/>
          <w:bCs/>
          <w:i/>
          <w:color w:val="000000" w:themeColor="text1"/>
        </w:rPr>
        <w:t xml:space="preserve"> </w:t>
      </w:r>
      <w:r w:rsidRPr="00E7516E">
        <w:rPr>
          <w:rFonts w:eastAsia="Calibri" w:cs="Times New Roman"/>
          <w:bCs/>
          <w:i/>
          <w:color w:val="000000" w:themeColor="text1"/>
        </w:rPr>
        <w:t>Associated</w:t>
      </w:r>
      <w:r w:rsidRPr="00E7516E">
        <w:rPr>
          <w:rFonts w:cs="Times New Roman"/>
          <w:bCs/>
          <w:i/>
          <w:color w:val="000000" w:themeColor="text1"/>
        </w:rPr>
        <w:t xml:space="preserve"> </w:t>
      </w:r>
      <w:r w:rsidRPr="00E7516E">
        <w:rPr>
          <w:rFonts w:eastAsia="Calibri" w:cs="Times New Roman"/>
          <w:bCs/>
          <w:i/>
          <w:color w:val="000000" w:themeColor="text1"/>
        </w:rPr>
        <w:t>Newspapers</w:t>
      </w:r>
      <w:r w:rsidRPr="00E7516E">
        <w:rPr>
          <w:rFonts w:cs="Times New Roman"/>
          <w:bCs/>
          <w:i/>
          <w:color w:val="000000" w:themeColor="text1"/>
        </w:rPr>
        <w:t xml:space="preserve"> </w:t>
      </w:r>
      <w:r w:rsidRPr="00E7516E">
        <w:rPr>
          <w:rFonts w:eastAsia="Calibri" w:cs="Times New Roman"/>
          <w:bCs/>
          <w:i/>
          <w:color w:val="000000" w:themeColor="text1"/>
        </w:rPr>
        <w:t>Ltd</w:t>
      </w:r>
      <w:r w:rsidRPr="00E7516E">
        <w:rPr>
          <w:rFonts w:cs="Times New Roman"/>
          <w:color w:val="000000" w:themeColor="text1"/>
        </w:rPr>
        <w:t xml:space="preserve"> [2016] 1 </w:t>
      </w:r>
      <w:r w:rsidRPr="00E7516E">
        <w:rPr>
          <w:rFonts w:eastAsia="Calibri" w:cs="Times New Roman"/>
          <w:color w:val="000000" w:themeColor="text1"/>
        </w:rPr>
        <w:t>WLR</w:t>
      </w:r>
      <w:r w:rsidRPr="00E7516E">
        <w:rPr>
          <w:rFonts w:cs="Times New Roman"/>
          <w:color w:val="000000" w:themeColor="text1"/>
        </w:rPr>
        <w:t xml:space="preserve"> 1541</w:t>
      </w:r>
      <w:r w:rsidRPr="00E7516E">
        <w:rPr>
          <w:rFonts w:cs="Times New Roman"/>
        </w:rPr>
        <w:t>.</w:t>
      </w:r>
    </w:p>
  </w:footnote>
  <w:footnote w:id="1200">
    <w:p w14:paraId="4800E960" w14:textId="2E1C6C37" w:rsidR="00FF302D" w:rsidRPr="00E7516E" w:rsidRDefault="00FF302D" w:rsidP="00E7516E">
      <w:pPr>
        <w:pStyle w:val="FootnoteText"/>
        <w:jc w:val="left"/>
        <w:rPr>
          <w:rFonts w:cs="Times New Roman"/>
        </w:rPr>
      </w:pPr>
      <w:r w:rsidRPr="003215A2">
        <w:rPr>
          <w:rStyle w:val="FootnoteReference"/>
          <w:rFonts w:ascii="Times New Roman" w:hAnsi="Times New Roman" w:cs="Times New Roman"/>
        </w:rPr>
        <w:footnoteRef/>
      </w:r>
      <w:r w:rsidRPr="003215A2">
        <w:rPr>
          <w:rFonts w:cs="Times New Roman"/>
        </w:rPr>
        <w:t xml:space="preserve"> </w:t>
      </w:r>
      <w:r w:rsidRPr="00EA22F8">
        <w:rPr>
          <w:rFonts w:cs="Times New Roman"/>
        </w:rPr>
        <w:t xml:space="preserve">See </w:t>
      </w:r>
      <w:r w:rsidR="00D10AB3" w:rsidRPr="00EA22F8">
        <w:rPr>
          <w:rFonts w:cs="Times New Roman"/>
        </w:rPr>
        <w:t>[</w:t>
      </w:r>
      <w:r w:rsidR="00D10AB3" w:rsidRPr="00EA22F8">
        <w:rPr>
          <w:rFonts w:cs="Times New Roman"/>
        </w:rPr>
        <w:fldChar w:fldCharType="begin"/>
      </w:r>
      <w:r w:rsidR="00D10AB3" w:rsidRPr="00EA22F8">
        <w:rPr>
          <w:rFonts w:cs="Times New Roman"/>
        </w:rPr>
        <w:instrText xml:space="preserve"> REF _Ref152055265 \r \h </w:instrText>
      </w:r>
      <w:r w:rsidR="00D10AB3">
        <w:rPr>
          <w:rFonts w:cs="Times New Roman"/>
        </w:rPr>
        <w:instrText xml:space="preserve"> \* MERGEFORMAT </w:instrText>
      </w:r>
      <w:r w:rsidR="00D10AB3" w:rsidRPr="00EA22F8">
        <w:rPr>
          <w:rFonts w:cs="Times New Roman"/>
        </w:rPr>
      </w:r>
      <w:r w:rsidR="00D10AB3" w:rsidRPr="00EA22F8">
        <w:rPr>
          <w:rFonts w:cs="Times New Roman"/>
        </w:rPr>
        <w:fldChar w:fldCharType="separate"/>
      </w:r>
      <w:r w:rsidR="00462C30">
        <w:rPr>
          <w:rFonts w:cs="Times New Roman"/>
          <w:cs/>
        </w:rPr>
        <w:t>‎</w:t>
      </w:r>
      <w:r w:rsidR="00462C30">
        <w:rPr>
          <w:rFonts w:cs="Times New Roman"/>
        </w:rPr>
        <w:t>10.2.18</w:t>
      </w:r>
      <w:r w:rsidR="00D10AB3" w:rsidRPr="00EA22F8">
        <w:rPr>
          <w:rFonts w:cs="Times New Roman"/>
        </w:rPr>
        <w:fldChar w:fldCharType="end"/>
      </w:r>
      <w:r w:rsidR="00D10AB3" w:rsidRPr="00EA22F8">
        <w:rPr>
          <w:rFonts w:cs="Times New Roman"/>
        </w:rPr>
        <w:t>]–[</w:t>
      </w:r>
      <w:r w:rsidR="00D10AB3" w:rsidRPr="00EA22F8">
        <w:rPr>
          <w:rFonts w:cs="Times New Roman"/>
        </w:rPr>
        <w:fldChar w:fldCharType="begin"/>
      </w:r>
      <w:r w:rsidR="00D10AB3" w:rsidRPr="00EA22F8">
        <w:rPr>
          <w:rFonts w:cs="Times New Roman"/>
        </w:rPr>
        <w:instrText xml:space="preserve"> REF _Ref165027806 \r \h </w:instrText>
      </w:r>
      <w:r w:rsidR="00D10AB3">
        <w:rPr>
          <w:rFonts w:cs="Times New Roman"/>
        </w:rPr>
        <w:instrText xml:space="preserve"> \* MERGEFORMAT </w:instrText>
      </w:r>
      <w:r w:rsidR="00D10AB3" w:rsidRPr="00EA22F8">
        <w:rPr>
          <w:rFonts w:cs="Times New Roman"/>
        </w:rPr>
      </w:r>
      <w:r w:rsidR="00D10AB3" w:rsidRPr="00EA22F8">
        <w:rPr>
          <w:rFonts w:cs="Times New Roman"/>
        </w:rPr>
        <w:fldChar w:fldCharType="separate"/>
      </w:r>
      <w:r w:rsidR="00462C30">
        <w:rPr>
          <w:rFonts w:cs="Times New Roman"/>
          <w:cs/>
        </w:rPr>
        <w:t>‎</w:t>
      </w:r>
      <w:r w:rsidR="00462C30">
        <w:rPr>
          <w:rFonts w:cs="Times New Roman"/>
        </w:rPr>
        <w:t>10.2.19</w:t>
      </w:r>
      <w:r w:rsidR="00D10AB3" w:rsidRPr="00EA22F8">
        <w:rPr>
          <w:rFonts w:cs="Times New Roman"/>
        </w:rPr>
        <w:fldChar w:fldCharType="end"/>
      </w:r>
      <w:r w:rsidR="00D10AB3" w:rsidRPr="00EA22F8">
        <w:rPr>
          <w:rFonts w:cs="Times New Roman"/>
        </w:rPr>
        <w:t xml:space="preserve">] </w:t>
      </w:r>
      <w:r w:rsidRPr="003215A2">
        <w:rPr>
          <w:rFonts w:cs="Times New Roman"/>
        </w:rPr>
        <w:t>for discussion</w:t>
      </w:r>
      <w:r w:rsidRPr="00E7516E">
        <w:rPr>
          <w:rFonts w:cs="Times New Roman"/>
        </w:rPr>
        <w:t xml:space="preserve"> of the regulation on the use of drones in Australia from a privacy perspective.</w:t>
      </w:r>
    </w:p>
  </w:footnote>
  <w:footnote w:id="1201">
    <w:p w14:paraId="6605EE86" w14:textId="1474306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w:t>
      </w:r>
      <w:r w:rsidRPr="2012938D">
        <w:rPr>
          <w:rFonts w:cs="Times New Roman"/>
          <w:i/>
          <w:iCs/>
          <w:lang w:val="de-DE"/>
        </w:rPr>
        <w:t xml:space="preserve">C v Holland </w:t>
      </w:r>
      <w:r w:rsidRPr="00E7516E">
        <w:rPr>
          <w:rFonts w:cs="Times New Roman"/>
          <w:lang w:val="de-DE"/>
        </w:rPr>
        <w:t>[2012] 3 NZLR 672 (High Court of New Zealand)</w:t>
      </w:r>
      <w:r w:rsidRPr="00E7516E">
        <w:rPr>
          <w:rFonts w:cs="Times New Roman"/>
        </w:rPr>
        <w:t xml:space="preserve">. See also </w:t>
      </w:r>
      <w:r w:rsidRPr="00E7516E">
        <w:rPr>
          <w:rFonts w:eastAsia="Times New Roman" w:cs="Times New Roman"/>
        </w:rPr>
        <w:t xml:space="preserve">N A Moreham, ‘Beyond Information: Physical Privacy in English Law’ (2014) 73(2) </w:t>
      </w:r>
      <w:r w:rsidRPr="2012938D">
        <w:rPr>
          <w:rFonts w:eastAsia="Times New Roman" w:cs="Times New Roman"/>
          <w:i/>
          <w:iCs/>
        </w:rPr>
        <w:t>Cambridge Law Journal</w:t>
      </w:r>
      <w:r w:rsidRPr="00E7516E">
        <w:rPr>
          <w:rFonts w:eastAsia="Times New Roman" w:cs="Times New Roman"/>
        </w:rPr>
        <w:t xml:space="preserve"> 350</w:t>
      </w:r>
      <w:r w:rsidRPr="00E7516E">
        <w:rPr>
          <w:rFonts w:cs="Times New Roman"/>
        </w:rPr>
        <w:t xml:space="preserve">; P </w:t>
      </w:r>
      <w:r w:rsidRPr="00E7516E">
        <w:rPr>
          <w:rFonts w:eastAsia="Times New Roman" w:cs="Times New Roman"/>
        </w:rPr>
        <w:t xml:space="preserve">Wragg, ‘Recognising a Privacy-Invasion Tort: The Conceptual Unity of Informational and Intrusion Claims’ (2019) 78(2) </w:t>
      </w:r>
      <w:r w:rsidRPr="2012938D">
        <w:rPr>
          <w:rFonts w:eastAsia="Times New Roman" w:cs="Times New Roman"/>
          <w:i/>
          <w:iCs/>
        </w:rPr>
        <w:t xml:space="preserve">Cambridge Law Journal </w:t>
      </w:r>
      <w:r w:rsidRPr="00E7516E">
        <w:rPr>
          <w:rFonts w:eastAsia="Times New Roman" w:cs="Times New Roman"/>
        </w:rPr>
        <w:t>409</w:t>
      </w:r>
      <w:r w:rsidRPr="009146DF">
        <w:rPr>
          <w:rFonts w:cs="Times New Roman"/>
        </w:rPr>
        <w:t xml:space="preserve">. </w:t>
      </w:r>
      <w:r w:rsidRPr="00EA22F8">
        <w:rPr>
          <w:rFonts w:cs="Times New Roman"/>
        </w:rPr>
        <w:t xml:space="preserve">See </w:t>
      </w:r>
      <w:r w:rsidR="2012938D" w:rsidRPr="00EA22F8">
        <w:rPr>
          <w:rFonts w:cs="Times New Roman"/>
        </w:rPr>
        <w:t>[10.2]</w:t>
      </w:r>
      <w:r w:rsidRPr="009146DF">
        <w:rPr>
          <w:rFonts w:cs="Times New Roman"/>
        </w:rPr>
        <w:t xml:space="preserve"> for discussion of criminal liability for unlawful surveillance.</w:t>
      </w:r>
    </w:p>
  </w:footnote>
  <w:footnote w:id="1202">
    <w:p w14:paraId="0C9C850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eg, David Lindsay, ‘Protection of Privacy under the General Law Following </w:t>
      </w:r>
      <w:r w:rsidRPr="00E7516E">
        <w:rPr>
          <w:rFonts w:cs="Times New Roman"/>
          <w:i/>
          <w:iCs/>
        </w:rPr>
        <w:t>ABC v Lenah Game Meats</w:t>
      </w:r>
      <w:r w:rsidRPr="00E7516E">
        <w:rPr>
          <w:rFonts w:cs="Times New Roman"/>
        </w:rPr>
        <w:t xml:space="preserve">: Where to Now’ (2002) 9(6) </w:t>
      </w:r>
      <w:r w:rsidRPr="00E7516E">
        <w:rPr>
          <w:rFonts w:cs="Times New Roman"/>
          <w:i/>
        </w:rPr>
        <w:t>Privacy Law and Policy Reporter</w:t>
      </w:r>
      <w:r w:rsidRPr="00E7516E">
        <w:rPr>
          <w:rFonts w:cs="Times New Roman"/>
        </w:rPr>
        <w:t xml:space="preserve"> 101; Des Butler, ‘A Tort of Invasion of Privacy in Australia?’ (2005) 29(2) </w:t>
      </w:r>
      <w:r w:rsidRPr="00811E3A">
        <w:rPr>
          <w:rFonts w:cs="Times New Roman"/>
          <w:i/>
          <w:iCs/>
        </w:rPr>
        <w:t xml:space="preserve">Melbourne University Law Review </w:t>
      </w:r>
      <w:r w:rsidRPr="00E7516E">
        <w:rPr>
          <w:rFonts w:cs="Times New Roman"/>
        </w:rPr>
        <w:t xml:space="preserve">339; </w:t>
      </w:r>
      <w:r w:rsidRPr="00E7516E">
        <w:rPr>
          <w:rFonts w:cs="Times New Roman"/>
          <w:bCs/>
        </w:rPr>
        <w:t xml:space="preserve">Michael Tilbury, </w:t>
      </w:r>
      <w:r w:rsidRPr="00E7516E">
        <w:rPr>
          <w:rFonts w:cs="Times New Roman"/>
        </w:rPr>
        <w:t xml:space="preserve">‘Privacy: Common Law or Human Right?’ in Normann Witzleb et al (eds), </w:t>
      </w:r>
      <w:r w:rsidRPr="00E7516E">
        <w:rPr>
          <w:rFonts w:cs="Times New Roman"/>
          <w:i/>
          <w:iCs/>
        </w:rPr>
        <w:t>Emerging Challenges in Privacy Law: Comparative Perspectives</w:t>
      </w:r>
      <w:r w:rsidRPr="00E7516E">
        <w:rPr>
          <w:rFonts w:cs="Times New Roman"/>
        </w:rPr>
        <w:t xml:space="preserve"> (Cambridge University Press, 2014) 157; </w:t>
      </w:r>
      <w:r w:rsidRPr="00E7516E">
        <w:rPr>
          <w:rFonts w:cs="Times New Roman"/>
          <w:bCs/>
        </w:rPr>
        <w:t>Gligorijevic</w:t>
      </w:r>
      <w:r w:rsidRPr="00E7516E">
        <w:rPr>
          <w:rFonts w:cs="Times New Roman"/>
        </w:rPr>
        <w:t xml:space="preserve">, Reaffirming </w:t>
      </w:r>
      <w:r w:rsidRPr="00E7516E">
        <w:rPr>
          <w:rFonts w:cs="Times New Roman"/>
          <w:i/>
          <w:iCs/>
        </w:rPr>
        <w:t>ABC v Lenah Game Meats</w:t>
      </w:r>
      <w:r w:rsidRPr="00E7516E">
        <w:rPr>
          <w:rFonts w:cs="Times New Roman"/>
        </w:rPr>
        <w:t>’.</w:t>
      </w:r>
    </w:p>
  </w:footnote>
  <w:footnote w:id="1203">
    <w:p w14:paraId="6BA89BDC"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New South Wales Law Reform Commission, </w:t>
      </w:r>
      <w:r w:rsidRPr="00E7516E">
        <w:rPr>
          <w:rFonts w:cs="Times New Roman"/>
          <w:i/>
          <w:iCs/>
        </w:rPr>
        <w:t>Invasion of Privacy</w:t>
      </w:r>
      <w:r w:rsidRPr="00E7516E">
        <w:rPr>
          <w:rFonts w:cs="Times New Roman"/>
        </w:rPr>
        <w:t xml:space="preserve"> (Report 120, April 2009) 4.</w:t>
      </w:r>
    </w:p>
  </w:footnote>
  <w:footnote w:id="1204">
    <w:p w14:paraId="3E702ED9" w14:textId="009951C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Standing Committee on Law and Justice, </w:t>
      </w:r>
      <w:r w:rsidRPr="00E7516E">
        <w:rPr>
          <w:rFonts w:cs="Times New Roman"/>
          <w:i/>
          <w:iCs/>
        </w:rPr>
        <w:t xml:space="preserve">Inquiry into Remedies for the Serious Invasion of Privacy in New South Wales </w:t>
      </w:r>
      <w:r w:rsidRPr="00E7516E">
        <w:rPr>
          <w:rFonts w:cs="Times New Roman"/>
        </w:rPr>
        <w:t xml:space="preserve">(Final Report, Parliament of New South Wales, March 2016) </w:t>
      </w:r>
      <w:r w:rsidR="00C95967">
        <w:rPr>
          <w:rFonts w:cs="Times New Roman"/>
        </w:rPr>
        <w:t>R</w:t>
      </w:r>
      <w:r w:rsidRPr="00E7516E">
        <w:rPr>
          <w:rFonts w:cs="Times New Roman"/>
        </w:rPr>
        <w:t>ecommendation 3.</w:t>
      </w:r>
    </w:p>
  </w:footnote>
  <w:footnote w:id="1205">
    <w:p w14:paraId="70C21245"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Victorian Law Reform Commission, </w:t>
      </w:r>
      <w:r w:rsidRPr="00E7516E">
        <w:rPr>
          <w:rFonts w:cs="Times New Roman"/>
          <w:i/>
          <w:iCs/>
        </w:rPr>
        <w:t xml:space="preserve">Surveillance in Public Places </w:t>
      </w:r>
      <w:r w:rsidRPr="00E7516E">
        <w:rPr>
          <w:rFonts w:cs="Times New Roman"/>
        </w:rPr>
        <w:t>(Final Report 18, May 2010) Recommendations 22–26.</w:t>
      </w:r>
    </w:p>
  </w:footnote>
  <w:footnote w:id="1206">
    <w:p w14:paraId="6043E04B"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South Australian Law Reform Institute, </w:t>
      </w:r>
      <w:r w:rsidRPr="00E7516E">
        <w:rPr>
          <w:rFonts w:cs="Times New Roman"/>
          <w:i/>
          <w:iCs/>
        </w:rPr>
        <w:t xml:space="preserve">A Statutory Tort for Invasion of Privacy </w:t>
      </w:r>
      <w:r w:rsidRPr="00E7516E">
        <w:rPr>
          <w:rFonts w:cs="Times New Roman"/>
        </w:rPr>
        <w:t>(Final Report 4, March 2016) Recommendation 1.</w:t>
      </w:r>
    </w:p>
  </w:footnote>
  <w:footnote w:id="1207">
    <w:p w14:paraId="27008792"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Crime and Corruption Commission Queensland, </w:t>
      </w:r>
      <w:r w:rsidRPr="00E7516E">
        <w:rPr>
          <w:rFonts w:cs="Times New Roman"/>
          <w:i/>
          <w:iCs/>
        </w:rPr>
        <w:t xml:space="preserve">Operation Impala: Report on Misuse of Confidential Information in the Queensland Public Sector </w:t>
      </w:r>
      <w:r w:rsidRPr="00E7516E">
        <w:rPr>
          <w:rFonts w:cs="Times New Roman"/>
        </w:rPr>
        <w:t>(February 2020) Recommendation 17.</w:t>
      </w:r>
    </w:p>
  </w:footnote>
  <w:footnote w:id="1208">
    <w:p w14:paraId="5A5DBC3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The </w:t>
      </w:r>
      <w:r w:rsidRPr="00E7516E">
        <w:rPr>
          <w:rFonts w:cs="Times New Roman"/>
          <w:i/>
          <w:iCs/>
        </w:rPr>
        <w:t>Civil Liability (Serious Invasions of Privacy) Bill 2021</w:t>
      </w:r>
      <w:r w:rsidRPr="00E7516E">
        <w:rPr>
          <w:rFonts w:cs="Times New Roman"/>
        </w:rPr>
        <w:t xml:space="preserve"> (SA) was tabled in South Australian Parliament and circulated for comment in 2021 but has not been progressed as at the date of finalisation of this report.</w:t>
      </w:r>
    </w:p>
  </w:footnote>
  <w:footnote w:id="1209">
    <w:p w14:paraId="590A4B18" w14:textId="48728ECD"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w:t>
      </w:r>
      <w:r w:rsidR="009B6991">
        <w:rPr>
          <w:rFonts w:cs="Times New Roman"/>
        </w:rPr>
        <w:t>,</w:t>
      </w:r>
      <w:r w:rsidRPr="00E7516E">
        <w:rPr>
          <w:rFonts w:cs="Times New Roman"/>
        </w:rPr>
        <w:t xml:space="preserve"> </w:t>
      </w:r>
      <w:r w:rsidR="009B6991" w:rsidRPr="00EA22F8">
        <w:rPr>
          <w:rFonts w:cs="Times New Roman"/>
          <w:i/>
          <w:iCs/>
        </w:rPr>
        <w:t>Privacy</w:t>
      </w:r>
      <w:r w:rsidRPr="00E7516E">
        <w:rPr>
          <w:rFonts w:cs="Times New Roman"/>
        </w:rPr>
        <w:t xml:space="preserve"> 2535–2536 ([74.1]–[74.2]).</w:t>
      </w:r>
    </w:p>
  </w:footnote>
  <w:footnote w:id="1210">
    <w:p w14:paraId="7AEFABA3" w14:textId="6DDD3A11"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w:t>
      </w:r>
      <w:r w:rsidR="009B6991">
        <w:rPr>
          <w:rFonts w:cs="Times New Roman"/>
        </w:rPr>
        <w:t>,</w:t>
      </w:r>
      <w:r w:rsidR="00003B5E">
        <w:rPr>
          <w:rFonts w:cs="Times New Roman"/>
        </w:rPr>
        <w:t xml:space="preserve"> </w:t>
      </w:r>
      <w:r w:rsidR="00003B5E">
        <w:rPr>
          <w:rFonts w:cs="Times New Roman"/>
          <w:i/>
          <w:iCs/>
        </w:rPr>
        <w:t>Serious Invasions of Privacy in the Digital Era</w:t>
      </w:r>
      <w:r w:rsidRPr="00E7516E">
        <w:rPr>
          <w:rFonts w:cs="Times New Roman"/>
        </w:rPr>
        <w:t xml:space="preserve"> 18.</w:t>
      </w:r>
    </w:p>
  </w:footnote>
  <w:footnote w:id="1211">
    <w:p w14:paraId="579876D6" w14:textId="0BB1F66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95967">
        <w:rPr>
          <w:rFonts w:cs="Times New Roman"/>
        </w:rPr>
        <w:t xml:space="preserve">Ibid </w:t>
      </w:r>
      <w:r w:rsidRPr="00E7516E">
        <w:rPr>
          <w:rFonts w:cs="Times New Roman"/>
        </w:rPr>
        <w:t>59–60.</w:t>
      </w:r>
    </w:p>
  </w:footnote>
  <w:footnote w:id="1212">
    <w:p w14:paraId="0F13DBDE" w14:textId="6CF77A0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50269C" w:rsidRPr="00E7516E">
        <w:rPr>
          <w:rFonts w:cs="Times New Roman"/>
        </w:rPr>
        <w:t>ALRC</w:t>
      </w:r>
      <w:r w:rsidR="0050269C">
        <w:rPr>
          <w:rFonts w:cs="Times New Roman"/>
        </w:rPr>
        <w:t xml:space="preserve">, </w:t>
      </w:r>
      <w:r w:rsidR="0050269C">
        <w:rPr>
          <w:rFonts w:cs="Times New Roman"/>
          <w:i/>
          <w:iCs/>
        </w:rPr>
        <w:t>Serious Invasions of Privacy in the Digital Era</w:t>
      </w:r>
      <w:r w:rsidR="00003B5E">
        <w:rPr>
          <w:rFonts w:cs="Times New Roman"/>
        </w:rPr>
        <w:t xml:space="preserve"> </w:t>
      </w:r>
      <w:r w:rsidRPr="00E7516E">
        <w:rPr>
          <w:rFonts w:cs="Times New Roman"/>
        </w:rPr>
        <w:t>69.</w:t>
      </w:r>
    </w:p>
  </w:footnote>
  <w:footnote w:id="1213">
    <w:p w14:paraId="07E68B40" w14:textId="4A96A51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 xml:space="preserve">Ibid </w:t>
      </w:r>
      <w:r w:rsidRPr="00E7516E">
        <w:rPr>
          <w:rFonts w:cs="Times New Roman"/>
        </w:rPr>
        <w:t>67–70.</w:t>
      </w:r>
    </w:p>
  </w:footnote>
  <w:footnote w:id="1214">
    <w:p w14:paraId="3278C12F" w14:textId="1048345B"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Ibid</w:t>
      </w:r>
      <w:r w:rsidRPr="00E7516E">
        <w:rPr>
          <w:rFonts w:cs="Times New Roman"/>
        </w:rPr>
        <w:t xml:space="preserve"> 19, chs 5–9.</w:t>
      </w:r>
    </w:p>
  </w:footnote>
  <w:footnote w:id="1215">
    <w:p w14:paraId="5D9804FC" w14:textId="3D0D481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Ibid</w:t>
      </w:r>
      <w:r w:rsidRPr="00E7516E">
        <w:rPr>
          <w:rFonts w:cs="Times New Roman"/>
        </w:rPr>
        <w:t xml:space="preserve"> 138.</w:t>
      </w:r>
    </w:p>
  </w:footnote>
  <w:footnote w:id="1216">
    <w:p w14:paraId="2C041A61" w14:textId="4193B409"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Ibid</w:t>
      </w:r>
      <w:r w:rsidRPr="00E7516E">
        <w:rPr>
          <w:rFonts w:cs="Times New Roman"/>
        </w:rPr>
        <w:t xml:space="preserve"> 185–186, ch 11.</w:t>
      </w:r>
    </w:p>
  </w:footnote>
  <w:footnote w:id="1217">
    <w:p w14:paraId="3474C51E" w14:textId="5D0A1CF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ALRC</w:t>
      </w:r>
      <w:r w:rsidR="00003B5E">
        <w:rPr>
          <w:rFonts w:cs="Times New Roman"/>
        </w:rPr>
        <w:t xml:space="preserve">, </w:t>
      </w:r>
      <w:r w:rsidR="00003B5E">
        <w:rPr>
          <w:rFonts w:cs="Times New Roman"/>
          <w:i/>
          <w:iCs/>
        </w:rPr>
        <w:t>Serious Invasions of Privacy in the Digital Era</w:t>
      </w:r>
      <w:r w:rsidR="00003B5E" w:rsidRPr="00E7516E">
        <w:rPr>
          <w:rFonts w:cs="Times New Roman"/>
        </w:rPr>
        <w:t xml:space="preserve"> </w:t>
      </w:r>
      <w:r w:rsidRPr="00E7516E">
        <w:rPr>
          <w:rFonts w:cs="Times New Roman"/>
        </w:rPr>
        <w:t>202.</w:t>
      </w:r>
    </w:p>
  </w:footnote>
  <w:footnote w:id="1218">
    <w:p w14:paraId="7EBAED7B" w14:textId="68067D5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Ibid</w:t>
      </w:r>
      <w:r w:rsidRPr="00E7516E">
        <w:rPr>
          <w:rFonts w:cs="Times New Roman"/>
        </w:rPr>
        <w:t xml:space="preserve"> 20, ch 12.</w:t>
      </w:r>
    </w:p>
  </w:footnote>
  <w:footnote w:id="1219">
    <w:p w14:paraId="643582DD" w14:textId="5C030FE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Ibid</w:t>
      </w:r>
      <w:r w:rsidRPr="00E7516E">
        <w:rPr>
          <w:rFonts w:cs="Times New Roman"/>
        </w:rPr>
        <w:t xml:space="preserve"> 67.</w:t>
      </w:r>
    </w:p>
  </w:footnote>
  <w:footnote w:id="1220">
    <w:p w14:paraId="73EA49CC" w14:textId="38AB84BA"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ACCC, </w:t>
      </w:r>
      <w:r w:rsidRPr="00EA22F8">
        <w:rPr>
          <w:rFonts w:cs="Times New Roman"/>
          <w:i/>
          <w:iCs/>
        </w:rPr>
        <w:t>DPI Inquiry Report</w:t>
      </w:r>
      <w:r w:rsidRPr="00E7516E">
        <w:rPr>
          <w:rFonts w:cs="Times New Roman"/>
        </w:rPr>
        <w:t xml:space="preserve"> Recommendation 19.</w:t>
      </w:r>
    </w:p>
  </w:footnote>
  <w:footnote w:id="1221">
    <w:p w14:paraId="7E1E1E6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AHRC, </w:t>
      </w:r>
      <w:r w:rsidRPr="00E7516E">
        <w:rPr>
          <w:rFonts w:cs="Times New Roman"/>
          <w:i/>
          <w:iCs/>
        </w:rPr>
        <w:t>Human Rights and Technology Final Report</w:t>
      </w:r>
      <w:r w:rsidRPr="00E7516E">
        <w:rPr>
          <w:rFonts w:cs="Times New Roman"/>
        </w:rPr>
        <w:t xml:space="preserve"> (2021) Recommendation 21.</w:t>
      </w:r>
    </w:p>
  </w:footnote>
  <w:footnote w:id="1222">
    <w:p w14:paraId="64823D99" w14:textId="1E62B37E"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ACCC, </w:t>
      </w:r>
      <w:r w:rsidRPr="00EA22F8">
        <w:rPr>
          <w:rFonts w:cs="Times New Roman"/>
          <w:i/>
          <w:iCs/>
        </w:rPr>
        <w:t>DPI Inquiry Report</w:t>
      </w:r>
      <w:r w:rsidRPr="00E7516E">
        <w:rPr>
          <w:rFonts w:cs="Times New Roman"/>
        </w:rPr>
        <w:t xml:space="preserve"> 493.</w:t>
      </w:r>
    </w:p>
  </w:footnote>
  <w:footnote w:id="1223">
    <w:p w14:paraId="7381F61D"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AHRC, </w:t>
      </w:r>
      <w:r w:rsidRPr="00EA22F8">
        <w:rPr>
          <w:rFonts w:cs="Times New Roman"/>
          <w:i/>
          <w:iCs/>
        </w:rPr>
        <w:t>Human Rights and Technology Final Report</w:t>
      </w:r>
      <w:r w:rsidRPr="00E7516E">
        <w:rPr>
          <w:rFonts w:cs="Times New Roman"/>
        </w:rPr>
        <w:t xml:space="preserve"> 123.</w:t>
      </w:r>
    </w:p>
  </w:footnote>
  <w:footnote w:id="1224">
    <w:p w14:paraId="5BCBA713" w14:textId="6F49F2C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Privacy Act Review Report</w:t>
      </w:r>
      <w:r w:rsidR="004C40EB">
        <w:rPr>
          <w:rFonts w:cs="Times New Roman"/>
        </w:rPr>
        <w:t xml:space="preserve"> 2022</w:t>
      </w:r>
      <w:r w:rsidRPr="00E7516E">
        <w:rPr>
          <w:rFonts w:cs="Times New Roman"/>
        </w:rPr>
        <w:t xml:space="preserve"> Proposal 27.1. </w:t>
      </w:r>
    </w:p>
  </w:footnote>
  <w:footnote w:id="1225">
    <w:p w14:paraId="2ED57D83" w14:textId="2D19B0E5"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C35E94" w:rsidRPr="00E7516E">
        <w:rPr>
          <w:rFonts w:cs="Times New Roman"/>
        </w:rPr>
        <w:t>Privacy Act Review Report</w:t>
      </w:r>
      <w:r w:rsidR="00C35E94">
        <w:rPr>
          <w:rFonts w:cs="Times New Roman"/>
        </w:rPr>
        <w:t xml:space="preserve"> 2022</w:t>
      </w:r>
      <w:r w:rsidR="00C35E94" w:rsidRPr="00E7516E">
        <w:rPr>
          <w:rFonts w:cs="Times New Roman"/>
        </w:rPr>
        <w:t xml:space="preserve"> Proposal</w:t>
      </w:r>
      <w:r w:rsidRPr="00E7516E">
        <w:rPr>
          <w:rFonts w:cs="Times New Roman"/>
        </w:rPr>
        <w:t xml:space="preserve"> 281.</w:t>
      </w:r>
    </w:p>
  </w:footnote>
  <w:footnote w:id="1226">
    <w:p w14:paraId="4F3CDCDC" w14:textId="1C831C73" w:rsidR="00FF302D" w:rsidRPr="00E7516E" w:rsidRDefault="00FF302D" w:rsidP="00C342DF">
      <w:pPr>
        <w:pStyle w:val="FootnoteText"/>
        <w:tabs>
          <w:tab w:val="left" w:pos="2066"/>
        </w:tabs>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D10E17">
        <w:rPr>
          <w:rFonts w:cs="Times New Roman"/>
        </w:rPr>
        <w:t xml:space="preserve">Ibid </w:t>
      </w:r>
      <w:r w:rsidRPr="00E7516E">
        <w:rPr>
          <w:rFonts w:cs="Times New Roman"/>
        </w:rPr>
        <w:t>287.</w:t>
      </w:r>
    </w:p>
  </w:footnote>
  <w:footnote w:id="1227">
    <w:p w14:paraId="6CF1CEB1" w14:textId="23156686"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851C6" w:rsidRPr="00E7516E">
        <w:rPr>
          <w:rFonts w:cs="Times New Roman"/>
        </w:rPr>
        <w:t>Privacy Act Review Report</w:t>
      </w:r>
      <w:r w:rsidR="000851C6">
        <w:rPr>
          <w:rFonts w:cs="Times New Roman"/>
        </w:rPr>
        <w:t xml:space="preserve"> 2022 287</w:t>
      </w:r>
      <w:r w:rsidRPr="00E7516E">
        <w:rPr>
          <w:rFonts w:cs="Times New Roman"/>
        </w:rPr>
        <w:t>.</w:t>
      </w:r>
    </w:p>
  </w:footnote>
  <w:footnote w:id="1228">
    <w:p w14:paraId="13935649"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Response 19.</w:t>
      </w:r>
    </w:p>
  </w:footnote>
  <w:footnote w:id="1229">
    <w:p w14:paraId="1661FD46" w14:textId="7DECE62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 xml:space="preserve">Issues Paper </w:t>
      </w:r>
      <w:r w:rsidR="00D10E17">
        <w:rPr>
          <w:rFonts w:cs="Times New Roman"/>
        </w:rPr>
        <w:t xml:space="preserve">Part 4, </w:t>
      </w:r>
      <w:r w:rsidRPr="00E7516E">
        <w:rPr>
          <w:rFonts w:cs="Times New Roman"/>
        </w:rPr>
        <w:t xml:space="preserve">Question 4.7. Question 4.8 </w:t>
      </w:r>
      <w:r w:rsidRPr="003215A2">
        <w:rPr>
          <w:rFonts w:cs="Times New Roman"/>
        </w:rPr>
        <w:t xml:space="preserve">is </w:t>
      </w:r>
      <w:r w:rsidRPr="00EA22F8">
        <w:rPr>
          <w:rFonts w:cs="Times New Roman"/>
        </w:rPr>
        <w:t>addressed in Part 2</w:t>
      </w:r>
      <w:r w:rsidRPr="003215A2">
        <w:rPr>
          <w:rFonts w:cs="Times New Roman"/>
        </w:rPr>
        <w:t xml:space="preserve"> of this</w:t>
      </w:r>
      <w:r w:rsidRPr="00E7516E">
        <w:rPr>
          <w:rFonts w:cs="Times New Roman"/>
        </w:rPr>
        <w:t xml:space="preserve"> Report.</w:t>
      </w:r>
    </w:p>
  </w:footnote>
  <w:footnote w:id="1230">
    <w:p w14:paraId="483E163C" w14:textId="1047EEE0"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03B5E">
        <w:rPr>
          <w:rFonts w:cs="Times New Roman"/>
        </w:rPr>
        <w:t xml:space="preserve">Ibid </w:t>
      </w:r>
      <w:r w:rsidR="00D10E17">
        <w:rPr>
          <w:rFonts w:cs="Times New Roman"/>
        </w:rPr>
        <w:t xml:space="preserve">Part 4, </w:t>
      </w:r>
      <w:r w:rsidRPr="00E7516E">
        <w:rPr>
          <w:rFonts w:cs="Times New Roman"/>
        </w:rPr>
        <w:t>Question 4.9.</w:t>
      </w:r>
    </w:p>
  </w:footnote>
  <w:footnote w:id="1231">
    <w:p w14:paraId="10E7D14B" w14:textId="04467476" w:rsidR="00FF302D" w:rsidRPr="003215A2"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Pr="003215A2">
        <w:rPr>
          <w:rFonts w:cs="Times New Roman"/>
        </w:rPr>
        <w:t>Submission 3</w:t>
      </w:r>
      <w:r w:rsidR="00F73383" w:rsidRPr="003215A2">
        <w:rPr>
          <w:rFonts w:cs="Times New Roman"/>
        </w:rPr>
        <w:t xml:space="preserve"> (Anonymous)</w:t>
      </w:r>
      <w:r w:rsidRPr="003215A2">
        <w:rPr>
          <w:rFonts w:cs="Times New Roman"/>
        </w:rPr>
        <w:t>.</w:t>
      </w:r>
    </w:p>
  </w:footnote>
  <w:footnote w:id="1232">
    <w:p w14:paraId="2854E764" w14:textId="58D113BB" w:rsidR="00FF302D" w:rsidRPr="003215A2" w:rsidRDefault="00FF302D" w:rsidP="00E7516E">
      <w:pPr>
        <w:pStyle w:val="FootnoteText"/>
        <w:jc w:val="left"/>
        <w:rPr>
          <w:rFonts w:cs="Times New Roman"/>
        </w:rPr>
      </w:pPr>
      <w:r w:rsidRPr="003215A2">
        <w:rPr>
          <w:rStyle w:val="FootnoteReference"/>
          <w:rFonts w:ascii="Times New Roman" w:hAnsi="Times New Roman" w:cs="Times New Roman"/>
        </w:rPr>
        <w:footnoteRef/>
      </w:r>
      <w:r w:rsidRPr="003215A2">
        <w:rPr>
          <w:rFonts w:cs="Times New Roman"/>
        </w:rPr>
        <w:t xml:space="preserve"> </w:t>
      </w:r>
      <w:r w:rsidR="00636AE8" w:rsidRPr="003215A2">
        <w:rPr>
          <w:rFonts w:cs="Times New Roman"/>
        </w:rPr>
        <w:t>Submission 8 (</w:t>
      </w:r>
      <w:r w:rsidRPr="00EA22F8">
        <w:rPr>
          <w:rFonts w:cs="Times New Roman"/>
        </w:rPr>
        <w:t>Meg Webb MLC</w:t>
      </w:r>
      <w:r w:rsidR="00636AE8" w:rsidRPr="003215A2">
        <w:rPr>
          <w:rFonts w:cs="Times New Roman"/>
        </w:rPr>
        <w:t>)</w:t>
      </w:r>
      <w:r w:rsidRPr="003215A2">
        <w:rPr>
          <w:rFonts w:cs="Times New Roman"/>
        </w:rPr>
        <w:t>.</w:t>
      </w:r>
    </w:p>
  </w:footnote>
  <w:footnote w:id="1233">
    <w:p w14:paraId="5C3DA332" w14:textId="48618E28" w:rsidR="00FF302D" w:rsidRPr="003215A2" w:rsidRDefault="00FF302D" w:rsidP="00E7516E">
      <w:pPr>
        <w:pStyle w:val="FootnoteText"/>
        <w:jc w:val="left"/>
        <w:rPr>
          <w:rFonts w:cs="Times New Roman"/>
        </w:rPr>
      </w:pPr>
      <w:r w:rsidRPr="003215A2">
        <w:rPr>
          <w:rStyle w:val="FootnoteReference"/>
          <w:rFonts w:ascii="Times New Roman" w:hAnsi="Times New Roman" w:cs="Times New Roman"/>
        </w:rPr>
        <w:footnoteRef/>
      </w:r>
      <w:r w:rsidRPr="003215A2">
        <w:rPr>
          <w:rFonts w:cs="Times New Roman"/>
        </w:rPr>
        <w:t xml:space="preserve"> Submission 17</w:t>
      </w:r>
      <w:r w:rsidR="00636AE8" w:rsidRPr="003215A2">
        <w:rPr>
          <w:rFonts w:cs="Times New Roman"/>
        </w:rPr>
        <w:t xml:space="preserve"> (Centre for Law and Genetics)</w:t>
      </w:r>
      <w:r w:rsidRPr="003215A2">
        <w:rPr>
          <w:rFonts w:cs="Times New Roman"/>
        </w:rPr>
        <w:t>.</w:t>
      </w:r>
    </w:p>
  </w:footnote>
  <w:footnote w:id="1234">
    <w:p w14:paraId="43AA9406" w14:textId="3DD7C000" w:rsidR="00FF302D" w:rsidRPr="003215A2" w:rsidRDefault="00FF302D" w:rsidP="00E7516E">
      <w:pPr>
        <w:pStyle w:val="FootnoteText"/>
        <w:jc w:val="left"/>
        <w:rPr>
          <w:rFonts w:cs="Times New Roman"/>
        </w:rPr>
      </w:pPr>
      <w:r w:rsidRPr="003215A2">
        <w:rPr>
          <w:rStyle w:val="FootnoteReference"/>
          <w:rFonts w:ascii="Times New Roman" w:hAnsi="Times New Roman" w:cs="Times New Roman"/>
        </w:rPr>
        <w:footnoteRef/>
      </w:r>
      <w:r w:rsidRPr="003215A2">
        <w:rPr>
          <w:rFonts w:cs="Times New Roman"/>
        </w:rPr>
        <w:t xml:space="preserve"> Submission 13</w:t>
      </w:r>
      <w:r w:rsidR="00636AE8" w:rsidRPr="003215A2">
        <w:rPr>
          <w:rFonts w:cs="Times New Roman"/>
        </w:rPr>
        <w:t xml:space="preserve"> (SA</w:t>
      </w:r>
      <w:r w:rsidR="00C1202E">
        <w:rPr>
          <w:rFonts w:cs="Times New Roman"/>
        </w:rPr>
        <w:t>LR</w:t>
      </w:r>
      <w:r w:rsidR="00636AE8" w:rsidRPr="003215A2">
        <w:rPr>
          <w:rFonts w:cs="Times New Roman"/>
        </w:rPr>
        <w:t>I)</w:t>
      </w:r>
      <w:r w:rsidRPr="003215A2">
        <w:rPr>
          <w:rFonts w:cs="Times New Roman"/>
        </w:rPr>
        <w:t xml:space="preserve"> and South Australian Law Reform Institute, </w:t>
      </w:r>
      <w:r w:rsidRPr="003215A2">
        <w:rPr>
          <w:rFonts w:cs="Times New Roman"/>
          <w:i/>
          <w:iCs/>
        </w:rPr>
        <w:t xml:space="preserve">A Statutory Tort for Invasion of Privacy </w:t>
      </w:r>
      <w:r w:rsidRPr="003215A2">
        <w:rPr>
          <w:rFonts w:cs="Times New Roman"/>
        </w:rPr>
        <w:t>(Final Report 4, March 2016).</w:t>
      </w:r>
    </w:p>
  </w:footnote>
  <w:footnote w:id="1235">
    <w:p w14:paraId="01FD8260" w14:textId="1DEE83F3" w:rsidR="00FF302D" w:rsidRPr="003215A2" w:rsidRDefault="00FF302D" w:rsidP="00E7516E">
      <w:pPr>
        <w:pStyle w:val="FootnoteText"/>
        <w:jc w:val="left"/>
        <w:rPr>
          <w:rFonts w:cs="Times New Roman"/>
        </w:rPr>
      </w:pPr>
      <w:r w:rsidRPr="00EA22F8">
        <w:rPr>
          <w:rStyle w:val="FootnoteReference"/>
          <w:rFonts w:ascii="Times New Roman" w:hAnsi="Times New Roman" w:cs="Times New Roman"/>
        </w:rPr>
        <w:footnoteRef/>
      </w:r>
      <w:r w:rsidRPr="00EA22F8">
        <w:rPr>
          <w:rFonts w:cs="Times New Roman"/>
        </w:rPr>
        <w:t xml:space="preserve"> </w:t>
      </w:r>
      <w:r w:rsidR="00636AE8" w:rsidRPr="00EA22F8">
        <w:rPr>
          <w:rFonts w:cs="Times New Roman"/>
        </w:rPr>
        <w:t>Ibid</w:t>
      </w:r>
      <w:r w:rsidRPr="00EA22F8">
        <w:rPr>
          <w:rFonts w:cs="Times New Roman"/>
        </w:rPr>
        <w:t xml:space="preserve"> 66</w:t>
      </w:r>
      <w:r w:rsidRPr="003215A2">
        <w:rPr>
          <w:rFonts w:cs="Times New Roman"/>
        </w:rPr>
        <w:t>.</w:t>
      </w:r>
    </w:p>
  </w:footnote>
  <w:footnote w:id="1236">
    <w:p w14:paraId="757F4855" w14:textId="6248B3C7" w:rsidR="00FF302D" w:rsidRPr="00E7516E" w:rsidRDefault="00FF302D" w:rsidP="00E7516E">
      <w:pPr>
        <w:pStyle w:val="FootnoteText"/>
        <w:jc w:val="left"/>
        <w:rPr>
          <w:rFonts w:cs="Times New Roman"/>
        </w:rPr>
      </w:pPr>
      <w:r w:rsidRPr="003215A2">
        <w:rPr>
          <w:rStyle w:val="FootnoteReference"/>
          <w:rFonts w:ascii="Times New Roman" w:hAnsi="Times New Roman" w:cs="Times New Roman"/>
        </w:rPr>
        <w:footnoteRef/>
      </w:r>
      <w:r w:rsidRPr="003215A2">
        <w:rPr>
          <w:rFonts w:cs="Times New Roman"/>
        </w:rPr>
        <w:t xml:space="preserve"> ALRC</w:t>
      </w:r>
      <w:r w:rsidR="00A232DC" w:rsidRPr="003215A2">
        <w:rPr>
          <w:rFonts w:cs="Times New Roman"/>
        </w:rPr>
        <w:t xml:space="preserve">, </w:t>
      </w:r>
      <w:r w:rsidR="00A232DC" w:rsidRPr="00EA22F8">
        <w:rPr>
          <w:rFonts w:cs="Times New Roman"/>
          <w:i/>
          <w:iCs/>
        </w:rPr>
        <w:t>Serious Invasions of Privacy in the Digital Era</w:t>
      </w:r>
      <w:r w:rsidR="00061E6B">
        <w:rPr>
          <w:rFonts w:cs="Times New Roman"/>
          <w:i/>
          <w:iCs/>
        </w:rPr>
        <w:t xml:space="preserve"> </w:t>
      </w:r>
      <w:r w:rsidRPr="00E7516E">
        <w:rPr>
          <w:rFonts w:cs="Times New Roman"/>
        </w:rPr>
        <w:t>165–166.</w:t>
      </w:r>
    </w:p>
  </w:footnote>
  <w:footnote w:id="1237">
    <w:p w14:paraId="2F06CC35" w14:textId="68542314"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w:t>
      </w:r>
      <w:r w:rsidR="000851C6" w:rsidRPr="003215A2">
        <w:rPr>
          <w:rFonts w:cs="Times New Roman"/>
        </w:rPr>
        <w:t xml:space="preserve">ALRC, </w:t>
      </w:r>
      <w:r w:rsidR="000851C6" w:rsidRPr="00EA22F8">
        <w:rPr>
          <w:rFonts w:cs="Times New Roman"/>
          <w:i/>
          <w:iCs/>
        </w:rPr>
        <w:t>Serious Invasions of Privacy in the Digital Era</w:t>
      </w:r>
      <w:r w:rsidR="000851C6">
        <w:rPr>
          <w:rFonts w:cs="Times New Roman"/>
          <w:i/>
          <w:iCs/>
        </w:rPr>
        <w:t xml:space="preserve"> </w:t>
      </w:r>
      <w:r w:rsidR="000851C6" w:rsidRPr="00E7516E">
        <w:rPr>
          <w:rFonts w:cs="Times New Roman"/>
        </w:rPr>
        <w:t>165–166</w:t>
      </w:r>
      <w:r w:rsidR="000851C6">
        <w:rPr>
          <w:rFonts w:cs="Times New Roman"/>
        </w:rPr>
        <w:t xml:space="preserve"> </w:t>
      </w:r>
      <w:r w:rsidRPr="00E7516E">
        <w:rPr>
          <w:rFonts w:cs="Times New Roman"/>
        </w:rPr>
        <w:t xml:space="preserve">and quoting </w:t>
      </w:r>
      <w:r w:rsidRPr="00E7516E">
        <w:rPr>
          <w:rFonts w:cs="Times New Roman"/>
          <w:i/>
          <w:iCs/>
        </w:rPr>
        <w:t>Fortescue Metals Group Ltd v Commonwealth</w:t>
      </w:r>
      <w:r w:rsidRPr="00E7516E">
        <w:rPr>
          <w:rFonts w:cs="Times New Roman"/>
        </w:rPr>
        <w:t xml:space="preserve"> (2012) 247 CLR 486, [130] (Hayne, Bell, and Keane JJ).</w:t>
      </w:r>
    </w:p>
  </w:footnote>
  <w:footnote w:id="1238">
    <w:p w14:paraId="32D4EA3E"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Government of South Australia, Attorney-General’s Department, ‘State Records; Privacy Committee of South Australia’, available at </w:t>
      </w:r>
      <w:hyperlink r:id="rId41" w:history="1">
        <w:r w:rsidRPr="00E7516E">
          <w:rPr>
            <w:rStyle w:val="Hyperlink"/>
            <w:rFonts w:cs="Times New Roman"/>
          </w:rPr>
          <w:t>https://archives.sa.gov.au/general-information/privacy-committee/privacy-committee-sa</w:t>
        </w:r>
      </w:hyperlink>
      <w:r w:rsidRPr="00E7516E">
        <w:rPr>
          <w:rFonts w:cs="Times New Roman"/>
        </w:rPr>
        <w:t xml:space="preserve">. </w:t>
      </w:r>
    </w:p>
  </w:footnote>
  <w:footnote w:id="1239">
    <w:p w14:paraId="2D2B0FF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Premier and Cabinet Circular, PC 012 – Information Privacy Principles (IPPs) Instruction, effective from May 2020, available at </w:t>
      </w:r>
      <w:hyperlink r:id="rId42" w:history="1">
        <w:r w:rsidRPr="00E7516E">
          <w:rPr>
            <w:rStyle w:val="Hyperlink"/>
            <w:rFonts w:cs="Times New Roman"/>
          </w:rPr>
          <w:t>https://www.dpc.sa.gov.au/resources-and-publications/premier-and-cabinet-circulars/DPC-Circular-Information-Privacy-Principles-IPPS-Instruction.pdf</w:t>
        </w:r>
      </w:hyperlink>
      <w:r w:rsidRPr="00E7516E">
        <w:rPr>
          <w:rFonts w:cs="Times New Roman"/>
        </w:rPr>
        <w:t xml:space="preserve">. </w:t>
      </w:r>
    </w:p>
  </w:footnote>
  <w:footnote w:id="1240">
    <w:p w14:paraId="68101620"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Health and Community Services Complaints Commissioner, ‘HCSCC Charter of Rights’, available at </w:t>
      </w:r>
      <w:hyperlink r:id="rId43" w:history="1">
        <w:r w:rsidRPr="00E7516E">
          <w:rPr>
            <w:rStyle w:val="Hyperlink"/>
            <w:rFonts w:cs="Times New Roman"/>
          </w:rPr>
          <w:t>https://www.hcscc.sa.gov.au/hcscc-charter-of-rights/</w:t>
        </w:r>
      </w:hyperlink>
      <w:r w:rsidRPr="00E7516E">
        <w:rPr>
          <w:rFonts w:cs="Times New Roman"/>
        </w:rPr>
        <w:t xml:space="preserve">. </w:t>
      </w:r>
    </w:p>
  </w:footnote>
  <w:footnote w:id="1241">
    <w:p w14:paraId="4C2DA796" w14:textId="77777777" w:rsidR="00FF302D" w:rsidRPr="00E7516E" w:rsidRDefault="00FF302D" w:rsidP="00E7516E">
      <w:pPr>
        <w:pStyle w:val="FootnoteText"/>
        <w:jc w:val="left"/>
        <w:rPr>
          <w:rFonts w:cs="Times New Roman"/>
        </w:rPr>
      </w:pPr>
      <w:r w:rsidRPr="00E7516E">
        <w:rPr>
          <w:rStyle w:val="FootnoteReference"/>
          <w:rFonts w:ascii="Times New Roman" w:hAnsi="Times New Roman" w:cs="Times New Roman"/>
        </w:rPr>
        <w:footnoteRef/>
      </w:r>
      <w:r w:rsidRPr="00E7516E">
        <w:rPr>
          <w:rFonts w:cs="Times New Roman"/>
        </w:rPr>
        <w:t xml:space="preserve"> See summaries and critical commentary at T Wilson ‘Privacy Law Recommended’ (2007) 4 </w:t>
      </w:r>
      <w:r w:rsidRPr="00E7516E">
        <w:rPr>
          <w:rFonts w:cs="Times New Roman"/>
          <w:i/>
        </w:rPr>
        <w:t>Privacy Law Bulletin</w:t>
      </w:r>
      <w:r w:rsidRPr="00E7516E">
        <w:rPr>
          <w:rFonts w:cs="Times New Roman"/>
        </w:rPr>
        <w:t xml:space="preserve"> 38; Normann Witzleb, ‘A Statutory Cause of Action for Privacy? A Critical Appraisal of Three Recent Australian Law Reform Proposals’ (2011) 19 </w:t>
      </w:r>
      <w:r w:rsidRPr="00E7516E">
        <w:rPr>
          <w:rFonts w:cs="Times New Roman"/>
          <w:i/>
        </w:rPr>
        <w:t>Torts Law Journal</w:t>
      </w:r>
      <w:r w:rsidRPr="00E7516E">
        <w:rPr>
          <w:rFonts w:cs="Times New Roman"/>
        </w:rPr>
        <w:t xml:space="preserve"> 104; </w:t>
      </w:r>
      <w:r w:rsidRPr="00E7516E">
        <w:rPr>
          <w:rFonts w:eastAsia="Times New Roman" w:cs="Times New Roman"/>
        </w:rPr>
        <w:t xml:space="preserve">Normann Witzleb ‘Another Push for an Australian Privacy Tort’ (2020) 94(10) </w:t>
      </w:r>
      <w:r w:rsidRPr="00E7516E">
        <w:rPr>
          <w:rFonts w:eastAsia="Times New Roman" w:cs="Times New Roman"/>
          <w:i/>
        </w:rPr>
        <w:t>Australian Law Journal</w:t>
      </w:r>
      <w:r w:rsidRPr="00E7516E">
        <w:rPr>
          <w:rFonts w:eastAsia="Times New Roman" w:cs="Times New Roman"/>
        </w:rPr>
        <w:t xml:space="preserve"> 765.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FF302D" w14:paraId="6D49E924" w14:textId="77777777" w:rsidTr="005A494C">
      <w:trPr>
        <w:trHeight w:val="300"/>
      </w:trPr>
      <w:tc>
        <w:tcPr>
          <w:tcW w:w="3005" w:type="dxa"/>
        </w:tcPr>
        <w:p w14:paraId="0E82F6CB" w14:textId="77777777" w:rsidR="00FF302D" w:rsidRDefault="00FF302D" w:rsidP="005A494C">
          <w:pPr>
            <w:pStyle w:val="Header"/>
            <w:ind w:left="-115"/>
          </w:pPr>
        </w:p>
      </w:tc>
      <w:tc>
        <w:tcPr>
          <w:tcW w:w="3005" w:type="dxa"/>
        </w:tcPr>
        <w:p w14:paraId="5142804B" w14:textId="77777777" w:rsidR="00FF302D" w:rsidRDefault="00FF302D" w:rsidP="005A494C">
          <w:pPr>
            <w:pStyle w:val="Header"/>
            <w:jc w:val="center"/>
          </w:pPr>
        </w:p>
      </w:tc>
      <w:tc>
        <w:tcPr>
          <w:tcW w:w="3005" w:type="dxa"/>
        </w:tcPr>
        <w:p w14:paraId="7F40A013" w14:textId="77777777" w:rsidR="00FF302D" w:rsidRDefault="00FF302D" w:rsidP="005A494C">
          <w:pPr>
            <w:pStyle w:val="Header"/>
            <w:ind w:right="-115"/>
            <w:jc w:val="right"/>
          </w:pPr>
        </w:p>
      </w:tc>
    </w:tr>
  </w:tbl>
  <w:p w14:paraId="47820E2D" w14:textId="77777777" w:rsidR="00FF302D" w:rsidRDefault="00FF302D" w:rsidP="005A494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355F6" w14:textId="77777777"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2</w:t>
    </w:r>
    <w:r w:rsidRPr="09786175">
      <w:rPr>
        <w:rFonts w:cs="Times New Roman"/>
        <w:i/>
        <w:iCs/>
        <w:sz w:val="20"/>
        <w:szCs w:val="20"/>
      </w:rPr>
      <w:t xml:space="preserve">: </w:t>
    </w:r>
    <w:r>
      <w:rPr>
        <w:rFonts w:cs="Times New Roman"/>
        <w:i/>
        <w:iCs/>
        <w:sz w:val="20"/>
        <w:szCs w:val="20"/>
      </w:rPr>
      <w:t>Privacy Protections in Tasmania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2B66B" w14:textId="571DCC65"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3</w:t>
    </w:r>
    <w:r w:rsidRPr="09786175">
      <w:rPr>
        <w:rFonts w:cs="Times New Roman"/>
        <w:i/>
        <w:iCs/>
        <w:sz w:val="20"/>
        <w:szCs w:val="20"/>
      </w:rPr>
      <w:t>:</w:t>
    </w:r>
    <w:r w:rsidR="00355491">
      <w:rPr>
        <w:rFonts w:cs="Times New Roman"/>
        <w:i/>
        <w:iCs/>
        <w:sz w:val="20"/>
        <w:szCs w:val="20"/>
      </w:rPr>
      <w:t xml:space="preserve"> </w:t>
    </w:r>
    <w:r>
      <w:rPr>
        <w:rFonts w:cs="Times New Roman"/>
        <w:i/>
        <w:iCs/>
        <w:sz w:val="20"/>
        <w:szCs w:val="20"/>
      </w:rPr>
      <w:t>Scope and Application of the PIPA – Bodies Subject to the PIPA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73F1A" w14:textId="77777777"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4: Scope and Application of the PIPA – Information Protected by the PIPA</w:t>
    </w:r>
    <w:r w:rsidRPr="09786175">
      <w:rPr>
        <w:rFonts w:cs="Times New Roman"/>
        <w:i/>
        <w:iCs/>
        <w:sz w:val="20"/>
        <w:szCs w:val="2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4F155" w14:textId="77777777"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5: Aligning the PIPPs with the Cth Act: Collection, Use, and Disclosure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EDC3C" w14:textId="4A4FDE97" w:rsidR="00FF302D" w:rsidRPr="00CD4A93" w:rsidRDefault="00FF302D" w:rsidP="00E832D9">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 xml:space="preserve">6: Aligning the PIPPs with the Cth Act: Data Quality, Security, </w:t>
    </w:r>
    <w:r w:rsidR="00E832D9">
      <w:rPr>
        <w:rFonts w:cs="Times New Roman"/>
        <w:i/>
        <w:iCs/>
        <w:sz w:val="20"/>
        <w:szCs w:val="20"/>
      </w:rPr>
      <w:t>A</w:t>
    </w:r>
    <w:r>
      <w:rPr>
        <w:rFonts w:cs="Times New Roman"/>
        <w:i/>
        <w:iCs/>
        <w:sz w:val="20"/>
        <w:szCs w:val="20"/>
      </w:rPr>
      <w:t>ccess</w:t>
    </w:r>
    <w:r w:rsidR="00A574B1">
      <w:rPr>
        <w:rFonts w:cs="Times New Roman"/>
        <w:i/>
        <w:iCs/>
        <w:sz w:val="20"/>
        <w:szCs w:val="20"/>
      </w:rPr>
      <w:t>, </w:t>
    </w:r>
    <w:r>
      <w:rPr>
        <w:rFonts w:cs="Times New Roman"/>
        <w:i/>
        <w:iCs/>
        <w:sz w:val="20"/>
        <w:szCs w:val="20"/>
      </w:rPr>
      <w:t>Correction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96AE5" w14:textId="77777777"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7: Aligning the PIPPs with the Cth Act: Other Privacy Principles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70705" w14:textId="77777777"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8: The PIPA: Complaints, Monitoring, and Enforcement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20975" w14:textId="77777777"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 xml:space="preserve">Part </w:t>
    </w:r>
    <w:r>
      <w:rPr>
        <w:rFonts w:cs="Times New Roman"/>
        <w:i/>
        <w:iCs/>
        <w:sz w:val="20"/>
        <w:szCs w:val="20"/>
      </w:rPr>
      <w:t>9: Other Legislation Impacting the Privacy of Government-held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CDF64" w14:textId="58118F54"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Part</w:t>
    </w:r>
    <w:r w:rsidR="00D13137">
      <w:rPr>
        <w:rFonts w:cs="Times New Roman"/>
        <w:i/>
        <w:iCs/>
        <w:sz w:val="20"/>
        <w:szCs w:val="20"/>
      </w:rPr>
      <w:t xml:space="preserve"> </w:t>
    </w:r>
    <w:r>
      <w:rPr>
        <w:rFonts w:cs="Times New Roman"/>
        <w:i/>
        <w:iCs/>
        <w:sz w:val="20"/>
        <w:szCs w:val="20"/>
      </w:rPr>
      <w:t>10: Other Legislation Protections of Privacy</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0D2EB" w14:textId="039E5E35"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Part</w:t>
    </w:r>
    <w:r w:rsidR="00E63146">
      <w:rPr>
        <w:rFonts w:cs="Times New Roman"/>
        <w:i/>
        <w:iCs/>
        <w:sz w:val="20"/>
        <w:szCs w:val="20"/>
      </w:rPr>
      <w:t xml:space="preserve"> </w:t>
    </w:r>
    <w:r>
      <w:rPr>
        <w:rFonts w:cs="Times New Roman"/>
        <w:i/>
        <w:iCs/>
        <w:sz w:val="20"/>
        <w:szCs w:val="20"/>
      </w:rPr>
      <w:t>11: General Law Protections and a Civil Statutory Cause of Action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FF302D" w14:paraId="5E41AFA0" w14:textId="77777777" w:rsidTr="005A494C">
      <w:trPr>
        <w:trHeight w:val="300"/>
      </w:trPr>
      <w:tc>
        <w:tcPr>
          <w:tcW w:w="3005" w:type="dxa"/>
        </w:tcPr>
        <w:p w14:paraId="48DA7B51" w14:textId="77777777" w:rsidR="00FF302D" w:rsidRDefault="00FF302D" w:rsidP="005A494C">
          <w:pPr>
            <w:pStyle w:val="Header"/>
            <w:ind w:left="-115"/>
          </w:pPr>
        </w:p>
      </w:tc>
      <w:tc>
        <w:tcPr>
          <w:tcW w:w="3005" w:type="dxa"/>
        </w:tcPr>
        <w:p w14:paraId="00B9B230" w14:textId="77777777" w:rsidR="00FF302D" w:rsidRDefault="00FF302D" w:rsidP="005A494C">
          <w:pPr>
            <w:pStyle w:val="Header"/>
            <w:jc w:val="center"/>
          </w:pPr>
        </w:p>
      </w:tc>
      <w:tc>
        <w:tcPr>
          <w:tcW w:w="3005" w:type="dxa"/>
        </w:tcPr>
        <w:p w14:paraId="6EF59428" w14:textId="77777777" w:rsidR="00FF302D" w:rsidRDefault="00FF302D" w:rsidP="005A494C">
          <w:pPr>
            <w:pStyle w:val="Header"/>
            <w:ind w:right="-115"/>
            <w:jc w:val="right"/>
          </w:pPr>
        </w:p>
      </w:tc>
    </w:tr>
  </w:tbl>
  <w:p w14:paraId="18FB847D" w14:textId="77777777" w:rsidR="00FF302D" w:rsidRDefault="00FF302D" w:rsidP="005F253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C9C0B" w14:textId="01FFC56D" w:rsidR="00FF302D" w:rsidRPr="00CD4A93" w:rsidRDefault="00FF302D" w:rsidP="005A494C">
    <w:pPr>
      <w:pStyle w:val="Header"/>
      <w:pBdr>
        <w:bottom w:val="single" w:sz="2" w:space="1" w:color="auto"/>
      </w:pBdr>
      <w:jc w:val="right"/>
      <w:rPr>
        <w:rFonts w:cs="Times New Roman"/>
        <w:i/>
        <w:iCs/>
        <w:sz w:val="20"/>
        <w:szCs w:val="20"/>
      </w:rPr>
    </w:pPr>
    <w:r>
      <w:rPr>
        <w:rFonts w:cs="Times New Roman"/>
        <w:i/>
        <w:iCs/>
        <w:sz w:val="20"/>
        <w:szCs w:val="20"/>
      </w:rPr>
      <w:t xml:space="preserve">Appendix </w:t>
    </w:r>
    <w:r w:rsidR="00B2604D">
      <w:rPr>
        <w:rFonts w:cs="Times New Roman"/>
        <w:i/>
        <w:iCs/>
        <w:sz w:val="20"/>
        <w:szCs w:val="20"/>
      </w:rPr>
      <w:t>1</w:t>
    </w:r>
    <w:r>
      <w:rPr>
        <w:rFonts w:cs="Times New Roman"/>
        <w:i/>
        <w:iCs/>
        <w:sz w:val="20"/>
        <w:szCs w:val="20"/>
      </w:rPr>
      <w:t>: State and Territory Protection of Privacy</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C182C" w14:textId="18E516BE" w:rsidR="00B2604D" w:rsidRPr="00CD4A93" w:rsidRDefault="00B2604D" w:rsidP="005A494C">
    <w:pPr>
      <w:pStyle w:val="Header"/>
      <w:pBdr>
        <w:bottom w:val="single" w:sz="2" w:space="1" w:color="auto"/>
      </w:pBdr>
      <w:jc w:val="right"/>
      <w:rPr>
        <w:rFonts w:cs="Times New Roman"/>
        <w:i/>
        <w:iCs/>
        <w:sz w:val="20"/>
        <w:szCs w:val="20"/>
      </w:rPr>
    </w:pPr>
    <w:r>
      <w:rPr>
        <w:rFonts w:cs="Times New Roman"/>
        <w:i/>
        <w:iCs/>
        <w:sz w:val="20"/>
        <w:szCs w:val="20"/>
      </w:rPr>
      <w:t xml:space="preserve">Appendix 2: </w:t>
    </w:r>
    <w:r w:rsidR="00AF04A7">
      <w:rPr>
        <w:rFonts w:cs="Times New Roman"/>
        <w:i/>
        <w:iCs/>
        <w:sz w:val="20"/>
        <w:szCs w:val="20"/>
      </w:rPr>
      <w:t>Law Reform Projects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4B8BA" w14:textId="77777777" w:rsidR="00FF302D" w:rsidRDefault="00FF30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C36E2" w14:textId="77777777" w:rsidR="00FF302D" w:rsidRPr="00E761D4" w:rsidRDefault="00FF302D" w:rsidP="09786175">
    <w:pPr>
      <w:pStyle w:val="Header"/>
      <w:jc w:val="right"/>
      <w:rPr>
        <w:rFonts w:cs="Times New Roman"/>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47C69" w14:textId="71E0442A" w:rsidR="00FF302D" w:rsidRPr="00113F13" w:rsidRDefault="00FF302D" w:rsidP="00113F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9ABE" w14:textId="77777777" w:rsidR="00113F13" w:rsidRDefault="00113F1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49AE7" w14:textId="51E9ABBB" w:rsidR="00FF302D" w:rsidRPr="00113F13" w:rsidRDefault="00FF302D" w:rsidP="00113F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23392" w14:textId="423FC19A" w:rsidR="00FF302D" w:rsidRPr="00CD4A93" w:rsidRDefault="00FF302D">
    <w:pPr>
      <w:pBdr>
        <w:bottom w:val="single" w:sz="4" w:space="1" w:color="auto"/>
      </w:pBdr>
      <w:tabs>
        <w:tab w:val="right" w:pos="8931"/>
      </w:tabs>
      <w:spacing w:after="0"/>
      <w:rPr>
        <w:rFonts w:cs="Times New Roman"/>
        <w:sz w:val="20"/>
        <w:szCs w:val="20"/>
      </w:rPr>
    </w:pPr>
    <w:r w:rsidRPr="00CD4A93">
      <w:rPr>
        <w:rFonts w:cs="Times New Roman"/>
        <w:i/>
        <w:iCs/>
        <w:sz w:val="20"/>
        <w:szCs w:val="20"/>
      </w:rPr>
      <w:t xml:space="preserve">Review of Privacy Laws in Tasmania: TLRI </w:t>
    </w:r>
    <w:r w:rsidR="00502A61">
      <w:rPr>
        <w:rFonts w:cs="Times New Roman"/>
        <w:i/>
        <w:iCs/>
        <w:sz w:val="20"/>
        <w:szCs w:val="20"/>
      </w:rPr>
      <w:t>Final Report</w:t>
    </w:r>
    <w:r w:rsidRPr="00CD4A93">
      <w:rPr>
        <w:rFonts w:cs="Times New Roman"/>
        <w:i/>
        <w:iCs/>
        <w:sz w:val="20"/>
        <w:szCs w:val="20"/>
      </w:rPr>
      <w:t xml:space="preserve"> </w:t>
    </w:r>
    <w:r w:rsidR="00E7516E">
      <w:rPr>
        <w:rFonts w:cs="Times New Roman"/>
        <w:i/>
        <w:iCs/>
        <w:sz w:val="20"/>
        <w:szCs w:val="20"/>
      </w:rPr>
      <w:t>N</w:t>
    </w:r>
    <w:r w:rsidRPr="00CD4A93">
      <w:rPr>
        <w:rFonts w:cs="Times New Roman"/>
        <w:i/>
        <w:iCs/>
        <w:sz w:val="20"/>
        <w:szCs w:val="20"/>
      </w:rPr>
      <w:t>o 3</w:t>
    </w:r>
    <w:r w:rsidR="00E83FE2">
      <w:rPr>
        <w:rFonts w:cs="Times New Roman"/>
        <w:i/>
        <w:iCs/>
        <w:sz w:val="20"/>
        <w:szCs w:val="20"/>
      </w:rPr>
      <w:t>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119E2" w14:textId="42B2E5C2" w:rsidR="00FF302D" w:rsidRPr="00CD4A93" w:rsidRDefault="00FF302D" w:rsidP="005A494C">
    <w:pPr>
      <w:pStyle w:val="Header"/>
      <w:pBdr>
        <w:bottom w:val="single" w:sz="2" w:space="1" w:color="auto"/>
      </w:pBdr>
      <w:jc w:val="right"/>
      <w:rPr>
        <w:rFonts w:cs="Times New Roman"/>
        <w:i/>
        <w:iCs/>
        <w:sz w:val="20"/>
        <w:szCs w:val="20"/>
      </w:rPr>
    </w:pPr>
    <w:r w:rsidRPr="09786175">
      <w:rPr>
        <w:rFonts w:cs="Times New Roman"/>
        <w:i/>
        <w:iCs/>
        <w:sz w:val="20"/>
        <w:szCs w:val="20"/>
      </w:rPr>
      <w:t>Part 1: About this Final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76E46"/>
    <w:multiLevelType w:val="hybridMultilevel"/>
    <w:tmpl w:val="920EA176"/>
    <w:lvl w:ilvl="0" w:tplc="9FAC03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3827C0"/>
    <w:multiLevelType w:val="multilevel"/>
    <w:tmpl w:val="3048C038"/>
    <w:styleLink w:val="CurrentList3"/>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23226F"/>
    <w:multiLevelType w:val="hybridMultilevel"/>
    <w:tmpl w:val="87FC5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F5AE5"/>
    <w:multiLevelType w:val="hybridMultilevel"/>
    <w:tmpl w:val="8A60E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4A77D5"/>
    <w:multiLevelType w:val="hybridMultilevel"/>
    <w:tmpl w:val="E7B6E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E177A"/>
    <w:multiLevelType w:val="hybridMultilevel"/>
    <w:tmpl w:val="F4B45422"/>
    <w:lvl w:ilvl="0" w:tplc="F718F96A">
      <w:start w:val="98"/>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E31EC3"/>
    <w:multiLevelType w:val="hybridMultilevel"/>
    <w:tmpl w:val="913638B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D5BA24A"/>
    <w:multiLevelType w:val="hybridMultilevel"/>
    <w:tmpl w:val="C51C726C"/>
    <w:lvl w:ilvl="0" w:tplc="1B7CCB46">
      <w:start w:val="1"/>
      <w:numFmt w:val="bullet"/>
      <w:lvlText w:val=""/>
      <w:lvlJc w:val="left"/>
      <w:pPr>
        <w:ind w:left="720" w:hanging="360"/>
      </w:pPr>
      <w:rPr>
        <w:rFonts w:ascii="Symbol" w:hAnsi="Symbol" w:hint="default"/>
      </w:rPr>
    </w:lvl>
    <w:lvl w:ilvl="1" w:tplc="EDC2C3F0">
      <w:start w:val="1"/>
      <w:numFmt w:val="bullet"/>
      <w:lvlText w:val="o"/>
      <w:lvlJc w:val="left"/>
      <w:pPr>
        <w:ind w:left="1440" w:hanging="360"/>
      </w:pPr>
      <w:rPr>
        <w:rFonts w:ascii="Courier New" w:hAnsi="Courier New" w:hint="default"/>
      </w:rPr>
    </w:lvl>
    <w:lvl w:ilvl="2" w:tplc="6FC441A0">
      <w:start w:val="1"/>
      <w:numFmt w:val="bullet"/>
      <w:lvlText w:val=""/>
      <w:lvlJc w:val="left"/>
      <w:pPr>
        <w:ind w:left="2160" w:hanging="360"/>
      </w:pPr>
      <w:rPr>
        <w:rFonts w:ascii="Wingdings" w:hAnsi="Wingdings" w:hint="default"/>
      </w:rPr>
    </w:lvl>
    <w:lvl w:ilvl="3" w:tplc="0D5CCAFC">
      <w:start w:val="1"/>
      <w:numFmt w:val="bullet"/>
      <w:lvlText w:val=""/>
      <w:lvlJc w:val="left"/>
      <w:pPr>
        <w:ind w:left="2880" w:hanging="360"/>
      </w:pPr>
      <w:rPr>
        <w:rFonts w:ascii="Symbol" w:hAnsi="Symbol" w:hint="default"/>
      </w:rPr>
    </w:lvl>
    <w:lvl w:ilvl="4" w:tplc="A8822B02">
      <w:start w:val="1"/>
      <w:numFmt w:val="bullet"/>
      <w:lvlText w:val="o"/>
      <w:lvlJc w:val="left"/>
      <w:pPr>
        <w:ind w:left="3600" w:hanging="360"/>
      </w:pPr>
      <w:rPr>
        <w:rFonts w:ascii="Courier New" w:hAnsi="Courier New" w:hint="default"/>
      </w:rPr>
    </w:lvl>
    <w:lvl w:ilvl="5" w:tplc="6BC01D5E">
      <w:start w:val="1"/>
      <w:numFmt w:val="bullet"/>
      <w:lvlText w:val=""/>
      <w:lvlJc w:val="left"/>
      <w:pPr>
        <w:ind w:left="4320" w:hanging="360"/>
      </w:pPr>
      <w:rPr>
        <w:rFonts w:ascii="Wingdings" w:hAnsi="Wingdings" w:hint="default"/>
      </w:rPr>
    </w:lvl>
    <w:lvl w:ilvl="6" w:tplc="0EB237C8">
      <w:start w:val="1"/>
      <w:numFmt w:val="bullet"/>
      <w:lvlText w:val=""/>
      <w:lvlJc w:val="left"/>
      <w:pPr>
        <w:ind w:left="5040" w:hanging="360"/>
      </w:pPr>
      <w:rPr>
        <w:rFonts w:ascii="Symbol" w:hAnsi="Symbol" w:hint="default"/>
      </w:rPr>
    </w:lvl>
    <w:lvl w:ilvl="7" w:tplc="5F967888">
      <w:start w:val="1"/>
      <w:numFmt w:val="bullet"/>
      <w:lvlText w:val="o"/>
      <w:lvlJc w:val="left"/>
      <w:pPr>
        <w:ind w:left="5760" w:hanging="360"/>
      </w:pPr>
      <w:rPr>
        <w:rFonts w:ascii="Courier New" w:hAnsi="Courier New" w:hint="default"/>
      </w:rPr>
    </w:lvl>
    <w:lvl w:ilvl="8" w:tplc="9F12FBD6">
      <w:start w:val="1"/>
      <w:numFmt w:val="bullet"/>
      <w:lvlText w:val=""/>
      <w:lvlJc w:val="left"/>
      <w:pPr>
        <w:ind w:left="6480" w:hanging="360"/>
      </w:pPr>
      <w:rPr>
        <w:rFonts w:ascii="Wingdings" w:hAnsi="Wingdings" w:hint="default"/>
      </w:rPr>
    </w:lvl>
  </w:abstractNum>
  <w:abstractNum w:abstractNumId="9" w15:restartNumberingAfterBreak="0">
    <w:nsid w:val="0EF45E5E"/>
    <w:multiLevelType w:val="hybridMultilevel"/>
    <w:tmpl w:val="05A62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5C7C5C"/>
    <w:multiLevelType w:val="hybridMultilevel"/>
    <w:tmpl w:val="498E5410"/>
    <w:lvl w:ilvl="0" w:tplc="7C60D05E">
      <w:start w:val="1"/>
      <w:numFmt w:val="bullet"/>
      <w:lvlText w:val=""/>
      <w:lvlJc w:val="left"/>
      <w:pPr>
        <w:ind w:left="1440" w:hanging="360"/>
      </w:pPr>
      <w:rPr>
        <w:rFonts w:ascii="Symbol" w:hAnsi="Symbol"/>
      </w:rPr>
    </w:lvl>
    <w:lvl w:ilvl="1" w:tplc="31304992">
      <w:start w:val="1"/>
      <w:numFmt w:val="bullet"/>
      <w:lvlText w:val=""/>
      <w:lvlJc w:val="left"/>
      <w:pPr>
        <w:ind w:left="1440" w:hanging="360"/>
      </w:pPr>
      <w:rPr>
        <w:rFonts w:ascii="Symbol" w:hAnsi="Symbol"/>
      </w:rPr>
    </w:lvl>
    <w:lvl w:ilvl="2" w:tplc="C2024076">
      <w:start w:val="1"/>
      <w:numFmt w:val="bullet"/>
      <w:lvlText w:val=""/>
      <w:lvlJc w:val="left"/>
      <w:pPr>
        <w:ind w:left="1440" w:hanging="360"/>
      </w:pPr>
      <w:rPr>
        <w:rFonts w:ascii="Symbol" w:hAnsi="Symbol"/>
      </w:rPr>
    </w:lvl>
    <w:lvl w:ilvl="3" w:tplc="3D4CDF68">
      <w:start w:val="1"/>
      <w:numFmt w:val="bullet"/>
      <w:lvlText w:val=""/>
      <w:lvlJc w:val="left"/>
      <w:pPr>
        <w:ind w:left="1440" w:hanging="360"/>
      </w:pPr>
      <w:rPr>
        <w:rFonts w:ascii="Symbol" w:hAnsi="Symbol"/>
      </w:rPr>
    </w:lvl>
    <w:lvl w:ilvl="4" w:tplc="22BA7ADE">
      <w:start w:val="1"/>
      <w:numFmt w:val="bullet"/>
      <w:lvlText w:val=""/>
      <w:lvlJc w:val="left"/>
      <w:pPr>
        <w:ind w:left="1440" w:hanging="360"/>
      </w:pPr>
      <w:rPr>
        <w:rFonts w:ascii="Symbol" w:hAnsi="Symbol"/>
      </w:rPr>
    </w:lvl>
    <w:lvl w:ilvl="5" w:tplc="FB244DF8">
      <w:start w:val="1"/>
      <w:numFmt w:val="bullet"/>
      <w:lvlText w:val=""/>
      <w:lvlJc w:val="left"/>
      <w:pPr>
        <w:ind w:left="1440" w:hanging="360"/>
      </w:pPr>
      <w:rPr>
        <w:rFonts w:ascii="Symbol" w:hAnsi="Symbol"/>
      </w:rPr>
    </w:lvl>
    <w:lvl w:ilvl="6" w:tplc="9790D6E6">
      <w:start w:val="1"/>
      <w:numFmt w:val="bullet"/>
      <w:lvlText w:val=""/>
      <w:lvlJc w:val="left"/>
      <w:pPr>
        <w:ind w:left="1440" w:hanging="360"/>
      </w:pPr>
      <w:rPr>
        <w:rFonts w:ascii="Symbol" w:hAnsi="Symbol"/>
      </w:rPr>
    </w:lvl>
    <w:lvl w:ilvl="7" w:tplc="E89EAFA2">
      <w:start w:val="1"/>
      <w:numFmt w:val="bullet"/>
      <w:lvlText w:val=""/>
      <w:lvlJc w:val="left"/>
      <w:pPr>
        <w:ind w:left="1440" w:hanging="360"/>
      </w:pPr>
      <w:rPr>
        <w:rFonts w:ascii="Symbol" w:hAnsi="Symbol"/>
      </w:rPr>
    </w:lvl>
    <w:lvl w:ilvl="8" w:tplc="50D4296A">
      <w:start w:val="1"/>
      <w:numFmt w:val="bullet"/>
      <w:lvlText w:val=""/>
      <w:lvlJc w:val="left"/>
      <w:pPr>
        <w:ind w:left="1440" w:hanging="360"/>
      </w:pPr>
      <w:rPr>
        <w:rFonts w:ascii="Symbol" w:hAnsi="Symbol"/>
      </w:rPr>
    </w:lvl>
  </w:abstractNum>
  <w:abstractNum w:abstractNumId="11" w15:restartNumberingAfterBreak="0">
    <w:nsid w:val="13CC856E"/>
    <w:multiLevelType w:val="hybridMultilevel"/>
    <w:tmpl w:val="6DF01822"/>
    <w:lvl w:ilvl="0" w:tplc="46A45F56">
      <w:start w:val="1"/>
      <w:numFmt w:val="bullet"/>
      <w:lvlText w:val=""/>
      <w:lvlJc w:val="left"/>
      <w:pPr>
        <w:ind w:left="720" w:hanging="360"/>
      </w:pPr>
      <w:rPr>
        <w:rFonts w:ascii="Symbol" w:hAnsi="Symbol" w:hint="default"/>
      </w:rPr>
    </w:lvl>
    <w:lvl w:ilvl="1" w:tplc="E4B2269E">
      <w:start w:val="1"/>
      <w:numFmt w:val="bullet"/>
      <w:lvlText w:val="o"/>
      <w:lvlJc w:val="left"/>
      <w:pPr>
        <w:ind w:left="1440" w:hanging="360"/>
      </w:pPr>
      <w:rPr>
        <w:rFonts w:ascii="Courier New" w:hAnsi="Courier New" w:hint="default"/>
      </w:rPr>
    </w:lvl>
    <w:lvl w:ilvl="2" w:tplc="D07E0522">
      <w:start w:val="1"/>
      <w:numFmt w:val="bullet"/>
      <w:lvlText w:val=""/>
      <w:lvlJc w:val="left"/>
      <w:pPr>
        <w:ind w:left="2160" w:hanging="360"/>
      </w:pPr>
      <w:rPr>
        <w:rFonts w:ascii="Wingdings" w:hAnsi="Wingdings" w:hint="default"/>
      </w:rPr>
    </w:lvl>
    <w:lvl w:ilvl="3" w:tplc="6B841C04">
      <w:start w:val="1"/>
      <w:numFmt w:val="bullet"/>
      <w:lvlText w:val=""/>
      <w:lvlJc w:val="left"/>
      <w:pPr>
        <w:ind w:left="2880" w:hanging="360"/>
      </w:pPr>
      <w:rPr>
        <w:rFonts w:ascii="Symbol" w:hAnsi="Symbol" w:hint="default"/>
      </w:rPr>
    </w:lvl>
    <w:lvl w:ilvl="4" w:tplc="078849CA">
      <w:start w:val="1"/>
      <w:numFmt w:val="bullet"/>
      <w:lvlText w:val="o"/>
      <w:lvlJc w:val="left"/>
      <w:pPr>
        <w:ind w:left="3600" w:hanging="360"/>
      </w:pPr>
      <w:rPr>
        <w:rFonts w:ascii="Courier New" w:hAnsi="Courier New" w:hint="default"/>
      </w:rPr>
    </w:lvl>
    <w:lvl w:ilvl="5" w:tplc="1F6E10DA">
      <w:start w:val="1"/>
      <w:numFmt w:val="bullet"/>
      <w:lvlText w:val=""/>
      <w:lvlJc w:val="left"/>
      <w:pPr>
        <w:ind w:left="4320" w:hanging="360"/>
      </w:pPr>
      <w:rPr>
        <w:rFonts w:ascii="Wingdings" w:hAnsi="Wingdings" w:hint="default"/>
      </w:rPr>
    </w:lvl>
    <w:lvl w:ilvl="6" w:tplc="E6A034F8">
      <w:start w:val="1"/>
      <w:numFmt w:val="bullet"/>
      <w:lvlText w:val=""/>
      <w:lvlJc w:val="left"/>
      <w:pPr>
        <w:ind w:left="5040" w:hanging="360"/>
      </w:pPr>
      <w:rPr>
        <w:rFonts w:ascii="Symbol" w:hAnsi="Symbol" w:hint="default"/>
      </w:rPr>
    </w:lvl>
    <w:lvl w:ilvl="7" w:tplc="649E6F92">
      <w:start w:val="1"/>
      <w:numFmt w:val="bullet"/>
      <w:lvlText w:val="o"/>
      <w:lvlJc w:val="left"/>
      <w:pPr>
        <w:ind w:left="5760" w:hanging="360"/>
      </w:pPr>
      <w:rPr>
        <w:rFonts w:ascii="Courier New" w:hAnsi="Courier New" w:hint="default"/>
      </w:rPr>
    </w:lvl>
    <w:lvl w:ilvl="8" w:tplc="C7CC7F92">
      <w:start w:val="1"/>
      <w:numFmt w:val="bullet"/>
      <w:lvlText w:val=""/>
      <w:lvlJc w:val="left"/>
      <w:pPr>
        <w:ind w:left="6480" w:hanging="360"/>
      </w:pPr>
      <w:rPr>
        <w:rFonts w:ascii="Wingdings" w:hAnsi="Wingdings" w:hint="default"/>
      </w:rPr>
    </w:lvl>
  </w:abstractNum>
  <w:abstractNum w:abstractNumId="12" w15:restartNumberingAfterBreak="0">
    <w:nsid w:val="15DE0E5A"/>
    <w:multiLevelType w:val="multilevel"/>
    <w:tmpl w:val="C63A364C"/>
    <w:styleLink w:val="CurrentList7"/>
    <w:lvl w:ilvl="0">
      <w:start w:val="1"/>
      <w:numFmt w:val="decimal"/>
      <w:lvlText w:val="%1."/>
      <w:lvlJc w:val="left"/>
      <w:pPr>
        <w:ind w:left="71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6C62245"/>
    <w:multiLevelType w:val="hybridMultilevel"/>
    <w:tmpl w:val="5FF80786"/>
    <w:lvl w:ilvl="0" w:tplc="F99C9622">
      <w:start w:val="1"/>
      <w:numFmt w:val="bullet"/>
      <w:lvlText w:val=""/>
      <w:lvlJc w:val="left"/>
      <w:pPr>
        <w:ind w:left="720" w:hanging="360"/>
      </w:pPr>
      <w:rPr>
        <w:rFonts w:ascii="Symbol" w:hAnsi="Symbol" w:hint="default"/>
      </w:rPr>
    </w:lvl>
    <w:lvl w:ilvl="1" w:tplc="1FC08A9C">
      <w:start w:val="1"/>
      <w:numFmt w:val="bullet"/>
      <w:lvlText w:val="o"/>
      <w:lvlJc w:val="left"/>
      <w:pPr>
        <w:ind w:left="1440" w:hanging="360"/>
      </w:pPr>
      <w:rPr>
        <w:rFonts w:ascii="Courier New" w:hAnsi="Courier New" w:hint="default"/>
      </w:rPr>
    </w:lvl>
    <w:lvl w:ilvl="2" w:tplc="F9B654FA">
      <w:start w:val="1"/>
      <w:numFmt w:val="bullet"/>
      <w:lvlText w:val=""/>
      <w:lvlJc w:val="left"/>
      <w:pPr>
        <w:ind w:left="2160" w:hanging="360"/>
      </w:pPr>
      <w:rPr>
        <w:rFonts w:ascii="Wingdings" w:hAnsi="Wingdings" w:hint="default"/>
      </w:rPr>
    </w:lvl>
    <w:lvl w:ilvl="3" w:tplc="88CEDEDE">
      <w:start w:val="1"/>
      <w:numFmt w:val="bullet"/>
      <w:lvlText w:val=""/>
      <w:lvlJc w:val="left"/>
      <w:pPr>
        <w:ind w:left="2880" w:hanging="360"/>
      </w:pPr>
      <w:rPr>
        <w:rFonts w:ascii="Symbol" w:hAnsi="Symbol" w:hint="default"/>
      </w:rPr>
    </w:lvl>
    <w:lvl w:ilvl="4" w:tplc="A24824E0">
      <w:start w:val="1"/>
      <w:numFmt w:val="bullet"/>
      <w:lvlText w:val="o"/>
      <w:lvlJc w:val="left"/>
      <w:pPr>
        <w:ind w:left="3600" w:hanging="360"/>
      </w:pPr>
      <w:rPr>
        <w:rFonts w:ascii="Courier New" w:hAnsi="Courier New" w:hint="default"/>
      </w:rPr>
    </w:lvl>
    <w:lvl w:ilvl="5" w:tplc="0FD00AB0">
      <w:start w:val="1"/>
      <w:numFmt w:val="bullet"/>
      <w:lvlText w:val=""/>
      <w:lvlJc w:val="left"/>
      <w:pPr>
        <w:ind w:left="4320" w:hanging="360"/>
      </w:pPr>
      <w:rPr>
        <w:rFonts w:ascii="Wingdings" w:hAnsi="Wingdings" w:hint="default"/>
      </w:rPr>
    </w:lvl>
    <w:lvl w:ilvl="6" w:tplc="77B4B14C">
      <w:start w:val="1"/>
      <w:numFmt w:val="bullet"/>
      <w:lvlText w:val=""/>
      <w:lvlJc w:val="left"/>
      <w:pPr>
        <w:ind w:left="5040" w:hanging="360"/>
      </w:pPr>
      <w:rPr>
        <w:rFonts w:ascii="Symbol" w:hAnsi="Symbol" w:hint="default"/>
      </w:rPr>
    </w:lvl>
    <w:lvl w:ilvl="7" w:tplc="5A7CCEAE">
      <w:start w:val="1"/>
      <w:numFmt w:val="bullet"/>
      <w:lvlText w:val="o"/>
      <w:lvlJc w:val="left"/>
      <w:pPr>
        <w:ind w:left="5760" w:hanging="360"/>
      </w:pPr>
      <w:rPr>
        <w:rFonts w:ascii="Courier New" w:hAnsi="Courier New" w:hint="default"/>
      </w:rPr>
    </w:lvl>
    <w:lvl w:ilvl="8" w:tplc="9C4A3774">
      <w:start w:val="1"/>
      <w:numFmt w:val="bullet"/>
      <w:lvlText w:val=""/>
      <w:lvlJc w:val="left"/>
      <w:pPr>
        <w:ind w:left="6480" w:hanging="360"/>
      </w:pPr>
      <w:rPr>
        <w:rFonts w:ascii="Wingdings" w:hAnsi="Wingdings" w:hint="default"/>
      </w:rPr>
    </w:lvl>
  </w:abstractNum>
  <w:abstractNum w:abstractNumId="14" w15:restartNumberingAfterBreak="0">
    <w:nsid w:val="1BE14685"/>
    <w:multiLevelType w:val="multilevel"/>
    <w:tmpl w:val="F676BDE4"/>
    <w:styleLink w:val="CurrentList5"/>
    <w:lvl w:ilvl="0">
      <w:start w:val="1"/>
      <w:numFmt w:val="decimal"/>
      <w:lvlText w:val="%1."/>
      <w:lvlJc w:val="left"/>
      <w:pPr>
        <w:ind w:left="500" w:hanging="500"/>
      </w:pPr>
      <w:rPr>
        <w:rFonts w:ascii="Calibri" w:eastAsia="Calibri" w:hAnsi="Calibri" w:cs="Calibri" w:hint="default"/>
      </w:rPr>
    </w:lvl>
    <w:lvl w:ilvl="1">
      <w:start w:val="1"/>
      <w:numFmt w:val="decimal"/>
      <w:lvlText w:val="%1.%2."/>
      <w:lvlJc w:val="left"/>
      <w:pPr>
        <w:ind w:left="500" w:hanging="500"/>
      </w:pPr>
      <w:rPr>
        <w:rFonts w:ascii="Calibri" w:eastAsia="Calibri" w:hAnsi="Calibri" w:cs="Calibri" w:hint="default"/>
      </w:rPr>
    </w:lvl>
    <w:lvl w:ilvl="2">
      <w:start w:val="1"/>
      <w:numFmt w:val="decimal"/>
      <w:lvlText w:val="%1.%2.%3."/>
      <w:lvlJc w:val="left"/>
      <w:pPr>
        <w:ind w:left="720" w:hanging="720"/>
      </w:pPr>
      <w:rPr>
        <w:rFonts w:ascii="Calibri" w:hAnsi="Calibri" w:cs="Calibri" w:hint="default"/>
        <w:b w:val="0"/>
        <w:i/>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15" w15:restartNumberingAfterBreak="0">
    <w:nsid w:val="1CD25B59"/>
    <w:multiLevelType w:val="hybridMultilevel"/>
    <w:tmpl w:val="4BE86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0C3FC8"/>
    <w:multiLevelType w:val="multilevel"/>
    <w:tmpl w:val="B56EAD00"/>
    <w:name w:val="TLRI outline"/>
    <w:lvl w:ilvl="0">
      <w:start w:val="1"/>
      <w:numFmt w:val="decimal"/>
      <w:pStyle w:val="TLRIChapterno"/>
      <w:suff w:val="nothing"/>
      <w:lvlText w:val="Chapter %1"/>
      <w:lvlJc w:val="left"/>
      <w:pPr>
        <w:ind w:left="2836" w:firstLine="0"/>
      </w:pPr>
    </w:lvl>
    <w:lvl w:ilvl="1">
      <w:start w:val="1"/>
      <w:numFmt w:val="decimal"/>
      <w:pStyle w:val="TLRIH1"/>
      <w:lvlText w:val="%1.%2."/>
      <w:lvlJc w:val="left"/>
      <w:pPr>
        <w:ind w:left="2977" w:hanging="567"/>
      </w:pPr>
      <w:rPr>
        <w:rFonts w:hint="default"/>
      </w:rPr>
    </w:lvl>
    <w:lvl w:ilvl="2">
      <w:start w:val="1"/>
      <w:numFmt w:val="decimal"/>
      <w:pStyle w:val="TLRINormal"/>
      <w:lvlText w:val="%1.%2.%3."/>
      <w:lvlJc w:val="left"/>
      <w:pPr>
        <w:ind w:left="567" w:hanging="567"/>
      </w:pPr>
      <w:rPr>
        <w:rFonts w:ascii="Times New Roman" w:hAnsi="Times New Roman" w:cs="Times New Roman" w:hint="default"/>
        <w:b w:val="0"/>
        <w:bCs w:val="0"/>
        <w:i w:val="0"/>
        <w:iCs w:val="0"/>
        <w:sz w:val="16"/>
      </w:rPr>
    </w:lvl>
    <w:lvl w:ilvl="3">
      <w:start w:val="1"/>
      <w:numFmt w:val="decimal"/>
      <w:lvlText w:val="%1.%2.%3.%4."/>
      <w:lvlJc w:val="left"/>
      <w:pPr>
        <w:ind w:left="2807" w:hanging="648"/>
      </w:pPr>
      <w:rPr>
        <w:rFonts w:hint="default"/>
      </w:rPr>
    </w:lvl>
    <w:lvl w:ilvl="4">
      <w:start w:val="1"/>
      <w:numFmt w:val="decimal"/>
      <w:lvlText w:val="%1.%2.%3.%4.%5."/>
      <w:lvlJc w:val="left"/>
      <w:pPr>
        <w:ind w:left="3311" w:hanging="792"/>
      </w:pPr>
      <w:rPr>
        <w:rFonts w:hint="default"/>
      </w:rPr>
    </w:lvl>
    <w:lvl w:ilvl="5">
      <w:start w:val="1"/>
      <w:numFmt w:val="decimal"/>
      <w:lvlText w:val="%1.%2.%3.%4.%5.%6."/>
      <w:lvlJc w:val="left"/>
      <w:pPr>
        <w:ind w:left="3815" w:hanging="936"/>
      </w:pPr>
      <w:rPr>
        <w:rFonts w:hint="default"/>
      </w:rPr>
    </w:lvl>
    <w:lvl w:ilvl="6">
      <w:start w:val="1"/>
      <w:numFmt w:val="decimal"/>
      <w:lvlText w:val="%1.%2.%3.%4.%5.%6.%7."/>
      <w:lvlJc w:val="left"/>
      <w:pPr>
        <w:ind w:left="4319" w:hanging="1080"/>
      </w:pPr>
      <w:rPr>
        <w:rFonts w:hint="default"/>
      </w:rPr>
    </w:lvl>
    <w:lvl w:ilvl="7">
      <w:start w:val="1"/>
      <w:numFmt w:val="decimal"/>
      <w:lvlText w:val="%1.%2.%3.%4.%5.%6.%7.%8."/>
      <w:lvlJc w:val="left"/>
      <w:pPr>
        <w:ind w:left="4823" w:hanging="1224"/>
      </w:pPr>
      <w:rPr>
        <w:rFonts w:hint="default"/>
      </w:rPr>
    </w:lvl>
    <w:lvl w:ilvl="8">
      <w:start w:val="1"/>
      <w:numFmt w:val="decimal"/>
      <w:lvlText w:val="%1.%2.%3.%4.%5.%6.%7.%8.%9."/>
      <w:lvlJc w:val="left"/>
      <w:pPr>
        <w:ind w:left="5399" w:hanging="1440"/>
      </w:pPr>
      <w:rPr>
        <w:rFonts w:hint="default"/>
      </w:rPr>
    </w:lvl>
  </w:abstractNum>
  <w:abstractNum w:abstractNumId="17" w15:restartNumberingAfterBreak="0">
    <w:nsid w:val="20787516"/>
    <w:multiLevelType w:val="hybridMultilevel"/>
    <w:tmpl w:val="40B6F246"/>
    <w:lvl w:ilvl="0" w:tplc="E97E0902">
      <w:start w:val="1"/>
      <w:numFmt w:val="bullet"/>
      <w:lvlText w:val=""/>
      <w:lvlJc w:val="left"/>
      <w:pPr>
        <w:ind w:left="720" w:hanging="360"/>
      </w:pPr>
      <w:rPr>
        <w:rFonts w:ascii="Symbol" w:hAnsi="Symbol" w:hint="default"/>
      </w:rPr>
    </w:lvl>
    <w:lvl w:ilvl="1" w:tplc="0E9E0890">
      <w:start w:val="1"/>
      <w:numFmt w:val="bullet"/>
      <w:lvlText w:val="o"/>
      <w:lvlJc w:val="left"/>
      <w:pPr>
        <w:ind w:left="1440" w:hanging="360"/>
      </w:pPr>
      <w:rPr>
        <w:rFonts w:ascii="Courier New" w:hAnsi="Courier New" w:hint="default"/>
      </w:rPr>
    </w:lvl>
    <w:lvl w:ilvl="2" w:tplc="DB1AFF32">
      <w:start w:val="1"/>
      <w:numFmt w:val="bullet"/>
      <w:lvlText w:val=""/>
      <w:lvlJc w:val="left"/>
      <w:pPr>
        <w:ind w:left="2160" w:hanging="360"/>
      </w:pPr>
      <w:rPr>
        <w:rFonts w:ascii="Wingdings" w:hAnsi="Wingdings" w:hint="default"/>
      </w:rPr>
    </w:lvl>
    <w:lvl w:ilvl="3" w:tplc="EEC49EA2">
      <w:start w:val="1"/>
      <w:numFmt w:val="bullet"/>
      <w:lvlText w:val=""/>
      <w:lvlJc w:val="left"/>
      <w:pPr>
        <w:ind w:left="2880" w:hanging="360"/>
      </w:pPr>
      <w:rPr>
        <w:rFonts w:ascii="Symbol" w:hAnsi="Symbol" w:hint="default"/>
      </w:rPr>
    </w:lvl>
    <w:lvl w:ilvl="4" w:tplc="2026CE3C">
      <w:start w:val="1"/>
      <w:numFmt w:val="bullet"/>
      <w:lvlText w:val="o"/>
      <w:lvlJc w:val="left"/>
      <w:pPr>
        <w:ind w:left="3600" w:hanging="360"/>
      </w:pPr>
      <w:rPr>
        <w:rFonts w:ascii="Courier New" w:hAnsi="Courier New" w:hint="default"/>
      </w:rPr>
    </w:lvl>
    <w:lvl w:ilvl="5" w:tplc="6E5AD462">
      <w:start w:val="1"/>
      <w:numFmt w:val="bullet"/>
      <w:lvlText w:val=""/>
      <w:lvlJc w:val="left"/>
      <w:pPr>
        <w:ind w:left="4320" w:hanging="360"/>
      </w:pPr>
      <w:rPr>
        <w:rFonts w:ascii="Wingdings" w:hAnsi="Wingdings" w:hint="default"/>
      </w:rPr>
    </w:lvl>
    <w:lvl w:ilvl="6" w:tplc="5F6C35F4">
      <w:start w:val="1"/>
      <w:numFmt w:val="bullet"/>
      <w:lvlText w:val=""/>
      <w:lvlJc w:val="left"/>
      <w:pPr>
        <w:ind w:left="5040" w:hanging="360"/>
      </w:pPr>
      <w:rPr>
        <w:rFonts w:ascii="Symbol" w:hAnsi="Symbol" w:hint="default"/>
      </w:rPr>
    </w:lvl>
    <w:lvl w:ilvl="7" w:tplc="59C68DA4">
      <w:start w:val="1"/>
      <w:numFmt w:val="bullet"/>
      <w:lvlText w:val="o"/>
      <w:lvlJc w:val="left"/>
      <w:pPr>
        <w:ind w:left="5760" w:hanging="360"/>
      </w:pPr>
      <w:rPr>
        <w:rFonts w:ascii="Courier New" w:hAnsi="Courier New" w:hint="default"/>
      </w:rPr>
    </w:lvl>
    <w:lvl w:ilvl="8" w:tplc="4C9C5494">
      <w:start w:val="1"/>
      <w:numFmt w:val="bullet"/>
      <w:lvlText w:val=""/>
      <w:lvlJc w:val="left"/>
      <w:pPr>
        <w:ind w:left="6480" w:hanging="360"/>
      </w:pPr>
      <w:rPr>
        <w:rFonts w:ascii="Wingdings" w:hAnsi="Wingdings" w:hint="default"/>
      </w:rPr>
    </w:lvl>
  </w:abstractNum>
  <w:abstractNum w:abstractNumId="18" w15:restartNumberingAfterBreak="0">
    <w:nsid w:val="24200E08"/>
    <w:multiLevelType w:val="multilevel"/>
    <w:tmpl w:val="DBF6E92A"/>
    <w:styleLink w:val="CurrentList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D5D78BA"/>
    <w:multiLevelType w:val="multilevel"/>
    <w:tmpl w:val="DBD8A17E"/>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heme="minorHAnsi" w:hAnsiTheme="minorHAnsi" w:hint="default"/>
        <w:b w:val="0"/>
        <w:i/>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09F027A"/>
    <w:multiLevelType w:val="hybridMultilevel"/>
    <w:tmpl w:val="1420676C"/>
    <w:lvl w:ilvl="0" w:tplc="8D580F9A">
      <w:start w:val="1"/>
      <w:numFmt w:val="bullet"/>
      <w:pStyle w:val="DotPointTLRI"/>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0DCDD4"/>
    <w:multiLevelType w:val="hybridMultilevel"/>
    <w:tmpl w:val="6AE2D55E"/>
    <w:lvl w:ilvl="0" w:tplc="0CA445E2">
      <w:start w:val="1"/>
      <w:numFmt w:val="bullet"/>
      <w:lvlText w:val=""/>
      <w:lvlJc w:val="left"/>
      <w:pPr>
        <w:ind w:left="720" w:hanging="360"/>
      </w:pPr>
      <w:rPr>
        <w:rFonts w:ascii="Symbol" w:hAnsi="Symbol" w:hint="default"/>
      </w:rPr>
    </w:lvl>
    <w:lvl w:ilvl="1" w:tplc="83FCF49A">
      <w:start w:val="1"/>
      <w:numFmt w:val="bullet"/>
      <w:lvlText w:val="o"/>
      <w:lvlJc w:val="left"/>
      <w:pPr>
        <w:ind w:left="1440" w:hanging="360"/>
      </w:pPr>
      <w:rPr>
        <w:rFonts w:ascii="Courier New" w:hAnsi="Courier New" w:hint="default"/>
      </w:rPr>
    </w:lvl>
    <w:lvl w:ilvl="2" w:tplc="419A0B6C">
      <w:start w:val="1"/>
      <w:numFmt w:val="bullet"/>
      <w:lvlText w:val=""/>
      <w:lvlJc w:val="left"/>
      <w:pPr>
        <w:ind w:left="2160" w:hanging="360"/>
      </w:pPr>
      <w:rPr>
        <w:rFonts w:ascii="Wingdings" w:hAnsi="Wingdings" w:hint="default"/>
      </w:rPr>
    </w:lvl>
    <w:lvl w:ilvl="3" w:tplc="8C9A83DA">
      <w:start w:val="1"/>
      <w:numFmt w:val="bullet"/>
      <w:lvlText w:val=""/>
      <w:lvlJc w:val="left"/>
      <w:pPr>
        <w:ind w:left="2880" w:hanging="360"/>
      </w:pPr>
      <w:rPr>
        <w:rFonts w:ascii="Symbol" w:hAnsi="Symbol" w:hint="default"/>
      </w:rPr>
    </w:lvl>
    <w:lvl w:ilvl="4" w:tplc="CC8228D4">
      <w:start w:val="1"/>
      <w:numFmt w:val="bullet"/>
      <w:lvlText w:val="o"/>
      <w:lvlJc w:val="left"/>
      <w:pPr>
        <w:ind w:left="3600" w:hanging="360"/>
      </w:pPr>
      <w:rPr>
        <w:rFonts w:ascii="Courier New" w:hAnsi="Courier New" w:hint="default"/>
      </w:rPr>
    </w:lvl>
    <w:lvl w:ilvl="5" w:tplc="909E695A">
      <w:start w:val="1"/>
      <w:numFmt w:val="bullet"/>
      <w:lvlText w:val=""/>
      <w:lvlJc w:val="left"/>
      <w:pPr>
        <w:ind w:left="4320" w:hanging="360"/>
      </w:pPr>
      <w:rPr>
        <w:rFonts w:ascii="Wingdings" w:hAnsi="Wingdings" w:hint="default"/>
      </w:rPr>
    </w:lvl>
    <w:lvl w:ilvl="6" w:tplc="11D4767E">
      <w:start w:val="1"/>
      <w:numFmt w:val="bullet"/>
      <w:lvlText w:val=""/>
      <w:lvlJc w:val="left"/>
      <w:pPr>
        <w:ind w:left="5040" w:hanging="360"/>
      </w:pPr>
      <w:rPr>
        <w:rFonts w:ascii="Symbol" w:hAnsi="Symbol" w:hint="default"/>
      </w:rPr>
    </w:lvl>
    <w:lvl w:ilvl="7" w:tplc="31D407BA">
      <w:start w:val="1"/>
      <w:numFmt w:val="bullet"/>
      <w:lvlText w:val="o"/>
      <w:lvlJc w:val="left"/>
      <w:pPr>
        <w:ind w:left="5760" w:hanging="360"/>
      </w:pPr>
      <w:rPr>
        <w:rFonts w:ascii="Courier New" w:hAnsi="Courier New" w:hint="default"/>
      </w:rPr>
    </w:lvl>
    <w:lvl w:ilvl="8" w:tplc="B54A885A">
      <w:start w:val="1"/>
      <w:numFmt w:val="bullet"/>
      <w:lvlText w:val=""/>
      <w:lvlJc w:val="left"/>
      <w:pPr>
        <w:ind w:left="6480" w:hanging="360"/>
      </w:pPr>
      <w:rPr>
        <w:rFonts w:ascii="Wingdings" w:hAnsi="Wingdings" w:hint="default"/>
      </w:rPr>
    </w:lvl>
  </w:abstractNum>
  <w:abstractNum w:abstractNumId="22" w15:restartNumberingAfterBreak="0">
    <w:nsid w:val="3727D94C"/>
    <w:multiLevelType w:val="hybridMultilevel"/>
    <w:tmpl w:val="71EAA274"/>
    <w:lvl w:ilvl="0" w:tplc="CF14C7C0">
      <w:start w:val="1"/>
      <w:numFmt w:val="bullet"/>
      <w:lvlText w:val=""/>
      <w:lvlJc w:val="left"/>
      <w:pPr>
        <w:ind w:left="720" w:hanging="360"/>
      </w:pPr>
      <w:rPr>
        <w:rFonts w:ascii="Symbol" w:hAnsi="Symbol" w:hint="default"/>
      </w:rPr>
    </w:lvl>
    <w:lvl w:ilvl="1" w:tplc="9A74C804">
      <w:start w:val="1"/>
      <w:numFmt w:val="bullet"/>
      <w:lvlText w:val="o"/>
      <w:lvlJc w:val="left"/>
      <w:pPr>
        <w:ind w:left="1440" w:hanging="360"/>
      </w:pPr>
      <w:rPr>
        <w:rFonts w:ascii="Courier New" w:hAnsi="Courier New" w:hint="default"/>
      </w:rPr>
    </w:lvl>
    <w:lvl w:ilvl="2" w:tplc="FBACADAC">
      <w:start w:val="1"/>
      <w:numFmt w:val="bullet"/>
      <w:lvlText w:val=""/>
      <w:lvlJc w:val="left"/>
      <w:pPr>
        <w:ind w:left="2160" w:hanging="360"/>
      </w:pPr>
      <w:rPr>
        <w:rFonts w:ascii="Wingdings" w:hAnsi="Wingdings" w:hint="default"/>
      </w:rPr>
    </w:lvl>
    <w:lvl w:ilvl="3" w:tplc="49048BAA">
      <w:start w:val="1"/>
      <w:numFmt w:val="bullet"/>
      <w:lvlText w:val=""/>
      <w:lvlJc w:val="left"/>
      <w:pPr>
        <w:ind w:left="2880" w:hanging="360"/>
      </w:pPr>
      <w:rPr>
        <w:rFonts w:ascii="Symbol" w:hAnsi="Symbol" w:hint="default"/>
      </w:rPr>
    </w:lvl>
    <w:lvl w:ilvl="4" w:tplc="A52C17B8">
      <w:start w:val="1"/>
      <w:numFmt w:val="bullet"/>
      <w:lvlText w:val="o"/>
      <w:lvlJc w:val="left"/>
      <w:pPr>
        <w:ind w:left="3600" w:hanging="360"/>
      </w:pPr>
      <w:rPr>
        <w:rFonts w:ascii="Courier New" w:hAnsi="Courier New" w:hint="default"/>
      </w:rPr>
    </w:lvl>
    <w:lvl w:ilvl="5" w:tplc="557E556C">
      <w:start w:val="1"/>
      <w:numFmt w:val="bullet"/>
      <w:lvlText w:val=""/>
      <w:lvlJc w:val="left"/>
      <w:pPr>
        <w:ind w:left="4320" w:hanging="360"/>
      </w:pPr>
      <w:rPr>
        <w:rFonts w:ascii="Wingdings" w:hAnsi="Wingdings" w:hint="default"/>
      </w:rPr>
    </w:lvl>
    <w:lvl w:ilvl="6" w:tplc="6E201A6C">
      <w:start w:val="1"/>
      <w:numFmt w:val="bullet"/>
      <w:lvlText w:val=""/>
      <w:lvlJc w:val="left"/>
      <w:pPr>
        <w:ind w:left="5040" w:hanging="360"/>
      </w:pPr>
      <w:rPr>
        <w:rFonts w:ascii="Symbol" w:hAnsi="Symbol" w:hint="default"/>
      </w:rPr>
    </w:lvl>
    <w:lvl w:ilvl="7" w:tplc="F146B44C">
      <w:start w:val="1"/>
      <w:numFmt w:val="bullet"/>
      <w:lvlText w:val="o"/>
      <w:lvlJc w:val="left"/>
      <w:pPr>
        <w:ind w:left="5760" w:hanging="360"/>
      </w:pPr>
      <w:rPr>
        <w:rFonts w:ascii="Courier New" w:hAnsi="Courier New" w:hint="default"/>
      </w:rPr>
    </w:lvl>
    <w:lvl w:ilvl="8" w:tplc="6D4433F4">
      <w:start w:val="1"/>
      <w:numFmt w:val="bullet"/>
      <w:lvlText w:val=""/>
      <w:lvlJc w:val="left"/>
      <w:pPr>
        <w:ind w:left="6480" w:hanging="360"/>
      </w:pPr>
      <w:rPr>
        <w:rFonts w:ascii="Wingdings" w:hAnsi="Wingdings" w:hint="default"/>
      </w:rPr>
    </w:lvl>
  </w:abstractNum>
  <w:abstractNum w:abstractNumId="23" w15:restartNumberingAfterBreak="0">
    <w:nsid w:val="37E76AA6"/>
    <w:multiLevelType w:val="hybridMultilevel"/>
    <w:tmpl w:val="4424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C30C1F"/>
    <w:multiLevelType w:val="hybridMultilevel"/>
    <w:tmpl w:val="AD3E9D5A"/>
    <w:lvl w:ilvl="0" w:tplc="356237E8">
      <w:start w:val="1"/>
      <w:numFmt w:val="bullet"/>
      <w:lvlText w:val=""/>
      <w:lvlJc w:val="left"/>
      <w:pPr>
        <w:ind w:left="720" w:hanging="360"/>
      </w:pPr>
      <w:rPr>
        <w:rFonts w:ascii="Symbol" w:hAnsi="Symbol" w:hint="default"/>
      </w:rPr>
    </w:lvl>
    <w:lvl w:ilvl="1" w:tplc="5058A9D8">
      <w:start w:val="1"/>
      <w:numFmt w:val="bullet"/>
      <w:lvlText w:val="o"/>
      <w:lvlJc w:val="left"/>
      <w:pPr>
        <w:ind w:left="1440" w:hanging="360"/>
      </w:pPr>
      <w:rPr>
        <w:rFonts w:ascii="Courier New" w:hAnsi="Courier New" w:hint="default"/>
      </w:rPr>
    </w:lvl>
    <w:lvl w:ilvl="2" w:tplc="4ADC656C">
      <w:start w:val="1"/>
      <w:numFmt w:val="bullet"/>
      <w:lvlText w:val=""/>
      <w:lvlJc w:val="left"/>
      <w:pPr>
        <w:ind w:left="2160" w:hanging="360"/>
      </w:pPr>
      <w:rPr>
        <w:rFonts w:ascii="Wingdings" w:hAnsi="Wingdings" w:hint="default"/>
      </w:rPr>
    </w:lvl>
    <w:lvl w:ilvl="3" w:tplc="566E1B80">
      <w:start w:val="1"/>
      <w:numFmt w:val="bullet"/>
      <w:lvlText w:val=""/>
      <w:lvlJc w:val="left"/>
      <w:pPr>
        <w:ind w:left="2880" w:hanging="360"/>
      </w:pPr>
      <w:rPr>
        <w:rFonts w:ascii="Symbol" w:hAnsi="Symbol" w:hint="default"/>
      </w:rPr>
    </w:lvl>
    <w:lvl w:ilvl="4" w:tplc="55BEF4AE">
      <w:start w:val="1"/>
      <w:numFmt w:val="bullet"/>
      <w:lvlText w:val="o"/>
      <w:lvlJc w:val="left"/>
      <w:pPr>
        <w:ind w:left="3600" w:hanging="360"/>
      </w:pPr>
      <w:rPr>
        <w:rFonts w:ascii="Courier New" w:hAnsi="Courier New" w:hint="default"/>
      </w:rPr>
    </w:lvl>
    <w:lvl w:ilvl="5" w:tplc="56E4D4C8">
      <w:start w:val="1"/>
      <w:numFmt w:val="bullet"/>
      <w:lvlText w:val=""/>
      <w:lvlJc w:val="left"/>
      <w:pPr>
        <w:ind w:left="4320" w:hanging="360"/>
      </w:pPr>
      <w:rPr>
        <w:rFonts w:ascii="Wingdings" w:hAnsi="Wingdings" w:hint="default"/>
      </w:rPr>
    </w:lvl>
    <w:lvl w:ilvl="6" w:tplc="B34E3532">
      <w:start w:val="1"/>
      <w:numFmt w:val="bullet"/>
      <w:lvlText w:val=""/>
      <w:lvlJc w:val="left"/>
      <w:pPr>
        <w:ind w:left="5040" w:hanging="360"/>
      </w:pPr>
      <w:rPr>
        <w:rFonts w:ascii="Symbol" w:hAnsi="Symbol" w:hint="default"/>
      </w:rPr>
    </w:lvl>
    <w:lvl w:ilvl="7" w:tplc="230A982A">
      <w:start w:val="1"/>
      <w:numFmt w:val="bullet"/>
      <w:lvlText w:val="o"/>
      <w:lvlJc w:val="left"/>
      <w:pPr>
        <w:ind w:left="5760" w:hanging="360"/>
      </w:pPr>
      <w:rPr>
        <w:rFonts w:ascii="Courier New" w:hAnsi="Courier New" w:hint="default"/>
      </w:rPr>
    </w:lvl>
    <w:lvl w:ilvl="8" w:tplc="FEBABB22">
      <w:start w:val="1"/>
      <w:numFmt w:val="bullet"/>
      <w:lvlText w:val=""/>
      <w:lvlJc w:val="left"/>
      <w:pPr>
        <w:ind w:left="6480" w:hanging="360"/>
      </w:pPr>
      <w:rPr>
        <w:rFonts w:ascii="Wingdings" w:hAnsi="Wingdings" w:hint="default"/>
      </w:rPr>
    </w:lvl>
  </w:abstractNum>
  <w:abstractNum w:abstractNumId="25" w15:restartNumberingAfterBreak="0">
    <w:nsid w:val="40715EF7"/>
    <w:multiLevelType w:val="hybridMultilevel"/>
    <w:tmpl w:val="C56E8DD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2B970B2"/>
    <w:multiLevelType w:val="hybridMultilevel"/>
    <w:tmpl w:val="920EA1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5FD1DD"/>
    <w:multiLevelType w:val="hybridMultilevel"/>
    <w:tmpl w:val="17EE8A84"/>
    <w:lvl w:ilvl="0" w:tplc="5C0A89AA">
      <w:start w:val="1"/>
      <w:numFmt w:val="bullet"/>
      <w:lvlText w:val=""/>
      <w:lvlJc w:val="left"/>
      <w:pPr>
        <w:ind w:left="720" w:hanging="360"/>
      </w:pPr>
      <w:rPr>
        <w:rFonts w:ascii="Symbol" w:hAnsi="Symbol" w:hint="default"/>
      </w:rPr>
    </w:lvl>
    <w:lvl w:ilvl="1" w:tplc="AB28B1A8">
      <w:start w:val="1"/>
      <w:numFmt w:val="bullet"/>
      <w:lvlText w:val="o"/>
      <w:lvlJc w:val="left"/>
      <w:pPr>
        <w:ind w:left="1440" w:hanging="360"/>
      </w:pPr>
      <w:rPr>
        <w:rFonts w:ascii="Courier New" w:hAnsi="Courier New" w:hint="default"/>
      </w:rPr>
    </w:lvl>
    <w:lvl w:ilvl="2" w:tplc="0C988D6C">
      <w:start w:val="1"/>
      <w:numFmt w:val="bullet"/>
      <w:lvlText w:val=""/>
      <w:lvlJc w:val="left"/>
      <w:pPr>
        <w:ind w:left="2160" w:hanging="360"/>
      </w:pPr>
      <w:rPr>
        <w:rFonts w:ascii="Wingdings" w:hAnsi="Wingdings" w:hint="default"/>
      </w:rPr>
    </w:lvl>
    <w:lvl w:ilvl="3" w:tplc="0A98D9FC">
      <w:start w:val="1"/>
      <w:numFmt w:val="bullet"/>
      <w:lvlText w:val=""/>
      <w:lvlJc w:val="left"/>
      <w:pPr>
        <w:ind w:left="2880" w:hanging="360"/>
      </w:pPr>
      <w:rPr>
        <w:rFonts w:ascii="Symbol" w:hAnsi="Symbol" w:hint="default"/>
      </w:rPr>
    </w:lvl>
    <w:lvl w:ilvl="4" w:tplc="1F485A48">
      <w:start w:val="1"/>
      <w:numFmt w:val="bullet"/>
      <w:lvlText w:val="o"/>
      <w:lvlJc w:val="left"/>
      <w:pPr>
        <w:ind w:left="3600" w:hanging="360"/>
      </w:pPr>
      <w:rPr>
        <w:rFonts w:ascii="Courier New" w:hAnsi="Courier New" w:hint="default"/>
      </w:rPr>
    </w:lvl>
    <w:lvl w:ilvl="5" w:tplc="E9B43C9E">
      <w:start w:val="1"/>
      <w:numFmt w:val="bullet"/>
      <w:lvlText w:val=""/>
      <w:lvlJc w:val="left"/>
      <w:pPr>
        <w:ind w:left="4320" w:hanging="360"/>
      </w:pPr>
      <w:rPr>
        <w:rFonts w:ascii="Wingdings" w:hAnsi="Wingdings" w:hint="default"/>
      </w:rPr>
    </w:lvl>
    <w:lvl w:ilvl="6" w:tplc="FCBAF302">
      <w:start w:val="1"/>
      <w:numFmt w:val="bullet"/>
      <w:lvlText w:val=""/>
      <w:lvlJc w:val="left"/>
      <w:pPr>
        <w:ind w:left="5040" w:hanging="360"/>
      </w:pPr>
      <w:rPr>
        <w:rFonts w:ascii="Symbol" w:hAnsi="Symbol" w:hint="default"/>
      </w:rPr>
    </w:lvl>
    <w:lvl w:ilvl="7" w:tplc="1BDE8782">
      <w:start w:val="1"/>
      <w:numFmt w:val="bullet"/>
      <w:lvlText w:val="o"/>
      <w:lvlJc w:val="left"/>
      <w:pPr>
        <w:ind w:left="5760" w:hanging="360"/>
      </w:pPr>
      <w:rPr>
        <w:rFonts w:ascii="Courier New" w:hAnsi="Courier New" w:hint="default"/>
      </w:rPr>
    </w:lvl>
    <w:lvl w:ilvl="8" w:tplc="0CA6B0C6">
      <w:start w:val="1"/>
      <w:numFmt w:val="bullet"/>
      <w:lvlText w:val=""/>
      <w:lvlJc w:val="left"/>
      <w:pPr>
        <w:ind w:left="6480" w:hanging="360"/>
      </w:pPr>
      <w:rPr>
        <w:rFonts w:ascii="Wingdings" w:hAnsi="Wingdings" w:hint="default"/>
      </w:rPr>
    </w:lvl>
  </w:abstractNum>
  <w:abstractNum w:abstractNumId="28" w15:restartNumberingAfterBreak="0">
    <w:nsid w:val="439B4334"/>
    <w:multiLevelType w:val="hybridMultilevel"/>
    <w:tmpl w:val="DD32675E"/>
    <w:styleLink w:val="CurrentList1"/>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9" w15:restartNumberingAfterBreak="0">
    <w:nsid w:val="46491B0C"/>
    <w:multiLevelType w:val="hybridMultilevel"/>
    <w:tmpl w:val="55E002D6"/>
    <w:lvl w:ilvl="0" w:tplc="161A5244">
      <w:start w:val="1"/>
      <w:numFmt w:val="decimal"/>
      <w:pStyle w:val="Numberedlist"/>
      <w:lvlText w:val="%1."/>
      <w:lvlJc w:val="left"/>
      <w:pPr>
        <w:ind w:left="1080" w:hanging="360"/>
      </w:pPr>
      <w:rPr>
        <w:rFonts w:hint="default"/>
      </w:rPr>
    </w:lvl>
    <w:lvl w:ilvl="1" w:tplc="08090019">
      <w:start w:val="1"/>
      <w:numFmt w:val="lowerLetter"/>
      <w:lvlText w:val="%2."/>
      <w:lvlJc w:val="left"/>
      <w:pPr>
        <w:ind w:left="1803" w:hanging="360"/>
      </w:pPr>
    </w:lvl>
    <w:lvl w:ilvl="2" w:tplc="0809001B">
      <w:start w:val="1"/>
      <w:numFmt w:val="lowerRoman"/>
      <w:lvlText w:val="%3."/>
      <w:lvlJc w:val="right"/>
      <w:pPr>
        <w:ind w:left="2523" w:hanging="180"/>
      </w:pPr>
    </w:lvl>
    <w:lvl w:ilvl="3" w:tplc="0809000F">
      <w:start w:val="1"/>
      <w:numFmt w:val="decimal"/>
      <w:lvlText w:val="%4."/>
      <w:lvlJc w:val="left"/>
      <w:pPr>
        <w:ind w:left="3243" w:hanging="360"/>
      </w:pPr>
    </w:lvl>
    <w:lvl w:ilvl="4" w:tplc="08090019">
      <w:start w:val="1"/>
      <w:numFmt w:val="lowerLetter"/>
      <w:lvlText w:val="%5."/>
      <w:lvlJc w:val="left"/>
      <w:pPr>
        <w:ind w:left="3963" w:hanging="360"/>
      </w:pPr>
    </w:lvl>
    <w:lvl w:ilvl="5" w:tplc="0809001B">
      <w:start w:val="1"/>
      <w:numFmt w:val="lowerRoman"/>
      <w:lvlText w:val="%6."/>
      <w:lvlJc w:val="right"/>
      <w:pPr>
        <w:ind w:left="4683" w:hanging="180"/>
      </w:pPr>
    </w:lvl>
    <w:lvl w:ilvl="6" w:tplc="0809000F">
      <w:start w:val="1"/>
      <w:numFmt w:val="decimal"/>
      <w:lvlText w:val="%7."/>
      <w:lvlJc w:val="left"/>
      <w:pPr>
        <w:ind w:left="5403" w:hanging="360"/>
      </w:pPr>
    </w:lvl>
    <w:lvl w:ilvl="7" w:tplc="08090019">
      <w:start w:val="1"/>
      <w:numFmt w:val="lowerLetter"/>
      <w:lvlText w:val="%8."/>
      <w:lvlJc w:val="left"/>
      <w:pPr>
        <w:ind w:left="6123" w:hanging="360"/>
      </w:pPr>
    </w:lvl>
    <w:lvl w:ilvl="8" w:tplc="0809001B">
      <w:start w:val="1"/>
      <w:numFmt w:val="lowerRoman"/>
      <w:lvlText w:val="%9."/>
      <w:lvlJc w:val="right"/>
      <w:pPr>
        <w:ind w:left="6843" w:hanging="180"/>
      </w:pPr>
    </w:lvl>
  </w:abstractNum>
  <w:abstractNum w:abstractNumId="30" w15:restartNumberingAfterBreak="0">
    <w:nsid w:val="49BCEC4A"/>
    <w:multiLevelType w:val="hybridMultilevel"/>
    <w:tmpl w:val="C7FA6D16"/>
    <w:lvl w:ilvl="0" w:tplc="3D9046B2">
      <w:start w:val="1"/>
      <w:numFmt w:val="bullet"/>
      <w:lvlText w:val=""/>
      <w:lvlJc w:val="left"/>
      <w:pPr>
        <w:ind w:left="720" w:hanging="360"/>
      </w:pPr>
      <w:rPr>
        <w:rFonts w:ascii="Symbol" w:hAnsi="Symbol" w:hint="default"/>
      </w:rPr>
    </w:lvl>
    <w:lvl w:ilvl="1" w:tplc="B26C6056">
      <w:start w:val="1"/>
      <w:numFmt w:val="bullet"/>
      <w:lvlText w:val="o"/>
      <w:lvlJc w:val="left"/>
      <w:pPr>
        <w:ind w:left="1440" w:hanging="360"/>
      </w:pPr>
      <w:rPr>
        <w:rFonts w:ascii="Courier New" w:hAnsi="Courier New" w:hint="default"/>
      </w:rPr>
    </w:lvl>
    <w:lvl w:ilvl="2" w:tplc="5742F8A4">
      <w:start w:val="1"/>
      <w:numFmt w:val="bullet"/>
      <w:lvlText w:val=""/>
      <w:lvlJc w:val="left"/>
      <w:pPr>
        <w:ind w:left="2160" w:hanging="360"/>
      </w:pPr>
      <w:rPr>
        <w:rFonts w:ascii="Wingdings" w:hAnsi="Wingdings" w:hint="default"/>
      </w:rPr>
    </w:lvl>
    <w:lvl w:ilvl="3" w:tplc="30906EA4">
      <w:start w:val="1"/>
      <w:numFmt w:val="bullet"/>
      <w:lvlText w:val=""/>
      <w:lvlJc w:val="left"/>
      <w:pPr>
        <w:ind w:left="2880" w:hanging="360"/>
      </w:pPr>
      <w:rPr>
        <w:rFonts w:ascii="Symbol" w:hAnsi="Symbol" w:hint="default"/>
      </w:rPr>
    </w:lvl>
    <w:lvl w:ilvl="4" w:tplc="07A824FC">
      <w:start w:val="1"/>
      <w:numFmt w:val="bullet"/>
      <w:lvlText w:val="o"/>
      <w:lvlJc w:val="left"/>
      <w:pPr>
        <w:ind w:left="3600" w:hanging="360"/>
      </w:pPr>
      <w:rPr>
        <w:rFonts w:ascii="Courier New" w:hAnsi="Courier New" w:hint="default"/>
      </w:rPr>
    </w:lvl>
    <w:lvl w:ilvl="5" w:tplc="2D08E40C">
      <w:start w:val="1"/>
      <w:numFmt w:val="bullet"/>
      <w:lvlText w:val=""/>
      <w:lvlJc w:val="left"/>
      <w:pPr>
        <w:ind w:left="4320" w:hanging="360"/>
      </w:pPr>
      <w:rPr>
        <w:rFonts w:ascii="Wingdings" w:hAnsi="Wingdings" w:hint="default"/>
      </w:rPr>
    </w:lvl>
    <w:lvl w:ilvl="6" w:tplc="1B6C5304">
      <w:start w:val="1"/>
      <w:numFmt w:val="bullet"/>
      <w:lvlText w:val=""/>
      <w:lvlJc w:val="left"/>
      <w:pPr>
        <w:ind w:left="5040" w:hanging="360"/>
      </w:pPr>
      <w:rPr>
        <w:rFonts w:ascii="Symbol" w:hAnsi="Symbol" w:hint="default"/>
      </w:rPr>
    </w:lvl>
    <w:lvl w:ilvl="7" w:tplc="2B4EA762">
      <w:start w:val="1"/>
      <w:numFmt w:val="bullet"/>
      <w:lvlText w:val="o"/>
      <w:lvlJc w:val="left"/>
      <w:pPr>
        <w:ind w:left="5760" w:hanging="360"/>
      </w:pPr>
      <w:rPr>
        <w:rFonts w:ascii="Courier New" w:hAnsi="Courier New" w:hint="default"/>
      </w:rPr>
    </w:lvl>
    <w:lvl w:ilvl="8" w:tplc="07E89726">
      <w:start w:val="1"/>
      <w:numFmt w:val="bullet"/>
      <w:lvlText w:val=""/>
      <w:lvlJc w:val="left"/>
      <w:pPr>
        <w:ind w:left="6480" w:hanging="360"/>
      </w:pPr>
      <w:rPr>
        <w:rFonts w:ascii="Wingdings" w:hAnsi="Wingdings" w:hint="default"/>
      </w:rPr>
    </w:lvl>
  </w:abstractNum>
  <w:abstractNum w:abstractNumId="31" w15:restartNumberingAfterBreak="0">
    <w:nsid w:val="4BFE10CC"/>
    <w:multiLevelType w:val="multilevel"/>
    <w:tmpl w:val="B1AC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4E8008"/>
    <w:multiLevelType w:val="hybridMultilevel"/>
    <w:tmpl w:val="EE68CCC2"/>
    <w:lvl w:ilvl="0" w:tplc="E66AF53C">
      <w:start w:val="1"/>
      <w:numFmt w:val="bullet"/>
      <w:lvlText w:val=""/>
      <w:lvlJc w:val="left"/>
      <w:pPr>
        <w:ind w:left="720" w:hanging="360"/>
      </w:pPr>
      <w:rPr>
        <w:rFonts w:ascii="Symbol" w:hAnsi="Symbol" w:hint="default"/>
      </w:rPr>
    </w:lvl>
    <w:lvl w:ilvl="1" w:tplc="83C20996">
      <w:start w:val="1"/>
      <w:numFmt w:val="bullet"/>
      <w:lvlText w:val="o"/>
      <w:lvlJc w:val="left"/>
      <w:pPr>
        <w:ind w:left="1440" w:hanging="360"/>
      </w:pPr>
      <w:rPr>
        <w:rFonts w:ascii="Courier New" w:hAnsi="Courier New" w:hint="default"/>
      </w:rPr>
    </w:lvl>
    <w:lvl w:ilvl="2" w:tplc="19C28D54">
      <w:start w:val="1"/>
      <w:numFmt w:val="bullet"/>
      <w:lvlText w:val=""/>
      <w:lvlJc w:val="left"/>
      <w:pPr>
        <w:ind w:left="2160" w:hanging="360"/>
      </w:pPr>
      <w:rPr>
        <w:rFonts w:ascii="Wingdings" w:hAnsi="Wingdings" w:hint="default"/>
      </w:rPr>
    </w:lvl>
    <w:lvl w:ilvl="3" w:tplc="54BC23BE">
      <w:start w:val="1"/>
      <w:numFmt w:val="bullet"/>
      <w:lvlText w:val=""/>
      <w:lvlJc w:val="left"/>
      <w:pPr>
        <w:ind w:left="2880" w:hanging="360"/>
      </w:pPr>
      <w:rPr>
        <w:rFonts w:ascii="Symbol" w:hAnsi="Symbol" w:hint="default"/>
      </w:rPr>
    </w:lvl>
    <w:lvl w:ilvl="4" w:tplc="AF40CFC8">
      <w:start w:val="1"/>
      <w:numFmt w:val="bullet"/>
      <w:lvlText w:val="o"/>
      <w:lvlJc w:val="left"/>
      <w:pPr>
        <w:ind w:left="3600" w:hanging="360"/>
      </w:pPr>
      <w:rPr>
        <w:rFonts w:ascii="Courier New" w:hAnsi="Courier New" w:hint="default"/>
      </w:rPr>
    </w:lvl>
    <w:lvl w:ilvl="5" w:tplc="CE4E0CFA">
      <w:start w:val="1"/>
      <w:numFmt w:val="bullet"/>
      <w:lvlText w:val=""/>
      <w:lvlJc w:val="left"/>
      <w:pPr>
        <w:ind w:left="4320" w:hanging="360"/>
      </w:pPr>
      <w:rPr>
        <w:rFonts w:ascii="Wingdings" w:hAnsi="Wingdings" w:hint="default"/>
      </w:rPr>
    </w:lvl>
    <w:lvl w:ilvl="6" w:tplc="180CDFCE">
      <w:start w:val="1"/>
      <w:numFmt w:val="bullet"/>
      <w:lvlText w:val=""/>
      <w:lvlJc w:val="left"/>
      <w:pPr>
        <w:ind w:left="5040" w:hanging="360"/>
      </w:pPr>
      <w:rPr>
        <w:rFonts w:ascii="Symbol" w:hAnsi="Symbol" w:hint="default"/>
      </w:rPr>
    </w:lvl>
    <w:lvl w:ilvl="7" w:tplc="81180AEC">
      <w:start w:val="1"/>
      <w:numFmt w:val="bullet"/>
      <w:lvlText w:val="o"/>
      <w:lvlJc w:val="left"/>
      <w:pPr>
        <w:ind w:left="5760" w:hanging="360"/>
      </w:pPr>
      <w:rPr>
        <w:rFonts w:ascii="Courier New" w:hAnsi="Courier New" w:hint="default"/>
      </w:rPr>
    </w:lvl>
    <w:lvl w:ilvl="8" w:tplc="58788CDE">
      <w:start w:val="1"/>
      <w:numFmt w:val="bullet"/>
      <w:lvlText w:val=""/>
      <w:lvlJc w:val="left"/>
      <w:pPr>
        <w:ind w:left="6480" w:hanging="360"/>
      </w:pPr>
      <w:rPr>
        <w:rFonts w:ascii="Wingdings" w:hAnsi="Wingdings" w:hint="default"/>
      </w:rPr>
    </w:lvl>
  </w:abstractNum>
  <w:abstractNum w:abstractNumId="33" w15:restartNumberingAfterBreak="0">
    <w:nsid w:val="4F216E6C"/>
    <w:multiLevelType w:val="hybridMultilevel"/>
    <w:tmpl w:val="E1423E0C"/>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4F2A55FE"/>
    <w:multiLevelType w:val="multilevel"/>
    <w:tmpl w:val="CD0830E2"/>
    <w:styleLink w:val="CurrentList4"/>
    <w:lvl w:ilvl="0">
      <w:start w:val="1"/>
      <w:numFmt w:val="decimal"/>
      <w:lvlText w:val="%1."/>
      <w:lvlJc w:val="left"/>
      <w:pPr>
        <w:ind w:left="500" w:hanging="500"/>
      </w:pPr>
      <w:rPr>
        <w:rFonts w:ascii="Calibri" w:eastAsia="Calibri" w:hAnsi="Calibri" w:cs="Calibri" w:hint="default"/>
      </w:rPr>
    </w:lvl>
    <w:lvl w:ilvl="1">
      <w:start w:val="1"/>
      <w:numFmt w:val="decimal"/>
      <w:lvlText w:val="%1.%2."/>
      <w:lvlJc w:val="left"/>
      <w:pPr>
        <w:ind w:left="500" w:hanging="50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35" w15:restartNumberingAfterBreak="0">
    <w:nsid w:val="515B52C8"/>
    <w:multiLevelType w:val="multilevel"/>
    <w:tmpl w:val="04F0DDFE"/>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1697598"/>
    <w:multiLevelType w:val="hybridMultilevel"/>
    <w:tmpl w:val="F3663D78"/>
    <w:lvl w:ilvl="0" w:tplc="86FAB86E">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3C0FB5D"/>
    <w:multiLevelType w:val="hybridMultilevel"/>
    <w:tmpl w:val="CDAA7E4C"/>
    <w:lvl w:ilvl="0" w:tplc="CC8E075A">
      <w:start w:val="1"/>
      <w:numFmt w:val="bullet"/>
      <w:lvlText w:val=""/>
      <w:lvlJc w:val="left"/>
      <w:pPr>
        <w:ind w:left="720" w:hanging="360"/>
      </w:pPr>
      <w:rPr>
        <w:rFonts w:ascii="Symbol" w:hAnsi="Symbol" w:hint="default"/>
      </w:rPr>
    </w:lvl>
    <w:lvl w:ilvl="1" w:tplc="86FE27C6">
      <w:start w:val="1"/>
      <w:numFmt w:val="bullet"/>
      <w:lvlText w:val="o"/>
      <w:lvlJc w:val="left"/>
      <w:pPr>
        <w:ind w:left="1440" w:hanging="360"/>
      </w:pPr>
      <w:rPr>
        <w:rFonts w:ascii="Courier New" w:hAnsi="Courier New" w:hint="default"/>
      </w:rPr>
    </w:lvl>
    <w:lvl w:ilvl="2" w:tplc="45260E2E">
      <w:start w:val="1"/>
      <w:numFmt w:val="bullet"/>
      <w:lvlText w:val=""/>
      <w:lvlJc w:val="left"/>
      <w:pPr>
        <w:ind w:left="2160" w:hanging="360"/>
      </w:pPr>
      <w:rPr>
        <w:rFonts w:ascii="Wingdings" w:hAnsi="Wingdings" w:hint="default"/>
      </w:rPr>
    </w:lvl>
    <w:lvl w:ilvl="3" w:tplc="3F00386E">
      <w:start w:val="1"/>
      <w:numFmt w:val="bullet"/>
      <w:lvlText w:val=""/>
      <w:lvlJc w:val="left"/>
      <w:pPr>
        <w:ind w:left="2880" w:hanging="360"/>
      </w:pPr>
      <w:rPr>
        <w:rFonts w:ascii="Symbol" w:hAnsi="Symbol" w:hint="default"/>
      </w:rPr>
    </w:lvl>
    <w:lvl w:ilvl="4" w:tplc="6068065A">
      <w:start w:val="1"/>
      <w:numFmt w:val="bullet"/>
      <w:lvlText w:val="o"/>
      <w:lvlJc w:val="left"/>
      <w:pPr>
        <w:ind w:left="3600" w:hanging="360"/>
      </w:pPr>
      <w:rPr>
        <w:rFonts w:ascii="Courier New" w:hAnsi="Courier New" w:hint="default"/>
      </w:rPr>
    </w:lvl>
    <w:lvl w:ilvl="5" w:tplc="F4285754">
      <w:start w:val="1"/>
      <w:numFmt w:val="bullet"/>
      <w:lvlText w:val=""/>
      <w:lvlJc w:val="left"/>
      <w:pPr>
        <w:ind w:left="4320" w:hanging="360"/>
      </w:pPr>
      <w:rPr>
        <w:rFonts w:ascii="Wingdings" w:hAnsi="Wingdings" w:hint="default"/>
      </w:rPr>
    </w:lvl>
    <w:lvl w:ilvl="6" w:tplc="AA76F25E">
      <w:start w:val="1"/>
      <w:numFmt w:val="bullet"/>
      <w:lvlText w:val=""/>
      <w:lvlJc w:val="left"/>
      <w:pPr>
        <w:ind w:left="5040" w:hanging="360"/>
      </w:pPr>
      <w:rPr>
        <w:rFonts w:ascii="Symbol" w:hAnsi="Symbol" w:hint="default"/>
      </w:rPr>
    </w:lvl>
    <w:lvl w:ilvl="7" w:tplc="C06442F0">
      <w:start w:val="1"/>
      <w:numFmt w:val="bullet"/>
      <w:lvlText w:val="o"/>
      <w:lvlJc w:val="left"/>
      <w:pPr>
        <w:ind w:left="5760" w:hanging="360"/>
      </w:pPr>
      <w:rPr>
        <w:rFonts w:ascii="Courier New" w:hAnsi="Courier New" w:hint="default"/>
      </w:rPr>
    </w:lvl>
    <w:lvl w:ilvl="8" w:tplc="74381E60">
      <w:start w:val="1"/>
      <w:numFmt w:val="bullet"/>
      <w:lvlText w:val=""/>
      <w:lvlJc w:val="left"/>
      <w:pPr>
        <w:ind w:left="6480" w:hanging="360"/>
      </w:pPr>
      <w:rPr>
        <w:rFonts w:ascii="Wingdings" w:hAnsi="Wingdings" w:hint="default"/>
      </w:rPr>
    </w:lvl>
  </w:abstractNum>
  <w:abstractNum w:abstractNumId="38" w15:restartNumberingAfterBreak="0">
    <w:nsid w:val="554576CE"/>
    <w:multiLevelType w:val="hybridMultilevel"/>
    <w:tmpl w:val="48C28FA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8E343A9"/>
    <w:multiLevelType w:val="hybridMultilevel"/>
    <w:tmpl w:val="DCF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CEB7C7E"/>
    <w:multiLevelType w:val="hybridMultilevel"/>
    <w:tmpl w:val="D474F686"/>
    <w:lvl w:ilvl="0" w:tplc="3C4A6FE2">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0D643C6"/>
    <w:multiLevelType w:val="hybridMultilevel"/>
    <w:tmpl w:val="8EC49DAE"/>
    <w:lvl w:ilvl="0" w:tplc="0809001B">
      <w:start w:val="1"/>
      <w:numFmt w:val="lowerRoman"/>
      <w:lvlText w:val="%1."/>
      <w:lvlJc w:val="righ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42" w15:restartNumberingAfterBreak="0">
    <w:nsid w:val="61700136"/>
    <w:multiLevelType w:val="hybridMultilevel"/>
    <w:tmpl w:val="BD7E08AA"/>
    <w:lvl w:ilvl="0" w:tplc="D29AD6D0">
      <w:start w:val="1"/>
      <w:numFmt w:val="bullet"/>
      <w:lvlText w:val=""/>
      <w:lvlJc w:val="left"/>
      <w:pPr>
        <w:ind w:left="720" w:hanging="360"/>
      </w:pPr>
      <w:rPr>
        <w:rFonts w:ascii="Symbol" w:hAnsi="Symbol" w:hint="default"/>
      </w:rPr>
    </w:lvl>
    <w:lvl w:ilvl="1" w:tplc="A4280432">
      <w:start w:val="1"/>
      <w:numFmt w:val="bullet"/>
      <w:lvlText w:val="o"/>
      <w:lvlJc w:val="left"/>
      <w:pPr>
        <w:ind w:left="1440" w:hanging="360"/>
      </w:pPr>
      <w:rPr>
        <w:rFonts w:ascii="Courier New" w:hAnsi="Courier New" w:hint="default"/>
      </w:rPr>
    </w:lvl>
    <w:lvl w:ilvl="2" w:tplc="3AFA1B42">
      <w:start w:val="1"/>
      <w:numFmt w:val="bullet"/>
      <w:lvlText w:val=""/>
      <w:lvlJc w:val="left"/>
      <w:pPr>
        <w:ind w:left="2160" w:hanging="360"/>
      </w:pPr>
      <w:rPr>
        <w:rFonts w:ascii="Wingdings" w:hAnsi="Wingdings" w:hint="default"/>
      </w:rPr>
    </w:lvl>
    <w:lvl w:ilvl="3" w:tplc="07EAE302">
      <w:start w:val="1"/>
      <w:numFmt w:val="bullet"/>
      <w:lvlText w:val=""/>
      <w:lvlJc w:val="left"/>
      <w:pPr>
        <w:ind w:left="2880" w:hanging="360"/>
      </w:pPr>
      <w:rPr>
        <w:rFonts w:ascii="Symbol" w:hAnsi="Symbol" w:hint="default"/>
      </w:rPr>
    </w:lvl>
    <w:lvl w:ilvl="4" w:tplc="7E7A8B74">
      <w:start w:val="1"/>
      <w:numFmt w:val="bullet"/>
      <w:lvlText w:val="o"/>
      <w:lvlJc w:val="left"/>
      <w:pPr>
        <w:ind w:left="3600" w:hanging="360"/>
      </w:pPr>
      <w:rPr>
        <w:rFonts w:ascii="Courier New" w:hAnsi="Courier New" w:hint="default"/>
      </w:rPr>
    </w:lvl>
    <w:lvl w:ilvl="5" w:tplc="6AEA278E">
      <w:start w:val="1"/>
      <w:numFmt w:val="bullet"/>
      <w:lvlText w:val=""/>
      <w:lvlJc w:val="left"/>
      <w:pPr>
        <w:ind w:left="4320" w:hanging="360"/>
      </w:pPr>
      <w:rPr>
        <w:rFonts w:ascii="Wingdings" w:hAnsi="Wingdings" w:hint="default"/>
      </w:rPr>
    </w:lvl>
    <w:lvl w:ilvl="6" w:tplc="F1D2A794">
      <w:start w:val="1"/>
      <w:numFmt w:val="bullet"/>
      <w:lvlText w:val=""/>
      <w:lvlJc w:val="left"/>
      <w:pPr>
        <w:ind w:left="5040" w:hanging="360"/>
      </w:pPr>
      <w:rPr>
        <w:rFonts w:ascii="Symbol" w:hAnsi="Symbol" w:hint="default"/>
      </w:rPr>
    </w:lvl>
    <w:lvl w:ilvl="7" w:tplc="49522892">
      <w:start w:val="1"/>
      <w:numFmt w:val="bullet"/>
      <w:lvlText w:val="o"/>
      <w:lvlJc w:val="left"/>
      <w:pPr>
        <w:ind w:left="5760" w:hanging="360"/>
      </w:pPr>
      <w:rPr>
        <w:rFonts w:ascii="Courier New" w:hAnsi="Courier New" w:hint="default"/>
      </w:rPr>
    </w:lvl>
    <w:lvl w:ilvl="8" w:tplc="ABA8FBC4">
      <w:start w:val="1"/>
      <w:numFmt w:val="bullet"/>
      <w:lvlText w:val=""/>
      <w:lvlJc w:val="left"/>
      <w:pPr>
        <w:ind w:left="6480" w:hanging="360"/>
      </w:pPr>
      <w:rPr>
        <w:rFonts w:ascii="Wingdings" w:hAnsi="Wingdings" w:hint="default"/>
      </w:rPr>
    </w:lvl>
  </w:abstractNum>
  <w:abstractNum w:abstractNumId="43" w15:restartNumberingAfterBreak="0">
    <w:nsid w:val="62BE5B99"/>
    <w:multiLevelType w:val="hybridMultilevel"/>
    <w:tmpl w:val="D098D05C"/>
    <w:lvl w:ilvl="0" w:tplc="53566B38">
      <w:start w:val="1"/>
      <w:numFmt w:val="bullet"/>
      <w:pStyle w:val="Dotpointlis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1A653B"/>
    <w:multiLevelType w:val="hybridMultilevel"/>
    <w:tmpl w:val="DD32675E"/>
    <w:styleLink w:val="CurrentList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5" w15:restartNumberingAfterBreak="0">
    <w:nsid w:val="6F056126"/>
    <w:multiLevelType w:val="multilevel"/>
    <w:tmpl w:val="0C0EDD42"/>
    <w:lvl w:ilvl="0">
      <w:start w:val="1"/>
      <w:numFmt w:val="decimal"/>
      <w:pStyle w:val="PartNoTLRI"/>
      <w:suff w:val="nothing"/>
      <w:lvlText w:val="Part %1"/>
      <w:lvlJc w:val="left"/>
      <w:pPr>
        <w:ind w:left="432" w:hanging="432"/>
      </w:pPr>
      <w:rPr>
        <w:rFonts w:ascii="Times New Roman" w:hAnsi="Times New Roman" w:hint="default"/>
        <w:b/>
        <w:i w:val="0"/>
        <w:sz w:val="32"/>
      </w:rPr>
    </w:lvl>
    <w:lvl w:ilvl="1">
      <w:start w:val="1"/>
      <w:numFmt w:val="decimal"/>
      <w:pStyle w:val="NumberedHeadingTLRI"/>
      <w:lvlText w:val="%1.%2"/>
      <w:lvlJc w:val="left"/>
      <w:pPr>
        <w:tabs>
          <w:tab w:val="num" w:pos="1571"/>
        </w:tabs>
        <w:ind w:left="720" w:hanging="72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hint="default"/>
        <w:b w:val="0"/>
        <w:i/>
        <w:sz w:val="24"/>
        <w:vertAlign w:val="baseli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6" w15:restartNumberingAfterBreak="0">
    <w:nsid w:val="772E6914"/>
    <w:multiLevelType w:val="hybridMultilevel"/>
    <w:tmpl w:val="EA44D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E8302E"/>
    <w:multiLevelType w:val="hybridMultilevel"/>
    <w:tmpl w:val="65BC6062"/>
    <w:lvl w:ilvl="0" w:tplc="D0AE59D2">
      <w:start w:val="1"/>
      <w:numFmt w:val="lowerLetter"/>
      <w:lvlText w:val="(%1)"/>
      <w:lvlJc w:val="left"/>
      <w:pPr>
        <w:ind w:left="1574" w:hanging="360"/>
      </w:pPr>
      <w:rPr>
        <w:rFonts w:hint="default"/>
      </w:rPr>
    </w:lvl>
    <w:lvl w:ilvl="1" w:tplc="0C090019" w:tentative="1">
      <w:start w:val="1"/>
      <w:numFmt w:val="lowerLetter"/>
      <w:lvlText w:val="%2."/>
      <w:lvlJc w:val="left"/>
      <w:pPr>
        <w:ind w:left="2294" w:hanging="360"/>
      </w:pPr>
    </w:lvl>
    <w:lvl w:ilvl="2" w:tplc="0C09001B" w:tentative="1">
      <w:start w:val="1"/>
      <w:numFmt w:val="lowerRoman"/>
      <w:lvlText w:val="%3."/>
      <w:lvlJc w:val="right"/>
      <w:pPr>
        <w:ind w:left="3014" w:hanging="180"/>
      </w:pPr>
    </w:lvl>
    <w:lvl w:ilvl="3" w:tplc="0C09000F" w:tentative="1">
      <w:start w:val="1"/>
      <w:numFmt w:val="decimal"/>
      <w:lvlText w:val="%4."/>
      <w:lvlJc w:val="left"/>
      <w:pPr>
        <w:ind w:left="3734" w:hanging="360"/>
      </w:pPr>
    </w:lvl>
    <w:lvl w:ilvl="4" w:tplc="0C090019" w:tentative="1">
      <w:start w:val="1"/>
      <w:numFmt w:val="lowerLetter"/>
      <w:lvlText w:val="%5."/>
      <w:lvlJc w:val="left"/>
      <w:pPr>
        <w:ind w:left="4454" w:hanging="360"/>
      </w:pPr>
    </w:lvl>
    <w:lvl w:ilvl="5" w:tplc="0C09001B" w:tentative="1">
      <w:start w:val="1"/>
      <w:numFmt w:val="lowerRoman"/>
      <w:lvlText w:val="%6."/>
      <w:lvlJc w:val="right"/>
      <w:pPr>
        <w:ind w:left="5174" w:hanging="180"/>
      </w:pPr>
    </w:lvl>
    <w:lvl w:ilvl="6" w:tplc="0C09000F" w:tentative="1">
      <w:start w:val="1"/>
      <w:numFmt w:val="decimal"/>
      <w:lvlText w:val="%7."/>
      <w:lvlJc w:val="left"/>
      <w:pPr>
        <w:ind w:left="5894" w:hanging="360"/>
      </w:pPr>
    </w:lvl>
    <w:lvl w:ilvl="7" w:tplc="0C090019" w:tentative="1">
      <w:start w:val="1"/>
      <w:numFmt w:val="lowerLetter"/>
      <w:lvlText w:val="%8."/>
      <w:lvlJc w:val="left"/>
      <w:pPr>
        <w:ind w:left="6614" w:hanging="360"/>
      </w:pPr>
    </w:lvl>
    <w:lvl w:ilvl="8" w:tplc="0C09001B" w:tentative="1">
      <w:start w:val="1"/>
      <w:numFmt w:val="lowerRoman"/>
      <w:lvlText w:val="%9."/>
      <w:lvlJc w:val="right"/>
      <w:pPr>
        <w:ind w:left="7334" w:hanging="180"/>
      </w:pPr>
    </w:lvl>
  </w:abstractNum>
  <w:abstractNum w:abstractNumId="48" w15:restartNumberingAfterBreak="0">
    <w:nsid w:val="7C2DF588"/>
    <w:multiLevelType w:val="hybridMultilevel"/>
    <w:tmpl w:val="A498E0DA"/>
    <w:lvl w:ilvl="0" w:tplc="BF409B86">
      <w:start w:val="1"/>
      <w:numFmt w:val="bullet"/>
      <w:lvlText w:val=""/>
      <w:lvlJc w:val="left"/>
      <w:pPr>
        <w:ind w:left="720" w:hanging="360"/>
      </w:pPr>
      <w:rPr>
        <w:rFonts w:ascii="Symbol" w:hAnsi="Symbol" w:hint="default"/>
      </w:rPr>
    </w:lvl>
    <w:lvl w:ilvl="1" w:tplc="13063794">
      <w:start w:val="1"/>
      <w:numFmt w:val="bullet"/>
      <w:lvlText w:val="o"/>
      <w:lvlJc w:val="left"/>
      <w:pPr>
        <w:ind w:left="1440" w:hanging="360"/>
      </w:pPr>
      <w:rPr>
        <w:rFonts w:ascii="Courier New" w:hAnsi="Courier New" w:hint="default"/>
      </w:rPr>
    </w:lvl>
    <w:lvl w:ilvl="2" w:tplc="78F4A8A4">
      <w:start w:val="1"/>
      <w:numFmt w:val="bullet"/>
      <w:lvlText w:val=""/>
      <w:lvlJc w:val="left"/>
      <w:pPr>
        <w:ind w:left="2160" w:hanging="360"/>
      </w:pPr>
      <w:rPr>
        <w:rFonts w:ascii="Wingdings" w:hAnsi="Wingdings" w:hint="default"/>
      </w:rPr>
    </w:lvl>
    <w:lvl w:ilvl="3" w:tplc="2FD0B276">
      <w:start w:val="1"/>
      <w:numFmt w:val="bullet"/>
      <w:lvlText w:val=""/>
      <w:lvlJc w:val="left"/>
      <w:pPr>
        <w:ind w:left="2880" w:hanging="360"/>
      </w:pPr>
      <w:rPr>
        <w:rFonts w:ascii="Symbol" w:hAnsi="Symbol" w:hint="default"/>
      </w:rPr>
    </w:lvl>
    <w:lvl w:ilvl="4" w:tplc="CEA62A58">
      <w:start w:val="1"/>
      <w:numFmt w:val="bullet"/>
      <w:lvlText w:val="o"/>
      <w:lvlJc w:val="left"/>
      <w:pPr>
        <w:ind w:left="3600" w:hanging="360"/>
      </w:pPr>
      <w:rPr>
        <w:rFonts w:ascii="Courier New" w:hAnsi="Courier New" w:hint="default"/>
      </w:rPr>
    </w:lvl>
    <w:lvl w:ilvl="5" w:tplc="CEF053A8">
      <w:start w:val="1"/>
      <w:numFmt w:val="bullet"/>
      <w:lvlText w:val=""/>
      <w:lvlJc w:val="left"/>
      <w:pPr>
        <w:ind w:left="4320" w:hanging="360"/>
      </w:pPr>
      <w:rPr>
        <w:rFonts w:ascii="Wingdings" w:hAnsi="Wingdings" w:hint="default"/>
      </w:rPr>
    </w:lvl>
    <w:lvl w:ilvl="6" w:tplc="B868F136">
      <w:start w:val="1"/>
      <w:numFmt w:val="bullet"/>
      <w:lvlText w:val=""/>
      <w:lvlJc w:val="left"/>
      <w:pPr>
        <w:ind w:left="5040" w:hanging="360"/>
      </w:pPr>
      <w:rPr>
        <w:rFonts w:ascii="Symbol" w:hAnsi="Symbol" w:hint="default"/>
      </w:rPr>
    </w:lvl>
    <w:lvl w:ilvl="7" w:tplc="35161D7E">
      <w:start w:val="1"/>
      <w:numFmt w:val="bullet"/>
      <w:lvlText w:val="o"/>
      <w:lvlJc w:val="left"/>
      <w:pPr>
        <w:ind w:left="5760" w:hanging="360"/>
      </w:pPr>
      <w:rPr>
        <w:rFonts w:ascii="Courier New" w:hAnsi="Courier New" w:hint="default"/>
      </w:rPr>
    </w:lvl>
    <w:lvl w:ilvl="8" w:tplc="A9DA8CCC">
      <w:start w:val="1"/>
      <w:numFmt w:val="bullet"/>
      <w:lvlText w:val=""/>
      <w:lvlJc w:val="left"/>
      <w:pPr>
        <w:ind w:left="6480" w:hanging="360"/>
      </w:pPr>
      <w:rPr>
        <w:rFonts w:ascii="Wingdings" w:hAnsi="Wingdings" w:hint="default"/>
      </w:rPr>
    </w:lvl>
  </w:abstractNum>
  <w:abstractNum w:abstractNumId="49" w15:restartNumberingAfterBreak="0">
    <w:nsid w:val="7D2010C7"/>
    <w:multiLevelType w:val="hybridMultilevel"/>
    <w:tmpl w:val="9A261F24"/>
    <w:lvl w:ilvl="0" w:tplc="AFCA6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28558765">
    <w:abstractNumId w:val="41"/>
  </w:num>
  <w:num w:numId="2" w16cid:durableId="110436373">
    <w:abstractNumId w:val="8"/>
  </w:num>
  <w:num w:numId="3" w16cid:durableId="778336744">
    <w:abstractNumId w:val="11"/>
  </w:num>
  <w:num w:numId="4" w16cid:durableId="1860003322">
    <w:abstractNumId w:val="32"/>
  </w:num>
  <w:num w:numId="5" w16cid:durableId="1249577628">
    <w:abstractNumId w:val="48"/>
  </w:num>
  <w:num w:numId="6" w16cid:durableId="844049109">
    <w:abstractNumId w:val="17"/>
  </w:num>
  <w:num w:numId="7" w16cid:durableId="1638142718">
    <w:abstractNumId w:val="13"/>
  </w:num>
  <w:num w:numId="8" w16cid:durableId="1263995378">
    <w:abstractNumId w:val="37"/>
  </w:num>
  <w:num w:numId="9" w16cid:durableId="849489441">
    <w:abstractNumId w:val="24"/>
  </w:num>
  <w:num w:numId="10" w16cid:durableId="315497788">
    <w:abstractNumId w:val="21"/>
  </w:num>
  <w:num w:numId="11" w16cid:durableId="75639560">
    <w:abstractNumId w:val="42"/>
  </w:num>
  <w:num w:numId="12" w16cid:durableId="1124733093">
    <w:abstractNumId w:val="22"/>
  </w:num>
  <w:num w:numId="13" w16cid:durableId="10083681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1652343">
    <w:abstractNumId w:val="43"/>
  </w:num>
  <w:num w:numId="15" w16cid:durableId="252782390">
    <w:abstractNumId w:val="30"/>
  </w:num>
  <w:num w:numId="16" w16cid:durableId="1581796202">
    <w:abstractNumId w:val="27"/>
  </w:num>
  <w:num w:numId="17" w16cid:durableId="930816455">
    <w:abstractNumId w:val="29"/>
  </w:num>
  <w:num w:numId="18" w16cid:durableId="446313069">
    <w:abstractNumId w:val="29"/>
    <w:lvlOverride w:ilvl="0">
      <w:startOverride w:val="1"/>
    </w:lvlOverride>
  </w:num>
  <w:num w:numId="19" w16cid:durableId="1487168717">
    <w:abstractNumId w:val="7"/>
  </w:num>
  <w:num w:numId="20" w16cid:durableId="1309892963">
    <w:abstractNumId w:val="4"/>
  </w:num>
  <w:num w:numId="21" w16cid:durableId="641888218">
    <w:abstractNumId w:val="5"/>
  </w:num>
  <w:num w:numId="22" w16cid:durableId="169377162">
    <w:abstractNumId w:val="28"/>
  </w:num>
  <w:num w:numId="23" w16cid:durableId="1879583955">
    <w:abstractNumId w:val="44"/>
  </w:num>
  <w:num w:numId="24" w16cid:durableId="484704725">
    <w:abstractNumId w:val="2"/>
  </w:num>
  <w:num w:numId="25" w16cid:durableId="1735663733">
    <w:abstractNumId w:val="34"/>
  </w:num>
  <w:num w:numId="26" w16cid:durableId="1732582104">
    <w:abstractNumId w:val="14"/>
  </w:num>
  <w:num w:numId="27" w16cid:durableId="338889827">
    <w:abstractNumId w:val="35"/>
  </w:num>
  <w:num w:numId="28" w16cid:durableId="1582521087">
    <w:abstractNumId w:val="12"/>
  </w:num>
  <w:num w:numId="29" w16cid:durableId="928852933">
    <w:abstractNumId w:val="18"/>
  </w:num>
  <w:num w:numId="30" w16cid:durableId="1687713497">
    <w:abstractNumId w:val="19"/>
  </w:num>
  <w:num w:numId="31" w16cid:durableId="586354377">
    <w:abstractNumId w:val="45"/>
  </w:num>
  <w:num w:numId="32" w16cid:durableId="1565601480">
    <w:abstractNumId w:val="0"/>
  </w:num>
  <w:num w:numId="33" w16cid:durableId="311448822">
    <w:abstractNumId w:val="16"/>
  </w:num>
  <w:num w:numId="34" w16cid:durableId="663044906">
    <w:abstractNumId w:val="29"/>
    <w:lvlOverride w:ilvl="0">
      <w:startOverride w:val="1"/>
    </w:lvlOverride>
  </w:num>
  <w:num w:numId="35" w16cid:durableId="1921593926">
    <w:abstractNumId w:val="49"/>
  </w:num>
  <w:num w:numId="36" w16cid:durableId="137379639">
    <w:abstractNumId w:val="1"/>
  </w:num>
  <w:num w:numId="37" w16cid:durableId="1057782544">
    <w:abstractNumId w:val="47"/>
  </w:num>
  <w:num w:numId="38" w16cid:durableId="284389490">
    <w:abstractNumId w:val="38"/>
  </w:num>
  <w:num w:numId="39" w16cid:durableId="66660287">
    <w:abstractNumId w:val="6"/>
  </w:num>
  <w:num w:numId="40" w16cid:durableId="1377311299">
    <w:abstractNumId w:val="36"/>
  </w:num>
  <w:num w:numId="41" w16cid:durableId="122650561">
    <w:abstractNumId w:val="31"/>
  </w:num>
  <w:num w:numId="42" w16cid:durableId="1517693943">
    <w:abstractNumId w:val="39"/>
  </w:num>
  <w:num w:numId="43" w16cid:durableId="1910265177">
    <w:abstractNumId w:val="46"/>
  </w:num>
  <w:num w:numId="44" w16cid:durableId="2071148982">
    <w:abstractNumId w:val="23"/>
  </w:num>
  <w:num w:numId="45" w16cid:durableId="109324617">
    <w:abstractNumId w:val="3"/>
  </w:num>
  <w:num w:numId="46" w16cid:durableId="623852665">
    <w:abstractNumId w:val="15"/>
  </w:num>
  <w:num w:numId="47" w16cid:durableId="774057142">
    <w:abstractNumId w:val="9"/>
  </w:num>
  <w:num w:numId="48" w16cid:durableId="493952577">
    <w:abstractNumId w:val="26"/>
  </w:num>
  <w:num w:numId="49" w16cid:durableId="1034768522">
    <w:abstractNumId w:val="45"/>
    <w:lvlOverride w:ilvl="0">
      <w:lvl w:ilvl="0">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decimal"/>
        <w:lvlText w:val=""/>
        <w:lvlJc w:val="left"/>
        <w:pPr>
          <w:tabs>
            <w:tab w:val="num" w:pos="1211"/>
          </w:tabs>
          <w:ind w:left="851" w:firstLine="0"/>
        </w:pPr>
        <w:rPr>
          <w:rFonts w:hint="default"/>
        </w:rPr>
      </w:lvl>
    </w:lvlOverride>
    <w:lvlOverride w:ilvl="4">
      <w:lvl w:ilvl="4">
        <w:numFmt w:val="decimal"/>
        <w:lvlText w:val=""/>
        <w:lvlJc w:val="left"/>
        <w:pPr>
          <w:tabs>
            <w:tab w:val="num" w:pos="1008"/>
          </w:tabs>
          <w:ind w:left="1008" w:hanging="1008"/>
        </w:pPr>
        <w:rPr>
          <w:rFonts w:ascii="Times New Roman" w:hAnsi="Times New Roman" w:hint="default"/>
          <w:b/>
          <w:i w:val="0"/>
          <w:sz w:val="52"/>
        </w:rPr>
      </w:lvl>
    </w:lvlOverride>
    <w:lvlOverride w:ilvl="5">
      <w:lvl w:ilvl="5">
        <w:numFmt w:val="decimal"/>
        <w:lvlRestart w:val="1"/>
        <w:lvlText w:val=""/>
        <w:lvlJc w:val="left"/>
        <w:pPr>
          <w:tabs>
            <w:tab w:val="num" w:pos="1152"/>
          </w:tabs>
          <w:ind w:left="1152" w:hanging="1152"/>
        </w:pPr>
        <w:rPr>
          <w:rFonts w:hint="default"/>
        </w:rPr>
      </w:lvl>
    </w:lvlOverride>
    <w:lvlOverride w:ilvl="6">
      <w:lvl w:ilvl="6">
        <w:numFmt w:val="decimal"/>
        <w:lvlText w:val=""/>
        <w:lvlJc w:val="left"/>
        <w:pPr>
          <w:tabs>
            <w:tab w:val="num" w:pos="1296"/>
          </w:tabs>
          <w:ind w:left="1296" w:hanging="1296"/>
        </w:pPr>
        <w:rPr>
          <w:rFonts w:hint="default"/>
        </w:rPr>
      </w:lvl>
    </w:lvlOverride>
    <w:lvlOverride w:ilvl="7">
      <w:lvl w:ilvl="7">
        <w:numFmt w:val="decimal"/>
        <w:lvlText w:val=""/>
        <w:lvlJc w:val="left"/>
        <w:pPr>
          <w:tabs>
            <w:tab w:val="num" w:pos="1440"/>
          </w:tabs>
          <w:ind w:left="1440" w:hanging="1440"/>
        </w:pPr>
        <w:rPr>
          <w:rFonts w:hint="default"/>
        </w:rPr>
      </w:lvl>
    </w:lvlOverride>
    <w:lvlOverride w:ilvl="8">
      <w:lvl w:ilvl="8">
        <w:numFmt w:val="decimal"/>
        <w:lvlText w:val=""/>
        <w:lvlJc w:val="left"/>
        <w:pPr>
          <w:tabs>
            <w:tab w:val="num" w:pos="1584"/>
          </w:tabs>
          <w:ind w:left="1584" w:hanging="1584"/>
        </w:pPr>
        <w:rPr>
          <w:rFonts w:hint="default"/>
        </w:rPr>
      </w:lvl>
    </w:lvlOverride>
  </w:num>
  <w:num w:numId="50" w16cid:durableId="1227259027">
    <w:abstractNumId w:val="20"/>
  </w:num>
  <w:num w:numId="51" w16cid:durableId="2123114242">
    <w:abstractNumId w:val="45"/>
    <w:lvlOverride w:ilvl="0">
      <w:lvl w:ilvl="0">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decimal"/>
        <w:lvlText w:val=""/>
        <w:lvlJc w:val="left"/>
        <w:pPr>
          <w:tabs>
            <w:tab w:val="num" w:pos="1211"/>
          </w:tabs>
          <w:ind w:left="851" w:firstLine="0"/>
        </w:pPr>
        <w:rPr>
          <w:rFonts w:hint="default"/>
        </w:rPr>
      </w:lvl>
    </w:lvlOverride>
    <w:lvlOverride w:ilvl="4">
      <w:lvl w:ilvl="4">
        <w:numFmt w:val="decimal"/>
        <w:lvlText w:val=""/>
        <w:lvlJc w:val="left"/>
        <w:pPr>
          <w:tabs>
            <w:tab w:val="num" w:pos="1008"/>
          </w:tabs>
          <w:ind w:left="1008" w:hanging="1008"/>
        </w:pPr>
        <w:rPr>
          <w:rFonts w:ascii="Times New Roman" w:hAnsi="Times New Roman" w:hint="default"/>
          <w:b/>
          <w:i w:val="0"/>
          <w:sz w:val="52"/>
        </w:rPr>
      </w:lvl>
    </w:lvlOverride>
    <w:lvlOverride w:ilvl="5">
      <w:lvl w:ilvl="5">
        <w:numFmt w:val="decimal"/>
        <w:lvlRestart w:val="1"/>
        <w:lvlText w:val=""/>
        <w:lvlJc w:val="left"/>
        <w:pPr>
          <w:tabs>
            <w:tab w:val="num" w:pos="1152"/>
          </w:tabs>
          <w:ind w:left="1152" w:hanging="1152"/>
        </w:pPr>
        <w:rPr>
          <w:rFonts w:hint="default"/>
        </w:rPr>
      </w:lvl>
    </w:lvlOverride>
    <w:lvlOverride w:ilvl="6">
      <w:lvl w:ilvl="6">
        <w:numFmt w:val="decimal"/>
        <w:lvlText w:val=""/>
        <w:lvlJc w:val="left"/>
        <w:pPr>
          <w:tabs>
            <w:tab w:val="num" w:pos="1296"/>
          </w:tabs>
          <w:ind w:left="1296" w:hanging="1296"/>
        </w:pPr>
        <w:rPr>
          <w:rFonts w:hint="default"/>
        </w:rPr>
      </w:lvl>
    </w:lvlOverride>
    <w:lvlOverride w:ilvl="7">
      <w:lvl w:ilvl="7">
        <w:numFmt w:val="decimal"/>
        <w:lvlText w:val=""/>
        <w:lvlJc w:val="left"/>
        <w:pPr>
          <w:tabs>
            <w:tab w:val="num" w:pos="1440"/>
          </w:tabs>
          <w:ind w:left="1440" w:hanging="1440"/>
        </w:pPr>
        <w:rPr>
          <w:rFonts w:hint="default"/>
        </w:rPr>
      </w:lvl>
    </w:lvlOverride>
    <w:lvlOverride w:ilvl="8">
      <w:lvl w:ilvl="8">
        <w:numFmt w:val="decimal"/>
        <w:lvlText w:val=""/>
        <w:lvlJc w:val="left"/>
        <w:pPr>
          <w:tabs>
            <w:tab w:val="num" w:pos="1584"/>
          </w:tabs>
          <w:ind w:left="1584" w:hanging="1584"/>
        </w:pPr>
        <w:rPr>
          <w:rFonts w:hint="default"/>
        </w:rPr>
      </w:lvl>
    </w:lvlOverride>
  </w:num>
  <w:num w:numId="52" w16cid:durableId="52506135">
    <w:abstractNumId w:val="33"/>
  </w:num>
  <w:num w:numId="53" w16cid:durableId="1338387958">
    <w:abstractNumId w:val="40"/>
  </w:num>
  <w:num w:numId="54" w16cid:durableId="515191829">
    <w:abstractNumId w:val="45"/>
    <w:lvlOverride w:ilvl="0">
      <w:lvl w:ilvl="0">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startOverride w:val="2"/>
      <w:lvl w:ilvl="3">
        <w:start w:val="2"/>
        <w:numFmt w:val="decimal"/>
        <w:lvlText w:val=""/>
        <w:lvlJc w:val="left"/>
        <w:pPr>
          <w:tabs>
            <w:tab w:val="num" w:pos="1211"/>
          </w:tabs>
          <w:ind w:left="851" w:firstLine="0"/>
        </w:pPr>
        <w:rPr>
          <w:rFonts w:hint="default"/>
        </w:rPr>
      </w:lvl>
    </w:lvlOverride>
    <w:lvlOverride w:ilvl="4">
      <w:lvl w:ilvl="4">
        <w:numFmt w:val="decimal"/>
        <w:lvlText w:val=""/>
        <w:lvlJc w:val="left"/>
        <w:pPr>
          <w:tabs>
            <w:tab w:val="num" w:pos="1008"/>
          </w:tabs>
          <w:ind w:left="1008" w:hanging="1008"/>
        </w:pPr>
        <w:rPr>
          <w:rFonts w:ascii="Times New Roman" w:hAnsi="Times New Roman" w:hint="default"/>
          <w:b/>
          <w:i w:val="0"/>
          <w:sz w:val="52"/>
        </w:rPr>
      </w:lvl>
    </w:lvlOverride>
    <w:lvlOverride w:ilvl="5">
      <w:lvl w:ilvl="5">
        <w:numFmt w:val="decimal"/>
        <w:lvlRestart w:val="1"/>
        <w:lvlText w:val=""/>
        <w:lvlJc w:val="left"/>
        <w:pPr>
          <w:tabs>
            <w:tab w:val="num" w:pos="1152"/>
          </w:tabs>
          <w:ind w:left="1152" w:hanging="1152"/>
        </w:pPr>
        <w:rPr>
          <w:rFonts w:hint="default"/>
        </w:rPr>
      </w:lvl>
    </w:lvlOverride>
    <w:lvlOverride w:ilvl="6">
      <w:lvl w:ilvl="6">
        <w:numFmt w:val="decimal"/>
        <w:lvlText w:val=""/>
        <w:lvlJc w:val="left"/>
        <w:pPr>
          <w:tabs>
            <w:tab w:val="num" w:pos="1296"/>
          </w:tabs>
          <w:ind w:left="1296" w:hanging="1296"/>
        </w:pPr>
        <w:rPr>
          <w:rFonts w:hint="default"/>
        </w:rPr>
      </w:lvl>
    </w:lvlOverride>
    <w:lvlOverride w:ilvl="7">
      <w:lvl w:ilvl="7">
        <w:numFmt w:val="decimal"/>
        <w:lvlText w:val=""/>
        <w:lvlJc w:val="left"/>
        <w:pPr>
          <w:tabs>
            <w:tab w:val="num" w:pos="1440"/>
          </w:tabs>
          <w:ind w:left="1440" w:hanging="1440"/>
        </w:pPr>
        <w:rPr>
          <w:rFonts w:hint="default"/>
        </w:rPr>
      </w:lvl>
    </w:lvlOverride>
    <w:lvlOverride w:ilvl="8">
      <w:lvl w:ilvl="8">
        <w:numFmt w:val="decimal"/>
        <w:lvlText w:val=""/>
        <w:lvlJc w:val="left"/>
        <w:pPr>
          <w:tabs>
            <w:tab w:val="num" w:pos="1584"/>
          </w:tabs>
          <w:ind w:left="1584" w:hanging="1584"/>
        </w:pPr>
        <w:rPr>
          <w:rFonts w:hint="default"/>
        </w:rPr>
      </w:lvl>
    </w:lvlOverride>
  </w:num>
  <w:num w:numId="55" w16cid:durableId="1157263077">
    <w:abstractNumId w:val="45"/>
    <w:lvlOverride w:ilvl="0">
      <w:startOverride w:val="1"/>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startOverride w:val="2"/>
      <w:lvl w:ilvl="3">
        <w:start w:val="2"/>
        <w:numFmt w:val="decimal"/>
        <w:lvlText w:val=""/>
        <w:lvlJc w:val="left"/>
        <w:pPr>
          <w:tabs>
            <w:tab w:val="num" w:pos="1211"/>
          </w:tabs>
          <w:ind w:left="851" w:firstLine="0"/>
        </w:pPr>
        <w:rPr>
          <w:rFonts w:hint="default"/>
        </w:rPr>
      </w:lvl>
    </w:lvlOverride>
    <w:lvlOverride w:ilvl="4">
      <w:startOverride w:val="1"/>
      <w:lvl w:ilvl="4">
        <w:start w:val="1"/>
        <w:numFmt w:val="decimal"/>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decimal"/>
        <w:lvlRestart w:val="1"/>
        <w:lvlText w:val=""/>
        <w:lvlJc w:val="left"/>
        <w:pPr>
          <w:tabs>
            <w:tab w:val="num" w:pos="1152"/>
          </w:tabs>
          <w:ind w:left="1152" w:hanging="1152"/>
        </w:pPr>
        <w:rPr>
          <w:rFonts w:hint="default"/>
        </w:rPr>
      </w:lvl>
    </w:lvlOverride>
    <w:lvlOverride w:ilvl="6">
      <w:startOverride w:val="1"/>
      <w:lvl w:ilvl="6">
        <w:start w:val="1"/>
        <w:numFmt w:val="decimal"/>
        <w:lvlText w:val=""/>
        <w:lvlJc w:val="left"/>
        <w:pPr>
          <w:tabs>
            <w:tab w:val="num" w:pos="1296"/>
          </w:tabs>
          <w:ind w:left="1296" w:hanging="1296"/>
        </w:pPr>
        <w:rPr>
          <w:rFonts w:hint="default"/>
        </w:rPr>
      </w:lvl>
    </w:lvlOverride>
    <w:lvlOverride w:ilvl="7">
      <w:startOverride w:val="1"/>
      <w:lvl w:ilvl="7">
        <w:start w:val="1"/>
        <w:numFmt w:val="decimal"/>
        <w:lvlText w:val=""/>
        <w:lvlJc w:val="left"/>
        <w:pPr>
          <w:tabs>
            <w:tab w:val="num" w:pos="1440"/>
          </w:tabs>
          <w:ind w:left="1440" w:hanging="1440"/>
        </w:pPr>
        <w:rPr>
          <w:rFonts w:hint="default"/>
        </w:rPr>
      </w:lvl>
    </w:lvlOverride>
    <w:lvlOverride w:ilvl="8">
      <w:startOverride w:val="1"/>
      <w:lvl w:ilvl="8">
        <w:start w:val="1"/>
        <w:numFmt w:val="decimal"/>
        <w:lvlText w:val=""/>
        <w:lvlJc w:val="left"/>
        <w:pPr>
          <w:tabs>
            <w:tab w:val="num" w:pos="1584"/>
          </w:tabs>
          <w:ind w:left="1584" w:hanging="1584"/>
        </w:pPr>
        <w:rPr>
          <w:rFonts w:hint="default"/>
        </w:rPr>
      </w:lvl>
    </w:lvlOverride>
  </w:num>
  <w:num w:numId="56" w16cid:durableId="1999532051">
    <w:abstractNumId w:val="45"/>
    <w:lvlOverride w:ilvl="0">
      <w:startOverride w:val="1"/>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startOverride w:val="2"/>
      <w:lvl w:ilvl="3">
        <w:start w:val="2"/>
        <w:numFmt w:val="decimal"/>
        <w:lvlText w:val=""/>
        <w:lvlJc w:val="left"/>
        <w:pPr>
          <w:tabs>
            <w:tab w:val="num" w:pos="1211"/>
          </w:tabs>
          <w:ind w:left="851" w:firstLine="0"/>
        </w:pPr>
        <w:rPr>
          <w:rFonts w:hint="default"/>
        </w:rPr>
      </w:lvl>
    </w:lvlOverride>
    <w:lvlOverride w:ilvl="4">
      <w:startOverride w:val="1"/>
      <w:lvl w:ilvl="4">
        <w:start w:val="1"/>
        <w:numFmt w:val="decimal"/>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decimal"/>
        <w:lvlRestart w:val="1"/>
        <w:lvlText w:val=""/>
        <w:lvlJc w:val="left"/>
        <w:pPr>
          <w:tabs>
            <w:tab w:val="num" w:pos="1152"/>
          </w:tabs>
          <w:ind w:left="1152" w:hanging="1152"/>
        </w:pPr>
        <w:rPr>
          <w:rFonts w:hint="default"/>
        </w:rPr>
      </w:lvl>
    </w:lvlOverride>
    <w:lvlOverride w:ilvl="6">
      <w:startOverride w:val="1"/>
      <w:lvl w:ilvl="6">
        <w:start w:val="1"/>
        <w:numFmt w:val="decimal"/>
        <w:lvlText w:val=""/>
        <w:lvlJc w:val="left"/>
        <w:pPr>
          <w:tabs>
            <w:tab w:val="num" w:pos="1296"/>
          </w:tabs>
          <w:ind w:left="1296" w:hanging="1296"/>
        </w:pPr>
        <w:rPr>
          <w:rFonts w:hint="default"/>
        </w:rPr>
      </w:lvl>
    </w:lvlOverride>
    <w:lvlOverride w:ilvl="7">
      <w:startOverride w:val="1"/>
      <w:lvl w:ilvl="7">
        <w:start w:val="1"/>
        <w:numFmt w:val="decimal"/>
        <w:lvlText w:val=""/>
        <w:lvlJc w:val="left"/>
        <w:pPr>
          <w:tabs>
            <w:tab w:val="num" w:pos="1440"/>
          </w:tabs>
          <w:ind w:left="1440" w:hanging="1440"/>
        </w:pPr>
        <w:rPr>
          <w:rFonts w:hint="default"/>
        </w:rPr>
      </w:lvl>
    </w:lvlOverride>
    <w:lvlOverride w:ilvl="8">
      <w:startOverride w:val="1"/>
      <w:lvl w:ilvl="8">
        <w:start w:val="1"/>
        <w:numFmt w:val="decimal"/>
        <w:lvlText w:val=""/>
        <w:lvlJc w:val="left"/>
        <w:pPr>
          <w:tabs>
            <w:tab w:val="num" w:pos="1584"/>
          </w:tabs>
          <w:ind w:left="1584" w:hanging="1584"/>
        </w:pPr>
        <w:rPr>
          <w:rFonts w:hint="default"/>
        </w:rPr>
      </w:lvl>
    </w:lvlOverride>
  </w:num>
  <w:num w:numId="57" w16cid:durableId="472991086">
    <w:abstractNumId w:val="10"/>
  </w:num>
  <w:num w:numId="58" w16cid:durableId="969047759">
    <w:abstractNumId w:val="20"/>
  </w:num>
  <w:num w:numId="59" w16cid:durableId="649290421">
    <w:abstractNumId w:val="45"/>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60" w16cid:durableId="1939950033">
    <w:abstractNumId w:val="45"/>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61" w16cid:durableId="538206895">
    <w:abstractNumId w:val="45"/>
    <w:lvlOverride w:ilvl="0">
      <w:lvl w:ilvl="0">
        <w:start w:val="1"/>
        <w:numFmt w:val="decimal"/>
        <w:pStyle w:val="PartNoTLRI"/>
        <w:suff w:val="nothing"/>
        <w:lvlText w:val="Part %1"/>
        <w:lvlJc w:val="left"/>
        <w:pPr>
          <w:ind w:left="432" w:hanging="432"/>
        </w:pPr>
        <w:rPr>
          <w:rFonts w:ascii="Times New Roman" w:hAnsi="Times New Roman" w:hint="default"/>
          <w:b/>
          <w:i w:val="0"/>
          <w:sz w:val="32"/>
        </w:r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documentProtection w:edit="readOnly" w:enforcement="1" w:cryptProviderType="rsaAES" w:cryptAlgorithmClass="hash" w:cryptAlgorithmType="typeAny" w:cryptAlgorithmSid="14" w:cryptSpinCount="100000" w:hash="G8HjyshdlRNMWWZK5FnsrC1LNABOwlYiDajtQan9PmAjgSvk3VWYcvxskjJ74Cruj3M88wl4U7I3N3hhBOyTWA==" w:salt="n2Jh1XS19XBHmJDdo5FNJA=="/>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2D"/>
    <w:rsid w:val="000005A2"/>
    <w:rsid w:val="00002072"/>
    <w:rsid w:val="00003213"/>
    <w:rsid w:val="00003B5E"/>
    <w:rsid w:val="00005B90"/>
    <w:rsid w:val="000067D0"/>
    <w:rsid w:val="00007B4C"/>
    <w:rsid w:val="00010405"/>
    <w:rsid w:val="00011078"/>
    <w:rsid w:val="0001118B"/>
    <w:rsid w:val="00015F15"/>
    <w:rsid w:val="00016B54"/>
    <w:rsid w:val="000173C7"/>
    <w:rsid w:val="000219BE"/>
    <w:rsid w:val="0002695D"/>
    <w:rsid w:val="00027876"/>
    <w:rsid w:val="00030BBF"/>
    <w:rsid w:val="00031A0C"/>
    <w:rsid w:val="0003331F"/>
    <w:rsid w:val="00033714"/>
    <w:rsid w:val="00033D7E"/>
    <w:rsid w:val="00033E2B"/>
    <w:rsid w:val="000369E4"/>
    <w:rsid w:val="0003729E"/>
    <w:rsid w:val="000420D9"/>
    <w:rsid w:val="00042EF6"/>
    <w:rsid w:val="00051D6A"/>
    <w:rsid w:val="00060639"/>
    <w:rsid w:val="00061E6B"/>
    <w:rsid w:val="000634E7"/>
    <w:rsid w:val="0006637F"/>
    <w:rsid w:val="00073A03"/>
    <w:rsid w:val="00075EE9"/>
    <w:rsid w:val="000768F9"/>
    <w:rsid w:val="00076C1B"/>
    <w:rsid w:val="000779FF"/>
    <w:rsid w:val="0008306D"/>
    <w:rsid w:val="000851C6"/>
    <w:rsid w:val="00086FF7"/>
    <w:rsid w:val="00087F37"/>
    <w:rsid w:val="00090B60"/>
    <w:rsid w:val="00091188"/>
    <w:rsid w:val="00092842"/>
    <w:rsid w:val="00094A6C"/>
    <w:rsid w:val="000954CE"/>
    <w:rsid w:val="000A002B"/>
    <w:rsid w:val="000A3B9D"/>
    <w:rsid w:val="000A3EC4"/>
    <w:rsid w:val="000A670A"/>
    <w:rsid w:val="000B13FB"/>
    <w:rsid w:val="000B2750"/>
    <w:rsid w:val="000B3566"/>
    <w:rsid w:val="000B4F29"/>
    <w:rsid w:val="000B6B1B"/>
    <w:rsid w:val="000B78B0"/>
    <w:rsid w:val="000C0C8E"/>
    <w:rsid w:val="000C0E2D"/>
    <w:rsid w:val="000C5B8C"/>
    <w:rsid w:val="000C669B"/>
    <w:rsid w:val="000C71B3"/>
    <w:rsid w:val="000D1595"/>
    <w:rsid w:val="000D20C4"/>
    <w:rsid w:val="000D4118"/>
    <w:rsid w:val="000D774E"/>
    <w:rsid w:val="000D7A6A"/>
    <w:rsid w:val="000E3F81"/>
    <w:rsid w:val="000F0C28"/>
    <w:rsid w:val="000F2416"/>
    <w:rsid w:val="000F489A"/>
    <w:rsid w:val="000F62E1"/>
    <w:rsid w:val="00104DF7"/>
    <w:rsid w:val="00107F49"/>
    <w:rsid w:val="001111C2"/>
    <w:rsid w:val="00113F13"/>
    <w:rsid w:val="001146F6"/>
    <w:rsid w:val="00114748"/>
    <w:rsid w:val="00115BE9"/>
    <w:rsid w:val="00116C26"/>
    <w:rsid w:val="00122963"/>
    <w:rsid w:val="00123054"/>
    <w:rsid w:val="0013005A"/>
    <w:rsid w:val="00130E17"/>
    <w:rsid w:val="00131D8B"/>
    <w:rsid w:val="0013259D"/>
    <w:rsid w:val="00134651"/>
    <w:rsid w:val="00134970"/>
    <w:rsid w:val="0013593E"/>
    <w:rsid w:val="00141952"/>
    <w:rsid w:val="001422A1"/>
    <w:rsid w:val="001445B9"/>
    <w:rsid w:val="00144BAC"/>
    <w:rsid w:val="00147966"/>
    <w:rsid w:val="00152405"/>
    <w:rsid w:val="00154912"/>
    <w:rsid w:val="00154B00"/>
    <w:rsid w:val="001562CB"/>
    <w:rsid w:val="001563BA"/>
    <w:rsid w:val="00156C52"/>
    <w:rsid w:val="00161B7D"/>
    <w:rsid w:val="00162D4E"/>
    <w:rsid w:val="00163198"/>
    <w:rsid w:val="00165D4F"/>
    <w:rsid w:val="00175172"/>
    <w:rsid w:val="00175A2C"/>
    <w:rsid w:val="001771FE"/>
    <w:rsid w:val="00183275"/>
    <w:rsid w:val="0018340E"/>
    <w:rsid w:val="00183626"/>
    <w:rsid w:val="00184F21"/>
    <w:rsid w:val="0018662C"/>
    <w:rsid w:val="00193F67"/>
    <w:rsid w:val="00194399"/>
    <w:rsid w:val="001A112D"/>
    <w:rsid w:val="001A1551"/>
    <w:rsid w:val="001A1B7C"/>
    <w:rsid w:val="001A2637"/>
    <w:rsid w:val="001A38F2"/>
    <w:rsid w:val="001A71C2"/>
    <w:rsid w:val="001B7F10"/>
    <w:rsid w:val="001C09C6"/>
    <w:rsid w:val="001C2B31"/>
    <w:rsid w:val="001C4D72"/>
    <w:rsid w:val="001C6A80"/>
    <w:rsid w:val="001C6B93"/>
    <w:rsid w:val="001C7B89"/>
    <w:rsid w:val="001D04CD"/>
    <w:rsid w:val="001D7A02"/>
    <w:rsid w:val="001E08ED"/>
    <w:rsid w:val="001E125C"/>
    <w:rsid w:val="001E1B92"/>
    <w:rsid w:val="001E6A9B"/>
    <w:rsid w:val="001F01A0"/>
    <w:rsid w:val="001F0878"/>
    <w:rsid w:val="001F4A0B"/>
    <w:rsid w:val="001F5128"/>
    <w:rsid w:val="001F6316"/>
    <w:rsid w:val="001F6F83"/>
    <w:rsid w:val="002021EA"/>
    <w:rsid w:val="002024AA"/>
    <w:rsid w:val="002041FC"/>
    <w:rsid w:val="00205637"/>
    <w:rsid w:val="0021149F"/>
    <w:rsid w:val="002162BF"/>
    <w:rsid w:val="002179A0"/>
    <w:rsid w:val="0022203B"/>
    <w:rsid w:val="00222DD8"/>
    <w:rsid w:val="00223B6E"/>
    <w:rsid w:val="0022429F"/>
    <w:rsid w:val="002273E2"/>
    <w:rsid w:val="00227A15"/>
    <w:rsid w:val="00232E4D"/>
    <w:rsid w:val="00241274"/>
    <w:rsid w:val="002464FC"/>
    <w:rsid w:val="0024666C"/>
    <w:rsid w:val="0025081C"/>
    <w:rsid w:val="00252780"/>
    <w:rsid w:val="00253280"/>
    <w:rsid w:val="00254A55"/>
    <w:rsid w:val="00257189"/>
    <w:rsid w:val="002636F9"/>
    <w:rsid w:val="002657B1"/>
    <w:rsid w:val="00265E1F"/>
    <w:rsid w:val="0026630E"/>
    <w:rsid w:val="00271BD7"/>
    <w:rsid w:val="00274014"/>
    <w:rsid w:val="00282952"/>
    <w:rsid w:val="0028341A"/>
    <w:rsid w:val="00285D28"/>
    <w:rsid w:val="00287EC6"/>
    <w:rsid w:val="002902E8"/>
    <w:rsid w:val="00291BBC"/>
    <w:rsid w:val="00291DAB"/>
    <w:rsid w:val="00297DF8"/>
    <w:rsid w:val="002A3CF3"/>
    <w:rsid w:val="002A59D7"/>
    <w:rsid w:val="002B0325"/>
    <w:rsid w:val="002B0F6B"/>
    <w:rsid w:val="002B4D3D"/>
    <w:rsid w:val="002B656D"/>
    <w:rsid w:val="002C7482"/>
    <w:rsid w:val="002D0004"/>
    <w:rsid w:val="002D0656"/>
    <w:rsid w:val="002D185D"/>
    <w:rsid w:val="002D1CC7"/>
    <w:rsid w:val="002D56FC"/>
    <w:rsid w:val="002D6749"/>
    <w:rsid w:val="002E35F0"/>
    <w:rsid w:val="002E47D2"/>
    <w:rsid w:val="002E58CB"/>
    <w:rsid w:val="002E661A"/>
    <w:rsid w:val="002F0F21"/>
    <w:rsid w:val="002F15C2"/>
    <w:rsid w:val="002F7A28"/>
    <w:rsid w:val="00303696"/>
    <w:rsid w:val="00304451"/>
    <w:rsid w:val="00310862"/>
    <w:rsid w:val="00316F02"/>
    <w:rsid w:val="003215A2"/>
    <w:rsid w:val="003233EE"/>
    <w:rsid w:val="0032466A"/>
    <w:rsid w:val="003323F6"/>
    <w:rsid w:val="00337C12"/>
    <w:rsid w:val="00340119"/>
    <w:rsid w:val="0034395E"/>
    <w:rsid w:val="00344394"/>
    <w:rsid w:val="003473CC"/>
    <w:rsid w:val="0034748C"/>
    <w:rsid w:val="00351141"/>
    <w:rsid w:val="003530B1"/>
    <w:rsid w:val="00354615"/>
    <w:rsid w:val="00355491"/>
    <w:rsid w:val="00356FA0"/>
    <w:rsid w:val="00357945"/>
    <w:rsid w:val="003605F6"/>
    <w:rsid w:val="00360DCD"/>
    <w:rsid w:val="00361F1A"/>
    <w:rsid w:val="00361F36"/>
    <w:rsid w:val="00362416"/>
    <w:rsid w:val="00363DCC"/>
    <w:rsid w:val="0036554F"/>
    <w:rsid w:val="00366D3F"/>
    <w:rsid w:val="00367131"/>
    <w:rsid w:val="003719A4"/>
    <w:rsid w:val="00372305"/>
    <w:rsid w:val="00372402"/>
    <w:rsid w:val="00373420"/>
    <w:rsid w:val="00375A67"/>
    <w:rsid w:val="0037620D"/>
    <w:rsid w:val="00376366"/>
    <w:rsid w:val="00377D3A"/>
    <w:rsid w:val="003817DE"/>
    <w:rsid w:val="003824BD"/>
    <w:rsid w:val="00384150"/>
    <w:rsid w:val="003850D2"/>
    <w:rsid w:val="00385E7A"/>
    <w:rsid w:val="00387A5A"/>
    <w:rsid w:val="0039142E"/>
    <w:rsid w:val="00392A15"/>
    <w:rsid w:val="00392A25"/>
    <w:rsid w:val="00397081"/>
    <w:rsid w:val="003A3F4A"/>
    <w:rsid w:val="003A5302"/>
    <w:rsid w:val="003A76CF"/>
    <w:rsid w:val="003B30BF"/>
    <w:rsid w:val="003B43EE"/>
    <w:rsid w:val="003B4ABF"/>
    <w:rsid w:val="003C1A77"/>
    <w:rsid w:val="003C224B"/>
    <w:rsid w:val="003C2B27"/>
    <w:rsid w:val="003D1524"/>
    <w:rsid w:val="003D33C2"/>
    <w:rsid w:val="003D4244"/>
    <w:rsid w:val="003D43C9"/>
    <w:rsid w:val="003D6459"/>
    <w:rsid w:val="003D6BB3"/>
    <w:rsid w:val="003D6F9E"/>
    <w:rsid w:val="003D7B22"/>
    <w:rsid w:val="003D7C6D"/>
    <w:rsid w:val="003E1411"/>
    <w:rsid w:val="003E27AA"/>
    <w:rsid w:val="003E3FC9"/>
    <w:rsid w:val="003E44C8"/>
    <w:rsid w:val="003E45E0"/>
    <w:rsid w:val="003F0B53"/>
    <w:rsid w:val="003F3BF9"/>
    <w:rsid w:val="003F56E3"/>
    <w:rsid w:val="003F5CE4"/>
    <w:rsid w:val="004001A0"/>
    <w:rsid w:val="00402EEC"/>
    <w:rsid w:val="00407BE0"/>
    <w:rsid w:val="00410DD7"/>
    <w:rsid w:val="00410F42"/>
    <w:rsid w:val="00413AE1"/>
    <w:rsid w:val="004169EA"/>
    <w:rsid w:val="00416B4E"/>
    <w:rsid w:val="00417621"/>
    <w:rsid w:val="00420D8F"/>
    <w:rsid w:val="004214CB"/>
    <w:rsid w:val="00422B01"/>
    <w:rsid w:val="00422C63"/>
    <w:rsid w:val="004232AA"/>
    <w:rsid w:val="004264FC"/>
    <w:rsid w:val="004312D0"/>
    <w:rsid w:val="0043187C"/>
    <w:rsid w:val="00431D2C"/>
    <w:rsid w:val="00432F56"/>
    <w:rsid w:val="00434204"/>
    <w:rsid w:val="00436348"/>
    <w:rsid w:val="004374E6"/>
    <w:rsid w:val="00441534"/>
    <w:rsid w:val="00441B43"/>
    <w:rsid w:val="00446214"/>
    <w:rsid w:val="004516A8"/>
    <w:rsid w:val="00452994"/>
    <w:rsid w:val="00455990"/>
    <w:rsid w:val="00455C1B"/>
    <w:rsid w:val="00456AC4"/>
    <w:rsid w:val="00456AE2"/>
    <w:rsid w:val="004576A8"/>
    <w:rsid w:val="0046082C"/>
    <w:rsid w:val="00462C30"/>
    <w:rsid w:val="004667E2"/>
    <w:rsid w:val="00472ABE"/>
    <w:rsid w:val="00473D04"/>
    <w:rsid w:val="00475603"/>
    <w:rsid w:val="00475754"/>
    <w:rsid w:val="00475B9F"/>
    <w:rsid w:val="004814D4"/>
    <w:rsid w:val="00481F25"/>
    <w:rsid w:val="00484566"/>
    <w:rsid w:val="00484F79"/>
    <w:rsid w:val="00485406"/>
    <w:rsid w:val="00485D42"/>
    <w:rsid w:val="00491B2D"/>
    <w:rsid w:val="00492822"/>
    <w:rsid w:val="00492CF5"/>
    <w:rsid w:val="004933B9"/>
    <w:rsid w:val="004952BD"/>
    <w:rsid w:val="004968D9"/>
    <w:rsid w:val="004A4AF6"/>
    <w:rsid w:val="004A64A7"/>
    <w:rsid w:val="004B0A79"/>
    <w:rsid w:val="004C353F"/>
    <w:rsid w:val="004C40EB"/>
    <w:rsid w:val="004C414A"/>
    <w:rsid w:val="004C5859"/>
    <w:rsid w:val="004C58B7"/>
    <w:rsid w:val="004C6CE9"/>
    <w:rsid w:val="004D02AA"/>
    <w:rsid w:val="004D2591"/>
    <w:rsid w:val="004D28C2"/>
    <w:rsid w:val="004D3456"/>
    <w:rsid w:val="004D5756"/>
    <w:rsid w:val="004D6352"/>
    <w:rsid w:val="004D6AC5"/>
    <w:rsid w:val="004D7049"/>
    <w:rsid w:val="004D75B7"/>
    <w:rsid w:val="004E2106"/>
    <w:rsid w:val="004E7511"/>
    <w:rsid w:val="004E7D95"/>
    <w:rsid w:val="004F544F"/>
    <w:rsid w:val="004F55BA"/>
    <w:rsid w:val="004F67DF"/>
    <w:rsid w:val="004F6CE6"/>
    <w:rsid w:val="005003E9"/>
    <w:rsid w:val="00500539"/>
    <w:rsid w:val="0050269C"/>
    <w:rsid w:val="00502A61"/>
    <w:rsid w:val="00502F60"/>
    <w:rsid w:val="0050565B"/>
    <w:rsid w:val="00510A55"/>
    <w:rsid w:val="00510BA5"/>
    <w:rsid w:val="00514C40"/>
    <w:rsid w:val="00514F1B"/>
    <w:rsid w:val="00514FD8"/>
    <w:rsid w:val="00515866"/>
    <w:rsid w:val="0052128B"/>
    <w:rsid w:val="0052378A"/>
    <w:rsid w:val="005239B2"/>
    <w:rsid w:val="00523B05"/>
    <w:rsid w:val="00524454"/>
    <w:rsid w:val="00525129"/>
    <w:rsid w:val="00533085"/>
    <w:rsid w:val="005347CA"/>
    <w:rsid w:val="005357CB"/>
    <w:rsid w:val="00542ECC"/>
    <w:rsid w:val="00543A45"/>
    <w:rsid w:val="00545E58"/>
    <w:rsid w:val="005515B7"/>
    <w:rsid w:val="00551C7B"/>
    <w:rsid w:val="0055231D"/>
    <w:rsid w:val="00553955"/>
    <w:rsid w:val="00554A73"/>
    <w:rsid w:val="00554D84"/>
    <w:rsid w:val="005611F5"/>
    <w:rsid w:val="00564A1B"/>
    <w:rsid w:val="00565F49"/>
    <w:rsid w:val="0056625D"/>
    <w:rsid w:val="0056656F"/>
    <w:rsid w:val="00572FF7"/>
    <w:rsid w:val="005735C1"/>
    <w:rsid w:val="00577D33"/>
    <w:rsid w:val="00582C49"/>
    <w:rsid w:val="005854F9"/>
    <w:rsid w:val="005875C2"/>
    <w:rsid w:val="00587D4B"/>
    <w:rsid w:val="005918BE"/>
    <w:rsid w:val="005928A6"/>
    <w:rsid w:val="00593D19"/>
    <w:rsid w:val="00593F00"/>
    <w:rsid w:val="005941D9"/>
    <w:rsid w:val="00594F23"/>
    <w:rsid w:val="00597429"/>
    <w:rsid w:val="005A08F6"/>
    <w:rsid w:val="005A1CC1"/>
    <w:rsid w:val="005A49D8"/>
    <w:rsid w:val="005A4CB4"/>
    <w:rsid w:val="005B11D2"/>
    <w:rsid w:val="005B282A"/>
    <w:rsid w:val="005B3ABB"/>
    <w:rsid w:val="005B61A2"/>
    <w:rsid w:val="005C06C1"/>
    <w:rsid w:val="005C72A8"/>
    <w:rsid w:val="005D294F"/>
    <w:rsid w:val="005D4B1B"/>
    <w:rsid w:val="005D5C56"/>
    <w:rsid w:val="005D7D8D"/>
    <w:rsid w:val="005E0C5F"/>
    <w:rsid w:val="005E5E9A"/>
    <w:rsid w:val="005F0426"/>
    <w:rsid w:val="00600080"/>
    <w:rsid w:val="0061222A"/>
    <w:rsid w:val="00621471"/>
    <w:rsid w:val="006217F1"/>
    <w:rsid w:val="00621A8F"/>
    <w:rsid w:val="00621B48"/>
    <w:rsid w:val="006236BB"/>
    <w:rsid w:val="0062608C"/>
    <w:rsid w:val="00627981"/>
    <w:rsid w:val="006306E3"/>
    <w:rsid w:val="00630AE0"/>
    <w:rsid w:val="00631ABA"/>
    <w:rsid w:val="00632AA4"/>
    <w:rsid w:val="006330BE"/>
    <w:rsid w:val="00634CA4"/>
    <w:rsid w:val="00636AE8"/>
    <w:rsid w:val="006376AF"/>
    <w:rsid w:val="006431AB"/>
    <w:rsid w:val="00644B0F"/>
    <w:rsid w:val="00644D2F"/>
    <w:rsid w:val="00645991"/>
    <w:rsid w:val="00647CB1"/>
    <w:rsid w:val="00651882"/>
    <w:rsid w:val="00653747"/>
    <w:rsid w:val="00654417"/>
    <w:rsid w:val="006551D3"/>
    <w:rsid w:val="00660CC6"/>
    <w:rsid w:val="00660F39"/>
    <w:rsid w:val="00661CDD"/>
    <w:rsid w:val="00661DC0"/>
    <w:rsid w:val="00666B07"/>
    <w:rsid w:val="0067212C"/>
    <w:rsid w:val="00672CD8"/>
    <w:rsid w:val="0067400C"/>
    <w:rsid w:val="00675350"/>
    <w:rsid w:val="00676314"/>
    <w:rsid w:val="006816E0"/>
    <w:rsid w:val="00683136"/>
    <w:rsid w:val="0068354A"/>
    <w:rsid w:val="00691870"/>
    <w:rsid w:val="00693303"/>
    <w:rsid w:val="006A0D5C"/>
    <w:rsid w:val="006A5BA2"/>
    <w:rsid w:val="006B0030"/>
    <w:rsid w:val="006B2091"/>
    <w:rsid w:val="006B36B9"/>
    <w:rsid w:val="006B60C8"/>
    <w:rsid w:val="006B66A5"/>
    <w:rsid w:val="006B6C29"/>
    <w:rsid w:val="006B7E22"/>
    <w:rsid w:val="006C16AA"/>
    <w:rsid w:val="006C2807"/>
    <w:rsid w:val="006C56CE"/>
    <w:rsid w:val="006C5C3F"/>
    <w:rsid w:val="006C68CE"/>
    <w:rsid w:val="006C7A20"/>
    <w:rsid w:val="006D0DAF"/>
    <w:rsid w:val="006D590C"/>
    <w:rsid w:val="006E6ACB"/>
    <w:rsid w:val="006F02F3"/>
    <w:rsid w:val="006F147D"/>
    <w:rsid w:val="006F3207"/>
    <w:rsid w:val="006F447C"/>
    <w:rsid w:val="006F6139"/>
    <w:rsid w:val="006F6836"/>
    <w:rsid w:val="007014A5"/>
    <w:rsid w:val="00702E02"/>
    <w:rsid w:val="00704B86"/>
    <w:rsid w:val="00706AC5"/>
    <w:rsid w:val="0071458B"/>
    <w:rsid w:val="00714F39"/>
    <w:rsid w:val="007156AB"/>
    <w:rsid w:val="007178AE"/>
    <w:rsid w:val="00724A8C"/>
    <w:rsid w:val="007317C5"/>
    <w:rsid w:val="007325E1"/>
    <w:rsid w:val="007339E8"/>
    <w:rsid w:val="00734C91"/>
    <w:rsid w:val="00734EB7"/>
    <w:rsid w:val="00734EFB"/>
    <w:rsid w:val="007377EA"/>
    <w:rsid w:val="0074235D"/>
    <w:rsid w:val="0074387B"/>
    <w:rsid w:val="00743D9F"/>
    <w:rsid w:val="00744AB7"/>
    <w:rsid w:val="00747C2E"/>
    <w:rsid w:val="0075022E"/>
    <w:rsid w:val="007525AE"/>
    <w:rsid w:val="00752F33"/>
    <w:rsid w:val="00753953"/>
    <w:rsid w:val="007553C4"/>
    <w:rsid w:val="007570DC"/>
    <w:rsid w:val="0076054E"/>
    <w:rsid w:val="0076225D"/>
    <w:rsid w:val="00762810"/>
    <w:rsid w:val="00767C27"/>
    <w:rsid w:val="00770216"/>
    <w:rsid w:val="00770624"/>
    <w:rsid w:val="0077098D"/>
    <w:rsid w:val="007712CF"/>
    <w:rsid w:val="00772F99"/>
    <w:rsid w:val="00773771"/>
    <w:rsid w:val="007743B8"/>
    <w:rsid w:val="00781831"/>
    <w:rsid w:val="00781E53"/>
    <w:rsid w:val="00782972"/>
    <w:rsid w:val="00786966"/>
    <w:rsid w:val="00787C5A"/>
    <w:rsid w:val="00787FE5"/>
    <w:rsid w:val="007900B4"/>
    <w:rsid w:val="00793305"/>
    <w:rsid w:val="007952B0"/>
    <w:rsid w:val="00795CD2"/>
    <w:rsid w:val="00795E96"/>
    <w:rsid w:val="007A1929"/>
    <w:rsid w:val="007A58D4"/>
    <w:rsid w:val="007A5D38"/>
    <w:rsid w:val="007A6E31"/>
    <w:rsid w:val="007B3227"/>
    <w:rsid w:val="007B4F0D"/>
    <w:rsid w:val="007C007A"/>
    <w:rsid w:val="007C0DFF"/>
    <w:rsid w:val="007C45BD"/>
    <w:rsid w:val="007D2C46"/>
    <w:rsid w:val="007D41F1"/>
    <w:rsid w:val="007D436C"/>
    <w:rsid w:val="007D599B"/>
    <w:rsid w:val="007E024D"/>
    <w:rsid w:val="007E2C58"/>
    <w:rsid w:val="007E320B"/>
    <w:rsid w:val="007E3389"/>
    <w:rsid w:val="007E5CE0"/>
    <w:rsid w:val="007F004E"/>
    <w:rsid w:val="007F21CF"/>
    <w:rsid w:val="007F46F1"/>
    <w:rsid w:val="007F6065"/>
    <w:rsid w:val="0080143D"/>
    <w:rsid w:val="00802296"/>
    <w:rsid w:val="00803210"/>
    <w:rsid w:val="008037CC"/>
    <w:rsid w:val="00803AE5"/>
    <w:rsid w:val="00803C32"/>
    <w:rsid w:val="008042D5"/>
    <w:rsid w:val="00804475"/>
    <w:rsid w:val="00811E3A"/>
    <w:rsid w:val="008168C7"/>
    <w:rsid w:val="008172BD"/>
    <w:rsid w:val="00820677"/>
    <w:rsid w:val="0082290D"/>
    <w:rsid w:val="008236EE"/>
    <w:rsid w:val="0082416B"/>
    <w:rsid w:val="00824887"/>
    <w:rsid w:val="008270D2"/>
    <w:rsid w:val="0082778B"/>
    <w:rsid w:val="00827E18"/>
    <w:rsid w:val="00830E24"/>
    <w:rsid w:val="00833410"/>
    <w:rsid w:val="00834C8B"/>
    <w:rsid w:val="00842128"/>
    <w:rsid w:val="008456E1"/>
    <w:rsid w:val="008459B7"/>
    <w:rsid w:val="00845E5E"/>
    <w:rsid w:val="008466F0"/>
    <w:rsid w:val="00852AC4"/>
    <w:rsid w:val="0085652F"/>
    <w:rsid w:val="00860A14"/>
    <w:rsid w:val="00861B06"/>
    <w:rsid w:val="008648FE"/>
    <w:rsid w:val="00864995"/>
    <w:rsid w:val="0086759C"/>
    <w:rsid w:val="0087198F"/>
    <w:rsid w:val="00875E5B"/>
    <w:rsid w:val="00877B30"/>
    <w:rsid w:val="00886340"/>
    <w:rsid w:val="00886851"/>
    <w:rsid w:val="0088707A"/>
    <w:rsid w:val="00891384"/>
    <w:rsid w:val="008915BD"/>
    <w:rsid w:val="008915C3"/>
    <w:rsid w:val="0089339E"/>
    <w:rsid w:val="00896E1A"/>
    <w:rsid w:val="008A0B47"/>
    <w:rsid w:val="008A1FA0"/>
    <w:rsid w:val="008A28F4"/>
    <w:rsid w:val="008A2F5D"/>
    <w:rsid w:val="008A5908"/>
    <w:rsid w:val="008B1739"/>
    <w:rsid w:val="008B2FCC"/>
    <w:rsid w:val="008B7E12"/>
    <w:rsid w:val="008C66D0"/>
    <w:rsid w:val="008C685B"/>
    <w:rsid w:val="008D1D86"/>
    <w:rsid w:val="008D6A39"/>
    <w:rsid w:val="008E3746"/>
    <w:rsid w:val="008E547C"/>
    <w:rsid w:val="008E5AE3"/>
    <w:rsid w:val="008E6EED"/>
    <w:rsid w:val="008F272C"/>
    <w:rsid w:val="008F6D47"/>
    <w:rsid w:val="008F7EDE"/>
    <w:rsid w:val="00901C73"/>
    <w:rsid w:val="00902936"/>
    <w:rsid w:val="00904157"/>
    <w:rsid w:val="0090432B"/>
    <w:rsid w:val="009045F9"/>
    <w:rsid w:val="009072DC"/>
    <w:rsid w:val="009104F4"/>
    <w:rsid w:val="00910780"/>
    <w:rsid w:val="00911A1D"/>
    <w:rsid w:val="009145E7"/>
    <w:rsid w:val="0091460F"/>
    <w:rsid w:val="009146DF"/>
    <w:rsid w:val="00915432"/>
    <w:rsid w:val="00915A83"/>
    <w:rsid w:val="00916A47"/>
    <w:rsid w:val="009177DB"/>
    <w:rsid w:val="0092202B"/>
    <w:rsid w:val="0092206A"/>
    <w:rsid w:val="009225EC"/>
    <w:rsid w:val="0092298D"/>
    <w:rsid w:val="0092433F"/>
    <w:rsid w:val="00927808"/>
    <w:rsid w:val="009316DD"/>
    <w:rsid w:val="009321FD"/>
    <w:rsid w:val="009335BE"/>
    <w:rsid w:val="009433EA"/>
    <w:rsid w:val="00945880"/>
    <w:rsid w:val="00945F4D"/>
    <w:rsid w:val="0094672C"/>
    <w:rsid w:val="00947A2B"/>
    <w:rsid w:val="00950408"/>
    <w:rsid w:val="00952C7A"/>
    <w:rsid w:val="0095431E"/>
    <w:rsid w:val="00954D11"/>
    <w:rsid w:val="00962238"/>
    <w:rsid w:val="00962D05"/>
    <w:rsid w:val="00963635"/>
    <w:rsid w:val="009643F0"/>
    <w:rsid w:val="00966108"/>
    <w:rsid w:val="0096702A"/>
    <w:rsid w:val="00971475"/>
    <w:rsid w:val="0097206F"/>
    <w:rsid w:val="009729E4"/>
    <w:rsid w:val="009730E1"/>
    <w:rsid w:val="00976482"/>
    <w:rsid w:val="00977483"/>
    <w:rsid w:val="00981FF2"/>
    <w:rsid w:val="009865E5"/>
    <w:rsid w:val="00986965"/>
    <w:rsid w:val="00986A86"/>
    <w:rsid w:val="00986AE3"/>
    <w:rsid w:val="00987211"/>
    <w:rsid w:val="00990C8A"/>
    <w:rsid w:val="0099147D"/>
    <w:rsid w:val="00991C37"/>
    <w:rsid w:val="00995AFD"/>
    <w:rsid w:val="009975F6"/>
    <w:rsid w:val="009976D2"/>
    <w:rsid w:val="009A0EFD"/>
    <w:rsid w:val="009A2245"/>
    <w:rsid w:val="009B24D8"/>
    <w:rsid w:val="009B2D1D"/>
    <w:rsid w:val="009B36FF"/>
    <w:rsid w:val="009B39A6"/>
    <w:rsid w:val="009B4AC4"/>
    <w:rsid w:val="009B6991"/>
    <w:rsid w:val="009C05FF"/>
    <w:rsid w:val="009C3AA2"/>
    <w:rsid w:val="009C3ED8"/>
    <w:rsid w:val="009C483B"/>
    <w:rsid w:val="009C49DD"/>
    <w:rsid w:val="009C5B28"/>
    <w:rsid w:val="009C7C57"/>
    <w:rsid w:val="009D04FE"/>
    <w:rsid w:val="009D2CD7"/>
    <w:rsid w:val="009D5F99"/>
    <w:rsid w:val="009E04E9"/>
    <w:rsid w:val="009E38BB"/>
    <w:rsid w:val="009E4420"/>
    <w:rsid w:val="009E55DA"/>
    <w:rsid w:val="009E70AD"/>
    <w:rsid w:val="009F08F7"/>
    <w:rsid w:val="009F1899"/>
    <w:rsid w:val="009F46DF"/>
    <w:rsid w:val="009F4FCC"/>
    <w:rsid w:val="00A00005"/>
    <w:rsid w:val="00A0191F"/>
    <w:rsid w:val="00A01BB8"/>
    <w:rsid w:val="00A023F4"/>
    <w:rsid w:val="00A02E2E"/>
    <w:rsid w:val="00A060A5"/>
    <w:rsid w:val="00A10B93"/>
    <w:rsid w:val="00A1196F"/>
    <w:rsid w:val="00A121D1"/>
    <w:rsid w:val="00A12FE0"/>
    <w:rsid w:val="00A14160"/>
    <w:rsid w:val="00A142A1"/>
    <w:rsid w:val="00A15B2C"/>
    <w:rsid w:val="00A1797A"/>
    <w:rsid w:val="00A20664"/>
    <w:rsid w:val="00A22E2D"/>
    <w:rsid w:val="00A232DC"/>
    <w:rsid w:val="00A238FB"/>
    <w:rsid w:val="00A23F5E"/>
    <w:rsid w:val="00A2671A"/>
    <w:rsid w:val="00A267C0"/>
    <w:rsid w:val="00A2790B"/>
    <w:rsid w:val="00A30111"/>
    <w:rsid w:val="00A32EDA"/>
    <w:rsid w:val="00A346FC"/>
    <w:rsid w:val="00A433FC"/>
    <w:rsid w:val="00A47B62"/>
    <w:rsid w:val="00A51D5B"/>
    <w:rsid w:val="00A51DF3"/>
    <w:rsid w:val="00A5246A"/>
    <w:rsid w:val="00A52781"/>
    <w:rsid w:val="00A53F9E"/>
    <w:rsid w:val="00A54C68"/>
    <w:rsid w:val="00A55D07"/>
    <w:rsid w:val="00A574B1"/>
    <w:rsid w:val="00A60DBD"/>
    <w:rsid w:val="00A60E6D"/>
    <w:rsid w:val="00A63490"/>
    <w:rsid w:val="00A64438"/>
    <w:rsid w:val="00A66A8D"/>
    <w:rsid w:val="00A67D36"/>
    <w:rsid w:val="00A71F55"/>
    <w:rsid w:val="00A75931"/>
    <w:rsid w:val="00A76926"/>
    <w:rsid w:val="00A80010"/>
    <w:rsid w:val="00A803A4"/>
    <w:rsid w:val="00A80BDE"/>
    <w:rsid w:val="00A83F9D"/>
    <w:rsid w:val="00A8656E"/>
    <w:rsid w:val="00A91494"/>
    <w:rsid w:val="00A91551"/>
    <w:rsid w:val="00A9320D"/>
    <w:rsid w:val="00A956E8"/>
    <w:rsid w:val="00A968A2"/>
    <w:rsid w:val="00AA1525"/>
    <w:rsid w:val="00AA2034"/>
    <w:rsid w:val="00AA3AC6"/>
    <w:rsid w:val="00AA55D6"/>
    <w:rsid w:val="00AA575E"/>
    <w:rsid w:val="00AA64C8"/>
    <w:rsid w:val="00AA676B"/>
    <w:rsid w:val="00AB1351"/>
    <w:rsid w:val="00AB4A31"/>
    <w:rsid w:val="00AB6187"/>
    <w:rsid w:val="00AB7891"/>
    <w:rsid w:val="00AC3ED2"/>
    <w:rsid w:val="00AC42C8"/>
    <w:rsid w:val="00AC5DF5"/>
    <w:rsid w:val="00AC5EA3"/>
    <w:rsid w:val="00AC6B31"/>
    <w:rsid w:val="00AC7DF1"/>
    <w:rsid w:val="00AD0E39"/>
    <w:rsid w:val="00AD1AEA"/>
    <w:rsid w:val="00AD267A"/>
    <w:rsid w:val="00AD3812"/>
    <w:rsid w:val="00AD58A7"/>
    <w:rsid w:val="00AD7255"/>
    <w:rsid w:val="00AE1594"/>
    <w:rsid w:val="00AE2737"/>
    <w:rsid w:val="00AE2BD4"/>
    <w:rsid w:val="00AE2F10"/>
    <w:rsid w:val="00AE2F37"/>
    <w:rsid w:val="00AE3905"/>
    <w:rsid w:val="00AE3C9D"/>
    <w:rsid w:val="00AE4DC7"/>
    <w:rsid w:val="00AE5109"/>
    <w:rsid w:val="00AE5DFD"/>
    <w:rsid w:val="00AF04A7"/>
    <w:rsid w:val="00AF0743"/>
    <w:rsid w:val="00AF0D59"/>
    <w:rsid w:val="00AF27FA"/>
    <w:rsid w:val="00AF30BD"/>
    <w:rsid w:val="00AF3CCB"/>
    <w:rsid w:val="00AF4C5C"/>
    <w:rsid w:val="00B00E78"/>
    <w:rsid w:val="00B017A6"/>
    <w:rsid w:val="00B04BE1"/>
    <w:rsid w:val="00B05EB9"/>
    <w:rsid w:val="00B1091D"/>
    <w:rsid w:val="00B13B96"/>
    <w:rsid w:val="00B23489"/>
    <w:rsid w:val="00B23E36"/>
    <w:rsid w:val="00B24970"/>
    <w:rsid w:val="00B258C7"/>
    <w:rsid w:val="00B2604D"/>
    <w:rsid w:val="00B3175C"/>
    <w:rsid w:val="00B32F4C"/>
    <w:rsid w:val="00B371B0"/>
    <w:rsid w:val="00B416BC"/>
    <w:rsid w:val="00B4204D"/>
    <w:rsid w:val="00B44984"/>
    <w:rsid w:val="00B4746F"/>
    <w:rsid w:val="00B50F9B"/>
    <w:rsid w:val="00B52379"/>
    <w:rsid w:val="00B52803"/>
    <w:rsid w:val="00B530E7"/>
    <w:rsid w:val="00B61974"/>
    <w:rsid w:val="00B630DD"/>
    <w:rsid w:val="00B63604"/>
    <w:rsid w:val="00B63A56"/>
    <w:rsid w:val="00B63F70"/>
    <w:rsid w:val="00B66150"/>
    <w:rsid w:val="00B7010B"/>
    <w:rsid w:val="00B70901"/>
    <w:rsid w:val="00B70DA1"/>
    <w:rsid w:val="00B715BC"/>
    <w:rsid w:val="00B715E7"/>
    <w:rsid w:val="00B750FC"/>
    <w:rsid w:val="00B75AFC"/>
    <w:rsid w:val="00B81488"/>
    <w:rsid w:val="00B83B4D"/>
    <w:rsid w:val="00B86F36"/>
    <w:rsid w:val="00B9050E"/>
    <w:rsid w:val="00B951E5"/>
    <w:rsid w:val="00B951F6"/>
    <w:rsid w:val="00BA0B70"/>
    <w:rsid w:val="00BA12C1"/>
    <w:rsid w:val="00BA2533"/>
    <w:rsid w:val="00BA2787"/>
    <w:rsid w:val="00BA43C3"/>
    <w:rsid w:val="00BA4963"/>
    <w:rsid w:val="00BB34A6"/>
    <w:rsid w:val="00BB54FB"/>
    <w:rsid w:val="00BB6B37"/>
    <w:rsid w:val="00BB73E7"/>
    <w:rsid w:val="00BB7543"/>
    <w:rsid w:val="00BB7762"/>
    <w:rsid w:val="00BC08AB"/>
    <w:rsid w:val="00BC1B39"/>
    <w:rsid w:val="00BC4ABA"/>
    <w:rsid w:val="00BC5452"/>
    <w:rsid w:val="00BC68B5"/>
    <w:rsid w:val="00BD446B"/>
    <w:rsid w:val="00BD5126"/>
    <w:rsid w:val="00BE2B51"/>
    <w:rsid w:val="00BE2B5F"/>
    <w:rsid w:val="00BE53F9"/>
    <w:rsid w:val="00BE68D8"/>
    <w:rsid w:val="00BE6BA3"/>
    <w:rsid w:val="00BF1FE7"/>
    <w:rsid w:val="00C01894"/>
    <w:rsid w:val="00C023B5"/>
    <w:rsid w:val="00C035E4"/>
    <w:rsid w:val="00C04E8D"/>
    <w:rsid w:val="00C1202E"/>
    <w:rsid w:val="00C12A8B"/>
    <w:rsid w:val="00C15B9B"/>
    <w:rsid w:val="00C17AF5"/>
    <w:rsid w:val="00C25296"/>
    <w:rsid w:val="00C25651"/>
    <w:rsid w:val="00C2787F"/>
    <w:rsid w:val="00C3096B"/>
    <w:rsid w:val="00C342DF"/>
    <w:rsid w:val="00C35E94"/>
    <w:rsid w:val="00C40BFD"/>
    <w:rsid w:val="00C41946"/>
    <w:rsid w:val="00C432D2"/>
    <w:rsid w:val="00C45C1D"/>
    <w:rsid w:val="00C46E5D"/>
    <w:rsid w:val="00C47A38"/>
    <w:rsid w:val="00C502D4"/>
    <w:rsid w:val="00C50AE6"/>
    <w:rsid w:val="00C516A8"/>
    <w:rsid w:val="00C52EB4"/>
    <w:rsid w:val="00C535B9"/>
    <w:rsid w:val="00C54268"/>
    <w:rsid w:val="00C60DF9"/>
    <w:rsid w:val="00C6108A"/>
    <w:rsid w:val="00C615C1"/>
    <w:rsid w:val="00C664C5"/>
    <w:rsid w:val="00C66B4E"/>
    <w:rsid w:val="00C675A5"/>
    <w:rsid w:val="00C71437"/>
    <w:rsid w:val="00C76C6D"/>
    <w:rsid w:val="00C771CC"/>
    <w:rsid w:val="00C807BD"/>
    <w:rsid w:val="00C810D5"/>
    <w:rsid w:val="00C823B4"/>
    <w:rsid w:val="00C878C2"/>
    <w:rsid w:val="00C90EB4"/>
    <w:rsid w:val="00C930A3"/>
    <w:rsid w:val="00C95967"/>
    <w:rsid w:val="00C959CC"/>
    <w:rsid w:val="00CA1220"/>
    <w:rsid w:val="00CA1F39"/>
    <w:rsid w:val="00CA353E"/>
    <w:rsid w:val="00CA3E56"/>
    <w:rsid w:val="00CA6F6D"/>
    <w:rsid w:val="00CB2B89"/>
    <w:rsid w:val="00CB4EC4"/>
    <w:rsid w:val="00CB5A34"/>
    <w:rsid w:val="00CC2555"/>
    <w:rsid w:val="00CC29C1"/>
    <w:rsid w:val="00CC6968"/>
    <w:rsid w:val="00CD1634"/>
    <w:rsid w:val="00CD302E"/>
    <w:rsid w:val="00CD66F1"/>
    <w:rsid w:val="00CE06E9"/>
    <w:rsid w:val="00CE0E97"/>
    <w:rsid w:val="00CE3B8A"/>
    <w:rsid w:val="00CE76A4"/>
    <w:rsid w:val="00CE7C04"/>
    <w:rsid w:val="00CF1734"/>
    <w:rsid w:val="00D06CF5"/>
    <w:rsid w:val="00D10AB3"/>
    <w:rsid w:val="00D10E17"/>
    <w:rsid w:val="00D13137"/>
    <w:rsid w:val="00D154E5"/>
    <w:rsid w:val="00D16C5D"/>
    <w:rsid w:val="00D17E24"/>
    <w:rsid w:val="00D34466"/>
    <w:rsid w:val="00D360AB"/>
    <w:rsid w:val="00D40FEE"/>
    <w:rsid w:val="00D44D37"/>
    <w:rsid w:val="00D46863"/>
    <w:rsid w:val="00D46B5E"/>
    <w:rsid w:val="00D50A70"/>
    <w:rsid w:val="00D53FFE"/>
    <w:rsid w:val="00D5517E"/>
    <w:rsid w:val="00D55F6D"/>
    <w:rsid w:val="00D60025"/>
    <w:rsid w:val="00D61F22"/>
    <w:rsid w:val="00D62561"/>
    <w:rsid w:val="00D64CE1"/>
    <w:rsid w:val="00D73200"/>
    <w:rsid w:val="00D73A62"/>
    <w:rsid w:val="00D82952"/>
    <w:rsid w:val="00D83776"/>
    <w:rsid w:val="00D87267"/>
    <w:rsid w:val="00D8729E"/>
    <w:rsid w:val="00D92327"/>
    <w:rsid w:val="00D937D9"/>
    <w:rsid w:val="00D93DA6"/>
    <w:rsid w:val="00D9609C"/>
    <w:rsid w:val="00D96D9F"/>
    <w:rsid w:val="00D97502"/>
    <w:rsid w:val="00DA0F9B"/>
    <w:rsid w:val="00DA474F"/>
    <w:rsid w:val="00DA4B80"/>
    <w:rsid w:val="00DB030E"/>
    <w:rsid w:val="00DB2643"/>
    <w:rsid w:val="00DB3949"/>
    <w:rsid w:val="00DB3CCA"/>
    <w:rsid w:val="00DB799F"/>
    <w:rsid w:val="00DC2AAC"/>
    <w:rsid w:val="00DC446E"/>
    <w:rsid w:val="00DC4B0A"/>
    <w:rsid w:val="00DC58E3"/>
    <w:rsid w:val="00DC73ED"/>
    <w:rsid w:val="00DD1712"/>
    <w:rsid w:val="00DD2F37"/>
    <w:rsid w:val="00DE700E"/>
    <w:rsid w:val="00DE7B09"/>
    <w:rsid w:val="00DF1498"/>
    <w:rsid w:val="00DF1B6F"/>
    <w:rsid w:val="00DF3BCA"/>
    <w:rsid w:val="00E0059A"/>
    <w:rsid w:val="00E00BAD"/>
    <w:rsid w:val="00E0158F"/>
    <w:rsid w:val="00E02842"/>
    <w:rsid w:val="00E033D9"/>
    <w:rsid w:val="00E0456D"/>
    <w:rsid w:val="00E074B7"/>
    <w:rsid w:val="00E12C93"/>
    <w:rsid w:val="00E14ADE"/>
    <w:rsid w:val="00E15489"/>
    <w:rsid w:val="00E16642"/>
    <w:rsid w:val="00E170B5"/>
    <w:rsid w:val="00E17293"/>
    <w:rsid w:val="00E20F1D"/>
    <w:rsid w:val="00E22403"/>
    <w:rsid w:val="00E23A39"/>
    <w:rsid w:val="00E24DA9"/>
    <w:rsid w:val="00E25A7F"/>
    <w:rsid w:val="00E30047"/>
    <w:rsid w:val="00E30857"/>
    <w:rsid w:val="00E309F4"/>
    <w:rsid w:val="00E32428"/>
    <w:rsid w:val="00E33866"/>
    <w:rsid w:val="00E354B5"/>
    <w:rsid w:val="00E41577"/>
    <w:rsid w:val="00E42696"/>
    <w:rsid w:val="00E431CB"/>
    <w:rsid w:val="00E51CFF"/>
    <w:rsid w:val="00E5396B"/>
    <w:rsid w:val="00E53A94"/>
    <w:rsid w:val="00E543AA"/>
    <w:rsid w:val="00E5450C"/>
    <w:rsid w:val="00E54848"/>
    <w:rsid w:val="00E54AF8"/>
    <w:rsid w:val="00E553BC"/>
    <w:rsid w:val="00E61764"/>
    <w:rsid w:val="00E62FE7"/>
    <w:rsid w:val="00E63146"/>
    <w:rsid w:val="00E64891"/>
    <w:rsid w:val="00E64D7A"/>
    <w:rsid w:val="00E706D5"/>
    <w:rsid w:val="00E71EB5"/>
    <w:rsid w:val="00E73B3C"/>
    <w:rsid w:val="00E7516E"/>
    <w:rsid w:val="00E76F36"/>
    <w:rsid w:val="00E81152"/>
    <w:rsid w:val="00E81612"/>
    <w:rsid w:val="00E832D9"/>
    <w:rsid w:val="00E83FE2"/>
    <w:rsid w:val="00E87BAA"/>
    <w:rsid w:val="00E91127"/>
    <w:rsid w:val="00E915F0"/>
    <w:rsid w:val="00E9416B"/>
    <w:rsid w:val="00E948F9"/>
    <w:rsid w:val="00E97C0A"/>
    <w:rsid w:val="00E97E98"/>
    <w:rsid w:val="00EA0570"/>
    <w:rsid w:val="00EA1DEE"/>
    <w:rsid w:val="00EA22F8"/>
    <w:rsid w:val="00EA265D"/>
    <w:rsid w:val="00EA77E7"/>
    <w:rsid w:val="00EB0D0F"/>
    <w:rsid w:val="00EB18C9"/>
    <w:rsid w:val="00EB3C71"/>
    <w:rsid w:val="00EB7A0A"/>
    <w:rsid w:val="00EC29E6"/>
    <w:rsid w:val="00EC48D8"/>
    <w:rsid w:val="00EC7A67"/>
    <w:rsid w:val="00EC7B0F"/>
    <w:rsid w:val="00EC7BB1"/>
    <w:rsid w:val="00ED16BF"/>
    <w:rsid w:val="00ED1A1D"/>
    <w:rsid w:val="00ED31E7"/>
    <w:rsid w:val="00ED5F94"/>
    <w:rsid w:val="00EE18E6"/>
    <w:rsid w:val="00EE19DC"/>
    <w:rsid w:val="00EE6E04"/>
    <w:rsid w:val="00EF0039"/>
    <w:rsid w:val="00EF05BC"/>
    <w:rsid w:val="00EF0C0D"/>
    <w:rsid w:val="00EF1691"/>
    <w:rsid w:val="00F00685"/>
    <w:rsid w:val="00F07A06"/>
    <w:rsid w:val="00F11470"/>
    <w:rsid w:val="00F11CD2"/>
    <w:rsid w:val="00F12691"/>
    <w:rsid w:val="00F14898"/>
    <w:rsid w:val="00F158AA"/>
    <w:rsid w:val="00F23155"/>
    <w:rsid w:val="00F2622A"/>
    <w:rsid w:val="00F26735"/>
    <w:rsid w:val="00F32CC4"/>
    <w:rsid w:val="00F42E33"/>
    <w:rsid w:val="00F44F76"/>
    <w:rsid w:val="00F4630F"/>
    <w:rsid w:val="00F5040D"/>
    <w:rsid w:val="00F52BA4"/>
    <w:rsid w:val="00F562E5"/>
    <w:rsid w:val="00F571C0"/>
    <w:rsid w:val="00F635D1"/>
    <w:rsid w:val="00F65471"/>
    <w:rsid w:val="00F65E9C"/>
    <w:rsid w:val="00F66C1E"/>
    <w:rsid w:val="00F678D6"/>
    <w:rsid w:val="00F71CD6"/>
    <w:rsid w:val="00F72190"/>
    <w:rsid w:val="00F73383"/>
    <w:rsid w:val="00F7436C"/>
    <w:rsid w:val="00F820E8"/>
    <w:rsid w:val="00F825F6"/>
    <w:rsid w:val="00F86462"/>
    <w:rsid w:val="00F877A5"/>
    <w:rsid w:val="00F90CED"/>
    <w:rsid w:val="00F921B6"/>
    <w:rsid w:val="00F9383C"/>
    <w:rsid w:val="00F94541"/>
    <w:rsid w:val="00F95608"/>
    <w:rsid w:val="00FA134B"/>
    <w:rsid w:val="00FA1FC5"/>
    <w:rsid w:val="00FA2013"/>
    <w:rsid w:val="00FA2704"/>
    <w:rsid w:val="00FA5D03"/>
    <w:rsid w:val="00FA7C75"/>
    <w:rsid w:val="00FB0784"/>
    <w:rsid w:val="00FB5865"/>
    <w:rsid w:val="00FB5BF2"/>
    <w:rsid w:val="00FB62DC"/>
    <w:rsid w:val="00FB6E20"/>
    <w:rsid w:val="00FC194D"/>
    <w:rsid w:val="00FC202B"/>
    <w:rsid w:val="00FC40A0"/>
    <w:rsid w:val="00FC54A7"/>
    <w:rsid w:val="00FC5609"/>
    <w:rsid w:val="00FC58F2"/>
    <w:rsid w:val="00FC6597"/>
    <w:rsid w:val="00FC6FA3"/>
    <w:rsid w:val="00FD4259"/>
    <w:rsid w:val="00FD47C5"/>
    <w:rsid w:val="00FD59B2"/>
    <w:rsid w:val="00FD6429"/>
    <w:rsid w:val="00FE0152"/>
    <w:rsid w:val="00FE1FC8"/>
    <w:rsid w:val="00FE2822"/>
    <w:rsid w:val="00FE2F95"/>
    <w:rsid w:val="00FE3C2C"/>
    <w:rsid w:val="00FE4943"/>
    <w:rsid w:val="00FE78F7"/>
    <w:rsid w:val="00FF2E89"/>
    <w:rsid w:val="00FF302D"/>
    <w:rsid w:val="00FF485E"/>
    <w:rsid w:val="00FF5B00"/>
    <w:rsid w:val="00FF60A1"/>
    <w:rsid w:val="012D0670"/>
    <w:rsid w:val="082BF74E"/>
    <w:rsid w:val="083E77C6"/>
    <w:rsid w:val="0E05AF65"/>
    <w:rsid w:val="10DD744B"/>
    <w:rsid w:val="1502295B"/>
    <w:rsid w:val="1731EDCD"/>
    <w:rsid w:val="1AEED1DD"/>
    <w:rsid w:val="2012938D"/>
    <w:rsid w:val="21EEF0A0"/>
    <w:rsid w:val="2226E06D"/>
    <w:rsid w:val="223ABCE6"/>
    <w:rsid w:val="2457B2E3"/>
    <w:rsid w:val="252E4D22"/>
    <w:rsid w:val="263E14B7"/>
    <w:rsid w:val="283858EA"/>
    <w:rsid w:val="288D8F58"/>
    <w:rsid w:val="2D774717"/>
    <w:rsid w:val="30FA1FA7"/>
    <w:rsid w:val="32313BA4"/>
    <w:rsid w:val="32E5EAA2"/>
    <w:rsid w:val="3FA36D82"/>
    <w:rsid w:val="46977C7D"/>
    <w:rsid w:val="46AFA7C0"/>
    <w:rsid w:val="477F73DD"/>
    <w:rsid w:val="4B5BAB07"/>
    <w:rsid w:val="4CF8826A"/>
    <w:rsid w:val="4F7C8829"/>
    <w:rsid w:val="4F87688F"/>
    <w:rsid w:val="5424CB89"/>
    <w:rsid w:val="5BEAE67F"/>
    <w:rsid w:val="5DCFCDD6"/>
    <w:rsid w:val="73592CDD"/>
    <w:rsid w:val="787A18F2"/>
    <w:rsid w:val="7B2DC11E"/>
    <w:rsid w:val="7B60801C"/>
    <w:rsid w:val="7ED82E9D"/>
    <w:rsid w:val="7EFF8D7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CF90"/>
  <w15:chartTrackingRefBased/>
  <w15:docId w15:val="{DB67D583-3B46-4DDB-AEAA-8546D585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00080"/>
    <w:pPr>
      <w:spacing w:after="220" w:line="240" w:lineRule="auto"/>
      <w:jc w:val="both"/>
    </w:pPr>
    <w:rPr>
      <w:rFonts w:ascii="Times New Roman" w:hAnsi="Times New Roman"/>
      <w:szCs w:val="24"/>
    </w:rPr>
  </w:style>
  <w:style w:type="paragraph" w:styleId="Heading1">
    <w:name w:val="heading 1"/>
    <w:basedOn w:val="Normal"/>
    <w:next w:val="Normal"/>
    <w:link w:val="Heading1Char"/>
    <w:uiPriority w:val="9"/>
    <w:qFormat/>
    <w:rsid w:val="00600080"/>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qFormat/>
    <w:rsid w:val="00600080"/>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aliases w:val="Paragraph MAIN"/>
    <w:basedOn w:val="Normal"/>
    <w:next w:val="Normal"/>
    <w:link w:val="Heading3Char"/>
    <w:uiPriority w:val="9"/>
    <w:semiHidden/>
    <w:unhideWhenUsed/>
    <w:qFormat/>
    <w:rsid w:val="00600080"/>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600080"/>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00080"/>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600080"/>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600080"/>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6000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000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08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600080"/>
    <w:rPr>
      <w:rFonts w:asciiTheme="majorHAnsi" w:eastAsiaTheme="majorEastAsia" w:hAnsiTheme="majorHAnsi" w:cstheme="majorBidi"/>
      <w:color w:val="0F4761" w:themeColor="accent1" w:themeShade="BF"/>
      <w:sz w:val="26"/>
      <w:szCs w:val="26"/>
    </w:rPr>
  </w:style>
  <w:style w:type="character" w:customStyle="1" w:styleId="Heading3Char">
    <w:name w:val="Heading 3 Char"/>
    <w:aliases w:val="Paragraph MAIN Char"/>
    <w:basedOn w:val="DefaultParagraphFont"/>
    <w:link w:val="Heading3"/>
    <w:uiPriority w:val="9"/>
    <w:semiHidden/>
    <w:rsid w:val="00600080"/>
    <w:rPr>
      <w:rFonts w:asciiTheme="majorHAnsi" w:eastAsiaTheme="majorEastAsia" w:hAnsiTheme="majorHAnsi" w:cstheme="majorBidi"/>
      <w:color w:val="0A2F40" w:themeColor="accent1" w:themeShade="7F"/>
      <w:szCs w:val="24"/>
    </w:rPr>
  </w:style>
  <w:style w:type="character" w:customStyle="1" w:styleId="Heading4Char">
    <w:name w:val="Heading 4 Char"/>
    <w:basedOn w:val="DefaultParagraphFont"/>
    <w:link w:val="Heading4"/>
    <w:uiPriority w:val="9"/>
    <w:semiHidden/>
    <w:rsid w:val="00600080"/>
    <w:rPr>
      <w:rFonts w:asciiTheme="majorHAnsi" w:eastAsiaTheme="majorEastAsia" w:hAnsiTheme="majorHAnsi" w:cstheme="majorBidi"/>
      <w:i/>
      <w:iCs/>
      <w:color w:val="0F4761" w:themeColor="accent1" w:themeShade="BF"/>
      <w:szCs w:val="24"/>
    </w:rPr>
  </w:style>
  <w:style w:type="character" w:customStyle="1" w:styleId="Heading5Char">
    <w:name w:val="Heading 5 Char"/>
    <w:basedOn w:val="DefaultParagraphFont"/>
    <w:link w:val="Heading5"/>
    <w:uiPriority w:val="9"/>
    <w:semiHidden/>
    <w:rsid w:val="00600080"/>
    <w:rPr>
      <w:rFonts w:asciiTheme="majorHAnsi" w:eastAsiaTheme="majorEastAsia" w:hAnsiTheme="majorHAnsi" w:cstheme="majorBidi"/>
      <w:color w:val="0F4761" w:themeColor="accent1" w:themeShade="BF"/>
      <w:szCs w:val="24"/>
    </w:rPr>
  </w:style>
  <w:style w:type="character" w:customStyle="1" w:styleId="Heading6Char">
    <w:name w:val="Heading 6 Char"/>
    <w:basedOn w:val="DefaultParagraphFont"/>
    <w:link w:val="Heading6"/>
    <w:uiPriority w:val="9"/>
    <w:semiHidden/>
    <w:rsid w:val="00600080"/>
    <w:rPr>
      <w:rFonts w:asciiTheme="majorHAnsi" w:eastAsiaTheme="majorEastAsia" w:hAnsiTheme="majorHAnsi" w:cstheme="majorBidi"/>
      <w:color w:val="0A2F40" w:themeColor="accent1" w:themeShade="7F"/>
      <w:szCs w:val="24"/>
    </w:rPr>
  </w:style>
  <w:style w:type="character" w:customStyle="1" w:styleId="Heading7Char">
    <w:name w:val="Heading 7 Char"/>
    <w:basedOn w:val="DefaultParagraphFont"/>
    <w:link w:val="Heading7"/>
    <w:uiPriority w:val="9"/>
    <w:semiHidden/>
    <w:rsid w:val="00600080"/>
    <w:rPr>
      <w:rFonts w:asciiTheme="majorHAnsi" w:eastAsiaTheme="majorEastAsia" w:hAnsiTheme="majorHAnsi" w:cstheme="majorBidi"/>
      <w:i/>
      <w:iCs/>
      <w:color w:val="0A2F40" w:themeColor="accent1" w:themeShade="7F"/>
      <w:szCs w:val="24"/>
    </w:rPr>
  </w:style>
  <w:style w:type="character" w:customStyle="1" w:styleId="Heading8Char">
    <w:name w:val="Heading 8 Char"/>
    <w:basedOn w:val="DefaultParagraphFont"/>
    <w:link w:val="Heading8"/>
    <w:uiPriority w:val="9"/>
    <w:semiHidden/>
    <w:rsid w:val="006000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008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0008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0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080"/>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600080"/>
    <w:rPr>
      <w:rFonts w:eastAsiaTheme="minorEastAsia"/>
      <w:color w:val="5A5A5A" w:themeColor="text1" w:themeTint="A5"/>
      <w:spacing w:val="15"/>
    </w:rPr>
  </w:style>
  <w:style w:type="paragraph" w:styleId="Quote">
    <w:name w:val="Quote"/>
    <w:basedOn w:val="Normal"/>
    <w:next w:val="Normal"/>
    <w:link w:val="QuoteChar"/>
    <w:uiPriority w:val="29"/>
    <w:qFormat/>
    <w:rsid w:val="00600080"/>
    <w:rPr>
      <w:i/>
      <w:iCs/>
      <w:color w:val="000000" w:themeColor="text1"/>
    </w:rPr>
  </w:style>
  <w:style w:type="character" w:customStyle="1" w:styleId="QuoteChar">
    <w:name w:val="Quote Char"/>
    <w:basedOn w:val="DefaultParagraphFont"/>
    <w:link w:val="Quote"/>
    <w:uiPriority w:val="29"/>
    <w:rsid w:val="00600080"/>
    <w:rPr>
      <w:rFonts w:ascii="Times New Roman" w:hAnsi="Times New Roman"/>
      <w:i/>
      <w:iCs/>
      <w:color w:val="000000" w:themeColor="text1"/>
      <w:szCs w:val="24"/>
    </w:rPr>
  </w:style>
  <w:style w:type="paragraph" w:styleId="ListParagraph">
    <w:name w:val="List Paragraph"/>
    <w:basedOn w:val="Normal"/>
    <w:uiPriority w:val="34"/>
    <w:qFormat/>
    <w:rsid w:val="00600080"/>
    <w:pPr>
      <w:ind w:left="720"/>
      <w:contextualSpacing/>
    </w:pPr>
  </w:style>
  <w:style w:type="character" w:styleId="IntenseEmphasis">
    <w:name w:val="Intense Emphasis"/>
    <w:basedOn w:val="DefaultParagraphFont"/>
    <w:uiPriority w:val="21"/>
    <w:qFormat/>
    <w:rsid w:val="00600080"/>
    <w:rPr>
      <w:i/>
      <w:iCs/>
      <w:color w:val="156082" w:themeColor="accent1"/>
    </w:rPr>
  </w:style>
  <w:style w:type="paragraph" w:styleId="IntenseQuote">
    <w:name w:val="Intense Quote"/>
    <w:basedOn w:val="Normal"/>
    <w:next w:val="Normal"/>
    <w:link w:val="IntenseQuoteChar"/>
    <w:uiPriority w:val="30"/>
    <w:qFormat/>
    <w:rsid w:val="0060008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600080"/>
    <w:rPr>
      <w:rFonts w:ascii="Times New Roman" w:hAnsi="Times New Roman"/>
      <w:i/>
      <w:iCs/>
      <w:color w:val="156082" w:themeColor="accent1"/>
      <w:szCs w:val="24"/>
    </w:rPr>
  </w:style>
  <w:style w:type="character" w:styleId="IntenseReference">
    <w:name w:val="Intense Reference"/>
    <w:basedOn w:val="DefaultParagraphFont"/>
    <w:uiPriority w:val="32"/>
    <w:qFormat/>
    <w:rsid w:val="00600080"/>
    <w:rPr>
      <w:b/>
      <w:bCs/>
      <w:smallCaps/>
      <w:color w:val="156082" w:themeColor="accent1"/>
      <w:spacing w:val="5"/>
    </w:rPr>
  </w:style>
  <w:style w:type="paragraph" w:customStyle="1" w:styleId="DotPointTLRI">
    <w:name w:val="Dot Point TLRI"/>
    <w:basedOn w:val="ListParagraph"/>
    <w:qFormat/>
    <w:rsid w:val="00600080"/>
    <w:pPr>
      <w:numPr>
        <w:numId w:val="58"/>
      </w:numPr>
      <w:spacing w:after="120"/>
      <w:contextualSpacing w:val="0"/>
    </w:pPr>
    <w:rPr>
      <w:rFonts w:eastAsia="Times New Roman" w:cs="Times New Roman"/>
    </w:rPr>
  </w:style>
  <w:style w:type="paragraph" w:customStyle="1" w:styleId="PartNoTLRI">
    <w:name w:val="Part No TLRI"/>
    <w:basedOn w:val="Normal"/>
    <w:link w:val="PartNoTLRIChar"/>
    <w:qFormat/>
    <w:rsid w:val="00600080"/>
    <w:pPr>
      <w:numPr>
        <w:numId w:val="61"/>
      </w:numPr>
      <w:jc w:val="center"/>
    </w:pPr>
    <w:rPr>
      <w:rFonts w:eastAsia="Times" w:cs="Times New Roman"/>
      <w:b/>
      <w:sz w:val="36"/>
      <w:szCs w:val="20"/>
    </w:rPr>
  </w:style>
  <w:style w:type="character" w:customStyle="1" w:styleId="PartNoTLRIChar">
    <w:name w:val="Part No TLRI Char"/>
    <w:basedOn w:val="DefaultParagraphFont"/>
    <w:link w:val="PartNoTLRI"/>
    <w:rsid w:val="00600080"/>
    <w:rPr>
      <w:rFonts w:ascii="Times New Roman" w:eastAsia="Times" w:hAnsi="Times New Roman" w:cs="Times New Roman"/>
      <w:b/>
      <w:sz w:val="36"/>
      <w:szCs w:val="20"/>
    </w:rPr>
  </w:style>
  <w:style w:type="paragraph" w:customStyle="1" w:styleId="PartHeadingTLRI">
    <w:name w:val="Part Heading TLRI"/>
    <w:basedOn w:val="Normal"/>
    <w:link w:val="PartHeadingTLRIChar"/>
    <w:qFormat/>
    <w:rsid w:val="00600080"/>
    <w:pPr>
      <w:tabs>
        <w:tab w:val="num" w:pos="0"/>
      </w:tabs>
      <w:spacing w:before="480" w:after="640"/>
      <w:jc w:val="center"/>
    </w:pPr>
    <w:rPr>
      <w:rFonts w:eastAsia="Times" w:cs="Times New Roman"/>
      <w:b/>
      <w:sz w:val="52"/>
      <w:szCs w:val="20"/>
    </w:rPr>
  </w:style>
  <w:style w:type="character" w:customStyle="1" w:styleId="PartHeadingTLRIChar">
    <w:name w:val="Part Heading TLRI Char"/>
    <w:basedOn w:val="DefaultParagraphFont"/>
    <w:link w:val="PartHeadingTLRI"/>
    <w:rsid w:val="00600080"/>
    <w:rPr>
      <w:rFonts w:ascii="Times New Roman" w:eastAsia="Times" w:hAnsi="Times New Roman" w:cs="Times New Roman"/>
      <w:b/>
      <w:sz w:val="52"/>
      <w:szCs w:val="20"/>
    </w:rPr>
  </w:style>
  <w:style w:type="paragraph" w:customStyle="1" w:styleId="NormalNumberedTextTLRI">
    <w:name w:val="Normal Numbered Text TLRI"/>
    <w:basedOn w:val="Normal"/>
    <w:link w:val="NormalNumberedTextTLRIChar"/>
    <w:qFormat/>
    <w:rsid w:val="00600080"/>
    <w:pPr>
      <w:numPr>
        <w:ilvl w:val="2"/>
        <w:numId w:val="61"/>
      </w:numPr>
      <w:tabs>
        <w:tab w:val="left" w:pos="851"/>
      </w:tabs>
      <w:spacing w:before="220"/>
    </w:pPr>
    <w:rPr>
      <w:rFonts w:eastAsia="Times" w:cs="Times New Roman"/>
      <w:szCs w:val="20"/>
    </w:rPr>
  </w:style>
  <w:style w:type="character" w:customStyle="1" w:styleId="NormalNumberedTextTLRIChar">
    <w:name w:val="Normal Numbered Text TLRI Char"/>
    <w:basedOn w:val="DefaultParagraphFont"/>
    <w:link w:val="NormalNumberedTextTLRI"/>
    <w:rsid w:val="00600080"/>
    <w:rPr>
      <w:rFonts w:ascii="Times New Roman" w:eastAsia="Times" w:hAnsi="Times New Roman" w:cs="Times New Roman"/>
      <w:szCs w:val="20"/>
    </w:rPr>
  </w:style>
  <w:style w:type="paragraph" w:customStyle="1" w:styleId="NumberedHeadingTLRI">
    <w:name w:val="Numbered Heading TLRI"/>
    <w:basedOn w:val="Normal"/>
    <w:next w:val="NormalNumberedTextTLRI"/>
    <w:link w:val="NumberedHeadingTLRIChar"/>
    <w:autoRedefine/>
    <w:qFormat/>
    <w:rsid w:val="00600080"/>
    <w:pPr>
      <w:numPr>
        <w:ilvl w:val="1"/>
        <w:numId w:val="61"/>
      </w:numPr>
      <w:spacing w:before="640"/>
    </w:pPr>
    <w:rPr>
      <w:rFonts w:eastAsia="Times" w:cs="Times New Roman"/>
      <w:b/>
      <w:sz w:val="32"/>
      <w:szCs w:val="20"/>
    </w:rPr>
  </w:style>
  <w:style w:type="character" w:customStyle="1" w:styleId="NumberedHeadingTLRIChar">
    <w:name w:val="Numbered Heading TLRI Char"/>
    <w:basedOn w:val="DefaultParagraphFont"/>
    <w:link w:val="NumberedHeadingTLRI"/>
    <w:rsid w:val="00600080"/>
    <w:rPr>
      <w:rFonts w:ascii="Times New Roman" w:eastAsia="Times" w:hAnsi="Times New Roman" w:cs="Times New Roman"/>
      <w:b/>
      <w:sz w:val="32"/>
      <w:szCs w:val="20"/>
    </w:rPr>
  </w:style>
  <w:style w:type="paragraph" w:customStyle="1" w:styleId="Sub-HeadingTLRI">
    <w:name w:val="Sub-Heading TLRI"/>
    <w:basedOn w:val="Normal"/>
    <w:link w:val="Sub-HeadingTLRIChar"/>
    <w:qFormat/>
    <w:rsid w:val="00600080"/>
    <w:pPr>
      <w:spacing w:before="480"/>
    </w:pPr>
    <w:rPr>
      <w:rFonts w:eastAsia="Times" w:cs="Times New Roman"/>
      <w:b/>
      <w:i/>
      <w:szCs w:val="20"/>
    </w:rPr>
  </w:style>
  <w:style w:type="character" w:customStyle="1" w:styleId="Sub-HeadingTLRIChar">
    <w:name w:val="Sub-Heading TLRI Char"/>
    <w:basedOn w:val="DefaultParagraphFont"/>
    <w:link w:val="Sub-HeadingTLRI"/>
    <w:rsid w:val="00600080"/>
    <w:rPr>
      <w:rFonts w:ascii="Times New Roman" w:eastAsia="Times" w:hAnsi="Times New Roman" w:cs="Times New Roman"/>
      <w:b/>
      <w:i/>
      <w:szCs w:val="20"/>
    </w:rPr>
  </w:style>
  <w:style w:type="paragraph" w:customStyle="1" w:styleId="FootnoteTextTLRI">
    <w:name w:val="Footnote Text TLRI"/>
    <w:basedOn w:val="FootnoteText"/>
    <w:link w:val="FootnoteTextTLRIChar"/>
    <w:qFormat/>
    <w:rsid w:val="00600080"/>
    <w:pPr>
      <w:ind w:left="284" w:hanging="284"/>
    </w:pPr>
    <w:rPr>
      <w:rFonts w:eastAsia="Times New Roman" w:cs="Times New Roman"/>
      <w:sz w:val="18"/>
      <w:szCs w:val="24"/>
      <w:lang w:val="en-US"/>
    </w:rPr>
  </w:style>
  <w:style w:type="character" w:customStyle="1" w:styleId="FootnoteTextTLRIChar">
    <w:name w:val="Footnote Text TLRI Char"/>
    <w:basedOn w:val="FootnoteTextChar"/>
    <w:link w:val="FootnoteTextTLRI"/>
    <w:rsid w:val="00600080"/>
    <w:rPr>
      <w:rFonts w:ascii="Times New Roman" w:eastAsia="Times New Roman" w:hAnsi="Times New Roman" w:cs="Times New Roman"/>
      <w:sz w:val="18"/>
      <w:szCs w:val="24"/>
      <w:lang w:val="en-US"/>
    </w:rPr>
  </w:style>
  <w:style w:type="paragraph" w:styleId="FootnoteText">
    <w:name w:val="footnote text"/>
    <w:basedOn w:val="Normal"/>
    <w:link w:val="FootnoteTextChar"/>
    <w:uiPriority w:val="99"/>
    <w:unhideWhenUsed/>
    <w:rsid w:val="00A433FC"/>
    <w:pPr>
      <w:spacing w:after="0"/>
    </w:pPr>
    <w:rPr>
      <w:sz w:val="20"/>
      <w:szCs w:val="20"/>
    </w:rPr>
  </w:style>
  <w:style w:type="character" w:customStyle="1" w:styleId="FootnoteTextChar">
    <w:name w:val="Footnote Text Char"/>
    <w:basedOn w:val="DefaultParagraphFont"/>
    <w:link w:val="FootnoteText"/>
    <w:uiPriority w:val="99"/>
    <w:rsid w:val="00A433FC"/>
    <w:rPr>
      <w:sz w:val="20"/>
      <w:szCs w:val="20"/>
    </w:rPr>
  </w:style>
  <w:style w:type="paragraph" w:customStyle="1" w:styleId="Indentedquote">
    <w:name w:val="Indented quote"/>
    <w:basedOn w:val="Normal"/>
    <w:link w:val="IndentedquoteChar"/>
    <w:uiPriority w:val="1"/>
    <w:qFormat/>
    <w:rsid w:val="00600080"/>
    <w:pPr>
      <w:spacing w:before="220"/>
      <w:ind w:left="720" w:right="720"/>
    </w:pPr>
  </w:style>
  <w:style w:type="character" w:customStyle="1" w:styleId="IndentedquoteChar">
    <w:name w:val="Indented quote Char"/>
    <w:basedOn w:val="DefaultParagraphFont"/>
    <w:link w:val="Indentedquote"/>
    <w:uiPriority w:val="1"/>
    <w:rsid w:val="00600080"/>
    <w:rPr>
      <w:rFonts w:ascii="Times New Roman" w:hAnsi="Times New Roman"/>
      <w:szCs w:val="24"/>
    </w:rPr>
  </w:style>
  <w:style w:type="paragraph" w:customStyle="1" w:styleId="Headingunnumbered">
    <w:name w:val="Heading unnumbered"/>
    <w:basedOn w:val="Normal"/>
    <w:next w:val="Normal"/>
    <w:link w:val="HeadingunnumberedChar"/>
    <w:uiPriority w:val="1"/>
    <w:qFormat/>
    <w:rsid w:val="00600080"/>
    <w:rPr>
      <w:b/>
      <w:bCs/>
      <w:sz w:val="32"/>
      <w:szCs w:val="36"/>
    </w:rPr>
  </w:style>
  <w:style w:type="character" w:customStyle="1" w:styleId="HeadingunnumberedChar">
    <w:name w:val="Heading unnumbered Char"/>
    <w:basedOn w:val="DefaultParagraphFont"/>
    <w:link w:val="Headingunnumbered"/>
    <w:uiPriority w:val="1"/>
    <w:rsid w:val="00600080"/>
    <w:rPr>
      <w:rFonts w:ascii="Times New Roman" w:hAnsi="Times New Roman"/>
      <w:b/>
      <w:bCs/>
      <w:sz w:val="32"/>
      <w:szCs w:val="36"/>
    </w:rPr>
  </w:style>
  <w:style w:type="paragraph" w:customStyle="1" w:styleId="Recommendation">
    <w:name w:val="Recommendation"/>
    <w:basedOn w:val="Headingunnumbered"/>
    <w:next w:val="Normal"/>
    <w:link w:val="RecommendationChar"/>
    <w:uiPriority w:val="1"/>
    <w:qFormat/>
    <w:rsid w:val="00600080"/>
  </w:style>
  <w:style w:type="character" w:customStyle="1" w:styleId="RecommendationChar">
    <w:name w:val="Recommendation Char"/>
    <w:basedOn w:val="HeadingunnumberedChar"/>
    <w:link w:val="Recommendation"/>
    <w:uiPriority w:val="1"/>
    <w:rsid w:val="00600080"/>
    <w:rPr>
      <w:rFonts w:ascii="Times New Roman" w:hAnsi="Times New Roman"/>
      <w:b/>
      <w:bCs/>
      <w:sz w:val="32"/>
      <w:szCs w:val="36"/>
    </w:rPr>
  </w:style>
  <w:style w:type="character" w:styleId="PlaceholderText">
    <w:name w:val="Placeholder Text"/>
    <w:basedOn w:val="DefaultParagraphFont"/>
    <w:uiPriority w:val="99"/>
    <w:semiHidden/>
    <w:rsid w:val="000A3EC4"/>
    <w:rPr>
      <w:color w:val="666666"/>
    </w:rPr>
  </w:style>
  <w:style w:type="paragraph" w:styleId="BodyText">
    <w:name w:val="Body Text"/>
    <w:basedOn w:val="Normal"/>
    <w:link w:val="BodyTextChar"/>
    <w:rsid w:val="00986965"/>
    <w:pPr>
      <w:spacing w:before="120" w:after="120" w:line="259" w:lineRule="auto"/>
    </w:pPr>
    <w:rPr>
      <w:rFonts w:asciiTheme="minorHAnsi" w:hAnsiTheme="minorHAnsi"/>
      <w:b/>
      <w:sz w:val="28"/>
      <w:szCs w:val="20"/>
      <w:lang w:val="x-none"/>
    </w:rPr>
  </w:style>
  <w:style w:type="character" w:customStyle="1" w:styleId="BodyTextChar">
    <w:name w:val="Body Text Char"/>
    <w:basedOn w:val="DefaultParagraphFont"/>
    <w:link w:val="BodyText"/>
    <w:rsid w:val="00986965"/>
    <w:rPr>
      <w:b/>
      <w:sz w:val="28"/>
      <w:szCs w:val="20"/>
      <w:lang w:val="x-none"/>
    </w:rPr>
  </w:style>
  <w:style w:type="paragraph" w:styleId="TOC9">
    <w:name w:val="toc 9"/>
    <w:basedOn w:val="Normal"/>
    <w:next w:val="Normal"/>
    <w:autoRedefine/>
    <w:uiPriority w:val="39"/>
    <w:unhideWhenUsed/>
    <w:rsid w:val="002D0656"/>
    <w:pPr>
      <w:spacing w:after="100"/>
      <w:ind w:left="1760"/>
    </w:pPr>
  </w:style>
  <w:style w:type="paragraph" w:styleId="TOC1">
    <w:name w:val="toc 1"/>
    <w:basedOn w:val="Normal"/>
    <w:next w:val="Normal"/>
    <w:autoRedefine/>
    <w:uiPriority w:val="39"/>
    <w:unhideWhenUsed/>
    <w:rsid w:val="0076225D"/>
    <w:pPr>
      <w:tabs>
        <w:tab w:val="left" w:pos="720"/>
        <w:tab w:val="right" w:leader="dot" w:pos="9016"/>
      </w:tabs>
      <w:spacing w:after="100"/>
    </w:pPr>
    <w:rPr>
      <w:noProof/>
    </w:rPr>
  </w:style>
  <w:style w:type="paragraph" w:styleId="TOC3">
    <w:name w:val="toc 3"/>
    <w:basedOn w:val="Normal"/>
    <w:next w:val="Normal"/>
    <w:autoRedefine/>
    <w:uiPriority w:val="39"/>
    <w:unhideWhenUsed/>
    <w:rsid w:val="00D8729E"/>
    <w:pPr>
      <w:spacing w:after="100"/>
    </w:pPr>
    <w:rPr>
      <w:i/>
    </w:rPr>
  </w:style>
  <w:style w:type="paragraph" w:styleId="Footer">
    <w:name w:val="footer"/>
    <w:basedOn w:val="Normal"/>
    <w:link w:val="FooterChar"/>
    <w:uiPriority w:val="99"/>
    <w:unhideWhenUsed/>
    <w:rsid w:val="005B282A"/>
    <w:pPr>
      <w:tabs>
        <w:tab w:val="center" w:pos="4513"/>
        <w:tab w:val="right" w:pos="9026"/>
      </w:tabs>
      <w:spacing w:after="0"/>
      <w:jc w:val="left"/>
    </w:pPr>
    <w:rPr>
      <w:rFonts w:asciiTheme="minorHAnsi" w:eastAsiaTheme="minorEastAsia" w:hAnsiTheme="minorHAnsi"/>
      <w:szCs w:val="22"/>
    </w:rPr>
  </w:style>
  <w:style w:type="character" w:customStyle="1" w:styleId="FooterChar">
    <w:name w:val="Footer Char"/>
    <w:basedOn w:val="DefaultParagraphFont"/>
    <w:link w:val="Footer"/>
    <w:uiPriority w:val="99"/>
    <w:rsid w:val="005B282A"/>
    <w:rPr>
      <w:rFonts w:eastAsiaTheme="minorEastAsia"/>
    </w:rPr>
  </w:style>
  <w:style w:type="character" w:styleId="PageNumber">
    <w:name w:val="page number"/>
    <w:basedOn w:val="DefaultParagraphFont"/>
    <w:uiPriority w:val="99"/>
    <w:semiHidden/>
    <w:unhideWhenUsed/>
    <w:rsid w:val="005B282A"/>
  </w:style>
  <w:style w:type="paragraph" w:styleId="Header">
    <w:name w:val="header"/>
    <w:basedOn w:val="Normal"/>
    <w:link w:val="HeaderChar"/>
    <w:uiPriority w:val="99"/>
    <w:unhideWhenUsed/>
    <w:rsid w:val="00D8729E"/>
    <w:pPr>
      <w:tabs>
        <w:tab w:val="center" w:pos="4513"/>
        <w:tab w:val="right" w:pos="9026"/>
      </w:tabs>
      <w:spacing w:after="0"/>
    </w:pPr>
  </w:style>
  <w:style w:type="character" w:customStyle="1" w:styleId="HeaderChar">
    <w:name w:val="Header Char"/>
    <w:basedOn w:val="DefaultParagraphFont"/>
    <w:link w:val="Header"/>
    <w:uiPriority w:val="99"/>
    <w:rsid w:val="00D8729E"/>
    <w:rPr>
      <w:rFonts w:ascii="Times New Roman" w:hAnsi="Times New Roman"/>
      <w:szCs w:val="24"/>
    </w:rPr>
  </w:style>
  <w:style w:type="character" w:styleId="FootnoteReference">
    <w:name w:val="footnote reference"/>
    <w:basedOn w:val="DefaultParagraphFont"/>
    <w:uiPriority w:val="99"/>
    <w:unhideWhenUsed/>
    <w:rsid w:val="00FF302D"/>
    <w:rPr>
      <w:rFonts w:asciiTheme="minorHAnsi" w:hAnsiTheme="minorHAnsi"/>
      <w:sz w:val="20"/>
      <w:vertAlign w:val="superscript"/>
    </w:rPr>
  </w:style>
  <w:style w:type="table" w:styleId="TableGrid">
    <w:name w:val="Table Grid"/>
    <w:basedOn w:val="TableNormal"/>
    <w:uiPriority w:val="39"/>
    <w:rsid w:val="00FF302D"/>
    <w:pPr>
      <w:spacing w:after="0" w:line="240" w:lineRule="auto"/>
    </w:pPr>
    <w:rPr>
      <w:rFonts w:ascii="Arial" w:hAnsi="Arial"/>
      <w:sz w:val="21"/>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302D"/>
    <w:rPr>
      <w:color w:val="000000" w:themeColor="text1"/>
    </w:rPr>
  </w:style>
  <w:style w:type="paragraph" w:styleId="CommentText">
    <w:name w:val="annotation text"/>
    <w:basedOn w:val="Normal"/>
    <w:link w:val="CommentTextChar"/>
    <w:uiPriority w:val="99"/>
    <w:unhideWhenUsed/>
    <w:rsid w:val="00FF302D"/>
    <w:pPr>
      <w:spacing w:after="160"/>
      <w:jc w:val="left"/>
    </w:pPr>
    <w:rPr>
      <w:rFonts w:asciiTheme="minorHAnsi" w:hAnsiTheme="minorHAnsi"/>
      <w:sz w:val="24"/>
    </w:rPr>
  </w:style>
  <w:style w:type="character" w:customStyle="1" w:styleId="CommentTextChar">
    <w:name w:val="Comment Text Char"/>
    <w:basedOn w:val="DefaultParagraphFont"/>
    <w:link w:val="CommentText"/>
    <w:uiPriority w:val="99"/>
    <w:rsid w:val="00FF302D"/>
    <w:rPr>
      <w:sz w:val="24"/>
      <w:szCs w:val="24"/>
    </w:rPr>
  </w:style>
  <w:style w:type="character" w:styleId="CommentReference">
    <w:name w:val="annotation reference"/>
    <w:basedOn w:val="DefaultParagraphFont"/>
    <w:uiPriority w:val="99"/>
    <w:semiHidden/>
    <w:unhideWhenUsed/>
    <w:rsid w:val="00FF302D"/>
    <w:rPr>
      <w:sz w:val="16"/>
      <w:szCs w:val="16"/>
    </w:rPr>
  </w:style>
  <w:style w:type="paragraph" w:customStyle="1" w:styleId="Dotpointlist">
    <w:name w:val="Dot point list"/>
    <w:basedOn w:val="Normal"/>
    <w:rsid w:val="00FF302D"/>
    <w:pPr>
      <w:numPr>
        <w:numId w:val="14"/>
      </w:numPr>
      <w:spacing w:after="120" w:line="259" w:lineRule="auto"/>
      <w:jc w:val="left"/>
    </w:pPr>
    <w:rPr>
      <w:rFonts w:ascii="Calibri" w:eastAsia="Calibri" w:hAnsi="Calibri" w:cs="Calibri"/>
      <w:szCs w:val="22"/>
    </w:rPr>
  </w:style>
  <w:style w:type="paragraph" w:customStyle="1" w:styleId="NumberlessNormalText">
    <w:name w:val="Numberless Normal Text"/>
    <w:rsid w:val="00FF302D"/>
    <w:pPr>
      <w:tabs>
        <w:tab w:val="left" w:pos="851"/>
      </w:tabs>
      <w:spacing w:before="120" w:after="120" w:line="271" w:lineRule="auto"/>
      <w:jc w:val="both"/>
    </w:pPr>
    <w:rPr>
      <w:rFonts w:ascii="Times New Roman" w:eastAsia="Times" w:hAnsi="Times New Roman" w:cs="Times New Roman"/>
    </w:rPr>
  </w:style>
  <w:style w:type="paragraph" w:customStyle="1" w:styleId="Blockquote">
    <w:name w:val="Block quote"/>
    <w:basedOn w:val="Normal"/>
    <w:rsid w:val="00FF302D"/>
    <w:pPr>
      <w:spacing w:after="160" w:line="259" w:lineRule="auto"/>
      <w:ind w:left="720" w:right="720"/>
      <w:jc w:val="left"/>
    </w:pPr>
    <w:rPr>
      <w:rFonts w:asciiTheme="minorHAnsi" w:eastAsiaTheme="minorEastAsia" w:hAnsiTheme="minorHAnsi"/>
      <w:szCs w:val="22"/>
    </w:rPr>
  </w:style>
  <w:style w:type="paragraph" w:customStyle="1" w:styleId="Numberedlist">
    <w:name w:val="Numbered list"/>
    <w:basedOn w:val="Dotpointlist"/>
    <w:rsid w:val="00FF302D"/>
    <w:pPr>
      <w:numPr>
        <w:numId w:val="17"/>
      </w:numPr>
    </w:pPr>
  </w:style>
  <w:style w:type="character" w:styleId="Emphasis">
    <w:name w:val="Emphasis"/>
    <w:basedOn w:val="DefaultParagraphFont"/>
    <w:uiPriority w:val="20"/>
    <w:semiHidden/>
    <w:qFormat/>
    <w:rsid w:val="00FF302D"/>
    <w:rPr>
      <w:i/>
      <w:iCs/>
    </w:rPr>
  </w:style>
  <w:style w:type="paragraph" w:customStyle="1" w:styleId="subsection">
    <w:name w:val="subsection"/>
    <w:basedOn w:val="Normal"/>
    <w:rsid w:val="00FF302D"/>
    <w:pPr>
      <w:spacing w:before="100" w:beforeAutospacing="1" w:after="100" w:afterAutospacing="1"/>
      <w:jc w:val="left"/>
    </w:pPr>
    <w:rPr>
      <w:rFonts w:eastAsia="Times New Roman" w:cs="Times New Roman"/>
      <w:sz w:val="24"/>
      <w:lang w:eastAsia="zh-TW"/>
    </w:rPr>
  </w:style>
  <w:style w:type="paragraph" w:styleId="Caption">
    <w:name w:val="caption"/>
    <w:basedOn w:val="Normal"/>
    <w:next w:val="Normal"/>
    <w:uiPriority w:val="35"/>
    <w:semiHidden/>
    <w:unhideWhenUsed/>
    <w:qFormat/>
    <w:rsid w:val="00FF302D"/>
    <w:pPr>
      <w:spacing w:after="200"/>
    </w:pPr>
    <w:rPr>
      <w:i/>
      <w:iCs/>
      <w:color w:val="0E2841" w:themeColor="text2"/>
      <w:sz w:val="18"/>
      <w:szCs w:val="18"/>
    </w:rPr>
  </w:style>
  <w:style w:type="character" w:styleId="Strong">
    <w:name w:val="Strong"/>
    <w:basedOn w:val="DefaultParagraphFont"/>
    <w:uiPriority w:val="22"/>
    <w:semiHidden/>
    <w:qFormat/>
    <w:rsid w:val="00FF302D"/>
    <w:rPr>
      <w:b/>
      <w:bCs/>
    </w:rPr>
  </w:style>
  <w:style w:type="paragraph" w:styleId="NoSpacing">
    <w:name w:val="No Spacing"/>
    <w:uiPriority w:val="1"/>
    <w:semiHidden/>
    <w:qFormat/>
    <w:rsid w:val="00FF302D"/>
    <w:pPr>
      <w:spacing w:after="0" w:line="240" w:lineRule="auto"/>
      <w:jc w:val="both"/>
    </w:pPr>
    <w:rPr>
      <w:rFonts w:ascii="Times New Roman" w:hAnsi="Times New Roman"/>
      <w:szCs w:val="24"/>
    </w:rPr>
  </w:style>
  <w:style w:type="character" w:styleId="SubtleEmphasis">
    <w:name w:val="Subtle Emphasis"/>
    <w:basedOn w:val="DefaultParagraphFont"/>
    <w:uiPriority w:val="19"/>
    <w:semiHidden/>
    <w:qFormat/>
    <w:rsid w:val="00FF302D"/>
    <w:rPr>
      <w:i/>
      <w:iCs/>
      <w:color w:val="404040" w:themeColor="text1" w:themeTint="BF"/>
    </w:rPr>
  </w:style>
  <w:style w:type="character" w:styleId="SubtleReference">
    <w:name w:val="Subtle Reference"/>
    <w:basedOn w:val="DefaultParagraphFont"/>
    <w:uiPriority w:val="31"/>
    <w:semiHidden/>
    <w:qFormat/>
    <w:rsid w:val="00FF302D"/>
    <w:rPr>
      <w:smallCaps/>
      <w:color w:val="5A5A5A" w:themeColor="text1" w:themeTint="A5"/>
    </w:rPr>
  </w:style>
  <w:style w:type="character" w:styleId="BookTitle">
    <w:name w:val="Book Title"/>
    <w:basedOn w:val="DefaultParagraphFont"/>
    <w:uiPriority w:val="33"/>
    <w:semiHidden/>
    <w:qFormat/>
    <w:rsid w:val="00FF302D"/>
    <w:rPr>
      <w:b/>
      <w:bCs/>
      <w:i/>
      <w:iCs/>
      <w:spacing w:val="5"/>
    </w:rPr>
  </w:style>
  <w:style w:type="paragraph" w:styleId="TOCHeading">
    <w:name w:val="TOC Heading"/>
    <w:basedOn w:val="Heading1"/>
    <w:next w:val="Normal"/>
    <w:uiPriority w:val="39"/>
    <w:semiHidden/>
    <w:unhideWhenUsed/>
    <w:qFormat/>
    <w:rsid w:val="00FF302D"/>
    <w:pPr>
      <w:spacing w:after="0"/>
      <w:outlineLvl w:val="9"/>
    </w:pPr>
  </w:style>
  <w:style w:type="paragraph" w:styleId="BalloonText">
    <w:name w:val="Balloon Text"/>
    <w:basedOn w:val="Normal"/>
    <w:link w:val="BalloonTextChar"/>
    <w:uiPriority w:val="99"/>
    <w:semiHidden/>
    <w:unhideWhenUsed/>
    <w:rsid w:val="00FF302D"/>
    <w:pPr>
      <w:spacing w:after="0"/>
      <w:jc w:val="left"/>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FF302D"/>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FF302D"/>
    <w:rPr>
      <w:color w:val="96607D" w:themeColor="followedHyperlink"/>
      <w:u w:val="single"/>
    </w:rPr>
  </w:style>
  <w:style w:type="character" w:customStyle="1" w:styleId="UnresolvedMention1">
    <w:name w:val="Unresolved Mention1"/>
    <w:basedOn w:val="DefaultParagraphFont"/>
    <w:uiPriority w:val="99"/>
    <w:semiHidden/>
    <w:unhideWhenUsed/>
    <w:rsid w:val="00FF302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F302D"/>
    <w:rPr>
      <w:rFonts w:eastAsiaTheme="minorEastAsia"/>
      <w:b/>
      <w:bCs/>
      <w:sz w:val="20"/>
      <w:szCs w:val="20"/>
    </w:rPr>
  </w:style>
  <w:style w:type="character" w:customStyle="1" w:styleId="CommentSubjectChar">
    <w:name w:val="Comment Subject Char"/>
    <w:basedOn w:val="CommentTextChar"/>
    <w:link w:val="CommentSubject"/>
    <w:uiPriority w:val="99"/>
    <w:semiHidden/>
    <w:rsid w:val="00FF302D"/>
    <w:rPr>
      <w:rFonts w:eastAsiaTheme="minorEastAsia"/>
      <w:b/>
      <w:bCs/>
      <w:sz w:val="20"/>
      <w:szCs w:val="20"/>
    </w:rPr>
  </w:style>
  <w:style w:type="character" w:customStyle="1" w:styleId="UnresolvedMention2">
    <w:name w:val="Unresolved Mention2"/>
    <w:basedOn w:val="DefaultParagraphFont"/>
    <w:uiPriority w:val="99"/>
    <w:semiHidden/>
    <w:unhideWhenUsed/>
    <w:rsid w:val="00FF302D"/>
    <w:rPr>
      <w:color w:val="605E5C"/>
      <w:shd w:val="clear" w:color="auto" w:fill="E1DFDD"/>
    </w:rPr>
  </w:style>
  <w:style w:type="paragraph" w:styleId="TOC2">
    <w:name w:val="toc 2"/>
    <w:basedOn w:val="Normal"/>
    <w:next w:val="Normal"/>
    <w:autoRedefine/>
    <w:uiPriority w:val="39"/>
    <w:unhideWhenUsed/>
    <w:rsid w:val="00AA1525"/>
    <w:pPr>
      <w:tabs>
        <w:tab w:val="left" w:pos="960"/>
        <w:tab w:val="right" w:leader="dot" w:pos="9016"/>
      </w:tabs>
      <w:spacing w:after="100" w:line="259" w:lineRule="auto"/>
      <w:ind w:left="720"/>
      <w:jc w:val="left"/>
    </w:pPr>
    <w:rPr>
      <w:rFonts w:eastAsiaTheme="minorEastAsia" w:cs="Times New Roman"/>
      <w:noProof/>
      <w:szCs w:val="22"/>
    </w:rPr>
  </w:style>
  <w:style w:type="numbering" w:customStyle="1" w:styleId="CurrentList1">
    <w:name w:val="Current List1"/>
    <w:uiPriority w:val="99"/>
    <w:rsid w:val="00FF302D"/>
    <w:pPr>
      <w:numPr>
        <w:numId w:val="22"/>
      </w:numPr>
    </w:pPr>
  </w:style>
  <w:style w:type="character" w:styleId="UnresolvedMention">
    <w:name w:val="Unresolved Mention"/>
    <w:basedOn w:val="DefaultParagraphFont"/>
    <w:uiPriority w:val="99"/>
    <w:semiHidden/>
    <w:unhideWhenUsed/>
    <w:rsid w:val="00FF302D"/>
    <w:rPr>
      <w:color w:val="605E5C"/>
      <w:shd w:val="clear" w:color="auto" w:fill="E1DFDD"/>
    </w:rPr>
  </w:style>
  <w:style w:type="paragraph" w:styleId="Revision">
    <w:name w:val="Revision"/>
    <w:hidden/>
    <w:uiPriority w:val="99"/>
    <w:semiHidden/>
    <w:rsid w:val="00FF302D"/>
    <w:pPr>
      <w:spacing w:after="0" w:line="240" w:lineRule="auto"/>
    </w:pPr>
    <w:rPr>
      <w:rFonts w:eastAsiaTheme="minorEastAsia"/>
    </w:rPr>
  </w:style>
  <w:style w:type="paragraph" w:styleId="Date">
    <w:name w:val="Date"/>
    <w:basedOn w:val="Normal"/>
    <w:next w:val="Normal"/>
    <w:link w:val="DateChar"/>
    <w:uiPriority w:val="99"/>
    <w:semiHidden/>
    <w:unhideWhenUsed/>
    <w:rsid w:val="00FF302D"/>
    <w:pPr>
      <w:spacing w:after="160" w:line="259" w:lineRule="auto"/>
      <w:jc w:val="left"/>
    </w:pPr>
    <w:rPr>
      <w:rFonts w:asciiTheme="minorHAnsi" w:eastAsiaTheme="minorEastAsia" w:hAnsiTheme="minorHAnsi"/>
      <w:szCs w:val="22"/>
    </w:rPr>
  </w:style>
  <w:style w:type="character" w:customStyle="1" w:styleId="DateChar">
    <w:name w:val="Date Char"/>
    <w:basedOn w:val="DefaultParagraphFont"/>
    <w:link w:val="Date"/>
    <w:uiPriority w:val="99"/>
    <w:semiHidden/>
    <w:rsid w:val="00FF302D"/>
    <w:rPr>
      <w:rFonts w:eastAsiaTheme="minorEastAsia"/>
    </w:rPr>
  </w:style>
  <w:style w:type="numbering" w:customStyle="1" w:styleId="CurrentList2">
    <w:name w:val="Current List2"/>
    <w:uiPriority w:val="99"/>
    <w:rsid w:val="00FF302D"/>
    <w:pPr>
      <w:numPr>
        <w:numId w:val="23"/>
      </w:numPr>
    </w:pPr>
  </w:style>
  <w:style w:type="numbering" w:customStyle="1" w:styleId="CurrentList3">
    <w:name w:val="Current List3"/>
    <w:uiPriority w:val="99"/>
    <w:rsid w:val="00FF302D"/>
    <w:pPr>
      <w:numPr>
        <w:numId w:val="24"/>
      </w:numPr>
    </w:pPr>
  </w:style>
  <w:style w:type="paragraph" w:customStyle="1" w:styleId="paragraph">
    <w:name w:val="paragraph"/>
    <w:basedOn w:val="Normal"/>
    <w:rsid w:val="00FF302D"/>
    <w:pPr>
      <w:spacing w:before="100" w:beforeAutospacing="1" w:after="100" w:afterAutospacing="1"/>
      <w:jc w:val="left"/>
    </w:pPr>
    <w:rPr>
      <w:rFonts w:eastAsia="Times New Roman" w:cs="Times New Roman"/>
      <w:sz w:val="24"/>
      <w:lang w:eastAsia="zh-TW"/>
    </w:rPr>
  </w:style>
  <w:style w:type="numbering" w:customStyle="1" w:styleId="CurrentList4">
    <w:name w:val="Current List4"/>
    <w:uiPriority w:val="99"/>
    <w:rsid w:val="00FF302D"/>
    <w:pPr>
      <w:numPr>
        <w:numId w:val="25"/>
      </w:numPr>
    </w:pPr>
  </w:style>
  <w:style w:type="numbering" w:customStyle="1" w:styleId="CurrentList5">
    <w:name w:val="Current List5"/>
    <w:uiPriority w:val="99"/>
    <w:rsid w:val="00FF302D"/>
    <w:pPr>
      <w:numPr>
        <w:numId w:val="26"/>
      </w:numPr>
    </w:pPr>
  </w:style>
  <w:style w:type="numbering" w:customStyle="1" w:styleId="CurrentList6">
    <w:name w:val="Current List6"/>
    <w:uiPriority w:val="99"/>
    <w:rsid w:val="00FF302D"/>
    <w:pPr>
      <w:numPr>
        <w:numId w:val="27"/>
      </w:numPr>
    </w:pPr>
  </w:style>
  <w:style w:type="numbering" w:customStyle="1" w:styleId="CurrentList7">
    <w:name w:val="Current List7"/>
    <w:uiPriority w:val="99"/>
    <w:rsid w:val="00FF302D"/>
    <w:pPr>
      <w:numPr>
        <w:numId w:val="28"/>
      </w:numPr>
    </w:pPr>
  </w:style>
  <w:style w:type="numbering" w:customStyle="1" w:styleId="CurrentList8">
    <w:name w:val="Current List8"/>
    <w:uiPriority w:val="99"/>
    <w:rsid w:val="00FF302D"/>
    <w:pPr>
      <w:numPr>
        <w:numId w:val="29"/>
      </w:numPr>
    </w:pPr>
  </w:style>
  <w:style w:type="paragraph" w:customStyle="1" w:styleId="DraftHeading2">
    <w:name w:val="Draft Heading 2"/>
    <w:basedOn w:val="Normal"/>
    <w:next w:val="Normal"/>
    <w:link w:val="DraftHeading2Char"/>
    <w:rsid w:val="00FF302D"/>
    <w:pPr>
      <w:overflowPunct w:val="0"/>
      <w:autoSpaceDE w:val="0"/>
      <w:autoSpaceDN w:val="0"/>
      <w:adjustRightInd w:val="0"/>
      <w:spacing w:before="120" w:after="0"/>
      <w:jc w:val="left"/>
      <w:textAlignment w:val="baseline"/>
    </w:pPr>
    <w:rPr>
      <w:rFonts w:eastAsia="Times New Roman" w:cs="Times New Roman"/>
      <w:sz w:val="24"/>
      <w:szCs w:val="20"/>
    </w:rPr>
  </w:style>
  <w:style w:type="paragraph" w:customStyle="1" w:styleId="DraftHeading3">
    <w:name w:val="Draft Heading 3"/>
    <w:basedOn w:val="Normal"/>
    <w:next w:val="Normal"/>
    <w:rsid w:val="00FF302D"/>
    <w:pPr>
      <w:overflowPunct w:val="0"/>
      <w:autoSpaceDE w:val="0"/>
      <w:autoSpaceDN w:val="0"/>
      <w:adjustRightInd w:val="0"/>
      <w:spacing w:before="120" w:after="0"/>
      <w:jc w:val="left"/>
      <w:textAlignment w:val="baseline"/>
    </w:pPr>
    <w:rPr>
      <w:rFonts w:eastAsia="Times New Roman" w:cs="Times New Roman"/>
      <w:sz w:val="24"/>
      <w:szCs w:val="20"/>
    </w:rPr>
  </w:style>
  <w:style w:type="character" w:customStyle="1" w:styleId="DraftHeading2Char">
    <w:name w:val="Draft Heading 2 Char"/>
    <w:basedOn w:val="DefaultParagraphFont"/>
    <w:link w:val="DraftHeading2"/>
    <w:rsid w:val="00FF302D"/>
    <w:rPr>
      <w:rFonts w:ascii="Times New Roman" w:eastAsia="Times New Roman" w:hAnsi="Times New Roman" w:cs="Times New Roman"/>
      <w:sz w:val="24"/>
      <w:szCs w:val="20"/>
    </w:rPr>
  </w:style>
  <w:style w:type="paragraph" w:customStyle="1" w:styleId="definition">
    <w:name w:val="definition"/>
    <w:basedOn w:val="Normal"/>
    <w:rsid w:val="00FF302D"/>
    <w:pPr>
      <w:spacing w:before="100" w:beforeAutospacing="1" w:after="100" w:afterAutospacing="1"/>
      <w:jc w:val="left"/>
    </w:pPr>
    <w:rPr>
      <w:rFonts w:eastAsia="Times New Roman" w:cs="Times New Roman"/>
      <w:sz w:val="24"/>
      <w:lang w:eastAsia="zh-TW"/>
    </w:rPr>
  </w:style>
  <w:style w:type="paragraph" w:customStyle="1" w:styleId="paragraphsub">
    <w:name w:val="paragraphsub"/>
    <w:basedOn w:val="Normal"/>
    <w:rsid w:val="00FF302D"/>
    <w:pPr>
      <w:spacing w:before="100" w:beforeAutospacing="1" w:after="100" w:afterAutospacing="1"/>
      <w:jc w:val="left"/>
    </w:pPr>
    <w:rPr>
      <w:rFonts w:eastAsia="Times New Roman" w:cs="Times New Roman"/>
      <w:sz w:val="24"/>
      <w:lang w:eastAsia="zh-TW"/>
    </w:rPr>
  </w:style>
  <w:style w:type="paragraph" w:styleId="NormalWeb">
    <w:name w:val="Normal (Web)"/>
    <w:basedOn w:val="Normal"/>
    <w:uiPriority w:val="99"/>
    <w:semiHidden/>
    <w:unhideWhenUsed/>
    <w:rsid w:val="00FF302D"/>
    <w:pPr>
      <w:spacing w:before="100" w:beforeAutospacing="1" w:after="100" w:afterAutospacing="1"/>
      <w:jc w:val="left"/>
    </w:pPr>
    <w:rPr>
      <w:rFonts w:eastAsia="Times New Roman" w:cs="Times New Roman"/>
      <w:sz w:val="24"/>
      <w:lang w:eastAsia="zh-TW"/>
    </w:rPr>
  </w:style>
  <w:style w:type="paragraph" w:customStyle="1" w:styleId="gov-is-numbered-paragraph">
    <w:name w:val="gov-is-numbered-paragraph"/>
    <w:basedOn w:val="Normal"/>
    <w:rsid w:val="00FF302D"/>
    <w:pPr>
      <w:spacing w:before="100" w:beforeAutospacing="1" w:after="100" w:afterAutospacing="1"/>
      <w:jc w:val="left"/>
    </w:pPr>
    <w:rPr>
      <w:rFonts w:eastAsia="Times New Roman" w:cs="Times New Roman"/>
      <w:sz w:val="24"/>
      <w:lang w:eastAsia="zh-TW"/>
    </w:rPr>
  </w:style>
  <w:style w:type="numbering" w:customStyle="1" w:styleId="CurrentList9">
    <w:name w:val="Current List9"/>
    <w:uiPriority w:val="99"/>
    <w:rsid w:val="00FF302D"/>
    <w:pPr>
      <w:numPr>
        <w:numId w:val="30"/>
      </w:numPr>
    </w:pPr>
  </w:style>
  <w:style w:type="paragraph" w:customStyle="1" w:styleId="headingparagraph">
    <w:name w:val="headingparagraph"/>
    <w:basedOn w:val="Normal"/>
    <w:rsid w:val="00FF302D"/>
    <w:pPr>
      <w:spacing w:before="100" w:beforeAutospacing="1" w:after="100" w:afterAutospacing="1"/>
      <w:jc w:val="left"/>
    </w:pPr>
    <w:rPr>
      <w:rFonts w:eastAsia="Times New Roman" w:cs="Times New Roman"/>
      <w:sz w:val="24"/>
      <w:lang w:eastAsia="zh-TW"/>
    </w:rPr>
  </w:style>
  <w:style w:type="paragraph" w:styleId="TOC4">
    <w:name w:val="toc 4"/>
    <w:basedOn w:val="Normal"/>
    <w:next w:val="Normal"/>
    <w:autoRedefine/>
    <w:uiPriority w:val="39"/>
    <w:unhideWhenUsed/>
    <w:rsid w:val="00FF302D"/>
    <w:pPr>
      <w:spacing w:after="100"/>
      <w:ind w:left="720"/>
      <w:jc w:val="left"/>
    </w:pPr>
    <w:rPr>
      <w:rFonts w:asciiTheme="minorHAnsi" w:eastAsia="Heiti TC Light" w:hAnsiTheme="minorHAnsi"/>
      <w:sz w:val="24"/>
      <w:lang w:eastAsia="zh-TW"/>
    </w:rPr>
  </w:style>
  <w:style w:type="paragraph" w:styleId="TOC5">
    <w:name w:val="toc 5"/>
    <w:basedOn w:val="Normal"/>
    <w:next w:val="Normal"/>
    <w:autoRedefine/>
    <w:uiPriority w:val="39"/>
    <w:unhideWhenUsed/>
    <w:rsid w:val="00FF302D"/>
    <w:pPr>
      <w:spacing w:after="100"/>
      <w:ind w:left="960"/>
      <w:jc w:val="left"/>
    </w:pPr>
    <w:rPr>
      <w:rFonts w:asciiTheme="minorHAnsi" w:eastAsia="Heiti TC Light" w:hAnsiTheme="minorHAnsi"/>
      <w:sz w:val="24"/>
      <w:lang w:eastAsia="zh-TW"/>
    </w:rPr>
  </w:style>
  <w:style w:type="paragraph" w:styleId="TOC6">
    <w:name w:val="toc 6"/>
    <w:basedOn w:val="Normal"/>
    <w:next w:val="Normal"/>
    <w:autoRedefine/>
    <w:uiPriority w:val="39"/>
    <w:unhideWhenUsed/>
    <w:rsid w:val="00FF302D"/>
    <w:pPr>
      <w:spacing w:after="100"/>
      <w:ind w:left="1200"/>
      <w:jc w:val="left"/>
    </w:pPr>
    <w:rPr>
      <w:rFonts w:asciiTheme="minorHAnsi" w:eastAsia="Heiti TC Light" w:hAnsiTheme="minorHAnsi"/>
      <w:sz w:val="24"/>
      <w:lang w:eastAsia="zh-TW"/>
    </w:rPr>
  </w:style>
  <w:style w:type="paragraph" w:styleId="TOC7">
    <w:name w:val="toc 7"/>
    <w:basedOn w:val="Normal"/>
    <w:next w:val="Normal"/>
    <w:autoRedefine/>
    <w:uiPriority w:val="39"/>
    <w:unhideWhenUsed/>
    <w:rsid w:val="00FF302D"/>
    <w:pPr>
      <w:spacing w:after="100"/>
      <w:ind w:left="1440"/>
      <w:jc w:val="left"/>
    </w:pPr>
    <w:rPr>
      <w:rFonts w:asciiTheme="minorHAnsi" w:eastAsia="Heiti TC Light" w:hAnsiTheme="minorHAnsi"/>
      <w:sz w:val="24"/>
      <w:lang w:eastAsia="zh-TW"/>
    </w:rPr>
  </w:style>
  <w:style w:type="paragraph" w:styleId="TOC8">
    <w:name w:val="toc 8"/>
    <w:basedOn w:val="Normal"/>
    <w:next w:val="Normal"/>
    <w:autoRedefine/>
    <w:uiPriority w:val="39"/>
    <w:unhideWhenUsed/>
    <w:rsid w:val="00FF302D"/>
    <w:pPr>
      <w:spacing w:after="100"/>
      <w:ind w:left="1680"/>
      <w:jc w:val="left"/>
    </w:pPr>
    <w:rPr>
      <w:rFonts w:asciiTheme="minorHAnsi" w:eastAsia="Heiti TC Light" w:hAnsiTheme="minorHAnsi"/>
      <w:sz w:val="24"/>
      <w:lang w:eastAsia="zh-TW"/>
    </w:rPr>
  </w:style>
  <w:style w:type="paragraph" w:styleId="ListBullet">
    <w:name w:val="List Bullet"/>
    <w:basedOn w:val="Normal"/>
    <w:rsid w:val="00FF302D"/>
    <w:pPr>
      <w:numPr>
        <w:numId w:val="32"/>
      </w:numPr>
      <w:spacing w:after="160" w:line="259" w:lineRule="auto"/>
      <w:contextualSpacing/>
      <w:jc w:val="left"/>
    </w:pPr>
    <w:rPr>
      <w:rFonts w:asciiTheme="minorHAnsi" w:hAnsiTheme="minorHAnsi"/>
      <w:szCs w:val="22"/>
    </w:rPr>
  </w:style>
  <w:style w:type="paragraph" w:customStyle="1" w:styleId="TLRIH1">
    <w:name w:val="TLRI H1"/>
    <w:basedOn w:val="Normal"/>
    <w:next w:val="NormalNumberedTextTLRI"/>
    <w:rsid w:val="00FF302D"/>
    <w:pPr>
      <w:keepNext/>
      <w:numPr>
        <w:ilvl w:val="1"/>
        <w:numId w:val="33"/>
      </w:numPr>
      <w:spacing w:before="480" w:after="360"/>
      <w:ind w:left="1134"/>
      <w:jc w:val="left"/>
      <w:outlineLvl w:val="1"/>
    </w:pPr>
    <w:rPr>
      <w:rFonts w:ascii="Arial" w:eastAsia="Times" w:hAnsi="Arial"/>
      <w:b/>
      <w:sz w:val="32"/>
      <w:szCs w:val="20"/>
      <w:lang w:val="x-none"/>
    </w:rPr>
  </w:style>
  <w:style w:type="paragraph" w:customStyle="1" w:styleId="TLRIChapterno">
    <w:name w:val="TLRI Chapter no"/>
    <w:basedOn w:val="Normal"/>
    <w:rsid w:val="00FF302D"/>
    <w:pPr>
      <w:numPr>
        <w:numId w:val="33"/>
      </w:numPr>
      <w:pBdr>
        <w:bottom w:val="single" w:sz="4" w:space="1" w:color="auto"/>
      </w:pBdr>
      <w:spacing w:after="120"/>
      <w:ind w:left="567"/>
      <w:jc w:val="left"/>
      <w:outlineLvl w:val="0"/>
    </w:pPr>
    <w:rPr>
      <w:rFonts w:ascii="Arial" w:eastAsia="Times" w:hAnsi="Arial" w:cs="Times New Roman"/>
      <w:b/>
      <w:sz w:val="28"/>
      <w:szCs w:val="20"/>
      <w:lang w:eastAsia="en-GB"/>
    </w:rPr>
  </w:style>
  <w:style w:type="paragraph" w:customStyle="1" w:styleId="TLRINormal">
    <w:name w:val="TLRI Normal"/>
    <w:basedOn w:val="Normal"/>
    <w:uiPriority w:val="1"/>
    <w:rsid w:val="00FF302D"/>
    <w:pPr>
      <w:numPr>
        <w:ilvl w:val="2"/>
        <w:numId w:val="33"/>
      </w:numPr>
      <w:spacing w:before="120" w:after="120" w:line="360" w:lineRule="auto"/>
      <w:jc w:val="left"/>
    </w:pPr>
    <w:rPr>
      <w:rFonts w:eastAsia="Times New Roman" w:cs="Times New Roman"/>
      <w:szCs w:val="22"/>
      <w:lang w:eastAsia="en-GB"/>
    </w:rPr>
  </w:style>
  <w:style w:type="paragraph" w:customStyle="1" w:styleId="tablea">
    <w:name w:val="tablea"/>
    <w:basedOn w:val="Normal"/>
    <w:rsid w:val="00FF302D"/>
    <w:pPr>
      <w:spacing w:before="100" w:beforeAutospacing="1" w:after="100" w:afterAutospacing="1"/>
      <w:jc w:val="left"/>
    </w:pPr>
    <w:rPr>
      <w:rFonts w:eastAsia="Times New Roman" w:cs="Times New Roman"/>
      <w:sz w:val="24"/>
      <w:lang w:eastAsia="en-AU"/>
    </w:rPr>
  </w:style>
  <w:style w:type="character" w:styleId="Mention">
    <w:name w:val="Mention"/>
    <w:basedOn w:val="DefaultParagraphFont"/>
    <w:uiPriority w:val="99"/>
    <w:unhideWhenUsed/>
    <w:rsid w:val="00FF302D"/>
    <w:rPr>
      <w:color w:val="2B579A"/>
      <w:shd w:val="clear" w:color="auto" w:fill="E1DFDD"/>
    </w:rPr>
  </w:style>
  <w:style w:type="character" w:customStyle="1" w:styleId="cf01">
    <w:name w:val="cf01"/>
    <w:basedOn w:val="DefaultParagraphFont"/>
    <w:rsid w:val="00FF302D"/>
    <w:rPr>
      <w:rFonts w:ascii="Segoe UI" w:hAnsi="Segoe UI" w:cs="Segoe UI" w:hint="default"/>
      <w:sz w:val="18"/>
      <w:szCs w:val="18"/>
    </w:rPr>
  </w:style>
  <w:style w:type="paragraph" w:customStyle="1" w:styleId="pf0">
    <w:name w:val="pf0"/>
    <w:basedOn w:val="Normal"/>
    <w:rsid w:val="00FF302D"/>
    <w:pPr>
      <w:spacing w:before="100" w:beforeAutospacing="1" w:after="100" w:afterAutospacing="1"/>
      <w:ind w:left="1080"/>
      <w:jc w:val="left"/>
    </w:pPr>
    <w:rPr>
      <w:rFonts w:eastAsia="Times New Roman" w:cs="Times New Roman"/>
      <w:sz w:val="24"/>
      <w:lang w:eastAsia="en-AU"/>
    </w:rPr>
  </w:style>
  <w:style w:type="paragraph" w:customStyle="1" w:styleId="pf1">
    <w:name w:val="pf1"/>
    <w:basedOn w:val="Normal"/>
    <w:rsid w:val="00FF302D"/>
    <w:pPr>
      <w:spacing w:before="100" w:beforeAutospacing="1" w:after="100" w:afterAutospacing="1"/>
      <w:ind w:left="1440"/>
      <w:jc w:val="left"/>
    </w:pPr>
    <w:rPr>
      <w:rFonts w:eastAsia="Times New Roman" w:cs="Times New Roman"/>
      <w:sz w:val="24"/>
      <w:lang w:eastAsia="en-AU"/>
    </w:rPr>
  </w:style>
  <w:style w:type="character" w:customStyle="1" w:styleId="normaltextrun">
    <w:name w:val="normaltextrun"/>
    <w:basedOn w:val="DefaultParagraphFont"/>
    <w:rsid w:val="00FF302D"/>
  </w:style>
  <w:style w:type="character" w:customStyle="1" w:styleId="eop">
    <w:name w:val="eop"/>
    <w:basedOn w:val="DefaultParagraphFont"/>
    <w:rsid w:val="00FF302D"/>
  </w:style>
  <w:style w:type="paragraph" w:customStyle="1" w:styleId="QuoteTLRI">
    <w:name w:val="Quote TLRI"/>
    <w:basedOn w:val="Normal"/>
    <w:rsid w:val="00FF302D"/>
    <w:pPr>
      <w:ind w:left="851" w:right="851"/>
    </w:pPr>
    <w:rPr>
      <w:rFonts w:eastAsia="Times" w:cs="Times New Roman"/>
      <w:sz w:val="20"/>
      <w:szCs w:val="20"/>
    </w:rPr>
  </w:style>
  <w:style w:type="paragraph" w:customStyle="1" w:styleId="PartHeading">
    <w:name w:val="Part Heading"/>
    <w:basedOn w:val="PartHeadingTLRI"/>
    <w:link w:val="PartHeadingChar"/>
    <w:rsid w:val="00FF302D"/>
    <w:pPr>
      <w:spacing w:before="600" w:after="720"/>
    </w:pPr>
    <w:rPr>
      <w:rFonts w:cs="Arial"/>
      <w:sz w:val="36"/>
      <w:szCs w:val="36"/>
    </w:rPr>
  </w:style>
  <w:style w:type="character" w:customStyle="1" w:styleId="PartHeadingChar">
    <w:name w:val="Part Heading Char"/>
    <w:basedOn w:val="PartHeadingTLRIChar"/>
    <w:link w:val="PartHeading"/>
    <w:rsid w:val="00FF302D"/>
    <w:rPr>
      <w:rFonts w:ascii="Times New Roman" w:eastAsia="Times" w:hAnsi="Times New Roman"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header" Target="header17.xml"/><Relationship Id="rId21" Type="http://schemas.openxmlformats.org/officeDocument/2006/relationships/header" Target="header5.xml"/><Relationship Id="rId34" Type="http://schemas.openxmlformats.org/officeDocument/2006/relationships/diagramLayout" Target="diagrams/layout1.xml"/><Relationship Id="rId42" Type="http://schemas.openxmlformats.org/officeDocument/2006/relationships/header" Target="header2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5.xml"/><Relationship Id="rId37" Type="http://schemas.microsoft.com/office/2007/relationships/diagramDrawing" Target="diagrams/drawing1.xml"/><Relationship Id="rId40" Type="http://schemas.openxmlformats.org/officeDocument/2006/relationships/header" Target="header18.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diagramQuickStyle" Target="diagrams/quickStyle1.xml"/><Relationship Id="rId43" Type="http://schemas.openxmlformats.org/officeDocument/2006/relationships/header" Target="header2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human.ethics@utas.edu.au" TargetMode="External"/><Relationship Id="rId25" Type="http://schemas.openxmlformats.org/officeDocument/2006/relationships/header" Target="header9.xml"/><Relationship Id="rId33" Type="http://schemas.openxmlformats.org/officeDocument/2006/relationships/diagramData" Target="diagrams/data1.xml"/><Relationship Id="rId38" Type="http://schemas.openxmlformats.org/officeDocument/2006/relationships/header" Target="header16.xml"/><Relationship Id="rId20" Type="http://schemas.openxmlformats.org/officeDocument/2006/relationships/footer" Target="footer4.xml"/><Relationship Id="rId41" Type="http://schemas.openxmlformats.org/officeDocument/2006/relationships/header" Target="header19.xml"/></Relationships>
</file>

<file path=word/_rels/footnotes.xml.rels><?xml version="1.0" encoding="UTF-8" standalone="yes"?>
<Relationships xmlns="http://schemas.openxmlformats.org/package/2006/relationships"><Relationship Id="rId13" Type="http://schemas.openxmlformats.org/officeDocument/2006/relationships/hyperlink" Target="http://www.gazette.tas.gov.au/editions" TargetMode="External"/><Relationship Id="rId18" Type="http://schemas.openxmlformats.org/officeDocument/2006/relationships/hyperlink" Target="https://www.vcat.vic.gov.au/case-types/privacy-and-health-records/information-privacy-complaints" TargetMode="External"/><Relationship Id="rId26" Type="http://schemas.openxmlformats.org/officeDocument/2006/relationships/hyperlink" Target="https://www.publications.qld.gov.au/ckan-publications-attachments-prod/resources/7326cb08-a3da-451c-8c48-dc08ea9dcc6d/consultation-paper-proposed-changes-qld-ip-rti-framework.pdf?ETag=f9671bcc9b57d55cc316d1c803234761" TargetMode="External"/><Relationship Id="rId39" Type="http://schemas.openxmlformats.org/officeDocument/2006/relationships/hyperlink" Target="https://www.parliament.tas.gov.au/Bills/Bills2017/62_of_2017.html" TargetMode="External"/><Relationship Id="rId21" Type="http://schemas.openxmlformats.org/officeDocument/2006/relationships/hyperlink" Target="https://www.oaic.gov.au/privacy/guidance-and-advice/guide-to-undertaking-privacy-impact-assessments" TargetMode="External"/><Relationship Id="rId34" Type="http://schemas.openxmlformats.org/officeDocument/2006/relationships/hyperlink" Target="https://www.pc.gov.au/inquiries/completed/data-access/report" TargetMode="External"/><Relationship Id="rId42" Type="http://schemas.openxmlformats.org/officeDocument/2006/relationships/hyperlink" Target="https://www.dpc.sa.gov.au/resources-and-publications/premier-and-cabinet-circulars/DPC-Circular-Information-Privacy-Principles-IPPS-Instruction.pdf" TargetMode="External"/><Relationship Id="rId7" Type="http://schemas.openxmlformats.org/officeDocument/2006/relationships/hyperlink" Target="https://www.oaic.gov.au/engage-with-us/submissions/privacy-act-review-issues-paper-submission/part-2-definition-of-personal-information" TargetMode="External"/><Relationship Id="rId2" Type="http://schemas.openxmlformats.org/officeDocument/2006/relationships/hyperlink" Target="https://www.ag.gov.au/integrity/publications/review-privacy-act-1988-terms-reference" TargetMode="External"/><Relationship Id="rId16" Type="http://schemas.openxmlformats.org/officeDocument/2006/relationships/hyperlink" Target="https://www.commissionofinquiry.tas.gov.au/__data/assets/file/0011/724439/COI_Full-Report.pdf" TargetMode="External"/><Relationship Id="rId20" Type="http://schemas.openxmlformats.org/officeDocument/2006/relationships/hyperlink" Target="https://www.oaic.gov.au/privacy/privacy-registers/privacy-codes-register/" TargetMode="External"/><Relationship Id="rId29" Type="http://schemas.openxmlformats.org/officeDocument/2006/relationships/hyperlink" Target="https://www.ipc.nsw.gov.au/sites/default/files/2021-03/Guide_Data_Sharing_and_Privacy_July_2020.pdf" TargetMode="External"/><Relationship Id="rId41" Type="http://schemas.openxmlformats.org/officeDocument/2006/relationships/hyperlink" Target="https://archives.sa.gov.au/general-information/privacy-committee/privacy-committee-sa" TargetMode="External"/><Relationship Id="rId1" Type="http://schemas.openxmlformats.org/officeDocument/2006/relationships/hyperlink" Target="https://www.ag.gov.au/sites/default/files/2023-02/privacy-act-review-report_0.pdf" TargetMode="External"/><Relationship Id="rId6" Type="http://schemas.openxmlformats.org/officeDocument/2006/relationships/hyperlink" Target="https://www.oaic.gov.au/privacy/australian-privacy-principles/australian-privacy-principles-guidelines/chapter-b-key-concepts" TargetMode="External"/><Relationship Id="rId11" Type="http://schemas.openxmlformats.org/officeDocument/2006/relationships/hyperlink" Target="https://www.ag.gov.au/about-us/publications/standing-council-attorneys-general-communiques" TargetMode="External"/><Relationship Id="rId24" Type="http://schemas.openxmlformats.org/officeDocument/2006/relationships/hyperlink" Target="https://ovic.vic.gov.au/privacy/resources-for-organisations/privacy-impact-assessment/" TargetMode="External"/><Relationship Id="rId32" Type="http://schemas.openxmlformats.org/officeDocument/2006/relationships/hyperlink" Target="https://www.ipc.nsw.gov.au/sites/default/files/2021-03/Guide_Data_Sharing_and_Privacy_July_2020.pdf" TargetMode="External"/><Relationship Id="rId37" Type="http://schemas.openxmlformats.org/officeDocument/2006/relationships/hyperlink" Target="https://www.ag.gov.au/national-security/consultations/comprehensive-review-legal-framework-governing-national-intelligence-community" TargetMode="External"/><Relationship Id="rId40" Type="http://schemas.openxmlformats.org/officeDocument/2006/relationships/hyperlink" Target="https://www.healthcomplaints.tas.gov.au/about-us" TargetMode="External"/><Relationship Id="rId5" Type="http://schemas.openxmlformats.org/officeDocument/2006/relationships/hyperlink" Target="https://www.oaic.gov.au/privacy/guidance-and-advice/what-is-personal-information/" TargetMode="External"/><Relationship Id="rId15" Type="http://schemas.openxmlformats.org/officeDocument/2006/relationships/hyperlink" Target="https://commission.europa.eu/law/law-topic/data-protection/reform/rules-business-and-organisations/obligations/what-does-data-protection-design-and-default-mean_en" TargetMode="External"/><Relationship Id="rId23" Type="http://schemas.openxmlformats.org/officeDocument/2006/relationships/hyperlink" Target="https://www.ipc.nsw.gov.au/privacy/nsw-privacy-laws/privacy-codes-practice" TargetMode="External"/><Relationship Id="rId28" Type="http://schemas.openxmlformats.org/officeDocument/2006/relationships/hyperlink" Target="https://www.dpac.tas.gov.au/__data/assets/pdf_file/0026/136934/TSSR_Final_Report.pdf" TargetMode="External"/><Relationship Id="rId36" Type="http://schemas.openxmlformats.org/officeDocument/2006/relationships/hyperlink" Target="https://www.ag.gov.au/crime/telecommunications-interception-and-surveillance/reform-australias-electronic-surveillance-framework" TargetMode="External"/><Relationship Id="rId10" Type="http://schemas.openxmlformats.org/officeDocument/2006/relationships/hyperlink" Target="https://www.ag.gov.au/about-us/who-we-are/committees-and-councils/meeting-attorneys-general" TargetMode="External"/><Relationship Id="rId19" Type="http://schemas.openxmlformats.org/officeDocument/2006/relationships/hyperlink" Target="https://ovic.vic.gov.au/regulatory-action/regulatory-action-policy/" TargetMode="External"/><Relationship Id="rId31" Type="http://schemas.openxmlformats.org/officeDocument/2006/relationships/hyperlink" Target="http://www.dpac.tas.gov.au/divisions/digital_strategy_and_services/policies/digital_data_privacy/adept" TargetMode="External"/><Relationship Id="rId4" Type="http://schemas.openxmlformats.org/officeDocument/2006/relationships/hyperlink" Target="https://www.ag.gov.au/sites/default/files/2023-09/government-response-privacy-act-review-report.PDF" TargetMode="External"/><Relationship Id="rId9" Type="http://schemas.openxmlformats.org/officeDocument/2006/relationships/hyperlink" Target="https://www.ag.gov.au/about-us/publications/council-attorneys-general-communique-july-2020" TargetMode="External"/><Relationship Id="rId14" Type="http://schemas.openxmlformats.org/officeDocument/2006/relationships/hyperlink" Target="http://www.gazette.tas.gov.au/editions/2020/november_2020/22037_-_Gazette_25_November_2020.pdf" TargetMode="External"/><Relationship Id="rId22" Type="http://schemas.openxmlformats.org/officeDocument/2006/relationships/hyperlink" Target="https://ovic.vic.gov.au/privacy/resources-for-organisations/privacy-officer-toolkit/the-pdp-act-a-deep-dive/" TargetMode="External"/><Relationship Id="rId27" Type="http://schemas.openxmlformats.org/officeDocument/2006/relationships/hyperlink" Target="https://www.oaic.gov.au/freedom-of-information/freedom-of-information-guidance-for-government-agencies/foi-guidelines/part-6-conditional-exemptions" TargetMode="External"/><Relationship Id="rId30" Type="http://schemas.openxmlformats.org/officeDocument/2006/relationships/hyperlink" Target="https://www.dpac.tas.gov.au/divisions/digital_strategy_and_services/policies/digital_data_privacy" TargetMode="External"/><Relationship Id="rId35" Type="http://schemas.openxmlformats.org/officeDocument/2006/relationships/hyperlink" Target="https://www.drones.gov.au/policies-and-programs/policies/privacy-policy" TargetMode="External"/><Relationship Id="rId43" Type="http://schemas.openxmlformats.org/officeDocument/2006/relationships/hyperlink" Target="https://www.hcscc.sa.gov.au/hcscc-charter-of-rights/" TargetMode="External"/><Relationship Id="rId8" Type="http://schemas.openxmlformats.org/officeDocument/2006/relationships/hyperlink" Target="https://www.ag.gov.au/about-us/publications/standing-council-attorneys-general-communiques" TargetMode="External"/><Relationship Id="rId3" Type="http://schemas.openxmlformats.org/officeDocument/2006/relationships/hyperlink" Target="https://www.ag.gov.au/integrity/consultations/review-privacy-act-1988" TargetMode="External"/><Relationship Id="rId12" Type="http://schemas.openxmlformats.org/officeDocument/2006/relationships/hyperlink" Target="https://www.ag.gov.au/about-us/publications/standing-council-attorneys-general-communiques" TargetMode="External"/><Relationship Id="rId17" Type="http://schemas.openxmlformats.org/officeDocument/2006/relationships/hyperlink" Target="https://www.oaic.gov.au/privacy/privacy-registers/privacy-codes-register/australian-government-agencies-privacy-code/" TargetMode="External"/><Relationship Id="rId25" Type="http://schemas.openxmlformats.org/officeDocument/2006/relationships/hyperlink" Target="https://www.ipc.nsw.gov.au/sites/default/files/2021-03/Guide_to_Privacy_Impact_Assessments_May_2020.pdf" TargetMode="External"/><Relationship Id="rId33" Type="http://schemas.openxmlformats.org/officeDocument/2006/relationships/hyperlink" Target="https://ovic.vic.gov.au/privacy/resources-for-organisations/information-sharing-and-privacy/" TargetMode="External"/><Relationship Id="rId38" Type="http://schemas.openxmlformats.org/officeDocument/2006/relationships/hyperlink" Target="https://www.police.tas.gov.au/uploads/Review-of-Surveillance-Devicesin-Prisons-Terms-of-Reference-November-202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ox\Downloads\Design%20style%20set%20for%20TLRI.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262095-E7B3-E444-948E-1CF8117186E7}" type="doc">
      <dgm:prSet loTypeId="urn:microsoft.com/office/officeart/2005/8/layout/hierarchy2" loCatId="" qsTypeId="urn:microsoft.com/office/officeart/2005/8/quickstyle/simple1" qsCatId="simple" csTypeId="urn:microsoft.com/office/officeart/2005/8/colors/accent1_2" csCatId="accent1" phldr="1"/>
      <dgm:spPr/>
      <dgm:t>
        <a:bodyPr/>
        <a:lstStyle/>
        <a:p>
          <a:endParaRPr lang="en-GB"/>
        </a:p>
      </dgm:t>
    </dgm:pt>
    <dgm:pt modelId="{DE783939-9B87-6649-909D-CE8258F5931D}">
      <dgm:prSet phldrT="[Text]" custT="1"/>
      <dgm:spPr>
        <a:solidFill>
          <a:schemeClr val="bg2">
            <a:lumMod val="90000"/>
          </a:schemeClr>
        </a:solidFill>
      </dgm:spPr>
      <dgm:t>
        <a:bodyPr/>
        <a:lstStyle/>
        <a:p>
          <a:r>
            <a:rPr lang="en-GB" sz="1050">
              <a:solidFill>
                <a:schemeClr val="tx1"/>
              </a:solidFill>
            </a:rPr>
            <a:t>Suspicion of data breach</a:t>
          </a:r>
        </a:p>
      </dgm:t>
    </dgm:pt>
    <dgm:pt modelId="{194A1E0C-B870-1C46-ABA8-0B7CB9F9FFA8}" type="parTrans" cxnId="{4FC6D260-3A76-DC40-B099-BEA5EBCA0C6B}">
      <dgm:prSet/>
      <dgm:spPr/>
      <dgm:t>
        <a:bodyPr/>
        <a:lstStyle/>
        <a:p>
          <a:endParaRPr lang="en-GB"/>
        </a:p>
      </dgm:t>
    </dgm:pt>
    <dgm:pt modelId="{B97AF536-122D-7E42-A506-F15BCFB4EF9D}" type="sibTrans" cxnId="{4FC6D260-3A76-DC40-B099-BEA5EBCA0C6B}">
      <dgm:prSet/>
      <dgm:spPr/>
      <dgm:t>
        <a:bodyPr/>
        <a:lstStyle/>
        <a:p>
          <a:endParaRPr lang="en-GB"/>
        </a:p>
      </dgm:t>
    </dgm:pt>
    <dgm:pt modelId="{369BE168-1D3F-DB4A-8E20-6A9E69EC4D52}">
      <dgm:prSet phldrT="[Text]" custT="1"/>
      <dgm:spPr>
        <a:solidFill>
          <a:schemeClr val="bg2">
            <a:lumMod val="90000"/>
          </a:schemeClr>
        </a:solidFill>
      </dgm:spPr>
      <dgm:t>
        <a:bodyPr/>
        <a:lstStyle/>
        <a:p>
          <a:r>
            <a:rPr lang="en-GB" sz="1050">
              <a:solidFill>
                <a:schemeClr val="tx1"/>
              </a:solidFill>
            </a:rPr>
            <a:t>Entity conducts assessment </a:t>
          </a:r>
        </a:p>
        <a:p>
          <a:r>
            <a:rPr lang="en-GB" sz="1050">
              <a:solidFill>
                <a:schemeClr val="tx1"/>
              </a:solidFill>
            </a:rPr>
            <a:t>(&lt; 30 days</a:t>
          </a:r>
          <a:r>
            <a:rPr lang="en-GB" sz="1100">
              <a:solidFill>
                <a:schemeClr val="tx1"/>
              </a:solidFill>
            </a:rPr>
            <a:t>)</a:t>
          </a:r>
        </a:p>
      </dgm:t>
    </dgm:pt>
    <dgm:pt modelId="{8D03E47B-459A-8643-97DD-EF9100DEA02B}" type="parTrans" cxnId="{3DFB15A9-2858-504A-865A-0E80E0E8E7A3}">
      <dgm:prSet/>
      <dgm:spPr>
        <a:ln>
          <a:solidFill>
            <a:schemeClr val="tx1"/>
          </a:solidFill>
        </a:ln>
      </dgm:spPr>
      <dgm:t>
        <a:bodyPr/>
        <a:lstStyle/>
        <a:p>
          <a:endParaRPr lang="en-GB"/>
        </a:p>
      </dgm:t>
    </dgm:pt>
    <dgm:pt modelId="{7D53EA1B-5B44-C349-A62A-5A37FDE5D333}" type="sibTrans" cxnId="{3DFB15A9-2858-504A-865A-0E80E0E8E7A3}">
      <dgm:prSet/>
      <dgm:spPr/>
      <dgm:t>
        <a:bodyPr/>
        <a:lstStyle/>
        <a:p>
          <a:endParaRPr lang="en-GB"/>
        </a:p>
      </dgm:t>
    </dgm:pt>
    <dgm:pt modelId="{FC66FDF9-C28A-E843-ABB2-7A6B70B08904}">
      <dgm:prSet phldrT="[Text]" custT="1"/>
      <dgm:spPr>
        <a:solidFill>
          <a:schemeClr val="bg2">
            <a:lumMod val="50000"/>
          </a:schemeClr>
        </a:solidFill>
      </dgm:spPr>
      <dgm:t>
        <a:bodyPr/>
        <a:lstStyle/>
        <a:p>
          <a:r>
            <a:rPr lang="en-GB" sz="1050"/>
            <a:t>No breach</a:t>
          </a:r>
        </a:p>
      </dgm:t>
    </dgm:pt>
    <dgm:pt modelId="{97B12AFC-1519-A149-8E83-1C7CB2BB24DC}" type="parTrans" cxnId="{2C77DA11-246B-DB49-95E4-3E0705078A75}">
      <dgm:prSet/>
      <dgm:spPr>
        <a:ln>
          <a:solidFill>
            <a:schemeClr val="tx1"/>
          </a:solidFill>
        </a:ln>
      </dgm:spPr>
      <dgm:t>
        <a:bodyPr/>
        <a:lstStyle/>
        <a:p>
          <a:endParaRPr lang="en-GB"/>
        </a:p>
      </dgm:t>
    </dgm:pt>
    <dgm:pt modelId="{BE44AB8A-CFE3-694D-9AAB-CE552547DE3D}" type="sibTrans" cxnId="{2C77DA11-246B-DB49-95E4-3E0705078A75}">
      <dgm:prSet/>
      <dgm:spPr/>
      <dgm:t>
        <a:bodyPr/>
        <a:lstStyle/>
        <a:p>
          <a:endParaRPr lang="en-GB"/>
        </a:p>
      </dgm:t>
    </dgm:pt>
    <dgm:pt modelId="{CF1AAF9F-D431-6F4D-8509-56110D3F37EF}">
      <dgm:prSet custT="1"/>
      <dgm:spPr>
        <a:solidFill>
          <a:schemeClr val="bg2">
            <a:lumMod val="25000"/>
          </a:schemeClr>
        </a:solidFill>
      </dgm:spPr>
      <dgm:t>
        <a:bodyPr/>
        <a:lstStyle/>
        <a:p>
          <a:r>
            <a:rPr lang="en-GB" sz="1050"/>
            <a:t>Belief that data breach occured</a:t>
          </a:r>
        </a:p>
      </dgm:t>
    </dgm:pt>
    <dgm:pt modelId="{8B5DAA77-1A61-134A-B24B-B472EF5DDE30}" type="parTrans" cxnId="{03CA2D66-C81F-8B4A-8DA8-C359133366B0}">
      <dgm:prSet/>
      <dgm:spPr>
        <a:ln>
          <a:solidFill>
            <a:schemeClr val="tx1"/>
          </a:solidFill>
        </a:ln>
      </dgm:spPr>
      <dgm:t>
        <a:bodyPr/>
        <a:lstStyle/>
        <a:p>
          <a:endParaRPr lang="en-GB"/>
        </a:p>
      </dgm:t>
    </dgm:pt>
    <dgm:pt modelId="{E00A4D23-3A38-A244-947B-CBF11BAB4B7D}" type="sibTrans" cxnId="{03CA2D66-C81F-8B4A-8DA8-C359133366B0}">
      <dgm:prSet/>
      <dgm:spPr/>
      <dgm:t>
        <a:bodyPr/>
        <a:lstStyle/>
        <a:p>
          <a:endParaRPr lang="en-GB"/>
        </a:p>
      </dgm:t>
    </dgm:pt>
    <dgm:pt modelId="{E86444C5-DE06-374F-90E4-D0A13AC957E9}">
      <dgm:prSet custT="1"/>
      <dgm:spPr>
        <a:solidFill>
          <a:schemeClr val="bg2">
            <a:lumMod val="25000"/>
          </a:schemeClr>
        </a:solidFill>
      </dgm:spPr>
      <dgm:t>
        <a:bodyPr/>
        <a:lstStyle/>
        <a:p>
          <a:r>
            <a:rPr lang="en-GB" sz="1100"/>
            <a:t>Notify </a:t>
          </a:r>
          <a:r>
            <a:rPr lang="en-GB" sz="1050"/>
            <a:t>Commissioner</a:t>
          </a:r>
          <a:endParaRPr lang="en-GB" sz="1100"/>
        </a:p>
      </dgm:t>
    </dgm:pt>
    <dgm:pt modelId="{11BEA177-C1A5-CD44-9154-A03008BC330F}" type="parTrans" cxnId="{48404083-32CA-F34D-87E3-768AD14FA4A8}">
      <dgm:prSet/>
      <dgm:spPr/>
      <dgm:t>
        <a:bodyPr/>
        <a:lstStyle/>
        <a:p>
          <a:endParaRPr lang="en-GB"/>
        </a:p>
      </dgm:t>
    </dgm:pt>
    <dgm:pt modelId="{63C002F1-6FF1-1E48-A7AE-2B350CCA8F0E}" type="sibTrans" cxnId="{48404083-32CA-F34D-87E3-768AD14FA4A8}">
      <dgm:prSet/>
      <dgm:spPr/>
      <dgm:t>
        <a:bodyPr/>
        <a:lstStyle/>
        <a:p>
          <a:endParaRPr lang="en-GB"/>
        </a:p>
      </dgm:t>
    </dgm:pt>
    <dgm:pt modelId="{0434040B-5CA7-164E-97D0-861D608CEF26}">
      <dgm:prSet custT="1"/>
      <dgm:spPr>
        <a:solidFill>
          <a:schemeClr val="bg2">
            <a:lumMod val="25000"/>
          </a:schemeClr>
        </a:solidFill>
      </dgm:spPr>
      <dgm:t>
        <a:bodyPr/>
        <a:lstStyle/>
        <a:p>
          <a:r>
            <a:rPr lang="en-GB" sz="1050"/>
            <a:t>Notify individuals</a:t>
          </a:r>
        </a:p>
      </dgm:t>
    </dgm:pt>
    <dgm:pt modelId="{1374015F-C90C-904D-BA25-DEA0A80CCCE5}" type="parTrans" cxnId="{8272A824-F535-B547-9EBF-52EEDED06570}">
      <dgm:prSet/>
      <dgm:spPr>
        <a:ln>
          <a:solidFill>
            <a:schemeClr val="tx1"/>
          </a:solidFill>
        </a:ln>
      </dgm:spPr>
      <dgm:t>
        <a:bodyPr/>
        <a:lstStyle/>
        <a:p>
          <a:endParaRPr lang="en-GB"/>
        </a:p>
      </dgm:t>
    </dgm:pt>
    <dgm:pt modelId="{EABF9804-4C55-694E-9D21-5F53B0F2C32A}" type="sibTrans" cxnId="{8272A824-F535-B547-9EBF-52EEDED06570}">
      <dgm:prSet/>
      <dgm:spPr/>
      <dgm:t>
        <a:bodyPr/>
        <a:lstStyle/>
        <a:p>
          <a:endParaRPr lang="en-GB"/>
        </a:p>
      </dgm:t>
    </dgm:pt>
    <dgm:pt modelId="{3186FCDA-3866-3A45-8757-2C83D06CEFAB}" type="pres">
      <dgm:prSet presAssocID="{81262095-E7B3-E444-948E-1CF8117186E7}" presName="diagram" presStyleCnt="0">
        <dgm:presLayoutVars>
          <dgm:chPref val="1"/>
          <dgm:dir/>
          <dgm:animOne val="branch"/>
          <dgm:animLvl val="lvl"/>
          <dgm:resizeHandles val="exact"/>
        </dgm:presLayoutVars>
      </dgm:prSet>
      <dgm:spPr/>
    </dgm:pt>
    <dgm:pt modelId="{B7164933-355E-2444-9FE4-6029D3743AB0}" type="pres">
      <dgm:prSet presAssocID="{DE783939-9B87-6649-909D-CE8258F5931D}" presName="root1" presStyleCnt="0"/>
      <dgm:spPr/>
    </dgm:pt>
    <dgm:pt modelId="{EA182363-ECE5-D444-9F30-87CABFEFC282}" type="pres">
      <dgm:prSet presAssocID="{DE783939-9B87-6649-909D-CE8258F5931D}" presName="LevelOneTextNode" presStyleLbl="node0" presStyleIdx="0" presStyleCnt="1" custScaleY="167426">
        <dgm:presLayoutVars>
          <dgm:chPref val="3"/>
        </dgm:presLayoutVars>
      </dgm:prSet>
      <dgm:spPr/>
    </dgm:pt>
    <dgm:pt modelId="{87C18A2C-AC54-F244-99D0-029D98AA609D}" type="pres">
      <dgm:prSet presAssocID="{DE783939-9B87-6649-909D-CE8258F5931D}" presName="level2hierChild" presStyleCnt="0"/>
      <dgm:spPr/>
    </dgm:pt>
    <dgm:pt modelId="{21F50101-62FA-4641-B9C6-542F56DAD154}" type="pres">
      <dgm:prSet presAssocID="{8D03E47B-459A-8643-97DD-EF9100DEA02B}" presName="conn2-1" presStyleLbl="parChTrans1D2" presStyleIdx="0" presStyleCnt="1"/>
      <dgm:spPr/>
    </dgm:pt>
    <dgm:pt modelId="{E82D43BE-69E3-4E42-A0D8-47B2DBE01F84}" type="pres">
      <dgm:prSet presAssocID="{8D03E47B-459A-8643-97DD-EF9100DEA02B}" presName="connTx" presStyleLbl="parChTrans1D2" presStyleIdx="0" presStyleCnt="1"/>
      <dgm:spPr/>
    </dgm:pt>
    <dgm:pt modelId="{504C12F5-9D75-0942-B715-0E115E6BD94E}" type="pres">
      <dgm:prSet presAssocID="{369BE168-1D3F-DB4A-8E20-6A9E69EC4D52}" presName="root2" presStyleCnt="0"/>
      <dgm:spPr/>
    </dgm:pt>
    <dgm:pt modelId="{DA356EE7-DCAC-4042-921E-5D78770903D9}" type="pres">
      <dgm:prSet presAssocID="{369BE168-1D3F-DB4A-8E20-6A9E69EC4D52}" presName="LevelTwoTextNode" presStyleLbl="node2" presStyleIdx="0" presStyleCnt="1" custScaleY="173414" custLinFactNeighborX="-24930">
        <dgm:presLayoutVars>
          <dgm:chPref val="3"/>
        </dgm:presLayoutVars>
      </dgm:prSet>
      <dgm:spPr/>
    </dgm:pt>
    <dgm:pt modelId="{1CBA4613-F71E-ED44-9395-4ADBAB2262B6}" type="pres">
      <dgm:prSet presAssocID="{369BE168-1D3F-DB4A-8E20-6A9E69EC4D52}" presName="level3hierChild" presStyleCnt="0"/>
      <dgm:spPr/>
    </dgm:pt>
    <dgm:pt modelId="{1FDF6499-7F4C-C84D-91F9-B1817915405A}" type="pres">
      <dgm:prSet presAssocID="{97B12AFC-1519-A149-8E83-1C7CB2BB24DC}" presName="conn2-1" presStyleLbl="parChTrans1D3" presStyleIdx="0" presStyleCnt="2"/>
      <dgm:spPr/>
    </dgm:pt>
    <dgm:pt modelId="{34EE3CF7-A82B-804D-9F2F-3847817A2C58}" type="pres">
      <dgm:prSet presAssocID="{97B12AFC-1519-A149-8E83-1C7CB2BB24DC}" presName="connTx" presStyleLbl="parChTrans1D3" presStyleIdx="0" presStyleCnt="2"/>
      <dgm:spPr/>
    </dgm:pt>
    <dgm:pt modelId="{D7B9DFAD-99E9-5F42-9A1E-E4FAA697712F}" type="pres">
      <dgm:prSet presAssocID="{FC66FDF9-C28A-E843-ABB2-7A6B70B08904}" presName="root2" presStyleCnt="0"/>
      <dgm:spPr/>
    </dgm:pt>
    <dgm:pt modelId="{D192FA64-133E-C449-A72C-2ABC3457F697}" type="pres">
      <dgm:prSet presAssocID="{FC66FDF9-C28A-E843-ABB2-7A6B70B08904}" presName="LevelTwoTextNode" presStyleLbl="node3" presStyleIdx="0" presStyleCnt="2" custScaleY="127811" custLinFactNeighborX="-38641">
        <dgm:presLayoutVars>
          <dgm:chPref val="3"/>
        </dgm:presLayoutVars>
      </dgm:prSet>
      <dgm:spPr/>
    </dgm:pt>
    <dgm:pt modelId="{0830F59A-A6CF-B646-8E5D-1A781FDB47AD}" type="pres">
      <dgm:prSet presAssocID="{FC66FDF9-C28A-E843-ABB2-7A6B70B08904}" presName="level3hierChild" presStyleCnt="0"/>
      <dgm:spPr/>
    </dgm:pt>
    <dgm:pt modelId="{2B861FB2-4C03-3248-939C-B82ABC0425D3}" type="pres">
      <dgm:prSet presAssocID="{8B5DAA77-1A61-134A-B24B-B472EF5DDE30}" presName="conn2-1" presStyleLbl="parChTrans1D3" presStyleIdx="1" presStyleCnt="2"/>
      <dgm:spPr/>
    </dgm:pt>
    <dgm:pt modelId="{1B28D248-45B7-7443-AA24-59E887CAE399}" type="pres">
      <dgm:prSet presAssocID="{8B5DAA77-1A61-134A-B24B-B472EF5DDE30}" presName="connTx" presStyleLbl="parChTrans1D3" presStyleIdx="1" presStyleCnt="2"/>
      <dgm:spPr/>
    </dgm:pt>
    <dgm:pt modelId="{CBBA3D8E-583C-D646-98B6-827D52D654C3}" type="pres">
      <dgm:prSet presAssocID="{CF1AAF9F-D431-6F4D-8509-56110D3F37EF}" presName="root2" presStyleCnt="0"/>
      <dgm:spPr/>
    </dgm:pt>
    <dgm:pt modelId="{EC1D0A2A-BDA0-9741-B9AB-A1FD0801BD35}" type="pres">
      <dgm:prSet presAssocID="{CF1AAF9F-D431-6F4D-8509-56110D3F37EF}" presName="LevelTwoTextNode" presStyleLbl="node3" presStyleIdx="1" presStyleCnt="2" custScaleY="152183" custLinFactNeighborX="-37394" custLinFactNeighborY="7479">
        <dgm:presLayoutVars>
          <dgm:chPref val="3"/>
        </dgm:presLayoutVars>
      </dgm:prSet>
      <dgm:spPr/>
    </dgm:pt>
    <dgm:pt modelId="{7B53082A-DAAC-1B4B-9A1B-B09DC38F4CD1}" type="pres">
      <dgm:prSet presAssocID="{CF1AAF9F-D431-6F4D-8509-56110D3F37EF}" presName="level3hierChild" presStyleCnt="0"/>
      <dgm:spPr/>
    </dgm:pt>
    <dgm:pt modelId="{978E157F-5E31-1C40-9792-A939B6F9A9F8}" type="pres">
      <dgm:prSet presAssocID="{11BEA177-C1A5-CD44-9154-A03008BC330F}" presName="conn2-1" presStyleLbl="parChTrans1D4" presStyleIdx="0" presStyleCnt="2"/>
      <dgm:spPr/>
    </dgm:pt>
    <dgm:pt modelId="{05D81B89-1627-8644-A30C-367C4391D612}" type="pres">
      <dgm:prSet presAssocID="{11BEA177-C1A5-CD44-9154-A03008BC330F}" presName="connTx" presStyleLbl="parChTrans1D4" presStyleIdx="0" presStyleCnt="2"/>
      <dgm:spPr/>
    </dgm:pt>
    <dgm:pt modelId="{1E58C473-090B-A841-B701-EBF156A9B468}" type="pres">
      <dgm:prSet presAssocID="{E86444C5-DE06-374F-90E4-D0A13AC957E9}" presName="root2" presStyleCnt="0"/>
      <dgm:spPr/>
    </dgm:pt>
    <dgm:pt modelId="{BBAB8C65-A2A9-9340-910F-0E4F87D66D73}" type="pres">
      <dgm:prSet presAssocID="{E86444C5-DE06-374F-90E4-D0A13AC957E9}" presName="LevelTwoTextNode" presStyleLbl="node4" presStyleIdx="0" presStyleCnt="2" custScaleY="127811" custLinFactNeighborX="-44982" custLinFactNeighborY="11164">
        <dgm:presLayoutVars>
          <dgm:chPref val="3"/>
        </dgm:presLayoutVars>
      </dgm:prSet>
      <dgm:spPr/>
    </dgm:pt>
    <dgm:pt modelId="{59422E59-C787-A346-BDDE-42BB5AC944FF}" type="pres">
      <dgm:prSet presAssocID="{E86444C5-DE06-374F-90E4-D0A13AC957E9}" presName="level3hierChild" presStyleCnt="0"/>
      <dgm:spPr/>
    </dgm:pt>
    <dgm:pt modelId="{158DFB88-AFA9-8846-9762-065F92E00F55}" type="pres">
      <dgm:prSet presAssocID="{1374015F-C90C-904D-BA25-DEA0A80CCCE5}" presName="conn2-1" presStyleLbl="parChTrans1D4" presStyleIdx="1" presStyleCnt="2"/>
      <dgm:spPr/>
    </dgm:pt>
    <dgm:pt modelId="{F21DE7F1-751F-7647-950D-A4C9F0B622A3}" type="pres">
      <dgm:prSet presAssocID="{1374015F-C90C-904D-BA25-DEA0A80CCCE5}" presName="connTx" presStyleLbl="parChTrans1D4" presStyleIdx="1" presStyleCnt="2"/>
      <dgm:spPr/>
    </dgm:pt>
    <dgm:pt modelId="{A3CCCA02-0E83-674E-8991-CB8E9A9A88C8}" type="pres">
      <dgm:prSet presAssocID="{0434040B-5CA7-164E-97D0-861D608CEF26}" presName="root2" presStyleCnt="0"/>
      <dgm:spPr/>
    </dgm:pt>
    <dgm:pt modelId="{8451C620-4C46-D341-B613-888B545790D6}" type="pres">
      <dgm:prSet presAssocID="{0434040B-5CA7-164E-97D0-861D608CEF26}" presName="LevelTwoTextNode" presStyleLbl="node4" presStyleIdx="1" presStyleCnt="2" custScaleY="127811" custLinFactNeighborX="-61890" custLinFactNeighborY="16548">
        <dgm:presLayoutVars>
          <dgm:chPref val="3"/>
        </dgm:presLayoutVars>
      </dgm:prSet>
      <dgm:spPr/>
    </dgm:pt>
    <dgm:pt modelId="{EF06D3AA-BB99-074E-9CB6-2A3A01C3C27D}" type="pres">
      <dgm:prSet presAssocID="{0434040B-5CA7-164E-97D0-861D608CEF26}" presName="level3hierChild" presStyleCnt="0"/>
      <dgm:spPr/>
    </dgm:pt>
  </dgm:ptLst>
  <dgm:cxnLst>
    <dgm:cxn modelId="{AC154802-9800-3D4D-AAA2-29A4EB9B595C}" type="presOf" srcId="{8D03E47B-459A-8643-97DD-EF9100DEA02B}" destId="{E82D43BE-69E3-4E42-A0D8-47B2DBE01F84}" srcOrd="1" destOrd="0" presId="urn:microsoft.com/office/officeart/2005/8/layout/hierarchy2"/>
    <dgm:cxn modelId="{C2E1D004-A7E7-584D-BF17-59AC79AEBD57}" type="presOf" srcId="{1374015F-C90C-904D-BA25-DEA0A80CCCE5}" destId="{F21DE7F1-751F-7647-950D-A4C9F0B622A3}" srcOrd="1" destOrd="0" presId="urn:microsoft.com/office/officeart/2005/8/layout/hierarchy2"/>
    <dgm:cxn modelId="{8CCCAB0D-C76F-7241-B4E4-3C01438B005C}" type="presOf" srcId="{FC66FDF9-C28A-E843-ABB2-7A6B70B08904}" destId="{D192FA64-133E-C449-A72C-2ABC3457F697}" srcOrd="0" destOrd="0" presId="urn:microsoft.com/office/officeart/2005/8/layout/hierarchy2"/>
    <dgm:cxn modelId="{2C77DA11-246B-DB49-95E4-3E0705078A75}" srcId="{369BE168-1D3F-DB4A-8E20-6A9E69EC4D52}" destId="{FC66FDF9-C28A-E843-ABB2-7A6B70B08904}" srcOrd="0" destOrd="0" parTransId="{97B12AFC-1519-A149-8E83-1C7CB2BB24DC}" sibTransId="{BE44AB8A-CFE3-694D-9AAB-CE552547DE3D}"/>
    <dgm:cxn modelId="{70BA7C1A-B5F6-1E45-8D0B-47CF481FF87B}" type="presOf" srcId="{E86444C5-DE06-374F-90E4-D0A13AC957E9}" destId="{BBAB8C65-A2A9-9340-910F-0E4F87D66D73}" srcOrd="0" destOrd="0" presId="urn:microsoft.com/office/officeart/2005/8/layout/hierarchy2"/>
    <dgm:cxn modelId="{8272A824-F535-B547-9EBF-52EEDED06570}" srcId="{E86444C5-DE06-374F-90E4-D0A13AC957E9}" destId="{0434040B-5CA7-164E-97D0-861D608CEF26}" srcOrd="0" destOrd="0" parTransId="{1374015F-C90C-904D-BA25-DEA0A80CCCE5}" sibTransId="{EABF9804-4C55-694E-9D21-5F53B0F2C32A}"/>
    <dgm:cxn modelId="{4FC6D260-3A76-DC40-B099-BEA5EBCA0C6B}" srcId="{81262095-E7B3-E444-948E-1CF8117186E7}" destId="{DE783939-9B87-6649-909D-CE8258F5931D}" srcOrd="0" destOrd="0" parTransId="{194A1E0C-B870-1C46-ABA8-0B7CB9F9FFA8}" sibTransId="{B97AF536-122D-7E42-A506-F15BCFB4EF9D}"/>
    <dgm:cxn modelId="{EE0E2D62-B93E-2F42-B575-DF7A8F6DA670}" type="presOf" srcId="{0434040B-5CA7-164E-97D0-861D608CEF26}" destId="{8451C620-4C46-D341-B613-888B545790D6}" srcOrd="0" destOrd="0" presId="urn:microsoft.com/office/officeart/2005/8/layout/hierarchy2"/>
    <dgm:cxn modelId="{03CA2D66-C81F-8B4A-8DA8-C359133366B0}" srcId="{369BE168-1D3F-DB4A-8E20-6A9E69EC4D52}" destId="{CF1AAF9F-D431-6F4D-8509-56110D3F37EF}" srcOrd="1" destOrd="0" parTransId="{8B5DAA77-1A61-134A-B24B-B472EF5DDE30}" sibTransId="{E00A4D23-3A38-A244-947B-CBF11BAB4B7D}"/>
    <dgm:cxn modelId="{D4FFC16C-E91B-9144-81C0-68D4301695DC}" type="presOf" srcId="{97B12AFC-1519-A149-8E83-1C7CB2BB24DC}" destId="{34EE3CF7-A82B-804D-9F2F-3847817A2C58}" srcOrd="1" destOrd="0" presId="urn:microsoft.com/office/officeart/2005/8/layout/hierarchy2"/>
    <dgm:cxn modelId="{AA7DA071-4066-5547-89E3-43713841C112}" type="presOf" srcId="{1374015F-C90C-904D-BA25-DEA0A80CCCE5}" destId="{158DFB88-AFA9-8846-9762-065F92E00F55}" srcOrd="0" destOrd="0" presId="urn:microsoft.com/office/officeart/2005/8/layout/hierarchy2"/>
    <dgm:cxn modelId="{846AE15A-BFA1-4E48-9F63-D913BDB74AF3}" type="presOf" srcId="{81262095-E7B3-E444-948E-1CF8117186E7}" destId="{3186FCDA-3866-3A45-8757-2C83D06CEFAB}" srcOrd="0" destOrd="0" presId="urn:microsoft.com/office/officeart/2005/8/layout/hierarchy2"/>
    <dgm:cxn modelId="{48404083-32CA-F34D-87E3-768AD14FA4A8}" srcId="{CF1AAF9F-D431-6F4D-8509-56110D3F37EF}" destId="{E86444C5-DE06-374F-90E4-D0A13AC957E9}" srcOrd="0" destOrd="0" parTransId="{11BEA177-C1A5-CD44-9154-A03008BC330F}" sibTransId="{63C002F1-6FF1-1E48-A7AE-2B350CCA8F0E}"/>
    <dgm:cxn modelId="{A5EBE596-0130-7F4D-970B-3AB8F880DA1D}" type="presOf" srcId="{8D03E47B-459A-8643-97DD-EF9100DEA02B}" destId="{21F50101-62FA-4641-B9C6-542F56DAD154}" srcOrd="0" destOrd="0" presId="urn:microsoft.com/office/officeart/2005/8/layout/hierarchy2"/>
    <dgm:cxn modelId="{2D578899-0175-FE4D-B127-49EEC510AED2}" type="presOf" srcId="{CF1AAF9F-D431-6F4D-8509-56110D3F37EF}" destId="{EC1D0A2A-BDA0-9741-B9AB-A1FD0801BD35}" srcOrd="0" destOrd="0" presId="urn:microsoft.com/office/officeart/2005/8/layout/hierarchy2"/>
    <dgm:cxn modelId="{0274FBA6-D7F5-2E45-AD51-B2BF2B94EC1F}" type="presOf" srcId="{11BEA177-C1A5-CD44-9154-A03008BC330F}" destId="{978E157F-5E31-1C40-9792-A939B6F9A9F8}" srcOrd="0" destOrd="0" presId="urn:microsoft.com/office/officeart/2005/8/layout/hierarchy2"/>
    <dgm:cxn modelId="{3DFB15A9-2858-504A-865A-0E80E0E8E7A3}" srcId="{DE783939-9B87-6649-909D-CE8258F5931D}" destId="{369BE168-1D3F-DB4A-8E20-6A9E69EC4D52}" srcOrd="0" destOrd="0" parTransId="{8D03E47B-459A-8643-97DD-EF9100DEA02B}" sibTransId="{7D53EA1B-5B44-C349-A62A-5A37FDE5D333}"/>
    <dgm:cxn modelId="{E7948FC1-5B57-2443-9446-4952E3EFB5CD}" type="presOf" srcId="{369BE168-1D3F-DB4A-8E20-6A9E69EC4D52}" destId="{DA356EE7-DCAC-4042-921E-5D78770903D9}" srcOrd="0" destOrd="0" presId="urn:microsoft.com/office/officeart/2005/8/layout/hierarchy2"/>
    <dgm:cxn modelId="{F23F64C5-DE0B-A446-BBB1-31693D1F19C6}" type="presOf" srcId="{11BEA177-C1A5-CD44-9154-A03008BC330F}" destId="{05D81B89-1627-8644-A30C-367C4391D612}" srcOrd="1" destOrd="0" presId="urn:microsoft.com/office/officeart/2005/8/layout/hierarchy2"/>
    <dgm:cxn modelId="{9132ABC6-CAF8-C846-837B-06EA3885D344}" type="presOf" srcId="{97B12AFC-1519-A149-8E83-1C7CB2BB24DC}" destId="{1FDF6499-7F4C-C84D-91F9-B1817915405A}" srcOrd="0" destOrd="0" presId="urn:microsoft.com/office/officeart/2005/8/layout/hierarchy2"/>
    <dgm:cxn modelId="{B8FADFCC-8364-E748-B911-2FCF842CCF96}" type="presOf" srcId="{DE783939-9B87-6649-909D-CE8258F5931D}" destId="{EA182363-ECE5-D444-9F30-87CABFEFC282}" srcOrd="0" destOrd="0" presId="urn:microsoft.com/office/officeart/2005/8/layout/hierarchy2"/>
    <dgm:cxn modelId="{D72269E2-DA66-434F-B11C-74BD51E15E17}" type="presOf" srcId="{8B5DAA77-1A61-134A-B24B-B472EF5DDE30}" destId="{1B28D248-45B7-7443-AA24-59E887CAE399}" srcOrd="1" destOrd="0" presId="urn:microsoft.com/office/officeart/2005/8/layout/hierarchy2"/>
    <dgm:cxn modelId="{1E5854EE-C819-9B40-9AD8-E062EC998A7F}" type="presOf" srcId="{8B5DAA77-1A61-134A-B24B-B472EF5DDE30}" destId="{2B861FB2-4C03-3248-939C-B82ABC0425D3}" srcOrd="0" destOrd="0" presId="urn:microsoft.com/office/officeart/2005/8/layout/hierarchy2"/>
    <dgm:cxn modelId="{B05C5045-846C-5247-AFBB-3EB93B37FD40}" type="presParOf" srcId="{3186FCDA-3866-3A45-8757-2C83D06CEFAB}" destId="{B7164933-355E-2444-9FE4-6029D3743AB0}" srcOrd="0" destOrd="0" presId="urn:microsoft.com/office/officeart/2005/8/layout/hierarchy2"/>
    <dgm:cxn modelId="{AE221F6A-682B-BF47-AEBB-7C5AC81C4DF2}" type="presParOf" srcId="{B7164933-355E-2444-9FE4-6029D3743AB0}" destId="{EA182363-ECE5-D444-9F30-87CABFEFC282}" srcOrd="0" destOrd="0" presId="urn:microsoft.com/office/officeart/2005/8/layout/hierarchy2"/>
    <dgm:cxn modelId="{05EA16B7-5ED5-4244-AE0F-E554847C16E3}" type="presParOf" srcId="{B7164933-355E-2444-9FE4-6029D3743AB0}" destId="{87C18A2C-AC54-F244-99D0-029D98AA609D}" srcOrd="1" destOrd="0" presId="urn:microsoft.com/office/officeart/2005/8/layout/hierarchy2"/>
    <dgm:cxn modelId="{C35FAA25-5804-CF46-9ED4-1719432A2E33}" type="presParOf" srcId="{87C18A2C-AC54-F244-99D0-029D98AA609D}" destId="{21F50101-62FA-4641-B9C6-542F56DAD154}" srcOrd="0" destOrd="0" presId="urn:microsoft.com/office/officeart/2005/8/layout/hierarchy2"/>
    <dgm:cxn modelId="{40CD80FC-7D3F-484E-9B3C-1E05762A34B3}" type="presParOf" srcId="{21F50101-62FA-4641-B9C6-542F56DAD154}" destId="{E82D43BE-69E3-4E42-A0D8-47B2DBE01F84}" srcOrd="0" destOrd="0" presId="urn:microsoft.com/office/officeart/2005/8/layout/hierarchy2"/>
    <dgm:cxn modelId="{9B60C9C5-BE97-994D-A5ED-FDB7B730B5F6}" type="presParOf" srcId="{87C18A2C-AC54-F244-99D0-029D98AA609D}" destId="{504C12F5-9D75-0942-B715-0E115E6BD94E}" srcOrd="1" destOrd="0" presId="urn:microsoft.com/office/officeart/2005/8/layout/hierarchy2"/>
    <dgm:cxn modelId="{9550FA53-3C70-2841-8E6E-C4EA592959B5}" type="presParOf" srcId="{504C12F5-9D75-0942-B715-0E115E6BD94E}" destId="{DA356EE7-DCAC-4042-921E-5D78770903D9}" srcOrd="0" destOrd="0" presId="urn:microsoft.com/office/officeart/2005/8/layout/hierarchy2"/>
    <dgm:cxn modelId="{460510FD-295E-624F-BFE6-B404D1D6CAD8}" type="presParOf" srcId="{504C12F5-9D75-0942-B715-0E115E6BD94E}" destId="{1CBA4613-F71E-ED44-9395-4ADBAB2262B6}" srcOrd="1" destOrd="0" presId="urn:microsoft.com/office/officeart/2005/8/layout/hierarchy2"/>
    <dgm:cxn modelId="{7DE9D71E-3CDC-A94B-83FC-C2A2D88B346B}" type="presParOf" srcId="{1CBA4613-F71E-ED44-9395-4ADBAB2262B6}" destId="{1FDF6499-7F4C-C84D-91F9-B1817915405A}" srcOrd="0" destOrd="0" presId="urn:microsoft.com/office/officeart/2005/8/layout/hierarchy2"/>
    <dgm:cxn modelId="{244647CD-A3ED-534C-947C-F01AA5B29490}" type="presParOf" srcId="{1FDF6499-7F4C-C84D-91F9-B1817915405A}" destId="{34EE3CF7-A82B-804D-9F2F-3847817A2C58}" srcOrd="0" destOrd="0" presId="urn:microsoft.com/office/officeart/2005/8/layout/hierarchy2"/>
    <dgm:cxn modelId="{ED81E899-0CFE-584B-A6B1-E63EADEFA35E}" type="presParOf" srcId="{1CBA4613-F71E-ED44-9395-4ADBAB2262B6}" destId="{D7B9DFAD-99E9-5F42-9A1E-E4FAA697712F}" srcOrd="1" destOrd="0" presId="urn:microsoft.com/office/officeart/2005/8/layout/hierarchy2"/>
    <dgm:cxn modelId="{AE13FDF0-D703-C04F-BECD-42A4AF3C25BF}" type="presParOf" srcId="{D7B9DFAD-99E9-5F42-9A1E-E4FAA697712F}" destId="{D192FA64-133E-C449-A72C-2ABC3457F697}" srcOrd="0" destOrd="0" presId="urn:microsoft.com/office/officeart/2005/8/layout/hierarchy2"/>
    <dgm:cxn modelId="{F5A38696-4CC3-6A48-A84C-DD6D299B5A25}" type="presParOf" srcId="{D7B9DFAD-99E9-5F42-9A1E-E4FAA697712F}" destId="{0830F59A-A6CF-B646-8E5D-1A781FDB47AD}" srcOrd="1" destOrd="0" presId="urn:microsoft.com/office/officeart/2005/8/layout/hierarchy2"/>
    <dgm:cxn modelId="{342574EC-0C4A-2C4B-934D-E5CB2706B802}" type="presParOf" srcId="{1CBA4613-F71E-ED44-9395-4ADBAB2262B6}" destId="{2B861FB2-4C03-3248-939C-B82ABC0425D3}" srcOrd="2" destOrd="0" presId="urn:microsoft.com/office/officeart/2005/8/layout/hierarchy2"/>
    <dgm:cxn modelId="{EC32C0EF-D562-9446-A3F1-F081B2DED8DF}" type="presParOf" srcId="{2B861FB2-4C03-3248-939C-B82ABC0425D3}" destId="{1B28D248-45B7-7443-AA24-59E887CAE399}" srcOrd="0" destOrd="0" presId="urn:microsoft.com/office/officeart/2005/8/layout/hierarchy2"/>
    <dgm:cxn modelId="{6997EC05-8DDD-3841-9406-468A1E911C0A}" type="presParOf" srcId="{1CBA4613-F71E-ED44-9395-4ADBAB2262B6}" destId="{CBBA3D8E-583C-D646-98B6-827D52D654C3}" srcOrd="3" destOrd="0" presId="urn:microsoft.com/office/officeart/2005/8/layout/hierarchy2"/>
    <dgm:cxn modelId="{C97645E5-9480-814F-BC52-367B96DD5ABF}" type="presParOf" srcId="{CBBA3D8E-583C-D646-98B6-827D52D654C3}" destId="{EC1D0A2A-BDA0-9741-B9AB-A1FD0801BD35}" srcOrd="0" destOrd="0" presId="urn:microsoft.com/office/officeart/2005/8/layout/hierarchy2"/>
    <dgm:cxn modelId="{F669060F-35D7-9F42-8728-7C6DE32C0E5A}" type="presParOf" srcId="{CBBA3D8E-583C-D646-98B6-827D52D654C3}" destId="{7B53082A-DAAC-1B4B-9A1B-B09DC38F4CD1}" srcOrd="1" destOrd="0" presId="urn:microsoft.com/office/officeart/2005/8/layout/hierarchy2"/>
    <dgm:cxn modelId="{1D45A3E1-5948-F74D-8DB3-592C5550263D}" type="presParOf" srcId="{7B53082A-DAAC-1B4B-9A1B-B09DC38F4CD1}" destId="{978E157F-5E31-1C40-9792-A939B6F9A9F8}" srcOrd="0" destOrd="0" presId="urn:microsoft.com/office/officeart/2005/8/layout/hierarchy2"/>
    <dgm:cxn modelId="{56354D47-C6BC-4D4F-8FEB-B473F9E7F059}" type="presParOf" srcId="{978E157F-5E31-1C40-9792-A939B6F9A9F8}" destId="{05D81B89-1627-8644-A30C-367C4391D612}" srcOrd="0" destOrd="0" presId="urn:microsoft.com/office/officeart/2005/8/layout/hierarchy2"/>
    <dgm:cxn modelId="{E0EFBD18-D6FC-B644-8003-BE4B4A16FC88}" type="presParOf" srcId="{7B53082A-DAAC-1B4B-9A1B-B09DC38F4CD1}" destId="{1E58C473-090B-A841-B701-EBF156A9B468}" srcOrd="1" destOrd="0" presId="urn:microsoft.com/office/officeart/2005/8/layout/hierarchy2"/>
    <dgm:cxn modelId="{D45F7EDB-85A2-A641-808A-C38364CF6DFD}" type="presParOf" srcId="{1E58C473-090B-A841-B701-EBF156A9B468}" destId="{BBAB8C65-A2A9-9340-910F-0E4F87D66D73}" srcOrd="0" destOrd="0" presId="urn:microsoft.com/office/officeart/2005/8/layout/hierarchy2"/>
    <dgm:cxn modelId="{8DE1311A-5120-704F-B1E5-293A75E2E4C4}" type="presParOf" srcId="{1E58C473-090B-A841-B701-EBF156A9B468}" destId="{59422E59-C787-A346-BDDE-42BB5AC944FF}" srcOrd="1" destOrd="0" presId="urn:microsoft.com/office/officeart/2005/8/layout/hierarchy2"/>
    <dgm:cxn modelId="{AB160B4D-4159-554B-8AEF-F755D0B6E2D4}" type="presParOf" srcId="{59422E59-C787-A346-BDDE-42BB5AC944FF}" destId="{158DFB88-AFA9-8846-9762-065F92E00F55}" srcOrd="0" destOrd="0" presId="urn:microsoft.com/office/officeart/2005/8/layout/hierarchy2"/>
    <dgm:cxn modelId="{91DBB380-F96A-6446-9D47-4C102002D21B}" type="presParOf" srcId="{158DFB88-AFA9-8846-9762-065F92E00F55}" destId="{F21DE7F1-751F-7647-950D-A4C9F0B622A3}" srcOrd="0" destOrd="0" presId="urn:microsoft.com/office/officeart/2005/8/layout/hierarchy2"/>
    <dgm:cxn modelId="{68D8BE2F-EC8C-0E42-964C-0E2447517864}" type="presParOf" srcId="{59422E59-C787-A346-BDDE-42BB5AC944FF}" destId="{A3CCCA02-0E83-674E-8991-CB8E9A9A88C8}" srcOrd="1" destOrd="0" presId="urn:microsoft.com/office/officeart/2005/8/layout/hierarchy2"/>
    <dgm:cxn modelId="{809E0347-96F6-2041-AF6B-10970E5F305E}" type="presParOf" srcId="{A3CCCA02-0E83-674E-8991-CB8E9A9A88C8}" destId="{8451C620-4C46-D341-B613-888B545790D6}" srcOrd="0" destOrd="0" presId="urn:microsoft.com/office/officeart/2005/8/layout/hierarchy2"/>
    <dgm:cxn modelId="{87825C3E-D1AC-F543-BB88-E5AA673BD966}" type="presParOf" srcId="{A3CCCA02-0E83-674E-8991-CB8E9A9A88C8}" destId="{EF06D3AA-BB99-074E-9CB6-2A3A01C3C27D}" srcOrd="1" destOrd="0" presId="urn:microsoft.com/office/officeart/2005/8/layout/hierarchy2"/>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182363-ECE5-D444-9F30-87CABFEFC282}">
      <dsp:nvSpPr>
        <dsp:cNvPr id="0" name=""/>
        <dsp:cNvSpPr/>
      </dsp:nvSpPr>
      <dsp:spPr>
        <a:xfrm>
          <a:off x="4114" y="564628"/>
          <a:ext cx="916985" cy="767636"/>
        </a:xfrm>
        <a:prstGeom prst="roundRect">
          <a:avLst>
            <a:gd name="adj" fmla="val 1000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chemeClr val="tx1"/>
              </a:solidFill>
            </a:rPr>
            <a:t>Suspicion of data breach</a:t>
          </a:r>
        </a:p>
      </dsp:txBody>
      <dsp:txXfrm>
        <a:off x="26597" y="587111"/>
        <a:ext cx="872019" cy="722670"/>
      </dsp:txXfrm>
    </dsp:sp>
    <dsp:sp modelId="{21F50101-62FA-4641-B9C6-542F56DAD154}">
      <dsp:nvSpPr>
        <dsp:cNvPr id="0" name=""/>
        <dsp:cNvSpPr/>
      </dsp:nvSpPr>
      <dsp:spPr>
        <a:xfrm>
          <a:off x="921099" y="926693"/>
          <a:ext cx="138189" cy="43507"/>
        </a:xfrm>
        <a:custGeom>
          <a:avLst/>
          <a:gdLst/>
          <a:ahLst/>
          <a:cxnLst/>
          <a:rect l="0" t="0" r="0" b="0"/>
          <a:pathLst>
            <a:path>
              <a:moveTo>
                <a:pt x="0" y="21753"/>
              </a:moveTo>
              <a:lnTo>
                <a:pt x="138189"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986739" y="944992"/>
        <a:ext cx="6909" cy="6909"/>
      </dsp:txXfrm>
    </dsp:sp>
    <dsp:sp modelId="{DA356EE7-DCAC-4042-921E-5D78770903D9}">
      <dsp:nvSpPr>
        <dsp:cNvPr id="0" name=""/>
        <dsp:cNvSpPr/>
      </dsp:nvSpPr>
      <dsp:spPr>
        <a:xfrm>
          <a:off x="1059289" y="550901"/>
          <a:ext cx="916985" cy="795090"/>
        </a:xfrm>
        <a:prstGeom prst="roundRect">
          <a:avLst>
            <a:gd name="adj" fmla="val 1000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solidFill>
                <a:schemeClr val="tx1"/>
              </a:solidFill>
            </a:rPr>
            <a:t>Entity conducts assessment </a:t>
          </a:r>
        </a:p>
        <a:p>
          <a:pPr marL="0" lvl="0" indent="0" algn="ctr" defTabSz="466725">
            <a:lnSpc>
              <a:spcPct val="90000"/>
            </a:lnSpc>
            <a:spcBef>
              <a:spcPct val="0"/>
            </a:spcBef>
            <a:spcAft>
              <a:spcPct val="35000"/>
            </a:spcAft>
            <a:buNone/>
          </a:pPr>
          <a:r>
            <a:rPr lang="en-GB" sz="1050" kern="1200">
              <a:solidFill>
                <a:schemeClr val="tx1"/>
              </a:solidFill>
            </a:rPr>
            <a:t>(&lt; 30 days</a:t>
          </a:r>
          <a:r>
            <a:rPr lang="en-GB" sz="1100" kern="1200">
              <a:solidFill>
                <a:schemeClr val="tx1"/>
              </a:solidFill>
            </a:rPr>
            <a:t>)</a:t>
          </a:r>
        </a:p>
      </dsp:txBody>
      <dsp:txXfrm>
        <a:off x="1082576" y="574188"/>
        <a:ext cx="870411" cy="748516"/>
      </dsp:txXfrm>
    </dsp:sp>
    <dsp:sp modelId="{1FDF6499-7F4C-C84D-91F9-B1817915405A}">
      <dsp:nvSpPr>
        <dsp:cNvPr id="0" name=""/>
        <dsp:cNvSpPr/>
      </dsp:nvSpPr>
      <dsp:spPr>
        <a:xfrm rot="18130163">
          <a:off x="1870422" y="735062"/>
          <a:ext cx="452771" cy="43507"/>
        </a:xfrm>
        <a:custGeom>
          <a:avLst/>
          <a:gdLst/>
          <a:ahLst/>
          <a:cxnLst/>
          <a:rect l="0" t="0" r="0" b="0"/>
          <a:pathLst>
            <a:path>
              <a:moveTo>
                <a:pt x="0" y="21753"/>
              </a:moveTo>
              <a:lnTo>
                <a:pt x="452771"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085488" y="745497"/>
        <a:ext cx="22638" cy="22638"/>
      </dsp:txXfrm>
    </dsp:sp>
    <dsp:sp modelId="{D192FA64-133E-C449-A72C-2ABC3457F697}">
      <dsp:nvSpPr>
        <dsp:cNvPr id="0" name=""/>
        <dsp:cNvSpPr/>
      </dsp:nvSpPr>
      <dsp:spPr>
        <a:xfrm>
          <a:off x="2217340" y="272183"/>
          <a:ext cx="916985" cy="586004"/>
        </a:xfrm>
        <a:prstGeom prst="roundRect">
          <a:avLst>
            <a:gd name="adj" fmla="val 10000"/>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t>No breach</a:t>
          </a:r>
        </a:p>
      </dsp:txBody>
      <dsp:txXfrm>
        <a:off x="2234503" y="289346"/>
        <a:ext cx="882659" cy="551678"/>
      </dsp:txXfrm>
    </dsp:sp>
    <dsp:sp modelId="{2B861FB2-4C03-3248-939C-B82ABC0425D3}">
      <dsp:nvSpPr>
        <dsp:cNvPr id="0" name=""/>
        <dsp:cNvSpPr/>
      </dsp:nvSpPr>
      <dsp:spPr>
        <a:xfrm rot="3304786">
          <a:off x="1881975" y="1107533"/>
          <a:ext cx="441099" cy="43507"/>
        </a:xfrm>
        <a:custGeom>
          <a:avLst/>
          <a:gdLst/>
          <a:ahLst/>
          <a:cxnLst/>
          <a:rect l="0" t="0" r="0" b="0"/>
          <a:pathLst>
            <a:path>
              <a:moveTo>
                <a:pt x="0" y="21753"/>
              </a:moveTo>
              <a:lnTo>
                <a:pt x="441099"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091497" y="1118259"/>
        <a:ext cx="22054" cy="22054"/>
      </dsp:txXfrm>
    </dsp:sp>
    <dsp:sp modelId="{EC1D0A2A-BDA0-9741-B9AB-A1FD0801BD35}">
      <dsp:nvSpPr>
        <dsp:cNvPr id="0" name=""/>
        <dsp:cNvSpPr/>
      </dsp:nvSpPr>
      <dsp:spPr>
        <a:xfrm>
          <a:off x="2228775" y="961252"/>
          <a:ext cx="916985" cy="697747"/>
        </a:xfrm>
        <a:prstGeom prst="roundRect">
          <a:avLst>
            <a:gd name="adj" fmla="val 10000"/>
          </a:avLst>
        </a:prstGeom>
        <a:solidFill>
          <a:schemeClr val="bg2">
            <a:lumMod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t>Belief that data breach occured</a:t>
          </a:r>
        </a:p>
      </dsp:txBody>
      <dsp:txXfrm>
        <a:off x="2249211" y="981688"/>
        <a:ext cx="876113" cy="656875"/>
      </dsp:txXfrm>
    </dsp:sp>
    <dsp:sp modelId="{978E157F-5E31-1C40-9792-A939B6F9A9F8}">
      <dsp:nvSpPr>
        <dsp:cNvPr id="0" name=""/>
        <dsp:cNvSpPr/>
      </dsp:nvSpPr>
      <dsp:spPr>
        <a:xfrm rot="195213">
          <a:off x="3145521" y="1296820"/>
          <a:ext cx="297693" cy="43507"/>
        </a:xfrm>
        <a:custGeom>
          <a:avLst/>
          <a:gdLst/>
          <a:ahLst/>
          <a:cxnLst/>
          <a:rect l="0" t="0" r="0" b="0"/>
          <a:pathLst>
            <a:path>
              <a:moveTo>
                <a:pt x="0" y="21753"/>
              </a:moveTo>
              <a:lnTo>
                <a:pt x="297693" y="21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286925" y="1311132"/>
        <a:ext cx="14884" cy="14884"/>
      </dsp:txXfrm>
    </dsp:sp>
    <dsp:sp modelId="{BBAB8C65-A2A9-9340-910F-0E4F87D66D73}">
      <dsp:nvSpPr>
        <dsp:cNvPr id="0" name=""/>
        <dsp:cNvSpPr/>
      </dsp:nvSpPr>
      <dsp:spPr>
        <a:xfrm>
          <a:off x="3442974" y="1034020"/>
          <a:ext cx="916985" cy="586004"/>
        </a:xfrm>
        <a:prstGeom prst="roundRect">
          <a:avLst>
            <a:gd name="adj" fmla="val 10000"/>
          </a:avLst>
        </a:prstGeom>
        <a:solidFill>
          <a:schemeClr val="bg2">
            <a:lumMod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Notify </a:t>
          </a:r>
          <a:r>
            <a:rPr lang="en-GB" sz="1050" kern="1200"/>
            <a:t>Commissioner</a:t>
          </a:r>
          <a:endParaRPr lang="en-GB" sz="1100" kern="1200"/>
        </a:p>
      </dsp:txBody>
      <dsp:txXfrm>
        <a:off x="3460137" y="1051183"/>
        <a:ext cx="882659" cy="551678"/>
      </dsp:txXfrm>
    </dsp:sp>
    <dsp:sp modelId="{158DFB88-AFA9-8846-9762-065F92E00F55}">
      <dsp:nvSpPr>
        <dsp:cNvPr id="0" name=""/>
        <dsp:cNvSpPr/>
      </dsp:nvSpPr>
      <dsp:spPr>
        <a:xfrm rot="398962">
          <a:off x="4359242" y="1317611"/>
          <a:ext cx="213184" cy="43507"/>
        </a:xfrm>
        <a:custGeom>
          <a:avLst/>
          <a:gdLst/>
          <a:ahLst/>
          <a:cxnLst/>
          <a:rect l="0" t="0" r="0" b="0"/>
          <a:pathLst>
            <a:path>
              <a:moveTo>
                <a:pt x="0" y="21753"/>
              </a:moveTo>
              <a:lnTo>
                <a:pt x="213184"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460505" y="1334035"/>
        <a:ext cx="10659" cy="10659"/>
      </dsp:txXfrm>
    </dsp:sp>
    <dsp:sp modelId="{8451C620-4C46-D341-B613-888B545790D6}">
      <dsp:nvSpPr>
        <dsp:cNvPr id="0" name=""/>
        <dsp:cNvSpPr/>
      </dsp:nvSpPr>
      <dsp:spPr>
        <a:xfrm>
          <a:off x="4571710" y="1058705"/>
          <a:ext cx="916985" cy="586004"/>
        </a:xfrm>
        <a:prstGeom prst="roundRect">
          <a:avLst>
            <a:gd name="adj" fmla="val 10000"/>
          </a:avLst>
        </a:prstGeom>
        <a:solidFill>
          <a:schemeClr val="bg2">
            <a:lumMod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t>Notify individuals</a:t>
          </a:r>
        </a:p>
      </dsp:txBody>
      <dsp:txXfrm>
        <a:off x="4588873" y="1075868"/>
        <a:ext cx="882659" cy="5516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511c14c-b25b-4611-ba41-15810fe933dd">
      <UserInfo>
        <DisplayName>Yvette Maker</DisplayName>
        <AccountId>54</AccountId>
        <AccountType/>
      </UserInfo>
      <UserInfo>
        <DisplayName>Rebecca Bradfield</DisplayName>
        <AccountId>27</AccountId>
        <AccountType/>
      </UserInfo>
      <UserInfo>
        <DisplayName>Jacqueline Fox</DisplayName>
        <AccountId>140</AccountId>
        <AccountType/>
      </UserInfo>
    </SharedWithUsers>
    <lcf76f155ced4ddcb4097134ff3c332f xmlns="ff268b07-6a93-4430-b1e4-2f0a09f56242">
      <Terms xmlns="http://schemas.microsoft.com/office/infopath/2007/PartnerControls"/>
    </lcf76f155ced4ddcb4097134ff3c332f>
    <TaxCatchAll xmlns="2d221494-178b-4357-bea6-3a87c5967eb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C3F83366492D4EAA320CC60EACD949" ma:contentTypeVersion="18" ma:contentTypeDescription="Create a new document." ma:contentTypeScope="" ma:versionID="de4907247de424bc20017513f59d58e5">
  <xsd:schema xmlns:xsd="http://www.w3.org/2001/XMLSchema" xmlns:xs="http://www.w3.org/2001/XMLSchema" xmlns:p="http://schemas.microsoft.com/office/2006/metadata/properties" xmlns:ns2="ff268b07-6a93-4430-b1e4-2f0a09f56242" xmlns:ns3="5511c14c-b25b-4611-ba41-15810fe933dd" xmlns:ns4="2d221494-178b-4357-bea6-3a87c5967eb4" targetNamespace="http://schemas.microsoft.com/office/2006/metadata/properties" ma:root="true" ma:fieldsID="65fc7203e0bbc7efe430395092fd63c8" ns2:_="" ns3:_="" ns4:_="">
    <xsd:import namespace="ff268b07-6a93-4430-b1e4-2f0a09f56242"/>
    <xsd:import namespace="5511c14c-b25b-4611-ba41-15810fe933dd"/>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8b07-6a93-4430-b1e4-2f0a09f56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11c14c-b25b-4611-ba41-15810fe93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b9c5877-d6ca-4318-b358-a8dc4fab1eb2}" ma:internalName="TaxCatchAll" ma:showField="CatchAllData" ma:web="5511c14c-b25b-4611-ba41-15810fe9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AE8C1-2F95-44D0-B6E2-AEEA90ED8162}">
  <ds:schemaRefs>
    <ds:schemaRef ds:uri="http://schemas.microsoft.com/office/2006/metadata/properties"/>
    <ds:schemaRef ds:uri="http://schemas.microsoft.com/office/infopath/2007/PartnerControls"/>
    <ds:schemaRef ds:uri="5511c14c-b25b-4611-ba41-15810fe933dd"/>
    <ds:schemaRef ds:uri="ff268b07-6a93-4430-b1e4-2f0a09f56242"/>
    <ds:schemaRef ds:uri="2d221494-178b-4357-bea6-3a87c5967eb4"/>
  </ds:schemaRefs>
</ds:datastoreItem>
</file>

<file path=customXml/itemProps2.xml><?xml version="1.0" encoding="utf-8"?>
<ds:datastoreItem xmlns:ds="http://schemas.openxmlformats.org/officeDocument/2006/customXml" ds:itemID="{9BB91670-E715-491F-B398-4E6C7D6A4AA8}">
  <ds:schemaRefs>
    <ds:schemaRef ds:uri="http://schemas.openxmlformats.org/officeDocument/2006/bibliography"/>
  </ds:schemaRefs>
</ds:datastoreItem>
</file>

<file path=customXml/itemProps3.xml><?xml version="1.0" encoding="utf-8"?>
<ds:datastoreItem xmlns:ds="http://schemas.openxmlformats.org/officeDocument/2006/customXml" ds:itemID="{C34DC2EA-2F1A-4BFA-BAB4-998D180E3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8b07-6a93-4430-b1e4-2f0a09f56242"/>
    <ds:schemaRef ds:uri="5511c14c-b25b-4611-ba41-15810fe933dd"/>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55E21-AB17-45C3-820A-4694668662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Design style set for TLRI</Template>
  <TotalTime>1</TotalTime>
  <Pages>231</Pages>
  <Words>84283</Words>
  <Characters>480419</Characters>
  <Application>Microsoft Office Word</Application>
  <DocSecurity>8</DocSecurity>
  <Lines>4003</Lines>
  <Paragraphs>1127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563575</CharactersWithSpaces>
  <SharedDoc>false</SharedDoc>
  <HLinks>
    <vt:vector size="276" baseType="variant">
      <vt:variant>
        <vt:i4>5308526</vt:i4>
      </vt:variant>
      <vt:variant>
        <vt:i4>864</vt:i4>
      </vt:variant>
      <vt:variant>
        <vt:i4>0</vt:i4>
      </vt:variant>
      <vt:variant>
        <vt:i4>5</vt:i4>
      </vt:variant>
      <vt:variant>
        <vt:lpwstr>mailto:human.ethics@utas.edu.au</vt:lpwstr>
      </vt:variant>
      <vt:variant>
        <vt:lpwstr/>
      </vt:variant>
      <vt:variant>
        <vt:i4>983069</vt:i4>
      </vt:variant>
      <vt:variant>
        <vt:i4>246</vt:i4>
      </vt:variant>
      <vt:variant>
        <vt:i4>0</vt:i4>
      </vt:variant>
      <vt:variant>
        <vt:i4>5</vt:i4>
      </vt:variant>
      <vt:variant>
        <vt:lpwstr>https://www.hcscc.sa.gov.au/hcscc-charter-of-rights/</vt:lpwstr>
      </vt:variant>
      <vt:variant>
        <vt:lpwstr/>
      </vt:variant>
      <vt:variant>
        <vt:i4>7340156</vt:i4>
      </vt:variant>
      <vt:variant>
        <vt:i4>243</vt:i4>
      </vt:variant>
      <vt:variant>
        <vt:i4>0</vt:i4>
      </vt:variant>
      <vt:variant>
        <vt:i4>5</vt:i4>
      </vt:variant>
      <vt:variant>
        <vt:lpwstr>https://www.dpc.sa.gov.au/resources-and-publications/premier-and-cabinet-circulars/DPC-Circular-Information-Privacy-Principles-IPPS-Instruction.pdf</vt:lpwstr>
      </vt:variant>
      <vt:variant>
        <vt:lpwstr/>
      </vt:variant>
      <vt:variant>
        <vt:i4>1572936</vt:i4>
      </vt:variant>
      <vt:variant>
        <vt:i4>240</vt:i4>
      </vt:variant>
      <vt:variant>
        <vt:i4>0</vt:i4>
      </vt:variant>
      <vt:variant>
        <vt:i4>5</vt:i4>
      </vt:variant>
      <vt:variant>
        <vt:lpwstr>https://archives.sa.gov.au/general-information/privacy-committee/privacy-committee-sa</vt:lpwstr>
      </vt:variant>
      <vt:variant>
        <vt:lpwstr/>
      </vt:variant>
      <vt:variant>
        <vt:i4>5963800</vt:i4>
      </vt:variant>
      <vt:variant>
        <vt:i4>216</vt:i4>
      </vt:variant>
      <vt:variant>
        <vt:i4>0</vt:i4>
      </vt:variant>
      <vt:variant>
        <vt:i4>5</vt:i4>
      </vt:variant>
      <vt:variant>
        <vt:lpwstr>https://www.healthcomplaints.tas.gov.au/about-us</vt:lpwstr>
      </vt:variant>
      <vt:variant>
        <vt:lpwstr/>
      </vt:variant>
      <vt:variant>
        <vt:i4>7209004</vt:i4>
      </vt:variant>
      <vt:variant>
        <vt:i4>213</vt:i4>
      </vt:variant>
      <vt:variant>
        <vt:i4>0</vt:i4>
      </vt:variant>
      <vt:variant>
        <vt:i4>5</vt:i4>
      </vt:variant>
      <vt:variant>
        <vt:lpwstr>https://www.parliament.tas.gov.au/Bills/Bills2017/62_of_2017.html</vt:lpwstr>
      </vt:variant>
      <vt:variant>
        <vt:lpwstr/>
      </vt:variant>
      <vt:variant>
        <vt:i4>3539042</vt:i4>
      </vt:variant>
      <vt:variant>
        <vt:i4>195</vt:i4>
      </vt:variant>
      <vt:variant>
        <vt:i4>0</vt:i4>
      </vt:variant>
      <vt:variant>
        <vt:i4>5</vt:i4>
      </vt:variant>
      <vt:variant>
        <vt:lpwstr>https://www.police.tas.gov.au/uploads/Review-of-Surveillance-Devicesin-Prisons-Terms-of-Reference-November-2022.pdf</vt:lpwstr>
      </vt:variant>
      <vt:variant>
        <vt:lpwstr/>
      </vt:variant>
      <vt:variant>
        <vt:i4>196676</vt:i4>
      </vt:variant>
      <vt:variant>
        <vt:i4>192</vt:i4>
      </vt:variant>
      <vt:variant>
        <vt:i4>0</vt:i4>
      </vt:variant>
      <vt:variant>
        <vt:i4>5</vt:i4>
      </vt:variant>
      <vt:variant>
        <vt:lpwstr>https://www.ag.gov.au/national-security/consultations/comprehensive-review-legal-framework-governing-national-intelligence-community</vt:lpwstr>
      </vt:variant>
      <vt:variant>
        <vt:lpwstr/>
      </vt:variant>
      <vt:variant>
        <vt:i4>5242944</vt:i4>
      </vt:variant>
      <vt:variant>
        <vt:i4>189</vt:i4>
      </vt:variant>
      <vt:variant>
        <vt:i4>0</vt:i4>
      </vt:variant>
      <vt:variant>
        <vt:i4>5</vt:i4>
      </vt:variant>
      <vt:variant>
        <vt:lpwstr>https://www.ag.gov.au/crime/telecommunications-interception-and-surveillance/reform-australias-electronic-surveillance-framework</vt:lpwstr>
      </vt:variant>
      <vt:variant>
        <vt:lpwstr/>
      </vt:variant>
      <vt:variant>
        <vt:i4>2883646</vt:i4>
      </vt:variant>
      <vt:variant>
        <vt:i4>180</vt:i4>
      </vt:variant>
      <vt:variant>
        <vt:i4>0</vt:i4>
      </vt:variant>
      <vt:variant>
        <vt:i4>5</vt:i4>
      </vt:variant>
      <vt:variant>
        <vt:lpwstr>https://www.drones.gov.au/policies-and-programs/policies/privacy-policy</vt:lpwstr>
      </vt:variant>
      <vt:variant>
        <vt:lpwstr/>
      </vt:variant>
      <vt:variant>
        <vt:i4>4653067</vt:i4>
      </vt:variant>
      <vt:variant>
        <vt:i4>174</vt:i4>
      </vt:variant>
      <vt:variant>
        <vt:i4>0</vt:i4>
      </vt:variant>
      <vt:variant>
        <vt:i4>5</vt:i4>
      </vt:variant>
      <vt:variant>
        <vt:lpwstr>https://www.pc.gov.au/inquiries/completed/data-access/report</vt:lpwstr>
      </vt:variant>
      <vt:variant>
        <vt:lpwstr/>
      </vt:variant>
      <vt:variant>
        <vt:i4>5177364</vt:i4>
      </vt:variant>
      <vt:variant>
        <vt:i4>171</vt:i4>
      </vt:variant>
      <vt:variant>
        <vt:i4>0</vt:i4>
      </vt:variant>
      <vt:variant>
        <vt:i4>5</vt:i4>
      </vt:variant>
      <vt:variant>
        <vt:lpwstr>https://ovic.vic.gov.au/privacy/resources-for-organisations/information-sharing-and-privacy/</vt:lpwstr>
      </vt:variant>
      <vt:variant>
        <vt:lpwstr/>
      </vt:variant>
      <vt:variant>
        <vt:i4>3080234</vt:i4>
      </vt:variant>
      <vt:variant>
        <vt:i4>168</vt:i4>
      </vt:variant>
      <vt:variant>
        <vt:i4>0</vt:i4>
      </vt:variant>
      <vt:variant>
        <vt:i4>5</vt:i4>
      </vt:variant>
      <vt:variant>
        <vt:lpwstr>https://www.ipc.nsw.gov.au/sites/default/files/2021-03/Guide_Data_Sharing_and_Privacy_July_2020.pdf</vt:lpwstr>
      </vt:variant>
      <vt:variant>
        <vt:lpwstr/>
      </vt:variant>
      <vt:variant>
        <vt:i4>1572919</vt:i4>
      </vt:variant>
      <vt:variant>
        <vt:i4>159</vt:i4>
      </vt:variant>
      <vt:variant>
        <vt:i4>0</vt:i4>
      </vt:variant>
      <vt:variant>
        <vt:i4>5</vt:i4>
      </vt:variant>
      <vt:variant>
        <vt:lpwstr>http://www.dpac.tas.gov.au/divisions/digital_strategy_and_services/policies/digital_data_privacy/adept</vt:lpwstr>
      </vt:variant>
      <vt:variant>
        <vt:lpwstr/>
      </vt:variant>
      <vt:variant>
        <vt:i4>1310842</vt:i4>
      </vt:variant>
      <vt:variant>
        <vt:i4>156</vt:i4>
      </vt:variant>
      <vt:variant>
        <vt:i4>0</vt:i4>
      </vt:variant>
      <vt:variant>
        <vt:i4>5</vt:i4>
      </vt:variant>
      <vt:variant>
        <vt:lpwstr>https://www.dpac.tas.gov.au/divisions/digital_strategy_and_services/policies/digital_data_privacy</vt:lpwstr>
      </vt:variant>
      <vt:variant>
        <vt:lpwstr/>
      </vt:variant>
      <vt:variant>
        <vt:i4>3080234</vt:i4>
      </vt:variant>
      <vt:variant>
        <vt:i4>150</vt:i4>
      </vt:variant>
      <vt:variant>
        <vt:i4>0</vt:i4>
      </vt:variant>
      <vt:variant>
        <vt:i4>5</vt:i4>
      </vt:variant>
      <vt:variant>
        <vt:lpwstr>https://www.ipc.nsw.gov.au/sites/default/files/2021-03/Guide_Data_Sharing_and_Privacy_July_2020.pdf</vt:lpwstr>
      </vt:variant>
      <vt:variant>
        <vt:lpwstr/>
      </vt:variant>
      <vt:variant>
        <vt:i4>5636196</vt:i4>
      </vt:variant>
      <vt:variant>
        <vt:i4>144</vt:i4>
      </vt:variant>
      <vt:variant>
        <vt:i4>0</vt:i4>
      </vt:variant>
      <vt:variant>
        <vt:i4>5</vt:i4>
      </vt:variant>
      <vt:variant>
        <vt:lpwstr>https://www.dpac.tas.gov.au/__data/assets/pdf_file/0026/136934/TSSR_Final_Report.pdf</vt:lpwstr>
      </vt:variant>
      <vt:variant>
        <vt:lpwstr/>
      </vt:variant>
      <vt:variant>
        <vt:i4>4522049</vt:i4>
      </vt:variant>
      <vt:variant>
        <vt:i4>138</vt:i4>
      </vt:variant>
      <vt:variant>
        <vt:i4>0</vt:i4>
      </vt:variant>
      <vt:variant>
        <vt:i4>5</vt:i4>
      </vt:variant>
      <vt:variant>
        <vt:lpwstr>https://www.oaic.gov.au/freedom-of-information/freedom-of-information-guidance-for-government-agencies/foi-guidelines/part-6-conditional-exemptions</vt:lpwstr>
      </vt:variant>
      <vt:variant>
        <vt:lpwstr>documents-affecting-personal-privacy-s-47f</vt:lpwstr>
      </vt:variant>
      <vt:variant>
        <vt:i4>4784139</vt:i4>
      </vt:variant>
      <vt:variant>
        <vt:i4>135</vt:i4>
      </vt:variant>
      <vt:variant>
        <vt:i4>0</vt:i4>
      </vt:variant>
      <vt:variant>
        <vt:i4>5</vt:i4>
      </vt:variant>
      <vt:variant>
        <vt:lpwstr>https://www.publications.qld.gov.au/ckan-publications-attachments-prod/resources/7326cb08-a3da-451c-8c48-dc08ea9dcc6d/consultation-paper-proposed-changes-qld-ip-rti-framework.pdf?ETag=f9671bcc9b57d55cc316d1c803234761</vt:lpwstr>
      </vt:variant>
      <vt:variant>
        <vt:lpwstr/>
      </vt:variant>
      <vt:variant>
        <vt:i4>2097205</vt:i4>
      </vt:variant>
      <vt:variant>
        <vt:i4>132</vt:i4>
      </vt:variant>
      <vt:variant>
        <vt:i4>0</vt:i4>
      </vt:variant>
      <vt:variant>
        <vt:i4>5</vt:i4>
      </vt:variant>
      <vt:variant>
        <vt:lpwstr>https://www.ipc.nsw.gov.au/sites/default/files/2021-03/Guide_to_Privacy_Impact_Assessments_May_2020.pdf</vt:lpwstr>
      </vt:variant>
      <vt:variant>
        <vt:lpwstr/>
      </vt:variant>
      <vt:variant>
        <vt:i4>3670069</vt:i4>
      </vt:variant>
      <vt:variant>
        <vt:i4>129</vt:i4>
      </vt:variant>
      <vt:variant>
        <vt:i4>0</vt:i4>
      </vt:variant>
      <vt:variant>
        <vt:i4>5</vt:i4>
      </vt:variant>
      <vt:variant>
        <vt:lpwstr>https://ovic.vic.gov.au/privacy/resources-for-organisations/privacy-impact-assessment/</vt:lpwstr>
      </vt:variant>
      <vt:variant>
        <vt:lpwstr/>
      </vt:variant>
      <vt:variant>
        <vt:i4>2228273</vt:i4>
      </vt:variant>
      <vt:variant>
        <vt:i4>126</vt:i4>
      </vt:variant>
      <vt:variant>
        <vt:i4>0</vt:i4>
      </vt:variant>
      <vt:variant>
        <vt:i4>5</vt:i4>
      </vt:variant>
      <vt:variant>
        <vt:lpwstr>https://www.ipc.nsw.gov.au/privacy/nsw-privacy-laws/privacy-codes-practice</vt:lpwstr>
      </vt:variant>
      <vt:variant>
        <vt:lpwstr/>
      </vt:variant>
      <vt:variant>
        <vt:i4>4718671</vt:i4>
      </vt:variant>
      <vt:variant>
        <vt:i4>123</vt:i4>
      </vt:variant>
      <vt:variant>
        <vt:i4>0</vt:i4>
      </vt:variant>
      <vt:variant>
        <vt:i4>5</vt:i4>
      </vt:variant>
      <vt:variant>
        <vt:lpwstr>https://ovic.vic.gov.au/privacy/resources-for-organisations/privacy-officer-toolkit/the-pdp-act-a-deep-dive/</vt:lpwstr>
      </vt:variant>
      <vt:variant>
        <vt:lpwstr/>
      </vt:variant>
      <vt:variant>
        <vt:i4>6553698</vt:i4>
      </vt:variant>
      <vt:variant>
        <vt:i4>120</vt:i4>
      </vt:variant>
      <vt:variant>
        <vt:i4>0</vt:i4>
      </vt:variant>
      <vt:variant>
        <vt:i4>5</vt:i4>
      </vt:variant>
      <vt:variant>
        <vt:lpwstr>https://www.oaic.gov.au/privacy/guidance-and-advice/guide-to-undertaking-privacy-impact-assessments</vt:lpwstr>
      </vt:variant>
      <vt:variant>
        <vt:lpwstr/>
      </vt:variant>
      <vt:variant>
        <vt:i4>5570650</vt:i4>
      </vt:variant>
      <vt:variant>
        <vt:i4>117</vt:i4>
      </vt:variant>
      <vt:variant>
        <vt:i4>0</vt:i4>
      </vt:variant>
      <vt:variant>
        <vt:i4>5</vt:i4>
      </vt:variant>
      <vt:variant>
        <vt:lpwstr>https://www.oaic.gov.au/privacy/privacy-registers/privacy-codes-register/</vt:lpwstr>
      </vt:variant>
      <vt:variant>
        <vt:lpwstr/>
      </vt:variant>
      <vt:variant>
        <vt:i4>3342436</vt:i4>
      </vt:variant>
      <vt:variant>
        <vt:i4>108</vt:i4>
      </vt:variant>
      <vt:variant>
        <vt:i4>0</vt:i4>
      </vt:variant>
      <vt:variant>
        <vt:i4>5</vt:i4>
      </vt:variant>
      <vt:variant>
        <vt:lpwstr>https://ovic.vic.gov.au/regulatory-action/regulatory-action-policy/</vt:lpwstr>
      </vt:variant>
      <vt:variant>
        <vt:lpwstr/>
      </vt:variant>
      <vt:variant>
        <vt:i4>7405673</vt:i4>
      </vt:variant>
      <vt:variant>
        <vt:i4>105</vt:i4>
      </vt:variant>
      <vt:variant>
        <vt:i4>0</vt:i4>
      </vt:variant>
      <vt:variant>
        <vt:i4>5</vt:i4>
      </vt:variant>
      <vt:variant>
        <vt:lpwstr>https://www.vcat.vic.gov.au/case-types/privacy-and-health-records/information-privacy-complaints</vt:lpwstr>
      </vt:variant>
      <vt:variant>
        <vt:lpwstr>:~:text=If%20you%20believe%20someone%20has,resolve%20your%20complaint%20through%20conciliation</vt:lpwstr>
      </vt:variant>
      <vt:variant>
        <vt:i4>983114</vt:i4>
      </vt:variant>
      <vt:variant>
        <vt:i4>99</vt:i4>
      </vt:variant>
      <vt:variant>
        <vt:i4>0</vt:i4>
      </vt:variant>
      <vt:variant>
        <vt:i4>5</vt:i4>
      </vt:variant>
      <vt:variant>
        <vt:lpwstr>https://www.oaic.gov.au/privacy/privacy-registers/privacy-codes-register/australian-government-agencies-privacy-code/</vt:lpwstr>
      </vt:variant>
      <vt:variant>
        <vt:lpwstr/>
      </vt:variant>
      <vt:variant>
        <vt:i4>4784172</vt:i4>
      </vt:variant>
      <vt:variant>
        <vt:i4>90</vt:i4>
      </vt:variant>
      <vt:variant>
        <vt:i4>0</vt:i4>
      </vt:variant>
      <vt:variant>
        <vt:i4>5</vt:i4>
      </vt:variant>
      <vt:variant>
        <vt:lpwstr>https://www.commissionofinquiry.tas.gov.au/__data/assets/file/0011/724439/COI_Full-Report.pdf</vt:lpwstr>
      </vt:variant>
      <vt:variant>
        <vt:lpwstr/>
      </vt:variant>
      <vt:variant>
        <vt:i4>2359315</vt:i4>
      </vt:variant>
      <vt:variant>
        <vt:i4>75</vt:i4>
      </vt:variant>
      <vt:variant>
        <vt:i4>0</vt:i4>
      </vt:variant>
      <vt:variant>
        <vt:i4>5</vt:i4>
      </vt:variant>
      <vt:variant>
        <vt:lpwstr>https://commission.europa.eu/law/law-topic/data-protection/reform/rules-business-and-organisations/obligations/what-does-data-protection-design-and-default-mean_en</vt:lpwstr>
      </vt:variant>
      <vt:variant>
        <vt:lpwstr/>
      </vt:variant>
      <vt:variant>
        <vt:i4>2818103</vt:i4>
      </vt:variant>
      <vt:variant>
        <vt:i4>63</vt:i4>
      </vt:variant>
      <vt:variant>
        <vt:i4>0</vt:i4>
      </vt:variant>
      <vt:variant>
        <vt:i4>5</vt:i4>
      </vt:variant>
      <vt:variant>
        <vt:lpwstr>http://www.gazette.tas.gov.au/editions/2020/november_2020/22037_-_Gazette_25_November_2020.pdf</vt:lpwstr>
      </vt:variant>
      <vt:variant>
        <vt:lpwstr/>
      </vt:variant>
      <vt:variant>
        <vt:i4>7536766</vt:i4>
      </vt:variant>
      <vt:variant>
        <vt:i4>60</vt:i4>
      </vt:variant>
      <vt:variant>
        <vt:i4>0</vt:i4>
      </vt:variant>
      <vt:variant>
        <vt:i4>5</vt:i4>
      </vt:variant>
      <vt:variant>
        <vt:lpwstr>http://www.gazette.tas.gov.au/editions</vt:lpwstr>
      </vt:variant>
      <vt:variant>
        <vt:lpwstr/>
      </vt:variant>
      <vt:variant>
        <vt:i4>7602284</vt:i4>
      </vt:variant>
      <vt:variant>
        <vt:i4>45</vt:i4>
      </vt:variant>
      <vt:variant>
        <vt:i4>0</vt:i4>
      </vt:variant>
      <vt:variant>
        <vt:i4>5</vt:i4>
      </vt:variant>
      <vt:variant>
        <vt:lpwstr>https://www.ag.gov.au/about-us/publications/standing-council-attorneys-general-communiques</vt:lpwstr>
      </vt:variant>
      <vt:variant>
        <vt:lpwstr/>
      </vt:variant>
      <vt:variant>
        <vt:i4>7602284</vt:i4>
      </vt:variant>
      <vt:variant>
        <vt:i4>39</vt:i4>
      </vt:variant>
      <vt:variant>
        <vt:i4>0</vt:i4>
      </vt:variant>
      <vt:variant>
        <vt:i4>5</vt:i4>
      </vt:variant>
      <vt:variant>
        <vt:lpwstr>https://www.ag.gov.au/about-us/publications/standing-council-attorneys-general-communiques</vt:lpwstr>
      </vt:variant>
      <vt:variant>
        <vt:lpwstr/>
      </vt:variant>
      <vt:variant>
        <vt:i4>6750256</vt:i4>
      </vt:variant>
      <vt:variant>
        <vt:i4>36</vt:i4>
      </vt:variant>
      <vt:variant>
        <vt:i4>0</vt:i4>
      </vt:variant>
      <vt:variant>
        <vt:i4>5</vt:i4>
      </vt:variant>
      <vt:variant>
        <vt:lpwstr>https://www.ag.gov.au/about-us/who-we-are/committees-and-councils/meeting-attorneys-general</vt:lpwstr>
      </vt:variant>
      <vt:variant>
        <vt:lpwstr/>
      </vt:variant>
      <vt:variant>
        <vt:i4>7340080</vt:i4>
      </vt:variant>
      <vt:variant>
        <vt:i4>30</vt:i4>
      </vt:variant>
      <vt:variant>
        <vt:i4>0</vt:i4>
      </vt:variant>
      <vt:variant>
        <vt:i4>5</vt:i4>
      </vt:variant>
      <vt:variant>
        <vt:lpwstr>https://www.ag.gov.au/about-us/publications/council-attorneys-general-communique-july-2020</vt:lpwstr>
      </vt:variant>
      <vt:variant>
        <vt:lpwstr/>
      </vt:variant>
      <vt:variant>
        <vt:i4>7602284</vt:i4>
      </vt:variant>
      <vt:variant>
        <vt:i4>27</vt:i4>
      </vt:variant>
      <vt:variant>
        <vt:i4>0</vt:i4>
      </vt:variant>
      <vt:variant>
        <vt:i4>5</vt:i4>
      </vt:variant>
      <vt:variant>
        <vt:lpwstr>https://www.ag.gov.au/about-us/publications/standing-council-attorneys-general-communiques</vt:lpwstr>
      </vt:variant>
      <vt:variant>
        <vt:lpwstr/>
      </vt:variant>
      <vt:variant>
        <vt:i4>7077927</vt:i4>
      </vt:variant>
      <vt:variant>
        <vt:i4>24</vt:i4>
      </vt:variant>
      <vt:variant>
        <vt:i4>0</vt:i4>
      </vt:variant>
      <vt:variant>
        <vt:i4>5</vt:i4>
      </vt:variant>
      <vt:variant>
        <vt:lpwstr>https://www.oaic.gov.au/engage-with-us/submissions/privacy-act-review-issues-paper-submission/part-2-definition-of-personal-information</vt:lpwstr>
      </vt:variant>
      <vt:variant>
        <vt:lpwstr/>
      </vt:variant>
      <vt:variant>
        <vt:i4>5701724</vt:i4>
      </vt:variant>
      <vt:variant>
        <vt:i4>21</vt:i4>
      </vt:variant>
      <vt:variant>
        <vt:i4>0</vt:i4>
      </vt:variant>
      <vt:variant>
        <vt:i4>5</vt:i4>
      </vt:variant>
      <vt:variant>
        <vt:lpwstr>https://www.oaic.gov.au/privacy/australian-privacy-principles/australian-privacy-principles-guidelines/chapter-b-key-concepts</vt:lpwstr>
      </vt:variant>
      <vt:variant>
        <vt:lpwstr/>
      </vt:variant>
      <vt:variant>
        <vt:i4>5111881</vt:i4>
      </vt:variant>
      <vt:variant>
        <vt:i4>18</vt:i4>
      </vt:variant>
      <vt:variant>
        <vt:i4>0</vt:i4>
      </vt:variant>
      <vt:variant>
        <vt:i4>5</vt:i4>
      </vt:variant>
      <vt:variant>
        <vt:lpwstr>https://www.oaic.gov.au/privacy/guidance-and-advice/what-is-personal-information/</vt:lpwstr>
      </vt:variant>
      <vt:variant>
        <vt:lpwstr/>
      </vt:variant>
      <vt:variant>
        <vt:i4>2818084</vt:i4>
      </vt:variant>
      <vt:variant>
        <vt:i4>9</vt:i4>
      </vt:variant>
      <vt:variant>
        <vt:i4>0</vt:i4>
      </vt:variant>
      <vt:variant>
        <vt:i4>5</vt:i4>
      </vt:variant>
      <vt:variant>
        <vt:lpwstr>https://www.ag.gov.au/sites/default/files/2023-09/government-response-privacy-act-review-report.PDF</vt:lpwstr>
      </vt:variant>
      <vt:variant>
        <vt:lpwstr/>
      </vt:variant>
      <vt:variant>
        <vt:i4>852036</vt:i4>
      </vt:variant>
      <vt:variant>
        <vt:i4>6</vt:i4>
      </vt:variant>
      <vt:variant>
        <vt:i4>0</vt:i4>
      </vt:variant>
      <vt:variant>
        <vt:i4>5</vt:i4>
      </vt:variant>
      <vt:variant>
        <vt:lpwstr>https://www.ag.gov.au/integrity/consultations/review-privacy-act-1988</vt:lpwstr>
      </vt:variant>
      <vt:variant>
        <vt:lpwstr/>
      </vt:variant>
      <vt:variant>
        <vt:i4>1114123</vt:i4>
      </vt:variant>
      <vt:variant>
        <vt:i4>3</vt:i4>
      </vt:variant>
      <vt:variant>
        <vt:i4>0</vt:i4>
      </vt:variant>
      <vt:variant>
        <vt:i4>5</vt:i4>
      </vt:variant>
      <vt:variant>
        <vt:lpwstr>https://www.ag.gov.au/integrity/publications/review-privacy-act-1988-terms-reference</vt:lpwstr>
      </vt:variant>
      <vt:variant>
        <vt:lpwstr/>
      </vt:variant>
      <vt:variant>
        <vt:i4>3211340</vt:i4>
      </vt:variant>
      <vt:variant>
        <vt:i4>0</vt:i4>
      </vt:variant>
      <vt:variant>
        <vt:i4>0</vt:i4>
      </vt:variant>
      <vt:variant>
        <vt:i4>5</vt:i4>
      </vt:variant>
      <vt:variant>
        <vt:lpwstr>https://www.ag.gov.au/sites/default/files/2023-02/privacy-act-review-report_0.pdf</vt:lpwstr>
      </vt:variant>
      <vt:variant>
        <vt:lpwstr/>
      </vt:variant>
      <vt:variant>
        <vt:i4>1114146</vt:i4>
      </vt:variant>
      <vt:variant>
        <vt:i4>3</vt:i4>
      </vt:variant>
      <vt:variant>
        <vt:i4>0</vt:i4>
      </vt:variant>
      <vt:variant>
        <vt:i4>5</vt:i4>
      </vt:variant>
      <vt:variant>
        <vt:lpwstr>mailto:rebecca.bradfield@utas.edu.au</vt:lpwstr>
      </vt:variant>
      <vt:variant>
        <vt:lpwstr/>
      </vt:variant>
      <vt:variant>
        <vt:i4>3211340</vt:i4>
      </vt:variant>
      <vt:variant>
        <vt:i4>0</vt:i4>
      </vt:variant>
      <vt:variant>
        <vt:i4>0</vt:i4>
      </vt:variant>
      <vt:variant>
        <vt:i4>5</vt:i4>
      </vt:variant>
      <vt:variant>
        <vt:lpwstr>https://www.ag.gov.au/sites/default/files/2023-02/privacy-act-review-report_0.pdf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Fox</dc:creator>
  <cp:keywords/>
  <dc:description/>
  <cp:lastModifiedBy>Simone Lush</cp:lastModifiedBy>
  <cp:revision>2</cp:revision>
  <cp:lastPrinted>2024-04-29T05:53:00Z</cp:lastPrinted>
  <dcterms:created xsi:type="dcterms:W3CDTF">2024-05-28T05:34:00Z</dcterms:created>
  <dcterms:modified xsi:type="dcterms:W3CDTF">2024-05-28T05:34:00Z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0x0101001CC3F83366492D4EAA320CC60EACD949</vt:lpwstr>
  </property>
  <property fmtid="{D5CDD505-2E9C-101B-9397-08002B2CF9AE}" pid="3" name="MediaServiceImageTags">
    <vt:lpwstr/>
  </property>
</Properties>
</file>