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2D97B" w14:textId="71160766" w:rsidR="00BF0A3C" w:rsidRPr="00154F1D" w:rsidRDefault="00BF0A3C" w:rsidP="00BF0A3C">
      <w:pPr>
        <w:jc w:val="center"/>
      </w:pPr>
      <w:bookmarkStart w:id="0" w:name="_Toc481844687"/>
      <w:bookmarkStart w:id="1" w:name="_Toc481845033"/>
      <w:bookmarkStart w:id="2" w:name="_GoBack"/>
      <w:bookmarkEnd w:id="2"/>
      <w:r w:rsidRPr="00154F1D">
        <w:rPr>
          <w:b/>
          <w:noProof/>
          <w:lang w:val="en-GB" w:eastAsia="en-GB"/>
        </w:rPr>
        <w:drawing>
          <wp:inline distT="0" distB="0" distL="0" distR="0" wp14:anchorId="1C8EC150" wp14:editId="2B9AEA2A">
            <wp:extent cx="4876800" cy="812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812800"/>
                    </a:xfrm>
                    <a:prstGeom prst="rect">
                      <a:avLst/>
                    </a:prstGeom>
                    <a:noFill/>
                  </pic:spPr>
                </pic:pic>
              </a:graphicData>
            </a:graphic>
          </wp:inline>
        </w:drawing>
      </w:r>
      <w:bookmarkEnd w:id="0"/>
      <w:bookmarkEnd w:id="1"/>
    </w:p>
    <w:p w14:paraId="0BA839D1" w14:textId="77777777" w:rsidR="00BF0A3C" w:rsidRPr="00154F1D" w:rsidRDefault="00BF0A3C" w:rsidP="00BF0A3C">
      <w:pPr>
        <w:jc w:val="center"/>
      </w:pPr>
    </w:p>
    <w:p w14:paraId="3B6A02E7" w14:textId="0887E737" w:rsidR="00BF0A3C" w:rsidRPr="00154F1D" w:rsidRDefault="00886BA4" w:rsidP="00BF0A3C">
      <w:pPr>
        <w:spacing w:before="1800" w:after="2400"/>
        <w:jc w:val="center"/>
        <w:outlineLvl w:val="0"/>
        <w:rPr>
          <w:b/>
          <w:sz w:val="72"/>
          <w:szCs w:val="72"/>
        </w:rPr>
      </w:pPr>
      <w:r w:rsidRPr="00886BA4">
        <w:rPr>
          <w:b/>
          <w:bCs/>
          <w:sz w:val="72"/>
          <w:szCs w:val="72"/>
        </w:rPr>
        <w:t xml:space="preserve">Review of the </w:t>
      </w:r>
      <w:r>
        <w:rPr>
          <w:b/>
          <w:bCs/>
          <w:sz w:val="72"/>
          <w:szCs w:val="72"/>
        </w:rPr>
        <w:t>D</w:t>
      </w:r>
      <w:r w:rsidRPr="00886BA4">
        <w:rPr>
          <w:b/>
          <w:bCs/>
          <w:sz w:val="72"/>
          <w:szCs w:val="72"/>
        </w:rPr>
        <w:t xml:space="preserve">efence of </w:t>
      </w:r>
      <w:r>
        <w:rPr>
          <w:b/>
          <w:bCs/>
          <w:sz w:val="72"/>
          <w:szCs w:val="72"/>
        </w:rPr>
        <w:t>I</w:t>
      </w:r>
      <w:r w:rsidRPr="00886BA4">
        <w:rPr>
          <w:b/>
          <w:bCs/>
          <w:sz w:val="72"/>
          <w:szCs w:val="72"/>
        </w:rPr>
        <w:t xml:space="preserve">nsanity in s 16 of the Criminal Code and </w:t>
      </w:r>
      <w:r>
        <w:rPr>
          <w:b/>
          <w:bCs/>
          <w:sz w:val="72"/>
          <w:szCs w:val="72"/>
        </w:rPr>
        <w:t>F</w:t>
      </w:r>
      <w:r w:rsidRPr="00886BA4">
        <w:rPr>
          <w:b/>
          <w:bCs/>
          <w:sz w:val="72"/>
          <w:szCs w:val="72"/>
        </w:rPr>
        <w:t xml:space="preserve">itness to </w:t>
      </w:r>
      <w:r>
        <w:rPr>
          <w:b/>
          <w:bCs/>
          <w:sz w:val="72"/>
          <w:szCs w:val="72"/>
        </w:rPr>
        <w:t>P</w:t>
      </w:r>
      <w:r w:rsidRPr="00886BA4">
        <w:rPr>
          <w:b/>
          <w:bCs/>
          <w:sz w:val="72"/>
          <w:szCs w:val="72"/>
        </w:rPr>
        <w:t>lead</w:t>
      </w:r>
    </w:p>
    <w:p w14:paraId="251137B5" w14:textId="2698248A" w:rsidR="00BF0A3C" w:rsidRPr="00154F1D" w:rsidRDefault="00BF0A3C" w:rsidP="00886BA4">
      <w:pPr>
        <w:pStyle w:val="Referenceheading"/>
        <w:spacing w:before="3360" w:after="360"/>
        <w:outlineLvl w:val="0"/>
        <w:rPr>
          <w:caps w:val="0"/>
          <w:smallCaps/>
          <w:color w:val="000000"/>
          <w:sz w:val="32"/>
          <w:szCs w:val="32"/>
        </w:rPr>
      </w:pPr>
      <w:r w:rsidRPr="00154F1D">
        <w:rPr>
          <w:caps w:val="0"/>
          <w:smallCaps/>
          <w:color w:val="000000"/>
          <w:sz w:val="32"/>
          <w:szCs w:val="32"/>
        </w:rPr>
        <w:t>Issues Paper no</w:t>
      </w:r>
      <w:r w:rsidR="00804980" w:rsidRPr="00154F1D">
        <w:rPr>
          <w:caps w:val="0"/>
          <w:smallCaps/>
          <w:color w:val="000000"/>
          <w:sz w:val="32"/>
          <w:szCs w:val="32"/>
        </w:rPr>
        <w:t xml:space="preserve"> 27</w:t>
      </w:r>
      <w:r w:rsidRPr="00154F1D">
        <w:rPr>
          <w:caps w:val="0"/>
          <w:smallCaps/>
          <w:color w:val="000000"/>
          <w:sz w:val="32"/>
          <w:szCs w:val="32"/>
        </w:rPr>
        <w:t xml:space="preserve"> </w:t>
      </w:r>
    </w:p>
    <w:p w14:paraId="2E74B4EC" w14:textId="613BAD2B" w:rsidR="00884ADA" w:rsidRPr="00154F1D" w:rsidRDefault="00E124D2" w:rsidP="00BF0A3C">
      <w:pPr>
        <w:jc w:val="center"/>
        <w:rPr>
          <w:smallCaps/>
          <w:color w:val="000000"/>
          <w:sz w:val="32"/>
          <w:szCs w:val="32"/>
        </w:rPr>
      </w:pPr>
      <w:r w:rsidRPr="00347129">
        <w:rPr>
          <w:smallCaps/>
          <w:color w:val="000000"/>
          <w:sz w:val="32"/>
          <w:szCs w:val="32"/>
        </w:rPr>
        <w:t>Februar</w:t>
      </w:r>
      <w:r w:rsidR="0076064F" w:rsidRPr="00154F1D">
        <w:rPr>
          <w:smallCaps/>
          <w:color w:val="000000"/>
          <w:sz w:val="32"/>
          <w:szCs w:val="32"/>
        </w:rPr>
        <w:t xml:space="preserve">y </w:t>
      </w:r>
      <w:r w:rsidR="00BF0A3C" w:rsidRPr="00154F1D">
        <w:rPr>
          <w:smallCaps/>
          <w:color w:val="000000"/>
          <w:sz w:val="32"/>
          <w:szCs w:val="32"/>
        </w:rPr>
        <w:t>2019</w:t>
      </w:r>
    </w:p>
    <w:p w14:paraId="6FE9C3C5" w14:textId="5C39BF82" w:rsidR="005F2C54" w:rsidRPr="00154F1D" w:rsidRDefault="005F2C54" w:rsidP="00BF0A3C">
      <w:pPr>
        <w:jc w:val="center"/>
        <w:rPr>
          <w:smallCaps/>
          <w:color w:val="000000"/>
          <w:sz w:val="32"/>
          <w:szCs w:val="32"/>
        </w:rPr>
        <w:sectPr w:rsidR="005F2C54" w:rsidRPr="00154F1D" w:rsidSect="00D44CC5">
          <w:footerReference w:type="even" r:id="rId9"/>
          <w:footerReference w:type="default" r:id="rId10"/>
          <w:footerReference w:type="first" r:id="rId11"/>
          <w:pgSz w:w="11900" w:h="16840"/>
          <w:pgMar w:top="1440" w:right="1797" w:bottom="1440" w:left="1797" w:header="709" w:footer="709" w:gutter="0"/>
          <w:cols w:space="708"/>
          <w:titlePg/>
          <w:docGrid w:linePitch="360"/>
        </w:sectPr>
      </w:pPr>
    </w:p>
    <w:p w14:paraId="5073A344" w14:textId="77777777" w:rsidR="005F2C54" w:rsidRPr="00154F1D" w:rsidRDefault="005F2C54" w:rsidP="00460D34">
      <w:pPr>
        <w:spacing w:after="240"/>
        <w:rPr>
          <w:b/>
          <w:smallCaps/>
          <w:color w:val="000000"/>
          <w:sz w:val="32"/>
          <w:szCs w:val="32"/>
        </w:rPr>
        <w:sectPr w:rsidR="005F2C54" w:rsidRPr="00154F1D" w:rsidSect="00D44CC5">
          <w:headerReference w:type="first" r:id="rId12"/>
          <w:pgSz w:w="11900" w:h="16840"/>
          <w:pgMar w:top="1440" w:right="1797" w:bottom="1440" w:left="1797" w:header="709" w:footer="709" w:gutter="0"/>
          <w:cols w:space="708"/>
          <w:titlePg/>
          <w:docGrid w:linePitch="360"/>
        </w:sectPr>
      </w:pPr>
    </w:p>
    <w:p w14:paraId="14468DBE" w14:textId="5CEECE77" w:rsidR="00884ADA" w:rsidRPr="00154F1D" w:rsidRDefault="00884ADA" w:rsidP="00460D34">
      <w:pPr>
        <w:spacing w:after="240"/>
        <w:rPr>
          <w:b/>
          <w:smallCaps/>
          <w:color w:val="000000"/>
          <w:sz w:val="32"/>
          <w:szCs w:val="32"/>
        </w:rPr>
      </w:pPr>
      <w:r w:rsidRPr="00154F1D">
        <w:rPr>
          <w:b/>
          <w:smallCaps/>
          <w:color w:val="000000"/>
          <w:sz w:val="32"/>
          <w:szCs w:val="32"/>
        </w:rPr>
        <w:lastRenderedPageBreak/>
        <w:t>Contents</w:t>
      </w:r>
    </w:p>
    <w:p w14:paraId="7F2CCA77" w14:textId="20B33422" w:rsidR="00460D34" w:rsidRPr="00154F1D" w:rsidRDefault="00460D34" w:rsidP="00D47380">
      <w:pPr>
        <w:pStyle w:val="TOC1"/>
        <w:rPr>
          <w:rFonts w:asciiTheme="minorHAnsi" w:eastAsiaTheme="minorEastAsia" w:hAnsiTheme="minorHAnsi" w:cstheme="minorBidi"/>
        </w:rPr>
      </w:pPr>
      <w:r w:rsidRPr="00154F1D">
        <w:fldChar w:fldCharType="begin"/>
      </w:r>
      <w:r w:rsidRPr="00154F1D">
        <w:instrText xml:space="preserve"> TOC \o "1-3" \t "Heading 1,1,Numbered Heading TLRI,2,Part Heading TLRI,1,Part No TLRI,1,Sub-Heading TLRI,3,Heading,1,Heading 1 RB,1,Heading 2 RJB,1,heading 3 RJB,3,Heading 1 RJB,1,Numberless Section Heading,1" </w:instrText>
      </w:r>
      <w:r w:rsidRPr="00154F1D">
        <w:fldChar w:fldCharType="separate"/>
      </w:r>
      <w:r w:rsidRPr="00154F1D">
        <w:t>Information about the Tasmania Law Reform Institute</w:t>
      </w:r>
      <w:r w:rsidRPr="00154F1D">
        <w:tab/>
      </w:r>
      <w:r w:rsidRPr="00154F1D">
        <w:fldChar w:fldCharType="begin"/>
      </w:r>
      <w:r w:rsidRPr="00154F1D">
        <w:instrText xml:space="preserve"> PAGEREF _Toc535868888 \h </w:instrText>
      </w:r>
      <w:r w:rsidRPr="00154F1D">
        <w:fldChar w:fldCharType="separate"/>
      </w:r>
      <w:r w:rsidR="001F209C">
        <w:t>vi</w:t>
      </w:r>
      <w:r w:rsidRPr="00154F1D">
        <w:fldChar w:fldCharType="end"/>
      </w:r>
    </w:p>
    <w:p w14:paraId="746030E9" w14:textId="5D330EC9" w:rsidR="00460D34" w:rsidRPr="00154F1D" w:rsidRDefault="00460D34" w:rsidP="00D47380">
      <w:pPr>
        <w:pStyle w:val="TOC1"/>
        <w:rPr>
          <w:rFonts w:asciiTheme="minorHAnsi" w:eastAsiaTheme="minorEastAsia" w:hAnsiTheme="minorHAnsi" w:cstheme="minorBidi"/>
        </w:rPr>
      </w:pPr>
      <w:r w:rsidRPr="00154F1D">
        <w:t>How to respond</w:t>
      </w:r>
      <w:r w:rsidRPr="00154F1D">
        <w:tab/>
      </w:r>
      <w:r w:rsidRPr="00154F1D">
        <w:fldChar w:fldCharType="begin"/>
      </w:r>
      <w:r w:rsidRPr="00154F1D">
        <w:instrText xml:space="preserve"> PAGEREF _Toc535868889 \h </w:instrText>
      </w:r>
      <w:r w:rsidRPr="00154F1D">
        <w:fldChar w:fldCharType="separate"/>
      </w:r>
      <w:r w:rsidR="001F209C">
        <w:t>vi</w:t>
      </w:r>
      <w:r w:rsidRPr="00154F1D">
        <w:fldChar w:fldCharType="end"/>
      </w:r>
    </w:p>
    <w:p w14:paraId="4B30099D" w14:textId="2EBA74EB" w:rsidR="00460D34" w:rsidRPr="00154F1D" w:rsidRDefault="00460D34" w:rsidP="00D47380">
      <w:pPr>
        <w:pStyle w:val="TOC1"/>
        <w:rPr>
          <w:rFonts w:asciiTheme="minorHAnsi" w:eastAsiaTheme="minorEastAsia" w:hAnsiTheme="minorHAnsi" w:cstheme="minorBidi"/>
        </w:rPr>
      </w:pPr>
      <w:r w:rsidRPr="00154F1D">
        <w:t>Acknowledgments</w:t>
      </w:r>
      <w:r w:rsidRPr="00154F1D">
        <w:tab/>
      </w:r>
      <w:r w:rsidRPr="00154F1D">
        <w:fldChar w:fldCharType="begin"/>
      </w:r>
      <w:r w:rsidRPr="00154F1D">
        <w:instrText xml:space="preserve"> PAGEREF _Toc535868891 \h </w:instrText>
      </w:r>
      <w:r w:rsidRPr="00154F1D">
        <w:fldChar w:fldCharType="separate"/>
      </w:r>
      <w:r w:rsidR="001F209C">
        <w:t>viii</w:t>
      </w:r>
      <w:r w:rsidRPr="00154F1D">
        <w:fldChar w:fldCharType="end"/>
      </w:r>
    </w:p>
    <w:p w14:paraId="0CEDA700" w14:textId="7F73C8CE" w:rsidR="00460D34" w:rsidRPr="00154F1D" w:rsidRDefault="00460D34" w:rsidP="00D47380">
      <w:pPr>
        <w:pStyle w:val="TOC1"/>
        <w:rPr>
          <w:rFonts w:asciiTheme="minorHAnsi" w:eastAsiaTheme="minorEastAsia" w:hAnsiTheme="minorHAnsi" w:cstheme="minorBidi"/>
        </w:rPr>
      </w:pPr>
      <w:r w:rsidRPr="00154F1D">
        <w:t>Executive Summary</w:t>
      </w:r>
      <w:r w:rsidRPr="00154F1D">
        <w:tab/>
      </w:r>
      <w:r w:rsidRPr="00154F1D">
        <w:fldChar w:fldCharType="begin"/>
      </w:r>
      <w:r w:rsidRPr="00154F1D">
        <w:instrText xml:space="preserve"> PAGEREF _Toc535868892 \h </w:instrText>
      </w:r>
      <w:r w:rsidRPr="00154F1D">
        <w:fldChar w:fldCharType="separate"/>
      </w:r>
      <w:r w:rsidR="001F209C">
        <w:t>ix</w:t>
      </w:r>
      <w:r w:rsidRPr="00154F1D">
        <w:fldChar w:fldCharType="end"/>
      </w:r>
    </w:p>
    <w:p w14:paraId="1B264E56" w14:textId="439C85E1" w:rsidR="00460D34" w:rsidRPr="00154F1D" w:rsidRDefault="00460D34" w:rsidP="00D47380">
      <w:pPr>
        <w:pStyle w:val="TOC1"/>
        <w:rPr>
          <w:rFonts w:asciiTheme="minorHAnsi" w:eastAsiaTheme="minorEastAsia" w:hAnsiTheme="minorHAnsi" w:cstheme="minorBidi"/>
        </w:rPr>
      </w:pPr>
      <w:r w:rsidRPr="00154F1D">
        <w:t>Summary of Questions</w:t>
      </w:r>
      <w:r w:rsidRPr="00154F1D">
        <w:tab/>
      </w:r>
      <w:r w:rsidRPr="00154F1D">
        <w:fldChar w:fldCharType="begin"/>
      </w:r>
      <w:r w:rsidRPr="00154F1D">
        <w:instrText xml:space="preserve"> PAGEREF _Toc535868901 \h </w:instrText>
      </w:r>
      <w:r w:rsidRPr="00154F1D">
        <w:fldChar w:fldCharType="separate"/>
      </w:r>
      <w:r w:rsidR="001F209C">
        <w:t>xviii</w:t>
      </w:r>
      <w:r w:rsidRPr="00154F1D">
        <w:fldChar w:fldCharType="end"/>
      </w:r>
    </w:p>
    <w:p w14:paraId="0A0DC445" w14:textId="40A99BF8" w:rsidR="00460D34" w:rsidRPr="00154F1D" w:rsidRDefault="00460D34" w:rsidP="00D47380">
      <w:pPr>
        <w:pStyle w:val="TOC1"/>
        <w:rPr>
          <w:rFonts w:asciiTheme="minorHAnsi" w:eastAsiaTheme="minorEastAsia" w:hAnsiTheme="minorHAnsi" w:cstheme="minorBidi"/>
        </w:rPr>
      </w:pPr>
      <w:r w:rsidRPr="00154F1D">
        <w:t>Part 1 – Introduction</w:t>
      </w:r>
      <w:r w:rsidRPr="00154F1D">
        <w:tab/>
      </w:r>
      <w:r w:rsidRPr="00154F1D">
        <w:fldChar w:fldCharType="begin"/>
      </w:r>
      <w:r w:rsidRPr="00154F1D">
        <w:instrText xml:space="preserve"> PAGEREF _Toc535868903 \h </w:instrText>
      </w:r>
      <w:r w:rsidRPr="00154F1D">
        <w:fldChar w:fldCharType="separate"/>
      </w:r>
      <w:r w:rsidR="001F209C">
        <w:t>1</w:t>
      </w:r>
      <w:r w:rsidRPr="00154F1D">
        <w:fldChar w:fldCharType="end"/>
      </w:r>
    </w:p>
    <w:p w14:paraId="4D2F4283" w14:textId="0881A25B" w:rsidR="00460D34" w:rsidRPr="007A4079" w:rsidRDefault="00460D34" w:rsidP="004C5EE0">
      <w:pPr>
        <w:pStyle w:val="TOC2"/>
        <w:rPr>
          <w:rFonts w:asciiTheme="minorHAnsi" w:eastAsiaTheme="minorEastAsia" w:hAnsiTheme="minorHAnsi" w:cstheme="minorBidi"/>
          <w:noProof/>
          <w:sz w:val="22"/>
          <w:szCs w:val="22"/>
        </w:rPr>
      </w:pPr>
      <w:r w:rsidRPr="007A4079">
        <w:rPr>
          <w:noProof/>
          <w:sz w:val="22"/>
          <w:szCs w:val="22"/>
        </w:rPr>
        <w:t>1.1</w:t>
      </w:r>
      <w:r w:rsidRPr="007A4079">
        <w:rPr>
          <w:rFonts w:asciiTheme="minorHAnsi" w:eastAsiaTheme="minorEastAsia" w:hAnsiTheme="minorHAnsi" w:cstheme="minorBidi"/>
          <w:noProof/>
          <w:sz w:val="22"/>
          <w:szCs w:val="22"/>
        </w:rPr>
        <w:tab/>
      </w:r>
      <w:r w:rsidRPr="007A4079">
        <w:rPr>
          <w:noProof/>
          <w:sz w:val="22"/>
          <w:szCs w:val="22"/>
        </w:rPr>
        <w:t>Background to the Reference</w:t>
      </w:r>
      <w:r w:rsidRPr="007A4079">
        <w:rPr>
          <w:noProof/>
          <w:sz w:val="22"/>
          <w:szCs w:val="22"/>
        </w:rPr>
        <w:tab/>
      </w:r>
      <w:r w:rsidRPr="007A4079">
        <w:rPr>
          <w:noProof/>
          <w:sz w:val="22"/>
          <w:szCs w:val="22"/>
        </w:rPr>
        <w:fldChar w:fldCharType="begin"/>
      </w:r>
      <w:r w:rsidRPr="007A4079">
        <w:rPr>
          <w:noProof/>
          <w:sz w:val="22"/>
          <w:szCs w:val="22"/>
        </w:rPr>
        <w:instrText xml:space="preserve"> PAGEREF _Toc535868904 \h </w:instrText>
      </w:r>
      <w:r w:rsidRPr="007A4079">
        <w:rPr>
          <w:noProof/>
          <w:sz w:val="22"/>
          <w:szCs w:val="22"/>
        </w:rPr>
      </w:r>
      <w:r w:rsidRPr="007A4079">
        <w:rPr>
          <w:noProof/>
          <w:sz w:val="22"/>
          <w:szCs w:val="22"/>
        </w:rPr>
        <w:fldChar w:fldCharType="separate"/>
      </w:r>
      <w:r w:rsidR="001F209C">
        <w:rPr>
          <w:noProof/>
          <w:sz w:val="22"/>
          <w:szCs w:val="22"/>
        </w:rPr>
        <w:t>1</w:t>
      </w:r>
      <w:r w:rsidRPr="007A4079">
        <w:rPr>
          <w:noProof/>
          <w:sz w:val="22"/>
          <w:szCs w:val="22"/>
        </w:rPr>
        <w:fldChar w:fldCharType="end"/>
      </w:r>
    </w:p>
    <w:p w14:paraId="29178551" w14:textId="1DAAA001" w:rsidR="00460D34" w:rsidRPr="007A4079" w:rsidRDefault="00460D34" w:rsidP="004C5EE0">
      <w:pPr>
        <w:pStyle w:val="TOC2"/>
        <w:rPr>
          <w:rFonts w:asciiTheme="minorHAnsi" w:eastAsiaTheme="minorEastAsia" w:hAnsiTheme="minorHAnsi" w:cstheme="minorBidi"/>
          <w:noProof/>
          <w:sz w:val="22"/>
          <w:szCs w:val="22"/>
        </w:rPr>
      </w:pPr>
      <w:r w:rsidRPr="007A4079">
        <w:rPr>
          <w:noProof/>
          <w:sz w:val="22"/>
          <w:szCs w:val="22"/>
        </w:rPr>
        <w:t>1.2</w:t>
      </w:r>
      <w:r w:rsidRPr="007A4079">
        <w:rPr>
          <w:rFonts w:asciiTheme="minorHAnsi" w:eastAsiaTheme="minorEastAsia" w:hAnsiTheme="minorHAnsi" w:cstheme="minorBidi"/>
          <w:noProof/>
          <w:sz w:val="22"/>
          <w:szCs w:val="22"/>
        </w:rPr>
        <w:tab/>
      </w:r>
      <w:r w:rsidRPr="007A4079">
        <w:rPr>
          <w:noProof/>
          <w:sz w:val="22"/>
          <w:szCs w:val="22"/>
        </w:rPr>
        <w:t>Structure of this Issues Paper</w:t>
      </w:r>
      <w:r w:rsidRPr="007A4079">
        <w:rPr>
          <w:noProof/>
          <w:sz w:val="22"/>
          <w:szCs w:val="22"/>
        </w:rPr>
        <w:tab/>
      </w:r>
      <w:r w:rsidRPr="007A4079">
        <w:rPr>
          <w:noProof/>
          <w:sz w:val="22"/>
          <w:szCs w:val="22"/>
        </w:rPr>
        <w:fldChar w:fldCharType="begin"/>
      </w:r>
      <w:r w:rsidRPr="007A4079">
        <w:rPr>
          <w:noProof/>
          <w:sz w:val="22"/>
          <w:szCs w:val="22"/>
        </w:rPr>
        <w:instrText xml:space="preserve"> PAGEREF _Toc535868905 \h </w:instrText>
      </w:r>
      <w:r w:rsidRPr="007A4079">
        <w:rPr>
          <w:noProof/>
          <w:sz w:val="22"/>
          <w:szCs w:val="22"/>
        </w:rPr>
      </w:r>
      <w:r w:rsidRPr="007A4079">
        <w:rPr>
          <w:noProof/>
          <w:sz w:val="22"/>
          <w:szCs w:val="22"/>
        </w:rPr>
        <w:fldChar w:fldCharType="separate"/>
      </w:r>
      <w:r w:rsidR="001F209C">
        <w:rPr>
          <w:noProof/>
          <w:sz w:val="22"/>
          <w:szCs w:val="22"/>
        </w:rPr>
        <w:t>2</w:t>
      </w:r>
      <w:r w:rsidRPr="007A4079">
        <w:rPr>
          <w:noProof/>
          <w:sz w:val="22"/>
          <w:szCs w:val="22"/>
        </w:rPr>
        <w:fldChar w:fldCharType="end"/>
      </w:r>
    </w:p>
    <w:p w14:paraId="06623338" w14:textId="7AFFF4F2" w:rsidR="00460D34" w:rsidRPr="007A4079" w:rsidRDefault="00460D34" w:rsidP="004C5EE0">
      <w:pPr>
        <w:pStyle w:val="TOC2"/>
        <w:rPr>
          <w:rFonts w:asciiTheme="minorHAnsi" w:eastAsiaTheme="minorEastAsia" w:hAnsiTheme="minorHAnsi" w:cstheme="minorBidi"/>
          <w:noProof/>
          <w:sz w:val="22"/>
          <w:szCs w:val="22"/>
        </w:rPr>
      </w:pPr>
      <w:r w:rsidRPr="007A4079">
        <w:rPr>
          <w:noProof/>
          <w:sz w:val="22"/>
          <w:szCs w:val="22"/>
        </w:rPr>
        <w:t>1.3</w:t>
      </w:r>
      <w:r w:rsidRPr="007A4079">
        <w:rPr>
          <w:rFonts w:asciiTheme="minorHAnsi" w:eastAsiaTheme="minorEastAsia" w:hAnsiTheme="minorHAnsi" w:cstheme="minorBidi"/>
          <w:noProof/>
          <w:sz w:val="22"/>
          <w:szCs w:val="22"/>
        </w:rPr>
        <w:tab/>
      </w:r>
      <w:r w:rsidRPr="007A4079">
        <w:rPr>
          <w:noProof/>
          <w:sz w:val="22"/>
          <w:szCs w:val="22"/>
        </w:rPr>
        <w:t>Scope of the Reference</w:t>
      </w:r>
      <w:r w:rsidRPr="007A4079">
        <w:rPr>
          <w:noProof/>
          <w:sz w:val="22"/>
          <w:szCs w:val="22"/>
        </w:rPr>
        <w:tab/>
      </w:r>
      <w:r w:rsidRPr="007A4079">
        <w:rPr>
          <w:noProof/>
          <w:sz w:val="22"/>
          <w:szCs w:val="22"/>
        </w:rPr>
        <w:fldChar w:fldCharType="begin"/>
      </w:r>
      <w:r w:rsidRPr="007A4079">
        <w:rPr>
          <w:noProof/>
          <w:sz w:val="22"/>
          <w:szCs w:val="22"/>
        </w:rPr>
        <w:instrText xml:space="preserve"> PAGEREF _Toc535868906 \h </w:instrText>
      </w:r>
      <w:r w:rsidRPr="007A4079">
        <w:rPr>
          <w:noProof/>
          <w:sz w:val="22"/>
          <w:szCs w:val="22"/>
        </w:rPr>
      </w:r>
      <w:r w:rsidRPr="007A4079">
        <w:rPr>
          <w:noProof/>
          <w:sz w:val="22"/>
          <w:szCs w:val="22"/>
        </w:rPr>
        <w:fldChar w:fldCharType="separate"/>
      </w:r>
      <w:r w:rsidR="001F209C">
        <w:rPr>
          <w:noProof/>
          <w:sz w:val="22"/>
          <w:szCs w:val="22"/>
        </w:rPr>
        <w:t>3</w:t>
      </w:r>
      <w:r w:rsidRPr="007A4079">
        <w:rPr>
          <w:noProof/>
          <w:sz w:val="22"/>
          <w:szCs w:val="22"/>
        </w:rPr>
        <w:fldChar w:fldCharType="end"/>
      </w:r>
    </w:p>
    <w:p w14:paraId="243CE1BD" w14:textId="6126E448" w:rsidR="00460D34" w:rsidRPr="00154F1D" w:rsidRDefault="00460D34" w:rsidP="00D47380">
      <w:pPr>
        <w:pStyle w:val="TOC1"/>
        <w:rPr>
          <w:rFonts w:asciiTheme="minorHAnsi" w:eastAsiaTheme="minorEastAsia" w:hAnsiTheme="minorHAnsi" w:cstheme="minorBidi"/>
        </w:rPr>
      </w:pPr>
      <w:r w:rsidRPr="00154F1D">
        <w:t>Part 2 – Background and Principles</w:t>
      </w:r>
      <w:r w:rsidRPr="00154F1D">
        <w:tab/>
      </w:r>
      <w:r w:rsidRPr="00154F1D">
        <w:fldChar w:fldCharType="begin"/>
      </w:r>
      <w:r w:rsidRPr="00154F1D">
        <w:instrText xml:space="preserve"> PAGEREF _Toc535868908 \h </w:instrText>
      </w:r>
      <w:r w:rsidRPr="00154F1D">
        <w:fldChar w:fldCharType="separate"/>
      </w:r>
      <w:r w:rsidR="001F209C">
        <w:t>5</w:t>
      </w:r>
      <w:r w:rsidRPr="00154F1D">
        <w:fldChar w:fldCharType="end"/>
      </w:r>
    </w:p>
    <w:p w14:paraId="4EACC9BB" w14:textId="13A96BD5" w:rsidR="00460D34" w:rsidRPr="007A4079" w:rsidRDefault="00460D34" w:rsidP="004C5EE0">
      <w:pPr>
        <w:pStyle w:val="TOC2"/>
        <w:rPr>
          <w:rFonts w:asciiTheme="minorHAnsi" w:eastAsiaTheme="minorEastAsia" w:hAnsiTheme="minorHAnsi" w:cstheme="minorBidi"/>
          <w:noProof/>
          <w:sz w:val="22"/>
          <w:szCs w:val="22"/>
        </w:rPr>
      </w:pPr>
      <w:r w:rsidRPr="007A4079">
        <w:rPr>
          <w:noProof/>
          <w:sz w:val="22"/>
          <w:szCs w:val="22"/>
        </w:rPr>
        <w:t>2.1</w:t>
      </w:r>
      <w:r w:rsidRPr="007A4079">
        <w:rPr>
          <w:rFonts w:asciiTheme="minorHAnsi" w:eastAsiaTheme="minorEastAsia" w:hAnsiTheme="minorHAnsi" w:cstheme="minorBidi"/>
          <w:noProof/>
          <w:sz w:val="22"/>
          <w:szCs w:val="22"/>
        </w:rPr>
        <w:tab/>
      </w:r>
      <w:r w:rsidRPr="007A4079">
        <w:rPr>
          <w:noProof/>
          <w:sz w:val="22"/>
          <w:szCs w:val="22"/>
        </w:rPr>
        <w:t>Introduction</w:t>
      </w:r>
      <w:r w:rsidRPr="007A4079">
        <w:rPr>
          <w:noProof/>
          <w:sz w:val="22"/>
          <w:szCs w:val="22"/>
        </w:rPr>
        <w:tab/>
      </w:r>
      <w:r w:rsidRPr="007A4079">
        <w:rPr>
          <w:noProof/>
          <w:sz w:val="22"/>
          <w:szCs w:val="22"/>
        </w:rPr>
        <w:fldChar w:fldCharType="begin"/>
      </w:r>
      <w:r w:rsidRPr="007A4079">
        <w:rPr>
          <w:noProof/>
          <w:sz w:val="22"/>
          <w:szCs w:val="22"/>
        </w:rPr>
        <w:instrText xml:space="preserve"> PAGEREF _Toc535868909 \h </w:instrText>
      </w:r>
      <w:r w:rsidRPr="007A4079">
        <w:rPr>
          <w:noProof/>
          <w:sz w:val="22"/>
          <w:szCs w:val="22"/>
        </w:rPr>
      </w:r>
      <w:r w:rsidRPr="007A4079">
        <w:rPr>
          <w:noProof/>
          <w:sz w:val="22"/>
          <w:szCs w:val="22"/>
        </w:rPr>
        <w:fldChar w:fldCharType="separate"/>
      </w:r>
      <w:r w:rsidR="001F209C">
        <w:rPr>
          <w:noProof/>
          <w:sz w:val="22"/>
          <w:szCs w:val="22"/>
        </w:rPr>
        <w:t>5</w:t>
      </w:r>
      <w:r w:rsidRPr="007A4079">
        <w:rPr>
          <w:noProof/>
          <w:sz w:val="22"/>
          <w:szCs w:val="22"/>
        </w:rPr>
        <w:fldChar w:fldCharType="end"/>
      </w:r>
    </w:p>
    <w:p w14:paraId="55C3EA64" w14:textId="724E3291" w:rsidR="00460D34" w:rsidRPr="007A4079" w:rsidRDefault="00460D34" w:rsidP="004C5EE0">
      <w:pPr>
        <w:pStyle w:val="TOC2"/>
        <w:rPr>
          <w:rFonts w:asciiTheme="minorHAnsi" w:eastAsiaTheme="minorEastAsia" w:hAnsiTheme="minorHAnsi" w:cstheme="minorBidi"/>
          <w:noProof/>
          <w:sz w:val="22"/>
          <w:szCs w:val="22"/>
        </w:rPr>
      </w:pPr>
      <w:r w:rsidRPr="007A4079">
        <w:rPr>
          <w:noProof/>
          <w:sz w:val="22"/>
          <w:szCs w:val="22"/>
        </w:rPr>
        <w:t>2.2</w:t>
      </w:r>
      <w:r w:rsidRPr="007A4079">
        <w:rPr>
          <w:rFonts w:asciiTheme="minorHAnsi" w:eastAsiaTheme="minorEastAsia" w:hAnsiTheme="minorHAnsi" w:cstheme="minorBidi"/>
          <w:noProof/>
          <w:sz w:val="22"/>
          <w:szCs w:val="22"/>
        </w:rPr>
        <w:tab/>
      </w:r>
      <w:r w:rsidRPr="007A4079">
        <w:rPr>
          <w:noProof/>
          <w:sz w:val="22"/>
          <w:szCs w:val="22"/>
        </w:rPr>
        <w:t>Brief overview of legislative framework</w:t>
      </w:r>
      <w:r w:rsidRPr="007A4079">
        <w:rPr>
          <w:noProof/>
          <w:sz w:val="22"/>
          <w:szCs w:val="22"/>
        </w:rPr>
        <w:tab/>
      </w:r>
      <w:r w:rsidRPr="007A4079">
        <w:rPr>
          <w:noProof/>
          <w:sz w:val="22"/>
          <w:szCs w:val="22"/>
        </w:rPr>
        <w:fldChar w:fldCharType="begin"/>
      </w:r>
      <w:r w:rsidRPr="007A4079">
        <w:rPr>
          <w:noProof/>
          <w:sz w:val="22"/>
          <w:szCs w:val="22"/>
        </w:rPr>
        <w:instrText xml:space="preserve"> PAGEREF _Toc535868910 \h </w:instrText>
      </w:r>
      <w:r w:rsidRPr="007A4079">
        <w:rPr>
          <w:noProof/>
          <w:sz w:val="22"/>
          <w:szCs w:val="22"/>
        </w:rPr>
      </w:r>
      <w:r w:rsidRPr="007A4079">
        <w:rPr>
          <w:noProof/>
          <w:sz w:val="22"/>
          <w:szCs w:val="22"/>
        </w:rPr>
        <w:fldChar w:fldCharType="separate"/>
      </w:r>
      <w:r w:rsidR="001F209C">
        <w:rPr>
          <w:noProof/>
          <w:sz w:val="22"/>
          <w:szCs w:val="22"/>
        </w:rPr>
        <w:t>5</w:t>
      </w:r>
      <w:r w:rsidRPr="007A4079">
        <w:rPr>
          <w:noProof/>
          <w:sz w:val="22"/>
          <w:szCs w:val="22"/>
        </w:rPr>
        <w:fldChar w:fldCharType="end"/>
      </w:r>
    </w:p>
    <w:p w14:paraId="5803E7E7" w14:textId="626A6EF1" w:rsidR="00460D34" w:rsidRPr="007A4079" w:rsidRDefault="00460D34" w:rsidP="004C5EE0">
      <w:pPr>
        <w:pStyle w:val="TOC2"/>
        <w:rPr>
          <w:rFonts w:asciiTheme="minorHAnsi" w:eastAsiaTheme="minorEastAsia" w:hAnsiTheme="minorHAnsi" w:cstheme="minorBidi"/>
          <w:noProof/>
          <w:sz w:val="22"/>
          <w:szCs w:val="22"/>
        </w:rPr>
      </w:pPr>
      <w:r w:rsidRPr="007A4079">
        <w:rPr>
          <w:noProof/>
          <w:sz w:val="22"/>
          <w:szCs w:val="22"/>
        </w:rPr>
        <w:t>2.3</w:t>
      </w:r>
      <w:r w:rsidRPr="007A4079">
        <w:rPr>
          <w:rFonts w:asciiTheme="minorHAnsi" w:eastAsiaTheme="minorEastAsia" w:hAnsiTheme="minorHAnsi" w:cstheme="minorBidi"/>
          <w:noProof/>
          <w:sz w:val="22"/>
          <w:szCs w:val="22"/>
        </w:rPr>
        <w:tab/>
      </w:r>
      <w:r w:rsidRPr="007A4079">
        <w:rPr>
          <w:noProof/>
          <w:sz w:val="22"/>
          <w:szCs w:val="22"/>
        </w:rPr>
        <w:t>Understanding fitness to stand trial and the defence of insanity</w:t>
      </w:r>
      <w:r w:rsidRPr="007A4079">
        <w:rPr>
          <w:noProof/>
          <w:sz w:val="22"/>
          <w:szCs w:val="22"/>
        </w:rPr>
        <w:tab/>
      </w:r>
      <w:r w:rsidRPr="007A4079">
        <w:rPr>
          <w:noProof/>
          <w:sz w:val="22"/>
          <w:szCs w:val="22"/>
        </w:rPr>
        <w:fldChar w:fldCharType="begin"/>
      </w:r>
      <w:r w:rsidRPr="007A4079">
        <w:rPr>
          <w:noProof/>
          <w:sz w:val="22"/>
          <w:szCs w:val="22"/>
        </w:rPr>
        <w:instrText xml:space="preserve"> PAGEREF _Toc535868911 \h </w:instrText>
      </w:r>
      <w:r w:rsidRPr="007A4079">
        <w:rPr>
          <w:noProof/>
          <w:sz w:val="22"/>
          <w:szCs w:val="22"/>
        </w:rPr>
      </w:r>
      <w:r w:rsidRPr="007A4079">
        <w:rPr>
          <w:noProof/>
          <w:sz w:val="22"/>
          <w:szCs w:val="22"/>
        </w:rPr>
        <w:fldChar w:fldCharType="separate"/>
      </w:r>
      <w:r w:rsidR="001F209C">
        <w:rPr>
          <w:noProof/>
          <w:sz w:val="22"/>
          <w:szCs w:val="22"/>
        </w:rPr>
        <w:t>7</w:t>
      </w:r>
      <w:r w:rsidRPr="007A4079">
        <w:rPr>
          <w:noProof/>
          <w:sz w:val="22"/>
          <w:szCs w:val="22"/>
        </w:rPr>
        <w:fldChar w:fldCharType="end"/>
      </w:r>
    </w:p>
    <w:p w14:paraId="28E46023" w14:textId="2C167E56" w:rsidR="00460D34" w:rsidRPr="007A4079" w:rsidRDefault="00460D34" w:rsidP="00460D34">
      <w:pPr>
        <w:pStyle w:val="TOC3"/>
        <w:rPr>
          <w:rFonts w:asciiTheme="minorHAnsi" w:eastAsiaTheme="minorEastAsia" w:hAnsiTheme="minorHAnsi" w:cstheme="minorBidi"/>
          <w:noProof/>
          <w:sz w:val="22"/>
          <w:szCs w:val="22"/>
        </w:rPr>
      </w:pPr>
      <w:r w:rsidRPr="007A4079">
        <w:rPr>
          <w:noProof/>
          <w:sz w:val="22"/>
          <w:szCs w:val="22"/>
        </w:rPr>
        <w:t>The difference between insanity and fitness to stand trial</w:t>
      </w:r>
      <w:r w:rsidRPr="007A4079">
        <w:rPr>
          <w:noProof/>
          <w:sz w:val="22"/>
          <w:szCs w:val="22"/>
        </w:rPr>
        <w:tab/>
      </w:r>
      <w:r w:rsidRPr="007A4079">
        <w:rPr>
          <w:noProof/>
          <w:sz w:val="22"/>
          <w:szCs w:val="22"/>
        </w:rPr>
        <w:fldChar w:fldCharType="begin"/>
      </w:r>
      <w:r w:rsidRPr="007A4079">
        <w:rPr>
          <w:noProof/>
          <w:sz w:val="22"/>
          <w:szCs w:val="22"/>
        </w:rPr>
        <w:instrText xml:space="preserve"> PAGEREF _Toc535868912 \h </w:instrText>
      </w:r>
      <w:r w:rsidRPr="007A4079">
        <w:rPr>
          <w:noProof/>
          <w:sz w:val="22"/>
          <w:szCs w:val="22"/>
        </w:rPr>
      </w:r>
      <w:r w:rsidRPr="007A4079">
        <w:rPr>
          <w:noProof/>
          <w:sz w:val="22"/>
          <w:szCs w:val="22"/>
        </w:rPr>
        <w:fldChar w:fldCharType="separate"/>
      </w:r>
      <w:r w:rsidR="001F209C">
        <w:rPr>
          <w:noProof/>
          <w:sz w:val="22"/>
          <w:szCs w:val="22"/>
        </w:rPr>
        <w:t>7</w:t>
      </w:r>
      <w:r w:rsidRPr="007A4079">
        <w:rPr>
          <w:noProof/>
          <w:sz w:val="22"/>
          <w:szCs w:val="22"/>
        </w:rPr>
        <w:fldChar w:fldCharType="end"/>
      </w:r>
    </w:p>
    <w:p w14:paraId="5C48E2AC" w14:textId="7EF2FC23" w:rsidR="00460D34" w:rsidRPr="007A4079" w:rsidRDefault="00460D34" w:rsidP="00460D34">
      <w:pPr>
        <w:pStyle w:val="TOC3"/>
        <w:rPr>
          <w:rFonts w:asciiTheme="minorHAnsi" w:eastAsiaTheme="minorEastAsia" w:hAnsiTheme="minorHAnsi" w:cstheme="minorBidi"/>
          <w:noProof/>
          <w:sz w:val="22"/>
          <w:szCs w:val="22"/>
        </w:rPr>
      </w:pPr>
      <w:r w:rsidRPr="007A4079">
        <w:rPr>
          <w:noProof/>
          <w:sz w:val="22"/>
          <w:szCs w:val="22"/>
        </w:rPr>
        <w:t>The criminal justice pathway</w:t>
      </w:r>
      <w:r w:rsidRPr="007A4079">
        <w:rPr>
          <w:noProof/>
          <w:sz w:val="22"/>
          <w:szCs w:val="22"/>
        </w:rPr>
        <w:tab/>
      </w:r>
      <w:r w:rsidRPr="007A4079">
        <w:rPr>
          <w:noProof/>
          <w:sz w:val="22"/>
          <w:szCs w:val="22"/>
        </w:rPr>
        <w:fldChar w:fldCharType="begin"/>
      </w:r>
      <w:r w:rsidRPr="007A4079">
        <w:rPr>
          <w:noProof/>
          <w:sz w:val="22"/>
          <w:szCs w:val="22"/>
        </w:rPr>
        <w:instrText xml:space="preserve"> PAGEREF _Toc535868913 \h </w:instrText>
      </w:r>
      <w:r w:rsidRPr="007A4079">
        <w:rPr>
          <w:noProof/>
          <w:sz w:val="22"/>
          <w:szCs w:val="22"/>
        </w:rPr>
      </w:r>
      <w:r w:rsidRPr="007A4079">
        <w:rPr>
          <w:noProof/>
          <w:sz w:val="22"/>
          <w:szCs w:val="22"/>
        </w:rPr>
        <w:fldChar w:fldCharType="separate"/>
      </w:r>
      <w:r w:rsidR="001F209C">
        <w:rPr>
          <w:noProof/>
          <w:sz w:val="22"/>
          <w:szCs w:val="22"/>
        </w:rPr>
        <w:t>8</w:t>
      </w:r>
      <w:r w:rsidRPr="007A4079">
        <w:rPr>
          <w:noProof/>
          <w:sz w:val="22"/>
          <w:szCs w:val="22"/>
        </w:rPr>
        <w:fldChar w:fldCharType="end"/>
      </w:r>
    </w:p>
    <w:p w14:paraId="732CD705" w14:textId="37E18D43" w:rsidR="00460D34" w:rsidRPr="007A4079" w:rsidRDefault="00460D34" w:rsidP="004C5EE0">
      <w:pPr>
        <w:pStyle w:val="TOC2"/>
        <w:rPr>
          <w:rFonts w:asciiTheme="minorHAnsi" w:eastAsiaTheme="minorEastAsia" w:hAnsiTheme="minorHAnsi" w:cstheme="minorBidi"/>
          <w:noProof/>
          <w:sz w:val="22"/>
          <w:szCs w:val="22"/>
        </w:rPr>
      </w:pPr>
      <w:r w:rsidRPr="007A4079">
        <w:rPr>
          <w:noProof/>
          <w:sz w:val="22"/>
          <w:szCs w:val="22"/>
        </w:rPr>
        <w:t>2.4</w:t>
      </w:r>
      <w:r w:rsidRPr="007A4079">
        <w:rPr>
          <w:rFonts w:asciiTheme="minorHAnsi" w:eastAsiaTheme="minorEastAsia" w:hAnsiTheme="minorHAnsi" w:cstheme="minorBidi"/>
          <w:noProof/>
          <w:sz w:val="22"/>
          <w:szCs w:val="22"/>
        </w:rPr>
        <w:tab/>
      </w:r>
      <w:r w:rsidRPr="007A4079">
        <w:rPr>
          <w:noProof/>
          <w:sz w:val="22"/>
          <w:szCs w:val="22"/>
        </w:rPr>
        <w:t xml:space="preserve">The principles underlying the </w:t>
      </w:r>
      <w:r w:rsidRPr="007A4079">
        <w:rPr>
          <w:i/>
          <w:noProof/>
          <w:sz w:val="22"/>
          <w:szCs w:val="22"/>
        </w:rPr>
        <w:t>Criminal Justice Mental Impairment Act 1999</w:t>
      </w:r>
      <w:r w:rsidRPr="007A4079">
        <w:rPr>
          <w:noProof/>
          <w:sz w:val="22"/>
          <w:szCs w:val="22"/>
        </w:rPr>
        <w:t xml:space="preserve"> (Tas)</w:t>
      </w:r>
      <w:r w:rsidRPr="007A4079">
        <w:rPr>
          <w:noProof/>
          <w:sz w:val="22"/>
          <w:szCs w:val="22"/>
        </w:rPr>
        <w:tab/>
      </w:r>
      <w:r w:rsidRPr="007A4079">
        <w:rPr>
          <w:noProof/>
          <w:sz w:val="22"/>
          <w:szCs w:val="22"/>
        </w:rPr>
        <w:fldChar w:fldCharType="begin"/>
      </w:r>
      <w:r w:rsidRPr="007A4079">
        <w:rPr>
          <w:noProof/>
          <w:sz w:val="22"/>
          <w:szCs w:val="22"/>
        </w:rPr>
        <w:instrText xml:space="preserve"> PAGEREF _Toc535868914 \h </w:instrText>
      </w:r>
      <w:r w:rsidRPr="007A4079">
        <w:rPr>
          <w:noProof/>
          <w:sz w:val="22"/>
          <w:szCs w:val="22"/>
        </w:rPr>
      </w:r>
      <w:r w:rsidRPr="007A4079">
        <w:rPr>
          <w:noProof/>
          <w:sz w:val="22"/>
          <w:szCs w:val="22"/>
        </w:rPr>
        <w:fldChar w:fldCharType="separate"/>
      </w:r>
      <w:r w:rsidR="001F209C">
        <w:rPr>
          <w:noProof/>
          <w:sz w:val="22"/>
          <w:szCs w:val="22"/>
        </w:rPr>
        <w:t>10</w:t>
      </w:r>
      <w:r w:rsidRPr="007A4079">
        <w:rPr>
          <w:noProof/>
          <w:sz w:val="22"/>
          <w:szCs w:val="22"/>
        </w:rPr>
        <w:fldChar w:fldCharType="end"/>
      </w:r>
    </w:p>
    <w:p w14:paraId="1A41C24C" w14:textId="6DB87E8C" w:rsidR="00460D34" w:rsidRPr="007A4079" w:rsidRDefault="00460D34" w:rsidP="00460D34">
      <w:pPr>
        <w:pStyle w:val="TOC3"/>
        <w:rPr>
          <w:rFonts w:asciiTheme="minorHAnsi" w:eastAsiaTheme="minorEastAsia" w:hAnsiTheme="minorHAnsi" w:cstheme="minorBidi"/>
          <w:noProof/>
          <w:sz w:val="22"/>
          <w:szCs w:val="22"/>
        </w:rPr>
      </w:pPr>
      <w:r w:rsidRPr="007A4079">
        <w:rPr>
          <w:noProof/>
          <w:sz w:val="22"/>
          <w:szCs w:val="22"/>
        </w:rPr>
        <w:t xml:space="preserve">Background to the </w:t>
      </w:r>
      <w:r w:rsidRPr="007A4079">
        <w:rPr>
          <w:i/>
          <w:noProof/>
          <w:sz w:val="22"/>
          <w:szCs w:val="22"/>
        </w:rPr>
        <w:t>Criminal Justice Mental Impairment Act 1999</w:t>
      </w:r>
      <w:r w:rsidRPr="007A4079">
        <w:rPr>
          <w:noProof/>
          <w:sz w:val="22"/>
          <w:szCs w:val="22"/>
        </w:rPr>
        <w:t xml:space="preserve"> (Tas)</w:t>
      </w:r>
      <w:r w:rsidRPr="007A4079">
        <w:rPr>
          <w:noProof/>
          <w:sz w:val="22"/>
          <w:szCs w:val="22"/>
        </w:rPr>
        <w:tab/>
      </w:r>
      <w:r w:rsidRPr="007A4079">
        <w:rPr>
          <w:noProof/>
          <w:sz w:val="22"/>
          <w:szCs w:val="22"/>
        </w:rPr>
        <w:fldChar w:fldCharType="begin"/>
      </w:r>
      <w:r w:rsidRPr="007A4079">
        <w:rPr>
          <w:noProof/>
          <w:sz w:val="22"/>
          <w:szCs w:val="22"/>
        </w:rPr>
        <w:instrText xml:space="preserve"> PAGEREF _Toc535868915 \h </w:instrText>
      </w:r>
      <w:r w:rsidRPr="007A4079">
        <w:rPr>
          <w:noProof/>
          <w:sz w:val="22"/>
          <w:szCs w:val="22"/>
        </w:rPr>
      </w:r>
      <w:r w:rsidRPr="007A4079">
        <w:rPr>
          <w:noProof/>
          <w:sz w:val="22"/>
          <w:szCs w:val="22"/>
        </w:rPr>
        <w:fldChar w:fldCharType="separate"/>
      </w:r>
      <w:r w:rsidR="001F209C">
        <w:rPr>
          <w:noProof/>
          <w:sz w:val="22"/>
          <w:szCs w:val="22"/>
        </w:rPr>
        <w:t>10</w:t>
      </w:r>
      <w:r w:rsidRPr="007A4079">
        <w:rPr>
          <w:noProof/>
          <w:sz w:val="22"/>
          <w:szCs w:val="22"/>
        </w:rPr>
        <w:fldChar w:fldCharType="end"/>
      </w:r>
    </w:p>
    <w:p w14:paraId="67C78B3D" w14:textId="5DD53CA1" w:rsidR="00460D34" w:rsidRPr="007A4079" w:rsidRDefault="00460D34" w:rsidP="00460D34">
      <w:pPr>
        <w:pStyle w:val="TOC3"/>
        <w:rPr>
          <w:rFonts w:asciiTheme="minorHAnsi" w:eastAsiaTheme="minorEastAsia" w:hAnsiTheme="minorHAnsi" w:cstheme="minorBidi"/>
          <w:noProof/>
          <w:sz w:val="22"/>
          <w:szCs w:val="22"/>
        </w:rPr>
      </w:pPr>
      <w:r w:rsidRPr="007A4079">
        <w:rPr>
          <w:noProof/>
          <w:sz w:val="22"/>
          <w:szCs w:val="22"/>
        </w:rPr>
        <w:t xml:space="preserve">Principles that underlie the </w:t>
      </w:r>
      <w:r w:rsidRPr="007A4079">
        <w:rPr>
          <w:i/>
          <w:noProof/>
          <w:sz w:val="22"/>
          <w:szCs w:val="22"/>
        </w:rPr>
        <w:t>Criminal Justice Mental Impairment Act 1999</w:t>
      </w:r>
      <w:r w:rsidRPr="007A4079">
        <w:rPr>
          <w:noProof/>
          <w:sz w:val="22"/>
          <w:szCs w:val="22"/>
        </w:rPr>
        <w:t xml:space="preserve"> (Tas)</w:t>
      </w:r>
      <w:r w:rsidRPr="007A4079">
        <w:rPr>
          <w:noProof/>
          <w:sz w:val="22"/>
          <w:szCs w:val="22"/>
        </w:rPr>
        <w:tab/>
      </w:r>
      <w:r w:rsidRPr="007A4079">
        <w:rPr>
          <w:noProof/>
          <w:sz w:val="22"/>
          <w:szCs w:val="22"/>
        </w:rPr>
        <w:fldChar w:fldCharType="begin"/>
      </w:r>
      <w:r w:rsidRPr="007A4079">
        <w:rPr>
          <w:noProof/>
          <w:sz w:val="22"/>
          <w:szCs w:val="22"/>
        </w:rPr>
        <w:instrText xml:space="preserve"> PAGEREF _Toc535868916 \h </w:instrText>
      </w:r>
      <w:r w:rsidRPr="007A4079">
        <w:rPr>
          <w:noProof/>
          <w:sz w:val="22"/>
          <w:szCs w:val="22"/>
        </w:rPr>
      </w:r>
      <w:r w:rsidRPr="007A4079">
        <w:rPr>
          <w:noProof/>
          <w:sz w:val="22"/>
          <w:szCs w:val="22"/>
        </w:rPr>
        <w:fldChar w:fldCharType="separate"/>
      </w:r>
      <w:r w:rsidR="001F209C">
        <w:rPr>
          <w:noProof/>
          <w:sz w:val="22"/>
          <w:szCs w:val="22"/>
        </w:rPr>
        <w:t>12</w:t>
      </w:r>
      <w:r w:rsidRPr="007A4079">
        <w:rPr>
          <w:noProof/>
          <w:sz w:val="22"/>
          <w:szCs w:val="22"/>
        </w:rPr>
        <w:fldChar w:fldCharType="end"/>
      </w:r>
    </w:p>
    <w:p w14:paraId="3B9871AD" w14:textId="56B4C423" w:rsidR="00460D34" w:rsidRPr="00154F1D" w:rsidRDefault="00460D34" w:rsidP="00D47380">
      <w:pPr>
        <w:pStyle w:val="TOC1"/>
        <w:rPr>
          <w:rFonts w:asciiTheme="minorHAnsi" w:eastAsiaTheme="minorEastAsia" w:hAnsiTheme="minorHAnsi" w:cstheme="minorBidi"/>
        </w:rPr>
      </w:pPr>
      <w:r w:rsidRPr="00154F1D">
        <w:t>Part 3 – Mental Health</w:t>
      </w:r>
      <w:r w:rsidR="00DC6B01">
        <w:t xml:space="preserve"> </w:t>
      </w:r>
      <w:r w:rsidR="009954BB">
        <w:t>and</w:t>
      </w:r>
      <w:r w:rsidR="007A4079">
        <w:t xml:space="preserve"> </w:t>
      </w:r>
      <w:r w:rsidRPr="00154F1D">
        <w:t xml:space="preserve">Cognitive Impairments </w:t>
      </w:r>
      <w:r w:rsidR="0058539A" w:rsidRPr="00154F1D">
        <w:t xml:space="preserve">and </w:t>
      </w:r>
      <w:r w:rsidRPr="00154F1D">
        <w:t>the Criminal Justice System</w:t>
      </w:r>
      <w:r w:rsidRPr="00154F1D">
        <w:tab/>
      </w:r>
      <w:r w:rsidRPr="00154F1D">
        <w:fldChar w:fldCharType="begin"/>
      </w:r>
      <w:r w:rsidRPr="00154F1D">
        <w:instrText xml:space="preserve"> PAGEREF _Toc535868918 \h </w:instrText>
      </w:r>
      <w:r w:rsidRPr="00154F1D">
        <w:fldChar w:fldCharType="separate"/>
      </w:r>
      <w:r w:rsidR="001F209C">
        <w:t>15</w:t>
      </w:r>
      <w:r w:rsidRPr="00154F1D">
        <w:fldChar w:fldCharType="end"/>
      </w:r>
    </w:p>
    <w:p w14:paraId="624DD14A" w14:textId="674AF9B6" w:rsidR="00460D34" w:rsidRPr="007A4079" w:rsidRDefault="00460D34" w:rsidP="004C5EE0">
      <w:pPr>
        <w:pStyle w:val="TOC2"/>
        <w:rPr>
          <w:rFonts w:asciiTheme="minorHAnsi" w:eastAsiaTheme="minorEastAsia" w:hAnsiTheme="minorHAnsi" w:cstheme="minorBidi"/>
          <w:noProof/>
          <w:sz w:val="22"/>
          <w:szCs w:val="22"/>
        </w:rPr>
      </w:pPr>
      <w:r w:rsidRPr="007A4079">
        <w:rPr>
          <w:noProof/>
          <w:sz w:val="22"/>
          <w:szCs w:val="22"/>
        </w:rPr>
        <w:t>3.1</w:t>
      </w:r>
      <w:r w:rsidRPr="007A4079">
        <w:rPr>
          <w:rFonts w:asciiTheme="minorHAnsi" w:eastAsiaTheme="minorEastAsia" w:hAnsiTheme="minorHAnsi" w:cstheme="minorBidi"/>
          <w:noProof/>
          <w:sz w:val="22"/>
          <w:szCs w:val="22"/>
        </w:rPr>
        <w:tab/>
      </w:r>
      <w:r w:rsidRPr="007A4079">
        <w:rPr>
          <w:noProof/>
          <w:sz w:val="22"/>
          <w:szCs w:val="22"/>
        </w:rPr>
        <w:t>Introduction</w:t>
      </w:r>
      <w:r w:rsidRPr="007A4079">
        <w:rPr>
          <w:noProof/>
          <w:sz w:val="22"/>
          <w:szCs w:val="22"/>
        </w:rPr>
        <w:tab/>
      </w:r>
      <w:r w:rsidRPr="007A4079">
        <w:rPr>
          <w:noProof/>
          <w:sz w:val="22"/>
          <w:szCs w:val="22"/>
        </w:rPr>
        <w:fldChar w:fldCharType="begin"/>
      </w:r>
      <w:r w:rsidRPr="007A4079">
        <w:rPr>
          <w:noProof/>
          <w:sz w:val="22"/>
          <w:szCs w:val="22"/>
        </w:rPr>
        <w:instrText xml:space="preserve"> PAGEREF _Toc535868919 \h </w:instrText>
      </w:r>
      <w:r w:rsidRPr="007A4079">
        <w:rPr>
          <w:noProof/>
          <w:sz w:val="22"/>
          <w:szCs w:val="22"/>
        </w:rPr>
      </w:r>
      <w:r w:rsidRPr="007A4079">
        <w:rPr>
          <w:noProof/>
          <w:sz w:val="22"/>
          <w:szCs w:val="22"/>
        </w:rPr>
        <w:fldChar w:fldCharType="separate"/>
      </w:r>
      <w:r w:rsidR="001F209C">
        <w:rPr>
          <w:noProof/>
          <w:sz w:val="22"/>
          <w:szCs w:val="22"/>
        </w:rPr>
        <w:t>15</w:t>
      </w:r>
      <w:r w:rsidRPr="007A4079">
        <w:rPr>
          <w:noProof/>
          <w:sz w:val="22"/>
          <w:szCs w:val="22"/>
        </w:rPr>
        <w:fldChar w:fldCharType="end"/>
      </w:r>
    </w:p>
    <w:p w14:paraId="5E62DCBF" w14:textId="28B2456F" w:rsidR="00460D34" w:rsidRPr="007A4079" w:rsidRDefault="00460D34" w:rsidP="004C5EE0">
      <w:pPr>
        <w:pStyle w:val="TOC2"/>
        <w:rPr>
          <w:rFonts w:asciiTheme="minorHAnsi" w:eastAsiaTheme="minorEastAsia" w:hAnsiTheme="minorHAnsi" w:cstheme="minorBidi"/>
          <w:noProof/>
          <w:sz w:val="22"/>
          <w:szCs w:val="22"/>
        </w:rPr>
      </w:pPr>
      <w:r w:rsidRPr="007A4079">
        <w:rPr>
          <w:noProof/>
          <w:sz w:val="22"/>
          <w:szCs w:val="22"/>
        </w:rPr>
        <w:t>3.2</w:t>
      </w:r>
      <w:r w:rsidRPr="007A4079">
        <w:rPr>
          <w:rFonts w:asciiTheme="minorHAnsi" w:eastAsiaTheme="minorEastAsia" w:hAnsiTheme="minorHAnsi" w:cstheme="minorBidi"/>
          <w:noProof/>
          <w:sz w:val="22"/>
          <w:szCs w:val="22"/>
        </w:rPr>
        <w:tab/>
      </w:r>
      <w:r w:rsidRPr="007A4079">
        <w:rPr>
          <w:noProof/>
          <w:sz w:val="22"/>
          <w:szCs w:val="22"/>
        </w:rPr>
        <w:t>Overview of mental illness</w:t>
      </w:r>
      <w:r w:rsidR="007A4079">
        <w:rPr>
          <w:noProof/>
          <w:sz w:val="22"/>
          <w:szCs w:val="22"/>
        </w:rPr>
        <w:t>,</w:t>
      </w:r>
      <w:r w:rsidRPr="007A4079">
        <w:rPr>
          <w:noProof/>
          <w:sz w:val="22"/>
          <w:szCs w:val="22"/>
        </w:rPr>
        <w:t xml:space="preserve"> cognitive impairments and the criminal justice </w:t>
      </w:r>
      <w:r w:rsidR="007A4079">
        <w:rPr>
          <w:noProof/>
          <w:sz w:val="22"/>
          <w:szCs w:val="22"/>
        </w:rPr>
        <w:br/>
      </w:r>
      <w:r w:rsidR="007A4079">
        <w:rPr>
          <w:noProof/>
          <w:sz w:val="22"/>
          <w:szCs w:val="22"/>
        </w:rPr>
        <w:tab/>
      </w:r>
      <w:r w:rsidRPr="007A4079">
        <w:rPr>
          <w:noProof/>
          <w:sz w:val="22"/>
          <w:szCs w:val="22"/>
        </w:rPr>
        <w:t xml:space="preserve">system </w:t>
      </w:r>
      <w:r w:rsidRPr="007A4079">
        <w:rPr>
          <w:noProof/>
          <w:sz w:val="22"/>
          <w:szCs w:val="22"/>
        </w:rPr>
        <w:tab/>
      </w:r>
      <w:r w:rsidRPr="007A4079">
        <w:rPr>
          <w:noProof/>
          <w:sz w:val="22"/>
          <w:szCs w:val="22"/>
        </w:rPr>
        <w:fldChar w:fldCharType="begin"/>
      </w:r>
      <w:r w:rsidRPr="007A4079">
        <w:rPr>
          <w:noProof/>
          <w:sz w:val="22"/>
          <w:szCs w:val="22"/>
        </w:rPr>
        <w:instrText xml:space="preserve"> PAGEREF _Toc535868920 \h </w:instrText>
      </w:r>
      <w:r w:rsidRPr="007A4079">
        <w:rPr>
          <w:noProof/>
          <w:sz w:val="22"/>
          <w:szCs w:val="22"/>
        </w:rPr>
      </w:r>
      <w:r w:rsidRPr="007A4079">
        <w:rPr>
          <w:noProof/>
          <w:sz w:val="22"/>
          <w:szCs w:val="22"/>
        </w:rPr>
        <w:fldChar w:fldCharType="separate"/>
      </w:r>
      <w:r w:rsidR="001F209C">
        <w:rPr>
          <w:noProof/>
          <w:sz w:val="22"/>
          <w:szCs w:val="22"/>
        </w:rPr>
        <w:t>15</w:t>
      </w:r>
      <w:r w:rsidRPr="007A4079">
        <w:rPr>
          <w:noProof/>
          <w:sz w:val="22"/>
          <w:szCs w:val="22"/>
        </w:rPr>
        <w:fldChar w:fldCharType="end"/>
      </w:r>
    </w:p>
    <w:p w14:paraId="11BB7590" w14:textId="60F217BD" w:rsidR="00460D34" w:rsidRPr="007A4079" w:rsidRDefault="00460D34" w:rsidP="004C5EE0">
      <w:pPr>
        <w:pStyle w:val="TOC2"/>
        <w:rPr>
          <w:rFonts w:asciiTheme="minorHAnsi" w:eastAsiaTheme="minorEastAsia" w:hAnsiTheme="minorHAnsi" w:cstheme="minorBidi"/>
          <w:noProof/>
          <w:sz w:val="22"/>
          <w:szCs w:val="22"/>
        </w:rPr>
      </w:pPr>
      <w:r w:rsidRPr="007A4079">
        <w:rPr>
          <w:noProof/>
          <w:sz w:val="22"/>
          <w:szCs w:val="22"/>
        </w:rPr>
        <w:t>3.3</w:t>
      </w:r>
      <w:r w:rsidRPr="007A4079">
        <w:rPr>
          <w:rFonts w:asciiTheme="minorHAnsi" w:eastAsiaTheme="minorEastAsia" w:hAnsiTheme="minorHAnsi" w:cstheme="minorBidi"/>
          <w:noProof/>
          <w:sz w:val="22"/>
          <w:szCs w:val="22"/>
        </w:rPr>
        <w:tab/>
      </w:r>
      <w:r w:rsidRPr="007A4079">
        <w:rPr>
          <w:noProof/>
          <w:sz w:val="22"/>
          <w:szCs w:val="22"/>
        </w:rPr>
        <w:t>Mental health and cognitive impairment as a sentencing factor</w:t>
      </w:r>
      <w:r w:rsidRPr="007A4079">
        <w:rPr>
          <w:noProof/>
          <w:sz w:val="22"/>
          <w:szCs w:val="22"/>
        </w:rPr>
        <w:tab/>
      </w:r>
      <w:r w:rsidRPr="007A4079">
        <w:rPr>
          <w:noProof/>
          <w:sz w:val="22"/>
          <w:szCs w:val="22"/>
        </w:rPr>
        <w:fldChar w:fldCharType="begin"/>
      </w:r>
      <w:r w:rsidRPr="007A4079">
        <w:rPr>
          <w:noProof/>
          <w:sz w:val="22"/>
          <w:szCs w:val="22"/>
        </w:rPr>
        <w:instrText xml:space="preserve"> PAGEREF _Toc535868921 \h </w:instrText>
      </w:r>
      <w:r w:rsidRPr="007A4079">
        <w:rPr>
          <w:noProof/>
          <w:sz w:val="22"/>
          <w:szCs w:val="22"/>
        </w:rPr>
      </w:r>
      <w:r w:rsidRPr="007A4079">
        <w:rPr>
          <w:noProof/>
          <w:sz w:val="22"/>
          <w:szCs w:val="22"/>
        </w:rPr>
        <w:fldChar w:fldCharType="separate"/>
      </w:r>
      <w:r w:rsidR="001F209C">
        <w:rPr>
          <w:noProof/>
          <w:sz w:val="22"/>
          <w:szCs w:val="22"/>
        </w:rPr>
        <w:t>16</w:t>
      </w:r>
      <w:r w:rsidRPr="007A4079">
        <w:rPr>
          <w:noProof/>
          <w:sz w:val="22"/>
          <w:szCs w:val="22"/>
        </w:rPr>
        <w:fldChar w:fldCharType="end"/>
      </w:r>
    </w:p>
    <w:p w14:paraId="5F99D78C" w14:textId="1A806A96" w:rsidR="00460D34" w:rsidRPr="007A4079" w:rsidRDefault="00460D34" w:rsidP="004C5EE0">
      <w:pPr>
        <w:pStyle w:val="TOC2"/>
        <w:rPr>
          <w:rFonts w:asciiTheme="minorHAnsi" w:eastAsiaTheme="minorEastAsia" w:hAnsiTheme="minorHAnsi" w:cstheme="minorBidi"/>
          <w:noProof/>
          <w:sz w:val="22"/>
          <w:szCs w:val="22"/>
        </w:rPr>
      </w:pPr>
      <w:r w:rsidRPr="007A4079">
        <w:rPr>
          <w:noProof/>
          <w:sz w:val="22"/>
          <w:szCs w:val="22"/>
        </w:rPr>
        <w:t>3.4</w:t>
      </w:r>
      <w:r w:rsidRPr="007A4079">
        <w:rPr>
          <w:rFonts w:asciiTheme="minorHAnsi" w:eastAsiaTheme="minorEastAsia" w:hAnsiTheme="minorHAnsi" w:cstheme="minorBidi"/>
          <w:noProof/>
          <w:sz w:val="22"/>
          <w:szCs w:val="22"/>
        </w:rPr>
        <w:tab/>
      </w:r>
      <w:r w:rsidRPr="007A4079">
        <w:rPr>
          <w:noProof/>
          <w:sz w:val="22"/>
          <w:szCs w:val="22"/>
        </w:rPr>
        <w:t>Reliance on unfitness to stand trial and insanity in Tasmania</w:t>
      </w:r>
      <w:r w:rsidRPr="007A4079">
        <w:rPr>
          <w:noProof/>
          <w:sz w:val="22"/>
          <w:szCs w:val="22"/>
        </w:rPr>
        <w:tab/>
      </w:r>
      <w:r w:rsidRPr="007A4079">
        <w:rPr>
          <w:noProof/>
          <w:sz w:val="22"/>
          <w:szCs w:val="22"/>
        </w:rPr>
        <w:fldChar w:fldCharType="begin"/>
      </w:r>
      <w:r w:rsidRPr="007A4079">
        <w:rPr>
          <w:noProof/>
          <w:sz w:val="22"/>
          <w:szCs w:val="22"/>
        </w:rPr>
        <w:instrText xml:space="preserve"> PAGEREF _Toc535868922 \h </w:instrText>
      </w:r>
      <w:r w:rsidRPr="007A4079">
        <w:rPr>
          <w:noProof/>
          <w:sz w:val="22"/>
          <w:szCs w:val="22"/>
        </w:rPr>
      </w:r>
      <w:r w:rsidRPr="007A4079">
        <w:rPr>
          <w:noProof/>
          <w:sz w:val="22"/>
          <w:szCs w:val="22"/>
        </w:rPr>
        <w:fldChar w:fldCharType="separate"/>
      </w:r>
      <w:r w:rsidR="001F209C">
        <w:rPr>
          <w:noProof/>
          <w:sz w:val="22"/>
          <w:szCs w:val="22"/>
        </w:rPr>
        <w:t>21</w:t>
      </w:r>
      <w:r w:rsidRPr="007A4079">
        <w:rPr>
          <w:noProof/>
          <w:sz w:val="22"/>
          <w:szCs w:val="22"/>
        </w:rPr>
        <w:fldChar w:fldCharType="end"/>
      </w:r>
    </w:p>
    <w:p w14:paraId="2BEF0594" w14:textId="6243D432" w:rsidR="00460D34" w:rsidRPr="00154F1D" w:rsidRDefault="00460D34" w:rsidP="00460D34">
      <w:pPr>
        <w:pStyle w:val="TOC3"/>
        <w:rPr>
          <w:rFonts w:asciiTheme="minorHAnsi" w:eastAsiaTheme="minorEastAsia" w:hAnsiTheme="minorHAnsi" w:cstheme="minorBidi"/>
          <w:noProof/>
          <w:sz w:val="22"/>
          <w:szCs w:val="22"/>
        </w:rPr>
      </w:pPr>
      <w:r w:rsidRPr="00154F1D">
        <w:rPr>
          <w:noProof/>
          <w:sz w:val="22"/>
          <w:szCs w:val="22"/>
        </w:rPr>
        <w:t>Supreme Court</w:t>
      </w:r>
      <w:r w:rsidRPr="00154F1D">
        <w:rPr>
          <w:noProof/>
          <w:sz w:val="22"/>
          <w:szCs w:val="22"/>
        </w:rPr>
        <w:tab/>
      </w:r>
      <w:r w:rsidRPr="00154F1D">
        <w:rPr>
          <w:noProof/>
          <w:sz w:val="22"/>
          <w:szCs w:val="22"/>
        </w:rPr>
        <w:fldChar w:fldCharType="begin"/>
      </w:r>
      <w:r w:rsidRPr="00154F1D">
        <w:rPr>
          <w:noProof/>
          <w:sz w:val="22"/>
          <w:szCs w:val="22"/>
        </w:rPr>
        <w:instrText xml:space="preserve"> PAGEREF _Toc535868923 \h </w:instrText>
      </w:r>
      <w:r w:rsidRPr="00154F1D">
        <w:rPr>
          <w:noProof/>
          <w:sz w:val="22"/>
          <w:szCs w:val="22"/>
        </w:rPr>
      </w:r>
      <w:r w:rsidRPr="00154F1D">
        <w:rPr>
          <w:noProof/>
          <w:sz w:val="22"/>
          <w:szCs w:val="22"/>
        </w:rPr>
        <w:fldChar w:fldCharType="separate"/>
      </w:r>
      <w:r w:rsidR="001F209C">
        <w:rPr>
          <w:noProof/>
          <w:sz w:val="22"/>
          <w:szCs w:val="22"/>
        </w:rPr>
        <w:t>22</w:t>
      </w:r>
      <w:r w:rsidRPr="00154F1D">
        <w:rPr>
          <w:noProof/>
          <w:sz w:val="22"/>
          <w:szCs w:val="22"/>
        </w:rPr>
        <w:fldChar w:fldCharType="end"/>
      </w:r>
    </w:p>
    <w:p w14:paraId="0BB5D1F1" w14:textId="602642ED" w:rsidR="00460D34" w:rsidRPr="00154F1D" w:rsidRDefault="00460D34" w:rsidP="00460D34">
      <w:pPr>
        <w:pStyle w:val="TOC3"/>
        <w:rPr>
          <w:rFonts w:asciiTheme="minorHAnsi" w:eastAsiaTheme="minorEastAsia" w:hAnsiTheme="minorHAnsi" w:cstheme="minorBidi"/>
          <w:noProof/>
          <w:sz w:val="22"/>
          <w:szCs w:val="22"/>
        </w:rPr>
      </w:pPr>
      <w:r w:rsidRPr="00154F1D">
        <w:rPr>
          <w:noProof/>
          <w:sz w:val="22"/>
          <w:szCs w:val="22"/>
        </w:rPr>
        <w:t>Magistrates Court</w:t>
      </w:r>
      <w:r w:rsidRPr="00154F1D">
        <w:rPr>
          <w:noProof/>
          <w:sz w:val="22"/>
          <w:szCs w:val="22"/>
        </w:rPr>
        <w:tab/>
      </w:r>
      <w:r w:rsidRPr="00154F1D">
        <w:rPr>
          <w:noProof/>
          <w:sz w:val="22"/>
          <w:szCs w:val="22"/>
        </w:rPr>
        <w:fldChar w:fldCharType="begin"/>
      </w:r>
      <w:r w:rsidRPr="00154F1D">
        <w:rPr>
          <w:noProof/>
          <w:sz w:val="22"/>
          <w:szCs w:val="22"/>
        </w:rPr>
        <w:instrText xml:space="preserve"> PAGEREF _Toc535868924 \h </w:instrText>
      </w:r>
      <w:r w:rsidRPr="00154F1D">
        <w:rPr>
          <w:noProof/>
          <w:sz w:val="22"/>
          <w:szCs w:val="22"/>
        </w:rPr>
      </w:r>
      <w:r w:rsidRPr="00154F1D">
        <w:rPr>
          <w:noProof/>
          <w:sz w:val="22"/>
          <w:szCs w:val="22"/>
        </w:rPr>
        <w:fldChar w:fldCharType="separate"/>
      </w:r>
      <w:r w:rsidR="001F209C">
        <w:rPr>
          <w:noProof/>
          <w:sz w:val="22"/>
          <w:szCs w:val="22"/>
        </w:rPr>
        <w:t>23</w:t>
      </w:r>
      <w:r w:rsidRPr="00154F1D">
        <w:rPr>
          <w:noProof/>
          <w:sz w:val="22"/>
          <w:szCs w:val="22"/>
        </w:rPr>
        <w:fldChar w:fldCharType="end"/>
      </w:r>
    </w:p>
    <w:p w14:paraId="14B03D4F" w14:textId="27230388" w:rsidR="00460D34" w:rsidRPr="00154F1D" w:rsidRDefault="00460D34" w:rsidP="00D47380">
      <w:pPr>
        <w:pStyle w:val="TOC1"/>
        <w:rPr>
          <w:rFonts w:asciiTheme="minorHAnsi" w:eastAsiaTheme="minorEastAsia" w:hAnsiTheme="minorHAnsi" w:cstheme="minorBidi"/>
        </w:rPr>
      </w:pPr>
      <w:r w:rsidRPr="00154F1D">
        <w:t>Part 4 – Unfitness to Stand Trial: The Test</w:t>
      </w:r>
      <w:r w:rsidRPr="00154F1D">
        <w:tab/>
      </w:r>
      <w:r w:rsidRPr="00154F1D">
        <w:fldChar w:fldCharType="begin"/>
      </w:r>
      <w:r w:rsidRPr="00154F1D">
        <w:instrText xml:space="preserve"> PAGEREF _Toc535868926 \h </w:instrText>
      </w:r>
      <w:r w:rsidRPr="00154F1D">
        <w:fldChar w:fldCharType="separate"/>
      </w:r>
      <w:r w:rsidR="001F209C">
        <w:t>24</w:t>
      </w:r>
      <w:r w:rsidRPr="00154F1D">
        <w:fldChar w:fldCharType="end"/>
      </w:r>
    </w:p>
    <w:p w14:paraId="482CAC95" w14:textId="30A2C5FB" w:rsidR="00460D34" w:rsidRPr="000B7D53" w:rsidRDefault="00460D34" w:rsidP="004C5EE0">
      <w:pPr>
        <w:pStyle w:val="TOC2"/>
        <w:rPr>
          <w:rFonts w:asciiTheme="minorHAnsi" w:eastAsiaTheme="minorEastAsia" w:hAnsiTheme="minorHAnsi" w:cstheme="minorBidi"/>
          <w:noProof/>
          <w:sz w:val="22"/>
          <w:szCs w:val="22"/>
        </w:rPr>
      </w:pPr>
      <w:r w:rsidRPr="000B7D53">
        <w:rPr>
          <w:noProof/>
          <w:sz w:val="22"/>
          <w:szCs w:val="22"/>
          <w:lang w:val="en-US" w:eastAsia="ja-JP"/>
        </w:rPr>
        <w:t>4.1</w:t>
      </w:r>
      <w:r w:rsidRPr="000B7D53">
        <w:rPr>
          <w:rFonts w:asciiTheme="minorHAnsi" w:eastAsiaTheme="minorEastAsia" w:hAnsiTheme="minorHAnsi" w:cstheme="minorBidi"/>
          <w:noProof/>
          <w:sz w:val="22"/>
          <w:szCs w:val="22"/>
        </w:rPr>
        <w:tab/>
      </w:r>
      <w:r w:rsidRPr="000B7D53">
        <w:rPr>
          <w:noProof/>
          <w:sz w:val="22"/>
          <w:szCs w:val="22"/>
          <w:lang w:val="en-US" w:eastAsia="ja-JP"/>
        </w:rPr>
        <w:t>Introduction</w:t>
      </w:r>
      <w:r w:rsidRPr="000B7D53">
        <w:rPr>
          <w:noProof/>
          <w:sz w:val="22"/>
          <w:szCs w:val="22"/>
        </w:rPr>
        <w:tab/>
      </w:r>
      <w:r w:rsidRPr="000B7D53">
        <w:rPr>
          <w:noProof/>
          <w:sz w:val="22"/>
          <w:szCs w:val="22"/>
        </w:rPr>
        <w:fldChar w:fldCharType="begin"/>
      </w:r>
      <w:r w:rsidRPr="000B7D53">
        <w:rPr>
          <w:noProof/>
          <w:sz w:val="22"/>
          <w:szCs w:val="22"/>
        </w:rPr>
        <w:instrText xml:space="preserve"> PAGEREF _Toc535868927 \h </w:instrText>
      </w:r>
      <w:r w:rsidRPr="000B7D53">
        <w:rPr>
          <w:noProof/>
          <w:sz w:val="22"/>
          <w:szCs w:val="22"/>
        </w:rPr>
      </w:r>
      <w:r w:rsidRPr="000B7D53">
        <w:rPr>
          <w:noProof/>
          <w:sz w:val="22"/>
          <w:szCs w:val="22"/>
        </w:rPr>
        <w:fldChar w:fldCharType="separate"/>
      </w:r>
      <w:r w:rsidR="001F209C">
        <w:rPr>
          <w:noProof/>
          <w:sz w:val="22"/>
          <w:szCs w:val="22"/>
        </w:rPr>
        <w:t>24</w:t>
      </w:r>
      <w:r w:rsidRPr="000B7D53">
        <w:rPr>
          <w:noProof/>
          <w:sz w:val="22"/>
          <w:szCs w:val="22"/>
        </w:rPr>
        <w:fldChar w:fldCharType="end"/>
      </w:r>
    </w:p>
    <w:p w14:paraId="74E5A266" w14:textId="4E78F4CD" w:rsidR="00460D34" w:rsidRPr="000B7D53" w:rsidRDefault="00460D34" w:rsidP="004C5EE0">
      <w:pPr>
        <w:pStyle w:val="TOC2"/>
        <w:rPr>
          <w:rFonts w:asciiTheme="minorHAnsi" w:eastAsiaTheme="minorEastAsia" w:hAnsiTheme="minorHAnsi" w:cstheme="minorBidi"/>
          <w:noProof/>
          <w:sz w:val="22"/>
          <w:szCs w:val="22"/>
        </w:rPr>
      </w:pPr>
      <w:r w:rsidRPr="000B7D53">
        <w:rPr>
          <w:noProof/>
          <w:sz w:val="22"/>
          <w:szCs w:val="22"/>
        </w:rPr>
        <w:t>4.2</w:t>
      </w:r>
      <w:r w:rsidRPr="000B7D53">
        <w:rPr>
          <w:rFonts w:asciiTheme="minorHAnsi" w:eastAsiaTheme="minorEastAsia" w:hAnsiTheme="minorHAnsi" w:cstheme="minorBidi"/>
          <w:noProof/>
          <w:sz w:val="22"/>
          <w:szCs w:val="22"/>
        </w:rPr>
        <w:tab/>
      </w:r>
      <w:r w:rsidRPr="000B7D53">
        <w:rPr>
          <w:noProof/>
          <w:sz w:val="22"/>
          <w:szCs w:val="22"/>
        </w:rPr>
        <w:t xml:space="preserve">The test </w:t>
      </w:r>
      <w:r w:rsidR="0058539A" w:rsidRPr="000B7D53">
        <w:rPr>
          <w:noProof/>
          <w:sz w:val="22"/>
          <w:szCs w:val="22"/>
        </w:rPr>
        <w:t xml:space="preserve">for </w:t>
      </w:r>
      <w:r w:rsidRPr="000B7D53">
        <w:rPr>
          <w:noProof/>
          <w:sz w:val="22"/>
          <w:szCs w:val="22"/>
        </w:rPr>
        <w:t>determining unfitness to stand trial: Tasmania</w:t>
      </w:r>
      <w:r w:rsidRPr="000B7D53">
        <w:rPr>
          <w:noProof/>
          <w:sz w:val="22"/>
          <w:szCs w:val="22"/>
        </w:rPr>
        <w:tab/>
      </w:r>
      <w:r w:rsidRPr="000B7D53">
        <w:rPr>
          <w:noProof/>
          <w:sz w:val="22"/>
          <w:szCs w:val="22"/>
        </w:rPr>
        <w:fldChar w:fldCharType="begin"/>
      </w:r>
      <w:r w:rsidRPr="000B7D53">
        <w:rPr>
          <w:noProof/>
          <w:sz w:val="22"/>
          <w:szCs w:val="22"/>
        </w:rPr>
        <w:instrText xml:space="preserve"> PAGEREF _Toc535868928 \h </w:instrText>
      </w:r>
      <w:r w:rsidRPr="000B7D53">
        <w:rPr>
          <w:noProof/>
          <w:sz w:val="22"/>
          <w:szCs w:val="22"/>
        </w:rPr>
      </w:r>
      <w:r w:rsidRPr="000B7D53">
        <w:rPr>
          <w:noProof/>
          <w:sz w:val="22"/>
          <w:szCs w:val="22"/>
        </w:rPr>
        <w:fldChar w:fldCharType="separate"/>
      </w:r>
      <w:r w:rsidR="001F209C">
        <w:rPr>
          <w:noProof/>
          <w:sz w:val="22"/>
          <w:szCs w:val="22"/>
        </w:rPr>
        <w:t>24</w:t>
      </w:r>
      <w:r w:rsidRPr="000B7D53">
        <w:rPr>
          <w:noProof/>
          <w:sz w:val="22"/>
          <w:szCs w:val="22"/>
        </w:rPr>
        <w:fldChar w:fldCharType="end"/>
      </w:r>
    </w:p>
    <w:p w14:paraId="28940DD4" w14:textId="68F352DE" w:rsidR="00460D34" w:rsidRPr="000B7D53" w:rsidRDefault="00460D34" w:rsidP="004C5EE0">
      <w:pPr>
        <w:pStyle w:val="TOC2"/>
        <w:rPr>
          <w:rFonts w:asciiTheme="minorHAnsi" w:eastAsiaTheme="minorEastAsia" w:hAnsiTheme="minorHAnsi" w:cstheme="minorBidi"/>
          <w:noProof/>
          <w:sz w:val="22"/>
          <w:szCs w:val="22"/>
        </w:rPr>
      </w:pPr>
      <w:r w:rsidRPr="000B7D53">
        <w:rPr>
          <w:noProof/>
          <w:sz w:val="22"/>
          <w:szCs w:val="22"/>
        </w:rPr>
        <w:t>4.3</w:t>
      </w:r>
      <w:r w:rsidRPr="000B7D53">
        <w:rPr>
          <w:rFonts w:asciiTheme="minorHAnsi" w:eastAsiaTheme="minorEastAsia" w:hAnsiTheme="minorHAnsi" w:cstheme="minorBidi"/>
          <w:noProof/>
          <w:sz w:val="22"/>
          <w:szCs w:val="22"/>
        </w:rPr>
        <w:tab/>
      </w:r>
      <w:r w:rsidRPr="000B7D53">
        <w:rPr>
          <w:noProof/>
          <w:sz w:val="22"/>
          <w:szCs w:val="22"/>
        </w:rPr>
        <w:t xml:space="preserve">The test </w:t>
      </w:r>
      <w:r w:rsidR="0058539A" w:rsidRPr="000B7D53">
        <w:rPr>
          <w:noProof/>
          <w:sz w:val="22"/>
          <w:szCs w:val="22"/>
        </w:rPr>
        <w:t xml:space="preserve">for </w:t>
      </w:r>
      <w:r w:rsidRPr="000B7D53">
        <w:rPr>
          <w:noProof/>
          <w:sz w:val="22"/>
          <w:szCs w:val="22"/>
        </w:rPr>
        <w:t>determining unfitness to stand trial: The position in other jurisdictions</w:t>
      </w:r>
      <w:r w:rsidRPr="000B7D53">
        <w:rPr>
          <w:noProof/>
          <w:sz w:val="22"/>
          <w:szCs w:val="22"/>
        </w:rPr>
        <w:tab/>
      </w:r>
      <w:r w:rsidRPr="000B7D53">
        <w:rPr>
          <w:noProof/>
          <w:sz w:val="22"/>
          <w:szCs w:val="22"/>
        </w:rPr>
        <w:fldChar w:fldCharType="begin"/>
      </w:r>
      <w:r w:rsidRPr="000B7D53">
        <w:rPr>
          <w:noProof/>
          <w:sz w:val="22"/>
          <w:szCs w:val="22"/>
        </w:rPr>
        <w:instrText xml:space="preserve"> PAGEREF _Toc535868929 \h </w:instrText>
      </w:r>
      <w:r w:rsidRPr="000B7D53">
        <w:rPr>
          <w:noProof/>
          <w:sz w:val="22"/>
          <w:szCs w:val="22"/>
        </w:rPr>
      </w:r>
      <w:r w:rsidRPr="000B7D53">
        <w:rPr>
          <w:noProof/>
          <w:sz w:val="22"/>
          <w:szCs w:val="22"/>
        </w:rPr>
        <w:fldChar w:fldCharType="separate"/>
      </w:r>
      <w:r w:rsidR="001F209C">
        <w:rPr>
          <w:noProof/>
          <w:sz w:val="22"/>
          <w:szCs w:val="22"/>
        </w:rPr>
        <w:t>27</w:t>
      </w:r>
      <w:r w:rsidRPr="000B7D53">
        <w:rPr>
          <w:noProof/>
          <w:sz w:val="22"/>
          <w:szCs w:val="22"/>
        </w:rPr>
        <w:fldChar w:fldCharType="end"/>
      </w:r>
    </w:p>
    <w:p w14:paraId="52E351B6" w14:textId="0ECF73B8" w:rsidR="00460D34" w:rsidRPr="000B7D53" w:rsidRDefault="00460D34" w:rsidP="004C5EE0">
      <w:pPr>
        <w:pStyle w:val="TOC2"/>
        <w:rPr>
          <w:rFonts w:asciiTheme="minorHAnsi" w:eastAsiaTheme="minorEastAsia" w:hAnsiTheme="minorHAnsi" w:cstheme="minorBidi"/>
          <w:noProof/>
          <w:sz w:val="22"/>
          <w:szCs w:val="22"/>
        </w:rPr>
      </w:pPr>
      <w:r w:rsidRPr="000B7D53">
        <w:rPr>
          <w:noProof/>
          <w:sz w:val="22"/>
          <w:szCs w:val="22"/>
        </w:rPr>
        <w:t>4.4</w:t>
      </w:r>
      <w:r w:rsidRPr="000B7D53">
        <w:rPr>
          <w:rFonts w:asciiTheme="minorHAnsi" w:eastAsiaTheme="minorEastAsia" w:hAnsiTheme="minorHAnsi" w:cstheme="minorBidi"/>
          <w:noProof/>
          <w:sz w:val="22"/>
          <w:szCs w:val="22"/>
        </w:rPr>
        <w:tab/>
      </w:r>
      <w:r w:rsidRPr="000B7D53">
        <w:rPr>
          <w:noProof/>
          <w:sz w:val="22"/>
          <w:szCs w:val="22"/>
        </w:rPr>
        <w:t>Issues for consideration</w:t>
      </w:r>
      <w:r w:rsidRPr="000B7D53">
        <w:rPr>
          <w:noProof/>
          <w:sz w:val="22"/>
          <w:szCs w:val="22"/>
        </w:rPr>
        <w:tab/>
      </w:r>
      <w:r w:rsidRPr="000B7D53">
        <w:rPr>
          <w:noProof/>
          <w:sz w:val="22"/>
          <w:szCs w:val="22"/>
        </w:rPr>
        <w:fldChar w:fldCharType="begin"/>
      </w:r>
      <w:r w:rsidRPr="000B7D53">
        <w:rPr>
          <w:noProof/>
          <w:sz w:val="22"/>
          <w:szCs w:val="22"/>
        </w:rPr>
        <w:instrText xml:space="preserve"> PAGEREF _Toc535868930 \h </w:instrText>
      </w:r>
      <w:r w:rsidRPr="000B7D53">
        <w:rPr>
          <w:noProof/>
          <w:sz w:val="22"/>
          <w:szCs w:val="22"/>
        </w:rPr>
      </w:r>
      <w:r w:rsidRPr="000B7D53">
        <w:rPr>
          <w:noProof/>
          <w:sz w:val="22"/>
          <w:szCs w:val="22"/>
        </w:rPr>
        <w:fldChar w:fldCharType="separate"/>
      </w:r>
      <w:r w:rsidR="001F209C">
        <w:rPr>
          <w:noProof/>
          <w:sz w:val="22"/>
          <w:szCs w:val="22"/>
        </w:rPr>
        <w:t>27</w:t>
      </w:r>
      <w:r w:rsidRPr="000B7D53">
        <w:rPr>
          <w:noProof/>
          <w:sz w:val="22"/>
          <w:szCs w:val="22"/>
        </w:rPr>
        <w:fldChar w:fldCharType="end"/>
      </w:r>
    </w:p>
    <w:p w14:paraId="75C288D5" w14:textId="0A79425C" w:rsidR="00460D34" w:rsidRPr="00154F1D" w:rsidRDefault="00460D34" w:rsidP="00460D34">
      <w:pPr>
        <w:pStyle w:val="TOC3"/>
        <w:rPr>
          <w:rFonts w:asciiTheme="minorHAnsi" w:eastAsiaTheme="minorEastAsia" w:hAnsiTheme="minorHAnsi" w:cstheme="minorBidi"/>
          <w:noProof/>
          <w:sz w:val="22"/>
          <w:szCs w:val="22"/>
        </w:rPr>
      </w:pPr>
      <w:r w:rsidRPr="00154F1D">
        <w:rPr>
          <w:noProof/>
          <w:sz w:val="22"/>
          <w:szCs w:val="22"/>
        </w:rPr>
        <w:t>Abolishing fitness to stand trial</w:t>
      </w:r>
      <w:r w:rsidRPr="00154F1D">
        <w:rPr>
          <w:noProof/>
          <w:sz w:val="22"/>
          <w:szCs w:val="22"/>
        </w:rPr>
        <w:tab/>
      </w:r>
      <w:r w:rsidRPr="00154F1D">
        <w:rPr>
          <w:noProof/>
          <w:sz w:val="22"/>
          <w:szCs w:val="22"/>
        </w:rPr>
        <w:fldChar w:fldCharType="begin"/>
      </w:r>
      <w:r w:rsidRPr="00154F1D">
        <w:rPr>
          <w:noProof/>
          <w:sz w:val="22"/>
          <w:szCs w:val="22"/>
        </w:rPr>
        <w:instrText xml:space="preserve"> PAGEREF _Toc535868931 \h </w:instrText>
      </w:r>
      <w:r w:rsidRPr="00154F1D">
        <w:rPr>
          <w:noProof/>
          <w:sz w:val="22"/>
          <w:szCs w:val="22"/>
        </w:rPr>
      </w:r>
      <w:r w:rsidRPr="00154F1D">
        <w:rPr>
          <w:noProof/>
          <w:sz w:val="22"/>
          <w:szCs w:val="22"/>
        </w:rPr>
        <w:fldChar w:fldCharType="separate"/>
      </w:r>
      <w:r w:rsidR="001F209C">
        <w:rPr>
          <w:noProof/>
          <w:sz w:val="22"/>
          <w:szCs w:val="22"/>
        </w:rPr>
        <w:t>27</w:t>
      </w:r>
      <w:r w:rsidRPr="00154F1D">
        <w:rPr>
          <w:noProof/>
          <w:sz w:val="22"/>
          <w:szCs w:val="22"/>
        </w:rPr>
        <w:fldChar w:fldCharType="end"/>
      </w:r>
    </w:p>
    <w:p w14:paraId="43084BCA" w14:textId="5EDA6A96" w:rsidR="00460D34" w:rsidRPr="00154F1D" w:rsidRDefault="00460D34" w:rsidP="00460D34">
      <w:pPr>
        <w:pStyle w:val="TOC3"/>
        <w:rPr>
          <w:rFonts w:asciiTheme="minorHAnsi" w:eastAsiaTheme="minorEastAsia" w:hAnsiTheme="minorHAnsi" w:cstheme="minorBidi"/>
          <w:noProof/>
          <w:sz w:val="22"/>
          <w:szCs w:val="22"/>
        </w:rPr>
      </w:pPr>
      <w:r w:rsidRPr="00154F1D">
        <w:rPr>
          <w:noProof/>
          <w:sz w:val="22"/>
          <w:szCs w:val="22"/>
        </w:rPr>
        <w:t>Reforming the test for fitness to stand trial</w:t>
      </w:r>
      <w:r w:rsidRPr="00154F1D">
        <w:rPr>
          <w:noProof/>
          <w:sz w:val="22"/>
          <w:szCs w:val="22"/>
        </w:rPr>
        <w:tab/>
      </w:r>
      <w:r w:rsidRPr="00154F1D">
        <w:rPr>
          <w:noProof/>
          <w:sz w:val="22"/>
          <w:szCs w:val="22"/>
        </w:rPr>
        <w:fldChar w:fldCharType="begin"/>
      </w:r>
      <w:r w:rsidRPr="00154F1D">
        <w:rPr>
          <w:noProof/>
          <w:sz w:val="22"/>
          <w:szCs w:val="22"/>
        </w:rPr>
        <w:instrText xml:space="preserve"> PAGEREF _Toc535868932 \h </w:instrText>
      </w:r>
      <w:r w:rsidRPr="00154F1D">
        <w:rPr>
          <w:noProof/>
          <w:sz w:val="22"/>
          <w:szCs w:val="22"/>
        </w:rPr>
      </w:r>
      <w:r w:rsidRPr="00154F1D">
        <w:rPr>
          <w:noProof/>
          <w:sz w:val="22"/>
          <w:szCs w:val="22"/>
        </w:rPr>
        <w:fldChar w:fldCharType="separate"/>
      </w:r>
      <w:r w:rsidR="001F209C">
        <w:rPr>
          <w:noProof/>
          <w:sz w:val="22"/>
          <w:szCs w:val="22"/>
        </w:rPr>
        <w:t>29</w:t>
      </w:r>
      <w:r w:rsidRPr="00154F1D">
        <w:rPr>
          <w:noProof/>
          <w:sz w:val="22"/>
          <w:szCs w:val="22"/>
        </w:rPr>
        <w:fldChar w:fldCharType="end"/>
      </w:r>
    </w:p>
    <w:p w14:paraId="30505A54" w14:textId="09A418D3" w:rsidR="00460D34" w:rsidRPr="00154F1D" w:rsidRDefault="00460D34" w:rsidP="00460D34">
      <w:pPr>
        <w:pStyle w:val="TOC3"/>
        <w:rPr>
          <w:rFonts w:asciiTheme="minorHAnsi" w:eastAsiaTheme="minorEastAsia" w:hAnsiTheme="minorHAnsi" w:cstheme="minorBidi"/>
          <w:noProof/>
          <w:sz w:val="22"/>
          <w:szCs w:val="22"/>
        </w:rPr>
      </w:pPr>
      <w:r w:rsidRPr="00154F1D">
        <w:rPr>
          <w:noProof/>
          <w:sz w:val="22"/>
          <w:szCs w:val="22"/>
        </w:rPr>
        <w:t>Pleas of guilty</w:t>
      </w:r>
      <w:r w:rsidRPr="00154F1D">
        <w:rPr>
          <w:noProof/>
          <w:sz w:val="22"/>
          <w:szCs w:val="22"/>
        </w:rPr>
        <w:tab/>
      </w:r>
      <w:r w:rsidRPr="00154F1D">
        <w:rPr>
          <w:noProof/>
          <w:sz w:val="22"/>
          <w:szCs w:val="22"/>
        </w:rPr>
        <w:fldChar w:fldCharType="begin"/>
      </w:r>
      <w:r w:rsidRPr="00154F1D">
        <w:rPr>
          <w:noProof/>
          <w:sz w:val="22"/>
          <w:szCs w:val="22"/>
        </w:rPr>
        <w:instrText xml:space="preserve"> PAGEREF _Toc535868933 \h </w:instrText>
      </w:r>
      <w:r w:rsidRPr="00154F1D">
        <w:rPr>
          <w:noProof/>
          <w:sz w:val="22"/>
          <w:szCs w:val="22"/>
        </w:rPr>
      </w:r>
      <w:r w:rsidRPr="00154F1D">
        <w:rPr>
          <w:noProof/>
          <w:sz w:val="22"/>
          <w:szCs w:val="22"/>
        </w:rPr>
        <w:fldChar w:fldCharType="separate"/>
      </w:r>
      <w:r w:rsidR="001F209C">
        <w:rPr>
          <w:noProof/>
          <w:sz w:val="22"/>
          <w:szCs w:val="22"/>
        </w:rPr>
        <w:t>40</w:t>
      </w:r>
      <w:r w:rsidRPr="00154F1D">
        <w:rPr>
          <w:noProof/>
          <w:sz w:val="22"/>
          <w:szCs w:val="22"/>
        </w:rPr>
        <w:fldChar w:fldCharType="end"/>
      </w:r>
    </w:p>
    <w:p w14:paraId="1DB81A51" w14:textId="2E08E41C" w:rsidR="00460D34" w:rsidRPr="00154F1D" w:rsidRDefault="00460D34" w:rsidP="00D47380">
      <w:pPr>
        <w:pStyle w:val="TOC1"/>
        <w:rPr>
          <w:rFonts w:asciiTheme="minorHAnsi" w:eastAsiaTheme="minorEastAsia" w:hAnsiTheme="minorHAnsi" w:cstheme="minorBidi"/>
        </w:rPr>
      </w:pPr>
      <w:r w:rsidRPr="00154F1D">
        <w:t>Part 5: Unfitness to Stand Trial: Procedure to Determine Unfitness to Stand Trial</w:t>
      </w:r>
      <w:r w:rsidRPr="00154F1D">
        <w:tab/>
      </w:r>
      <w:r w:rsidRPr="00154F1D">
        <w:fldChar w:fldCharType="begin"/>
      </w:r>
      <w:r w:rsidRPr="00154F1D">
        <w:instrText xml:space="preserve"> PAGEREF _Toc535868935 \h </w:instrText>
      </w:r>
      <w:r w:rsidRPr="00154F1D">
        <w:fldChar w:fldCharType="separate"/>
      </w:r>
      <w:r w:rsidR="001F209C">
        <w:t>43</w:t>
      </w:r>
      <w:r w:rsidRPr="00154F1D">
        <w:fldChar w:fldCharType="end"/>
      </w:r>
    </w:p>
    <w:p w14:paraId="3AD6502C" w14:textId="47A0B86B" w:rsidR="00460D34" w:rsidRPr="002F4AEB" w:rsidRDefault="00460D34" w:rsidP="004C5EE0">
      <w:pPr>
        <w:pStyle w:val="TOC2"/>
        <w:rPr>
          <w:rFonts w:asciiTheme="minorHAnsi" w:eastAsiaTheme="minorEastAsia" w:hAnsiTheme="minorHAnsi" w:cstheme="minorBidi"/>
          <w:noProof/>
          <w:sz w:val="22"/>
          <w:szCs w:val="22"/>
        </w:rPr>
      </w:pPr>
      <w:r w:rsidRPr="002F4AEB">
        <w:rPr>
          <w:noProof/>
          <w:sz w:val="22"/>
          <w:szCs w:val="22"/>
        </w:rPr>
        <w:t>5.1</w:t>
      </w:r>
      <w:r w:rsidRPr="002F4AEB">
        <w:rPr>
          <w:rFonts w:asciiTheme="minorHAnsi" w:eastAsiaTheme="minorEastAsia" w:hAnsiTheme="minorHAnsi" w:cstheme="minorBidi"/>
          <w:noProof/>
          <w:sz w:val="22"/>
          <w:szCs w:val="22"/>
        </w:rPr>
        <w:tab/>
      </w:r>
      <w:r w:rsidRPr="002F4AEB">
        <w:rPr>
          <w:noProof/>
          <w:sz w:val="22"/>
          <w:szCs w:val="22"/>
        </w:rPr>
        <w:t>Introduction</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_Toc535868936 \h </w:instrText>
      </w:r>
      <w:r w:rsidRPr="002F4AEB">
        <w:rPr>
          <w:noProof/>
          <w:sz w:val="22"/>
          <w:szCs w:val="22"/>
        </w:rPr>
      </w:r>
      <w:r w:rsidRPr="002F4AEB">
        <w:rPr>
          <w:noProof/>
          <w:sz w:val="22"/>
          <w:szCs w:val="22"/>
        </w:rPr>
        <w:fldChar w:fldCharType="separate"/>
      </w:r>
      <w:r w:rsidR="001F209C">
        <w:rPr>
          <w:noProof/>
          <w:sz w:val="22"/>
          <w:szCs w:val="22"/>
        </w:rPr>
        <w:t>43</w:t>
      </w:r>
      <w:r w:rsidRPr="002F4AEB">
        <w:rPr>
          <w:noProof/>
          <w:sz w:val="22"/>
          <w:szCs w:val="22"/>
        </w:rPr>
        <w:fldChar w:fldCharType="end"/>
      </w:r>
    </w:p>
    <w:p w14:paraId="4ACE6B0B" w14:textId="6D0C54D6" w:rsidR="00460D34" w:rsidRPr="002F4AEB" w:rsidRDefault="00460D34" w:rsidP="004C5EE0">
      <w:pPr>
        <w:pStyle w:val="TOC2"/>
        <w:rPr>
          <w:rFonts w:asciiTheme="minorHAnsi" w:eastAsiaTheme="minorEastAsia" w:hAnsiTheme="minorHAnsi" w:cstheme="minorBidi"/>
          <w:noProof/>
          <w:sz w:val="22"/>
          <w:szCs w:val="22"/>
        </w:rPr>
      </w:pPr>
      <w:r w:rsidRPr="002F4AEB">
        <w:rPr>
          <w:noProof/>
          <w:sz w:val="22"/>
          <w:szCs w:val="22"/>
        </w:rPr>
        <w:t>5.2</w:t>
      </w:r>
      <w:r w:rsidRPr="002F4AEB">
        <w:rPr>
          <w:rFonts w:asciiTheme="minorHAnsi" w:eastAsiaTheme="minorEastAsia" w:hAnsiTheme="minorHAnsi" w:cstheme="minorBidi"/>
          <w:noProof/>
          <w:sz w:val="22"/>
          <w:szCs w:val="22"/>
        </w:rPr>
        <w:tab/>
      </w:r>
      <w:r w:rsidRPr="002F4AEB">
        <w:rPr>
          <w:noProof/>
          <w:sz w:val="22"/>
          <w:szCs w:val="22"/>
        </w:rPr>
        <w:t>The Tasmanian position</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_Toc535868937 \h </w:instrText>
      </w:r>
      <w:r w:rsidRPr="002F4AEB">
        <w:rPr>
          <w:noProof/>
          <w:sz w:val="22"/>
          <w:szCs w:val="22"/>
        </w:rPr>
      </w:r>
      <w:r w:rsidRPr="002F4AEB">
        <w:rPr>
          <w:noProof/>
          <w:sz w:val="22"/>
          <w:szCs w:val="22"/>
        </w:rPr>
        <w:fldChar w:fldCharType="separate"/>
      </w:r>
      <w:r w:rsidR="001F209C">
        <w:rPr>
          <w:noProof/>
          <w:sz w:val="22"/>
          <w:szCs w:val="22"/>
        </w:rPr>
        <w:t>43</w:t>
      </w:r>
      <w:r w:rsidRPr="002F4AEB">
        <w:rPr>
          <w:noProof/>
          <w:sz w:val="22"/>
          <w:szCs w:val="22"/>
        </w:rPr>
        <w:fldChar w:fldCharType="end"/>
      </w:r>
    </w:p>
    <w:p w14:paraId="6BED74A3" w14:textId="0D66D215" w:rsidR="00460D34" w:rsidRPr="002F4AEB" w:rsidRDefault="00460D34" w:rsidP="004C5EE0">
      <w:pPr>
        <w:pStyle w:val="TOC2"/>
        <w:rPr>
          <w:rFonts w:asciiTheme="minorHAnsi" w:eastAsiaTheme="minorEastAsia" w:hAnsiTheme="minorHAnsi" w:cstheme="minorBidi"/>
          <w:noProof/>
          <w:sz w:val="22"/>
          <w:szCs w:val="22"/>
        </w:rPr>
      </w:pPr>
      <w:r w:rsidRPr="002F4AEB">
        <w:rPr>
          <w:noProof/>
          <w:sz w:val="22"/>
          <w:szCs w:val="22"/>
        </w:rPr>
        <w:t>5.3</w:t>
      </w:r>
      <w:r w:rsidRPr="002F4AEB">
        <w:rPr>
          <w:rFonts w:asciiTheme="minorHAnsi" w:eastAsiaTheme="minorEastAsia" w:hAnsiTheme="minorHAnsi" w:cstheme="minorBidi"/>
          <w:noProof/>
          <w:sz w:val="22"/>
          <w:szCs w:val="22"/>
        </w:rPr>
        <w:tab/>
      </w:r>
      <w:r w:rsidRPr="002F4AEB">
        <w:rPr>
          <w:noProof/>
          <w:sz w:val="22"/>
          <w:szCs w:val="22"/>
        </w:rPr>
        <w:t>The position in other jurisdictions</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_Toc535868938 \h </w:instrText>
      </w:r>
      <w:r w:rsidRPr="002F4AEB">
        <w:rPr>
          <w:noProof/>
          <w:sz w:val="22"/>
          <w:szCs w:val="22"/>
        </w:rPr>
      </w:r>
      <w:r w:rsidRPr="002F4AEB">
        <w:rPr>
          <w:noProof/>
          <w:sz w:val="22"/>
          <w:szCs w:val="22"/>
        </w:rPr>
        <w:fldChar w:fldCharType="separate"/>
      </w:r>
      <w:r w:rsidR="001F209C">
        <w:rPr>
          <w:noProof/>
          <w:sz w:val="22"/>
          <w:szCs w:val="22"/>
        </w:rPr>
        <w:t>45</w:t>
      </w:r>
      <w:r w:rsidRPr="002F4AEB">
        <w:rPr>
          <w:noProof/>
          <w:sz w:val="22"/>
          <w:szCs w:val="22"/>
        </w:rPr>
        <w:fldChar w:fldCharType="end"/>
      </w:r>
    </w:p>
    <w:p w14:paraId="0FA083C9" w14:textId="667A383B" w:rsidR="00460D34" w:rsidRPr="002F4AEB" w:rsidRDefault="00460D34" w:rsidP="00460D34">
      <w:pPr>
        <w:pStyle w:val="TOC3"/>
        <w:rPr>
          <w:rFonts w:asciiTheme="minorHAnsi" w:eastAsiaTheme="minorEastAsia" w:hAnsiTheme="minorHAnsi" w:cstheme="minorBidi"/>
          <w:noProof/>
          <w:sz w:val="22"/>
          <w:szCs w:val="22"/>
        </w:rPr>
      </w:pPr>
      <w:r w:rsidRPr="002F4AEB">
        <w:rPr>
          <w:noProof/>
          <w:sz w:val="22"/>
          <w:szCs w:val="22"/>
        </w:rPr>
        <w:lastRenderedPageBreak/>
        <w:t>Higher courts</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_Toc535868939 \h </w:instrText>
      </w:r>
      <w:r w:rsidRPr="002F4AEB">
        <w:rPr>
          <w:noProof/>
          <w:sz w:val="22"/>
          <w:szCs w:val="22"/>
        </w:rPr>
      </w:r>
      <w:r w:rsidRPr="002F4AEB">
        <w:rPr>
          <w:noProof/>
          <w:sz w:val="22"/>
          <w:szCs w:val="22"/>
        </w:rPr>
        <w:fldChar w:fldCharType="separate"/>
      </w:r>
      <w:r w:rsidR="001F209C">
        <w:rPr>
          <w:noProof/>
          <w:sz w:val="22"/>
          <w:szCs w:val="22"/>
        </w:rPr>
        <w:t>45</w:t>
      </w:r>
      <w:r w:rsidRPr="002F4AEB">
        <w:rPr>
          <w:noProof/>
          <w:sz w:val="22"/>
          <w:szCs w:val="22"/>
        </w:rPr>
        <w:fldChar w:fldCharType="end"/>
      </w:r>
    </w:p>
    <w:p w14:paraId="1BEC5F28" w14:textId="2424ED40" w:rsidR="00460D34" w:rsidRPr="002F4AEB" w:rsidRDefault="00460D34" w:rsidP="00460D34">
      <w:pPr>
        <w:pStyle w:val="TOC3"/>
        <w:rPr>
          <w:rFonts w:asciiTheme="minorHAnsi" w:eastAsiaTheme="minorEastAsia" w:hAnsiTheme="minorHAnsi" w:cstheme="minorBidi"/>
          <w:noProof/>
          <w:sz w:val="22"/>
          <w:szCs w:val="22"/>
        </w:rPr>
      </w:pPr>
      <w:r w:rsidRPr="002F4AEB">
        <w:rPr>
          <w:noProof/>
          <w:sz w:val="22"/>
          <w:szCs w:val="22"/>
        </w:rPr>
        <w:t>The Magistrates Court</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_Toc535868940 \h </w:instrText>
      </w:r>
      <w:r w:rsidRPr="002F4AEB">
        <w:rPr>
          <w:noProof/>
          <w:sz w:val="22"/>
          <w:szCs w:val="22"/>
        </w:rPr>
      </w:r>
      <w:r w:rsidRPr="002F4AEB">
        <w:rPr>
          <w:noProof/>
          <w:sz w:val="22"/>
          <w:szCs w:val="22"/>
        </w:rPr>
        <w:fldChar w:fldCharType="separate"/>
      </w:r>
      <w:r w:rsidR="001F209C">
        <w:rPr>
          <w:noProof/>
          <w:sz w:val="22"/>
          <w:szCs w:val="22"/>
        </w:rPr>
        <w:t>46</w:t>
      </w:r>
      <w:r w:rsidRPr="002F4AEB">
        <w:rPr>
          <w:noProof/>
          <w:sz w:val="22"/>
          <w:szCs w:val="22"/>
        </w:rPr>
        <w:fldChar w:fldCharType="end"/>
      </w:r>
    </w:p>
    <w:p w14:paraId="560B50A8" w14:textId="39E99496" w:rsidR="00460D34" w:rsidRPr="002F4AEB" w:rsidRDefault="00460D34" w:rsidP="004C5EE0">
      <w:pPr>
        <w:pStyle w:val="TOC2"/>
        <w:rPr>
          <w:rFonts w:asciiTheme="minorHAnsi" w:eastAsiaTheme="minorEastAsia" w:hAnsiTheme="minorHAnsi" w:cstheme="minorBidi"/>
          <w:noProof/>
          <w:sz w:val="22"/>
          <w:szCs w:val="22"/>
        </w:rPr>
      </w:pPr>
      <w:r w:rsidRPr="002F4AEB">
        <w:rPr>
          <w:noProof/>
          <w:sz w:val="22"/>
          <w:szCs w:val="22"/>
        </w:rPr>
        <w:t>5.4</w:t>
      </w:r>
      <w:r w:rsidRPr="002F4AEB">
        <w:rPr>
          <w:rFonts w:asciiTheme="minorHAnsi" w:eastAsiaTheme="minorEastAsia" w:hAnsiTheme="minorHAnsi" w:cstheme="minorBidi"/>
          <w:noProof/>
          <w:sz w:val="22"/>
          <w:szCs w:val="22"/>
        </w:rPr>
        <w:tab/>
      </w:r>
      <w:r w:rsidRPr="002F4AEB">
        <w:rPr>
          <w:noProof/>
          <w:sz w:val="22"/>
          <w:szCs w:val="22"/>
        </w:rPr>
        <w:t>Issues for consideration</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_Toc535868941 \h </w:instrText>
      </w:r>
      <w:r w:rsidRPr="002F4AEB">
        <w:rPr>
          <w:noProof/>
          <w:sz w:val="22"/>
          <w:szCs w:val="22"/>
        </w:rPr>
      </w:r>
      <w:r w:rsidRPr="002F4AEB">
        <w:rPr>
          <w:noProof/>
          <w:sz w:val="22"/>
          <w:szCs w:val="22"/>
        </w:rPr>
        <w:fldChar w:fldCharType="separate"/>
      </w:r>
      <w:r w:rsidR="001F209C">
        <w:rPr>
          <w:noProof/>
          <w:sz w:val="22"/>
          <w:szCs w:val="22"/>
        </w:rPr>
        <w:t>49</w:t>
      </w:r>
      <w:r w:rsidRPr="002F4AEB">
        <w:rPr>
          <w:noProof/>
          <w:sz w:val="22"/>
          <w:szCs w:val="22"/>
        </w:rPr>
        <w:fldChar w:fldCharType="end"/>
      </w:r>
    </w:p>
    <w:p w14:paraId="0B220FAE" w14:textId="0A1C1D0F" w:rsidR="00460D34" w:rsidRPr="002F4AEB" w:rsidRDefault="00460D34" w:rsidP="00460D34">
      <w:pPr>
        <w:pStyle w:val="TOC3"/>
        <w:rPr>
          <w:rFonts w:asciiTheme="minorHAnsi" w:eastAsiaTheme="minorEastAsia" w:hAnsiTheme="minorHAnsi" w:cstheme="minorBidi"/>
          <w:noProof/>
          <w:sz w:val="22"/>
          <w:szCs w:val="22"/>
        </w:rPr>
      </w:pPr>
      <w:r w:rsidRPr="002F4AEB">
        <w:rPr>
          <w:noProof/>
          <w:sz w:val="22"/>
          <w:szCs w:val="22"/>
        </w:rPr>
        <w:t xml:space="preserve">Determination of the issue of fitness by a judge rather than jury in the Supreme </w:t>
      </w:r>
      <w:r w:rsidRPr="002F4AEB">
        <w:rPr>
          <w:noProof/>
          <w:sz w:val="22"/>
          <w:szCs w:val="22"/>
        </w:rPr>
        <w:br/>
        <w:t>Court</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_Toc535868942 \h </w:instrText>
      </w:r>
      <w:r w:rsidRPr="002F4AEB">
        <w:rPr>
          <w:noProof/>
          <w:sz w:val="22"/>
          <w:szCs w:val="22"/>
        </w:rPr>
      </w:r>
      <w:r w:rsidRPr="002F4AEB">
        <w:rPr>
          <w:noProof/>
          <w:sz w:val="22"/>
          <w:szCs w:val="22"/>
        </w:rPr>
        <w:fldChar w:fldCharType="separate"/>
      </w:r>
      <w:r w:rsidR="001F209C">
        <w:rPr>
          <w:noProof/>
          <w:sz w:val="22"/>
          <w:szCs w:val="22"/>
        </w:rPr>
        <w:t>50</w:t>
      </w:r>
      <w:r w:rsidRPr="002F4AEB">
        <w:rPr>
          <w:noProof/>
          <w:sz w:val="22"/>
          <w:szCs w:val="22"/>
        </w:rPr>
        <w:fldChar w:fldCharType="end"/>
      </w:r>
    </w:p>
    <w:p w14:paraId="34C0471A" w14:textId="7A2E99FA" w:rsidR="00460D34" w:rsidRPr="002F4AEB" w:rsidRDefault="00460D34" w:rsidP="00460D34">
      <w:pPr>
        <w:pStyle w:val="TOC3"/>
        <w:rPr>
          <w:rFonts w:asciiTheme="minorHAnsi" w:eastAsiaTheme="minorEastAsia" w:hAnsiTheme="minorHAnsi" w:cstheme="minorBidi"/>
          <w:noProof/>
          <w:sz w:val="22"/>
          <w:szCs w:val="22"/>
        </w:rPr>
      </w:pPr>
      <w:r w:rsidRPr="002F4AEB">
        <w:rPr>
          <w:noProof/>
          <w:sz w:val="22"/>
          <w:szCs w:val="22"/>
        </w:rPr>
        <w:t>Procedure in the Magistrates Court</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_Toc535868943 \h </w:instrText>
      </w:r>
      <w:r w:rsidRPr="002F4AEB">
        <w:rPr>
          <w:noProof/>
          <w:sz w:val="22"/>
          <w:szCs w:val="22"/>
        </w:rPr>
      </w:r>
      <w:r w:rsidRPr="002F4AEB">
        <w:rPr>
          <w:noProof/>
          <w:sz w:val="22"/>
          <w:szCs w:val="22"/>
        </w:rPr>
        <w:fldChar w:fldCharType="separate"/>
      </w:r>
      <w:r w:rsidR="001F209C">
        <w:rPr>
          <w:noProof/>
          <w:sz w:val="22"/>
          <w:szCs w:val="22"/>
        </w:rPr>
        <w:t>51</w:t>
      </w:r>
      <w:r w:rsidRPr="002F4AEB">
        <w:rPr>
          <w:noProof/>
          <w:sz w:val="22"/>
          <w:szCs w:val="22"/>
        </w:rPr>
        <w:fldChar w:fldCharType="end"/>
      </w:r>
    </w:p>
    <w:p w14:paraId="40E4D27E" w14:textId="74592DCA" w:rsidR="00460D34" w:rsidRPr="00154F1D" w:rsidRDefault="00460D34" w:rsidP="00D47380">
      <w:pPr>
        <w:pStyle w:val="TOC1"/>
        <w:rPr>
          <w:rFonts w:asciiTheme="minorHAnsi" w:eastAsiaTheme="minorEastAsia" w:hAnsiTheme="minorHAnsi" w:cstheme="minorBidi"/>
        </w:rPr>
      </w:pPr>
      <w:r w:rsidRPr="00154F1D">
        <w:t>Part 6: Unfitness to Stand Trial: Procedure Following a Determination of Unfitness to Stand Trial</w:t>
      </w:r>
      <w:r w:rsidRPr="00154F1D">
        <w:tab/>
      </w:r>
      <w:r w:rsidRPr="00154F1D">
        <w:fldChar w:fldCharType="begin"/>
      </w:r>
      <w:r w:rsidRPr="00154F1D">
        <w:instrText xml:space="preserve"> PAGEREF _Toc535868945 \h </w:instrText>
      </w:r>
      <w:r w:rsidRPr="00154F1D">
        <w:fldChar w:fldCharType="separate"/>
      </w:r>
      <w:r w:rsidR="001F209C">
        <w:t>53</w:t>
      </w:r>
      <w:r w:rsidRPr="00154F1D">
        <w:fldChar w:fldCharType="end"/>
      </w:r>
    </w:p>
    <w:p w14:paraId="256BF056" w14:textId="2759E935" w:rsidR="00460D34" w:rsidRPr="002F4AEB" w:rsidRDefault="00460D34" w:rsidP="004C5EE0">
      <w:pPr>
        <w:pStyle w:val="TOC2"/>
        <w:rPr>
          <w:rFonts w:asciiTheme="minorHAnsi" w:eastAsiaTheme="minorEastAsia" w:hAnsiTheme="minorHAnsi" w:cstheme="minorBidi"/>
          <w:noProof/>
          <w:sz w:val="22"/>
          <w:szCs w:val="22"/>
        </w:rPr>
      </w:pPr>
      <w:r w:rsidRPr="002F4AEB">
        <w:rPr>
          <w:noProof/>
          <w:sz w:val="22"/>
          <w:szCs w:val="22"/>
        </w:rPr>
        <w:t>6.1</w:t>
      </w:r>
      <w:r w:rsidRPr="002F4AEB">
        <w:rPr>
          <w:rFonts w:asciiTheme="minorHAnsi" w:eastAsiaTheme="minorEastAsia" w:hAnsiTheme="minorHAnsi" w:cstheme="minorBidi"/>
          <w:noProof/>
          <w:sz w:val="22"/>
          <w:szCs w:val="22"/>
        </w:rPr>
        <w:tab/>
      </w:r>
      <w:r w:rsidRPr="002F4AEB">
        <w:rPr>
          <w:noProof/>
          <w:sz w:val="22"/>
          <w:szCs w:val="22"/>
        </w:rPr>
        <w:t>Introduction</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_Toc535868946 \h </w:instrText>
      </w:r>
      <w:r w:rsidRPr="002F4AEB">
        <w:rPr>
          <w:noProof/>
          <w:sz w:val="22"/>
          <w:szCs w:val="22"/>
        </w:rPr>
      </w:r>
      <w:r w:rsidRPr="002F4AEB">
        <w:rPr>
          <w:noProof/>
          <w:sz w:val="22"/>
          <w:szCs w:val="22"/>
        </w:rPr>
        <w:fldChar w:fldCharType="separate"/>
      </w:r>
      <w:r w:rsidR="001F209C">
        <w:rPr>
          <w:noProof/>
          <w:sz w:val="22"/>
          <w:szCs w:val="22"/>
        </w:rPr>
        <w:t>53</w:t>
      </w:r>
      <w:r w:rsidRPr="002F4AEB">
        <w:rPr>
          <w:noProof/>
          <w:sz w:val="22"/>
          <w:szCs w:val="22"/>
        </w:rPr>
        <w:fldChar w:fldCharType="end"/>
      </w:r>
    </w:p>
    <w:p w14:paraId="38EFCE70" w14:textId="21B6E46C" w:rsidR="00460D34" w:rsidRPr="002F4AEB" w:rsidRDefault="00460D34" w:rsidP="004C5EE0">
      <w:pPr>
        <w:pStyle w:val="TOC2"/>
        <w:rPr>
          <w:rFonts w:asciiTheme="minorHAnsi" w:eastAsiaTheme="minorEastAsia" w:hAnsiTheme="minorHAnsi" w:cstheme="minorBidi"/>
          <w:noProof/>
          <w:sz w:val="22"/>
          <w:szCs w:val="22"/>
        </w:rPr>
      </w:pPr>
      <w:r w:rsidRPr="002F4AEB">
        <w:rPr>
          <w:noProof/>
          <w:sz w:val="22"/>
          <w:szCs w:val="22"/>
        </w:rPr>
        <w:t>6.2</w:t>
      </w:r>
      <w:r w:rsidRPr="002F4AEB">
        <w:rPr>
          <w:rFonts w:asciiTheme="minorHAnsi" w:eastAsiaTheme="minorEastAsia" w:hAnsiTheme="minorHAnsi" w:cstheme="minorBidi"/>
          <w:noProof/>
          <w:sz w:val="22"/>
          <w:szCs w:val="22"/>
        </w:rPr>
        <w:tab/>
      </w:r>
      <w:r w:rsidRPr="002F4AEB">
        <w:rPr>
          <w:noProof/>
          <w:sz w:val="22"/>
          <w:szCs w:val="22"/>
        </w:rPr>
        <w:t>The Tasmanian position</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_Toc535868947 \h </w:instrText>
      </w:r>
      <w:r w:rsidRPr="002F4AEB">
        <w:rPr>
          <w:noProof/>
          <w:sz w:val="22"/>
          <w:szCs w:val="22"/>
        </w:rPr>
      </w:r>
      <w:r w:rsidRPr="002F4AEB">
        <w:rPr>
          <w:noProof/>
          <w:sz w:val="22"/>
          <w:szCs w:val="22"/>
        </w:rPr>
        <w:fldChar w:fldCharType="separate"/>
      </w:r>
      <w:r w:rsidR="001F209C">
        <w:rPr>
          <w:noProof/>
          <w:sz w:val="22"/>
          <w:szCs w:val="22"/>
        </w:rPr>
        <w:t>53</w:t>
      </w:r>
      <w:r w:rsidRPr="002F4AEB">
        <w:rPr>
          <w:noProof/>
          <w:sz w:val="22"/>
          <w:szCs w:val="22"/>
        </w:rPr>
        <w:fldChar w:fldCharType="end"/>
      </w:r>
    </w:p>
    <w:p w14:paraId="62CF6531" w14:textId="5E4C5A2B" w:rsidR="00460D34" w:rsidRPr="002F4AEB" w:rsidRDefault="00460D34" w:rsidP="004C5EE0">
      <w:pPr>
        <w:pStyle w:val="TOC2"/>
        <w:rPr>
          <w:rFonts w:asciiTheme="minorHAnsi" w:eastAsiaTheme="minorEastAsia" w:hAnsiTheme="minorHAnsi" w:cstheme="minorBidi"/>
          <w:noProof/>
          <w:sz w:val="22"/>
          <w:szCs w:val="22"/>
        </w:rPr>
      </w:pPr>
      <w:r w:rsidRPr="002F4AEB">
        <w:rPr>
          <w:noProof/>
          <w:sz w:val="22"/>
          <w:szCs w:val="22"/>
        </w:rPr>
        <w:t>6.3</w:t>
      </w:r>
      <w:r w:rsidRPr="002F4AEB">
        <w:rPr>
          <w:rFonts w:asciiTheme="minorHAnsi" w:eastAsiaTheme="minorEastAsia" w:hAnsiTheme="minorHAnsi" w:cstheme="minorBidi"/>
          <w:noProof/>
          <w:sz w:val="22"/>
          <w:szCs w:val="22"/>
        </w:rPr>
        <w:tab/>
      </w:r>
      <w:r w:rsidRPr="002F4AEB">
        <w:rPr>
          <w:noProof/>
          <w:sz w:val="22"/>
          <w:szCs w:val="22"/>
        </w:rPr>
        <w:t>Other jurisdictions</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_Toc535868948 \h </w:instrText>
      </w:r>
      <w:r w:rsidRPr="002F4AEB">
        <w:rPr>
          <w:noProof/>
          <w:sz w:val="22"/>
          <w:szCs w:val="22"/>
        </w:rPr>
      </w:r>
      <w:r w:rsidRPr="002F4AEB">
        <w:rPr>
          <w:noProof/>
          <w:sz w:val="22"/>
          <w:szCs w:val="22"/>
        </w:rPr>
        <w:fldChar w:fldCharType="separate"/>
      </w:r>
      <w:r w:rsidR="001F209C">
        <w:rPr>
          <w:noProof/>
          <w:sz w:val="22"/>
          <w:szCs w:val="22"/>
        </w:rPr>
        <w:t>55</w:t>
      </w:r>
      <w:r w:rsidRPr="002F4AEB">
        <w:rPr>
          <w:noProof/>
          <w:sz w:val="22"/>
          <w:szCs w:val="22"/>
        </w:rPr>
        <w:fldChar w:fldCharType="end"/>
      </w:r>
    </w:p>
    <w:p w14:paraId="496A0615" w14:textId="5F567904" w:rsidR="00460D34" w:rsidRPr="002F4AEB" w:rsidRDefault="00460D34" w:rsidP="004C5EE0">
      <w:pPr>
        <w:pStyle w:val="TOC2"/>
        <w:rPr>
          <w:rFonts w:asciiTheme="minorHAnsi" w:eastAsiaTheme="minorEastAsia" w:hAnsiTheme="minorHAnsi" w:cstheme="minorBidi"/>
          <w:noProof/>
          <w:sz w:val="22"/>
          <w:szCs w:val="22"/>
        </w:rPr>
      </w:pPr>
      <w:r w:rsidRPr="002F4AEB">
        <w:rPr>
          <w:noProof/>
          <w:sz w:val="22"/>
          <w:szCs w:val="22"/>
        </w:rPr>
        <w:t>6.4</w:t>
      </w:r>
      <w:r w:rsidRPr="002F4AEB">
        <w:rPr>
          <w:rFonts w:asciiTheme="minorHAnsi" w:eastAsiaTheme="minorEastAsia" w:hAnsiTheme="minorHAnsi" w:cstheme="minorBidi"/>
          <w:noProof/>
          <w:sz w:val="22"/>
          <w:szCs w:val="22"/>
        </w:rPr>
        <w:tab/>
      </w:r>
      <w:r w:rsidRPr="002F4AEB">
        <w:rPr>
          <w:noProof/>
          <w:sz w:val="22"/>
          <w:szCs w:val="22"/>
        </w:rPr>
        <w:t>Issues for consideration</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_Toc535868949 \h </w:instrText>
      </w:r>
      <w:r w:rsidRPr="002F4AEB">
        <w:rPr>
          <w:noProof/>
          <w:sz w:val="22"/>
          <w:szCs w:val="22"/>
        </w:rPr>
      </w:r>
      <w:r w:rsidRPr="002F4AEB">
        <w:rPr>
          <w:noProof/>
          <w:sz w:val="22"/>
          <w:szCs w:val="22"/>
        </w:rPr>
        <w:fldChar w:fldCharType="separate"/>
      </w:r>
      <w:r w:rsidR="001F209C">
        <w:rPr>
          <w:noProof/>
          <w:sz w:val="22"/>
          <w:szCs w:val="22"/>
        </w:rPr>
        <w:t>55</w:t>
      </w:r>
      <w:r w:rsidRPr="002F4AEB">
        <w:rPr>
          <w:noProof/>
          <w:sz w:val="22"/>
          <w:szCs w:val="22"/>
        </w:rPr>
        <w:fldChar w:fldCharType="end"/>
      </w:r>
    </w:p>
    <w:p w14:paraId="03782215" w14:textId="685DAA5F" w:rsidR="00460D34" w:rsidRPr="002F4AEB" w:rsidRDefault="00460D34" w:rsidP="00460D34">
      <w:pPr>
        <w:pStyle w:val="TOC3"/>
        <w:rPr>
          <w:rFonts w:asciiTheme="minorHAnsi" w:eastAsiaTheme="minorEastAsia" w:hAnsiTheme="minorHAnsi" w:cstheme="minorBidi"/>
          <w:noProof/>
          <w:sz w:val="22"/>
          <w:szCs w:val="22"/>
        </w:rPr>
      </w:pPr>
      <w:r w:rsidRPr="002F4AEB">
        <w:rPr>
          <w:noProof/>
          <w:sz w:val="22"/>
          <w:szCs w:val="22"/>
        </w:rPr>
        <w:t>CRPD obligations</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_Toc535868950 \h </w:instrText>
      </w:r>
      <w:r w:rsidRPr="002F4AEB">
        <w:rPr>
          <w:noProof/>
          <w:sz w:val="22"/>
          <w:szCs w:val="22"/>
        </w:rPr>
      </w:r>
      <w:r w:rsidRPr="002F4AEB">
        <w:rPr>
          <w:noProof/>
          <w:sz w:val="22"/>
          <w:szCs w:val="22"/>
        </w:rPr>
        <w:fldChar w:fldCharType="separate"/>
      </w:r>
      <w:r w:rsidR="001F209C">
        <w:rPr>
          <w:noProof/>
          <w:sz w:val="22"/>
          <w:szCs w:val="22"/>
        </w:rPr>
        <w:t>55</w:t>
      </w:r>
      <w:r w:rsidRPr="002F4AEB">
        <w:rPr>
          <w:noProof/>
          <w:sz w:val="22"/>
          <w:szCs w:val="22"/>
        </w:rPr>
        <w:fldChar w:fldCharType="end"/>
      </w:r>
    </w:p>
    <w:p w14:paraId="32C039ED" w14:textId="6A8640BB" w:rsidR="00460D34" w:rsidRPr="002F4AEB" w:rsidRDefault="00460D34" w:rsidP="00460D34">
      <w:pPr>
        <w:pStyle w:val="TOC3"/>
        <w:rPr>
          <w:rFonts w:asciiTheme="minorHAnsi" w:eastAsiaTheme="minorEastAsia" w:hAnsiTheme="minorHAnsi" w:cstheme="minorBidi"/>
          <w:noProof/>
          <w:sz w:val="22"/>
          <w:szCs w:val="22"/>
        </w:rPr>
      </w:pPr>
      <w:r w:rsidRPr="002F4AEB">
        <w:rPr>
          <w:noProof/>
          <w:sz w:val="22"/>
          <w:szCs w:val="22"/>
        </w:rPr>
        <w:t>Judge only proceedings</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_Toc535868951 \h </w:instrText>
      </w:r>
      <w:r w:rsidRPr="002F4AEB">
        <w:rPr>
          <w:noProof/>
          <w:sz w:val="22"/>
          <w:szCs w:val="22"/>
        </w:rPr>
      </w:r>
      <w:r w:rsidRPr="002F4AEB">
        <w:rPr>
          <w:noProof/>
          <w:sz w:val="22"/>
          <w:szCs w:val="22"/>
        </w:rPr>
        <w:fldChar w:fldCharType="separate"/>
      </w:r>
      <w:r w:rsidR="001F209C">
        <w:rPr>
          <w:noProof/>
          <w:sz w:val="22"/>
          <w:szCs w:val="22"/>
        </w:rPr>
        <w:t>57</w:t>
      </w:r>
      <w:r w:rsidRPr="002F4AEB">
        <w:rPr>
          <w:noProof/>
          <w:sz w:val="22"/>
          <w:szCs w:val="22"/>
        </w:rPr>
        <w:fldChar w:fldCharType="end"/>
      </w:r>
    </w:p>
    <w:p w14:paraId="6FA4401F" w14:textId="0EF8D03D" w:rsidR="00460D34" w:rsidRPr="00154F1D" w:rsidRDefault="00460D34" w:rsidP="00D47380">
      <w:pPr>
        <w:pStyle w:val="TOC1"/>
        <w:rPr>
          <w:rFonts w:asciiTheme="minorHAnsi" w:eastAsiaTheme="minorEastAsia" w:hAnsiTheme="minorHAnsi" w:cstheme="minorBidi"/>
        </w:rPr>
      </w:pPr>
      <w:r w:rsidRPr="00154F1D">
        <w:t>Part 7: Insanity</w:t>
      </w:r>
      <w:r w:rsidRPr="00154F1D">
        <w:tab/>
      </w:r>
      <w:r w:rsidRPr="00154F1D">
        <w:fldChar w:fldCharType="begin"/>
      </w:r>
      <w:r w:rsidRPr="00154F1D">
        <w:instrText xml:space="preserve"> PAGEREF _Toc535868953 \h </w:instrText>
      </w:r>
      <w:r w:rsidRPr="00154F1D">
        <w:fldChar w:fldCharType="separate"/>
      </w:r>
      <w:r w:rsidR="001F209C">
        <w:t>60</w:t>
      </w:r>
      <w:r w:rsidRPr="00154F1D">
        <w:fldChar w:fldCharType="end"/>
      </w:r>
    </w:p>
    <w:p w14:paraId="0B3CD595" w14:textId="51D5B64D" w:rsidR="00460D34" w:rsidRPr="002F4AEB" w:rsidRDefault="00460D34" w:rsidP="004C5EE0">
      <w:pPr>
        <w:pStyle w:val="TOC2"/>
        <w:rPr>
          <w:rFonts w:asciiTheme="minorHAnsi" w:eastAsiaTheme="minorEastAsia" w:hAnsiTheme="minorHAnsi" w:cstheme="minorBidi"/>
          <w:noProof/>
          <w:sz w:val="22"/>
          <w:szCs w:val="22"/>
        </w:rPr>
      </w:pPr>
      <w:r w:rsidRPr="002F4AEB">
        <w:rPr>
          <w:noProof/>
          <w:sz w:val="22"/>
          <w:szCs w:val="22"/>
        </w:rPr>
        <w:t>7.1</w:t>
      </w:r>
      <w:r w:rsidRPr="002F4AEB">
        <w:rPr>
          <w:rFonts w:asciiTheme="minorHAnsi" w:eastAsiaTheme="minorEastAsia" w:hAnsiTheme="minorHAnsi" w:cstheme="minorBidi"/>
          <w:noProof/>
          <w:sz w:val="22"/>
          <w:szCs w:val="22"/>
        </w:rPr>
        <w:tab/>
      </w:r>
      <w:r w:rsidRPr="002F4AEB">
        <w:rPr>
          <w:noProof/>
          <w:sz w:val="22"/>
          <w:szCs w:val="22"/>
        </w:rPr>
        <w:t>Introduction</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_Toc535868954 \h </w:instrText>
      </w:r>
      <w:r w:rsidRPr="002F4AEB">
        <w:rPr>
          <w:noProof/>
          <w:sz w:val="22"/>
          <w:szCs w:val="22"/>
        </w:rPr>
      </w:r>
      <w:r w:rsidRPr="002F4AEB">
        <w:rPr>
          <w:noProof/>
          <w:sz w:val="22"/>
          <w:szCs w:val="22"/>
        </w:rPr>
        <w:fldChar w:fldCharType="separate"/>
      </w:r>
      <w:r w:rsidR="001F209C">
        <w:rPr>
          <w:noProof/>
          <w:sz w:val="22"/>
          <w:szCs w:val="22"/>
        </w:rPr>
        <w:t>60</w:t>
      </w:r>
      <w:r w:rsidRPr="002F4AEB">
        <w:rPr>
          <w:noProof/>
          <w:sz w:val="22"/>
          <w:szCs w:val="22"/>
        </w:rPr>
        <w:fldChar w:fldCharType="end"/>
      </w:r>
    </w:p>
    <w:p w14:paraId="37DA7365" w14:textId="65A4460F" w:rsidR="00460D34" w:rsidRPr="002F4AEB" w:rsidRDefault="00460D34" w:rsidP="004C5EE0">
      <w:pPr>
        <w:pStyle w:val="TOC2"/>
        <w:rPr>
          <w:rFonts w:asciiTheme="minorHAnsi" w:eastAsiaTheme="minorEastAsia" w:hAnsiTheme="minorHAnsi" w:cstheme="minorBidi"/>
          <w:noProof/>
          <w:sz w:val="22"/>
          <w:szCs w:val="22"/>
        </w:rPr>
      </w:pPr>
      <w:r w:rsidRPr="002F4AEB">
        <w:rPr>
          <w:noProof/>
          <w:sz w:val="22"/>
          <w:szCs w:val="22"/>
        </w:rPr>
        <w:t>7.2</w:t>
      </w:r>
      <w:r w:rsidRPr="002F4AEB">
        <w:rPr>
          <w:rFonts w:asciiTheme="minorHAnsi" w:eastAsiaTheme="minorEastAsia" w:hAnsiTheme="minorHAnsi" w:cstheme="minorBidi"/>
          <w:noProof/>
          <w:sz w:val="22"/>
          <w:szCs w:val="22"/>
        </w:rPr>
        <w:tab/>
      </w:r>
      <w:r w:rsidRPr="002F4AEB">
        <w:rPr>
          <w:noProof/>
          <w:sz w:val="22"/>
          <w:szCs w:val="22"/>
        </w:rPr>
        <w:t>Overview of the law of insanity in Tasmania</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_Toc535868955 \h </w:instrText>
      </w:r>
      <w:r w:rsidRPr="002F4AEB">
        <w:rPr>
          <w:noProof/>
          <w:sz w:val="22"/>
          <w:szCs w:val="22"/>
        </w:rPr>
      </w:r>
      <w:r w:rsidRPr="002F4AEB">
        <w:rPr>
          <w:noProof/>
          <w:sz w:val="22"/>
          <w:szCs w:val="22"/>
        </w:rPr>
        <w:fldChar w:fldCharType="separate"/>
      </w:r>
      <w:r w:rsidR="001F209C">
        <w:rPr>
          <w:noProof/>
          <w:sz w:val="22"/>
          <w:szCs w:val="22"/>
        </w:rPr>
        <w:t>60</w:t>
      </w:r>
      <w:r w:rsidRPr="002F4AEB">
        <w:rPr>
          <w:noProof/>
          <w:sz w:val="22"/>
          <w:szCs w:val="22"/>
        </w:rPr>
        <w:fldChar w:fldCharType="end"/>
      </w:r>
    </w:p>
    <w:p w14:paraId="5289C15B" w14:textId="7E46244A" w:rsidR="00460D34" w:rsidRPr="002F4AEB" w:rsidRDefault="00460D34" w:rsidP="00460D34">
      <w:pPr>
        <w:pStyle w:val="TOC3"/>
        <w:rPr>
          <w:rFonts w:asciiTheme="minorHAnsi" w:eastAsiaTheme="minorEastAsia" w:hAnsiTheme="minorHAnsi" w:cstheme="minorBidi"/>
          <w:noProof/>
          <w:sz w:val="22"/>
          <w:szCs w:val="22"/>
        </w:rPr>
      </w:pPr>
      <w:r w:rsidRPr="002F4AEB">
        <w:rPr>
          <w:noProof/>
          <w:sz w:val="22"/>
          <w:szCs w:val="22"/>
        </w:rPr>
        <w:t>History</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_Toc535868956 \h </w:instrText>
      </w:r>
      <w:r w:rsidRPr="002F4AEB">
        <w:rPr>
          <w:noProof/>
          <w:sz w:val="22"/>
          <w:szCs w:val="22"/>
        </w:rPr>
      </w:r>
      <w:r w:rsidRPr="002F4AEB">
        <w:rPr>
          <w:noProof/>
          <w:sz w:val="22"/>
          <w:szCs w:val="22"/>
        </w:rPr>
        <w:fldChar w:fldCharType="separate"/>
      </w:r>
      <w:r w:rsidR="001F209C">
        <w:rPr>
          <w:noProof/>
          <w:sz w:val="22"/>
          <w:szCs w:val="22"/>
        </w:rPr>
        <w:t>60</w:t>
      </w:r>
      <w:r w:rsidRPr="002F4AEB">
        <w:rPr>
          <w:noProof/>
          <w:sz w:val="22"/>
          <w:szCs w:val="22"/>
        </w:rPr>
        <w:fldChar w:fldCharType="end"/>
      </w:r>
    </w:p>
    <w:p w14:paraId="09CBADD5" w14:textId="51ACA80C" w:rsidR="00460D34" w:rsidRPr="002F4AEB" w:rsidRDefault="00460D34" w:rsidP="00460D34">
      <w:pPr>
        <w:pStyle w:val="TOC3"/>
        <w:rPr>
          <w:rFonts w:asciiTheme="minorHAnsi" w:eastAsiaTheme="minorEastAsia" w:hAnsiTheme="minorHAnsi" w:cstheme="minorBidi"/>
          <w:noProof/>
          <w:sz w:val="22"/>
          <w:szCs w:val="22"/>
        </w:rPr>
      </w:pPr>
      <w:r w:rsidRPr="002F4AEB">
        <w:rPr>
          <w:noProof/>
          <w:sz w:val="22"/>
          <w:szCs w:val="22"/>
        </w:rPr>
        <w:t>Rationale</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_Toc535868957 \h </w:instrText>
      </w:r>
      <w:r w:rsidRPr="002F4AEB">
        <w:rPr>
          <w:noProof/>
          <w:sz w:val="22"/>
          <w:szCs w:val="22"/>
        </w:rPr>
      </w:r>
      <w:r w:rsidRPr="002F4AEB">
        <w:rPr>
          <w:noProof/>
          <w:sz w:val="22"/>
          <w:szCs w:val="22"/>
        </w:rPr>
        <w:fldChar w:fldCharType="separate"/>
      </w:r>
      <w:r w:rsidR="001F209C">
        <w:rPr>
          <w:noProof/>
          <w:sz w:val="22"/>
          <w:szCs w:val="22"/>
        </w:rPr>
        <w:t>61</w:t>
      </w:r>
      <w:r w:rsidRPr="002F4AEB">
        <w:rPr>
          <w:noProof/>
          <w:sz w:val="22"/>
          <w:szCs w:val="22"/>
        </w:rPr>
        <w:fldChar w:fldCharType="end"/>
      </w:r>
    </w:p>
    <w:p w14:paraId="65D87BD3" w14:textId="0C88CD5E" w:rsidR="00460D34" w:rsidRPr="002F4AEB" w:rsidRDefault="00460D34" w:rsidP="004C5EE0">
      <w:pPr>
        <w:pStyle w:val="TOC2"/>
        <w:rPr>
          <w:rFonts w:asciiTheme="minorHAnsi" w:eastAsiaTheme="minorEastAsia" w:hAnsiTheme="minorHAnsi" w:cstheme="minorBidi"/>
          <w:noProof/>
          <w:sz w:val="22"/>
          <w:szCs w:val="22"/>
        </w:rPr>
      </w:pPr>
      <w:r w:rsidRPr="002F4AEB">
        <w:rPr>
          <w:noProof/>
          <w:sz w:val="22"/>
          <w:szCs w:val="22"/>
        </w:rPr>
        <w:t>7.3</w:t>
      </w:r>
      <w:r w:rsidRPr="002F4AEB">
        <w:rPr>
          <w:rFonts w:asciiTheme="minorHAnsi" w:eastAsiaTheme="minorEastAsia" w:hAnsiTheme="minorHAnsi" w:cstheme="minorBidi"/>
          <w:noProof/>
          <w:sz w:val="22"/>
          <w:szCs w:val="22"/>
        </w:rPr>
        <w:tab/>
      </w:r>
      <w:r w:rsidRPr="002F4AEB">
        <w:rPr>
          <w:noProof/>
          <w:sz w:val="22"/>
          <w:szCs w:val="22"/>
        </w:rPr>
        <w:t>The current law of insanity in Tasmania</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_Toc535868958 \h </w:instrText>
      </w:r>
      <w:r w:rsidRPr="002F4AEB">
        <w:rPr>
          <w:noProof/>
          <w:sz w:val="22"/>
          <w:szCs w:val="22"/>
        </w:rPr>
      </w:r>
      <w:r w:rsidRPr="002F4AEB">
        <w:rPr>
          <w:noProof/>
          <w:sz w:val="22"/>
          <w:szCs w:val="22"/>
        </w:rPr>
        <w:fldChar w:fldCharType="separate"/>
      </w:r>
      <w:r w:rsidR="001F209C">
        <w:rPr>
          <w:noProof/>
          <w:sz w:val="22"/>
          <w:szCs w:val="22"/>
        </w:rPr>
        <w:t>63</w:t>
      </w:r>
      <w:r w:rsidRPr="002F4AEB">
        <w:rPr>
          <w:noProof/>
          <w:sz w:val="22"/>
          <w:szCs w:val="22"/>
        </w:rPr>
        <w:fldChar w:fldCharType="end"/>
      </w:r>
    </w:p>
    <w:p w14:paraId="3D133760" w14:textId="3735A8C6" w:rsidR="00460D34" w:rsidRPr="002F4AEB" w:rsidRDefault="00460D34" w:rsidP="00460D34">
      <w:pPr>
        <w:pStyle w:val="TOC3"/>
        <w:rPr>
          <w:rFonts w:asciiTheme="minorHAnsi" w:eastAsiaTheme="minorEastAsia" w:hAnsiTheme="minorHAnsi" w:cstheme="minorBidi"/>
          <w:noProof/>
          <w:sz w:val="22"/>
          <w:szCs w:val="22"/>
        </w:rPr>
      </w:pPr>
      <w:r w:rsidRPr="002F4AEB">
        <w:rPr>
          <w:noProof/>
          <w:sz w:val="22"/>
          <w:szCs w:val="22"/>
        </w:rPr>
        <w:t>Key components of the defence</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_Toc535868959 \h </w:instrText>
      </w:r>
      <w:r w:rsidRPr="002F4AEB">
        <w:rPr>
          <w:noProof/>
          <w:sz w:val="22"/>
          <w:szCs w:val="22"/>
        </w:rPr>
      </w:r>
      <w:r w:rsidRPr="002F4AEB">
        <w:rPr>
          <w:noProof/>
          <w:sz w:val="22"/>
          <w:szCs w:val="22"/>
        </w:rPr>
        <w:fldChar w:fldCharType="separate"/>
      </w:r>
      <w:r w:rsidR="001F209C">
        <w:rPr>
          <w:noProof/>
          <w:sz w:val="22"/>
          <w:szCs w:val="22"/>
        </w:rPr>
        <w:t>64</w:t>
      </w:r>
      <w:r w:rsidRPr="002F4AEB">
        <w:rPr>
          <w:noProof/>
          <w:sz w:val="22"/>
          <w:szCs w:val="22"/>
        </w:rPr>
        <w:fldChar w:fldCharType="end"/>
      </w:r>
    </w:p>
    <w:p w14:paraId="25404308" w14:textId="146A33EF" w:rsidR="00460D34" w:rsidRPr="002F4AEB" w:rsidRDefault="00460D34" w:rsidP="00460D34">
      <w:pPr>
        <w:pStyle w:val="TOC3"/>
        <w:rPr>
          <w:rFonts w:asciiTheme="minorHAnsi" w:eastAsiaTheme="minorEastAsia" w:hAnsiTheme="minorHAnsi" w:cstheme="minorBidi"/>
          <w:noProof/>
          <w:sz w:val="22"/>
          <w:szCs w:val="22"/>
        </w:rPr>
      </w:pPr>
      <w:r w:rsidRPr="002F4AEB">
        <w:rPr>
          <w:noProof/>
          <w:sz w:val="22"/>
          <w:szCs w:val="22"/>
        </w:rPr>
        <w:t>Procedural matters</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_Toc535868960 \h </w:instrText>
      </w:r>
      <w:r w:rsidRPr="002F4AEB">
        <w:rPr>
          <w:noProof/>
          <w:sz w:val="22"/>
          <w:szCs w:val="22"/>
        </w:rPr>
      </w:r>
      <w:r w:rsidRPr="002F4AEB">
        <w:rPr>
          <w:noProof/>
          <w:sz w:val="22"/>
          <w:szCs w:val="22"/>
        </w:rPr>
        <w:fldChar w:fldCharType="separate"/>
      </w:r>
      <w:r w:rsidR="001F209C">
        <w:rPr>
          <w:noProof/>
          <w:sz w:val="22"/>
          <w:szCs w:val="22"/>
        </w:rPr>
        <w:t>71</w:t>
      </w:r>
      <w:r w:rsidRPr="002F4AEB">
        <w:rPr>
          <w:noProof/>
          <w:sz w:val="22"/>
          <w:szCs w:val="22"/>
        </w:rPr>
        <w:fldChar w:fldCharType="end"/>
      </w:r>
    </w:p>
    <w:p w14:paraId="2D5845A0" w14:textId="2F02707C" w:rsidR="00460D34" w:rsidRPr="002F4AEB" w:rsidRDefault="00460D34" w:rsidP="004C5EE0">
      <w:pPr>
        <w:pStyle w:val="TOC2"/>
        <w:rPr>
          <w:rFonts w:asciiTheme="minorHAnsi" w:eastAsiaTheme="minorEastAsia" w:hAnsiTheme="minorHAnsi" w:cstheme="minorBidi"/>
          <w:noProof/>
          <w:sz w:val="22"/>
          <w:szCs w:val="22"/>
        </w:rPr>
      </w:pPr>
      <w:r w:rsidRPr="002F4AEB">
        <w:rPr>
          <w:noProof/>
          <w:sz w:val="22"/>
          <w:szCs w:val="22"/>
        </w:rPr>
        <w:t>7.4</w:t>
      </w:r>
      <w:r w:rsidRPr="002F4AEB">
        <w:rPr>
          <w:rFonts w:asciiTheme="minorHAnsi" w:eastAsiaTheme="minorEastAsia" w:hAnsiTheme="minorHAnsi" w:cstheme="minorBidi"/>
          <w:noProof/>
          <w:sz w:val="22"/>
          <w:szCs w:val="22"/>
        </w:rPr>
        <w:tab/>
      </w:r>
      <w:r w:rsidRPr="002F4AEB">
        <w:rPr>
          <w:noProof/>
          <w:sz w:val="22"/>
          <w:szCs w:val="22"/>
        </w:rPr>
        <w:t>Law in other jurisdictions</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_Toc535868961 \h </w:instrText>
      </w:r>
      <w:r w:rsidRPr="002F4AEB">
        <w:rPr>
          <w:noProof/>
          <w:sz w:val="22"/>
          <w:szCs w:val="22"/>
        </w:rPr>
      </w:r>
      <w:r w:rsidRPr="002F4AEB">
        <w:rPr>
          <w:noProof/>
          <w:sz w:val="22"/>
          <w:szCs w:val="22"/>
        </w:rPr>
        <w:fldChar w:fldCharType="separate"/>
      </w:r>
      <w:r w:rsidR="001F209C">
        <w:rPr>
          <w:noProof/>
          <w:sz w:val="22"/>
          <w:szCs w:val="22"/>
        </w:rPr>
        <w:t>72</w:t>
      </w:r>
      <w:r w:rsidRPr="002F4AEB">
        <w:rPr>
          <w:noProof/>
          <w:sz w:val="22"/>
          <w:szCs w:val="22"/>
        </w:rPr>
        <w:fldChar w:fldCharType="end"/>
      </w:r>
    </w:p>
    <w:p w14:paraId="2E73DC0D" w14:textId="6559BE34" w:rsidR="00460D34" w:rsidRPr="002F4AEB" w:rsidRDefault="00460D34" w:rsidP="004C5EE0">
      <w:pPr>
        <w:pStyle w:val="TOC2"/>
        <w:rPr>
          <w:rFonts w:asciiTheme="minorHAnsi" w:eastAsiaTheme="minorEastAsia" w:hAnsiTheme="minorHAnsi" w:cstheme="minorBidi"/>
          <w:noProof/>
          <w:sz w:val="22"/>
          <w:szCs w:val="22"/>
        </w:rPr>
      </w:pPr>
      <w:r w:rsidRPr="002F4AEB">
        <w:rPr>
          <w:noProof/>
          <w:sz w:val="22"/>
          <w:szCs w:val="22"/>
        </w:rPr>
        <w:t>7.5</w:t>
      </w:r>
      <w:r w:rsidRPr="002F4AEB">
        <w:rPr>
          <w:rFonts w:asciiTheme="minorHAnsi" w:eastAsiaTheme="minorEastAsia" w:hAnsiTheme="minorHAnsi" w:cstheme="minorBidi"/>
          <w:noProof/>
          <w:sz w:val="22"/>
          <w:szCs w:val="22"/>
        </w:rPr>
        <w:tab/>
      </w:r>
      <w:r w:rsidRPr="002F4AEB">
        <w:rPr>
          <w:noProof/>
          <w:sz w:val="22"/>
          <w:szCs w:val="22"/>
        </w:rPr>
        <w:t>Issues for consideration</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_Toc535868962 \h </w:instrText>
      </w:r>
      <w:r w:rsidRPr="002F4AEB">
        <w:rPr>
          <w:noProof/>
          <w:sz w:val="22"/>
          <w:szCs w:val="22"/>
        </w:rPr>
      </w:r>
      <w:r w:rsidRPr="002F4AEB">
        <w:rPr>
          <w:noProof/>
          <w:sz w:val="22"/>
          <w:szCs w:val="22"/>
        </w:rPr>
        <w:fldChar w:fldCharType="separate"/>
      </w:r>
      <w:r w:rsidR="001F209C">
        <w:rPr>
          <w:noProof/>
          <w:sz w:val="22"/>
          <w:szCs w:val="22"/>
        </w:rPr>
        <w:t>78</w:t>
      </w:r>
      <w:r w:rsidRPr="002F4AEB">
        <w:rPr>
          <w:noProof/>
          <w:sz w:val="22"/>
          <w:szCs w:val="22"/>
        </w:rPr>
        <w:fldChar w:fldCharType="end"/>
      </w:r>
    </w:p>
    <w:p w14:paraId="2DCD98CB" w14:textId="1CCD2ACB" w:rsidR="00460D34" w:rsidRPr="002F4AEB" w:rsidRDefault="00460D34" w:rsidP="00460D34">
      <w:pPr>
        <w:pStyle w:val="TOC3"/>
        <w:rPr>
          <w:rFonts w:asciiTheme="minorHAnsi" w:eastAsiaTheme="minorEastAsia" w:hAnsiTheme="minorHAnsi" w:cstheme="minorBidi"/>
          <w:noProof/>
          <w:sz w:val="22"/>
          <w:szCs w:val="22"/>
        </w:rPr>
      </w:pPr>
      <w:r w:rsidRPr="002F4AEB">
        <w:rPr>
          <w:noProof/>
          <w:sz w:val="22"/>
          <w:szCs w:val="22"/>
        </w:rPr>
        <w:t>Is it necessary to have an insanity defence?</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_Toc535868963 \h </w:instrText>
      </w:r>
      <w:r w:rsidRPr="002F4AEB">
        <w:rPr>
          <w:noProof/>
          <w:sz w:val="22"/>
          <w:szCs w:val="22"/>
        </w:rPr>
      </w:r>
      <w:r w:rsidRPr="002F4AEB">
        <w:rPr>
          <w:noProof/>
          <w:sz w:val="22"/>
          <w:szCs w:val="22"/>
        </w:rPr>
        <w:fldChar w:fldCharType="separate"/>
      </w:r>
      <w:r w:rsidR="001F209C">
        <w:rPr>
          <w:noProof/>
          <w:sz w:val="22"/>
          <w:szCs w:val="22"/>
        </w:rPr>
        <w:t>78</w:t>
      </w:r>
      <w:r w:rsidRPr="002F4AEB">
        <w:rPr>
          <w:noProof/>
          <w:sz w:val="22"/>
          <w:szCs w:val="22"/>
        </w:rPr>
        <w:fldChar w:fldCharType="end"/>
      </w:r>
    </w:p>
    <w:p w14:paraId="436B74D2" w14:textId="4C0712A7" w:rsidR="00460D34" w:rsidRPr="002F4AEB" w:rsidRDefault="00460D34" w:rsidP="00460D34">
      <w:pPr>
        <w:pStyle w:val="TOC3"/>
        <w:rPr>
          <w:rFonts w:asciiTheme="minorHAnsi" w:eastAsiaTheme="minorEastAsia" w:hAnsiTheme="minorHAnsi" w:cstheme="minorBidi"/>
          <w:noProof/>
          <w:sz w:val="22"/>
          <w:szCs w:val="22"/>
        </w:rPr>
      </w:pPr>
      <w:r w:rsidRPr="002F4AEB">
        <w:rPr>
          <w:noProof/>
          <w:sz w:val="22"/>
          <w:szCs w:val="22"/>
        </w:rPr>
        <w:t>A new defence (a ‘radical’ change)</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_Toc535868964 \h </w:instrText>
      </w:r>
      <w:r w:rsidRPr="002F4AEB">
        <w:rPr>
          <w:noProof/>
          <w:sz w:val="22"/>
          <w:szCs w:val="22"/>
        </w:rPr>
      </w:r>
      <w:r w:rsidRPr="002F4AEB">
        <w:rPr>
          <w:noProof/>
          <w:sz w:val="22"/>
          <w:szCs w:val="22"/>
        </w:rPr>
        <w:fldChar w:fldCharType="separate"/>
      </w:r>
      <w:r w:rsidR="001F209C">
        <w:rPr>
          <w:noProof/>
          <w:sz w:val="22"/>
          <w:szCs w:val="22"/>
        </w:rPr>
        <w:t>82</w:t>
      </w:r>
      <w:r w:rsidRPr="002F4AEB">
        <w:rPr>
          <w:noProof/>
          <w:sz w:val="22"/>
          <w:szCs w:val="22"/>
        </w:rPr>
        <w:fldChar w:fldCharType="end"/>
      </w:r>
    </w:p>
    <w:p w14:paraId="0C6D644C" w14:textId="7149F441" w:rsidR="00460D34" w:rsidRPr="002F4AEB" w:rsidRDefault="00460D34" w:rsidP="00460D34">
      <w:pPr>
        <w:pStyle w:val="TOC3"/>
        <w:rPr>
          <w:rFonts w:asciiTheme="minorHAnsi" w:eastAsiaTheme="minorEastAsia" w:hAnsiTheme="minorHAnsi" w:cstheme="minorBidi"/>
          <w:noProof/>
          <w:sz w:val="22"/>
          <w:szCs w:val="22"/>
        </w:rPr>
      </w:pPr>
      <w:r w:rsidRPr="002F4AEB">
        <w:rPr>
          <w:noProof/>
          <w:sz w:val="22"/>
          <w:szCs w:val="22"/>
        </w:rPr>
        <w:t xml:space="preserve">Retain and amend the insanity defence in s 16 of the </w:t>
      </w:r>
      <w:r w:rsidRPr="002F4AEB">
        <w:rPr>
          <w:i/>
          <w:noProof/>
          <w:sz w:val="22"/>
          <w:szCs w:val="22"/>
        </w:rPr>
        <w:t>Criminal Code</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_Toc535868965 \h </w:instrText>
      </w:r>
      <w:r w:rsidRPr="002F4AEB">
        <w:rPr>
          <w:noProof/>
          <w:sz w:val="22"/>
          <w:szCs w:val="22"/>
        </w:rPr>
      </w:r>
      <w:r w:rsidRPr="002F4AEB">
        <w:rPr>
          <w:noProof/>
          <w:sz w:val="22"/>
          <w:szCs w:val="22"/>
        </w:rPr>
        <w:fldChar w:fldCharType="separate"/>
      </w:r>
      <w:r w:rsidR="001F209C">
        <w:rPr>
          <w:noProof/>
          <w:sz w:val="22"/>
          <w:szCs w:val="22"/>
        </w:rPr>
        <w:t>84</w:t>
      </w:r>
      <w:r w:rsidRPr="002F4AEB">
        <w:rPr>
          <w:noProof/>
          <w:sz w:val="22"/>
          <w:szCs w:val="22"/>
        </w:rPr>
        <w:fldChar w:fldCharType="end"/>
      </w:r>
    </w:p>
    <w:p w14:paraId="5BAD8070" w14:textId="69E269FB" w:rsidR="00460D34" w:rsidRPr="002F4AEB" w:rsidRDefault="00460D34" w:rsidP="00460D34">
      <w:pPr>
        <w:pStyle w:val="TOC3"/>
        <w:rPr>
          <w:rFonts w:asciiTheme="minorHAnsi" w:eastAsiaTheme="minorEastAsia" w:hAnsiTheme="minorHAnsi" w:cstheme="minorBidi"/>
          <w:noProof/>
          <w:sz w:val="22"/>
          <w:szCs w:val="22"/>
        </w:rPr>
      </w:pPr>
      <w:r w:rsidRPr="002F4AEB">
        <w:rPr>
          <w:noProof/>
          <w:sz w:val="22"/>
          <w:szCs w:val="22"/>
        </w:rPr>
        <w:t>Section 16(3): The interrelationship between insanity and self-defence</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_Toc535868966 \h </w:instrText>
      </w:r>
      <w:r w:rsidRPr="002F4AEB">
        <w:rPr>
          <w:noProof/>
          <w:sz w:val="22"/>
          <w:szCs w:val="22"/>
        </w:rPr>
      </w:r>
      <w:r w:rsidRPr="002F4AEB">
        <w:rPr>
          <w:noProof/>
          <w:sz w:val="22"/>
          <w:szCs w:val="22"/>
        </w:rPr>
        <w:fldChar w:fldCharType="separate"/>
      </w:r>
      <w:r w:rsidR="001F209C">
        <w:rPr>
          <w:noProof/>
          <w:sz w:val="22"/>
          <w:szCs w:val="22"/>
        </w:rPr>
        <w:t>97</w:t>
      </w:r>
      <w:r w:rsidRPr="002F4AEB">
        <w:rPr>
          <w:noProof/>
          <w:sz w:val="22"/>
          <w:szCs w:val="22"/>
        </w:rPr>
        <w:fldChar w:fldCharType="end"/>
      </w:r>
    </w:p>
    <w:p w14:paraId="2A2537CF" w14:textId="208947FA" w:rsidR="00460D34" w:rsidRPr="002F4AEB" w:rsidRDefault="00460D34" w:rsidP="00460D34">
      <w:pPr>
        <w:pStyle w:val="TOC3"/>
        <w:rPr>
          <w:rFonts w:asciiTheme="minorHAnsi" w:eastAsiaTheme="minorEastAsia" w:hAnsiTheme="minorHAnsi" w:cstheme="minorBidi"/>
          <w:noProof/>
          <w:sz w:val="22"/>
          <w:szCs w:val="22"/>
        </w:rPr>
      </w:pPr>
      <w:r w:rsidRPr="002F4AEB">
        <w:rPr>
          <w:noProof/>
          <w:sz w:val="22"/>
          <w:szCs w:val="22"/>
        </w:rPr>
        <w:t>Procedural aspects of the defence</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_Toc535868967 \h </w:instrText>
      </w:r>
      <w:r w:rsidRPr="002F4AEB">
        <w:rPr>
          <w:noProof/>
          <w:sz w:val="22"/>
          <w:szCs w:val="22"/>
        </w:rPr>
      </w:r>
      <w:r w:rsidRPr="002F4AEB">
        <w:rPr>
          <w:noProof/>
          <w:sz w:val="22"/>
          <w:szCs w:val="22"/>
        </w:rPr>
        <w:fldChar w:fldCharType="separate"/>
      </w:r>
      <w:r w:rsidR="001F209C">
        <w:rPr>
          <w:noProof/>
          <w:sz w:val="22"/>
          <w:szCs w:val="22"/>
        </w:rPr>
        <w:t>104</w:t>
      </w:r>
      <w:r w:rsidRPr="002F4AEB">
        <w:rPr>
          <w:noProof/>
          <w:sz w:val="22"/>
          <w:szCs w:val="22"/>
        </w:rPr>
        <w:fldChar w:fldCharType="end"/>
      </w:r>
    </w:p>
    <w:p w14:paraId="1350CCD2" w14:textId="4E340599" w:rsidR="00460D34" w:rsidRPr="00154F1D" w:rsidRDefault="00460D34" w:rsidP="00D47380">
      <w:pPr>
        <w:pStyle w:val="TOC1"/>
        <w:rPr>
          <w:rFonts w:asciiTheme="minorHAnsi" w:eastAsiaTheme="minorEastAsia" w:hAnsiTheme="minorHAnsi" w:cstheme="minorBidi"/>
        </w:rPr>
      </w:pPr>
      <w:r w:rsidRPr="00154F1D">
        <w:t>Part 8: Disposition: Forensic and Treatment Orders</w:t>
      </w:r>
      <w:r w:rsidRPr="00154F1D">
        <w:tab/>
      </w:r>
      <w:r w:rsidRPr="00154F1D">
        <w:fldChar w:fldCharType="begin"/>
      </w:r>
      <w:r w:rsidRPr="00154F1D">
        <w:instrText xml:space="preserve"> PAGEREF _Toc535868969 \h </w:instrText>
      </w:r>
      <w:r w:rsidRPr="00154F1D">
        <w:fldChar w:fldCharType="separate"/>
      </w:r>
      <w:r w:rsidR="001F209C">
        <w:t>109</w:t>
      </w:r>
      <w:r w:rsidRPr="00154F1D">
        <w:fldChar w:fldCharType="end"/>
      </w:r>
    </w:p>
    <w:p w14:paraId="1DCE59E6" w14:textId="50EFD03E" w:rsidR="00460D34" w:rsidRPr="002F4AEB" w:rsidRDefault="00460D34" w:rsidP="004C5EE0">
      <w:pPr>
        <w:pStyle w:val="TOC2"/>
        <w:rPr>
          <w:rFonts w:asciiTheme="minorHAnsi" w:eastAsiaTheme="minorEastAsia" w:hAnsiTheme="minorHAnsi" w:cstheme="minorBidi"/>
          <w:noProof/>
          <w:sz w:val="22"/>
          <w:szCs w:val="22"/>
        </w:rPr>
      </w:pPr>
      <w:r w:rsidRPr="002F4AEB">
        <w:rPr>
          <w:noProof/>
          <w:sz w:val="22"/>
          <w:szCs w:val="22"/>
        </w:rPr>
        <w:t>8.1</w:t>
      </w:r>
      <w:r w:rsidRPr="002F4AEB">
        <w:rPr>
          <w:rFonts w:asciiTheme="minorHAnsi" w:eastAsiaTheme="minorEastAsia" w:hAnsiTheme="minorHAnsi" w:cstheme="minorBidi"/>
          <w:noProof/>
          <w:sz w:val="22"/>
          <w:szCs w:val="22"/>
        </w:rPr>
        <w:tab/>
      </w:r>
      <w:r w:rsidRPr="002F4AEB">
        <w:rPr>
          <w:noProof/>
          <w:sz w:val="22"/>
          <w:szCs w:val="22"/>
        </w:rPr>
        <w:t>Introduction</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_Toc535868970 \h </w:instrText>
      </w:r>
      <w:r w:rsidRPr="002F4AEB">
        <w:rPr>
          <w:noProof/>
          <w:sz w:val="22"/>
          <w:szCs w:val="22"/>
        </w:rPr>
      </w:r>
      <w:r w:rsidRPr="002F4AEB">
        <w:rPr>
          <w:noProof/>
          <w:sz w:val="22"/>
          <w:szCs w:val="22"/>
        </w:rPr>
        <w:fldChar w:fldCharType="separate"/>
      </w:r>
      <w:r w:rsidR="001F209C">
        <w:rPr>
          <w:noProof/>
          <w:sz w:val="22"/>
          <w:szCs w:val="22"/>
        </w:rPr>
        <w:t>109</w:t>
      </w:r>
      <w:r w:rsidRPr="002F4AEB">
        <w:rPr>
          <w:noProof/>
          <w:sz w:val="22"/>
          <w:szCs w:val="22"/>
        </w:rPr>
        <w:fldChar w:fldCharType="end"/>
      </w:r>
    </w:p>
    <w:p w14:paraId="105B9C95" w14:textId="0324934D" w:rsidR="00460D34" w:rsidRPr="002F4AEB" w:rsidRDefault="00460D34" w:rsidP="004C5EE0">
      <w:pPr>
        <w:pStyle w:val="TOC2"/>
        <w:rPr>
          <w:rFonts w:asciiTheme="minorHAnsi" w:eastAsiaTheme="minorEastAsia" w:hAnsiTheme="minorHAnsi" w:cstheme="minorBidi"/>
          <w:noProof/>
          <w:sz w:val="22"/>
          <w:szCs w:val="22"/>
        </w:rPr>
      </w:pPr>
      <w:r w:rsidRPr="002F4AEB">
        <w:rPr>
          <w:noProof/>
          <w:sz w:val="22"/>
          <w:szCs w:val="22"/>
        </w:rPr>
        <w:t>8.2</w:t>
      </w:r>
      <w:r w:rsidRPr="002F4AEB">
        <w:rPr>
          <w:rFonts w:asciiTheme="minorHAnsi" w:eastAsiaTheme="minorEastAsia" w:hAnsiTheme="minorHAnsi" w:cstheme="minorBidi"/>
          <w:noProof/>
          <w:sz w:val="22"/>
          <w:szCs w:val="22"/>
        </w:rPr>
        <w:tab/>
      </w:r>
      <w:r w:rsidRPr="002F4AEB">
        <w:rPr>
          <w:noProof/>
          <w:sz w:val="22"/>
          <w:szCs w:val="22"/>
        </w:rPr>
        <w:t xml:space="preserve">Consequences of findings under the </w:t>
      </w:r>
      <w:r w:rsidRPr="002F4AEB">
        <w:rPr>
          <w:i/>
          <w:noProof/>
          <w:sz w:val="22"/>
          <w:szCs w:val="22"/>
        </w:rPr>
        <w:t>Criminal Justice (Mental Impairment) Act 1999</w:t>
      </w:r>
      <w:r w:rsidRPr="002F4AEB">
        <w:rPr>
          <w:noProof/>
          <w:sz w:val="22"/>
          <w:szCs w:val="22"/>
        </w:rPr>
        <w:t xml:space="preserve"> </w:t>
      </w:r>
      <w:r w:rsidR="002F4AEB">
        <w:rPr>
          <w:noProof/>
          <w:sz w:val="22"/>
          <w:szCs w:val="22"/>
        </w:rPr>
        <w:tab/>
      </w:r>
      <w:r w:rsidRPr="002F4AEB">
        <w:rPr>
          <w:noProof/>
          <w:sz w:val="22"/>
          <w:szCs w:val="22"/>
        </w:rPr>
        <w:t>(Tas)</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_Toc535868971 \h </w:instrText>
      </w:r>
      <w:r w:rsidRPr="002F4AEB">
        <w:rPr>
          <w:noProof/>
          <w:sz w:val="22"/>
          <w:szCs w:val="22"/>
        </w:rPr>
      </w:r>
      <w:r w:rsidRPr="002F4AEB">
        <w:rPr>
          <w:noProof/>
          <w:sz w:val="22"/>
          <w:szCs w:val="22"/>
        </w:rPr>
        <w:fldChar w:fldCharType="separate"/>
      </w:r>
      <w:r w:rsidR="001F209C">
        <w:rPr>
          <w:noProof/>
          <w:sz w:val="22"/>
          <w:szCs w:val="22"/>
        </w:rPr>
        <w:t>109</w:t>
      </w:r>
      <w:r w:rsidRPr="002F4AEB">
        <w:rPr>
          <w:noProof/>
          <w:sz w:val="22"/>
          <w:szCs w:val="22"/>
        </w:rPr>
        <w:fldChar w:fldCharType="end"/>
      </w:r>
    </w:p>
    <w:p w14:paraId="2592B34F" w14:textId="2E3EE3B9" w:rsidR="00460D34" w:rsidRPr="00154F1D" w:rsidRDefault="00460D34" w:rsidP="00460D34">
      <w:pPr>
        <w:pStyle w:val="TOC3"/>
        <w:rPr>
          <w:rFonts w:asciiTheme="minorHAnsi" w:eastAsiaTheme="minorEastAsia" w:hAnsiTheme="minorHAnsi" w:cstheme="minorBidi"/>
          <w:noProof/>
          <w:sz w:val="22"/>
          <w:szCs w:val="22"/>
        </w:rPr>
      </w:pPr>
      <w:r w:rsidRPr="00154F1D">
        <w:rPr>
          <w:noProof/>
          <w:sz w:val="22"/>
          <w:szCs w:val="22"/>
        </w:rPr>
        <w:t xml:space="preserve">Orders available under the </w:t>
      </w:r>
      <w:r w:rsidRPr="00154F1D">
        <w:rPr>
          <w:i/>
          <w:iCs/>
          <w:noProof/>
          <w:sz w:val="22"/>
          <w:szCs w:val="22"/>
        </w:rPr>
        <w:t>Criminal Justice (Mental Impairment) Act 1999 (Tas)</w:t>
      </w:r>
      <w:r w:rsidRPr="00154F1D">
        <w:rPr>
          <w:noProof/>
          <w:sz w:val="22"/>
          <w:szCs w:val="22"/>
        </w:rPr>
        <w:tab/>
      </w:r>
      <w:r w:rsidRPr="00154F1D">
        <w:rPr>
          <w:noProof/>
          <w:sz w:val="22"/>
          <w:szCs w:val="22"/>
        </w:rPr>
        <w:fldChar w:fldCharType="begin"/>
      </w:r>
      <w:r w:rsidRPr="00154F1D">
        <w:rPr>
          <w:noProof/>
          <w:sz w:val="22"/>
          <w:szCs w:val="22"/>
        </w:rPr>
        <w:instrText xml:space="preserve"> PAGEREF _Toc535868972 \h </w:instrText>
      </w:r>
      <w:r w:rsidRPr="00154F1D">
        <w:rPr>
          <w:noProof/>
          <w:sz w:val="22"/>
          <w:szCs w:val="22"/>
        </w:rPr>
      </w:r>
      <w:r w:rsidRPr="00154F1D">
        <w:rPr>
          <w:noProof/>
          <w:sz w:val="22"/>
          <w:szCs w:val="22"/>
        </w:rPr>
        <w:fldChar w:fldCharType="separate"/>
      </w:r>
      <w:r w:rsidR="001F209C">
        <w:rPr>
          <w:noProof/>
          <w:sz w:val="22"/>
          <w:szCs w:val="22"/>
        </w:rPr>
        <w:t>109</w:t>
      </w:r>
      <w:r w:rsidRPr="00154F1D">
        <w:rPr>
          <w:noProof/>
          <w:sz w:val="22"/>
          <w:szCs w:val="22"/>
        </w:rPr>
        <w:fldChar w:fldCharType="end"/>
      </w:r>
    </w:p>
    <w:p w14:paraId="07F59380" w14:textId="18E5BC6A" w:rsidR="00460D34" w:rsidRPr="00154F1D" w:rsidRDefault="00460D34" w:rsidP="00460D34">
      <w:pPr>
        <w:pStyle w:val="TOC3"/>
        <w:rPr>
          <w:rFonts w:asciiTheme="minorHAnsi" w:eastAsiaTheme="minorEastAsia" w:hAnsiTheme="minorHAnsi" w:cstheme="minorBidi"/>
          <w:noProof/>
          <w:sz w:val="22"/>
          <w:szCs w:val="22"/>
        </w:rPr>
      </w:pPr>
      <w:r w:rsidRPr="00154F1D">
        <w:rPr>
          <w:noProof/>
          <w:sz w:val="22"/>
          <w:szCs w:val="22"/>
        </w:rPr>
        <w:t xml:space="preserve">Use of </w:t>
      </w:r>
      <w:r w:rsidR="002F4AEB">
        <w:rPr>
          <w:noProof/>
          <w:sz w:val="22"/>
          <w:szCs w:val="22"/>
        </w:rPr>
        <w:t>o</w:t>
      </w:r>
      <w:r w:rsidRPr="00154F1D">
        <w:rPr>
          <w:noProof/>
          <w:sz w:val="22"/>
          <w:szCs w:val="22"/>
        </w:rPr>
        <w:t xml:space="preserve">rders under the </w:t>
      </w:r>
      <w:r w:rsidRPr="00154F1D">
        <w:rPr>
          <w:i/>
          <w:noProof/>
          <w:sz w:val="22"/>
          <w:szCs w:val="22"/>
        </w:rPr>
        <w:t>Criminal Justice (Mental Impairment) Act 1999 (Tas)</w:t>
      </w:r>
      <w:r w:rsidRPr="00154F1D">
        <w:rPr>
          <w:noProof/>
          <w:sz w:val="22"/>
          <w:szCs w:val="22"/>
        </w:rPr>
        <w:tab/>
      </w:r>
      <w:r w:rsidRPr="00154F1D">
        <w:rPr>
          <w:noProof/>
          <w:sz w:val="22"/>
          <w:szCs w:val="22"/>
        </w:rPr>
        <w:fldChar w:fldCharType="begin"/>
      </w:r>
      <w:r w:rsidRPr="00154F1D">
        <w:rPr>
          <w:noProof/>
          <w:sz w:val="22"/>
          <w:szCs w:val="22"/>
        </w:rPr>
        <w:instrText xml:space="preserve"> PAGEREF _Toc535868973 \h </w:instrText>
      </w:r>
      <w:r w:rsidRPr="00154F1D">
        <w:rPr>
          <w:noProof/>
          <w:sz w:val="22"/>
          <w:szCs w:val="22"/>
        </w:rPr>
      </w:r>
      <w:r w:rsidRPr="00154F1D">
        <w:rPr>
          <w:noProof/>
          <w:sz w:val="22"/>
          <w:szCs w:val="22"/>
        </w:rPr>
        <w:fldChar w:fldCharType="separate"/>
      </w:r>
      <w:r w:rsidR="001F209C">
        <w:rPr>
          <w:noProof/>
          <w:sz w:val="22"/>
          <w:szCs w:val="22"/>
        </w:rPr>
        <w:t>113</w:t>
      </w:r>
      <w:r w:rsidRPr="00154F1D">
        <w:rPr>
          <w:noProof/>
          <w:sz w:val="22"/>
          <w:szCs w:val="22"/>
        </w:rPr>
        <w:fldChar w:fldCharType="end"/>
      </w:r>
    </w:p>
    <w:p w14:paraId="73285902" w14:textId="1EC29384" w:rsidR="00460D34" w:rsidRPr="00154F1D" w:rsidRDefault="00460D34" w:rsidP="00460D34">
      <w:pPr>
        <w:pStyle w:val="TOC3"/>
        <w:rPr>
          <w:rFonts w:asciiTheme="minorHAnsi" w:eastAsiaTheme="minorEastAsia" w:hAnsiTheme="minorHAnsi" w:cstheme="minorBidi"/>
          <w:noProof/>
          <w:sz w:val="22"/>
          <w:szCs w:val="22"/>
        </w:rPr>
      </w:pPr>
      <w:r w:rsidRPr="00154F1D">
        <w:rPr>
          <w:noProof/>
          <w:sz w:val="22"/>
          <w:szCs w:val="22"/>
        </w:rPr>
        <w:t>Process for making orders</w:t>
      </w:r>
      <w:r w:rsidRPr="00154F1D">
        <w:rPr>
          <w:noProof/>
          <w:sz w:val="22"/>
          <w:szCs w:val="22"/>
        </w:rPr>
        <w:tab/>
      </w:r>
      <w:r w:rsidRPr="00154F1D">
        <w:rPr>
          <w:noProof/>
          <w:sz w:val="22"/>
          <w:szCs w:val="22"/>
        </w:rPr>
        <w:fldChar w:fldCharType="begin"/>
      </w:r>
      <w:r w:rsidRPr="00154F1D">
        <w:rPr>
          <w:noProof/>
          <w:sz w:val="22"/>
          <w:szCs w:val="22"/>
        </w:rPr>
        <w:instrText xml:space="preserve"> PAGEREF _Toc535868974 \h </w:instrText>
      </w:r>
      <w:r w:rsidRPr="00154F1D">
        <w:rPr>
          <w:noProof/>
          <w:sz w:val="22"/>
          <w:szCs w:val="22"/>
        </w:rPr>
      </w:r>
      <w:r w:rsidRPr="00154F1D">
        <w:rPr>
          <w:noProof/>
          <w:sz w:val="22"/>
          <w:szCs w:val="22"/>
        </w:rPr>
        <w:fldChar w:fldCharType="separate"/>
      </w:r>
      <w:r w:rsidR="001F209C">
        <w:rPr>
          <w:noProof/>
          <w:sz w:val="22"/>
          <w:szCs w:val="22"/>
        </w:rPr>
        <w:t>114</w:t>
      </w:r>
      <w:r w:rsidRPr="00154F1D">
        <w:rPr>
          <w:noProof/>
          <w:sz w:val="22"/>
          <w:szCs w:val="22"/>
        </w:rPr>
        <w:fldChar w:fldCharType="end"/>
      </w:r>
    </w:p>
    <w:p w14:paraId="6DEB94D0" w14:textId="42D4637F" w:rsidR="00460D34" w:rsidRPr="00154F1D" w:rsidRDefault="00460D34" w:rsidP="00460D34">
      <w:pPr>
        <w:pStyle w:val="TOC3"/>
        <w:rPr>
          <w:rFonts w:asciiTheme="minorHAnsi" w:eastAsiaTheme="minorEastAsia" w:hAnsiTheme="minorHAnsi" w:cstheme="minorBidi"/>
          <w:noProof/>
          <w:sz w:val="22"/>
          <w:szCs w:val="22"/>
        </w:rPr>
      </w:pPr>
      <w:r w:rsidRPr="00154F1D">
        <w:rPr>
          <w:noProof/>
          <w:sz w:val="22"/>
          <w:szCs w:val="22"/>
        </w:rPr>
        <w:t>Review of orders</w:t>
      </w:r>
      <w:r w:rsidRPr="00154F1D">
        <w:rPr>
          <w:noProof/>
          <w:sz w:val="22"/>
          <w:szCs w:val="22"/>
        </w:rPr>
        <w:tab/>
      </w:r>
      <w:r w:rsidRPr="00154F1D">
        <w:rPr>
          <w:noProof/>
          <w:sz w:val="22"/>
          <w:szCs w:val="22"/>
        </w:rPr>
        <w:fldChar w:fldCharType="begin"/>
      </w:r>
      <w:r w:rsidRPr="00154F1D">
        <w:rPr>
          <w:noProof/>
          <w:sz w:val="22"/>
          <w:szCs w:val="22"/>
        </w:rPr>
        <w:instrText xml:space="preserve"> PAGEREF _Toc535868975 \h </w:instrText>
      </w:r>
      <w:r w:rsidRPr="00154F1D">
        <w:rPr>
          <w:noProof/>
          <w:sz w:val="22"/>
          <w:szCs w:val="22"/>
        </w:rPr>
      </w:r>
      <w:r w:rsidRPr="00154F1D">
        <w:rPr>
          <w:noProof/>
          <w:sz w:val="22"/>
          <w:szCs w:val="22"/>
        </w:rPr>
        <w:fldChar w:fldCharType="separate"/>
      </w:r>
      <w:r w:rsidR="001F209C">
        <w:rPr>
          <w:noProof/>
          <w:sz w:val="22"/>
          <w:szCs w:val="22"/>
        </w:rPr>
        <w:t>116</w:t>
      </w:r>
      <w:r w:rsidRPr="00154F1D">
        <w:rPr>
          <w:noProof/>
          <w:sz w:val="22"/>
          <w:szCs w:val="22"/>
        </w:rPr>
        <w:fldChar w:fldCharType="end"/>
      </w:r>
    </w:p>
    <w:p w14:paraId="01B8EFC5" w14:textId="51709E3D" w:rsidR="00460D34" w:rsidRPr="00154F1D" w:rsidRDefault="00460D34" w:rsidP="00460D34">
      <w:pPr>
        <w:pStyle w:val="TOC3"/>
        <w:rPr>
          <w:rFonts w:asciiTheme="minorHAnsi" w:eastAsiaTheme="minorEastAsia" w:hAnsiTheme="minorHAnsi" w:cstheme="minorBidi"/>
          <w:noProof/>
          <w:sz w:val="22"/>
          <w:szCs w:val="22"/>
        </w:rPr>
      </w:pPr>
      <w:r w:rsidRPr="00154F1D">
        <w:rPr>
          <w:noProof/>
          <w:sz w:val="22"/>
          <w:szCs w:val="22"/>
        </w:rPr>
        <w:t>Review of orders by the Mental Health Tribunal and the Supreme Court</w:t>
      </w:r>
      <w:r w:rsidRPr="00154F1D">
        <w:rPr>
          <w:noProof/>
          <w:sz w:val="22"/>
          <w:szCs w:val="22"/>
        </w:rPr>
        <w:tab/>
      </w:r>
      <w:r w:rsidRPr="00154F1D">
        <w:rPr>
          <w:noProof/>
          <w:sz w:val="22"/>
          <w:szCs w:val="22"/>
        </w:rPr>
        <w:fldChar w:fldCharType="begin"/>
      </w:r>
      <w:r w:rsidRPr="00154F1D">
        <w:rPr>
          <w:noProof/>
          <w:sz w:val="22"/>
          <w:szCs w:val="22"/>
        </w:rPr>
        <w:instrText xml:space="preserve"> PAGEREF _Toc535868976 \h </w:instrText>
      </w:r>
      <w:r w:rsidRPr="00154F1D">
        <w:rPr>
          <w:noProof/>
          <w:sz w:val="22"/>
          <w:szCs w:val="22"/>
        </w:rPr>
      </w:r>
      <w:r w:rsidRPr="00154F1D">
        <w:rPr>
          <w:noProof/>
          <w:sz w:val="22"/>
          <w:szCs w:val="22"/>
        </w:rPr>
        <w:fldChar w:fldCharType="separate"/>
      </w:r>
      <w:r w:rsidR="001F209C">
        <w:rPr>
          <w:noProof/>
          <w:sz w:val="22"/>
          <w:szCs w:val="22"/>
        </w:rPr>
        <w:t>116</w:t>
      </w:r>
      <w:r w:rsidRPr="00154F1D">
        <w:rPr>
          <w:noProof/>
          <w:sz w:val="22"/>
          <w:szCs w:val="22"/>
        </w:rPr>
        <w:fldChar w:fldCharType="end"/>
      </w:r>
    </w:p>
    <w:p w14:paraId="2ED303F4" w14:textId="2C0FB9D9" w:rsidR="00460D34" w:rsidRPr="00154F1D" w:rsidRDefault="00460D34" w:rsidP="00460D34">
      <w:pPr>
        <w:pStyle w:val="TOC3"/>
        <w:rPr>
          <w:rFonts w:asciiTheme="minorHAnsi" w:eastAsiaTheme="minorEastAsia" w:hAnsiTheme="minorHAnsi" w:cstheme="minorBidi"/>
          <w:noProof/>
          <w:sz w:val="22"/>
          <w:szCs w:val="22"/>
        </w:rPr>
      </w:pPr>
      <w:r w:rsidRPr="00154F1D">
        <w:rPr>
          <w:noProof/>
          <w:sz w:val="22"/>
          <w:szCs w:val="22"/>
        </w:rPr>
        <w:t>Process to discharge or vary forensic orders</w:t>
      </w:r>
      <w:r w:rsidRPr="00154F1D">
        <w:rPr>
          <w:noProof/>
          <w:sz w:val="22"/>
          <w:szCs w:val="22"/>
        </w:rPr>
        <w:tab/>
      </w:r>
      <w:r w:rsidRPr="00154F1D">
        <w:rPr>
          <w:noProof/>
          <w:sz w:val="22"/>
          <w:szCs w:val="22"/>
        </w:rPr>
        <w:fldChar w:fldCharType="begin"/>
      </w:r>
      <w:r w:rsidRPr="00154F1D">
        <w:rPr>
          <w:noProof/>
          <w:sz w:val="22"/>
          <w:szCs w:val="22"/>
        </w:rPr>
        <w:instrText xml:space="preserve"> PAGEREF _Toc535868977 \h </w:instrText>
      </w:r>
      <w:r w:rsidRPr="00154F1D">
        <w:rPr>
          <w:noProof/>
          <w:sz w:val="22"/>
          <w:szCs w:val="22"/>
        </w:rPr>
      </w:r>
      <w:r w:rsidRPr="00154F1D">
        <w:rPr>
          <w:noProof/>
          <w:sz w:val="22"/>
          <w:szCs w:val="22"/>
        </w:rPr>
        <w:fldChar w:fldCharType="separate"/>
      </w:r>
      <w:r w:rsidR="001F209C">
        <w:rPr>
          <w:noProof/>
          <w:sz w:val="22"/>
          <w:szCs w:val="22"/>
        </w:rPr>
        <w:t>118</w:t>
      </w:r>
      <w:r w:rsidRPr="00154F1D">
        <w:rPr>
          <w:noProof/>
          <w:sz w:val="22"/>
          <w:szCs w:val="22"/>
        </w:rPr>
        <w:fldChar w:fldCharType="end"/>
      </w:r>
    </w:p>
    <w:p w14:paraId="704B61A3" w14:textId="700D4FF7" w:rsidR="00460D34" w:rsidRPr="00154F1D" w:rsidRDefault="00460D34" w:rsidP="00460D34">
      <w:pPr>
        <w:pStyle w:val="TOC3"/>
        <w:rPr>
          <w:rFonts w:asciiTheme="minorHAnsi" w:eastAsiaTheme="minorEastAsia" w:hAnsiTheme="minorHAnsi" w:cstheme="minorBidi"/>
          <w:noProof/>
          <w:sz w:val="22"/>
          <w:szCs w:val="22"/>
        </w:rPr>
      </w:pPr>
      <w:r w:rsidRPr="00154F1D">
        <w:rPr>
          <w:noProof/>
          <w:sz w:val="22"/>
          <w:szCs w:val="22"/>
        </w:rPr>
        <w:t>Discharge of orders in Tasmania</w:t>
      </w:r>
      <w:r w:rsidRPr="00154F1D">
        <w:rPr>
          <w:noProof/>
          <w:sz w:val="22"/>
          <w:szCs w:val="22"/>
        </w:rPr>
        <w:tab/>
      </w:r>
      <w:r w:rsidRPr="00154F1D">
        <w:rPr>
          <w:noProof/>
          <w:sz w:val="22"/>
          <w:szCs w:val="22"/>
        </w:rPr>
        <w:fldChar w:fldCharType="begin"/>
      </w:r>
      <w:r w:rsidRPr="00154F1D">
        <w:rPr>
          <w:noProof/>
          <w:sz w:val="22"/>
          <w:szCs w:val="22"/>
        </w:rPr>
        <w:instrText xml:space="preserve"> PAGEREF _Toc535868978 \h </w:instrText>
      </w:r>
      <w:r w:rsidRPr="00154F1D">
        <w:rPr>
          <w:noProof/>
          <w:sz w:val="22"/>
          <w:szCs w:val="22"/>
        </w:rPr>
      </w:r>
      <w:r w:rsidRPr="00154F1D">
        <w:rPr>
          <w:noProof/>
          <w:sz w:val="22"/>
          <w:szCs w:val="22"/>
        </w:rPr>
        <w:fldChar w:fldCharType="separate"/>
      </w:r>
      <w:r w:rsidR="001F209C">
        <w:rPr>
          <w:noProof/>
          <w:sz w:val="22"/>
          <w:szCs w:val="22"/>
        </w:rPr>
        <w:t>118</w:t>
      </w:r>
      <w:r w:rsidRPr="00154F1D">
        <w:rPr>
          <w:noProof/>
          <w:sz w:val="22"/>
          <w:szCs w:val="22"/>
        </w:rPr>
        <w:fldChar w:fldCharType="end"/>
      </w:r>
    </w:p>
    <w:p w14:paraId="16ED8B53" w14:textId="274EC3AD" w:rsidR="00460D34" w:rsidRPr="00154F1D" w:rsidRDefault="00460D34" w:rsidP="00460D34">
      <w:pPr>
        <w:pStyle w:val="TOC3"/>
        <w:rPr>
          <w:rFonts w:asciiTheme="minorHAnsi" w:eastAsiaTheme="minorEastAsia" w:hAnsiTheme="minorHAnsi" w:cstheme="minorBidi"/>
          <w:noProof/>
          <w:sz w:val="22"/>
          <w:szCs w:val="22"/>
        </w:rPr>
      </w:pPr>
      <w:r w:rsidRPr="00154F1D">
        <w:rPr>
          <w:noProof/>
          <w:sz w:val="22"/>
          <w:szCs w:val="22"/>
        </w:rPr>
        <w:t>Factors relevant to the discharge or revocation of orders</w:t>
      </w:r>
      <w:r w:rsidRPr="00154F1D">
        <w:rPr>
          <w:noProof/>
          <w:sz w:val="22"/>
          <w:szCs w:val="22"/>
        </w:rPr>
        <w:tab/>
      </w:r>
      <w:r w:rsidRPr="00154F1D">
        <w:rPr>
          <w:noProof/>
          <w:sz w:val="22"/>
          <w:szCs w:val="22"/>
        </w:rPr>
        <w:fldChar w:fldCharType="begin"/>
      </w:r>
      <w:r w:rsidRPr="00154F1D">
        <w:rPr>
          <w:noProof/>
          <w:sz w:val="22"/>
          <w:szCs w:val="22"/>
        </w:rPr>
        <w:instrText xml:space="preserve"> PAGEREF _Toc535868979 \h </w:instrText>
      </w:r>
      <w:r w:rsidRPr="00154F1D">
        <w:rPr>
          <w:noProof/>
          <w:sz w:val="22"/>
          <w:szCs w:val="22"/>
        </w:rPr>
      </w:r>
      <w:r w:rsidRPr="00154F1D">
        <w:rPr>
          <w:noProof/>
          <w:sz w:val="22"/>
          <w:szCs w:val="22"/>
        </w:rPr>
        <w:fldChar w:fldCharType="separate"/>
      </w:r>
      <w:r w:rsidR="001F209C">
        <w:rPr>
          <w:noProof/>
          <w:sz w:val="22"/>
          <w:szCs w:val="22"/>
        </w:rPr>
        <w:t>120</w:t>
      </w:r>
      <w:r w:rsidRPr="00154F1D">
        <w:rPr>
          <w:noProof/>
          <w:sz w:val="22"/>
          <w:szCs w:val="22"/>
        </w:rPr>
        <w:fldChar w:fldCharType="end"/>
      </w:r>
    </w:p>
    <w:p w14:paraId="3206B237" w14:textId="37FC6B4B" w:rsidR="00460D34" w:rsidRPr="00154F1D" w:rsidRDefault="00460D34" w:rsidP="00460D34">
      <w:pPr>
        <w:pStyle w:val="TOC3"/>
        <w:rPr>
          <w:rFonts w:asciiTheme="minorHAnsi" w:eastAsiaTheme="minorEastAsia" w:hAnsiTheme="minorHAnsi" w:cstheme="minorBidi"/>
          <w:noProof/>
          <w:sz w:val="22"/>
          <w:szCs w:val="22"/>
        </w:rPr>
      </w:pPr>
      <w:r w:rsidRPr="00154F1D">
        <w:rPr>
          <w:noProof/>
          <w:sz w:val="22"/>
          <w:szCs w:val="22"/>
        </w:rPr>
        <w:t>Leave provisions</w:t>
      </w:r>
      <w:r w:rsidRPr="00154F1D">
        <w:rPr>
          <w:noProof/>
          <w:sz w:val="22"/>
          <w:szCs w:val="22"/>
        </w:rPr>
        <w:tab/>
      </w:r>
      <w:r w:rsidRPr="00154F1D">
        <w:rPr>
          <w:noProof/>
          <w:sz w:val="22"/>
          <w:szCs w:val="22"/>
        </w:rPr>
        <w:fldChar w:fldCharType="begin"/>
      </w:r>
      <w:r w:rsidRPr="00154F1D">
        <w:rPr>
          <w:noProof/>
          <w:sz w:val="22"/>
          <w:szCs w:val="22"/>
        </w:rPr>
        <w:instrText xml:space="preserve"> PAGEREF _Toc535868980 \h </w:instrText>
      </w:r>
      <w:r w:rsidRPr="00154F1D">
        <w:rPr>
          <w:noProof/>
          <w:sz w:val="22"/>
          <w:szCs w:val="22"/>
        </w:rPr>
      </w:r>
      <w:r w:rsidRPr="00154F1D">
        <w:rPr>
          <w:noProof/>
          <w:sz w:val="22"/>
          <w:szCs w:val="22"/>
        </w:rPr>
        <w:fldChar w:fldCharType="separate"/>
      </w:r>
      <w:r w:rsidR="001F209C">
        <w:rPr>
          <w:noProof/>
          <w:sz w:val="22"/>
          <w:szCs w:val="22"/>
        </w:rPr>
        <w:t>122</w:t>
      </w:r>
      <w:r w:rsidRPr="00154F1D">
        <w:rPr>
          <w:noProof/>
          <w:sz w:val="22"/>
          <w:szCs w:val="22"/>
        </w:rPr>
        <w:fldChar w:fldCharType="end"/>
      </w:r>
    </w:p>
    <w:p w14:paraId="45EFB143" w14:textId="2A8665E2" w:rsidR="00460D34" w:rsidRPr="002F4AEB" w:rsidRDefault="00460D34" w:rsidP="004C5EE0">
      <w:pPr>
        <w:pStyle w:val="TOC2"/>
        <w:rPr>
          <w:rFonts w:asciiTheme="minorHAnsi" w:eastAsiaTheme="minorEastAsia" w:hAnsiTheme="minorHAnsi" w:cstheme="minorBidi"/>
          <w:noProof/>
          <w:sz w:val="22"/>
          <w:szCs w:val="22"/>
        </w:rPr>
      </w:pPr>
      <w:r w:rsidRPr="002F4AEB">
        <w:rPr>
          <w:noProof/>
          <w:sz w:val="22"/>
          <w:szCs w:val="22"/>
        </w:rPr>
        <w:t>8.3</w:t>
      </w:r>
      <w:r w:rsidRPr="002F4AEB">
        <w:rPr>
          <w:rFonts w:asciiTheme="minorHAnsi" w:eastAsiaTheme="minorEastAsia" w:hAnsiTheme="minorHAnsi" w:cstheme="minorBidi"/>
          <w:noProof/>
          <w:sz w:val="22"/>
          <w:szCs w:val="22"/>
        </w:rPr>
        <w:tab/>
      </w:r>
      <w:r w:rsidRPr="002F4AEB">
        <w:rPr>
          <w:noProof/>
          <w:sz w:val="22"/>
          <w:szCs w:val="22"/>
        </w:rPr>
        <w:t>Issues for consideration</w:t>
      </w:r>
      <w:r w:rsidRPr="002F4AEB">
        <w:rPr>
          <w:noProof/>
          <w:sz w:val="22"/>
          <w:szCs w:val="22"/>
        </w:rPr>
        <w:tab/>
      </w:r>
      <w:r w:rsidRPr="002F4AEB">
        <w:rPr>
          <w:noProof/>
          <w:sz w:val="22"/>
          <w:szCs w:val="22"/>
        </w:rPr>
        <w:fldChar w:fldCharType="begin"/>
      </w:r>
      <w:r w:rsidRPr="002F4AEB">
        <w:rPr>
          <w:noProof/>
          <w:sz w:val="22"/>
          <w:szCs w:val="22"/>
        </w:rPr>
        <w:instrText xml:space="preserve"> PAGEREF _Toc535868981 \h </w:instrText>
      </w:r>
      <w:r w:rsidRPr="002F4AEB">
        <w:rPr>
          <w:noProof/>
          <w:sz w:val="22"/>
          <w:szCs w:val="22"/>
        </w:rPr>
      </w:r>
      <w:r w:rsidRPr="002F4AEB">
        <w:rPr>
          <w:noProof/>
          <w:sz w:val="22"/>
          <w:szCs w:val="22"/>
        </w:rPr>
        <w:fldChar w:fldCharType="separate"/>
      </w:r>
      <w:r w:rsidR="001F209C">
        <w:rPr>
          <w:noProof/>
          <w:sz w:val="22"/>
          <w:szCs w:val="22"/>
        </w:rPr>
        <w:t>123</w:t>
      </w:r>
      <w:r w:rsidRPr="002F4AEB">
        <w:rPr>
          <w:noProof/>
          <w:sz w:val="22"/>
          <w:szCs w:val="22"/>
        </w:rPr>
        <w:fldChar w:fldCharType="end"/>
      </w:r>
    </w:p>
    <w:p w14:paraId="1770238B" w14:textId="5E647A02" w:rsidR="00460D34" w:rsidRPr="00154F1D" w:rsidRDefault="00460D34" w:rsidP="00460D34">
      <w:pPr>
        <w:pStyle w:val="TOC3"/>
        <w:rPr>
          <w:rFonts w:asciiTheme="minorHAnsi" w:eastAsiaTheme="minorEastAsia" w:hAnsiTheme="minorHAnsi" w:cstheme="minorBidi"/>
          <w:noProof/>
          <w:sz w:val="22"/>
          <w:szCs w:val="22"/>
        </w:rPr>
      </w:pPr>
      <w:r w:rsidRPr="00154F1D">
        <w:rPr>
          <w:noProof/>
          <w:sz w:val="22"/>
          <w:szCs w:val="22"/>
        </w:rPr>
        <w:t>Indefinite nature of forensic orders</w:t>
      </w:r>
      <w:r w:rsidRPr="00154F1D">
        <w:rPr>
          <w:noProof/>
          <w:sz w:val="22"/>
          <w:szCs w:val="22"/>
        </w:rPr>
        <w:tab/>
      </w:r>
      <w:r w:rsidRPr="00154F1D">
        <w:rPr>
          <w:noProof/>
          <w:sz w:val="22"/>
          <w:szCs w:val="22"/>
        </w:rPr>
        <w:fldChar w:fldCharType="begin"/>
      </w:r>
      <w:r w:rsidRPr="00154F1D">
        <w:rPr>
          <w:noProof/>
          <w:sz w:val="22"/>
          <w:szCs w:val="22"/>
        </w:rPr>
        <w:instrText xml:space="preserve"> PAGEREF _Toc535868982 \h </w:instrText>
      </w:r>
      <w:r w:rsidRPr="00154F1D">
        <w:rPr>
          <w:noProof/>
          <w:sz w:val="22"/>
          <w:szCs w:val="22"/>
        </w:rPr>
      </w:r>
      <w:r w:rsidRPr="00154F1D">
        <w:rPr>
          <w:noProof/>
          <w:sz w:val="22"/>
          <w:szCs w:val="22"/>
        </w:rPr>
        <w:fldChar w:fldCharType="separate"/>
      </w:r>
      <w:r w:rsidR="001F209C">
        <w:rPr>
          <w:noProof/>
          <w:sz w:val="22"/>
          <w:szCs w:val="22"/>
        </w:rPr>
        <w:t>123</w:t>
      </w:r>
      <w:r w:rsidRPr="00154F1D">
        <w:rPr>
          <w:noProof/>
          <w:sz w:val="22"/>
          <w:szCs w:val="22"/>
        </w:rPr>
        <w:fldChar w:fldCharType="end"/>
      </w:r>
    </w:p>
    <w:p w14:paraId="44105AEC" w14:textId="3899553A" w:rsidR="00460D34" w:rsidRPr="00154F1D" w:rsidRDefault="00460D34" w:rsidP="00460D34">
      <w:pPr>
        <w:pStyle w:val="TOC3"/>
        <w:rPr>
          <w:rFonts w:asciiTheme="minorHAnsi" w:eastAsiaTheme="minorEastAsia" w:hAnsiTheme="minorHAnsi" w:cstheme="minorBidi"/>
          <w:noProof/>
          <w:sz w:val="22"/>
          <w:szCs w:val="22"/>
        </w:rPr>
      </w:pPr>
      <w:r w:rsidRPr="00154F1D">
        <w:rPr>
          <w:noProof/>
          <w:sz w:val="22"/>
          <w:szCs w:val="22"/>
        </w:rPr>
        <w:t xml:space="preserve">Test for making, varying, discharging or revoking orders under the </w:t>
      </w:r>
      <w:r w:rsidRPr="00154F1D">
        <w:rPr>
          <w:i/>
          <w:iCs/>
          <w:noProof/>
          <w:sz w:val="22"/>
          <w:szCs w:val="22"/>
        </w:rPr>
        <w:t xml:space="preserve">Criminal Justice (Mental Impairment) Act 1999 </w:t>
      </w:r>
      <w:r w:rsidRPr="002F4AEB">
        <w:rPr>
          <w:iCs/>
          <w:noProof/>
          <w:sz w:val="22"/>
          <w:szCs w:val="22"/>
        </w:rPr>
        <w:t>(Tas)</w:t>
      </w:r>
      <w:r w:rsidRPr="00154F1D">
        <w:rPr>
          <w:noProof/>
          <w:sz w:val="22"/>
          <w:szCs w:val="22"/>
        </w:rPr>
        <w:tab/>
      </w:r>
      <w:r w:rsidRPr="00154F1D">
        <w:rPr>
          <w:noProof/>
          <w:sz w:val="22"/>
          <w:szCs w:val="22"/>
        </w:rPr>
        <w:fldChar w:fldCharType="begin"/>
      </w:r>
      <w:r w:rsidRPr="00154F1D">
        <w:rPr>
          <w:noProof/>
          <w:sz w:val="22"/>
          <w:szCs w:val="22"/>
        </w:rPr>
        <w:instrText xml:space="preserve"> PAGEREF _Toc535868983 \h </w:instrText>
      </w:r>
      <w:r w:rsidRPr="00154F1D">
        <w:rPr>
          <w:noProof/>
          <w:sz w:val="22"/>
          <w:szCs w:val="22"/>
        </w:rPr>
      </w:r>
      <w:r w:rsidRPr="00154F1D">
        <w:rPr>
          <w:noProof/>
          <w:sz w:val="22"/>
          <w:szCs w:val="22"/>
        </w:rPr>
        <w:fldChar w:fldCharType="separate"/>
      </w:r>
      <w:r w:rsidR="001F209C">
        <w:rPr>
          <w:noProof/>
          <w:sz w:val="22"/>
          <w:szCs w:val="22"/>
        </w:rPr>
        <w:t>140</w:t>
      </w:r>
      <w:r w:rsidRPr="00154F1D">
        <w:rPr>
          <w:noProof/>
          <w:sz w:val="22"/>
          <w:szCs w:val="22"/>
        </w:rPr>
        <w:fldChar w:fldCharType="end"/>
      </w:r>
    </w:p>
    <w:p w14:paraId="427CD7E4" w14:textId="3450138F" w:rsidR="00460D34" w:rsidRPr="00154F1D" w:rsidRDefault="00460D34" w:rsidP="00460D34">
      <w:pPr>
        <w:pStyle w:val="TOC3"/>
        <w:rPr>
          <w:rFonts w:asciiTheme="minorHAnsi" w:eastAsiaTheme="minorEastAsia" w:hAnsiTheme="minorHAnsi" w:cstheme="minorBidi"/>
          <w:noProof/>
          <w:sz w:val="22"/>
          <w:szCs w:val="22"/>
        </w:rPr>
      </w:pPr>
      <w:r w:rsidRPr="00154F1D">
        <w:rPr>
          <w:noProof/>
          <w:sz w:val="22"/>
          <w:szCs w:val="22"/>
        </w:rPr>
        <w:t>Transition from forensic patient status</w:t>
      </w:r>
      <w:r w:rsidRPr="00154F1D">
        <w:rPr>
          <w:noProof/>
          <w:sz w:val="22"/>
          <w:szCs w:val="22"/>
        </w:rPr>
        <w:tab/>
      </w:r>
      <w:r w:rsidRPr="00154F1D">
        <w:rPr>
          <w:noProof/>
          <w:sz w:val="22"/>
          <w:szCs w:val="22"/>
        </w:rPr>
        <w:fldChar w:fldCharType="begin"/>
      </w:r>
      <w:r w:rsidRPr="00154F1D">
        <w:rPr>
          <w:noProof/>
          <w:sz w:val="22"/>
          <w:szCs w:val="22"/>
        </w:rPr>
        <w:instrText xml:space="preserve"> PAGEREF _Toc535868984 \h </w:instrText>
      </w:r>
      <w:r w:rsidRPr="00154F1D">
        <w:rPr>
          <w:noProof/>
          <w:sz w:val="22"/>
          <w:szCs w:val="22"/>
        </w:rPr>
      </w:r>
      <w:r w:rsidRPr="00154F1D">
        <w:rPr>
          <w:noProof/>
          <w:sz w:val="22"/>
          <w:szCs w:val="22"/>
        </w:rPr>
        <w:fldChar w:fldCharType="separate"/>
      </w:r>
      <w:r w:rsidR="001F209C">
        <w:rPr>
          <w:noProof/>
          <w:sz w:val="22"/>
          <w:szCs w:val="22"/>
        </w:rPr>
        <w:t>152</w:t>
      </w:r>
      <w:r w:rsidRPr="00154F1D">
        <w:rPr>
          <w:noProof/>
          <w:sz w:val="22"/>
          <w:szCs w:val="22"/>
        </w:rPr>
        <w:fldChar w:fldCharType="end"/>
      </w:r>
    </w:p>
    <w:p w14:paraId="4A731C98" w14:textId="6873EB0E" w:rsidR="00460D34" w:rsidRPr="00154F1D" w:rsidRDefault="00460D34" w:rsidP="00460D34">
      <w:pPr>
        <w:pStyle w:val="TOC3"/>
        <w:rPr>
          <w:rFonts w:asciiTheme="minorHAnsi" w:eastAsiaTheme="minorEastAsia" w:hAnsiTheme="minorHAnsi" w:cstheme="minorBidi"/>
          <w:noProof/>
          <w:sz w:val="22"/>
          <w:szCs w:val="22"/>
        </w:rPr>
      </w:pPr>
      <w:r w:rsidRPr="00154F1D">
        <w:rPr>
          <w:noProof/>
          <w:sz w:val="22"/>
          <w:szCs w:val="22"/>
        </w:rPr>
        <w:t xml:space="preserve">The appropriateness of orders under the </w:t>
      </w:r>
      <w:r w:rsidRPr="00154F1D">
        <w:rPr>
          <w:i/>
          <w:iCs/>
          <w:noProof/>
          <w:sz w:val="22"/>
          <w:szCs w:val="22"/>
        </w:rPr>
        <w:t xml:space="preserve">Criminal Justice (Mental Impairment) Act 1999 </w:t>
      </w:r>
      <w:r w:rsidRPr="00154F1D">
        <w:rPr>
          <w:iCs/>
          <w:noProof/>
          <w:sz w:val="22"/>
          <w:szCs w:val="22"/>
        </w:rPr>
        <w:t>(Tas)</w:t>
      </w:r>
      <w:r w:rsidRPr="00154F1D">
        <w:rPr>
          <w:noProof/>
          <w:sz w:val="22"/>
          <w:szCs w:val="22"/>
        </w:rPr>
        <w:t xml:space="preserve"> for people with intellectual disabilities</w:t>
      </w:r>
      <w:r w:rsidRPr="00154F1D">
        <w:rPr>
          <w:noProof/>
          <w:sz w:val="22"/>
          <w:szCs w:val="22"/>
        </w:rPr>
        <w:tab/>
      </w:r>
      <w:r w:rsidRPr="00154F1D">
        <w:rPr>
          <w:noProof/>
          <w:sz w:val="22"/>
          <w:szCs w:val="22"/>
        </w:rPr>
        <w:fldChar w:fldCharType="begin"/>
      </w:r>
      <w:r w:rsidRPr="00154F1D">
        <w:rPr>
          <w:noProof/>
          <w:sz w:val="22"/>
          <w:szCs w:val="22"/>
        </w:rPr>
        <w:instrText xml:space="preserve"> PAGEREF _Toc535868985 \h </w:instrText>
      </w:r>
      <w:r w:rsidRPr="00154F1D">
        <w:rPr>
          <w:noProof/>
          <w:sz w:val="22"/>
          <w:szCs w:val="22"/>
        </w:rPr>
      </w:r>
      <w:r w:rsidRPr="00154F1D">
        <w:rPr>
          <w:noProof/>
          <w:sz w:val="22"/>
          <w:szCs w:val="22"/>
        </w:rPr>
        <w:fldChar w:fldCharType="separate"/>
      </w:r>
      <w:r w:rsidR="001F209C">
        <w:rPr>
          <w:noProof/>
          <w:sz w:val="22"/>
          <w:szCs w:val="22"/>
        </w:rPr>
        <w:t>156</w:t>
      </w:r>
      <w:r w:rsidRPr="00154F1D">
        <w:rPr>
          <w:noProof/>
          <w:sz w:val="22"/>
          <w:szCs w:val="22"/>
        </w:rPr>
        <w:fldChar w:fldCharType="end"/>
      </w:r>
    </w:p>
    <w:p w14:paraId="3D1CDA19" w14:textId="194E063F" w:rsidR="00460D34" w:rsidRPr="00154F1D" w:rsidRDefault="00460D34" w:rsidP="00D47380">
      <w:pPr>
        <w:pStyle w:val="TOC1"/>
        <w:rPr>
          <w:rFonts w:asciiTheme="minorHAnsi" w:eastAsiaTheme="minorEastAsia" w:hAnsiTheme="minorHAnsi" w:cstheme="minorBidi"/>
        </w:rPr>
      </w:pPr>
      <w:r w:rsidRPr="00154F1D">
        <w:rPr>
          <w:lang w:val="en-US"/>
        </w:rPr>
        <w:t>Appendix 1</w:t>
      </w:r>
      <w:r w:rsidR="0046741D" w:rsidRPr="00154F1D">
        <w:rPr>
          <w:lang w:val="en-US"/>
        </w:rPr>
        <w:t>: Proposed reforms to unfitness to stand trial test</w:t>
      </w:r>
      <w:r w:rsidRPr="00154F1D">
        <w:tab/>
      </w:r>
      <w:r w:rsidRPr="00154F1D">
        <w:fldChar w:fldCharType="begin"/>
      </w:r>
      <w:r w:rsidRPr="00154F1D">
        <w:instrText xml:space="preserve"> PAGEREF _Toc535868986 \h </w:instrText>
      </w:r>
      <w:r w:rsidRPr="00154F1D">
        <w:fldChar w:fldCharType="separate"/>
      </w:r>
      <w:r w:rsidR="001F209C">
        <w:t>159</w:t>
      </w:r>
      <w:r w:rsidRPr="00154F1D">
        <w:fldChar w:fldCharType="end"/>
      </w:r>
    </w:p>
    <w:p w14:paraId="16E7B39F" w14:textId="324A9C20" w:rsidR="00460D34" w:rsidRPr="00154F1D" w:rsidRDefault="00460D34" w:rsidP="00D47380">
      <w:pPr>
        <w:pStyle w:val="TOC1"/>
        <w:rPr>
          <w:rFonts w:asciiTheme="minorHAnsi" w:eastAsiaTheme="minorEastAsia" w:hAnsiTheme="minorHAnsi" w:cstheme="minorBidi"/>
        </w:rPr>
      </w:pPr>
      <w:r w:rsidRPr="00154F1D">
        <w:rPr>
          <w:lang w:val="en-US"/>
        </w:rPr>
        <w:t>Appendix 2: Schedule 1 – Mental health service delivery principles</w:t>
      </w:r>
      <w:r w:rsidRPr="00154F1D">
        <w:tab/>
      </w:r>
      <w:r w:rsidRPr="00154F1D">
        <w:fldChar w:fldCharType="begin"/>
      </w:r>
      <w:r w:rsidRPr="00154F1D">
        <w:instrText xml:space="preserve"> PAGEREF _Toc535868987 \h </w:instrText>
      </w:r>
      <w:r w:rsidRPr="00154F1D">
        <w:fldChar w:fldCharType="separate"/>
      </w:r>
      <w:r w:rsidR="001F209C">
        <w:t>161</w:t>
      </w:r>
      <w:r w:rsidRPr="00154F1D">
        <w:fldChar w:fldCharType="end"/>
      </w:r>
    </w:p>
    <w:p w14:paraId="51E299A0" w14:textId="02E329A2" w:rsidR="00460D34" w:rsidRPr="00154F1D" w:rsidRDefault="00460D34" w:rsidP="00D47380">
      <w:pPr>
        <w:pStyle w:val="TOC1"/>
        <w:rPr>
          <w:rFonts w:asciiTheme="minorHAnsi" w:eastAsiaTheme="minorEastAsia" w:hAnsiTheme="minorHAnsi" w:cstheme="minorBidi"/>
        </w:rPr>
      </w:pPr>
      <w:r w:rsidRPr="00154F1D">
        <w:t>Appendix 3: Orders available and making and discharging orders</w:t>
      </w:r>
      <w:r w:rsidRPr="00154F1D">
        <w:tab/>
      </w:r>
      <w:r w:rsidRPr="00154F1D">
        <w:fldChar w:fldCharType="begin"/>
      </w:r>
      <w:r w:rsidRPr="00154F1D">
        <w:instrText xml:space="preserve"> PAGEREF _Toc535868988 \h </w:instrText>
      </w:r>
      <w:r w:rsidRPr="00154F1D">
        <w:fldChar w:fldCharType="separate"/>
      </w:r>
      <w:r w:rsidR="001F209C">
        <w:t>162</w:t>
      </w:r>
      <w:r w:rsidRPr="00154F1D">
        <w:fldChar w:fldCharType="end"/>
      </w:r>
    </w:p>
    <w:p w14:paraId="7D2C782C" w14:textId="057DE89B" w:rsidR="00460D34" w:rsidRPr="00154F1D" w:rsidRDefault="00460D34" w:rsidP="00D47380">
      <w:pPr>
        <w:pStyle w:val="TOC1"/>
        <w:rPr>
          <w:rFonts w:asciiTheme="minorHAnsi" w:eastAsiaTheme="minorEastAsia" w:hAnsiTheme="minorHAnsi" w:cstheme="minorBidi"/>
        </w:rPr>
      </w:pPr>
      <w:r w:rsidRPr="00154F1D">
        <w:t>Appendix 4: Fitness to stand trial</w:t>
      </w:r>
      <w:r w:rsidRPr="00154F1D">
        <w:tab/>
      </w:r>
      <w:r w:rsidRPr="00154F1D">
        <w:fldChar w:fldCharType="begin"/>
      </w:r>
      <w:r w:rsidRPr="00154F1D">
        <w:instrText xml:space="preserve"> PAGEREF _Toc535868989 \h </w:instrText>
      </w:r>
      <w:r w:rsidRPr="00154F1D">
        <w:fldChar w:fldCharType="separate"/>
      </w:r>
      <w:r w:rsidR="001F209C">
        <w:t>169</w:t>
      </w:r>
      <w:r w:rsidRPr="00154F1D">
        <w:fldChar w:fldCharType="end"/>
      </w:r>
    </w:p>
    <w:p w14:paraId="2E0B2327" w14:textId="2B0FF498" w:rsidR="00460D34" w:rsidRPr="00154F1D" w:rsidRDefault="00460D34" w:rsidP="00D47380">
      <w:pPr>
        <w:pStyle w:val="TOC1"/>
        <w:rPr>
          <w:rFonts w:asciiTheme="minorHAnsi" w:eastAsiaTheme="minorEastAsia" w:hAnsiTheme="minorHAnsi" w:cstheme="minorBidi"/>
        </w:rPr>
      </w:pPr>
      <w:r w:rsidRPr="00154F1D">
        <w:t>Appendix 5: Special hearing provisions</w:t>
      </w:r>
      <w:r w:rsidRPr="00154F1D">
        <w:tab/>
      </w:r>
      <w:r w:rsidRPr="00154F1D">
        <w:fldChar w:fldCharType="begin"/>
      </w:r>
      <w:r w:rsidRPr="00154F1D">
        <w:instrText xml:space="preserve"> PAGEREF _Toc535868990 \h </w:instrText>
      </w:r>
      <w:r w:rsidRPr="00154F1D">
        <w:fldChar w:fldCharType="separate"/>
      </w:r>
      <w:r w:rsidR="001F209C">
        <w:t>173</w:t>
      </w:r>
      <w:r w:rsidRPr="00154F1D">
        <w:fldChar w:fldCharType="end"/>
      </w:r>
    </w:p>
    <w:p w14:paraId="7C5049AF" w14:textId="6285CE26" w:rsidR="00460D34" w:rsidRPr="00154F1D" w:rsidRDefault="00460D34" w:rsidP="00D47380">
      <w:pPr>
        <w:pStyle w:val="TOC1"/>
        <w:rPr>
          <w:rFonts w:asciiTheme="minorHAnsi" w:eastAsiaTheme="minorEastAsia" w:hAnsiTheme="minorHAnsi" w:cstheme="minorBidi"/>
        </w:rPr>
      </w:pPr>
      <w:r w:rsidRPr="00154F1D">
        <w:t xml:space="preserve">Appendix 6: </w:t>
      </w:r>
      <w:r w:rsidRPr="00154F1D">
        <w:rPr>
          <w:i/>
        </w:rPr>
        <w:t>Mental Health (Forensic Provisions) Act 1990</w:t>
      </w:r>
      <w:r w:rsidRPr="00154F1D">
        <w:t xml:space="preserve"> (NSW) sch 1 </w:t>
      </w:r>
      <w:r w:rsidR="005F2C54" w:rsidRPr="00154F1D">
        <w:t>e</w:t>
      </w:r>
      <w:r w:rsidRPr="00154F1D">
        <w:t>xtension of status as forensic patient</w:t>
      </w:r>
      <w:r w:rsidRPr="00154F1D">
        <w:tab/>
      </w:r>
      <w:r w:rsidRPr="00154F1D">
        <w:fldChar w:fldCharType="begin"/>
      </w:r>
      <w:r w:rsidRPr="00154F1D">
        <w:instrText xml:space="preserve"> PAGEREF _Toc535868991 \h </w:instrText>
      </w:r>
      <w:r w:rsidRPr="00154F1D">
        <w:fldChar w:fldCharType="separate"/>
      </w:r>
      <w:r w:rsidR="001F209C">
        <w:t>175</w:t>
      </w:r>
      <w:r w:rsidRPr="00154F1D">
        <w:fldChar w:fldCharType="end"/>
      </w:r>
    </w:p>
    <w:p w14:paraId="2F27B975" w14:textId="07892A0A" w:rsidR="00460D34" w:rsidRPr="00154F1D" w:rsidRDefault="00460D34" w:rsidP="00D47380">
      <w:pPr>
        <w:pStyle w:val="TOC1"/>
        <w:rPr>
          <w:rFonts w:asciiTheme="minorHAnsi" w:eastAsiaTheme="minorEastAsia" w:hAnsiTheme="minorHAnsi" w:cstheme="minorBidi"/>
        </w:rPr>
      </w:pPr>
      <w:r w:rsidRPr="00154F1D">
        <w:t>Appendix 7: Law reform recommendations</w:t>
      </w:r>
      <w:r w:rsidRPr="00154F1D">
        <w:tab/>
      </w:r>
      <w:r w:rsidRPr="00154F1D">
        <w:fldChar w:fldCharType="begin"/>
      </w:r>
      <w:r w:rsidRPr="00154F1D">
        <w:instrText xml:space="preserve"> PAGEREF _Toc535868992 \h </w:instrText>
      </w:r>
      <w:r w:rsidRPr="00154F1D">
        <w:fldChar w:fldCharType="separate"/>
      </w:r>
      <w:r w:rsidR="001F209C">
        <w:t>182</w:t>
      </w:r>
      <w:r w:rsidRPr="00154F1D">
        <w:fldChar w:fldCharType="end"/>
      </w:r>
    </w:p>
    <w:p w14:paraId="22029326" w14:textId="10799998" w:rsidR="00460D34" w:rsidRPr="00154F1D" w:rsidRDefault="00460D34" w:rsidP="00D47380">
      <w:pPr>
        <w:pStyle w:val="TOC1"/>
        <w:rPr>
          <w:rFonts w:asciiTheme="minorHAnsi" w:eastAsiaTheme="minorEastAsia" w:hAnsiTheme="minorHAnsi" w:cstheme="minorBidi"/>
        </w:rPr>
      </w:pPr>
      <w:r w:rsidRPr="00154F1D">
        <w:t xml:space="preserve">Appendix 8: </w:t>
      </w:r>
      <w:r w:rsidR="00E124D2" w:rsidRPr="00154F1D">
        <w:t>Length of restriction and supervision orders in comparison with median sentence</w:t>
      </w:r>
      <w:r w:rsidRPr="00154F1D">
        <w:tab/>
      </w:r>
      <w:r w:rsidRPr="00154F1D">
        <w:fldChar w:fldCharType="begin"/>
      </w:r>
      <w:r w:rsidRPr="00154F1D">
        <w:instrText xml:space="preserve"> PAGEREF _Toc535868993 \h </w:instrText>
      </w:r>
      <w:r w:rsidRPr="00154F1D">
        <w:fldChar w:fldCharType="separate"/>
      </w:r>
      <w:r w:rsidR="001F209C">
        <w:t>188</w:t>
      </w:r>
      <w:r w:rsidRPr="00154F1D">
        <w:fldChar w:fldCharType="end"/>
      </w:r>
    </w:p>
    <w:p w14:paraId="707CA080" w14:textId="3A62DB95" w:rsidR="00884ADA" w:rsidRPr="00154F1D" w:rsidRDefault="00460D34" w:rsidP="00BF0A3C">
      <w:pPr>
        <w:jc w:val="center"/>
        <w:rPr>
          <w:smallCaps/>
          <w:color w:val="000000"/>
          <w:sz w:val="32"/>
          <w:szCs w:val="32"/>
        </w:rPr>
      </w:pPr>
      <w:r w:rsidRPr="00154F1D">
        <w:rPr>
          <w:sz w:val="22"/>
          <w:szCs w:val="22"/>
        </w:rPr>
        <w:fldChar w:fldCharType="end"/>
      </w:r>
    </w:p>
    <w:p w14:paraId="6D3C4873" w14:textId="77777777" w:rsidR="00884ADA" w:rsidRPr="00154F1D" w:rsidRDefault="00884ADA" w:rsidP="00BF0A3C">
      <w:pPr>
        <w:jc w:val="center"/>
        <w:rPr>
          <w:smallCaps/>
          <w:color w:val="000000"/>
          <w:sz w:val="32"/>
          <w:szCs w:val="32"/>
        </w:rPr>
      </w:pPr>
    </w:p>
    <w:p w14:paraId="767D477F" w14:textId="782637EC" w:rsidR="00884ADA" w:rsidRPr="00154F1D" w:rsidRDefault="00884ADA" w:rsidP="00BF0A3C">
      <w:pPr>
        <w:jc w:val="center"/>
        <w:rPr>
          <w:smallCaps/>
          <w:color w:val="000000"/>
          <w:sz w:val="32"/>
          <w:szCs w:val="32"/>
        </w:rPr>
        <w:sectPr w:rsidR="00884ADA" w:rsidRPr="00154F1D" w:rsidSect="005F2C54">
          <w:footerReference w:type="even" r:id="rId13"/>
          <w:footerReference w:type="default" r:id="rId14"/>
          <w:footerReference w:type="first" r:id="rId15"/>
          <w:pgSz w:w="11900" w:h="16840"/>
          <w:pgMar w:top="1440" w:right="1797" w:bottom="1440" w:left="1797" w:header="709" w:footer="709" w:gutter="0"/>
          <w:pgNumType w:fmt="lowerRoman" w:start="3"/>
          <w:cols w:space="708"/>
          <w:titlePg/>
          <w:docGrid w:linePitch="360"/>
        </w:sectPr>
      </w:pPr>
    </w:p>
    <w:p w14:paraId="310BB69C" w14:textId="77777777" w:rsidR="006922AF" w:rsidRPr="00154F1D" w:rsidRDefault="006922AF" w:rsidP="006922AF">
      <w:pPr>
        <w:pStyle w:val="NumberlessSectionHeading"/>
        <w:spacing w:before="0"/>
        <w:outlineLvl w:val="0"/>
      </w:pPr>
      <w:bookmarkStart w:id="3" w:name="_Toc515817985"/>
      <w:bookmarkStart w:id="4" w:name="_Toc519782119"/>
      <w:bookmarkStart w:id="5" w:name="_Toc535868888"/>
      <w:r w:rsidRPr="00154F1D">
        <w:t>Information about the Tasmania Law Reform Institute</w:t>
      </w:r>
      <w:bookmarkEnd w:id="3"/>
      <w:bookmarkEnd w:id="4"/>
      <w:bookmarkEnd w:id="5"/>
      <w:r w:rsidRPr="00154F1D">
        <w:t xml:space="preserve"> </w:t>
      </w:r>
    </w:p>
    <w:p w14:paraId="29694B40" w14:textId="77777777" w:rsidR="006922AF" w:rsidRPr="00154F1D" w:rsidRDefault="006922AF" w:rsidP="003D7DE2">
      <w:pPr>
        <w:pStyle w:val="NumberlessNormalText"/>
      </w:pPr>
      <w:r w:rsidRPr="00154F1D">
        <w:t xml:space="preserve">The Tasmania Law Reform Institute was established on 23 July 2001 by agreement between the Government of the State of Tasmania, the University of Tasmania and the Law Society of Tasmania. The creation of the Institute was part of a Partnership Agreement between the University and the State government signed in 2000. The Institute is based at the Sandy Bay campus of the University of Tasmania within the Faculty of Law. The Institute undertakes law reform work and research on topics proposed by the government, the community, the University and the Institute itself. </w:t>
      </w:r>
    </w:p>
    <w:p w14:paraId="4778A227" w14:textId="77777777" w:rsidR="006922AF" w:rsidRPr="00154F1D" w:rsidRDefault="006922AF" w:rsidP="003D7DE2">
      <w:pPr>
        <w:pStyle w:val="NumberlessNormalText"/>
      </w:pPr>
      <w:r w:rsidRPr="00154F1D">
        <w:t>The work of the Institute involves the review of laws with a view to:</w:t>
      </w:r>
    </w:p>
    <w:p w14:paraId="79F18C14" w14:textId="77777777" w:rsidR="006922AF" w:rsidRPr="00154F1D" w:rsidRDefault="006922AF" w:rsidP="006922AF">
      <w:pPr>
        <w:pStyle w:val="DotPointTLRI"/>
        <w:numPr>
          <w:ilvl w:val="0"/>
          <w:numId w:val="76"/>
        </w:numPr>
        <w:spacing w:before="120" w:line="276" w:lineRule="auto"/>
        <w:ind w:left="709" w:hanging="425"/>
      </w:pPr>
      <w:r w:rsidRPr="00154F1D">
        <w:t>the modernisation of the law</w:t>
      </w:r>
    </w:p>
    <w:p w14:paraId="4297DA45" w14:textId="77777777" w:rsidR="006922AF" w:rsidRPr="00154F1D" w:rsidRDefault="006922AF" w:rsidP="006922AF">
      <w:pPr>
        <w:pStyle w:val="DotPointTLRI"/>
        <w:numPr>
          <w:ilvl w:val="0"/>
          <w:numId w:val="76"/>
        </w:numPr>
        <w:spacing w:before="120" w:line="276" w:lineRule="auto"/>
        <w:ind w:left="709" w:hanging="425"/>
      </w:pPr>
      <w:r w:rsidRPr="00154F1D">
        <w:t>the elimination of defects in the law</w:t>
      </w:r>
    </w:p>
    <w:p w14:paraId="569D5E69" w14:textId="77777777" w:rsidR="006922AF" w:rsidRPr="00154F1D" w:rsidRDefault="006922AF" w:rsidP="006922AF">
      <w:pPr>
        <w:pStyle w:val="DotPointTLRI"/>
        <w:numPr>
          <w:ilvl w:val="0"/>
          <w:numId w:val="76"/>
        </w:numPr>
        <w:spacing w:before="120" w:line="276" w:lineRule="auto"/>
        <w:ind w:left="709" w:hanging="425"/>
      </w:pPr>
      <w:r w:rsidRPr="00154F1D">
        <w:t>the simplification of the law</w:t>
      </w:r>
    </w:p>
    <w:p w14:paraId="6E3BB7B6" w14:textId="77777777" w:rsidR="006922AF" w:rsidRPr="00154F1D" w:rsidRDefault="006922AF" w:rsidP="006922AF">
      <w:pPr>
        <w:pStyle w:val="DotPointTLRI"/>
        <w:numPr>
          <w:ilvl w:val="0"/>
          <w:numId w:val="76"/>
        </w:numPr>
        <w:spacing w:before="120" w:line="276" w:lineRule="auto"/>
        <w:ind w:left="709" w:hanging="425"/>
      </w:pPr>
      <w:r w:rsidRPr="00154F1D">
        <w:t>the consolidation of any laws</w:t>
      </w:r>
    </w:p>
    <w:p w14:paraId="0403AB98" w14:textId="77777777" w:rsidR="006922AF" w:rsidRPr="00154F1D" w:rsidRDefault="006922AF" w:rsidP="006922AF">
      <w:pPr>
        <w:pStyle w:val="DotPointTLRI"/>
        <w:numPr>
          <w:ilvl w:val="0"/>
          <w:numId w:val="76"/>
        </w:numPr>
        <w:spacing w:before="120" w:line="276" w:lineRule="auto"/>
        <w:ind w:left="709" w:hanging="425"/>
      </w:pPr>
      <w:r w:rsidRPr="00154F1D">
        <w:t>the repeal of laws that are obsolete or unnecessary</w:t>
      </w:r>
    </w:p>
    <w:p w14:paraId="1BDA9E0B" w14:textId="77777777" w:rsidR="006922AF" w:rsidRPr="00154F1D" w:rsidRDefault="006922AF" w:rsidP="006922AF">
      <w:pPr>
        <w:pStyle w:val="DotPointTLRI"/>
        <w:numPr>
          <w:ilvl w:val="0"/>
          <w:numId w:val="76"/>
        </w:numPr>
        <w:spacing w:before="120" w:line="276" w:lineRule="auto"/>
        <w:ind w:left="709" w:hanging="425"/>
      </w:pPr>
      <w:r w:rsidRPr="00154F1D">
        <w:t>uniformity between laws of other States and the Commonwealth.</w:t>
      </w:r>
    </w:p>
    <w:p w14:paraId="2CEDCBD6" w14:textId="10DE63D8" w:rsidR="006922AF" w:rsidRPr="00154F1D" w:rsidRDefault="006922AF" w:rsidP="003D7DE2">
      <w:pPr>
        <w:pStyle w:val="NumberlessNormalText"/>
      </w:pPr>
      <w:r w:rsidRPr="00154F1D">
        <w:t xml:space="preserve">The Institute’s Director is Associate Professor Terese Henning. The members of the Board of the Institute are Associate Professor Terese Henning (Chair), Professor Tim McCormack (Dean of the Faculty of Law at the University of Tasmania), the Honourable Justice Helen Wood (appointed by the Honourable Chief Justice of Tasmania), Ms Kristy Bourne (appointed by the Attorney-General), </w:t>
      </w:r>
      <w:r w:rsidR="003A0250">
        <w:t>Associate Professor</w:t>
      </w:r>
      <w:r w:rsidRPr="00154F1D">
        <w:t xml:space="preserve"> Jeremy Prichard (appointed by the Council of the University), Mr Craig Mackie (</w:t>
      </w:r>
      <w:r w:rsidR="00793FCB">
        <w:t>appointed</w:t>
      </w:r>
      <w:r w:rsidR="00793FCB" w:rsidRPr="00154F1D">
        <w:t xml:space="preserve"> </w:t>
      </w:r>
      <w:r w:rsidRPr="00154F1D">
        <w:t xml:space="preserve">by the Tasmanian Bar Association), Ms Ann Hughes (appointed at the invitation of the Institute Board), Mr Rohan Foon (appointed by the Law Society of Tasmania), Ms Kim Baumeler (appointed at the invitation of the Institute Board) and Ms Rosie Smith (appointed at the invitation of the Institute Board as a member of the Tasmanian Aboriginal community). </w:t>
      </w:r>
    </w:p>
    <w:p w14:paraId="39B1A14A" w14:textId="77777777" w:rsidR="006922AF" w:rsidRPr="00154F1D" w:rsidRDefault="006922AF" w:rsidP="003D7DE2">
      <w:pPr>
        <w:pStyle w:val="NumberlessNormalText"/>
      </w:pPr>
      <w:r w:rsidRPr="00154F1D">
        <w:t>The Board oversees the Institute’s research, considering each reference before it is accepted, and approving publications before their release.</w:t>
      </w:r>
    </w:p>
    <w:p w14:paraId="6E8577D6" w14:textId="77777777" w:rsidR="006922AF" w:rsidRPr="00154F1D" w:rsidRDefault="006922AF" w:rsidP="006922AF">
      <w:pPr>
        <w:pStyle w:val="NumberlessSectionHeading"/>
        <w:outlineLvl w:val="0"/>
      </w:pPr>
      <w:bookmarkStart w:id="6" w:name="_Toc515817986"/>
      <w:bookmarkStart w:id="7" w:name="_Toc519782120"/>
      <w:bookmarkStart w:id="8" w:name="_Toc535868889"/>
      <w:r w:rsidRPr="00154F1D">
        <w:t>How to respond</w:t>
      </w:r>
      <w:bookmarkEnd w:id="6"/>
      <w:bookmarkEnd w:id="7"/>
      <w:bookmarkEnd w:id="8"/>
      <w:r w:rsidRPr="00154F1D">
        <w:t xml:space="preserve"> </w:t>
      </w:r>
    </w:p>
    <w:p w14:paraId="1153326C" w14:textId="77777777" w:rsidR="006922AF" w:rsidRPr="00154F1D" w:rsidRDefault="006922AF" w:rsidP="003D7DE2">
      <w:pPr>
        <w:pStyle w:val="NumberlessNormalText"/>
      </w:pPr>
      <w:r w:rsidRPr="00154F1D">
        <w:t xml:space="preserve">The Tasmania Law Reform Institute invites responses to the various issues discussed in this Issues Paper. There are a number of questions posed by this Issues Paper to guide your response. </w:t>
      </w:r>
      <w:r w:rsidRPr="00154F1D">
        <w:rPr>
          <w:b/>
          <w:bCs/>
        </w:rPr>
        <w:t>Respondents can choose to address any or all of those questions in their submissions.</w:t>
      </w:r>
      <w:r w:rsidRPr="00154F1D">
        <w:t xml:space="preserve"> Respondents can also suggest alternative options for reform or raise other relevant matters in their responses.</w:t>
      </w:r>
    </w:p>
    <w:p w14:paraId="3FC21F71" w14:textId="77777777" w:rsidR="006922AF" w:rsidRPr="00154F1D" w:rsidRDefault="006922AF" w:rsidP="003D7DE2">
      <w:pPr>
        <w:pStyle w:val="NumberlessNormalText"/>
      </w:pPr>
      <w:r w:rsidRPr="00154F1D">
        <w:t>There are a number of ways to respond:</w:t>
      </w:r>
    </w:p>
    <w:p w14:paraId="153D1376" w14:textId="77777777" w:rsidR="006922AF" w:rsidRPr="00154F1D" w:rsidRDefault="006922AF" w:rsidP="003D7DE2">
      <w:pPr>
        <w:pStyle w:val="NumberlessNormalText"/>
        <w:numPr>
          <w:ilvl w:val="0"/>
          <w:numId w:val="75"/>
        </w:numPr>
      </w:pPr>
      <w:r w:rsidRPr="00154F1D">
        <w:t>By filling in the Submission Template</w:t>
      </w:r>
    </w:p>
    <w:p w14:paraId="63204E70" w14:textId="727E05B0" w:rsidR="006922AF" w:rsidRPr="00154F1D" w:rsidRDefault="006922AF" w:rsidP="003D7DE2">
      <w:pPr>
        <w:pStyle w:val="NumberlessNormalText"/>
      </w:pPr>
      <w:r w:rsidRPr="00154F1D">
        <w:t>The Template can be filled in electronically and sent by email or printed out and filled in manually and posted to the Institute. The Submission Template can be accessed at the Institute’s webpage: &lt;</w:t>
      </w:r>
      <w:hyperlink r:id="rId16" w:history="1">
        <w:r w:rsidRPr="00154F1D">
          <w:rPr>
            <w:rStyle w:val="Hyperlink"/>
          </w:rPr>
          <w:t>http://www.utas.edu.au/law-reform/</w:t>
        </w:r>
      </w:hyperlink>
      <w:r w:rsidRPr="00154F1D">
        <w:rPr>
          <w:rStyle w:val="Hyperlink"/>
        </w:rPr>
        <w:t>&gt;.</w:t>
      </w:r>
    </w:p>
    <w:p w14:paraId="696DFDD8" w14:textId="47B40868" w:rsidR="006922AF" w:rsidRPr="00154F1D" w:rsidRDefault="006922AF" w:rsidP="003D7DE2">
      <w:pPr>
        <w:pStyle w:val="NumberlessNormalText"/>
        <w:numPr>
          <w:ilvl w:val="0"/>
          <w:numId w:val="75"/>
        </w:numPr>
      </w:pPr>
      <w:r w:rsidRPr="00154F1D">
        <w:t>By providing a more detailed response to the Issues Paper</w:t>
      </w:r>
      <w:r w:rsidR="00F23B97" w:rsidRPr="00154F1D">
        <w:t>.</w:t>
      </w:r>
    </w:p>
    <w:p w14:paraId="3BB03B89" w14:textId="77777777" w:rsidR="006922AF" w:rsidRPr="00154F1D" w:rsidRDefault="006922AF" w:rsidP="003D7DE2">
      <w:pPr>
        <w:pStyle w:val="NumberlessNormalText"/>
      </w:pPr>
      <w:r w:rsidRPr="00154F1D">
        <w:t>The Issues Paper poses a series of questions to guide your response — you may choose to answer all, some, or none of them. Please explain the reasons for your views as fully as possible.</w:t>
      </w:r>
    </w:p>
    <w:p w14:paraId="72E8B81B" w14:textId="17E06C65" w:rsidR="006922AF" w:rsidRPr="00154F1D" w:rsidRDefault="006922AF" w:rsidP="003D7DE2">
      <w:pPr>
        <w:pStyle w:val="NumberlessNormalText"/>
      </w:pPr>
      <w:r w:rsidRPr="00154F1D">
        <w:t>The Institute uses all submissions received to inform its research. Submissions may be referred to or quoted from in a TLRI final report which will be printed</w:t>
      </w:r>
      <w:r w:rsidR="00793FCB">
        <w:t>, provided to the Tasmanian Government</w:t>
      </w:r>
      <w:r w:rsidR="00793FCB" w:rsidRPr="00154F1D">
        <w:t xml:space="preserve"> </w:t>
      </w:r>
      <w:r w:rsidRPr="00154F1D">
        <w:t>and also published on the Institute’s website. Extracts may also be used in published scholarly articles and/or public media releases. However, if you do not wish your response to be referred to or identified, the Institute will respect that wish.</w:t>
      </w:r>
    </w:p>
    <w:p w14:paraId="64EBCCA2" w14:textId="77777777" w:rsidR="006922AF" w:rsidRPr="00154F1D" w:rsidRDefault="006922AF" w:rsidP="003D7DE2">
      <w:pPr>
        <w:pStyle w:val="NumberlessNormalText"/>
      </w:pPr>
      <w:r w:rsidRPr="00154F1D">
        <w:t>Therefore, when making a submission to the Institute, please identify how you would like it to be treated based on the following categories:</w:t>
      </w:r>
    </w:p>
    <w:p w14:paraId="45164130" w14:textId="77777777" w:rsidR="006922AF" w:rsidRPr="00154F1D" w:rsidRDefault="006922AF" w:rsidP="003D7DE2">
      <w:pPr>
        <w:pStyle w:val="NumberlessNormalText"/>
        <w:numPr>
          <w:ilvl w:val="0"/>
          <w:numId w:val="77"/>
        </w:numPr>
      </w:pPr>
      <w:r w:rsidRPr="00154F1D">
        <w:t>Public submission – the Institute may refer to or quote directly from the submission, and name you as the source of the submission in relevant publications.</w:t>
      </w:r>
    </w:p>
    <w:p w14:paraId="01CF9C38" w14:textId="77777777" w:rsidR="006922AF" w:rsidRPr="00154F1D" w:rsidRDefault="006922AF" w:rsidP="003D7DE2">
      <w:pPr>
        <w:pStyle w:val="NumberlessNormalText"/>
        <w:numPr>
          <w:ilvl w:val="0"/>
          <w:numId w:val="77"/>
        </w:numPr>
      </w:pPr>
      <w:r w:rsidRPr="00154F1D">
        <w:t>Anonymous submission – the Institute may refer to or quote directly from the submission in relevant publications, but will not identify you as the source of the submission.</w:t>
      </w:r>
    </w:p>
    <w:p w14:paraId="14A8B24A" w14:textId="77777777" w:rsidR="006922AF" w:rsidRPr="00154F1D" w:rsidRDefault="006922AF" w:rsidP="003D7DE2">
      <w:pPr>
        <w:pStyle w:val="NumberlessNormalText"/>
        <w:numPr>
          <w:ilvl w:val="0"/>
          <w:numId w:val="77"/>
        </w:numPr>
      </w:pPr>
      <w:r w:rsidRPr="00154F1D">
        <w:t>Confidential submission – the Institute will not refer to or quote directly from the submission, but may aggregate information in your submission with other submissions for inclusion in any report or publication. Confidential submissions will only be used to inform the Institute generally in their deliberations of the particular issue under investigation, and/or provide publishable aggregated statistical data.</w:t>
      </w:r>
    </w:p>
    <w:p w14:paraId="26CC7F3A" w14:textId="77777777" w:rsidR="006922AF" w:rsidRPr="00154F1D" w:rsidRDefault="006922AF" w:rsidP="003D7DE2">
      <w:pPr>
        <w:pStyle w:val="NumberlessNormalText"/>
      </w:pPr>
      <w:r w:rsidRPr="00154F1D">
        <w:t xml:space="preserve">After considering all responses and stakeholder feedback it is intended that a final report, containing recommendations, will be published. </w:t>
      </w:r>
    </w:p>
    <w:p w14:paraId="0E39A359" w14:textId="560C88FC" w:rsidR="006922AF" w:rsidRPr="00154F1D" w:rsidRDefault="006922AF" w:rsidP="003D7DE2">
      <w:pPr>
        <w:pStyle w:val="NumberlessNormalText"/>
      </w:pPr>
      <w:r w:rsidRPr="00154F1D">
        <w:t>Providing a submission is completely voluntary. You are free to withdraw your participation at any time</w:t>
      </w:r>
      <w:r w:rsidR="00793FCB">
        <w:t xml:space="preserve"> up to the time it is sent for publication</w:t>
      </w:r>
      <w:r w:rsidRPr="00154F1D">
        <w:t>, by contacting Kira White on (03) 6226 2069 or email</w:t>
      </w:r>
      <w:r w:rsidR="00793FCB">
        <w:t>:</w:t>
      </w:r>
      <w:r w:rsidRPr="00154F1D">
        <w:t xml:space="preserve"> Law.Reform@utas.edu.au. You can withdraw without providing an explanation. However, once the report has been sent for publication, it will not be possible to remove your comments.</w:t>
      </w:r>
    </w:p>
    <w:p w14:paraId="543C478D" w14:textId="77777777" w:rsidR="006922AF" w:rsidRPr="00154F1D" w:rsidRDefault="006922AF" w:rsidP="003D7DE2">
      <w:pPr>
        <w:pStyle w:val="NumberlessNormalText"/>
      </w:pPr>
      <w:r w:rsidRPr="00154F1D">
        <w:t>All responses will be held by the Tasmania Law Reform Institute for a period of five (5) years from the date of the first publication and then destroyed. Electronic submissions will be stored on a secure, regularly backed-up University network drive. Hard copy submissions will be stored in a locked filing cabinet. At the expiry of five years, submissions will be deleted from the server, in the case of electronic submissions, or shredded and securely disposed of in the case of paper submissions.</w:t>
      </w:r>
    </w:p>
    <w:p w14:paraId="2791CB3C" w14:textId="77777777" w:rsidR="006922AF" w:rsidRPr="00154F1D" w:rsidRDefault="006922AF" w:rsidP="003D7DE2">
      <w:pPr>
        <w:pStyle w:val="NumberlessNormalText"/>
      </w:pPr>
      <w:r w:rsidRPr="00154F1D">
        <w:t xml:space="preserve">Electronic submissions should be emailed to: </w:t>
      </w:r>
      <w:hyperlink r:id="rId17" w:history="1">
        <w:r w:rsidRPr="00154F1D">
          <w:rPr>
            <w:rStyle w:val="Hyperlink"/>
          </w:rPr>
          <w:t>Law.Reform@utas.edu.au</w:t>
        </w:r>
      </w:hyperlink>
    </w:p>
    <w:p w14:paraId="1F2E7C90" w14:textId="77777777" w:rsidR="006922AF" w:rsidRPr="00154F1D" w:rsidRDefault="006922AF" w:rsidP="003D7DE2">
      <w:pPr>
        <w:pStyle w:val="NumberlessNormalText"/>
      </w:pPr>
      <w:r w:rsidRPr="00154F1D">
        <w:t>Submissions in paper form should be posted to:</w:t>
      </w:r>
    </w:p>
    <w:p w14:paraId="556D69E4" w14:textId="77777777" w:rsidR="006922AF" w:rsidRPr="00154F1D" w:rsidRDefault="006922AF" w:rsidP="003D7DE2">
      <w:pPr>
        <w:pStyle w:val="NumberlessNormalText"/>
      </w:pPr>
      <w:r w:rsidRPr="00154F1D">
        <w:t xml:space="preserve">Tasmania Law Reform Institute </w:t>
      </w:r>
    </w:p>
    <w:p w14:paraId="618437E7" w14:textId="77777777" w:rsidR="006922AF" w:rsidRPr="00154F1D" w:rsidRDefault="006922AF" w:rsidP="003D7DE2">
      <w:pPr>
        <w:pStyle w:val="NumberlessNormalText"/>
      </w:pPr>
      <w:r w:rsidRPr="00154F1D">
        <w:t>Private Bag 89</w:t>
      </w:r>
    </w:p>
    <w:p w14:paraId="28617E39" w14:textId="77777777" w:rsidR="006922AF" w:rsidRPr="00154F1D" w:rsidRDefault="006922AF" w:rsidP="003D7DE2">
      <w:pPr>
        <w:pStyle w:val="NumberlessNormalText"/>
      </w:pPr>
      <w:r w:rsidRPr="00154F1D">
        <w:t>Hobart, TAS 7001</w:t>
      </w:r>
    </w:p>
    <w:p w14:paraId="3F341A5D" w14:textId="77777777" w:rsidR="006922AF" w:rsidRPr="00154F1D" w:rsidRDefault="006922AF" w:rsidP="003D7DE2">
      <w:pPr>
        <w:pStyle w:val="NumberlessNormalText"/>
      </w:pPr>
      <w:r w:rsidRPr="00154F1D">
        <w:t xml:space="preserve">Inquiries about the study should be directed to Ms Terese Henning at the above address, or by telephoning (03) 6226 2069, or by email to </w:t>
      </w:r>
      <w:hyperlink r:id="rId18" w:history="1">
        <w:r w:rsidRPr="00154F1D">
          <w:rPr>
            <w:rStyle w:val="Hyperlink"/>
          </w:rPr>
          <w:t>Law.Reform@utas.edu.au</w:t>
        </w:r>
      </w:hyperlink>
      <w:r w:rsidRPr="00154F1D">
        <w:t xml:space="preserve">. </w:t>
      </w:r>
    </w:p>
    <w:p w14:paraId="4CE42A77" w14:textId="3DB7A41A" w:rsidR="006922AF" w:rsidRPr="00154F1D" w:rsidRDefault="006922AF" w:rsidP="003D7DE2">
      <w:pPr>
        <w:pStyle w:val="NumberlessNormalText"/>
      </w:pPr>
      <w:r w:rsidRPr="00154F1D">
        <w:t xml:space="preserve">CLOSING DATE FOR RESPONSES: </w:t>
      </w:r>
      <w:r w:rsidR="001201A2" w:rsidRPr="00A2703E">
        <w:rPr>
          <w:b/>
          <w:color w:val="000000" w:themeColor="text1"/>
          <w:u w:val="single"/>
        </w:rPr>
        <w:t>24 May 2019</w:t>
      </w:r>
    </w:p>
    <w:p w14:paraId="683DF869" w14:textId="45D989E2" w:rsidR="006922AF" w:rsidRPr="00154F1D" w:rsidRDefault="006922AF" w:rsidP="003D7DE2">
      <w:pPr>
        <w:pStyle w:val="NumberlessNormalText"/>
      </w:pPr>
      <w:r w:rsidRPr="00154F1D">
        <w:t xml:space="preserve">This study has been approved by the Tasmanian Social Sciences Human Research Ethics Committee. If you have concerns or complaints about the conduct of this study, please contact the Executive Officer of the HREC (Tasmania) Network on +61 3 6226 6254 or email human.ethics@utas.edu.au. The Executive Officer is the person nominated to receive complaints from research participants. Please quote ethics reference number </w:t>
      </w:r>
      <w:r w:rsidR="00793FCB">
        <w:t>[</w:t>
      </w:r>
      <w:r w:rsidR="00793FCB" w:rsidRPr="003E0151">
        <w:t>H</w:t>
      </w:r>
      <w:r w:rsidR="00793FCB" w:rsidRPr="003E0151">
        <w:rPr>
          <w:rFonts w:cstheme="majorBidi"/>
        </w:rPr>
        <w:t>0016752</w:t>
      </w:r>
      <w:r w:rsidR="00793FCB" w:rsidRPr="00154F1D">
        <w:t>]</w:t>
      </w:r>
      <w:r w:rsidRPr="00154F1D">
        <w:t>.</w:t>
      </w:r>
    </w:p>
    <w:p w14:paraId="2C6FC48A" w14:textId="77777777" w:rsidR="006922AF" w:rsidRPr="00154F1D" w:rsidRDefault="006922AF" w:rsidP="006922AF">
      <w:pPr>
        <w:pStyle w:val="NumberlessSectionHeading"/>
        <w:outlineLvl w:val="0"/>
      </w:pPr>
      <w:bookmarkStart w:id="9" w:name="_Toc515817987"/>
      <w:bookmarkStart w:id="10" w:name="_Toc519782121"/>
      <w:bookmarkStart w:id="11" w:name="_Toc535868890"/>
      <w:r w:rsidRPr="00154F1D">
        <w:t>Final Report to the Attorney-General</w:t>
      </w:r>
      <w:bookmarkEnd w:id="9"/>
      <w:bookmarkEnd w:id="10"/>
      <w:bookmarkEnd w:id="11"/>
    </w:p>
    <w:p w14:paraId="56D3A74A" w14:textId="0EE6A048" w:rsidR="006922AF" w:rsidRPr="00154F1D" w:rsidRDefault="006922AF" w:rsidP="003D7DE2">
      <w:pPr>
        <w:pStyle w:val="NumberlessNormalText"/>
      </w:pPr>
      <w:r w:rsidRPr="00154F1D">
        <w:t>After considering all responses and stakeholder feedback it is intended that a final report, containing recommendations</w:t>
      </w:r>
      <w:r w:rsidR="00793FCB">
        <w:t xml:space="preserve"> for reform</w:t>
      </w:r>
      <w:r w:rsidRPr="00154F1D">
        <w:t>, will be published.</w:t>
      </w:r>
    </w:p>
    <w:p w14:paraId="10C5B4D3" w14:textId="77777777" w:rsidR="006922AF" w:rsidRPr="00154F1D" w:rsidRDefault="006922AF" w:rsidP="006922AF">
      <w:pPr>
        <w:pStyle w:val="NumberlessSectionHeading"/>
        <w:outlineLvl w:val="0"/>
        <w:rPr>
          <w:sz w:val="22"/>
          <w:szCs w:val="22"/>
        </w:rPr>
      </w:pPr>
      <w:bookmarkStart w:id="12" w:name="_Toc515817988"/>
      <w:bookmarkStart w:id="13" w:name="_Toc519782122"/>
      <w:bookmarkStart w:id="14" w:name="_Toc535868891"/>
      <w:r w:rsidRPr="00154F1D">
        <w:t>Acknowledgments</w:t>
      </w:r>
      <w:bookmarkEnd w:id="12"/>
      <w:bookmarkEnd w:id="13"/>
      <w:bookmarkEnd w:id="14"/>
      <w:r w:rsidRPr="00154F1D">
        <w:t xml:space="preserve"> </w:t>
      </w:r>
    </w:p>
    <w:p w14:paraId="70E9882C" w14:textId="5238F16E" w:rsidR="00B9604E" w:rsidRPr="00154F1D" w:rsidRDefault="006922AF" w:rsidP="00B9604E">
      <w:pPr>
        <w:pStyle w:val="NumberlessNormalText"/>
      </w:pPr>
      <w:r w:rsidRPr="00154F1D">
        <w:t>This Issues Paper was prepared for the Board by</w:t>
      </w:r>
      <w:r w:rsidR="00C50DCA" w:rsidRPr="00154F1D">
        <w:t xml:space="preserve"> </w:t>
      </w:r>
      <w:r w:rsidR="00793FCB">
        <w:t xml:space="preserve">Dr </w:t>
      </w:r>
      <w:r w:rsidR="00C50DCA" w:rsidRPr="00154F1D">
        <w:t xml:space="preserve">Rebecca Bradfield. </w:t>
      </w:r>
      <w:r w:rsidR="00B9604E" w:rsidRPr="00154F1D">
        <w:t xml:space="preserve">Valuable contributions to the project and feedback on drafts of this Issues Paper were provided by the </w:t>
      </w:r>
      <w:r w:rsidR="00793FCB">
        <w:t xml:space="preserve">TLRI Director and the </w:t>
      </w:r>
      <w:r w:rsidR="00B9604E" w:rsidRPr="00154F1D">
        <w:t xml:space="preserve">Reference Group for this project, </w:t>
      </w:r>
      <w:r w:rsidR="00E124D2" w:rsidRPr="00154F1D">
        <w:t>the Honourable Justice Helen Wood, Daryl Coates, SC, Marita O’Connell, Yvonne Chaperon, Aaron Groves</w:t>
      </w:r>
      <w:r w:rsidR="00793FCB">
        <w:t>,</w:t>
      </w:r>
      <w:r w:rsidR="00E124D2" w:rsidRPr="00154F1D">
        <w:t xml:space="preserve"> Georgina O’Donnell</w:t>
      </w:r>
      <w:r w:rsidR="00793FCB">
        <w:t xml:space="preserve"> and</w:t>
      </w:r>
      <w:r w:rsidR="00600265">
        <w:t xml:space="preserve"> Associate Professor</w:t>
      </w:r>
      <w:r w:rsidR="00793FCB">
        <w:t xml:space="preserve"> Jeremy Prichard</w:t>
      </w:r>
      <w:r w:rsidR="00B9604E" w:rsidRPr="00154F1D">
        <w:t xml:space="preserve">. </w:t>
      </w:r>
      <w:r w:rsidR="007C21F4" w:rsidRPr="00154F1D">
        <w:t>The TLRI was acknowledges the invaluable assistance provided by the Mental Health Tribunal in the collection of data for this project. Assistance was also provided by the Legal Aid Commission</w:t>
      </w:r>
      <w:r w:rsidR="00B9604E" w:rsidRPr="00154F1D">
        <w:t>. The project was funded by a grant from the Solicitors’ Guarantee Fund.</w:t>
      </w:r>
    </w:p>
    <w:p w14:paraId="7D59FEE2" w14:textId="60025F0C" w:rsidR="00E32917" w:rsidRPr="00154F1D" w:rsidRDefault="00E32917" w:rsidP="006922AF"/>
    <w:p w14:paraId="445AD571" w14:textId="6BBB1FB2" w:rsidR="00884ADA" w:rsidRPr="00154F1D" w:rsidRDefault="00884ADA"/>
    <w:p w14:paraId="04BBF318" w14:textId="5AF6DDD2" w:rsidR="00884ADA" w:rsidRPr="00154F1D" w:rsidRDefault="00884ADA"/>
    <w:p w14:paraId="4BA8B5CD" w14:textId="2253649F" w:rsidR="00C50DCA" w:rsidRPr="00154F1D" w:rsidRDefault="00C50DCA"/>
    <w:p w14:paraId="7447F7DB" w14:textId="07FC936F" w:rsidR="00C50DCA" w:rsidRPr="00154F1D" w:rsidRDefault="00C50DCA"/>
    <w:p w14:paraId="7FB0BB00" w14:textId="77777777" w:rsidR="00C50DCA" w:rsidRPr="00154F1D" w:rsidRDefault="00C50DCA"/>
    <w:p w14:paraId="1FF65138" w14:textId="4796A770" w:rsidR="00884ADA" w:rsidRPr="00154F1D" w:rsidRDefault="00884ADA"/>
    <w:p w14:paraId="18B0A175" w14:textId="77777777" w:rsidR="00884ADA" w:rsidRPr="00154F1D" w:rsidRDefault="00884ADA">
      <w:pPr>
        <w:sectPr w:rsidR="00884ADA" w:rsidRPr="00154F1D" w:rsidSect="005F2C54">
          <w:footerReference w:type="first" r:id="rId19"/>
          <w:pgSz w:w="11900" w:h="16840"/>
          <w:pgMar w:top="1440" w:right="1797" w:bottom="1440" w:left="1797" w:header="709" w:footer="709" w:gutter="0"/>
          <w:pgNumType w:fmt="lowerRoman"/>
          <w:cols w:space="708"/>
          <w:titlePg/>
          <w:docGrid w:linePitch="360"/>
        </w:sectPr>
      </w:pPr>
    </w:p>
    <w:p w14:paraId="0C9D13BB" w14:textId="2A21F050" w:rsidR="00E32917" w:rsidRPr="00154F1D" w:rsidRDefault="00E32917" w:rsidP="00A423A4">
      <w:pPr>
        <w:pStyle w:val="NumberlessSectionHeading"/>
        <w:spacing w:before="0" w:after="600"/>
        <w:rPr>
          <w:sz w:val="48"/>
          <w:szCs w:val="48"/>
        </w:rPr>
      </w:pPr>
      <w:bookmarkStart w:id="15" w:name="_Toc535868892"/>
      <w:r w:rsidRPr="00154F1D">
        <w:rPr>
          <w:sz w:val="48"/>
          <w:szCs w:val="48"/>
        </w:rPr>
        <w:t>Executive Summary</w:t>
      </w:r>
      <w:bookmarkEnd w:id="15"/>
    </w:p>
    <w:p w14:paraId="4CAC2AD3" w14:textId="2A1F2A3C" w:rsidR="00ED6EE8" w:rsidRPr="00154F1D" w:rsidRDefault="00ED6EE8" w:rsidP="003D7DE2">
      <w:pPr>
        <w:pStyle w:val="NumberlessNormalText"/>
      </w:pPr>
      <w:r w:rsidRPr="00154F1D">
        <w:t xml:space="preserve">This Issues Paper </w:t>
      </w:r>
      <w:r w:rsidR="00C057E7" w:rsidRPr="00154F1D">
        <w:t xml:space="preserve">follows a reference provided to the TLRI by the then Attorney-General, the Hon </w:t>
      </w:r>
      <w:r w:rsidR="00793FCB">
        <w:t xml:space="preserve">Dr </w:t>
      </w:r>
      <w:r w:rsidR="00C057E7" w:rsidRPr="00154F1D">
        <w:t xml:space="preserve">Vanessa Goodwin and </w:t>
      </w:r>
      <w:r w:rsidRPr="00154F1D">
        <w:t xml:space="preserve">considers two specialised responses for </w:t>
      </w:r>
      <w:r w:rsidR="008F0CC0">
        <w:t>individuals</w:t>
      </w:r>
      <w:r w:rsidR="008F0CC0" w:rsidRPr="00154F1D">
        <w:t xml:space="preserve"> </w:t>
      </w:r>
      <w:r w:rsidRPr="00154F1D">
        <w:t xml:space="preserve">with mental illness and/or cognitive impairment where their mental impairment affects their ability to participate in the ordinary processes of the criminal justice system: </w:t>
      </w:r>
    </w:p>
    <w:p w14:paraId="03F3AD4F" w14:textId="22431FCA" w:rsidR="00ED6EE8" w:rsidRPr="00154F1D" w:rsidRDefault="00ED6EE8" w:rsidP="00F31663">
      <w:pPr>
        <w:pStyle w:val="NumberlessNormalText"/>
        <w:tabs>
          <w:tab w:val="clear" w:pos="851"/>
          <w:tab w:val="left" w:pos="567"/>
        </w:tabs>
      </w:pPr>
      <w:r w:rsidRPr="00154F1D">
        <w:t>(1)</w:t>
      </w:r>
      <w:r w:rsidR="00744FAA" w:rsidRPr="00154F1D">
        <w:tab/>
      </w:r>
      <w:r w:rsidRPr="00154F1D">
        <w:t xml:space="preserve">fitness to stand trial; and </w:t>
      </w:r>
    </w:p>
    <w:p w14:paraId="364C5C35" w14:textId="19CEDFB8" w:rsidR="00ED6EE8" w:rsidRPr="00154F1D" w:rsidRDefault="00ED6EE8" w:rsidP="00F31663">
      <w:pPr>
        <w:pStyle w:val="NumberlessNormalText"/>
        <w:tabs>
          <w:tab w:val="clear" w:pos="851"/>
          <w:tab w:val="left" w:pos="567"/>
        </w:tabs>
      </w:pPr>
      <w:r w:rsidRPr="00154F1D">
        <w:t>(2)</w:t>
      </w:r>
      <w:r w:rsidR="00744FAA" w:rsidRPr="00154F1D">
        <w:tab/>
      </w:r>
      <w:r w:rsidRPr="00154F1D">
        <w:t>the defence of insanity.</w:t>
      </w:r>
    </w:p>
    <w:p w14:paraId="2D052C60" w14:textId="794FD6F3" w:rsidR="00ED6EE8" w:rsidRPr="00154F1D" w:rsidRDefault="00ED6EE8" w:rsidP="00ED6EE8">
      <w:pPr>
        <w:pStyle w:val="Sub-HeadingTLRI"/>
      </w:pPr>
      <w:bookmarkStart w:id="16" w:name="_Toc535856909"/>
      <w:bookmarkStart w:id="17" w:name="_Toc535868893"/>
      <w:r w:rsidRPr="00154F1D">
        <w:t>Part 1: Introduction</w:t>
      </w:r>
      <w:bookmarkEnd w:id="16"/>
      <w:bookmarkEnd w:id="17"/>
    </w:p>
    <w:p w14:paraId="3A84309F" w14:textId="19904D0E" w:rsidR="00ED6EE8" w:rsidRPr="00154F1D" w:rsidRDefault="00ED6EE8" w:rsidP="003D7DE2">
      <w:pPr>
        <w:pStyle w:val="NumberlessNormalText"/>
      </w:pPr>
      <w:r w:rsidRPr="00154F1D">
        <w:t xml:space="preserve">Part 1 sets out the background to the reference, an overview of the structure of the </w:t>
      </w:r>
      <w:r w:rsidR="00F23B97" w:rsidRPr="00154F1D">
        <w:t>I</w:t>
      </w:r>
      <w:r w:rsidRPr="00154F1D">
        <w:t xml:space="preserve">ssues </w:t>
      </w:r>
      <w:r w:rsidR="00F23B97" w:rsidRPr="00154F1D">
        <w:t>P</w:t>
      </w:r>
      <w:r w:rsidRPr="00154F1D">
        <w:t>aper and the scope of the reference.</w:t>
      </w:r>
    </w:p>
    <w:p w14:paraId="7C4A241E" w14:textId="19E6E470" w:rsidR="00ED6EE8" w:rsidRPr="00154F1D" w:rsidRDefault="00ED6EE8" w:rsidP="00ED6EE8">
      <w:pPr>
        <w:pStyle w:val="Sub-HeadingTLRI"/>
      </w:pPr>
      <w:bookmarkStart w:id="18" w:name="_Toc535856910"/>
      <w:bookmarkStart w:id="19" w:name="_Toc535868894"/>
      <w:r w:rsidRPr="00154F1D">
        <w:t>Part 2:</w:t>
      </w:r>
      <w:r w:rsidR="00581206" w:rsidRPr="00154F1D">
        <w:t xml:space="preserve"> Background and </w:t>
      </w:r>
      <w:r w:rsidR="000F3E91" w:rsidRPr="00154F1D">
        <w:t>P</w:t>
      </w:r>
      <w:r w:rsidR="00581206" w:rsidRPr="00154F1D">
        <w:t>rinciples</w:t>
      </w:r>
      <w:bookmarkEnd w:id="18"/>
      <w:bookmarkEnd w:id="19"/>
    </w:p>
    <w:p w14:paraId="4358835E" w14:textId="77777777" w:rsidR="00ED6EE8" w:rsidRPr="00154F1D" w:rsidRDefault="00ED6EE8" w:rsidP="003D7DE2">
      <w:pPr>
        <w:pStyle w:val="NumberlessNormalText"/>
      </w:pPr>
      <w:r w:rsidRPr="00154F1D">
        <w:t xml:space="preserve">Part 2 provides an overview of the legislative framework that sets out the law in relation to the operation of the criminal justice system for people with mental health and/or cognitive impairments. It sets out the distinction between fitness to stand trial and insanity and considers the principles that underlie the </w:t>
      </w:r>
      <w:r w:rsidRPr="00154F1D">
        <w:rPr>
          <w:i/>
        </w:rPr>
        <w:t>Criminal Justice (Mental Impairment) Act 1999</w:t>
      </w:r>
      <w:r w:rsidRPr="00154F1D">
        <w:t xml:space="preserve"> (Tas).</w:t>
      </w:r>
    </w:p>
    <w:p w14:paraId="35B4795A" w14:textId="4140BAC7" w:rsidR="00ED6EE8" w:rsidRPr="00154F1D" w:rsidRDefault="00517FF4" w:rsidP="00D962D4">
      <w:pPr>
        <w:pStyle w:val="NumberlessNormalText"/>
      </w:pPr>
      <w:r w:rsidRPr="00154F1D">
        <w:t>S</w:t>
      </w:r>
      <w:r w:rsidR="00ED6EE8" w:rsidRPr="00154F1D">
        <w:t xml:space="preserve">everal </w:t>
      </w:r>
      <w:r w:rsidR="001B2F27" w:rsidRPr="00154F1D">
        <w:t>Acts</w:t>
      </w:r>
      <w:r w:rsidR="00ED6EE8" w:rsidRPr="00154F1D">
        <w:t xml:space="preserve"> set out the law in relation to the operation of the criminal justice system for people with mental health and/or cognitive impairments, including the </w:t>
      </w:r>
      <w:r w:rsidR="00ED6EE8" w:rsidRPr="00154F1D">
        <w:rPr>
          <w:i/>
        </w:rPr>
        <w:t xml:space="preserve">Criminal Justice (Mental Impairment) Act 1999 </w:t>
      </w:r>
      <w:r w:rsidR="00ED6EE8" w:rsidRPr="00154F1D">
        <w:t xml:space="preserve">(Tas), the </w:t>
      </w:r>
      <w:r w:rsidR="00ED6EE8" w:rsidRPr="00154F1D">
        <w:rPr>
          <w:i/>
        </w:rPr>
        <w:t xml:space="preserve">Criminal Code </w:t>
      </w:r>
      <w:r w:rsidR="00ED6EE8" w:rsidRPr="00154F1D">
        <w:t xml:space="preserve">(Tas), the </w:t>
      </w:r>
      <w:r w:rsidR="00ED6EE8" w:rsidRPr="00154F1D">
        <w:rPr>
          <w:i/>
        </w:rPr>
        <w:t xml:space="preserve">Mental Health Act 2013 </w:t>
      </w:r>
      <w:r w:rsidR="00ED6EE8" w:rsidRPr="00154F1D">
        <w:t xml:space="preserve">(Tas) and the </w:t>
      </w:r>
      <w:r w:rsidR="00ED6EE8" w:rsidRPr="00154F1D">
        <w:rPr>
          <w:i/>
        </w:rPr>
        <w:t xml:space="preserve">Sentencing Act 1997 </w:t>
      </w:r>
      <w:r w:rsidR="00ED6EE8" w:rsidRPr="00154F1D">
        <w:t>(Tas).</w:t>
      </w:r>
    </w:p>
    <w:p w14:paraId="67A0411E" w14:textId="77777777" w:rsidR="00ED6EE8" w:rsidRPr="00154F1D" w:rsidRDefault="00ED6EE8" w:rsidP="00D962D4">
      <w:pPr>
        <w:pStyle w:val="NumberlessNormalText"/>
      </w:pPr>
      <w:r w:rsidRPr="00154F1D">
        <w:t>The key points of this Part are that:</w:t>
      </w:r>
    </w:p>
    <w:p w14:paraId="09EF0A6C" w14:textId="1DF4AEB9" w:rsidR="00ED6EE8" w:rsidRPr="00154F1D" w:rsidRDefault="00ED6EE8" w:rsidP="0074267A">
      <w:pPr>
        <w:pStyle w:val="NumberlessNormalText"/>
        <w:numPr>
          <w:ilvl w:val="0"/>
          <w:numId w:val="61"/>
        </w:numPr>
        <w:ind w:left="851" w:hanging="425"/>
      </w:pPr>
      <w:r w:rsidRPr="00154F1D">
        <w:t xml:space="preserve">a significant proportion of </w:t>
      </w:r>
      <w:r w:rsidR="00B17B01">
        <w:t>people</w:t>
      </w:r>
      <w:r w:rsidR="00184652" w:rsidRPr="00154F1D">
        <w:t xml:space="preserve"> </w:t>
      </w:r>
      <w:r w:rsidRPr="00154F1D">
        <w:t xml:space="preserve">have mental and/or cognitive impairments, </w:t>
      </w:r>
      <w:r w:rsidR="00517FF4" w:rsidRPr="00154F1D">
        <w:t>yet</w:t>
      </w:r>
      <w:r w:rsidRPr="00154F1D">
        <w:t xml:space="preserve"> only a small number of such </w:t>
      </w:r>
      <w:r w:rsidR="00B17B01">
        <w:t>individuals</w:t>
      </w:r>
      <w:r w:rsidR="00184652" w:rsidRPr="00154F1D">
        <w:t xml:space="preserve"> </w:t>
      </w:r>
      <w:r w:rsidRPr="00154F1D">
        <w:t>rely on unfitness to stand trial and/or the defence of insanity. Many more with mental and/or cognitive impairments do not rely on the unfitness procedure or the insanity defence and instead enter a plea of guilty and/or are found guilty following a trial.</w:t>
      </w:r>
    </w:p>
    <w:p w14:paraId="326F81A4" w14:textId="0A371083" w:rsidR="00ED6EE8" w:rsidRPr="00154F1D" w:rsidRDefault="00ED6EE8" w:rsidP="0074267A">
      <w:pPr>
        <w:pStyle w:val="NumberlessNormalText"/>
        <w:numPr>
          <w:ilvl w:val="0"/>
          <w:numId w:val="61"/>
        </w:numPr>
        <w:ind w:left="851" w:hanging="425"/>
      </w:pPr>
      <w:r w:rsidRPr="00154F1D">
        <w:t xml:space="preserve">although there may be an overlap in the conditions that give rise to a finding that </w:t>
      </w:r>
      <w:r w:rsidR="00184652">
        <w:t>a</w:t>
      </w:r>
      <w:r w:rsidR="00184652" w:rsidRPr="00154F1D">
        <w:t xml:space="preserve"> </w:t>
      </w:r>
      <w:r w:rsidR="00184652">
        <w:t>person</w:t>
      </w:r>
      <w:r w:rsidR="00184652" w:rsidRPr="00154F1D">
        <w:t xml:space="preserve"> </w:t>
      </w:r>
      <w:r w:rsidRPr="00154F1D">
        <w:t xml:space="preserve">is unfit to stand trial and a finding that </w:t>
      </w:r>
      <w:r w:rsidR="00184652">
        <w:t>a person</w:t>
      </w:r>
      <w:r w:rsidRPr="00154F1D">
        <w:t xml:space="preserve"> is not guilty by reason of insanity, the scope of their operation and their legal requirements are different.</w:t>
      </w:r>
    </w:p>
    <w:p w14:paraId="7ACD3117" w14:textId="51CDD990" w:rsidR="00ED6EE8" w:rsidRPr="00154F1D" w:rsidRDefault="00ED6EE8" w:rsidP="0074267A">
      <w:pPr>
        <w:pStyle w:val="NumberlessNormalText"/>
        <w:numPr>
          <w:ilvl w:val="0"/>
          <w:numId w:val="61"/>
        </w:numPr>
        <w:ind w:left="851" w:hanging="425"/>
      </w:pPr>
      <w:r w:rsidRPr="00154F1D">
        <w:rPr>
          <w:b/>
        </w:rPr>
        <w:t>fitness to stand trial</w:t>
      </w:r>
      <w:r w:rsidRPr="00154F1D">
        <w:t xml:space="preserve"> is a </w:t>
      </w:r>
      <w:r w:rsidRPr="00154F1D">
        <w:rPr>
          <w:i/>
        </w:rPr>
        <w:t>procedural</w:t>
      </w:r>
      <w:r w:rsidRPr="00154F1D">
        <w:t xml:space="preserve"> provision that relates to the issue of whether the accused has the ability to understand or participate in his or her trial. It is concerned with </w:t>
      </w:r>
      <w:r w:rsidR="003747BB">
        <w:t>a</w:t>
      </w:r>
      <w:r w:rsidR="00184652">
        <w:t xml:space="preserve"> person</w:t>
      </w:r>
      <w:r w:rsidRPr="00154F1D">
        <w:t xml:space="preserve">’s capacity at the </w:t>
      </w:r>
      <w:r w:rsidRPr="00154F1D">
        <w:rPr>
          <w:i/>
        </w:rPr>
        <w:t>time of the trial</w:t>
      </w:r>
      <w:r w:rsidRPr="00154F1D">
        <w:t>. It applies where a person’s mental processes are disordered or impaired</w:t>
      </w:r>
      <w:r w:rsidR="00B012B8" w:rsidRPr="00154F1D">
        <w:t>,</w:t>
      </w:r>
      <w:r w:rsidRPr="00154F1D">
        <w:t xml:space="preserve"> or </w:t>
      </w:r>
      <w:r w:rsidR="00B012B8" w:rsidRPr="00154F1D">
        <w:t xml:space="preserve">if </w:t>
      </w:r>
      <w:r w:rsidRPr="00154F1D">
        <w:t>for any other reason the person is unable to understand court processes and make a defence to the charge.</w:t>
      </w:r>
    </w:p>
    <w:p w14:paraId="2CE12842" w14:textId="2E2FFBAB" w:rsidR="00ED6EE8" w:rsidRPr="00154F1D" w:rsidRDefault="00ED6EE8" w:rsidP="0074267A">
      <w:pPr>
        <w:pStyle w:val="NumberlessNormalText"/>
        <w:numPr>
          <w:ilvl w:val="0"/>
          <w:numId w:val="61"/>
        </w:numPr>
        <w:ind w:left="851" w:hanging="425"/>
      </w:pPr>
      <w:r w:rsidRPr="00154F1D">
        <w:rPr>
          <w:b/>
        </w:rPr>
        <w:t>insanity</w:t>
      </w:r>
      <w:r w:rsidRPr="00154F1D">
        <w:t xml:space="preserve"> is a matter of </w:t>
      </w:r>
      <w:r w:rsidRPr="00154F1D">
        <w:rPr>
          <w:i/>
        </w:rPr>
        <w:t>substantive</w:t>
      </w:r>
      <w:r w:rsidRPr="00154F1D">
        <w:t xml:space="preserve"> </w:t>
      </w:r>
      <w:r w:rsidRPr="00154F1D">
        <w:rPr>
          <w:i/>
        </w:rPr>
        <w:t>law</w:t>
      </w:r>
      <w:r w:rsidRPr="00154F1D">
        <w:t xml:space="preserve"> involving the determination of a whether </w:t>
      </w:r>
      <w:r w:rsidR="00184652">
        <w:t>a</w:t>
      </w:r>
      <w:r w:rsidR="00184652" w:rsidRPr="00154F1D">
        <w:t xml:space="preserve"> </w:t>
      </w:r>
      <w:r w:rsidR="00184652">
        <w:t>person</w:t>
      </w:r>
      <w:r w:rsidR="00184652" w:rsidRPr="00154F1D">
        <w:t xml:space="preserve"> </w:t>
      </w:r>
      <w:r w:rsidRPr="00154F1D">
        <w:t xml:space="preserve">should not be held criminally responsible on the ground that he or she lacked the mental capacity to commit the offence. Insanity is concerned with an </w:t>
      </w:r>
      <w:r w:rsidR="00184652">
        <w:t>individual</w:t>
      </w:r>
      <w:r w:rsidR="00184652" w:rsidRPr="00154F1D">
        <w:t xml:space="preserve">’s </w:t>
      </w:r>
      <w:r w:rsidRPr="00154F1D">
        <w:t xml:space="preserve">capacity at the </w:t>
      </w:r>
      <w:r w:rsidRPr="00154F1D">
        <w:rPr>
          <w:i/>
        </w:rPr>
        <w:t>time of the offence</w:t>
      </w:r>
      <w:r w:rsidRPr="00154F1D">
        <w:t xml:space="preserve">. In order to rely on the insanity defence, the </w:t>
      </w:r>
      <w:r w:rsidR="00184652">
        <w:t>person</w:t>
      </w:r>
      <w:r w:rsidR="00184652" w:rsidRPr="00154F1D">
        <w:t xml:space="preserve"> </w:t>
      </w:r>
      <w:r w:rsidRPr="00154F1D">
        <w:t xml:space="preserve">must have a mental disease (which includes natural imbecility) such that </w:t>
      </w:r>
      <w:r w:rsidR="00517FF4" w:rsidRPr="00154F1D">
        <w:t>he or she</w:t>
      </w:r>
      <w:r w:rsidRPr="00154F1D">
        <w:t xml:space="preserve"> lacked the capacity to understand the physical character of the act or know that the act was one which he or she ought not do, or, by reason of the mental disease, the </w:t>
      </w:r>
      <w:r w:rsidR="008F0CC0">
        <w:t>person</w:t>
      </w:r>
      <w:r w:rsidR="008F0CC0" w:rsidRPr="00154F1D">
        <w:t xml:space="preserve"> </w:t>
      </w:r>
      <w:r w:rsidRPr="00154F1D">
        <w:t>was deprived of the power to resist an impulse.</w:t>
      </w:r>
    </w:p>
    <w:p w14:paraId="54D22AD7" w14:textId="2D11BE49" w:rsidR="00ED6EE8" w:rsidRPr="00154F1D" w:rsidRDefault="00ED6EE8" w:rsidP="0074267A">
      <w:pPr>
        <w:pStyle w:val="NumberlessNormalText"/>
        <w:numPr>
          <w:ilvl w:val="0"/>
          <w:numId w:val="61"/>
        </w:numPr>
        <w:ind w:left="851" w:hanging="425"/>
      </w:pPr>
      <w:r w:rsidRPr="00154F1D">
        <w:t xml:space="preserve">the principles that underlie the </w:t>
      </w:r>
      <w:r w:rsidRPr="00154F1D">
        <w:rPr>
          <w:i/>
        </w:rPr>
        <w:t xml:space="preserve">Criminal Justice (Mental Impairment) Act 1999 </w:t>
      </w:r>
      <w:r w:rsidRPr="00154F1D">
        <w:t xml:space="preserve">(Tas) are fairness to the accused and the right to a fair trial, the protection of the community and the recognition of the rights of mentally impaired </w:t>
      </w:r>
      <w:r w:rsidR="00184652">
        <w:t>individual</w:t>
      </w:r>
      <w:r w:rsidR="00184652" w:rsidRPr="00154F1D">
        <w:t xml:space="preserve">s </w:t>
      </w:r>
      <w:r w:rsidRPr="00154F1D">
        <w:t>consistent with the principles of least restriction.</w:t>
      </w:r>
    </w:p>
    <w:p w14:paraId="1DC26328" w14:textId="0F22E6AC" w:rsidR="00ED6EE8" w:rsidRPr="00154F1D" w:rsidRDefault="001B2F27" w:rsidP="0074267A">
      <w:pPr>
        <w:pStyle w:val="NumberlessNormalText"/>
        <w:numPr>
          <w:ilvl w:val="0"/>
          <w:numId w:val="61"/>
        </w:numPr>
        <w:ind w:left="851" w:hanging="425"/>
      </w:pPr>
      <w:r w:rsidRPr="00154F1D">
        <w:t xml:space="preserve">These principles are considered in light of the obligations that arise under international legal instruments to which Australia is a signatory including the </w:t>
      </w:r>
      <w:r w:rsidRPr="00154F1D">
        <w:rPr>
          <w:i/>
        </w:rPr>
        <w:t xml:space="preserve">International Covenant on Civil and Political Rights </w:t>
      </w:r>
      <w:r w:rsidRPr="00154F1D">
        <w:t>(</w:t>
      </w:r>
      <w:r w:rsidR="00A849A1">
        <w:t>‘</w:t>
      </w:r>
      <w:r w:rsidRPr="00A849A1">
        <w:rPr>
          <w:i/>
        </w:rPr>
        <w:t>ICCPR</w:t>
      </w:r>
      <w:r w:rsidR="00A849A1">
        <w:t>’</w:t>
      </w:r>
      <w:r w:rsidRPr="00154F1D">
        <w:t xml:space="preserve">), and the </w:t>
      </w:r>
      <w:r w:rsidRPr="00154F1D">
        <w:rPr>
          <w:i/>
        </w:rPr>
        <w:t>Convention on the Rights of Persons with Disabilities</w:t>
      </w:r>
      <w:r w:rsidRPr="00154F1D">
        <w:t xml:space="preserve"> (</w:t>
      </w:r>
      <w:r w:rsidR="00A849A1">
        <w:t>‘</w:t>
      </w:r>
      <w:r w:rsidRPr="00A849A1">
        <w:rPr>
          <w:i/>
        </w:rPr>
        <w:t>CRPD</w:t>
      </w:r>
      <w:r w:rsidR="00A849A1">
        <w:t>’</w:t>
      </w:r>
      <w:r w:rsidRPr="00154F1D">
        <w:t>)</w:t>
      </w:r>
      <w:r w:rsidR="00ED6EE8" w:rsidRPr="00154F1D">
        <w:t>.</w:t>
      </w:r>
    </w:p>
    <w:p w14:paraId="4562C255" w14:textId="039C5E41" w:rsidR="00ED6EE8" w:rsidRPr="00154F1D" w:rsidRDefault="00ED6EE8" w:rsidP="00ED6EE8">
      <w:pPr>
        <w:pStyle w:val="Sub-HeadingTLRI"/>
      </w:pPr>
      <w:bookmarkStart w:id="20" w:name="_Toc535856911"/>
      <w:bookmarkStart w:id="21" w:name="_Toc535868895"/>
      <w:r w:rsidRPr="00154F1D">
        <w:t>Part 3:</w:t>
      </w:r>
      <w:r w:rsidR="00581206" w:rsidRPr="00154F1D">
        <w:t xml:space="preserve"> Mental </w:t>
      </w:r>
      <w:r w:rsidR="000F3E91" w:rsidRPr="00154F1D">
        <w:t>H</w:t>
      </w:r>
      <w:r w:rsidR="00581206" w:rsidRPr="00154F1D">
        <w:t>ealth</w:t>
      </w:r>
      <w:r w:rsidR="00B40E1A">
        <w:t xml:space="preserve"> and </w:t>
      </w:r>
      <w:r w:rsidR="00581206" w:rsidRPr="00154F1D">
        <w:t>Cognitive Impairments</w:t>
      </w:r>
      <w:r w:rsidR="00E9320D" w:rsidRPr="00154F1D">
        <w:t xml:space="preserve"> and </w:t>
      </w:r>
      <w:r w:rsidR="00581206" w:rsidRPr="00154F1D">
        <w:t>the Criminal Justice System</w:t>
      </w:r>
      <w:bookmarkEnd w:id="20"/>
      <w:bookmarkEnd w:id="21"/>
    </w:p>
    <w:p w14:paraId="78C617AF" w14:textId="77777777" w:rsidR="00ED6EE8" w:rsidRPr="00154F1D" w:rsidRDefault="00ED6EE8" w:rsidP="00AB218F">
      <w:pPr>
        <w:pStyle w:val="NumberlessNormalText"/>
      </w:pPr>
      <w:r w:rsidRPr="00154F1D">
        <w:t>Part 3 provides an overview of mental illness and cognitive impairments and the criminal justice system.</w:t>
      </w:r>
    </w:p>
    <w:p w14:paraId="6287887D" w14:textId="77777777" w:rsidR="00ED6EE8" w:rsidRPr="00154F1D" w:rsidRDefault="00ED6EE8" w:rsidP="00523F7A">
      <w:pPr>
        <w:pStyle w:val="NumberlessNormalText"/>
      </w:pPr>
      <w:r w:rsidRPr="00154F1D">
        <w:t>Key points of this Part are that:</w:t>
      </w:r>
    </w:p>
    <w:p w14:paraId="048BFD41" w14:textId="24CEE4E9" w:rsidR="00ED6EE8" w:rsidRPr="00154F1D" w:rsidRDefault="00ED6EE8" w:rsidP="0074267A">
      <w:pPr>
        <w:pStyle w:val="NumberlessNormalText"/>
        <w:numPr>
          <w:ilvl w:val="0"/>
          <w:numId w:val="78"/>
        </w:numPr>
        <w:ind w:left="851" w:hanging="425"/>
      </w:pPr>
      <w:r w:rsidRPr="00154F1D">
        <w:t xml:space="preserve">Insanity and fitness to stand trial apply to only a small number of </w:t>
      </w:r>
      <w:r w:rsidR="00184652">
        <w:t xml:space="preserve">people </w:t>
      </w:r>
      <w:r w:rsidRPr="00154F1D">
        <w:t xml:space="preserve">compared to the number of </w:t>
      </w:r>
      <w:r w:rsidR="00184652">
        <w:t>individual</w:t>
      </w:r>
      <w:r w:rsidR="00184652" w:rsidRPr="00154F1D">
        <w:t xml:space="preserve">s </w:t>
      </w:r>
      <w:r w:rsidRPr="00154F1D">
        <w:t>with mental health and cognitive impairments overall who are involved in the criminal justice system.</w:t>
      </w:r>
    </w:p>
    <w:p w14:paraId="097F51ED" w14:textId="0162729F" w:rsidR="00ED6EE8" w:rsidRPr="00154F1D" w:rsidRDefault="00184652" w:rsidP="0074267A">
      <w:pPr>
        <w:pStyle w:val="NumberlessNormalText"/>
        <w:numPr>
          <w:ilvl w:val="0"/>
          <w:numId w:val="78"/>
        </w:numPr>
        <w:ind w:left="851" w:hanging="425"/>
      </w:pPr>
      <w:r>
        <w:t>Individual</w:t>
      </w:r>
      <w:r w:rsidRPr="00154F1D">
        <w:t xml:space="preserve">s </w:t>
      </w:r>
      <w:r w:rsidR="00ED6EE8" w:rsidRPr="00154F1D">
        <w:t>with mental health or cognitive impairment</w:t>
      </w:r>
      <w:r w:rsidR="00517FF4" w:rsidRPr="00154F1D">
        <w:t>s</w:t>
      </w:r>
      <w:r w:rsidR="00ED6EE8" w:rsidRPr="00154F1D">
        <w:t xml:space="preserve"> may not rely on the process of fitness to stand trial and/or on the insanity defence but may proceed through the usual criminal justice process. This is a clear alternative and the possible sentence received (if found guilty) compared to the consequences of a finding of unfitness or insanity are likely to weigh into the decision-making process.</w:t>
      </w:r>
    </w:p>
    <w:p w14:paraId="7476A41F" w14:textId="047D0F7B" w:rsidR="00ED6EE8" w:rsidRPr="00154F1D" w:rsidRDefault="00ED6EE8" w:rsidP="0074267A">
      <w:pPr>
        <w:pStyle w:val="NumberlessNormalText"/>
        <w:numPr>
          <w:ilvl w:val="0"/>
          <w:numId w:val="78"/>
        </w:numPr>
        <w:ind w:left="851" w:hanging="425"/>
      </w:pPr>
      <w:r w:rsidRPr="00154F1D">
        <w:t>An offender’s mental or cognitive impairment is relevant to the sentencing process in at least six ways, including reducing moral culpability, influencing the kind of sentence that should be imposed, in relation to general and specific deterrence, the nature of a proportionate sentence and the risk of imprisonment.</w:t>
      </w:r>
      <w:r w:rsidR="00C315AC" w:rsidRPr="00154F1D">
        <w:t xml:space="preserve"> In addition, in some circumstances, the nature of an offender’s condition may lead to a heavier sentence in view of the need to place greater emphasis on community protection.</w:t>
      </w:r>
    </w:p>
    <w:p w14:paraId="06832DDB" w14:textId="133A249C" w:rsidR="00ED6EE8" w:rsidRPr="00154F1D" w:rsidRDefault="00ED6EE8" w:rsidP="00ED6EE8">
      <w:pPr>
        <w:pStyle w:val="Sub-HeadingTLRI"/>
      </w:pPr>
      <w:bookmarkStart w:id="22" w:name="_Toc535856912"/>
      <w:bookmarkStart w:id="23" w:name="_Toc535868896"/>
      <w:r w:rsidRPr="00154F1D">
        <w:t>Part 4</w:t>
      </w:r>
      <w:r w:rsidR="00581206" w:rsidRPr="00154F1D">
        <w:t>: Unfitness to Stand Trial: The Test</w:t>
      </w:r>
      <w:bookmarkEnd w:id="22"/>
      <w:bookmarkEnd w:id="23"/>
    </w:p>
    <w:p w14:paraId="7182CFF2" w14:textId="77777777" w:rsidR="00ED6EE8" w:rsidRPr="00154F1D" w:rsidRDefault="00ED6EE8" w:rsidP="00523F7A">
      <w:pPr>
        <w:pStyle w:val="NumberlessNormalText"/>
        <w:rPr>
          <w:lang w:val="en-US" w:eastAsia="ja-JP"/>
        </w:rPr>
      </w:pPr>
      <w:r w:rsidRPr="00154F1D">
        <w:t xml:space="preserve">Part 4 </w:t>
      </w:r>
      <w:r w:rsidRPr="00154F1D">
        <w:rPr>
          <w:lang w:val="en-US" w:eastAsia="ja-JP"/>
        </w:rPr>
        <w:t>sets out the current test for determining unfitness to stand trial in Tasmania and considers the law in other jurisdictions and options for reforming the test.</w:t>
      </w:r>
    </w:p>
    <w:p w14:paraId="42706941" w14:textId="77777777" w:rsidR="00ED6EE8" w:rsidRPr="00154F1D" w:rsidRDefault="00ED6EE8" w:rsidP="00523F7A">
      <w:pPr>
        <w:pStyle w:val="NumberlessNormalText"/>
        <w:rPr>
          <w:lang w:val="en-US" w:eastAsia="ja-JP"/>
        </w:rPr>
      </w:pPr>
      <w:r w:rsidRPr="00154F1D">
        <w:rPr>
          <w:lang w:val="en-US" w:eastAsia="ja-JP"/>
        </w:rPr>
        <w:t>Key points of this Part are that:</w:t>
      </w:r>
    </w:p>
    <w:p w14:paraId="6D82C3A5" w14:textId="77777777" w:rsidR="00ED6EE8" w:rsidRPr="00154F1D" w:rsidRDefault="00ED6EE8" w:rsidP="0074267A">
      <w:pPr>
        <w:pStyle w:val="NumberlessNormalText"/>
        <w:numPr>
          <w:ilvl w:val="0"/>
          <w:numId w:val="79"/>
        </w:numPr>
        <w:ind w:left="851" w:hanging="425"/>
      </w:pPr>
      <w:r w:rsidRPr="00154F1D">
        <w:t xml:space="preserve">The </w:t>
      </w:r>
      <w:r w:rsidRPr="00154F1D">
        <w:rPr>
          <w:i/>
        </w:rPr>
        <w:t>Criminal Justice Mental Impairment Act 1999</w:t>
      </w:r>
      <w:r w:rsidRPr="00154F1D">
        <w:t xml:space="preserve"> (Tas), s 8 sets out the test to determine if a person is unfit to stand trial. This is based on the common law criteria set out in the Victorian case of </w:t>
      </w:r>
      <w:r w:rsidRPr="00154F1D">
        <w:rPr>
          <w:i/>
        </w:rPr>
        <w:t>R v Presser</w:t>
      </w:r>
      <w:r w:rsidRPr="00154F1D">
        <w:t>.</w:t>
      </w:r>
      <w:r w:rsidRPr="00154F1D">
        <w:rPr>
          <w:rStyle w:val="FootnoteReference"/>
        </w:rPr>
        <w:footnoteReference w:id="1"/>
      </w:r>
      <w:r w:rsidRPr="00154F1D">
        <w:t xml:space="preserve"> In Tasmania, a person is unfit to stand trial for an offence if, because the person’s mental processes are disordered or impaired or for any other reason, the person is –</w:t>
      </w:r>
    </w:p>
    <w:p w14:paraId="4C987366" w14:textId="77777777" w:rsidR="00ED6EE8" w:rsidRPr="00154F1D" w:rsidRDefault="00ED6EE8" w:rsidP="00F23B97">
      <w:pPr>
        <w:pStyle w:val="QuoteTLRI"/>
        <w:numPr>
          <w:ilvl w:val="0"/>
          <w:numId w:val="10"/>
        </w:numPr>
      </w:pPr>
      <w:r w:rsidRPr="00154F1D">
        <w:t>unable to understand the nature of the charge; or</w:t>
      </w:r>
    </w:p>
    <w:p w14:paraId="0F8FDD9C" w14:textId="77777777" w:rsidR="00ED6EE8" w:rsidRPr="00154F1D" w:rsidRDefault="00ED6EE8" w:rsidP="00F23B97">
      <w:pPr>
        <w:pStyle w:val="QuoteTLRI"/>
        <w:numPr>
          <w:ilvl w:val="0"/>
          <w:numId w:val="10"/>
        </w:numPr>
      </w:pPr>
      <w:r w:rsidRPr="00154F1D">
        <w:t xml:space="preserve">unable to plead to the charge or to exercise the right of challenge; or </w:t>
      </w:r>
    </w:p>
    <w:p w14:paraId="1D355D13" w14:textId="77777777" w:rsidR="00ED6EE8" w:rsidRPr="00154F1D" w:rsidRDefault="00ED6EE8" w:rsidP="00F23B97">
      <w:pPr>
        <w:pStyle w:val="QuoteTLRI"/>
        <w:numPr>
          <w:ilvl w:val="0"/>
          <w:numId w:val="10"/>
        </w:numPr>
      </w:pPr>
      <w:r w:rsidRPr="00154F1D">
        <w:t>unable to understand the nature of the proceedings; or</w:t>
      </w:r>
    </w:p>
    <w:p w14:paraId="23406C9C" w14:textId="77777777" w:rsidR="00ED6EE8" w:rsidRPr="00154F1D" w:rsidRDefault="00ED6EE8" w:rsidP="00F23B97">
      <w:pPr>
        <w:pStyle w:val="QuoteTLRI"/>
        <w:numPr>
          <w:ilvl w:val="0"/>
          <w:numId w:val="10"/>
        </w:numPr>
      </w:pPr>
      <w:r w:rsidRPr="00154F1D">
        <w:t xml:space="preserve">unable to follow the course of the proceedings; or </w:t>
      </w:r>
    </w:p>
    <w:p w14:paraId="799353D1" w14:textId="77777777" w:rsidR="00ED6EE8" w:rsidRPr="00154F1D" w:rsidRDefault="00ED6EE8" w:rsidP="00F23B97">
      <w:pPr>
        <w:pStyle w:val="QuoteTLRI"/>
        <w:numPr>
          <w:ilvl w:val="0"/>
          <w:numId w:val="10"/>
        </w:numPr>
      </w:pPr>
      <w:r w:rsidRPr="00154F1D">
        <w:t>unable to make a defence.</w:t>
      </w:r>
    </w:p>
    <w:p w14:paraId="24036D24" w14:textId="392A1D39" w:rsidR="00ED6EE8" w:rsidRPr="00154F1D" w:rsidRDefault="00ED6EE8" w:rsidP="0074267A">
      <w:pPr>
        <w:pStyle w:val="NumberlessNormalText"/>
        <w:numPr>
          <w:ilvl w:val="0"/>
          <w:numId w:val="79"/>
        </w:numPr>
        <w:ind w:left="851" w:hanging="425"/>
      </w:pPr>
      <w:r w:rsidRPr="00154F1D">
        <w:t xml:space="preserve">All Australian jurisdictions have legislation dealing with fitness to stand trial, and, although there are some variations, the criteria are broadly similar to the </w:t>
      </w:r>
      <w:r w:rsidRPr="00154F1D">
        <w:rPr>
          <w:i/>
        </w:rPr>
        <w:t>Presser</w:t>
      </w:r>
      <w:r w:rsidRPr="00154F1D">
        <w:t xml:space="preserve"> criteria. This is also the approach in England</w:t>
      </w:r>
      <w:r w:rsidR="00842B18" w:rsidRPr="00154F1D">
        <w:t xml:space="preserve">, </w:t>
      </w:r>
      <w:r w:rsidRPr="00154F1D">
        <w:t xml:space="preserve">Wales and New Zealand. The test concerns cognitive capacity. However, South Australia has introduced a requirement of rationality in relation to a person’s ability to respond to the charges or give instructions. </w:t>
      </w:r>
    </w:p>
    <w:p w14:paraId="327ECD6E" w14:textId="1C32ED39" w:rsidR="00ED6EE8" w:rsidRPr="00154F1D" w:rsidRDefault="00ED6EE8" w:rsidP="0074267A">
      <w:pPr>
        <w:pStyle w:val="NumberlessNormalText"/>
        <w:numPr>
          <w:ilvl w:val="0"/>
          <w:numId w:val="79"/>
        </w:numPr>
        <w:ind w:left="851" w:hanging="425"/>
      </w:pPr>
      <w:r w:rsidRPr="00154F1D">
        <w:t xml:space="preserve">Some commentators have argued that fitness to stand trial should be abolished in order to accord with the requirements of the </w:t>
      </w:r>
      <w:r w:rsidRPr="00154F1D">
        <w:rPr>
          <w:i/>
        </w:rPr>
        <w:t>CRPD</w:t>
      </w:r>
      <w:r w:rsidRPr="00154F1D">
        <w:t>.</w:t>
      </w:r>
    </w:p>
    <w:p w14:paraId="459BB626" w14:textId="4288C861" w:rsidR="00ED6EE8" w:rsidRPr="00154F1D" w:rsidRDefault="00ED6EE8" w:rsidP="0074267A">
      <w:pPr>
        <w:pStyle w:val="NumberlessNormalText"/>
        <w:numPr>
          <w:ilvl w:val="0"/>
          <w:numId w:val="79"/>
        </w:numPr>
        <w:ind w:left="851" w:hanging="425"/>
      </w:pPr>
      <w:r w:rsidRPr="00154F1D">
        <w:t xml:space="preserve">In many jurisdictions, consideration has been given by law reform bodies to concerns about the legal criteria used for assessing an </w:t>
      </w:r>
      <w:r w:rsidR="00184652">
        <w:t>individual</w:t>
      </w:r>
      <w:r w:rsidR="00184652" w:rsidRPr="00154F1D">
        <w:t xml:space="preserve">’s </w:t>
      </w:r>
      <w:r w:rsidRPr="00154F1D">
        <w:t>fitness to stand trial</w:t>
      </w:r>
      <w:r w:rsidR="00FF108F">
        <w:t>,</w:t>
      </w:r>
      <w:r w:rsidRPr="00154F1D">
        <w:t xml:space="preserve"> and </w:t>
      </w:r>
      <w:r w:rsidR="00E9320D" w:rsidRPr="00154F1D">
        <w:t>it has been suggested that the test for fitness to stand trial be reformed</w:t>
      </w:r>
      <w:r w:rsidRPr="00154F1D">
        <w:t>.</w:t>
      </w:r>
    </w:p>
    <w:p w14:paraId="01A7AAB2" w14:textId="154BDC4A" w:rsidR="00ED6EE8" w:rsidRPr="00154F1D" w:rsidRDefault="00ED6EE8" w:rsidP="0074267A">
      <w:pPr>
        <w:pStyle w:val="NumberlessNormalText"/>
        <w:numPr>
          <w:ilvl w:val="0"/>
          <w:numId w:val="79"/>
        </w:numPr>
        <w:ind w:left="851" w:hanging="425"/>
      </w:pPr>
      <w:r w:rsidRPr="00154F1D">
        <w:t xml:space="preserve">It has been argued that the test is </w:t>
      </w:r>
      <w:r w:rsidRPr="00154F1D">
        <w:rPr>
          <w:i/>
        </w:rPr>
        <w:t>under-inclusive</w:t>
      </w:r>
      <w:r w:rsidRPr="00154F1D">
        <w:t xml:space="preserve"> (in other words, that it is too difficult to establish unfitness to stand trial). Key criticisms are that: (1) by focusing on intellectual ability, </w:t>
      </w:r>
      <w:r w:rsidR="00A50A7D" w:rsidRPr="00154F1D">
        <w:t xml:space="preserve">the test </w:t>
      </w:r>
      <w:r w:rsidRPr="00154F1D">
        <w:t xml:space="preserve">generally sets too high a threshold for unfitness and is inconsistent with the modern trial process. There is undue emphasis on a person’s intellectual ability and too little focus on a person’s decision-making ability; (2) </w:t>
      </w:r>
      <w:r w:rsidR="00A50A7D" w:rsidRPr="00154F1D">
        <w:t xml:space="preserve">the test </w:t>
      </w:r>
      <w:r w:rsidRPr="00154F1D">
        <w:t xml:space="preserve">is difficult to apply to </w:t>
      </w:r>
      <w:r w:rsidR="00184652">
        <w:t>people</w:t>
      </w:r>
      <w:r w:rsidR="00184652" w:rsidRPr="00154F1D">
        <w:t xml:space="preserve"> </w:t>
      </w:r>
      <w:r w:rsidRPr="00154F1D">
        <w:t xml:space="preserve">with mental illness because the criteria were not designed for them; (3) a defendant may not be unfit to stand trial even where the court takes the view that he or she is incapable of making decisions </w:t>
      </w:r>
      <w:r w:rsidR="00A50A7D" w:rsidRPr="00154F1D">
        <w:t xml:space="preserve">that are </w:t>
      </w:r>
      <w:r w:rsidRPr="00154F1D">
        <w:t>in his or her own interests.</w:t>
      </w:r>
    </w:p>
    <w:p w14:paraId="184C2ECE" w14:textId="547B2815" w:rsidR="00ED6EE8" w:rsidRPr="00154F1D" w:rsidRDefault="00ED6EE8" w:rsidP="0074267A">
      <w:pPr>
        <w:pStyle w:val="NumberlessNormalText"/>
        <w:numPr>
          <w:ilvl w:val="0"/>
          <w:numId w:val="79"/>
        </w:numPr>
        <w:ind w:left="851" w:hanging="425"/>
      </w:pPr>
      <w:r w:rsidRPr="00154F1D">
        <w:t>In other jurisdictions, recommendations for reform have included replacing the current test with a test of decision</w:t>
      </w:r>
      <w:r w:rsidR="00BE7A6F">
        <w:t>-</w:t>
      </w:r>
      <w:r w:rsidRPr="00154F1D">
        <w:t>making capacity that focuses on an assessment of the defendant’s capacity to participate effectively in a trial. This reform would adopt a ‘process’ or ‘functional’ approach (focusing on the decision-making processes of the accused) rather than an ‘outcome’ or ‘status’ approach (focusing on the rationality of the decision).</w:t>
      </w:r>
    </w:p>
    <w:p w14:paraId="3DAC5AE5" w14:textId="77777777" w:rsidR="00ED6EE8" w:rsidRPr="00154F1D" w:rsidRDefault="00ED6EE8" w:rsidP="0074267A">
      <w:pPr>
        <w:pStyle w:val="NumberlessNormalText"/>
        <w:numPr>
          <w:ilvl w:val="0"/>
          <w:numId w:val="79"/>
        </w:numPr>
        <w:ind w:left="851" w:hanging="425"/>
      </w:pPr>
      <w:r w:rsidRPr="00154F1D">
        <w:t>Other reform proposals have sought to address the deficiencies of the current test by specifically incorporating a requirement for rationality.</w:t>
      </w:r>
    </w:p>
    <w:p w14:paraId="1827E22A" w14:textId="7D9A1F56" w:rsidR="00ED6EE8" w:rsidRPr="00154F1D" w:rsidRDefault="00ED6EE8" w:rsidP="0074267A">
      <w:pPr>
        <w:pStyle w:val="NumberlessNormalText"/>
        <w:numPr>
          <w:ilvl w:val="0"/>
          <w:numId w:val="79"/>
        </w:numPr>
        <w:ind w:left="851" w:hanging="425"/>
      </w:pPr>
      <w:r w:rsidRPr="00154F1D">
        <w:t xml:space="preserve">Another option for reform </w:t>
      </w:r>
      <w:r w:rsidR="00A50A7D" w:rsidRPr="00154F1D">
        <w:t>is</w:t>
      </w:r>
      <w:r w:rsidRPr="00154F1D">
        <w:t xml:space="preserve"> to identify additional criteria relevant to the assessment of fitness to stand trial. At the core of the recent reviews of the test of fitness to stand trial is the </w:t>
      </w:r>
      <w:r w:rsidR="00E9320D" w:rsidRPr="00154F1D">
        <w:t xml:space="preserve">desire </w:t>
      </w:r>
      <w:r w:rsidRPr="00154F1D">
        <w:t>to ensure that the criteria governing the assessment reflect a need for an accused to be ‘able to make “true choices” concerning the crucial decisions in the trial that are not substantially prejudiced by their mental condition</w:t>
      </w:r>
      <w:r w:rsidR="00BE7A6F" w:rsidRPr="00154F1D">
        <w:t>.</w:t>
      </w:r>
      <w:r w:rsidRPr="00154F1D">
        <w:t>’</w:t>
      </w:r>
    </w:p>
    <w:p w14:paraId="4D1C34AE" w14:textId="7F173D4F" w:rsidR="00ED6EE8" w:rsidRPr="00154F1D" w:rsidRDefault="00ED6EE8" w:rsidP="0074267A">
      <w:pPr>
        <w:pStyle w:val="NumberlessNormalText"/>
        <w:numPr>
          <w:ilvl w:val="0"/>
          <w:numId w:val="79"/>
        </w:numPr>
        <w:ind w:left="851" w:hanging="425"/>
      </w:pPr>
      <w:r w:rsidRPr="00154F1D">
        <w:t>Other reforms</w:t>
      </w:r>
      <w:r w:rsidR="00E9320D" w:rsidRPr="00154F1D">
        <w:t xml:space="preserve"> that have been proposed</w:t>
      </w:r>
      <w:r w:rsidRPr="00154F1D">
        <w:t xml:space="preserve"> have been based on an argument that the test is </w:t>
      </w:r>
      <w:r w:rsidRPr="00154F1D">
        <w:rPr>
          <w:i/>
        </w:rPr>
        <w:t>over-inclusive</w:t>
      </w:r>
      <w:r w:rsidRPr="00154F1D">
        <w:t xml:space="preserve"> and sets the bar too low for some </w:t>
      </w:r>
      <w:r w:rsidR="00184652">
        <w:t>individual</w:t>
      </w:r>
      <w:r w:rsidR="00184652" w:rsidRPr="00154F1D">
        <w:t>s</w:t>
      </w:r>
      <w:r w:rsidRPr="00154F1D">
        <w:t>. This criticism is made on the basis that the test fails to take into account whether supports or accommodations within the trial process could be used to help the accused to be fit to stand trial.</w:t>
      </w:r>
    </w:p>
    <w:p w14:paraId="4E1DE5BB" w14:textId="5273AF99" w:rsidR="00ED6EE8" w:rsidRPr="00154F1D" w:rsidRDefault="00ED6EE8" w:rsidP="0074267A">
      <w:pPr>
        <w:pStyle w:val="NumberlessNormalText"/>
        <w:numPr>
          <w:ilvl w:val="0"/>
          <w:numId w:val="79"/>
        </w:numPr>
        <w:ind w:left="851" w:hanging="425"/>
      </w:pPr>
      <w:r w:rsidRPr="00154F1D">
        <w:t xml:space="preserve">A related issue is whether the test for determining fitness should be adapted in cases where an </w:t>
      </w:r>
      <w:r w:rsidR="00184652">
        <w:t>individual</w:t>
      </w:r>
      <w:r w:rsidR="00184652" w:rsidRPr="00154F1D">
        <w:t xml:space="preserve"> </w:t>
      </w:r>
      <w:r w:rsidRPr="00154F1D">
        <w:t>wishes to plead guilty. This question has been considered in several reviews of the law on the basis that a person may be able to understand the nature of the charge and may be able to enter a plea to the charge but may not be able to understand more complex aspects of the trial process.</w:t>
      </w:r>
    </w:p>
    <w:p w14:paraId="6C030DB3" w14:textId="6177210F" w:rsidR="00ED6EE8" w:rsidRPr="00154F1D" w:rsidRDefault="00ED6EE8" w:rsidP="0074267A">
      <w:pPr>
        <w:pStyle w:val="NumberlessNormalText"/>
        <w:numPr>
          <w:ilvl w:val="0"/>
          <w:numId w:val="79"/>
        </w:numPr>
        <w:ind w:left="851" w:hanging="425"/>
      </w:pPr>
      <w:r w:rsidRPr="00154F1D">
        <w:t xml:space="preserve">In the Tasmanian context, it is noted that allowing an </w:t>
      </w:r>
      <w:r w:rsidR="00184652">
        <w:t>accused</w:t>
      </w:r>
      <w:r w:rsidR="00184652" w:rsidRPr="00154F1D">
        <w:t xml:space="preserve"> </w:t>
      </w:r>
      <w:r w:rsidRPr="00154F1D">
        <w:t xml:space="preserve">to enter a plea of guilty does not necessarily allow </w:t>
      </w:r>
      <w:r w:rsidR="00A914D4" w:rsidRPr="00154F1D">
        <w:t xml:space="preserve">the </w:t>
      </w:r>
      <w:r w:rsidR="00184652">
        <w:t>person</w:t>
      </w:r>
      <w:r w:rsidR="00184652" w:rsidRPr="00154F1D">
        <w:t xml:space="preserve"> </w:t>
      </w:r>
      <w:r w:rsidRPr="00154F1D">
        <w:t xml:space="preserve">to avoid the consequences of being found unfit to stand trial. </w:t>
      </w:r>
      <w:r w:rsidR="00581206" w:rsidRPr="00154F1D">
        <w:t>U</w:t>
      </w:r>
      <w:r w:rsidRPr="00154F1D">
        <w:t xml:space="preserve">nder the </w:t>
      </w:r>
      <w:r w:rsidRPr="00154F1D">
        <w:rPr>
          <w:i/>
        </w:rPr>
        <w:t xml:space="preserve">Sentencing Act 1997 </w:t>
      </w:r>
      <w:r w:rsidRPr="00154F1D">
        <w:t>(Tas), an offender who is found guilty may still be sentenced to a restriction order or a supervision order.</w:t>
      </w:r>
    </w:p>
    <w:p w14:paraId="4C3172E7" w14:textId="23FEB6B0" w:rsidR="00ED6EE8" w:rsidRPr="00154F1D" w:rsidRDefault="00ED6EE8" w:rsidP="00ED6EE8">
      <w:pPr>
        <w:pStyle w:val="Sub-HeadingTLRI"/>
        <w:rPr>
          <w:lang w:val="en-US" w:eastAsia="ja-JP"/>
        </w:rPr>
      </w:pPr>
      <w:bookmarkStart w:id="24" w:name="_Toc535856913"/>
      <w:bookmarkStart w:id="25" w:name="_Toc535868897"/>
      <w:r w:rsidRPr="00154F1D">
        <w:rPr>
          <w:lang w:val="en-US" w:eastAsia="ja-JP"/>
        </w:rPr>
        <w:t>Part 5</w:t>
      </w:r>
      <w:r w:rsidR="00581206" w:rsidRPr="00154F1D">
        <w:rPr>
          <w:lang w:val="en-US" w:eastAsia="ja-JP"/>
        </w:rPr>
        <w:t xml:space="preserve">: </w:t>
      </w:r>
      <w:r w:rsidR="00581206" w:rsidRPr="00154F1D">
        <w:t>Unfitness to Stand Trial: Procedure to Determine Unfitness to Stand Trial</w:t>
      </w:r>
      <w:bookmarkEnd w:id="24"/>
      <w:bookmarkEnd w:id="25"/>
    </w:p>
    <w:p w14:paraId="2011F0E5" w14:textId="77777777" w:rsidR="00ED6EE8" w:rsidRPr="00154F1D" w:rsidRDefault="00ED6EE8" w:rsidP="008C5066">
      <w:pPr>
        <w:pStyle w:val="NumberlessNormalText"/>
      </w:pPr>
      <w:r w:rsidRPr="00154F1D">
        <w:rPr>
          <w:lang w:val="en-US" w:eastAsia="ja-JP"/>
        </w:rPr>
        <w:t xml:space="preserve">Part 5 </w:t>
      </w:r>
      <w:r w:rsidRPr="00154F1D">
        <w:t>sets out the current Tasmanian procedure to determine unfitness to stand trial, the position in other jurisdictions and options available to reform the current procedure.</w:t>
      </w:r>
    </w:p>
    <w:p w14:paraId="6B534706" w14:textId="3DE1546A" w:rsidR="00ED6EE8" w:rsidRPr="00154F1D" w:rsidRDefault="00ED6EE8" w:rsidP="008C5066">
      <w:pPr>
        <w:pStyle w:val="NumberlessNormalText"/>
      </w:pPr>
      <w:r w:rsidRPr="00154F1D">
        <w:t xml:space="preserve">Key points </w:t>
      </w:r>
      <w:r w:rsidR="005278E5" w:rsidRPr="00154F1D">
        <w:t>of</w:t>
      </w:r>
      <w:r w:rsidRPr="00154F1D">
        <w:t xml:space="preserve"> this Part are that:</w:t>
      </w:r>
    </w:p>
    <w:p w14:paraId="74D8961B" w14:textId="6869E7D9" w:rsidR="00ED6EE8" w:rsidRPr="00154F1D" w:rsidRDefault="00ED6EE8" w:rsidP="00F91782">
      <w:pPr>
        <w:pStyle w:val="NumberlessNormalText"/>
        <w:numPr>
          <w:ilvl w:val="0"/>
          <w:numId w:val="80"/>
        </w:numPr>
        <w:ind w:left="851" w:hanging="425"/>
      </w:pPr>
      <w:r w:rsidRPr="00154F1D">
        <w:t>In Tasmania, the same procedure applies in relation to fitness to stand trial and insanity regardless of whether th</w:t>
      </w:r>
      <w:r w:rsidR="00842B18" w:rsidRPr="00154F1D">
        <w:t>e</w:t>
      </w:r>
      <w:r w:rsidRPr="00154F1D">
        <w:t xml:space="preserve"> matter is an indictable offence heard in the Supreme Court or a summary offence dealt with in the Magistrates Court. The only difference is that the magistrate</w:t>
      </w:r>
      <w:r w:rsidR="008C5066" w:rsidRPr="00154F1D">
        <w:t>,</w:t>
      </w:r>
      <w:r w:rsidRPr="00154F1D">
        <w:t xml:space="preserve"> </w:t>
      </w:r>
      <w:r w:rsidR="008C5066" w:rsidRPr="00154F1D">
        <w:t xml:space="preserve">rather than a jury, </w:t>
      </w:r>
      <w:r w:rsidRPr="00154F1D">
        <w:t xml:space="preserve">makes decisions in relation to fitness and </w:t>
      </w:r>
      <w:r w:rsidR="008C5066" w:rsidRPr="00154F1D">
        <w:t xml:space="preserve">other relevant </w:t>
      </w:r>
      <w:r w:rsidRPr="00154F1D">
        <w:t>findings at a special hearing.</w:t>
      </w:r>
    </w:p>
    <w:p w14:paraId="34037D6D" w14:textId="77777777" w:rsidR="00ED6EE8" w:rsidRPr="00154F1D" w:rsidRDefault="00ED6EE8" w:rsidP="00F91782">
      <w:pPr>
        <w:pStyle w:val="NumberlessNormalText"/>
        <w:numPr>
          <w:ilvl w:val="0"/>
          <w:numId w:val="80"/>
        </w:numPr>
        <w:ind w:left="851" w:hanging="425"/>
      </w:pPr>
      <w:r w:rsidRPr="00154F1D">
        <w:t>The question whether a person is unfit to stand trial is a question of fact. It is determined in the Supreme Court by a jury and by a magistrate in the Magistrates Court. However, there is no need to conduct an investigation (by a jury or a magistrate) if the prosecutor and defendant agree and the court may record a finding that the defendant is unfit to stand trial.</w:t>
      </w:r>
    </w:p>
    <w:p w14:paraId="04EF7C91" w14:textId="69B05B86" w:rsidR="00ED6EE8" w:rsidRPr="00154F1D" w:rsidRDefault="00ED6EE8" w:rsidP="00F91782">
      <w:pPr>
        <w:pStyle w:val="NumberlessNormalText"/>
        <w:numPr>
          <w:ilvl w:val="0"/>
          <w:numId w:val="80"/>
        </w:numPr>
        <w:ind w:left="851" w:hanging="425"/>
      </w:pPr>
      <w:r w:rsidRPr="00154F1D">
        <w:t xml:space="preserve">In contrast, in some jurisdictions the judge makes the determination of whether an </w:t>
      </w:r>
      <w:r w:rsidR="00184652">
        <w:t>accused</w:t>
      </w:r>
      <w:r w:rsidR="00184652" w:rsidRPr="00154F1D">
        <w:t xml:space="preserve"> </w:t>
      </w:r>
      <w:r w:rsidRPr="00154F1D">
        <w:t>is fit to stand trial for matters in the higher courts. This could be an option for reform in Tasmania.</w:t>
      </w:r>
    </w:p>
    <w:p w14:paraId="728A8277" w14:textId="0A754273" w:rsidR="00ED6EE8" w:rsidRPr="00154F1D" w:rsidRDefault="00ED6EE8" w:rsidP="00F91782">
      <w:pPr>
        <w:pStyle w:val="NumberlessNormalText"/>
        <w:numPr>
          <w:ilvl w:val="0"/>
          <w:numId w:val="80"/>
        </w:numPr>
        <w:ind w:left="851" w:hanging="425"/>
      </w:pPr>
      <w:r w:rsidRPr="00154F1D">
        <w:t xml:space="preserve">In other jurisdictions, there are different approaches to fitness to stand trial in lower courts. An option for reform in Tasmania would be to amend the </w:t>
      </w:r>
      <w:r w:rsidRPr="00154F1D">
        <w:rPr>
          <w:i/>
        </w:rPr>
        <w:t xml:space="preserve">Criminal Justice (Mental Impairment) Act 1999 </w:t>
      </w:r>
      <w:r w:rsidRPr="00154F1D">
        <w:t xml:space="preserve">(Tas) to provide for greater flexibility to allow the magistrate to dispose of a matter in a timelier manner in circumstances where it appears that an </w:t>
      </w:r>
      <w:r w:rsidR="00184652">
        <w:t>accused</w:t>
      </w:r>
      <w:r w:rsidR="00184652" w:rsidRPr="00154F1D">
        <w:t xml:space="preserve"> </w:t>
      </w:r>
      <w:r w:rsidRPr="00154F1D">
        <w:t xml:space="preserve">is unfit for trial. This reform would mean that the magistrate could make an assessment of whether it appears that an accused is unfit to stand trial (and/or has a defence of insanity) and then discharge the </w:t>
      </w:r>
      <w:r w:rsidR="00184652">
        <w:t>person</w:t>
      </w:r>
      <w:r w:rsidR="00184652" w:rsidRPr="00154F1D">
        <w:t xml:space="preserve"> </w:t>
      </w:r>
      <w:r w:rsidRPr="00154F1D">
        <w:t>and divert the</w:t>
      </w:r>
      <w:r w:rsidR="00184652">
        <w:t>m</w:t>
      </w:r>
      <w:r w:rsidRPr="00154F1D">
        <w:t xml:space="preserve"> from the </w:t>
      </w:r>
      <w:r w:rsidR="00EB439A" w:rsidRPr="00154F1D">
        <w:rPr>
          <w:i/>
        </w:rPr>
        <w:t xml:space="preserve">Criminal Justice (Mental Impairment) Act 1999 </w:t>
      </w:r>
      <w:r w:rsidR="00EB439A" w:rsidRPr="00154F1D">
        <w:t>(Tas)</w:t>
      </w:r>
      <w:r w:rsidRPr="00154F1D">
        <w:t xml:space="preserve"> pathway, if this </w:t>
      </w:r>
      <w:r w:rsidR="00842B18" w:rsidRPr="00154F1D">
        <w:t xml:space="preserve">is </w:t>
      </w:r>
      <w:r w:rsidRPr="00154F1D">
        <w:t>appropriate.</w:t>
      </w:r>
    </w:p>
    <w:p w14:paraId="46BC0D7C" w14:textId="4F82FE62" w:rsidR="00ED6EE8" w:rsidRPr="00154F1D" w:rsidRDefault="00ED6EE8" w:rsidP="00F91782">
      <w:pPr>
        <w:pStyle w:val="NumberlessNormalText"/>
        <w:numPr>
          <w:ilvl w:val="0"/>
          <w:numId w:val="80"/>
        </w:numPr>
        <w:ind w:left="851" w:hanging="425"/>
      </w:pPr>
      <w:r w:rsidRPr="00154F1D">
        <w:t>In making an assessment of fitness to stand trial, expert reports are crucial. Anecdotally, the TLRI understands that there is a lack of standardisation in assessments provided by experts in Tasmania and consequently there is considerable diversity in assessment reports. This is a concern given the importance of the expert advice in the court process. Accordingly, the TLRI seeks further feedback on whether there are any issues that arise in relation to the role of experts and expert reports in the process of determining unfitness to stand trial. Further, the TLRI seeks feedback in relation to how any difficulties might be resolved.</w:t>
      </w:r>
    </w:p>
    <w:p w14:paraId="375E2A6F" w14:textId="0F271DC3" w:rsidR="00ED6EE8" w:rsidRPr="00154F1D" w:rsidRDefault="00ED6EE8" w:rsidP="00F31663">
      <w:pPr>
        <w:pStyle w:val="Sub-HeadingTLRI"/>
        <w:keepNext/>
      </w:pPr>
      <w:bookmarkStart w:id="26" w:name="_Toc535856914"/>
      <w:bookmarkStart w:id="27" w:name="_Toc535868898"/>
      <w:r w:rsidRPr="00154F1D">
        <w:t>Part 6</w:t>
      </w:r>
      <w:r w:rsidR="00581206" w:rsidRPr="00154F1D">
        <w:t>: Unfitness to Stand Trial: Procedure Following a Determination of Unfitness to Stand Trial</w:t>
      </w:r>
      <w:bookmarkEnd w:id="26"/>
      <w:bookmarkEnd w:id="27"/>
    </w:p>
    <w:p w14:paraId="328EBCBE" w14:textId="77777777" w:rsidR="00ED6EE8" w:rsidRPr="00154F1D" w:rsidRDefault="00ED6EE8" w:rsidP="005278E5">
      <w:pPr>
        <w:pStyle w:val="NumberlessNormalText"/>
      </w:pPr>
      <w:r w:rsidRPr="00154F1D">
        <w:t>Part 6 sets out the procedure following a determination of unfitness to stand trial in Tasmania and in other comparable jurisdictions. It then examines options for reform of the procedure following a determination of unfitness to stand trial.</w:t>
      </w:r>
    </w:p>
    <w:p w14:paraId="28EB8563" w14:textId="49AF32C3" w:rsidR="00ED6EE8" w:rsidRPr="00154F1D" w:rsidRDefault="00ED6EE8" w:rsidP="005278E5">
      <w:pPr>
        <w:pStyle w:val="NumberlessNormalText"/>
      </w:pPr>
      <w:r w:rsidRPr="00154F1D">
        <w:t xml:space="preserve">Key points </w:t>
      </w:r>
      <w:r w:rsidR="005278E5" w:rsidRPr="00154F1D">
        <w:t>of</w:t>
      </w:r>
      <w:r w:rsidRPr="00154F1D">
        <w:t xml:space="preserve"> this Part are that:</w:t>
      </w:r>
    </w:p>
    <w:p w14:paraId="6E6901ED" w14:textId="6B90889D" w:rsidR="00ED6EE8" w:rsidRPr="00154F1D" w:rsidRDefault="00ED6EE8" w:rsidP="00F91782">
      <w:pPr>
        <w:pStyle w:val="NumberlessNormalText"/>
        <w:numPr>
          <w:ilvl w:val="0"/>
          <w:numId w:val="81"/>
        </w:numPr>
        <w:ind w:left="851" w:hanging="425"/>
      </w:pPr>
      <w:r w:rsidRPr="00154F1D">
        <w:t xml:space="preserve">If the court determines that the defendant is not likely to become fit to stand trial within 12 months or the defendant does not become fit to stand trial within 12 months, then the court holds a special hearing. The special hearing provides a way to test the prosecution case and is conducted </w:t>
      </w:r>
      <w:r w:rsidR="00DD7E00" w:rsidRPr="00154F1D">
        <w:t>‘</w:t>
      </w:r>
      <w:r w:rsidRPr="00154F1D">
        <w:t>so that the onus of proof and standard of proof are the same as in a trial of criminal proceeding</w:t>
      </w:r>
      <w:r w:rsidR="00842B18" w:rsidRPr="00154F1D">
        <w:t>s</w:t>
      </w:r>
      <w:r w:rsidRPr="00154F1D">
        <w:t xml:space="preserve"> and in other respects as nearly as possible as if it were a trial of criminal proceedings.</w:t>
      </w:r>
      <w:r w:rsidR="00E20B7A" w:rsidRPr="00154F1D">
        <w:t>’</w:t>
      </w:r>
    </w:p>
    <w:p w14:paraId="4D7BCE91" w14:textId="7144AC4D" w:rsidR="00ED6EE8" w:rsidRPr="00154F1D" w:rsidRDefault="00F91782" w:rsidP="00F91782">
      <w:pPr>
        <w:pStyle w:val="NumberlessNormalText"/>
        <w:ind w:left="851" w:hanging="425"/>
      </w:pPr>
      <w:r w:rsidRPr="00154F1D">
        <w:tab/>
      </w:r>
      <w:r w:rsidR="00ED6EE8" w:rsidRPr="00154F1D">
        <w:t>At a special hearing there are three findings available to the court. The court may:</w:t>
      </w:r>
    </w:p>
    <w:p w14:paraId="21B0790E" w14:textId="77777777" w:rsidR="00ED6EE8" w:rsidRPr="00154F1D" w:rsidRDefault="00ED6EE8" w:rsidP="00466F48">
      <w:pPr>
        <w:pStyle w:val="NumberlessNormalText"/>
        <w:numPr>
          <w:ilvl w:val="0"/>
          <w:numId w:val="82"/>
        </w:numPr>
      </w:pPr>
      <w:r w:rsidRPr="00154F1D">
        <w:t xml:space="preserve">find the defendant not guilty of the offence. This has the same effect as a finding of not guilty following a trial of criminal proceedings; </w:t>
      </w:r>
    </w:p>
    <w:p w14:paraId="0A20C28A" w14:textId="77777777" w:rsidR="00ED6EE8" w:rsidRPr="00154F1D" w:rsidRDefault="00ED6EE8" w:rsidP="00466F48">
      <w:pPr>
        <w:pStyle w:val="NumberlessNormalText"/>
        <w:numPr>
          <w:ilvl w:val="0"/>
          <w:numId w:val="82"/>
        </w:numPr>
      </w:pPr>
      <w:r w:rsidRPr="00154F1D">
        <w:t>find the defendant not guilty on the ground of insanity; or</w:t>
      </w:r>
    </w:p>
    <w:p w14:paraId="25D3E14E" w14:textId="2664E499" w:rsidR="00ED6EE8" w:rsidRPr="00154F1D" w:rsidRDefault="00ED6EE8" w:rsidP="00466F48">
      <w:pPr>
        <w:pStyle w:val="NumberlessNormalText"/>
        <w:numPr>
          <w:ilvl w:val="0"/>
          <w:numId w:val="82"/>
        </w:numPr>
      </w:pPr>
      <w:r w:rsidRPr="00154F1D">
        <w:t xml:space="preserve">indicate that a finding cannot be made </w:t>
      </w:r>
      <w:r w:rsidR="000660E1" w:rsidRPr="00154F1D">
        <w:t xml:space="preserve">that </w:t>
      </w:r>
      <w:r w:rsidRPr="00154F1D">
        <w:t>the defendant is not guilty of the offence charged. This finding is made if the jury ‘concluded beyond reasonable doubt, on the evidence before it, that the accused appeared to be guilty’.</w:t>
      </w:r>
    </w:p>
    <w:p w14:paraId="4C773784" w14:textId="5CCF7268" w:rsidR="00ED6EE8" w:rsidRPr="00154F1D" w:rsidRDefault="00ED6EE8" w:rsidP="00F91782">
      <w:pPr>
        <w:pStyle w:val="NumberlessNormalText"/>
        <w:numPr>
          <w:ilvl w:val="0"/>
          <w:numId w:val="81"/>
        </w:numPr>
        <w:ind w:left="851" w:hanging="425"/>
      </w:pPr>
      <w:r w:rsidRPr="00154F1D">
        <w:t xml:space="preserve">It is not possible for the prosecution and defence to dispense with the need for a special hearing by agreeing that the </w:t>
      </w:r>
      <w:r w:rsidR="008F0CC0">
        <w:t>accused</w:t>
      </w:r>
      <w:r w:rsidR="008F0CC0" w:rsidRPr="00154F1D">
        <w:t xml:space="preserve"> </w:t>
      </w:r>
      <w:r w:rsidRPr="00154F1D">
        <w:t xml:space="preserve">should be found not guilty on the grounds of insanity. Similarly, it is not possible </w:t>
      </w:r>
      <w:r w:rsidR="000660E1" w:rsidRPr="00154F1D">
        <w:t xml:space="preserve">for </w:t>
      </w:r>
      <w:r w:rsidR="006C702C" w:rsidRPr="00154F1D">
        <w:t xml:space="preserve">a </w:t>
      </w:r>
      <w:r w:rsidRPr="00154F1D">
        <w:t>defendant who is found unfit to stand trial to enter a plea of guilty.</w:t>
      </w:r>
    </w:p>
    <w:p w14:paraId="1499960D" w14:textId="10225431" w:rsidR="00ED6EE8" w:rsidRPr="00154F1D" w:rsidRDefault="006C702C" w:rsidP="00F91782">
      <w:pPr>
        <w:pStyle w:val="NumberlessNormalText"/>
        <w:numPr>
          <w:ilvl w:val="0"/>
          <w:numId w:val="81"/>
        </w:numPr>
        <w:ind w:left="851" w:hanging="425"/>
      </w:pPr>
      <w:r w:rsidRPr="00154F1D">
        <w:t>I</w:t>
      </w:r>
      <w:r w:rsidR="00ED6EE8" w:rsidRPr="00154F1D">
        <w:t xml:space="preserve">n other jurisdictions, there are different procedures that are to be followed if an </w:t>
      </w:r>
      <w:r w:rsidR="008F0CC0">
        <w:t>accused</w:t>
      </w:r>
      <w:r w:rsidR="008F0CC0" w:rsidRPr="00154F1D">
        <w:t xml:space="preserve"> </w:t>
      </w:r>
      <w:r w:rsidR="00ED6EE8" w:rsidRPr="00154F1D">
        <w:t>is found to be unfit to stand trial.</w:t>
      </w:r>
    </w:p>
    <w:p w14:paraId="631E350E" w14:textId="77777777" w:rsidR="00ED6EE8" w:rsidRPr="00154F1D" w:rsidRDefault="00ED6EE8" w:rsidP="00F91782">
      <w:pPr>
        <w:pStyle w:val="NumberlessNormalText"/>
        <w:numPr>
          <w:ilvl w:val="0"/>
          <w:numId w:val="81"/>
        </w:numPr>
        <w:ind w:left="851" w:hanging="425"/>
      </w:pPr>
      <w:r w:rsidRPr="00154F1D">
        <w:t xml:space="preserve">Special hearing provisions in Australia (and comparable jurisdictions) have been criticised by those concerned with the human rights obligations arising under the </w:t>
      </w:r>
      <w:r w:rsidRPr="00154F1D">
        <w:rPr>
          <w:i/>
        </w:rPr>
        <w:t>CRPD</w:t>
      </w:r>
      <w:r w:rsidRPr="00154F1D">
        <w:t>. These criticisms have focused on the removal of the accused from the mainstream criminal justice system and the extent to which the modified process of the special hearing differs from a criminal trial.</w:t>
      </w:r>
    </w:p>
    <w:p w14:paraId="18E64D1B" w14:textId="27E36B0C" w:rsidR="00ED6EE8" w:rsidRPr="00154F1D" w:rsidRDefault="00ED6EE8" w:rsidP="00F91782">
      <w:pPr>
        <w:pStyle w:val="NumberlessNormalText"/>
        <w:numPr>
          <w:ilvl w:val="0"/>
          <w:numId w:val="81"/>
        </w:numPr>
        <w:ind w:left="851" w:hanging="425"/>
      </w:pPr>
      <w:r w:rsidRPr="00154F1D">
        <w:t>Based on the approach in other jurisdictions, an option for reform would be to adopt a judge-only procedure for special hearing</w:t>
      </w:r>
      <w:r w:rsidR="006C702C" w:rsidRPr="00154F1D">
        <w:t>s</w:t>
      </w:r>
      <w:r w:rsidRPr="00154F1D">
        <w:t xml:space="preserve"> </w:t>
      </w:r>
      <w:r w:rsidR="00974A85" w:rsidRPr="00154F1D">
        <w:t>—</w:t>
      </w:r>
      <w:r w:rsidRPr="00154F1D">
        <w:t xml:space="preserve"> either in all cases (England and Wales) or in cases where the prosecution and defence agree that the evidence establishes the defence of mental impairment/insanity (Victoria). </w:t>
      </w:r>
    </w:p>
    <w:p w14:paraId="5628B151" w14:textId="6C41A5B7" w:rsidR="00ED6EE8" w:rsidRPr="00154F1D" w:rsidRDefault="00ED6EE8" w:rsidP="00ED6EE8">
      <w:pPr>
        <w:pStyle w:val="Sub-HeadingTLRI"/>
      </w:pPr>
      <w:bookmarkStart w:id="28" w:name="_Toc535856915"/>
      <w:bookmarkStart w:id="29" w:name="_Toc535868899"/>
      <w:r w:rsidRPr="00154F1D">
        <w:t>Part 7</w:t>
      </w:r>
      <w:r w:rsidR="00581206" w:rsidRPr="00154F1D">
        <w:t>: Insanity</w:t>
      </w:r>
      <w:bookmarkEnd w:id="28"/>
      <w:bookmarkEnd w:id="29"/>
    </w:p>
    <w:p w14:paraId="72274637" w14:textId="2C410432" w:rsidR="00ED6EE8" w:rsidRPr="00154F1D" w:rsidRDefault="00ED6EE8" w:rsidP="00974A85">
      <w:pPr>
        <w:pStyle w:val="NumberlessNormalText"/>
      </w:pPr>
      <w:r w:rsidRPr="00154F1D">
        <w:t xml:space="preserve">Part 7 provides an overview of the law of insanity in Tasmania and identifies concerns in relation to the existing law </w:t>
      </w:r>
      <w:r w:rsidR="000E697F" w:rsidRPr="00154F1D">
        <w:t xml:space="preserve">before </w:t>
      </w:r>
      <w:r w:rsidRPr="00154F1D">
        <w:t>consider</w:t>
      </w:r>
      <w:r w:rsidR="000E697F" w:rsidRPr="00154F1D">
        <w:t>ing</w:t>
      </w:r>
      <w:r w:rsidRPr="00154F1D">
        <w:t xml:space="preserve"> options for reform. It considers whether an insanity defence is required, and if </w:t>
      </w:r>
      <w:r w:rsidR="000E697F" w:rsidRPr="00154F1D">
        <w:t>so</w:t>
      </w:r>
      <w:r w:rsidRPr="00154F1D">
        <w:t>, whether the current defence should be amended</w:t>
      </w:r>
      <w:r w:rsidR="006C702C" w:rsidRPr="00154F1D">
        <w:t>.</w:t>
      </w:r>
    </w:p>
    <w:p w14:paraId="67BDAB5B" w14:textId="7C6D2FCB" w:rsidR="00ED6EE8" w:rsidRPr="00154F1D" w:rsidRDefault="00ED6EE8" w:rsidP="00334DA6">
      <w:pPr>
        <w:pStyle w:val="NumberlessNormalText"/>
      </w:pPr>
      <w:r w:rsidRPr="00154F1D">
        <w:t xml:space="preserve">Key points </w:t>
      </w:r>
      <w:r w:rsidR="00334DA6" w:rsidRPr="00154F1D">
        <w:t>of</w:t>
      </w:r>
      <w:r w:rsidRPr="00154F1D">
        <w:t xml:space="preserve"> this Part are that:</w:t>
      </w:r>
    </w:p>
    <w:p w14:paraId="7263BA2A" w14:textId="554ACA34" w:rsidR="00ED6EE8" w:rsidRPr="00154F1D" w:rsidRDefault="00ED6EE8" w:rsidP="00F91782">
      <w:pPr>
        <w:pStyle w:val="NumberlessNormalText"/>
        <w:numPr>
          <w:ilvl w:val="0"/>
          <w:numId w:val="83"/>
        </w:numPr>
        <w:ind w:left="851" w:hanging="425"/>
      </w:pPr>
      <w:r w:rsidRPr="00154F1D">
        <w:t xml:space="preserve">The defence of insanity is contained in s 16 of the </w:t>
      </w:r>
      <w:r w:rsidRPr="00154F1D">
        <w:rPr>
          <w:i/>
        </w:rPr>
        <w:t xml:space="preserve">Criminal Code </w:t>
      </w:r>
      <w:r w:rsidRPr="00154F1D">
        <w:t xml:space="preserve">(Tas). This is based on the </w:t>
      </w:r>
      <w:r w:rsidRPr="00154F1D">
        <w:rPr>
          <w:i/>
        </w:rPr>
        <w:t xml:space="preserve">McNaghten </w:t>
      </w:r>
      <w:r w:rsidRPr="00154F1D">
        <w:t>rules. Although not identical to the Tasmanian provisions, all Australian jurisdictions have comparable laws in relation to insanity.</w:t>
      </w:r>
    </w:p>
    <w:p w14:paraId="76E9E3FA" w14:textId="313C1724" w:rsidR="00ED6EE8" w:rsidRPr="00154F1D" w:rsidRDefault="00ED6EE8" w:rsidP="00F91782">
      <w:pPr>
        <w:pStyle w:val="NumberlessNormalText"/>
        <w:numPr>
          <w:ilvl w:val="0"/>
          <w:numId w:val="83"/>
        </w:numPr>
        <w:ind w:left="851" w:hanging="425"/>
      </w:pPr>
      <w:r w:rsidRPr="00154F1D">
        <w:t>Central to the operation of the insanity defence is the scope of the concept of ‘mental disease’. In order to rely on the defence of insanity under s</w:t>
      </w:r>
      <w:r w:rsidR="009C7D8D" w:rsidRPr="00154F1D">
        <w:t>s</w:t>
      </w:r>
      <w:r w:rsidRPr="00154F1D">
        <w:t xml:space="preserve"> 16(1) and (2) of the </w:t>
      </w:r>
      <w:r w:rsidRPr="00154F1D">
        <w:rPr>
          <w:i/>
        </w:rPr>
        <w:t xml:space="preserve">Criminal Code </w:t>
      </w:r>
      <w:r w:rsidRPr="00154F1D">
        <w:t>(Tas), it must be established on the balance of probabilities that the defendant was suffering a mental disease. Significantly, the definition of a mental disease is a legal rather than a medical construct.</w:t>
      </w:r>
    </w:p>
    <w:p w14:paraId="05DBDE71" w14:textId="22286BFB" w:rsidR="00ED6EE8" w:rsidRPr="00154F1D" w:rsidRDefault="00ED6EE8" w:rsidP="00F91782">
      <w:pPr>
        <w:pStyle w:val="NumberlessNormalText"/>
        <w:numPr>
          <w:ilvl w:val="0"/>
          <w:numId w:val="83"/>
        </w:numPr>
        <w:ind w:left="851" w:hanging="425"/>
      </w:pPr>
      <w:r w:rsidRPr="00154F1D">
        <w:t>Evidence of a mental disease alone will not provide the defendant with a defence. Under s</w:t>
      </w:r>
      <w:r w:rsidR="005D6888" w:rsidRPr="00154F1D">
        <w:t>s</w:t>
      </w:r>
      <w:r w:rsidRPr="00154F1D">
        <w:t xml:space="preserve"> 16(1) and (2), it must also be established that the effect of the mental disease was either that: (a) the defendant did not have the capacity to </w:t>
      </w:r>
      <w:r w:rsidRPr="00154F1D">
        <w:rPr>
          <w:i/>
        </w:rPr>
        <w:t>understand the physical character of the act</w:t>
      </w:r>
      <w:r w:rsidRPr="00154F1D">
        <w:t xml:space="preserve">; or (b) the defendant did not have the capacity to know that the </w:t>
      </w:r>
      <w:r w:rsidRPr="00154F1D">
        <w:rPr>
          <w:i/>
        </w:rPr>
        <w:t>act or omission was one which he or she ought not do or make</w:t>
      </w:r>
      <w:r w:rsidRPr="00154F1D">
        <w:t xml:space="preserve">; or (c) the defendant acted under an </w:t>
      </w:r>
      <w:r w:rsidRPr="00154F1D">
        <w:rPr>
          <w:i/>
        </w:rPr>
        <w:t>uncontrollable impulse</w:t>
      </w:r>
      <w:r w:rsidRPr="00154F1D">
        <w:t>.</w:t>
      </w:r>
    </w:p>
    <w:p w14:paraId="5EF148D3" w14:textId="12D85F50" w:rsidR="00ED6EE8" w:rsidRPr="00154F1D" w:rsidRDefault="00ED6EE8" w:rsidP="00F91782">
      <w:pPr>
        <w:pStyle w:val="NumberlessNormalText"/>
        <w:numPr>
          <w:ilvl w:val="0"/>
          <w:numId w:val="83"/>
        </w:numPr>
        <w:ind w:left="851" w:hanging="425"/>
      </w:pPr>
      <w:r w:rsidRPr="00154F1D">
        <w:t xml:space="preserve">The onus is on the defendant to prove that he or she was insane within s 16 of the </w:t>
      </w:r>
      <w:r w:rsidRPr="00154F1D">
        <w:rPr>
          <w:i/>
        </w:rPr>
        <w:t xml:space="preserve">Criminal Code </w:t>
      </w:r>
      <w:r w:rsidRPr="00154F1D">
        <w:t xml:space="preserve">(Tas) on the balance of probabilities. </w:t>
      </w:r>
      <w:r w:rsidRPr="00154F1D">
        <w:rPr>
          <w:lang w:eastAsia="ja-JP"/>
        </w:rPr>
        <w:t>Case authority establishes that the prosecution can allege</w:t>
      </w:r>
      <w:r w:rsidR="007F7E37">
        <w:rPr>
          <w:lang w:eastAsia="ja-JP"/>
        </w:rPr>
        <w:t>,</w:t>
      </w:r>
      <w:r w:rsidRPr="00154F1D">
        <w:rPr>
          <w:lang w:eastAsia="ja-JP"/>
        </w:rPr>
        <w:t xml:space="preserve"> and call evidence to prove</w:t>
      </w:r>
      <w:r w:rsidR="007F7E37">
        <w:rPr>
          <w:lang w:eastAsia="ja-JP"/>
        </w:rPr>
        <w:t>,</w:t>
      </w:r>
      <w:r w:rsidRPr="00154F1D">
        <w:rPr>
          <w:lang w:eastAsia="ja-JP"/>
        </w:rPr>
        <w:t xml:space="preserve"> insanity if the defendant puts his or her state of mind in issue by </w:t>
      </w:r>
      <w:r w:rsidRPr="00154F1D">
        <w:t>alleging</w:t>
      </w:r>
      <w:r w:rsidRPr="00154F1D">
        <w:rPr>
          <w:lang w:eastAsia="ja-JP"/>
        </w:rPr>
        <w:t xml:space="preserve"> non-insane automatism or the absence of intent. However, the prosecution cannot introduce evidence probative of insanity until the matter is put in issue by the defence.</w:t>
      </w:r>
    </w:p>
    <w:p w14:paraId="6983B432" w14:textId="77777777" w:rsidR="00ED6EE8" w:rsidRPr="00154F1D" w:rsidRDefault="00ED6EE8" w:rsidP="00F91782">
      <w:pPr>
        <w:pStyle w:val="NumberlessNormalText"/>
        <w:numPr>
          <w:ilvl w:val="0"/>
          <w:numId w:val="83"/>
        </w:numPr>
        <w:ind w:left="851" w:hanging="425"/>
      </w:pPr>
      <w:r w:rsidRPr="00154F1D">
        <w:t>Some jurisdictions have abolished the defence of insanity.</w:t>
      </w:r>
    </w:p>
    <w:p w14:paraId="7CA4D16E" w14:textId="4BC98B1A" w:rsidR="00ED6EE8" w:rsidRPr="00154F1D" w:rsidRDefault="00ED6EE8" w:rsidP="00F91782">
      <w:pPr>
        <w:pStyle w:val="NumberlessNormalText"/>
        <w:numPr>
          <w:ilvl w:val="0"/>
          <w:numId w:val="83"/>
        </w:numPr>
        <w:ind w:left="851" w:hanging="425"/>
      </w:pPr>
      <w:r w:rsidRPr="00154F1D">
        <w:t xml:space="preserve">An alternative to the complete abolition of </w:t>
      </w:r>
      <w:r w:rsidR="006C702C" w:rsidRPr="00154F1D">
        <w:t xml:space="preserve">the </w:t>
      </w:r>
      <w:r w:rsidRPr="00154F1D">
        <w:t>insanity</w:t>
      </w:r>
      <w:r w:rsidR="006C702C" w:rsidRPr="00154F1D">
        <w:t xml:space="preserve"> defence</w:t>
      </w:r>
      <w:r w:rsidRPr="00154F1D">
        <w:t xml:space="preserve"> would be to replace </w:t>
      </w:r>
      <w:r w:rsidR="006C702C" w:rsidRPr="00154F1D">
        <w:t>it</w:t>
      </w:r>
      <w:r w:rsidRPr="00154F1D">
        <w:t xml:space="preserve"> with an alternative means of deciding the circumstances in which </w:t>
      </w:r>
      <w:r w:rsidR="008F0CC0">
        <w:t>ind</w:t>
      </w:r>
      <w:r w:rsidR="00A80BB4">
        <w:t>i</w:t>
      </w:r>
      <w:r w:rsidR="008F0CC0">
        <w:t>vidual</w:t>
      </w:r>
      <w:r w:rsidR="008F0CC0" w:rsidRPr="00154F1D">
        <w:t xml:space="preserve">s </w:t>
      </w:r>
      <w:r w:rsidRPr="00154F1D">
        <w:t>ought not be</w:t>
      </w:r>
      <w:r w:rsidR="005D6888" w:rsidRPr="00154F1D">
        <w:t xml:space="preserve"> </w:t>
      </w:r>
      <w:r w:rsidRPr="00154F1D">
        <w:t xml:space="preserve">criminally responsible for their conduct. A model proposed in England and Wales is for </w:t>
      </w:r>
      <w:r w:rsidR="00C9222D">
        <w:t xml:space="preserve">the creation of </w:t>
      </w:r>
      <w:r w:rsidRPr="00154F1D">
        <w:t xml:space="preserve">a special defence based on the accused’s lack of capacity at the time of the offence that would apply to physical as well as mental conditions that led to </w:t>
      </w:r>
      <w:r w:rsidR="00AF35F3">
        <w:t>the</w:t>
      </w:r>
      <w:r w:rsidR="00AF35F3" w:rsidRPr="00154F1D">
        <w:t xml:space="preserve"> </w:t>
      </w:r>
      <w:r w:rsidRPr="00154F1D">
        <w:t>relevant loss of capacity.</w:t>
      </w:r>
    </w:p>
    <w:p w14:paraId="5A035F0C" w14:textId="15518E42" w:rsidR="00ED6EE8" w:rsidRPr="00154F1D" w:rsidRDefault="00ED6EE8" w:rsidP="00F91782">
      <w:pPr>
        <w:pStyle w:val="NumberlessNormalText"/>
        <w:numPr>
          <w:ilvl w:val="0"/>
          <w:numId w:val="83"/>
        </w:numPr>
        <w:ind w:left="851" w:hanging="425"/>
      </w:pPr>
      <w:r w:rsidRPr="00154F1D">
        <w:t xml:space="preserve">Another option for reform would be to retain and amend the insanity defence in s 16 of the </w:t>
      </w:r>
      <w:r w:rsidRPr="00154F1D">
        <w:rPr>
          <w:i/>
        </w:rPr>
        <w:t xml:space="preserve">Criminal Code </w:t>
      </w:r>
      <w:r w:rsidRPr="00154F1D">
        <w:t>(Tas). Extensive academic literature has outlined deficiencies with the law of insanity. An overview of these concerns is set out in Part 7 including:</w:t>
      </w:r>
    </w:p>
    <w:p w14:paraId="4E623363" w14:textId="77777777" w:rsidR="00ED6EE8" w:rsidRPr="00154F1D" w:rsidRDefault="00ED6EE8" w:rsidP="00F91782">
      <w:pPr>
        <w:pStyle w:val="NumberlessNormalText"/>
        <w:numPr>
          <w:ilvl w:val="0"/>
          <w:numId w:val="84"/>
        </w:numPr>
        <w:tabs>
          <w:tab w:val="clear" w:pos="851"/>
          <w:tab w:val="left" w:pos="1276"/>
        </w:tabs>
        <w:ind w:left="1276" w:hanging="425"/>
      </w:pPr>
      <w:r w:rsidRPr="00154F1D">
        <w:t>inappropriate and outdated terminology (insanity);</w:t>
      </w:r>
    </w:p>
    <w:p w14:paraId="285A499D" w14:textId="77777777" w:rsidR="00ED6EE8" w:rsidRPr="00154F1D" w:rsidRDefault="00ED6EE8" w:rsidP="00F91782">
      <w:pPr>
        <w:pStyle w:val="NumberlessNormalText"/>
        <w:numPr>
          <w:ilvl w:val="0"/>
          <w:numId w:val="84"/>
        </w:numPr>
        <w:tabs>
          <w:tab w:val="clear" w:pos="851"/>
          <w:tab w:val="left" w:pos="1276"/>
        </w:tabs>
        <w:ind w:left="1276" w:hanging="425"/>
      </w:pPr>
      <w:r w:rsidRPr="00154F1D">
        <w:t>the nature of the qualifying mental state (mental disease) is outdated, limited and offensive;</w:t>
      </w:r>
    </w:p>
    <w:p w14:paraId="2AC6CE0C" w14:textId="2ADEDA75" w:rsidR="00ED6EE8" w:rsidRPr="00154F1D" w:rsidRDefault="00ED6EE8" w:rsidP="00F91782">
      <w:pPr>
        <w:pStyle w:val="NumberlessNormalText"/>
        <w:numPr>
          <w:ilvl w:val="0"/>
          <w:numId w:val="84"/>
        </w:numPr>
        <w:tabs>
          <w:tab w:val="clear" w:pos="851"/>
          <w:tab w:val="left" w:pos="1276"/>
        </w:tabs>
        <w:ind w:left="1276" w:hanging="425"/>
      </w:pPr>
      <w:r w:rsidRPr="00154F1D">
        <w:t>the narrow scope of the incapacities</w:t>
      </w:r>
      <w:r w:rsidR="006C702C" w:rsidRPr="00154F1D">
        <w:t xml:space="preserve"> specified as establishing the defence</w:t>
      </w:r>
      <w:r w:rsidRPr="00154F1D">
        <w:t>;</w:t>
      </w:r>
      <w:r w:rsidR="00305EFE" w:rsidRPr="00154F1D">
        <w:t xml:space="preserve"> and</w:t>
      </w:r>
    </w:p>
    <w:p w14:paraId="27DB7D2D" w14:textId="74DC9304" w:rsidR="00ED6EE8" w:rsidRPr="00154F1D" w:rsidRDefault="00ED6EE8" w:rsidP="00F91782">
      <w:pPr>
        <w:pStyle w:val="NumberlessNormalText"/>
        <w:numPr>
          <w:ilvl w:val="0"/>
          <w:numId w:val="84"/>
        </w:numPr>
        <w:tabs>
          <w:tab w:val="clear" w:pos="851"/>
          <w:tab w:val="left" w:pos="1276"/>
        </w:tabs>
        <w:ind w:left="1276" w:hanging="425"/>
      </w:pPr>
      <w:r w:rsidRPr="00154F1D">
        <w:t>the inclusion of irresistible impulses in the defence</w:t>
      </w:r>
      <w:r w:rsidR="006C702C" w:rsidRPr="00154F1D">
        <w:t>.</w:t>
      </w:r>
    </w:p>
    <w:p w14:paraId="2A5DE085" w14:textId="718B85B7" w:rsidR="00ED6EE8" w:rsidRPr="00154F1D" w:rsidRDefault="00ED6EE8" w:rsidP="00F91782">
      <w:pPr>
        <w:pStyle w:val="NumberlessNormalText"/>
        <w:numPr>
          <w:ilvl w:val="0"/>
          <w:numId w:val="85"/>
        </w:numPr>
        <w:ind w:left="851" w:hanging="425"/>
      </w:pPr>
      <w:r w:rsidRPr="00154F1D">
        <w:t>Despite well-established theoretical concerns, it is less clear to what extent these matters give rise to difficulties in practice. Accordingly, feedback is sought as to whether these problems create difficulties in practice and if and how the defence of insanity should be amended.</w:t>
      </w:r>
    </w:p>
    <w:p w14:paraId="6E7B187E" w14:textId="43371047" w:rsidR="00ED6EE8" w:rsidRPr="00154F1D" w:rsidRDefault="00ED6EE8" w:rsidP="00F91782">
      <w:pPr>
        <w:pStyle w:val="NumberlessNormalText"/>
        <w:numPr>
          <w:ilvl w:val="0"/>
          <w:numId w:val="85"/>
        </w:numPr>
        <w:ind w:left="851" w:hanging="425"/>
      </w:pPr>
      <w:r w:rsidRPr="00154F1D">
        <w:rPr>
          <w:lang w:eastAsia="ja-JP"/>
        </w:rPr>
        <w:t>Another area of concern in relation to the law of insanity in Tasmania is the role of s</w:t>
      </w:r>
      <w:r w:rsidR="00563E5E" w:rsidRPr="00154F1D">
        <w:rPr>
          <w:lang w:eastAsia="ja-JP"/>
        </w:rPr>
        <w:t> </w:t>
      </w:r>
      <w:r w:rsidRPr="00154F1D">
        <w:rPr>
          <w:lang w:eastAsia="ja-JP"/>
        </w:rPr>
        <w:t xml:space="preserve">16(3) of the </w:t>
      </w:r>
      <w:r w:rsidRPr="00154F1D">
        <w:rPr>
          <w:i/>
          <w:lang w:eastAsia="ja-JP"/>
        </w:rPr>
        <w:t xml:space="preserve">Criminal Code </w:t>
      </w:r>
      <w:r w:rsidRPr="00154F1D">
        <w:rPr>
          <w:lang w:eastAsia="ja-JP"/>
        </w:rPr>
        <w:t xml:space="preserve">(Tas) and the interrelationship of the </w:t>
      </w:r>
      <w:r w:rsidR="001E739C" w:rsidRPr="00154F1D">
        <w:rPr>
          <w:lang w:eastAsia="ja-JP"/>
        </w:rPr>
        <w:t xml:space="preserve">defences of </w:t>
      </w:r>
      <w:r w:rsidRPr="00154F1D">
        <w:rPr>
          <w:lang w:eastAsia="ja-JP"/>
        </w:rPr>
        <w:t xml:space="preserve">insanity and self-defence. </w:t>
      </w:r>
      <w:r w:rsidRPr="00154F1D">
        <w:t>This has previously been addressed by the TLRI</w:t>
      </w:r>
      <w:r w:rsidR="001E739C" w:rsidRPr="00154F1D">
        <w:t>.</w:t>
      </w:r>
      <w:r w:rsidRPr="00154F1D">
        <w:t xml:space="preserve"> </w:t>
      </w:r>
      <w:r w:rsidR="001E739C" w:rsidRPr="00154F1D">
        <w:t>T</w:t>
      </w:r>
      <w:r w:rsidRPr="00154F1D">
        <w:t>he</w:t>
      </w:r>
      <w:r w:rsidRPr="00154F1D">
        <w:rPr>
          <w:lang w:eastAsia="ja-JP"/>
        </w:rPr>
        <w:t xml:space="preserve"> previous recommendation </w:t>
      </w:r>
      <w:r w:rsidR="001E739C" w:rsidRPr="00154F1D">
        <w:rPr>
          <w:lang w:eastAsia="ja-JP"/>
        </w:rPr>
        <w:t xml:space="preserve">made </w:t>
      </w:r>
      <w:r w:rsidRPr="00154F1D">
        <w:rPr>
          <w:lang w:eastAsia="ja-JP"/>
        </w:rPr>
        <w:t>was that</w:t>
      </w:r>
      <w:r w:rsidRPr="00154F1D">
        <w:rPr>
          <w:b/>
          <w:lang w:eastAsia="ja-JP"/>
        </w:rPr>
        <w:t xml:space="preserve"> </w:t>
      </w:r>
      <w:r w:rsidRPr="00154F1D">
        <w:t xml:space="preserve">the </w:t>
      </w:r>
      <w:r w:rsidRPr="00154F1D">
        <w:rPr>
          <w:i/>
        </w:rPr>
        <w:t xml:space="preserve">Criminal Code </w:t>
      </w:r>
      <w:r w:rsidRPr="00154F1D">
        <w:t xml:space="preserve">(Tas) be amended to provide that if a person does an act or makes an omission as a result of a delusion caused by a mental disease, the delusion can only be used as a defence under s 16 of the </w:t>
      </w:r>
      <w:r w:rsidRPr="00154F1D">
        <w:rPr>
          <w:i/>
        </w:rPr>
        <w:t xml:space="preserve">Criminal Code </w:t>
      </w:r>
      <w:r w:rsidRPr="00154F1D">
        <w:t>(Tas) and cannot be relied on to support a defence of self-defence under s</w:t>
      </w:r>
      <w:r w:rsidR="00563E5E" w:rsidRPr="00154F1D">
        <w:t xml:space="preserve"> </w:t>
      </w:r>
      <w:r w:rsidRPr="00154F1D">
        <w:t xml:space="preserve">46 of the </w:t>
      </w:r>
      <w:r w:rsidRPr="00154F1D">
        <w:rPr>
          <w:i/>
        </w:rPr>
        <w:t>Code</w:t>
      </w:r>
      <w:r w:rsidRPr="00154F1D">
        <w:rPr>
          <w:lang w:eastAsia="ja-JP"/>
        </w:rPr>
        <w:t xml:space="preserve">. </w:t>
      </w:r>
      <w:r w:rsidRPr="00154F1D">
        <w:t xml:space="preserve">In addition, in its previous report, the TLRI recommended that </w:t>
      </w:r>
      <w:r w:rsidR="00743FFD" w:rsidRPr="00154F1D">
        <w:t xml:space="preserve">s 16(3) </w:t>
      </w:r>
      <w:r w:rsidRPr="00154F1D">
        <w:t>should be repealed.</w:t>
      </w:r>
    </w:p>
    <w:p w14:paraId="0367933C" w14:textId="09095C98" w:rsidR="00ED6EE8" w:rsidRPr="00154F1D" w:rsidRDefault="00ED6EE8" w:rsidP="00F91782">
      <w:pPr>
        <w:pStyle w:val="NumberlessNormalText"/>
        <w:numPr>
          <w:ilvl w:val="0"/>
          <w:numId w:val="85"/>
        </w:numPr>
        <w:ind w:left="851" w:hanging="425"/>
      </w:pPr>
      <w:r w:rsidRPr="00154F1D">
        <w:t xml:space="preserve">Concerns have been raised in relation to the burden of proof that is cast on the defendant to prove the insanity defence on the balance of probabilities. This is contrary to the general rule of criminal law that the legal burden of proof is on the prosecution. It is also different from other defences where an </w:t>
      </w:r>
      <w:r w:rsidR="00184652">
        <w:t>accused</w:t>
      </w:r>
      <w:r w:rsidR="00184652" w:rsidRPr="00154F1D">
        <w:t xml:space="preserve"> </w:t>
      </w:r>
      <w:r w:rsidRPr="00154F1D">
        <w:t>raises the defence of mistake or self-defence or seeks to rely on evidence of automatism or intoxication to deny criminal responsibility. In relation to these matters, the accused has an evidentiary onus only.</w:t>
      </w:r>
    </w:p>
    <w:p w14:paraId="37882935" w14:textId="103A1188" w:rsidR="00ED6EE8" w:rsidRPr="00154F1D" w:rsidRDefault="00ED6EE8" w:rsidP="00F91782">
      <w:pPr>
        <w:pStyle w:val="NumberlessNormalText"/>
        <w:numPr>
          <w:ilvl w:val="0"/>
          <w:numId w:val="85"/>
        </w:numPr>
        <w:ind w:left="851" w:hanging="425"/>
      </w:pPr>
      <w:r w:rsidRPr="00154F1D">
        <w:t>Unlike the criminal law generally, where the prosecution can accept a plea by a defendant, currently in Tasmania it is not possible for the defendant to enter a plea of not guilty by reason of insanity. In the Supreme Court a verdict of not guilty by reason of insanity must be delivered by a jury and in the Magistrates Court it must be given by a magistrate. Based on the approach in other jurisdictions, an option for reform would be to reform the law to remove the necessity for a jury to determine the question of insanity if the prosecution and defence agree that evidence in a case establishes insanity.</w:t>
      </w:r>
    </w:p>
    <w:p w14:paraId="7DA1A9DF" w14:textId="06A2E1FF" w:rsidR="00ED6EE8" w:rsidRPr="00154F1D" w:rsidRDefault="00ED6EE8" w:rsidP="00ED6EE8">
      <w:pPr>
        <w:pStyle w:val="Sub-HeadingTLRI"/>
      </w:pPr>
      <w:bookmarkStart w:id="30" w:name="_Toc535856916"/>
      <w:bookmarkStart w:id="31" w:name="_Toc535868900"/>
      <w:r w:rsidRPr="00154F1D">
        <w:t>Part 8</w:t>
      </w:r>
      <w:r w:rsidR="00581206" w:rsidRPr="00154F1D">
        <w:t>: Disposition: Forensic and Treatment Orders</w:t>
      </w:r>
      <w:bookmarkEnd w:id="30"/>
      <w:bookmarkEnd w:id="31"/>
    </w:p>
    <w:p w14:paraId="44662B83" w14:textId="32C06643" w:rsidR="00D651B3" w:rsidRPr="00154F1D" w:rsidRDefault="00ED6EE8" w:rsidP="00EF465A">
      <w:pPr>
        <w:pStyle w:val="NumberlessNormalText"/>
      </w:pPr>
      <w:r w:rsidRPr="00154F1D">
        <w:t xml:space="preserve">Part 8 examines the orders that can be made under the </w:t>
      </w:r>
      <w:r w:rsidRPr="00154F1D">
        <w:rPr>
          <w:i/>
        </w:rPr>
        <w:t xml:space="preserve">Criminal Justice (Mental Impairment) Act 1999 </w:t>
      </w:r>
      <w:r w:rsidRPr="00154F1D">
        <w:t xml:space="preserve">(Tas) following a finding that an </w:t>
      </w:r>
      <w:r w:rsidR="00184652">
        <w:t>individual</w:t>
      </w:r>
      <w:r w:rsidR="00184652" w:rsidRPr="00154F1D">
        <w:t xml:space="preserve"> </w:t>
      </w:r>
      <w:r w:rsidRPr="00154F1D">
        <w:t>is not guilty by reason of insanity (either at a trial or a special hearing) or if a finding cannot be made that the defendant is not guilty of an offence (at a special hearing). It identifies concerns in relation to the existing law and considers options for reform.</w:t>
      </w:r>
    </w:p>
    <w:p w14:paraId="71DD32DD" w14:textId="10798A28" w:rsidR="00ED6EE8" w:rsidRPr="00154F1D" w:rsidRDefault="00ED6EE8" w:rsidP="004A5F55">
      <w:pPr>
        <w:pStyle w:val="NumberlessNormalText"/>
      </w:pPr>
      <w:r w:rsidRPr="00154F1D">
        <w:t xml:space="preserve">Key points </w:t>
      </w:r>
      <w:r w:rsidR="004A5F55" w:rsidRPr="00154F1D">
        <w:t>of</w:t>
      </w:r>
      <w:r w:rsidRPr="00154F1D">
        <w:t xml:space="preserve"> this Part are that:</w:t>
      </w:r>
    </w:p>
    <w:p w14:paraId="2C378074" w14:textId="40291161" w:rsidR="00D651B3" w:rsidRPr="00154F1D" w:rsidRDefault="00D651B3" w:rsidP="00F91782">
      <w:pPr>
        <w:pStyle w:val="NumberlessNormalText"/>
        <w:numPr>
          <w:ilvl w:val="0"/>
          <w:numId w:val="86"/>
        </w:numPr>
        <w:ind w:left="851" w:hanging="425"/>
      </w:pPr>
      <w:r w:rsidRPr="00154F1D">
        <w:t xml:space="preserve">An </w:t>
      </w:r>
      <w:r w:rsidR="00184652">
        <w:t>individual</w:t>
      </w:r>
      <w:r w:rsidR="00184652" w:rsidRPr="00154F1D">
        <w:t xml:space="preserve"> </w:t>
      </w:r>
      <w:r w:rsidRPr="00154F1D">
        <w:t xml:space="preserve">is </w:t>
      </w:r>
      <w:r w:rsidR="004A5F55" w:rsidRPr="00154F1D">
        <w:rPr>
          <w:b/>
        </w:rPr>
        <w:t>not</w:t>
      </w:r>
      <w:r w:rsidRPr="00154F1D">
        <w:t xml:space="preserve"> found guilty of an offence where he or she is found not guilty by reason of insanity or unfit to stand trial if a finding </w:t>
      </w:r>
      <w:r w:rsidR="00743FFD" w:rsidRPr="00154F1D">
        <w:t xml:space="preserve">cannot </w:t>
      </w:r>
      <w:r w:rsidRPr="00154F1D">
        <w:t xml:space="preserve">be made at a special hearing that </w:t>
      </w:r>
      <w:r w:rsidR="00473E40">
        <w:t>the</w:t>
      </w:r>
      <w:r w:rsidR="00473E40" w:rsidRPr="00154F1D">
        <w:t xml:space="preserve"> </w:t>
      </w:r>
      <w:r w:rsidR="00184652">
        <w:t>accused</w:t>
      </w:r>
      <w:r w:rsidR="00184652" w:rsidRPr="00154F1D">
        <w:t xml:space="preserve"> </w:t>
      </w:r>
      <w:r w:rsidRPr="00154F1D">
        <w:t xml:space="preserve">is not guilty. Accordingly, the person is not ‘sentenced’ for the offence according to the ordinary principles of sentencing. </w:t>
      </w:r>
    </w:p>
    <w:p w14:paraId="4DF54B1C" w14:textId="4F5A21A5" w:rsidR="00ED6EE8" w:rsidRPr="00154F1D" w:rsidRDefault="00ED6EE8" w:rsidP="00F91782">
      <w:pPr>
        <w:pStyle w:val="NumberlessNormalText"/>
        <w:numPr>
          <w:ilvl w:val="0"/>
          <w:numId w:val="86"/>
        </w:numPr>
        <w:ind w:left="851" w:hanging="425"/>
      </w:pPr>
      <w:r w:rsidRPr="00154F1D">
        <w:t xml:space="preserve">Under the </w:t>
      </w:r>
      <w:r w:rsidRPr="00154F1D">
        <w:rPr>
          <w:i/>
        </w:rPr>
        <w:t>Criminal Justice (Mental Impairment) Act 1999</w:t>
      </w:r>
      <w:r w:rsidRPr="00154F1D">
        <w:t xml:space="preserve"> (Tas), there are five orders that a court can make if a defendant is found not guilty of the offence on the ground of insanity or if a finding cannot be made that the defendant is not guilty. These are:</w:t>
      </w:r>
    </w:p>
    <w:p w14:paraId="564F50B4" w14:textId="40A3C91A" w:rsidR="00ED6EE8" w:rsidRPr="00154F1D" w:rsidRDefault="00907B3E" w:rsidP="00F91782">
      <w:pPr>
        <w:pStyle w:val="NormalNumberedTextTLRI"/>
        <w:numPr>
          <w:ilvl w:val="0"/>
          <w:numId w:val="19"/>
        </w:numPr>
        <w:ind w:left="1276" w:hanging="425"/>
      </w:pPr>
      <w:r w:rsidRPr="00154F1D">
        <w:t xml:space="preserve">to impose </w:t>
      </w:r>
      <w:r w:rsidR="00ED6EE8" w:rsidRPr="00154F1D">
        <w:t>a restriction order;</w:t>
      </w:r>
    </w:p>
    <w:p w14:paraId="3BD7F9EF" w14:textId="77777777" w:rsidR="00ED6EE8" w:rsidRPr="00154F1D" w:rsidRDefault="00ED6EE8" w:rsidP="00F91782">
      <w:pPr>
        <w:pStyle w:val="NormalNumberedTextTLRI"/>
        <w:numPr>
          <w:ilvl w:val="0"/>
          <w:numId w:val="19"/>
        </w:numPr>
        <w:ind w:left="1276" w:hanging="425"/>
      </w:pPr>
      <w:r w:rsidRPr="00154F1D">
        <w:t>release the defendant and make a supervision order;</w:t>
      </w:r>
    </w:p>
    <w:p w14:paraId="679C18EB" w14:textId="77777777" w:rsidR="00ED6EE8" w:rsidRPr="00154F1D" w:rsidRDefault="00ED6EE8" w:rsidP="00F91782">
      <w:pPr>
        <w:pStyle w:val="NormalNumberedTextTLRI"/>
        <w:numPr>
          <w:ilvl w:val="0"/>
          <w:numId w:val="19"/>
        </w:numPr>
        <w:ind w:left="1276" w:hanging="425"/>
      </w:pPr>
      <w:r w:rsidRPr="00154F1D">
        <w:t>make a treatment order;</w:t>
      </w:r>
    </w:p>
    <w:p w14:paraId="6A74DA11" w14:textId="77777777" w:rsidR="00ED6EE8" w:rsidRPr="00154F1D" w:rsidRDefault="00ED6EE8" w:rsidP="00F91782">
      <w:pPr>
        <w:pStyle w:val="NormalNumberedTextTLRI"/>
        <w:numPr>
          <w:ilvl w:val="0"/>
          <w:numId w:val="19"/>
        </w:numPr>
        <w:ind w:left="1276" w:hanging="425"/>
      </w:pPr>
      <w:r w:rsidRPr="00154F1D">
        <w:t>make a conditional release order; or</w:t>
      </w:r>
    </w:p>
    <w:p w14:paraId="1FDEB131" w14:textId="77777777" w:rsidR="00ED6EE8" w:rsidRPr="00154F1D" w:rsidRDefault="00ED6EE8" w:rsidP="00F91782">
      <w:pPr>
        <w:pStyle w:val="NormalNumberedTextTLRI"/>
        <w:numPr>
          <w:ilvl w:val="0"/>
          <w:numId w:val="19"/>
        </w:numPr>
        <w:ind w:left="1276" w:hanging="425"/>
      </w:pPr>
      <w:r w:rsidRPr="00154F1D">
        <w:t>make an unconditional release order.</w:t>
      </w:r>
    </w:p>
    <w:p w14:paraId="3D4077AC" w14:textId="77777777" w:rsidR="00ED6EE8" w:rsidRPr="00154F1D" w:rsidRDefault="00ED6EE8" w:rsidP="00F91782">
      <w:pPr>
        <w:pStyle w:val="NumberlessNormalText"/>
        <w:numPr>
          <w:ilvl w:val="0"/>
          <w:numId w:val="87"/>
        </w:numPr>
        <w:ind w:left="851" w:hanging="425"/>
      </w:pPr>
      <w:r w:rsidRPr="00154F1D">
        <w:t>Restriction orders and supervision orders are indefinite orders that can only be discharged or revoked by the Supreme Court.</w:t>
      </w:r>
    </w:p>
    <w:p w14:paraId="6D3BD746" w14:textId="01F17A38" w:rsidR="00ED6EE8" w:rsidRPr="00154F1D" w:rsidRDefault="00ED6EE8" w:rsidP="00F91782">
      <w:pPr>
        <w:pStyle w:val="NumberlessNormalText"/>
        <w:numPr>
          <w:ilvl w:val="0"/>
          <w:numId w:val="87"/>
        </w:numPr>
        <w:ind w:left="851" w:hanging="425"/>
      </w:pPr>
      <w:r w:rsidRPr="00154F1D">
        <w:t xml:space="preserve">In making orders under the </w:t>
      </w:r>
      <w:r w:rsidRPr="00154F1D">
        <w:rPr>
          <w:i/>
        </w:rPr>
        <w:t>Criminal Justice (Mental Impairment) Act 1999</w:t>
      </w:r>
      <w:r w:rsidRPr="00154F1D">
        <w:t xml:space="preserve"> (Tas), the court is directed by s 34 to apply, where appropriate, the principle that restrictions on the defendant’s freedom and personal autonomy should be kept to the minimum consistent with the safety of the community. The court is also directed by s 35(1) to have regard to the following: (a) the nature of the defendant’s mental impairment or other condition or disability; (b) whether the defendant is, or would if released be</w:t>
      </w:r>
      <w:r w:rsidR="00A12DA9">
        <w:t>,</w:t>
      </w:r>
      <w:r w:rsidRPr="00154F1D">
        <w:t xml:space="preserve"> likely to endanger another person or other persons generally; (c) whether there are adequate resources available for the treatment and support of the defendant in the community; (d) whether the defendant is likely to comply with the conditions of a supervision order; and (e) other matters that the court thinks relevant.</w:t>
      </w:r>
    </w:p>
    <w:p w14:paraId="2BBE97CF" w14:textId="545A06D7" w:rsidR="00ED6EE8" w:rsidRPr="00154F1D" w:rsidRDefault="00ED6EE8" w:rsidP="00F91782">
      <w:pPr>
        <w:pStyle w:val="NumberlessNormalText"/>
        <w:numPr>
          <w:ilvl w:val="0"/>
          <w:numId w:val="87"/>
        </w:numPr>
        <w:tabs>
          <w:tab w:val="left" w:pos="1418"/>
        </w:tabs>
        <w:ind w:left="851" w:hanging="425"/>
      </w:pPr>
      <w:r w:rsidRPr="00154F1D">
        <w:t xml:space="preserve">During the term of restriction and supervision orders, there are provisions for regular review of the order by the </w:t>
      </w:r>
      <w:r w:rsidR="00EB02C1" w:rsidRPr="00154F1D">
        <w:t>Mental Health Tribunal (</w:t>
      </w:r>
      <w:r w:rsidRPr="00154F1D">
        <w:t>MHT</w:t>
      </w:r>
      <w:r w:rsidR="00EB02C1" w:rsidRPr="00154F1D">
        <w:t>)</w:t>
      </w:r>
      <w:r w:rsidRPr="00154F1D">
        <w:t xml:space="preserve">. Under the </w:t>
      </w:r>
      <w:r w:rsidRPr="00154F1D">
        <w:rPr>
          <w:i/>
          <w:iCs/>
        </w:rPr>
        <w:t xml:space="preserve">Criminal Justice (Mental Impairment) Act 1999 </w:t>
      </w:r>
      <w:r w:rsidRPr="00154F1D">
        <w:rPr>
          <w:iCs/>
        </w:rPr>
        <w:t>(Tas)</w:t>
      </w:r>
      <w:r w:rsidRPr="00154F1D">
        <w:t>, forensic orders are to be reviewed by the MHT within 12 months after the order was made</w:t>
      </w:r>
      <w:r w:rsidR="00556DD2" w:rsidRPr="00154F1D">
        <w:t xml:space="preserve"> and</w:t>
      </w:r>
      <w:r w:rsidRPr="00154F1D">
        <w:t xml:space="preserve"> at least once in each period of 12 months afterwards. At a review, the MHT can issue a certificate if it determines that a forensic order is no longer warranted or that the conditions of the order are </w:t>
      </w:r>
      <w:r w:rsidR="007D587C" w:rsidRPr="00154F1D">
        <w:t>in</w:t>
      </w:r>
      <w:r w:rsidRPr="00154F1D">
        <w:t xml:space="preserve">appropriate. The factors set out in the </w:t>
      </w:r>
      <w:r w:rsidRPr="00154F1D">
        <w:rPr>
          <w:i/>
          <w:iCs/>
        </w:rPr>
        <w:t xml:space="preserve">Criminal Justice (Mental Impairment) Act 1999 </w:t>
      </w:r>
      <w:r w:rsidRPr="00154F1D">
        <w:rPr>
          <w:iCs/>
        </w:rPr>
        <w:t>(Tas)</w:t>
      </w:r>
      <w:r w:rsidRPr="00154F1D">
        <w:t xml:space="preserve"> ss 34 and 35 in relation to making of orders are also relevant </w:t>
      </w:r>
      <w:r w:rsidR="00556DD2" w:rsidRPr="00154F1D">
        <w:t xml:space="preserve">to </w:t>
      </w:r>
      <w:r w:rsidRPr="00154F1D">
        <w:t>the review process conducted by the MHT.</w:t>
      </w:r>
    </w:p>
    <w:p w14:paraId="49D2B1F2" w14:textId="34789DD4" w:rsidR="00ED6EE8" w:rsidRPr="00154F1D" w:rsidRDefault="00ED6EE8" w:rsidP="00F91782">
      <w:pPr>
        <w:pStyle w:val="NumberlessNormalText"/>
        <w:numPr>
          <w:ilvl w:val="0"/>
          <w:numId w:val="87"/>
        </w:numPr>
        <w:ind w:left="851" w:hanging="425"/>
      </w:pPr>
      <w:r w:rsidRPr="00154F1D">
        <w:t>If a certificate is issued, the defendant may apply immediately to the Supreme Court for a discharge, re</w:t>
      </w:r>
      <w:r w:rsidR="00556DD2" w:rsidRPr="00154F1D">
        <w:t>v</w:t>
      </w:r>
      <w:r w:rsidRPr="00154F1D">
        <w:t>o</w:t>
      </w:r>
      <w:r w:rsidR="00556DD2" w:rsidRPr="00154F1D">
        <w:t>c</w:t>
      </w:r>
      <w:r w:rsidRPr="00154F1D">
        <w:t xml:space="preserve">ation or variation of the forensic order. The factors set out above in relation to </w:t>
      </w:r>
      <w:r w:rsidR="00D2244C">
        <w:t xml:space="preserve">the </w:t>
      </w:r>
      <w:r w:rsidRPr="00154F1D">
        <w:t>making of orders are also relevant to the discharge of a restriction order and the variation or revocation of a supervision order by the Supreme Court.</w:t>
      </w:r>
    </w:p>
    <w:p w14:paraId="33017146" w14:textId="77777777" w:rsidR="00ED6EE8" w:rsidRPr="00154F1D" w:rsidRDefault="00ED6EE8" w:rsidP="00F91782">
      <w:pPr>
        <w:pStyle w:val="NumberlessNormalText"/>
        <w:numPr>
          <w:ilvl w:val="0"/>
          <w:numId w:val="87"/>
        </w:numPr>
        <w:ind w:left="851" w:hanging="425"/>
      </w:pPr>
      <w:r w:rsidRPr="00154F1D">
        <w:t xml:space="preserve">Under the </w:t>
      </w:r>
      <w:r w:rsidRPr="00154F1D">
        <w:rPr>
          <w:i/>
        </w:rPr>
        <w:t>Mental Health Act 2013</w:t>
      </w:r>
      <w:r w:rsidRPr="00154F1D">
        <w:t xml:space="preserve"> (Tas), the MHT may grant a forensic patient who is subject to a restriction order leave of absence from a secure mental health unit.</w:t>
      </w:r>
    </w:p>
    <w:p w14:paraId="59635488" w14:textId="63C91A9B" w:rsidR="00ED6EE8" w:rsidRPr="00154F1D" w:rsidRDefault="00ED6EE8" w:rsidP="00F91782">
      <w:pPr>
        <w:pStyle w:val="NumberlessNormalText"/>
        <w:numPr>
          <w:ilvl w:val="0"/>
          <w:numId w:val="87"/>
        </w:numPr>
        <w:ind w:left="851" w:hanging="425"/>
      </w:pPr>
      <w:r w:rsidRPr="00154F1D">
        <w:t>Concerns in relation to forensic orders in Tasmania include the indefinite nature of the orders.</w:t>
      </w:r>
    </w:p>
    <w:p w14:paraId="52AED7E5" w14:textId="406FBE5E" w:rsidR="00ED6EE8" w:rsidRPr="00154F1D" w:rsidRDefault="00ED6EE8" w:rsidP="00F91782">
      <w:pPr>
        <w:pStyle w:val="NumberlessNormalText"/>
        <w:numPr>
          <w:ilvl w:val="0"/>
          <w:numId w:val="87"/>
        </w:numPr>
        <w:ind w:left="851" w:hanging="425"/>
      </w:pPr>
      <w:r w:rsidRPr="00154F1D">
        <w:t xml:space="preserve">In some other jurisdictions, limiting terms exist to give an end date to forensic orders. If a limiting term was adopted in Tasmania, it would be necessary to determine whether this was an </w:t>
      </w:r>
      <w:r w:rsidRPr="00154F1D">
        <w:rPr>
          <w:b/>
        </w:rPr>
        <w:t>absolute limit</w:t>
      </w:r>
      <w:r w:rsidRPr="00154F1D">
        <w:t xml:space="preserve"> or a </w:t>
      </w:r>
      <w:r w:rsidRPr="00154F1D">
        <w:rPr>
          <w:b/>
        </w:rPr>
        <w:t>limit imposed with provision to extend</w:t>
      </w:r>
      <w:r w:rsidRPr="00154F1D">
        <w:t xml:space="preserve"> the period of restriction or supervision prior to the end of the limiting term. In addition, it would be necessary to determine the mechanism for setting the limiting term.</w:t>
      </w:r>
    </w:p>
    <w:p w14:paraId="189D5B03" w14:textId="59F92913" w:rsidR="00ED6EE8" w:rsidRPr="00154F1D" w:rsidRDefault="00C057E7" w:rsidP="00F91782">
      <w:pPr>
        <w:pStyle w:val="NumberlessNormalText"/>
        <w:numPr>
          <w:ilvl w:val="0"/>
          <w:numId w:val="87"/>
        </w:numPr>
        <w:ind w:left="851" w:hanging="425"/>
      </w:pPr>
      <w:r w:rsidRPr="00154F1D">
        <w:t>Concerns also have been raised in relation to the test that the Supreme Court should apply when making, varying, discharging or revoking orders — in particular, the basis on which such orders should be made, discharged or revoked</w:t>
      </w:r>
      <w:r w:rsidR="00ED6EE8" w:rsidRPr="00154F1D">
        <w:t xml:space="preserve">. </w:t>
      </w:r>
    </w:p>
    <w:p w14:paraId="67B94E5D" w14:textId="1EBF3E5D" w:rsidR="00ED6EE8" w:rsidRPr="00154F1D" w:rsidRDefault="00ED6EE8" w:rsidP="00F91782">
      <w:pPr>
        <w:pStyle w:val="NormalNumberedTextTLRI"/>
        <w:numPr>
          <w:ilvl w:val="0"/>
          <w:numId w:val="67"/>
        </w:numPr>
        <w:ind w:left="851" w:hanging="425"/>
        <w:rPr>
          <w:rStyle w:val="NormalNumberedTextTLRIChar"/>
        </w:rPr>
      </w:pPr>
      <w:r w:rsidRPr="00154F1D">
        <w:t xml:space="preserve">In Tasmania, only the Supreme Court has the power to discharge or revoke a forensic order. In some jurisdictions there are </w:t>
      </w:r>
      <w:r w:rsidRPr="00154F1D">
        <w:rPr>
          <w:rStyle w:val="NormalNumberedTextTLRIChar"/>
        </w:rPr>
        <w:t>other models of decision</w:t>
      </w:r>
      <w:r w:rsidR="00F777F9" w:rsidRPr="00154F1D">
        <w:rPr>
          <w:rStyle w:val="NormalNumberedTextTLRIChar"/>
        </w:rPr>
        <w:t>-</w:t>
      </w:r>
      <w:r w:rsidRPr="00154F1D">
        <w:rPr>
          <w:rStyle w:val="NormalNumberedTextTLRIChar"/>
        </w:rPr>
        <w:t>making in relation to the review and release of people subject to forensic order</w:t>
      </w:r>
      <w:r w:rsidR="006B4FC2" w:rsidRPr="00154F1D">
        <w:rPr>
          <w:rStyle w:val="NormalNumberedTextTLRIChar"/>
        </w:rPr>
        <w:t>s</w:t>
      </w:r>
      <w:r w:rsidRPr="00154F1D">
        <w:rPr>
          <w:rStyle w:val="NormalNumberedTextTLRIChar"/>
        </w:rPr>
        <w:t xml:space="preserve"> including review and revocation by a </w:t>
      </w:r>
      <w:r w:rsidR="007D587C" w:rsidRPr="00154F1D">
        <w:rPr>
          <w:rStyle w:val="NormalNumberedTextTLRIChar"/>
        </w:rPr>
        <w:t>tribunal rather than the court</w:t>
      </w:r>
      <w:r w:rsidRPr="00154F1D">
        <w:rPr>
          <w:rStyle w:val="NormalNumberedTextTLRIChar"/>
        </w:rPr>
        <w:t>.</w:t>
      </w:r>
    </w:p>
    <w:p w14:paraId="4B00428A" w14:textId="400536AB" w:rsidR="00ED6EE8" w:rsidRPr="00154F1D" w:rsidRDefault="00A80BB4" w:rsidP="00F91782">
      <w:pPr>
        <w:pStyle w:val="NormalNumberedTextTLRI"/>
        <w:numPr>
          <w:ilvl w:val="0"/>
          <w:numId w:val="67"/>
        </w:numPr>
        <w:ind w:left="851" w:hanging="425"/>
      </w:pPr>
      <w:r>
        <w:rPr>
          <w:rStyle w:val="NormalNumberedTextTLRIChar"/>
        </w:rPr>
        <w:t>Concerns</w:t>
      </w:r>
      <w:r w:rsidRPr="00154F1D">
        <w:rPr>
          <w:rStyle w:val="NormalNumberedTextTLRIChar"/>
        </w:rPr>
        <w:t xml:space="preserve"> </w:t>
      </w:r>
      <w:r w:rsidR="00ED6EE8" w:rsidRPr="00154F1D">
        <w:rPr>
          <w:rStyle w:val="NormalNumberedTextTLRIChar"/>
        </w:rPr>
        <w:t xml:space="preserve">have also been raised </w:t>
      </w:r>
      <w:r w:rsidR="00517187">
        <w:rPr>
          <w:rStyle w:val="NormalNumberedTextTLRIChar"/>
        </w:rPr>
        <w:t>about</w:t>
      </w:r>
      <w:r w:rsidR="00ED6EE8" w:rsidRPr="00154F1D">
        <w:rPr>
          <w:rStyle w:val="NormalNumberedTextTLRIChar"/>
        </w:rPr>
        <w:t xml:space="preserve"> the difficulties for </w:t>
      </w:r>
      <w:r w:rsidR="00ED6EE8" w:rsidRPr="00154F1D">
        <w:t xml:space="preserve">forensic patients </w:t>
      </w:r>
      <w:r w:rsidR="00517187">
        <w:t xml:space="preserve">to </w:t>
      </w:r>
      <w:r w:rsidR="00ED6EE8" w:rsidRPr="00154F1D">
        <w:t>transition from a restriction order to a supervision order or from a supervision order to treatment under the</w:t>
      </w:r>
      <w:r w:rsidR="00ED6EE8" w:rsidRPr="00154F1D">
        <w:rPr>
          <w:i/>
        </w:rPr>
        <w:t xml:space="preserve"> Mental Health Act 2013 </w:t>
      </w:r>
      <w:r w:rsidR="00ED6EE8" w:rsidRPr="00154F1D">
        <w:t xml:space="preserve">(Tas). There also appear to be difficulties in providing ‘step-up’ and ‘step-down’ options for </w:t>
      </w:r>
      <w:r>
        <w:t>forensic patient</w:t>
      </w:r>
      <w:r w:rsidR="00517187">
        <w:t>s</w:t>
      </w:r>
      <w:r w:rsidR="00ED6EE8" w:rsidRPr="00154F1D">
        <w:t xml:space="preserve"> seeking to transition from a restriction order (with detention at the Wilfred Lopes Centre) to detention in a community-based facility. Accordingly, the TLRI seeks feedback in relation to whether the </w:t>
      </w:r>
      <w:r w:rsidR="00ED6EE8" w:rsidRPr="00154F1D">
        <w:rPr>
          <w:i/>
          <w:iCs/>
        </w:rPr>
        <w:t xml:space="preserve">Criminal Justice (Mental Impairment) Act 1999 </w:t>
      </w:r>
      <w:r w:rsidR="00ED6EE8" w:rsidRPr="00154F1D">
        <w:rPr>
          <w:iCs/>
        </w:rPr>
        <w:t>(Tas)</w:t>
      </w:r>
      <w:r w:rsidR="00ED6EE8" w:rsidRPr="00154F1D">
        <w:t xml:space="preserve"> and the leave provision in the </w:t>
      </w:r>
      <w:r w:rsidR="00ED6EE8" w:rsidRPr="00154F1D">
        <w:rPr>
          <w:i/>
        </w:rPr>
        <w:t xml:space="preserve">Mental Health Act 2013 </w:t>
      </w:r>
      <w:r w:rsidR="00ED6EE8" w:rsidRPr="00154F1D">
        <w:t>(Tas) currently provide appropriate pathway</w:t>
      </w:r>
      <w:r w:rsidR="006B4FC2" w:rsidRPr="00154F1D">
        <w:t>s</w:t>
      </w:r>
      <w:r w:rsidR="00ED6EE8" w:rsidRPr="00154F1D">
        <w:t xml:space="preserve"> for gradual reintegration of a forensic patient into the community, consistent with the principles of least restriction and community safety. In this regard, options for reform could include changing the conditions that may attach to a supervision order, making changes to the leave provisions and the creation of step-down/step-up facilities to provide for appropriate levels of supervision and flexibility to respond to patient need. </w:t>
      </w:r>
    </w:p>
    <w:p w14:paraId="64059287" w14:textId="5E984F8E" w:rsidR="00ED6EE8" w:rsidRPr="00154F1D" w:rsidRDefault="00ED6EE8" w:rsidP="00F91782">
      <w:pPr>
        <w:pStyle w:val="NormalNumberedTextTLRI"/>
        <w:numPr>
          <w:ilvl w:val="0"/>
          <w:numId w:val="67"/>
        </w:numPr>
        <w:ind w:left="851" w:hanging="425"/>
      </w:pPr>
      <w:r w:rsidRPr="00154F1D">
        <w:t xml:space="preserve">Concerns have also been raised in relation to the appropriateness of </w:t>
      </w:r>
      <w:r w:rsidR="007D587C" w:rsidRPr="00154F1D">
        <w:t>o</w:t>
      </w:r>
      <w:r w:rsidRPr="00154F1D">
        <w:t xml:space="preserve">rders under the </w:t>
      </w:r>
      <w:r w:rsidRPr="00154F1D">
        <w:rPr>
          <w:i/>
          <w:iCs/>
        </w:rPr>
        <w:t xml:space="preserve">Criminal Justice (Mental Impairment) Act 1999 </w:t>
      </w:r>
      <w:r w:rsidRPr="00154F1D">
        <w:rPr>
          <w:iCs/>
        </w:rPr>
        <w:t>(Tas)</w:t>
      </w:r>
      <w:r w:rsidRPr="00154F1D">
        <w:t xml:space="preserve"> for people with intellectual disabilities. </w:t>
      </w:r>
    </w:p>
    <w:p w14:paraId="33199E0A" w14:textId="77777777" w:rsidR="00F31663" w:rsidRPr="00154F1D" w:rsidRDefault="00F31663" w:rsidP="00F31663">
      <w:pPr>
        <w:pStyle w:val="NormalNumberedTextTLRI"/>
        <w:numPr>
          <w:ilvl w:val="0"/>
          <w:numId w:val="0"/>
        </w:numPr>
        <w:sectPr w:rsidR="00F31663" w:rsidRPr="00154F1D" w:rsidSect="005F2C54">
          <w:headerReference w:type="even" r:id="rId20"/>
          <w:headerReference w:type="default" r:id="rId21"/>
          <w:pgSz w:w="11900" w:h="16840"/>
          <w:pgMar w:top="1440" w:right="1797" w:bottom="1440" w:left="1797" w:header="709" w:footer="709" w:gutter="0"/>
          <w:pgNumType w:fmt="lowerRoman"/>
          <w:cols w:space="708"/>
          <w:titlePg/>
          <w:docGrid w:linePitch="360"/>
        </w:sectPr>
      </w:pPr>
    </w:p>
    <w:p w14:paraId="594A12C6" w14:textId="63B19E01" w:rsidR="00AD48E9" w:rsidRPr="00154F1D" w:rsidRDefault="00ED6EE8" w:rsidP="00A423A4">
      <w:pPr>
        <w:pStyle w:val="NumberlessSectionHeading"/>
        <w:spacing w:before="0" w:after="600"/>
        <w:rPr>
          <w:sz w:val="48"/>
          <w:szCs w:val="48"/>
        </w:rPr>
      </w:pPr>
      <w:bookmarkStart w:id="32" w:name="_Toc535868901"/>
      <w:r w:rsidRPr="00154F1D">
        <w:rPr>
          <w:sz w:val="48"/>
          <w:szCs w:val="48"/>
        </w:rPr>
        <w:t xml:space="preserve">Summary of </w:t>
      </w:r>
      <w:r w:rsidR="00A423A4" w:rsidRPr="00154F1D">
        <w:rPr>
          <w:sz w:val="48"/>
          <w:szCs w:val="48"/>
        </w:rPr>
        <w:t>Q</w:t>
      </w:r>
      <w:r w:rsidRPr="00154F1D">
        <w:rPr>
          <w:sz w:val="48"/>
          <w:szCs w:val="48"/>
        </w:rPr>
        <w:t>uestions</w:t>
      </w:r>
      <w:bookmarkEnd w:id="32"/>
    </w:p>
    <w:p w14:paraId="3CEF8A46" w14:textId="13A4D0EF" w:rsidR="00ED6EE8" w:rsidRPr="00154F1D" w:rsidRDefault="00ED6EE8" w:rsidP="00942FAF">
      <w:pPr>
        <w:pStyle w:val="NormalNumberedTextTLRI"/>
        <w:numPr>
          <w:ilvl w:val="0"/>
          <w:numId w:val="0"/>
        </w:numPr>
        <w:spacing w:after="360"/>
        <w:ind w:right="79"/>
      </w:pPr>
      <w:r w:rsidRPr="00154F1D">
        <w:t xml:space="preserve">The Institute welcomes your response to any individual question or to all questions contained within this </w:t>
      </w:r>
      <w:r w:rsidR="00942FAF" w:rsidRPr="00154F1D">
        <w:t>Issues Paper</w:t>
      </w:r>
      <w:r w:rsidRPr="00154F1D">
        <w:t>. A full list of the consultation questions is contained below with page references for questions that relate to different parts of the Issues Paper.</w:t>
      </w:r>
      <w:r w:rsidR="00F31663" w:rsidRPr="00154F1D">
        <w:t xml:space="preserve"> </w:t>
      </w:r>
    </w:p>
    <w:tbl>
      <w:tblPr>
        <w:tblStyle w:val="TableGrid"/>
        <w:tblW w:w="82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55"/>
        <w:gridCol w:w="7362"/>
      </w:tblGrid>
      <w:tr w:rsidR="00AD48E9" w:rsidRPr="00154F1D" w14:paraId="2974DC27" w14:textId="77777777" w:rsidTr="00FC44D9">
        <w:tc>
          <w:tcPr>
            <w:tcW w:w="855" w:type="dxa"/>
            <w:shd w:val="clear" w:color="auto" w:fill="D9D9D9" w:themeFill="background1" w:themeFillShade="D9"/>
          </w:tcPr>
          <w:p w14:paraId="67E6DAB9" w14:textId="30A0157D" w:rsidR="00AD48E9" w:rsidRPr="00154F1D" w:rsidRDefault="00AD48E9" w:rsidP="00942FAF">
            <w:pPr>
              <w:pStyle w:val="NumberlessNormalText"/>
              <w:rPr>
                <w:b/>
              </w:rPr>
            </w:pPr>
            <w:r w:rsidRPr="00154F1D">
              <w:rPr>
                <w:b/>
              </w:rPr>
              <w:t>Part 3</w:t>
            </w:r>
          </w:p>
        </w:tc>
        <w:tc>
          <w:tcPr>
            <w:tcW w:w="7362" w:type="dxa"/>
            <w:shd w:val="clear" w:color="auto" w:fill="D9D9D9" w:themeFill="background1" w:themeFillShade="D9"/>
          </w:tcPr>
          <w:p w14:paraId="1E61CFFD" w14:textId="766F47CC" w:rsidR="00AD48E9" w:rsidRPr="00154F1D" w:rsidRDefault="00AD48E9" w:rsidP="00942FAF">
            <w:pPr>
              <w:pStyle w:val="NumberlessNormalText"/>
              <w:rPr>
                <w:b/>
              </w:rPr>
            </w:pPr>
            <w:r w:rsidRPr="00154F1D">
              <w:rPr>
                <w:b/>
              </w:rPr>
              <w:t>Mental health</w:t>
            </w:r>
            <w:r w:rsidR="005D096F">
              <w:rPr>
                <w:b/>
              </w:rPr>
              <w:t xml:space="preserve"> and</w:t>
            </w:r>
            <w:r w:rsidRPr="00154F1D">
              <w:rPr>
                <w:b/>
              </w:rPr>
              <w:t xml:space="preserve"> cognitive impairment</w:t>
            </w:r>
            <w:r w:rsidR="001F5A8A">
              <w:rPr>
                <w:b/>
              </w:rPr>
              <w:t>s</w:t>
            </w:r>
            <w:r w:rsidRPr="00154F1D">
              <w:rPr>
                <w:b/>
              </w:rPr>
              <w:t xml:space="preserve"> </w:t>
            </w:r>
            <w:r w:rsidR="00177159" w:rsidRPr="00154F1D">
              <w:rPr>
                <w:b/>
              </w:rPr>
              <w:t xml:space="preserve">and </w:t>
            </w:r>
            <w:r w:rsidRPr="00154F1D">
              <w:rPr>
                <w:b/>
              </w:rPr>
              <w:t>the criminal justice system</w:t>
            </w:r>
            <w:r w:rsidR="004A65D2" w:rsidRPr="00154F1D">
              <w:rPr>
                <w:b/>
              </w:rPr>
              <w:t xml:space="preserve"> </w:t>
            </w:r>
          </w:p>
        </w:tc>
      </w:tr>
      <w:tr w:rsidR="00AD48E9" w:rsidRPr="00154F1D" w14:paraId="27060F35" w14:textId="77777777" w:rsidTr="00FC44D9">
        <w:tc>
          <w:tcPr>
            <w:tcW w:w="855" w:type="dxa"/>
            <w:shd w:val="clear" w:color="auto" w:fill="auto"/>
          </w:tcPr>
          <w:p w14:paraId="6D3E2EBF" w14:textId="504305B1" w:rsidR="00AD48E9" w:rsidRPr="00154F1D" w:rsidRDefault="004A65D2" w:rsidP="00942FAF">
            <w:pPr>
              <w:pStyle w:val="NumberlessNormalText"/>
            </w:pPr>
            <w:r w:rsidRPr="00154F1D">
              <w:t>3.3</w:t>
            </w:r>
          </w:p>
        </w:tc>
        <w:tc>
          <w:tcPr>
            <w:tcW w:w="7362" w:type="dxa"/>
            <w:shd w:val="clear" w:color="auto" w:fill="auto"/>
          </w:tcPr>
          <w:p w14:paraId="05945824" w14:textId="7DCCE00C" w:rsidR="00AD48E9" w:rsidRPr="00154F1D" w:rsidRDefault="00AD48E9" w:rsidP="00323BB4">
            <w:pPr>
              <w:pStyle w:val="NumberlessNormalText"/>
              <w:numPr>
                <w:ilvl w:val="0"/>
                <w:numId w:val="90"/>
              </w:numPr>
              <w:spacing w:after="160"/>
              <w:ind w:left="357" w:hanging="357"/>
            </w:pPr>
            <w:r w:rsidRPr="00154F1D">
              <w:t xml:space="preserve">Should there be an amendment to the dangerous criminal provisions contained in the </w:t>
            </w:r>
            <w:r w:rsidRPr="00323BB4">
              <w:rPr>
                <w:i/>
              </w:rPr>
              <w:t>Sentencing Act 1997</w:t>
            </w:r>
            <w:r w:rsidRPr="00154F1D">
              <w:t xml:space="preserve"> (Tas) to provide a statutory trigger for judicial consideration of the appropriateness of a making an order under the </w:t>
            </w:r>
            <w:r w:rsidRPr="00323BB4">
              <w:rPr>
                <w:i/>
              </w:rPr>
              <w:t>Sentencing Act 1997</w:t>
            </w:r>
            <w:r w:rsidRPr="00154F1D">
              <w:t xml:space="preserve"> (Tas) Part 10 instead of a dangerous criminal declaration?</w:t>
            </w:r>
            <w:r w:rsidR="003A51E6">
              <w:t xml:space="preserve"> </w:t>
            </w:r>
            <w:r w:rsidR="008144AF">
              <w:t xml:space="preserve">(Page </w:t>
            </w:r>
            <w:r w:rsidR="008144AF">
              <w:fldChar w:fldCharType="begin"/>
            </w:r>
            <w:r w:rsidR="008144AF">
              <w:instrText xml:space="preserve"> PAGEREF Q1 \h </w:instrText>
            </w:r>
            <w:r w:rsidR="008144AF">
              <w:fldChar w:fldCharType="separate"/>
            </w:r>
            <w:r w:rsidR="001F209C">
              <w:rPr>
                <w:noProof/>
              </w:rPr>
              <w:t>21</w:t>
            </w:r>
            <w:r w:rsidR="008144AF">
              <w:fldChar w:fldCharType="end"/>
            </w:r>
            <w:r w:rsidR="008144AF">
              <w:t>)</w:t>
            </w:r>
          </w:p>
        </w:tc>
      </w:tr>
      <w:tr w:rsidR="00ED6EE8" w:rsidRPr="00154F1D" w14:paraId="0B845597" w14:textId="77777777" w:rsidTr="00FC44D9">
        <w:tc>
          <w:tcPr>
            <w:tcW w:w="855" w:type="dxa"/>
            <w:shd w:val="clear" w:color="auto" w:fill="D9D9D9" w:themeFill="background1" w:themeFillShade="D9"/>
          </w:tcPr>
          <w:p w14:paraId="4C98869B" w14:textId="77777777" w:rsidR="00ED6EE8" w:rsidRPr="00154F1D" w:rsidRDefault="00ED6EE8" w:rsidP="00942FAF">
            <w:pPr>
              <w:pStyle w:val="NumberlessNormalText"/>
              <w:rPr>
                <w:b/>
              </w:rPr>
            </w:pPr>
            <w:r w:rsidRPr="00154F1D">
              <w:rPr>
                <w:b/>
              </w:rPr>
              <w:t>Part 4</w:t>
            </w:r>
          </w:p>
        </w:tc>
        <w:tc>
          <w:tcPr>
            <w:tcW w:w="7362" w:type="dxa"/>
            <w:shd w:val="clear" w:color="auto" w:fill="D9D9D9" w:themeFill="background1" w:themeFillShade="D9"/>
          </w:tcPr>
          <w:p w14:paraId="1270C6B9" w14:textId="313CF4D9" w:rsidR="00ED6EE8" w:rsidRPr="00154F1D" w:rsidRDefault="00ED6EE8" w:rsidP="00942FAF">
            <w:pPr>
              <w:pStyle w:val="NumberlessNormalText"/>
              <w:rPr>
                <w:b/>
              </w:rPr>
            </w:pPr>
            <w:r w:rsidRPr="00154F1D">
              <w:rPr>
                <w:b/>
              </w:rPr>
              <w:t xml:space="preserve">Unfitness to stand trial: The test </w:t>
            </w:r>
          </w:p>
        </w:tc>
      </w:tr>
      <w:tr w:rsidR="00ED6EE8" w:rsidRPr="00154F1D" w14:paraId="1017A370" w14:textId="77777777" w:rsidTr="00FC44D9">
        <w:tc>
          <w:tcPr>
            <w:tcW w:w="855" w:type="dxa"/>
          </w:tcPr>
          <w:p w14:paraId="6ED4460A" w14:textId="77777777" w:rsidR="00ED6EE8" w:rsidRPr="00154F1D" w:rsidRDefault="00ED6EE8" w:rsidP="00942FAF">
            <w:pPr>
              <w:pStyle w:val="NumberlessNormalText"/>
            </w:pPr>
            <w:r w:rsidRPr="00154F1D">
              <w:t>4.4</w:t>
            </w:r>
          </w:p>
        </w:tc>
        <w:tc>
          <w:tcPr>
            <w:tcW w:w="7362" w:type="dxa"/>
          </w:tcPr>
          <w:p w14:paraId="608FD2B6" w14:textId="48BE855E" w:rsidR="00ED6EE8" w:rsidRPr="00154F1D" w:rsidRDefault="00ED6EE8" w:rsidP="00942FAF">
            <w:pPr>
              <w:pStyle w:val="NumberlessNormalText"/>
              <w:numPr>
                <w:ilvl w:val="0"/>
                <w:numId w:val="90"/>
              </w:numPr>
              <w:spacing w:after="160"/>
              <w:ind w:left="357" w:hanging="357"/>
            </w:pPr>
            <w:r w:rsidRPr="00154F1D">
              <w:t>Should the doctrine of fitness to stand trial be abolished in Tasmania?</w:t>
            </w:r>
            <w:r w:rsidR="00D839F7">
              <w:t xml:space="preserve"> (Page </w:t>
            </w:r>
            <w:r w:rsidR="00A23D2B">
              <w:fldChar w:fldCharType="begin"/>
            </w:r>
            <w:r w:rsidR="00A23D2B">
              <w:instrText xml:space="preserve"> PAGEREF Q2 \h </w:instrText>
            </w:r>
            <w:r w:rsidR="00A23D2B">
              <w:fldChar w:fldCharType="separate"/>
            </w:r>
            <w:r w:rsidR="001F209C">
              <w:rPr>
                <w:noProof/>
              </w:rPr>
              <w:t>29</w:t>
            </w:r>
            <w:r w:rsidR="00A23D2B">
              <w:fldChar w:fldCharType="end"/>
            </w:r>
            <w:r w:rsidR="00D839F7">
              <w:t xml:space="preserve">) </w:t>
            </w:r>
          </w:p>
          <w:p w14:paraId="08936B4F" w14:textId="7473991F" w:rsidR="00ED6EE8" w:rsidRPr="00154F1D" w:rsidRDefault="00ED6EE8" w:rsidP="00942FAF">
            <w:pPr>
              <w:pStyle w:val="NumberlessNormalText"/>
              <w:numPr>
                <w:ilvl w:val="0"/>
                <w:numId w:val="90"/>
              </w:numPr>
              <w:spacing w:after="160"/>
            </w:pPr>
            <w:r w:rsidRPr="00154F1D">
              <w:t xml:space="preserve">If so, how should the law be changed to ensure that </w:t>
            </w:r>
            <w:r w:rsidR="00184652">
              <w:t>individual</w:t>
            </w:r>
            <w:r w:rsidR="00184652" w:rsidRPr="00154F1D">
              <w:t xml:space="preserve">s </w:t>
            </w:r>
            <w:r w:rsidRPr="00154F1D">
              <w:t>who are not able to participate in the trial process (even with the provision of supports) receive a fair trial?</w:t>
            </w:r>
            <w:r w:rsidR="00D839F7">
              <w:t xml:space="preserve"> (Page </w:t>
            </w:r>
            <w:r w:rsidR="00A23D2B">
              <w:fldChar w:fldCharType="begin"/>
            </w:r>
            <w:r w:rsidR="00A23D2B">
              <w:instrText xml:space="preserve"> PAGEREF Q2 \h </w:instrText>
            </w:r>
            <w:r w:rsidR="00A23D2B">
              <w:fldChar w:fldCharType="separate"/>
            </w:r>
            <w:r w:rsidR="001F209C">
              <w:rPr>
                <w:noProof/>
              </w:rPr>
              <w:t>29</w:t>
            </w:r>
            <w:r w:rsidR="00A23D2B">
              <w:fldChar w:fldCharType="end"/>
            </w:r>
            <w:r w:rsidR="00D839F7">
              <w:t>)</w:t>
            </w:r>
          </w:p>
          <w:p w14:paraId="1A886B5A" w14:textId="7C701C64" w:rsidR="00ED6EE8" w:rsidRPr="00154F1D" w:rsidRDefault="00ED6EE8" w:rsidP="00942FAF">
            <w:pPr>
              <w:pStyle w:val="NumberlessNormalText"/>
              <w:numPr>
                <w:ilvl w:val="0"/>
                <w:numId w:val="90"/>
              </w:numPr>
              <w:spacing w:after="160"/>
            </w:pPr>
            <w:r w:rsidRPr="00154F1D">
              <w:t xml:space="preserve">Does the current test for unfitness to stand trial contained in the </w:t>
            </w:r>
            <w:r w:rsidRPr="00154F1D">
              <w:rPr>
                <w:i/>
              </w:rPr>
              <w:t>Criminal Justice (Mental Impairment) Act 1999</w:t>
            </w:r>
            <w:r w:rsidRPr="00154F1D">
              <w:t xml:space="preserve"> (Tas) s 8 continue to be a suitable basis for determining unfitness to stand trial? </w:t>
            </w:r>
            <w:r w:rsidR="00D839F7">
              <w:t xml:space="preserve">(Page </w:t>
            </w:r>
            <w:r w:rsidR="000E0955">
              <w:fldChar w:fldCharType="begin"/>
            </w:r>
            <w:r w:rsidR="000E0955">
              <w:instrText xml:space="preserve"> PAGEREF Q4 \h </w:instrText>
            </w:r>
            <w:r w:rsidR="000E0955">
              <w:fldChar w:fldCharType="separate"/>
            </w:r>
            <w:r w:rsidR="001F209C">
              <w:rPr>
                <w:noProof/>
              </w:rPr>
              <w:t>39</w:t>
            </w:r>
            <w:r w:rsidR="000E0955">
              <w:fldChar w:fldCharType="end"/>
            </w:r>
            <w:r w:rsidR="00D839F7">
              <w:t>)</w:t>
            </w:r>
          </w:p>
          <w:p w14:paraId="7E8B1144" w14:textId="77C1E299" w:rsidR="00ED6EE8" w:rsidRPr="00154F1D" w:rsidRDefault="00ED6EE8" w:rsidP="00942FAF">
            <w:pPr>
              <w:pStyle w:val="NumberlessNormalText"/>
              <w:numPr>
                <w:ilvl w:val="0"/>
                <w:numId w:val="90"/>
              </w:numPr>
              <w:spacing w:after="160"/>
            </w:pPr>
            <w:r w:rsidRPr="00154F1D">
              <w:t xml:space="preserve">Are there any difficulties that arise from the current application of the criteria contained in the </w:t>
            </w:r>
            <w:r w:rsidRPr="00154F1D">
              <w:rPr>
                <w:i/>
              </w:rPr>
              <w:t>Criminal Justice Mental Impairment Act 1999</w:t>
            </w:r>
            <w:r w:rsidRPr="00154F1D">
              <w:t xml:space="preserve"> (Tas) s 8? For example, are there difficulties with the test that give rise to a subjective interpretation of the criteria by medical experts? </w:t>
            </w:r>
            <w:r w:rsidR="00D839F7">
              <w:t xml:space="preserve">(Page </w:t>
            </w:r>
            <w:r w:rsidR="000E0955">
              <w:fldChar w:fldCharType="begin"/>
            </w:r>
            <w:r w:rsidR="000E0955">
              <w:instrText xml:space="preserve"> PAGEREF Q4 \h </w:instrText>
            </w:r>
            <w:r w:rsidR="000E0955">
              <w:fldChar w:fldCharType="separate"/>
            </w:r>
            <w:r w:rsidR="001F209C">
              <w:rPr>
                <w:noProof/>
              </w:rPr>
              <w:t>39</w:t>
            </w:r>
            <w:r w:rsidR="000E0955">
              <w:fldChar w:fldCharType="end"/>
            </w:r>
            <w:r w:rsidR="00D839F7">
              <w:t>)</w:t>
            </w:r>
          </w:p>
          <w:p w14:paraId="38225909" w14:textId="12781E6E" w:rsidR="00ED6EE8" w:rsidRPr="00154F1D" w:rsidRDefault="00ED6EE8" w:rsidP="00942FAF">
            <w:pPr>
              <w:pStyle w:val="NumberlessNormalText"/>
              <w:numPr>
                <w:ilvl w:val="0"/>
                <w:numId w:val="90"/>
              </w:numPr>
              <w:spacing w:after="160"/>
            </w:pPr>
            <w:r w:rsidRPr="00154F1D">
              <w:t xml:space="preserve">Is the current test under-inclusive and not able to appropriately </w:t>
            </w:r>
            <w:r w:rsidR="0092170F" w:rsidRPr="00154F1D">
              <w:t xml:space="preserve">reflect </w:t>
            </w:r>
            <w:r w:rsidRPr="00154F1D">
              <w:t xml:space="preserve">the issues that arise for </w:t>
            </w:r>
            <w:r w:rsidR="00184652">
              <w:t>individual</w:t>
            </w:r>
            <w:r w:rsidR="00184652" w:rsidRPr="00154F1D">
              <w:t xml:space="preserve">s </w:t>
            </w:r>
            <w:r w:rsidRPr="00154F1D">
              <w:t xml:space="preserve">with mental illness? </w:t>
            </w:r>
            <w:r w:rsidR="00D839F7">
              <w:t xml:space="preserve">(Page </w:t>
            </w:r>
            <w:r w:rsidR="000E0955">
              <w:fldChar w:fldCharType="begin"/>
            </w:r>
            <w:r w:rsidR="000E0955">
              <w:instrText xml:space="preserve"> PAGEREF Q4 \h </w:instrText>
            </w:r>
            <w:r w:rsidR="000E0955">
              <w:fldChar w:fldCharType="separate"/>
            </w:r>
            <w:r w:rsidR="001F209C">
              <w:rPr>
                <w:noProof/>
              </w:rPr>
              <w:t>39</w:t>
            </w:r>
            <w:r w:rsidR="000E0955">
              <w:fldChar w:fldCharType="end"/>
            </w:r>
            <w:r w:rsidR="00D839F7">
              <w:t>)</w:t>
            </w:r>
          </w:p>
          <w:p w14:paraId="18BE8783" w14:textId="59EADE13" w:rsidR="00ED6EE8" w:rsidRPr="00154F1D" w:rsidRDefault="00ED6EE8" w:rsidP="00942FAF">
            <w:pPr>
              <w:pStyle w:val="NumberlessNormalText"/>
              <w:numPr>
                <w:ilvl w:val="0"/>
                <w:numId w:val="90"/>
              </w:numPr>
              <w:spacing w:after="160"/>
            </w:pPr>
            <w:r w:rsidRPr="00154F1D">
              <w:t xml:space="preserve">Should the test of unfitness to stand trial contained in the </w:t>
            </w:r>
            <w:r w:rsidRPr="00154F1D">
              <w:rPr>
                <w:i/>
              </w:rPr>
              <w:t>Criminal Justice Mental Impairment Act 1999</w:t>
            </w:r>
            <w:r w:rsidRPr="00154F1D">
              <w:t xml:space="preserve"> (Tas) s 8 include consideration of an accused person’s decision</w:t>
            </w:r>
            <w:r w:rsidR="00BC4F28" w:rsidRPr="00154F1D">
              <w:t>-</w:t>
            </w:r>
            <w:r w:rsidRPr="00154F1D">
              <w:t>making capacity and/or ability for effective participation?</w:t>
            </w:r>
            <w:r w:rsidR="00D839F7">
              <w:t xml:space="preserve"> (Page </w:t>
            </w:r>
            <w:r w:rsidR="000E0955">
              <w:fldChar w:fldCharType="begin"/>
            </w:r>
            <w:r w:rsidR="000E0955">
              <w:instrText xml:space="preserve"> PAGEREF Q4 \h </w:instrText>
            </w:r>
            <w:r w:rsidR="000E0955">
              <w:fldChar w:fldCharType="separate"/>
            </w:r>
            <w:r w:rsidR="001F209C">
              <w:rPr>
                <w:noProof/>
              </w:rPr>
              <w:t>39</w:t>
            </w:r>
            <w:r w:rsidR="000E0955">
              <w:fldChar w:fldCharType="end"/>
            </w:r>
            <w:r w:rsidR="00D839F7">
              <w:t>)</w:t>
            </w:r>
          </w:p>
          <w:p w14:paraId="60616CE0" w14:textId="66FE9287" w:rsidR="00ED6EE8" w:rsidRPr="00154F1D" w:rsidRDefault="00ED6EE8" w:rsidP="00942FAF">
            <w:pPr>
              <w:pStyle w:val="NumberlessNormalText"/>
              <w:numPr>
                <w:ilvl w:val="0"/>
                <w:numId w:val="90"/>
              </w:numPr>
              <w:spacing w:after="160"/>
            </w:pPr>
            <w:r w:rsidRPr="00154F1D">
              <w:t xml:space="preserve">Should the test of unfitness to stand trial contained in the </w:t>
            </w:r>
            <w:r w:rsidRPr="00154F1D">
              <w:rPr>
                <w:i/>
              </w:rPr>
              <w:t>Criminal Justice Mental Impairment Act 1999</w:t>
            </w:r>
            <w:r w:rsidRPr="00154F1D">
              <w:t xml:space="preserve"> (Tas) s 8 include an overarching requirement of a fair trial in the application of the criteria?</w:t>
            </w:r>
            <w:r w:rsidR="00D839F7">
              <w:t xml:space="preserve"> (Page </w:t>
            </w:r>
            <w:r w:rsidR="000E0955">
              <w:fldChar w:fldCharType="begin"/>
            </w:r>
            <w:r w:rsidR="000E0955">
              <w:instrText xml:space="preserve"> PAGEREF Q4 \h </w:instrText>
            </w:r>
            <w:r w:rsidR="000E0955">
              <w:fldChar w:fldCharType="separate"/>
            </w:r>
            <w:r w:rsidR="001F209C">
              <w:rPr>
                <w:noProof/>
              </w:rPr>
              <w:t>39</w:t>
            </w:r>
            <w:r w:rsidR="000E0955">
              <w:fldChar w:fldCharType="end"/>
            </w:r>
            <w:r w:rsidR="00D839F7">
              <w:t>)</w:t>
            </w:r>
          </w:p>
          <w:p w14:paraId="149AC7BC" w14:textId="200E90A9" w:rsidR="00ED6EE8" w:rsidRPr="00154F1D" w:rsidRDefault="00ED6EE8" w:rsidP="00942FAF">
            <w:pPr>
              <w:pStyle w:val="NumberlessNormalText"/>
              <w:numPr>
                <w:ilvl w:val="0"/>
                <w:numId w:val="90"/>
              </w:numPr>
              <w:spacing w:after="160"/>
            </w:pPr>
            <w:r w:rsidRPr="00154F1D">
              <w:t xml:space="preserve">Should the test of unfitness to stand trial contained in the </w:t>
            </w:r>
            <w:r w:rsidRPr="00154F1D">
              <w:rPr>
                <w:i/>
              </w:rPr>
              <w:t>Criminal Justice Mental Impairment Act 1999</w:t>
            </w:r>
            <w:r w:rsidRPr="00154F1D">
              <w:t xml:space="preserve"> (Tas) s 8 include a requirement that the accused person is able to exercise the criteria rationally?</w:t>
            </w:r>
            <w:r w:rsidR="00D839F7">
              <w:t xml:space="preserve"> (Page </w:t>
            </w:r>
            <w:r w:rsidR="000E0955">
              <w:fldChar w:fldCharType="begin"/>
            </w:r>
            <w:r w:rsidR="000E0955">
              <w:instrText xml:space="preserve"> PAGEREF Q9 \h </w:instrText>
            </w:r>
            <w:r w:rsidR="000E0955">
              <w:fldChar w:fldCharType="separate"/>
            </w:r>
            <w:r w:rsidR="001F209C">
              <w:rPr>
                <w:noProof/>
              </w:rPr>
              <w:t>40</w:t>
            </w:r>
            <w:r w:rsidR="000E0955">
              <w:fldChar w:fldCharType="end"/>
            </w:r>
            <w:r w:rsidR="00D839F7">
              <w:t>)</w:t>
            </w:r>
          </w:p>
          <w:p w14:paraId="10ED4287" w14:textId="798A5034" w:rsidR="00ED6EE8" w:rsidRPr="00154F1D" w:rsidRDefault="00ED6EE8" w:rsidP="00942FAF">
            <w:pPr>
              <w:pStyle w:val="NumberlessNormalText"/>
              <w:numPr>
                <w:ilvl w:val="0"/>
                <w:numId w:val="90"/>
              </w:numPr>
              <w:spacing w:after="160"/>
            </w:pPr>
            <w:r w:rsidRPr="00154F1D">
              <w:t xml:space="preserve">Are changes required to the criteria contained in the </w:t>
            </w:r>
            <w:r w:rsidRPr="00154F1D">
              <w:rPr>
                <w:i/>
              </w:rPr>
              <w:t>Criminal Justice Mental Impairment Act 1999</w:t>
            </w:r>
            <w:r w:rsidRPr="00154F1D">
              <w:t xml:space="preserve"> (Tas) s 8 to allow for an accused to participate meaningfully in the trial process?</w:t>
            </w:r>
            <w:r w:rsidR="00D839F7">
              <w:t xml:space="preserve"> (Page </w:t>
            </w:r>
            <w:r w:rsidR="000E0955">
              <w:fldChar w:fldCharType="begin"/>
            </w:r>
            <w:r w:rsidR="000E0955">
              <w:instrText xml:space="preserve"> PAGEREF Q9 \h </w:instrText>
            </w:r>
            <w:r w:rsidR="000E0955">
              <w:fldChar w:fldCharType="separate"/>
            </w:r>
            <w:r w:rsidR="001F209C">
              <w:rPr>
                <w:noProof/>
              </w:rPr>
              <w:t>40</w:t>
            </w:r>
            <w:r w:rsidR="000E0955">
              <w:fldChar w:fldCharType="end"/>
            </w:r>
            <w:r w:rsidR="00D839F7">
              <w:t>)</w:t>
            </w:r>
          </w:p>
          <w:p w14:paraId="791DF69A" w14:textId="440F8688" w:rsidR="00ED6EE8" w:rsidRPr="00154F1D" w:rsidRDefault="00ED6EE8" w:rsidP="00942FAF">
            <w:pPr>
              <w:pStyle w:val="NumberlessNormalText"/>
              <w:numPr>
                <w:ilvl w:val="0"/>
                <w:numId w:val="90"/>
              </w:numPr>
              <w:spacing w:after="160"/>
            </w:pPr>
            <w:r w:rsidRPr="00154F1D">
              <w:t xml:space="preserve">What changes to the criteria contained in the </w:t>
            </w:r>
            <w:r w:rsidRPr="00154F1D">
              <w:rPr>
                <w:i/>
              </w:rPr>
              <w:t>Criminal Justice Mental Impairment Act 1999</w:t>
            </w:r>
            <w:r w:rsidRPr="00154F1D">
              <w:t xml:space="preserve"> (Tas) can be made, if any, to enhance the ability of experts to assess an accused person’s fitness to stand trial?</w:t>
            </w:r>
            <w:r w:rsidR="00D839F7">
              <w:t xml:space="preserve"> (Page </w:t>
            </w:r>
            <w:r w:rsidR="000E0955">
              <w:fldChar w:fldCharType="begin"/>
            </w:r>
            <w:r w:rsidR="000E0955">
              <w:instrText xml:space="preserve"> PAGEREF Q9 \h </w:instrText>
            </w:r>
            <w:r w:rsidR="000E0955">
              <w:fldChar w:fldCharType="separate"/>
            </w:r>
            <w:r w:rsidR="001F209C">
              <w:rPr>
                <w:noProof/>
              </w:rPr>
              <w:t>40</w:t>
            </w:r>
            <w:r w:rsidR="000E0955">
              <w:fldChar w:fldCharType="end"/>
            </w:r>
            <w:r w:rsidR="00D839F7">
              <w:t>)</w:t>
            </w:r>
          </w:p>
          <w:p w14:paraId="0D8A6FAE" w14:textId="428224A8" w:rsidR="00ED6EE8" w:rsidRPr="00154F1D" w:rsidRDefault="00ED6EE8" w:rsidP="00BC4F28">
            <w:pPr>
              <w:pStyle w:val="NumberlessNormalText"/>
              <w:numPr>
                <w:ilvl w:val="0"/>
                <w:numId w:val="90"/>
              </w:numPr>
            </w:pPr>
            <w:r w:rsidRPr="00154F1D">
              <w:t xml:space="preserve">Should the availability of accommodations and support measures, including the potential use of an intermediary/communication assistant (if the scheme is adopted) be specified in the </w:t>
            </w:r>
            <w:r w:rsidRPr="00154F1D">
              <w:rPr>
                <w:i/>
              </w:rPr>
              <w:t>Criminal Justice Mental Impairment Act 1999</w:t>
            </w:r>
            <w:r w:rsidRPr="00154F1D">
              <w:t xml:space="preserve"> (Tas) as a factor that needs to be taken into account when determining unfitness to stand trial?</w:t>
            </w:r>
            <w:r w:rsidR="00D839F7">
              <w:t xml:space="preserve"> (Page </w:t>
            </w:r>
            <w:r w:rsidR="000E0955">
              <w:fldChar w:fldCharType="begin"/>
            </w:r>
            <w:r w:rsidR="000E0955">
              <w:instrText xml:space="preserve"> PAGEREF Q9 \h </w:instrText>
            </w:r>
            <w:r w:rsidR="000E0955">
              <w:fldChar w:fldCharType="separate"/>
            </w:r>
            <w:r w:rsidR="001F209C">
              <w:rPr>
                <w:noProof/>
              </w:rPr>
              <w:t>40</w:t>
            </w:r>
            <w:r w:rsidR="000E0955">
              <w:fldChar w:fldCharType="end"/>
            </w:r>
            <w:r w:rsidR="00D839F7">
              <w:t>)</w:t>
            </w:r>
          </w:p>
          <w:p w14:paraId="12EB11E6" w14:textId="468D8435" w:rsidR="00ED6EE8" w:rsidRPr="00154F1D" w:rsidRDefault="00ED6EE8" w:rsidP="00BC4F28">
            <w:pPr>
              <w:pStyle w:val="NumberlessNormalText"/>
              <w:numPr>
                <w:ilvl w:val="0"/>
                <w:numId w:val="90"/>
              </w:numPr>
            </w:pPr>
            <w:r w:rsidRPr="00154F1D">
              <w:t xml:space="preserve">Should there be a separate test in the </w:t>
            </w:r>
            <w:r w:rsidRPr="00154F1D">
              <w:rPr>
                <w:i/>
              </w:rPr>
              <w:t>Criminal Justice (Mental Impairment) Act 1999</w:t>
            </w:r>
            <w:r w:rsidRPr="00154F1D">
              <w:t xml:space="preserve"> (Tas) to determine whether </w:t>
            </w:r>
            <w:r w:rsidR="00EB02C1" w:rsidRPr="00154F1D">
              <w:t>a person</w:t>
            </w:r>
            <w:r w:rsidRPr="00154F1D">
              <w:t xml:space="preserve"> is fit to enter a plea?</w:t>
            </w:r>
            <w:r w:rsidR="00D839F7">
              <w:t xml:space="preserve"> (Page </w:t>
            </w:r>
            <w:r w:rsidR="00117BA7">
              <w:fldChar w:fldCharType="begin"/>
            </w:r>
            <w:r w:rsidR="00117BA7">
              <w:instrText xml:space="preserve"> PAGEREF Q13 \h </w:instrText>
            </w:r>
            <w:r w:rsidR="00117BA7">
              <w:fldChar w:fldCharType="separate"/>
            </w:r>
            <w:r w:rsidR="001F209C">
              <w:rPr>
                <w:noProof/>
              </w:rPr>
              <w:t>42</w:t>
            </w:r>
            <w:r w:rsidR="00117BA7">
              <w:fldChar w:fldCharType="end"/>
            </w:r>
            <w:r w:rsidR="00D839F7">
              <w:t>)</w:t>
            </w:r>
          </w:p>
          <w:p w14:paraId="5F1A540F" w14:textId="64F75A61" w:rsidR="00ED6EE8" w:rsidRPr="00154F1D" w:rsidRDefault="00ED6EE8" w:rsidP="00BC4F28">
            <w:pPr>
              <w:pStyle w:val="NumberlessNormalText"/>
              <w:numPr>
                <w:ilvl w:val="0"/>
                <w:numId w:val="90"/>
              </w:numPr>
            </w:pPr>
            <w:r w:rsidRPr="00154F1D">
              <w:t>If so, what should be the requirements of the test?</w:t>
            </w:r>
            <w:r w:rsidR="00D839F7">
              <w:t xml:space="preserve"> (Page </w:t>
            </w:r>
            <w:r w:rsidR="00117BA7">
              <w:fldChar w:fldCharType="begin"/>
            </w:r>
            <w:r w:rsidR="00117BA7">
              <w:instrText xml:space="preserve"> PAGEREF Q13 \h </w:instrText>
            </w:r>
            <w:r w:rsidR="00117BA7">
              <w:fldChar w:fldCharType="separate"/>
            </w:r>
            <w:r w:rsidR="001F209C">
              <w:rPr>
                <w:noProof/>
              </w:rPr>
              <w:t>42</w:t>
            </w:r>
            <w:r w:rsidR="00117BA7">
              <w:fldChar w:fldCharType="end"/>
            </w:r>
            <w:r w:rsidR="00D839F7">
              <w:t>)</w:t>
            </w:r>
          </w:p>
        </w:tc>
      </w:tr>
      <w:tr w:rsidR="00ED6EE8" w:rsidRPr="00154F1D" w14:paraId="43F4CEBF" w14:textId="77777777" w:rsidTr="00FC44D9">
        <w:tc>
          <w:tcPr>
            <w:tcW w:w="855" w:type="dxa"/>
            <w:shd w:val="clear" w:color="auto" w:fill="D9D9D9" w:themeFill="background1" w:themeFillShade="D9"/>
          </w:tcPr>
          <w:p w14:paraId="75E5A6F2" w14:textId="77777777" w:rsidR="00ED6EE8" w:rsidRPr="00154F1D" w:rsidRDefault="00ED6EE8" w:rsidP="00942FAF">
            <w:pPr>
              <w:pStyle w:val="NumberlessNormalText"/>
              <w:rPr>
                <w:b/>
              </w:rPr>
            </w:pPr>
            <w:r w:rsidRPr="00154F1D">
              <w:rPr>
                <w:b/>
              </w:rPr>
              <w:t>Part 5</w:t>
            </w:r>
          </w:p>
        </w:tc>
        <w:tc>
          <w:tcPr>
            <w:tcW w:w="7362" w:type="dxa"/>
            <w:shd w:val="clear" w:color="auto" w:fill="D9D9D9" w:themeFill="background1" w:themeFillShade="D9"/>
          </w:tcPr>
          <w:p w14:paraId="06429903" w14:textId="6A741C22" w:rsidR="00ED6EE8" w:rsidRPr="00154F1D" w:rsidRDefault="00ED6EE8" w:rsidP="00942FAF">
            <w:pPr>
              <w:pStyle w:val="NumberlessNormalText"/>
              <w:rPr>
                <w:b/>
              </w:rPr>
            </w:pPr>
            <w:r w:rsidRPr="00154F1D">
              <w:rPr>
                <w:b/>
              </w:rPr>
              <w:t xml:space="preserve">Unfitness to stand trial: Procedure to determine unfitness to stand trial </w:t>
            </w:r>
          </w:p>
        </w:tc>
      </w:tr>
      <w:tr w:rsidR="00ED6EE8" w:rsidRPr="00154F1D" w14:paraId="04123B9E" w14:textId="77777777" w:rsidTr="00FC44D9">
        <w:tc>
          <w:tcPr>
            <w:tcW w:w="855" w:type="dxa"/>
          </w:tcPr>
          <w:p w14:paraId="21AC5A3E" w14:textId="77777777" w:rsidR="00ED6EE8" w:rsidRPr="00154F1D" w:rsidRDefault="00ED6EE8" w:rsidP="00942FAF">
            <w:pPr>
              <w:pStyle w:val="NumberlessNormalText"/>
            </w:pPr>
            <w:r w:rsidRPr="00154F1D">
              <w:t>5.4</w:t>
            </w:r>
          </w:p>
        </w:tc>
        <w:tc>
          <w:tcPr>
            <w:tcW w:w="7362" w:type="dxa"/>
          </w:tcPr>
          <w:p w14:paraId="6C0EC2BB" w14:textId="0F7EC4E1" w:rsidR="00ED6EE8" w:rsidRPr="00154F1D" w:rsidRDefault="00ED6EE8" w:rsidP="00BC4F28">
            <w:pPr>
              <w:pStyle w:val="NumberlessNormalText"/>
              <w:numPr>
                <w:ilvl w:val="0"/>
                <w:numId w:val="90"/>
              </w:numPr>
            </w:pPr>
            <w:r w:rsidRPr="00154F1D">
              <w:t>Are there any issues that arise in relation to the role of experts and expert reports in the process of determining unfitness to stand trial?</w:t>
            </w:r>
            <w:r w:rsidR="00D839F7">
              <w:t xml:space="preserve"> (Page </w:t>
            </w:r>
            <w:r w:rsidR="002A18EC">
              <w:fldChar w:fldCharType="begin"/>
            </w:r>
            <w:r w:rsidR="002A18EC">
              <w:instrText xml:space="preserve"> PAGEREF Q15 \h </w:instrText>
            </w:r>
            <w:r w:rsidR="002A18EC">
              <w:fldChar w:fldCharType="separate"/>
            </w:r>
            <w:r w:rsidR="001F209C">
              <w:rPr>
                <w:noProof/>
              </w:rPr>
              <w:t>50</w:t>
            </w:r>
            <w:r w:rsidR="002A18EC">
              <w:fldChar w:fldCharType="end"/>
            </w:r>
            <w:r w:rsidR="00D839F7">
              <w:t>)</w:t>
            </w:r>
          </w:p>
          <w:p w14:paraId="0D516158" w14:textId="5CDBF7D6" w:rsidR="00ED6EE8" w:rsidRPr="00154F1D" w:rsidRDefault="00ED6EE8" w:rsidP="00BC4F28">
            <w:pPr>
              <w:pStyle w:val="NumberlessNormalText"/>
              <w:numPr>
                <w:ilvl w:val="0"/>
                <w:numId w:val="90"/>
              </w:numPr>
            </w:pPr>
            <w:r w:rsidRPr="00154F1D">
              <w:t>If so, how do you think these problems might be resolved?</w:t>
            </w:r>
            <w:r w:rsidR="00D839F7">
              <w:t xml:space="preserve"> (Page </w:t>
            </w:r>
            <w:r w:rsidR="002A18EC">
              <w:fldChar w:fldCharType="begin"/>
            </w:r>
            <w:r w:rsidR="002A18EC">
              <w:instrText xml:space="preserve"> PAGEREF Q15 \h </w:instrText>
            </w:r>
            <w:r w:rsidR="002A18EC">
              <w:fldChar w:fldCharType="separate"/>
            </w:r>
            <w:r w:rsidR="001F209C">
              <w:rPr>
                <w:noProof/>
              </w:rPr>
              <w:t>50</w:t>
            </w:r>
            <w:r w:rsidR="002A18EC">
              <w:fldChar w:fldCharType="end"/>
            </w:r>
            <w:r w:rsidR="00D839F7">
              <w:t>)</w:t>
            </w:r>
          </w:p>
          <w:p w14:paraId="0610258B" w14:textId="3EEF5EA0" w:rsidR="00ED6EE8" w:rsidRPr="00154F1D" w:rsidRDefault="00ED6EE8" w:rsidP="00BC4F28">
            <w:pPr>
              <w:pStyle w:val="NumberlessNormalText"/>
              <w:numPr>
                <w:ilvl w:val="0"/>
                <w:numId w:val="90"/>
              </w:numPr>
            </w:pPr>
            <w:r w:rsidRPr="00154F1D">
              <w:t xml:space="preserve">Should the </w:t>
            </w:r>
            <w:r w:rsidRPr="00154F1D">
              <w:rPr>
                <w:i/>
              </w:rPr>
              <w:t>Criminal Justice (Mental Impairment) Act 1999</w:t>
            </w:r>
            <w:r w:rsidRPr="00154F1D">
              <w:t xml:space="preserve"> (Tas) be amended to provide that unfitness to stand trial is determined by a judge in the Supreme Court instead of a jury in all cases?</w:t>
            </w:r>
            <w:r w:rsidR="00D839F7">
              <w:t xml:space="preserve"> (Page </w:t>
            </w:r>
            <w:r w:rsidR="002A18EC">
              <w:fldChar w:fldCharType="begin"/>
            </w:r>
            <w:r w:rsidR="002A18EC">
              <w:instrText xml:space="preserve"> PAGEREF Q17 \h </w:instrText>
            </w:r>
            <w:r w:rsidR="002A18EC">
              <w:fldChar w:fldCharType="separate"/>
            </w:r>
            <w:r w:rsidR="001F209C">
              <w:rPr>
                <w:noProof/>
              </w:rPr>
              <w:t>51</w:t>
            </w:r>
            <w:r w:rsidR="002A18EC">
              <w:fldChar w:fldCharType="end"/>
            </w:r>
            <w:r w:rsidR="00D839F7">
              <w:t>)</w:t>
            </w:r>
          </w:p>
          <w:p w14:paraId="347CFE4B" w14:textId="31FF18A1" w:rsidR="00ED6EE8" w:rsidRPr="00154F1D" w:rsidRDefault="00ED6EE8" w:rsidP="00BC4F28">
            <w:pPr>
              <w:pStyle w:val="NumberlessNormalText"/>
              <w:numPr>
                <w:ilvl w:val="0"/>
                <w:numId w:val="90"/>
              </w:numPr>
            </w:pPr>
            <w:r w:rsidRPr="00154F1D">
              <w:t xml:space="preserve">Should the </w:t>
            </w:r>
            <w:r w:rsidRPr="00154F1D">
              <w:rPr>
                <w:i/>
              </w:rPr>
              <w:t>Criminal Justice (Mental Impairment) Act 1999</w:t>
            </w:r>
            <w:r w:rsidRPr="00154F1D">
              <w:t xml:space="preserve"> (Tas) be amended to allow a magistrate to discharge an </w:t>
            </w:r>
            <w:r w:rsidR="00184652">
              <w:t>individual</w:t>
            </w:r>
            <w:r w:rsidR="00184652" w:rsidRPr="00154F1D">
              <w:t xml:space="preserve"> </w:t>
            </w:r>
            <w:r w:rsidRPr="00154F1D">
              <w:t xml:space="preserve">without making a determination of </w:t>
            </w:r>
            <w:r w:rsidR="00184652">
              <w:t>their</w:t>
            </w:r>
            <w:r w:rsidRPr="00154F1D">
              <w:t xml:space="preserve"> fitness to stand trial or criminal responsibility?</w:t>
            </w:r>
            <w:r w:rsidR="00D839F7">
              <w:t xml:space="preserve"> (Page </w:t>
            </w:r>
            <w:r w:rsidR="002A18EC">
              <w:fldChar w:fldCharType="begin"/>
            </w:r>
            <w:r w:rsidR="002A18EC">
              <w:instrText xml:space="preserve"> PAGEREF Q18 \h </w:instrText>
            </w:r>
            <w:r w:rsidR="002A18EC">
              <w:fldChar w:fldCharType="separate"/>
            </w:r>
            <w:r w:rsidR="001F209C">
              <w:rPr>
                <w:noProof/>
              </w:rPr>
              <w:t>52</w:t>
            </w:r>
            <w:r w:rsidR="002A18EC">
              <w:fldChar w:fldCharType="end"/>
            </w:r>
            <w:r w:rsidR="00D839F7">
              <w:t>)</w:t>
            </w:r>
          </w:p>
          <w:p w14:paraId="3A3450F3" w14:textId="7186ACC1" w:rsidR="00ED6EE8" w:rsidRPr="00154F1D" w:rsidRDefault="00ED6EE8" w:rsidP="00BC4F28">
            <w:pPr>
              <w:pStyle w:val="NumberlessNormalText"/>
              <w:numPr>
                <w:ilvl w:val="0"/>
                <w:numId w:val="90"/>
              </w:numPr>
            </w:pPr>
            <w:r w:rsidRPr="00154F1D">
              <w:t>What (if any) limitations should be set out in relation to the exercise of the power of discharge?</w:t>
            </w:r>
            <w:r w:rsidR="00D839F7">
              <w:t xml:space="preserve"> (Page </w:t>
            </w:r>
            <w:r w:rsidR="002A18EC">
              <w:fldChar w:fldCharType="begin"/>
            </w:r>
            <w:r w:rsidR="002A18EC">
              <w:instrText xml:space="preserve"> PAGEREF Q18 \h </w:instrText>
            </w:r>
            <w:r w:rsidR="002A18EC">
              <w:fldChar w:fldCharType="separate"/>
            </w:r>
            <w:r w:rsidR="001F209C">
              <w:rPr>
                <w:noProof/>
              </w:rPr>
              <w:t>52</w:t>
            </w:r>
            <w:r w:rsidR="002A18EC">
              <w:fldChar w:fldCharType="end"/>
            </w:r>
            <w:r w:rsidR="00D839F7">
              <w:t>)</w:t>
            </w:r>
          </w:p>
        </w:tc>
      </w:tr>
      <w:tr w:rsidR="00ED6EE8" w:rsidRPr="00154F1D" w14:paraId="427FDDE2" w14:textId="77777777" w:rsidTr="00FC44D9">
        <w:tc>
          <w:tcPr>
            <w:tcW w:w="855" w:type="dxa"/>
            <w:shd w:val="clear" w:color="auto" w:fill="D9D9D9" w:themeFill="background1" w:themeFillShade="D9"/>
          </w:tcPr>
          <w:p w14:paraId="4A85DEDC" w14:textId="77777777" w:rsidR="00ED6EE8" w:rsidRPr="00154F1D" w:rsidRDefault="00ED6EE8" w:rsidP="00942FAF">
            <w:pPr>
              <w:pStyle w:val="NumberlessNormalText"/>
              <w:rPr>
                <w:b/>
              </w:rPr>
            </w:pPr>
            <w:r w:rsidRPr="00154F1D">
              <w:rPr>
                <w:b/>
              </w:rPr>
              <w:t>Part 6</w:t>
            </w:r>
          </w:p>
        </w:tc>
        <w:tc>
          <w:tcPr>
            <w:tcW w:w="7362" w:type="dxa"/>
            <w:shd w:val="clear" w:color="auto" w:fill="D9D9D9" w:themeFill="background1" w:themeFillShade="D9"/>
          </w:tcPr>
          <w:p w14:paraId="0CC37C2F" w14:textId="03682C95" w:rsidR="00ED6EE8" w:rsidRPr="00154F1D" w:rsidRDefault="00ED6EE8" w:rsidP="00942FAF">
            <w:pPr>
              <w:pStyle w:val="NumberlessNormalText"/>
            </w:pPr>
            <w:r w:rsidRPr="00154F1D">
              <w:rPr>
                <w:b/>
              </w:rPr>
              <w:t>Unfitness to stand trial: Procedure following a determination of unfitness to stand trial</w:t>
            </w:r>
            <w:r w:rsidRPr="00154F1D">
              <w:t xml:space="preserve"> </w:t>
            </w:r>
          </w:p>
        </w:tc>
      </w:tr>
      <w:tr w:rsidR="00ED6EE8" w:rsidRPr="00154F1D" w14:paraId="3F399422" w14:textId="77777777" w:rsidTr="00FC44D9">
        <w:tc>
          <w:tcPr>
            <w:tcW w:w="855" w:type="dxa"/>
          </w:tcPr>
          <w:p w14:paraId="3E6FF387" w14:textId="77777777" w:rsidR="00ED6EE8" w:rsidRPr="00154F1D" w:rsidRDefault="00ED6EE8" w:rsidP="00942FAF">
            <w:pPr>
              <w:pStyle w:val="NumberlessNormalText"/>
            </w:pPr>
            <w:r w:rsidRPr="00154F1D">
              <w:t>6.4</w:t>
            </w:r>
          </w:p>
        </w:tc>
        <w:tc>
          <w:tcPr>
            <w:tcW w:w="7362" w:type="dxa"/>
          </w:tcPr>
          <w:p w14:paraId="67DE665F" w14:textId="14DE4B25" w:rsidR="00ED6EE8" w:rsidRPr="00154F1D" w:rsidRDefault="00ED6EE8" w:rsidP="00BC4F28">
            <w:pPr>
              <w:pStyle w:val="NumberlessNormalText"/>
              <w:numPr>
                <w:ilvl w:val="0"/>
                <w:numId w:val="90"/>
              </w:numPr>
            </w:pPr>
            <w:r w:rsidRPr="00154F1D">
              <w:t>Do you consider that the conduct of a special hearing differs from an ordinary trial in terms of the evidence adduced or the conduct of the hearing? If so, in what ways?</w:t>
            </w:r>
            <w:r w:rsidR="00D839F7">
              <w:t xml:space="preserve"> (Page </w:t>
            </w:r>
            <w:r w:rsidR="00C128F9">
              <w:fldChar w:fldCharType="begin"/>
            </w:r>
            <w:r w:rsidR="00C128F9">
              <w:instrText xml:space="preserve"> PAGEREF Q20 \h </w:instrText>
            </w:r>
            <w:r w:rsidR="00C128F9">
              <w:fldChar w:fldCharType="separate"/>
            </w:r>
            <w:r w:rsidR="001F209C">
              <w:rPr>
                <w:noProof/>
              </w:rPr>
              <w:t>57</w:t>
            </w:r>
            <w:r w:rsidR="00C128F9">
              <w:fldChar w:fldCharType="end"/>
            </w:r>
            <w:r w:rsidR="00D839F7">
              <w:t>)</w:t>
            </w:r>
          </w:p>
          <w:p w14:paraId="5A0A2CAB" w14:textId="199C212D" w:rsidR="00ED6EE8" w:rsidRPr="00154F1D" w:rsidRDefault="00ED6EE8" w:rsidP="00BC4F28">
            <w:pPr>
              <w:pStyle w:val="NumberlessNormalText"/>
              <w:numPr>
                <w:ilvl w:val="0"/>
                <w:numId w:val="90"/>
              </w:numPr>
            </w:pPr>
            <w:r w:rsidRPr="00154F1D">
              <w:rPr>
                <w:lang w:val="en-US"/>
              </w:rPr>
              <w:t>Do you consider that the conduct of the special hearing is consistent with the presumption of innocence?</w:t>
            </w:r>
            <w:r w:rsidR="00D839F7">
              <w:rPr>
                <w:lang w:val="en-US"/>
              </w:rPr>
              <w:t xml:space="preserve"> </w:t>
            </w:r>
            <w:r w:rsidR="00D839F7">
              <w:t xml:space="preserve">(Page </w:t>
            </w:r>
            <w:r w:rsidR="00C128F9">
              <w:fldChar w:fldCharType="begin"/>
            </w:r>
            <w:r w:rsidR="00C128F9">
              <w:instrText xml:space="preserve"> PAGEREF Q20 \h </w:instrText>
            </w:r>
            <w:r w:rsidR="00C128F9">
              <w:fldChar w:fldCharType="separate"/>
            </w:r>
            <w:r w:rsidR="001F209C">
              <w:rPr>
                <w:noProof/>
              </w:rPr>
              <w:t>57</w:t>
            </w:r>
            <w:r w:rsidR="00C128F9">
              <w:fldChar w:fldCharType="end"/>
            </w:r>
            <w:r w:rsidR="00D839F7">
              <w:t>)</w:t>
            </w:r>
          </w:p>
          <w:p w14:paraId="53607403" w14:textId="5628A177" w:rsidR="00ED6EE8" w:rsidRPr="00154F1D" w:rsidRDefault="00ED6EE8" w:rsidP="00BC4F28">
            <w:pPr>
              <w:pStyle w:val="NumberlessNormalText"/>
              <w:numPr>
                <w:ilvl w:val="0"/>
                <w:numId w:val="90"/>
              </w:numPr>
            </w:pPr>
            <w:r w:rsidRPr="00154F1D">
              <w:rPr>
                <w:lang w:val="en-US"/>
              </w:rPr>
              <w:t>Do issues arise in relation to the conduct of legal practitioner</w:t>
            </w:r>
            <w:r w:rsidR="0037607A" w:rsidRPr="00154F1D">
              <w:rPr>
                <w:lang w:val="en-US"/>
              </w:rPr>
              <w:t>s</w:t>
            </w:r>
            <w:r w:rsidRPr="00154F1D">
              <w:rPr>
                <w:lang w:val="en-US"/>
              </w:rPr>
              <w:t xml:space="preserve"> in acting </w:t>
            </w:r>
            <w:r w:rsidR="00594FA4" w:rsidRPr="00154F1D">
              <w:rPr>
                <w:lang w:val="en-US"/>
              </w:rPr>
              <w:t xml:space="preserve">in </w:t>
            </w:r>
            <w:r w:rsidRPr="00154F1D">
              <w:rPr>
                <w:lang w:val="en-US"/>
              </w:rPr>
              <w:t xml:space="preserve">the ‘best interests’ of </w:t>
            </w:r>
            <w:r w:rsidR="00594FA4" w:rsidRPr="00154F1D">
              <w:rPr>
                <w:lang w:val="en-US"/>
              </w:rPr>
              <w:t xml:space="preserve">a </w:t>
            </w:r>
            <w:r w:rsidRPr="00154F1D">
              <w:rPr>
                <w:lang w:val="en-US"/>
              </w:rPr>
              <w:t xml:space="preserve">person rather than based on </w:t>
            </w:r>
            <w:r w:rsidR="00594FA4" w:rsidRPr="00154F1D">
              <w:rPr>
                <w:lang w:val="en-US"/>
              </w:rPr>
              <w:t xml:space="preserve">that person’s </w:t>
            </w:r>
            <w:r w:rsidRPr="00154F1D">
              <w:rPr>
                <w:lang w:val="en-US"/>
              </w:rPr>
              <w:t>‘rights, wishes and preferences’?</w:t>
            </w:r>
            <w:r w:rsidR="00D839F7">
              <w:rPr>
                <w:lang w:val="en-US"/>
              </w:rPr>
              <w:t xml:space="preserve"> </w:t>
            </w:r>
            <w:r w:rsidR="00D839F7">
              <w:t xml:space="preserve">(Page </w:t>
            </w:r>
            <w:r w:rsidR="00C128F9">
              <w:fldChar w:fldCharType="begin"/>
            </w:r>
            <w:r w:rsidR="00C128F9">
              <w:instrText xml:space="preserve"> PAGEREF Q20 \h </w:instrText>
            </w:r>
            <w:r w:rsidR="00C128F9">
              <w:fldChar w:fldCharType="separate"/>
            </w:r>
            <w:r w:rsidR="001F209C">
              <w:rPr>
                <w:noProof/>
              </w:rPr>
              <w:t>57</w:t>
            </w:r>
            <w:r w:rsidR="00C128F9">
              <w:fldChar w:fldCharType="end"/>
            </w:r>
            <w:r w:rsidR="00D839F7">
              <w:t>)</w:t>
            </w:r>
          </w:p>
          <w:p w14:paraId="364F7367" w14:textId="49178782" w:rsidR="00ED6EE8" w:rsidRPr="00154F1D" w:rsidRDefault="00ED6EE8" w:rsidP="00BC4F28">
            <w:pPr>
              <w:pStyle w:val="NumberlessNormalText"/>
              <w:numPr>
                <w:ilvl w:val="0"/>
                <w:numId w:val="90"/>
              </w:numPr>
            </w:pPr>
            <w:r w:rsidRPr="00154F1D">
              <w:t xml:space="preserve">Should any changes be made </w:t>
            </w:r>
            <w:r w:rsidR="000152EE" w:rsidRPr="00154F1D">
              <w:t xml:space="preserve">to </w:t>
            </w:r>
            <w:r w:rsidRPr="00154F1D">
              <w:t>the procedure for a special hearing?</w:t>
            </w:r>
            <w:r w:rsidR="00D839F7">
              <w:t xml:space="preserve"> (Page </w:t>
            </w:r>
            <w:r w:rsidR="00C128F9">
              <w:fldChar w:fldCharType="begin"/>
            </w:r>
            <w:r w:rsidR="00C128F9">
              <w:instrText xml:space="preserve"> PAGEREF Q23 \h </w:instrText>
            </w:r>
            <w:r w:rsidR="00C128F9">
              <w:fldChar w:fldCharType="separate"/>
            </w:r>
            <w:r w:rsidR="001F209C">
              <w:rPr>
                <w:noProof/>
              </w:rPr>
              <w:t>59</w:t>
            </w:r>
            <w:r w:rsidR="00C128F9">
              <w:fldChar w:fldCharType="end"/>
            </w:r>
            <w:r w:rsidR="00D839F7">
              <w:t>)</w:t>
            </w:r>
          </w:p>
          <w:p w14:paraId="210B07DE" w14:textId="4047DE8D" w:rsidR="00ED6EE8" w:rsidRPr="00154F1D" w:rsidRDefault="00ED6EE8" w:rsidP="00BC4F28">
            <w:pPr>
              <w:pStyle w:val="NumberlessNormalText"/>
              <w:numPr>
                <w:ilvl w:val="0"/>
                <w:numId w:val="90"/>
              </w:numPr>
            </w:pPr>
            <w:r w:rsidRPr="00154F1D">
              <w:t xml:space="preserve">Should there be a judge-alone process available instead of a special hearing? If so, should this be available in circumstances where the prosecution and defence agree that the evidence establishes the defence of insanity at </w:t>
            </w:r>
            <w:r w:rsidR="000152EE" w:rsidRPr="00154F1D">
              <w:t xml:space="preserve">a </w:t>
            </w:r>
            <w:r w:rsidRPr="00154F1D">
              <w:t>special hearing? Or should there be a judge-alone process available instead of a special hearing in all cases?</w:t>
            </w:r>
            <w:r w:rsidR="00D839F7">
              <w:t xml:space="preserve"> (Page </w:t>
            </w:r>
            <w:r w:rsidR="00C128F9">
              <w:fldChar w:fldCharType="begin"/>
            </w:r>
            <w:r w:rsidR="00C128F9">
              <w:instrText xml:space="preserve"> PAGEREF Q23 \h </w:instrText>
            </w:r>
            <w:r w:rsidR="00C128F9">
              <w:fldChar w:fldCharType="separate"/>
            </w:r>
            <w:r w:rsidR="001F209C">
              <w:rPr>
                <w:noProof/>
              </w:rPr>
              <w:t>59</w:t>
            </w:r>
            <w:r w:rsidR="00C128F9">
              <w:fldChar w:fldCharType="end"/>
            </w:r>
            <w:r w:rsidR="00D839F7">
              <w:t>)</w:t>
            </w:r>
          </w:p>
        </w:tc>
      </w:tr>
      <w:tr w:rsidR="00ED6EE8" w:rsidRPr="00154F1D" w14:paraId="00C8E942" w14:textId="77777777" w:rsidTr="00FC44D9">
        <w:tc>
          <w:tcPr>
            <w:tcW w:w="855" w:type="dxa"/>
            <w:shd w:val="clear" w:color="auto" w:fill="D9D9D9" w:themeFill="background1" w:themeFillShade="D9"/>
          </w:tcPr>
          <w:p w14:paraId="1EF4B6F1" w14:textId="77777777" w:rsidR="00ED6EE8" w:rsidRPr="00154F1D" w:rsidRDefault="00ED6EE8" w:rsidP="00340E08">
            <w:pPr>
              <w:pStyle w:val="NumberlessNormalText"/>
              <w:keepNext/>
              <w:rPr>
                <w:b/>
              </w:rPr>
            </w:pPr>
            <w:r w:rsidRPr="00154F1D">
              <w:rPr>
                <w:b/>
              </w:rPr>
              <w:t>Part 7</w:t>
            </w:r>
          </w:p>
        </w:tc>
        <w:tc>
          <w:tcPr>
            <w:tcW w:w="7362" w:type="dxa"/>
            <w:shd w:val="clear" w:color="auto" w:fill="D9D9D9" w:themeFill="background1" w:themeFillShade="D9"/>
          </w:tcPr>
          <w:p w14:paraId="2D1B062E" w14:textId="4E82F6A4" w:rsidR="00ED6EE8" w:rsidRPr="00154F1D" w:rsidRDefault="00ED6EE8" w:rsidP="00340E08">
            <w:pPr>
              <w:pStyle w:val="NumberlessNormalText"/>
              <w:keepNext/>
            </w:pPr>
            <w:r w:rsidRPr="00154F1D">
              <w:rPr>
                <w:b/>
              </w:rPr>
              <w:t>Insanity</w:t>
            </w:r>
            <w:r w:rsidRPr="00154F1D">
              <w:t xml:space="preserve"> </w:t>
            </w:r>
          </w:p>
        </w:tc>
      </w:tr>
      <w:tr w:rsidR="00ED6EE8" w:rsidRPr="00154F1D" w14:paraId="693CD5B9" w14:textId="77777777" w:rsidTr="00FC44D9">
        <w:tc>
          <w:tcPr>
            <w:tcW w:w="855" w:type="dxa"/>
          </w:tcPr>
          <w:p w14:paraId="36A93496" w14:textId="77777777" w:rsidR="00ED6EE8" w:rsidRPr="00154F1D" w:rsidRDefault="00ED6EE8" w:rsidP="00942FAF">
            <w:pPr>
              <w:pStyle w:val="NumberlessNormalText"/>
            </w:pPr>
            <w:r w:rsidRPr="00154F1D">
              <w:t>7.5</w:t>
            </w:r>
          </w:p>
        </w:tc>
        <w:tc>
          <w:tcPr>
            <w:tcW w:w="7362" w:type="dxa"/>
          </w:tcPr>
          <w:p w14:paraId="14532D65" w14:textId="2AF13501" w:rsidR="00ED6EE8" w:rsidRPr="00154F1D" w:rsidRDefault="00ED6EE8" w:rsidP="0090351C">
            <w:pPr>
              <w:pStyle w:val="NumberlessNormalText"/>
              <w:numPr>
                <w:ilvl w:val="0"/>
                <w:numId w:val="90"/>
              </w:numPr>
            </w:pPr>
            <w:r w:rsidRPr="00154F1D">
              <w:t xml:space="preserve">Should </w:t>
            </w:r>
            <w:r w:rsidR="00C128F9">
              <w:t>the</w:t>
            </w:r>
            <w:r w:rsidRPr="00154F1D">
              <w:t xml:space="preserve"> defence of insanity in s 16 of the </w:t>
            </w:r>
            <w:r w:rsidRPr="00154F1D">
              <w:rPr>
                <w:i/>
              </w:rPr>
              <w:t>Criminal Code</w:t>
            </w:r>
            <w:r w:rsidRPr="00154F1D">
              <w:t xml:space="preserve"> (Tas) be abolished?</w:t>
            </w:r>
            <w:r w:rsidR="00D839F7">
              <w:t xml:space="preserve"> (Page </w:t>
            </w:r>
            <w:r w:rsidR="003352A7">
              <w:fldChar w:fldCharType="begin"/>
            </w:r>
            <w:r w:rsidR="003352A7">
              <w:instrText xml:space="preserve"> PAGEREF Q25 \h </w:instrText>
            </w:r>
            <w:r w:rsidR="003352A7">
              <w:fldChar w:fldCharType="separate"/>
            </w:r>
            <w:r w:rsidR="001F209C">
              <w:rPr>
                <w:noProof/>
              </w:rPr>
              <w:t>81</w:t>
            </w:r>
            <w:r w:rsidR="003352A7">
              <w:fldChar w:fldCharType="end"/>
            </w:r>
            <w:r w:rsidR="00D839F7">
              <w:t>)</w:t>
            </w:r>
          </w:p>
          <w:p w14:paraId="560144E5" w14:textId="2FF8A01A" w:rsidR="00ED6EE8" w:rsidRPr="00154F1D" w:rsidRDefault="00ED6EE8" w:rsidP="0090351C">
            <w:pPr>
              <w:pStyle w:val="NumberlessNormalText"/>
              <w:numPr>
                <w:ilvl w:val="0"/>
                <w:numId w:val="90"/>
              </w:numPr>
            </w:pPr>
            <w:r w:rsidRPr="00154F1D">
              <w:t>If you consider that the insanity defence should be abolished, do you think that a new defence should be created</w:t>
            </w:r>
            <w:r w:rsidR="00D37BAB" w:rsidRPr="00154F1D">
              <w:t>,</w:t>
            </w:r>
            <w:r w:rsidRPr="00154F1D">
              <w:t xml:space="preserve"> or should general principles of criminal responsibility apply?</w:t>
            </w:r>
            <w:r w:rsidR="00D839F7">
              <w:t xml:space="preserve"> (Page </w:t>
            </w:r>
            <w:r w:rsidR="003352A7">
              <w:fldChar w:fldCharType="begin"/>
            </w:r>
            <w:r w:rsidR="003352A7">
              <w:instrText xml:space="preserve"> PAGEREF Q25 \h </w:instrText>
            </w:r>
            <w:r w:rsidR="003352A7">
              <w:fldChar w:fldCharType="separate"/>
            </w:r>
            <w:r w:rsidR="001F209C">
              <w:rPr>
                <w:noProof/>
              </w:rPr>
              <w:t>81</w:t>
            </w:r>
            <w:r w:rsidR="003352A7">
              <w:fldChar w:fldCharType="end"/>
            </w:r>
            <w:r w:rsidR="00D839F7">
              <w:t>)</w:t>
            </w:r>
          </w:p>
          <w:p w14:paraId="09BCF0CB" w14:textId="04DCDC33" w:rsidR="00ED6EE8" w:rsidRPr="00154F1D" w:rsidRDefault="00ED6EE8" w:rsidP="0090351C">
            <w:pPr>
              <w:pStyle w:val="NumberlessNormalText"/>
              <w:numPr>
                <w:ilvl w:val="0"/>
                <w:numId w:val="90"/>
              </w:numPr>
            </w:pPr>
            <w:r w:rsidRPr="00154F1D">
              <w:t xml:space="preserve">If the defence of insanity is abolished, do you consider that the powers under the </w:t>
            </w:r>
            <w:r w:rsidRPr="00154F1D">
              <w:rPr>
                <w:i/>
              </w:rPr>
              <w:t>Mental Health Act 2013</w:t>
            </w:r>
            <w:r w:rsidRPr="00154F1D">
              <w:t xml:space="preserve"> (Tas) are sufficient to address community protection concerns following the acquittal of an </w:t>
            </w:r>
            <w:r w:rsidR="00A80BB4">
              <w:t>individual</w:t>
            </w:r>
            <w:r w:rsidR="00D066F6" w:rsidRPr="00154F1D">
              <w:t xml:space="preserve"> </w:t>
            </w:r>
            <w:r w:rsidRPr="00154F1D">
              <w:t>with mental health impairments? If not, what changes would be necessary?</w:t>
            </w:r>
            <w:r w:rsidR="00D839F7">
              <w:t xml:space="preserve"> (Page </w:t>
            </w:r>
            <w:r w:rsidR="003352A7">
              <w:fldChar w:fldCharType="begin"/>
            </w:r>
            <w:r w:rsidR="003352A7">
              <w:instrText xml:space="preserve"> PAGEREF Q25 \h </w:instrText>
            </w:r>
            <w:r w:rsidR="003352A7">
              <w:fldChar w:fldCharType="separate"/>
            </w:r>
            <w:r w:rsidR="001F209C">
              <w:rPr>
                <w:noProof/>
              </w:rPr>
              <w:t>81</w:t>
            </w:r>
            <w:r w:rsidR="003352A7">
              <w:fldChar w:fldCharType="end"/>
            </w:r>
            <w:r w:rsidR="00D839F7">
              <w:t>)</w:t>
            </w:r>
          </w:p>
          <w:p w14:paraId="306E48EE" w14:textId="78EB7C54" w:rsidR="00ED6EE8" w:rsidRPr="00154F1D" w:rsidRDefault="00ED6EE8" w:rsidP="0090351C">
            <w:pPr>
              <w:pStyle w:val="NumberlessNormalText"/>
              <w:numPr>
                <w:ilvl w:val="0"/>
                <w:numId w:val="90"/>
              </w:numPr>
            </w:pPr>
            <w:r w:rsidRPr="00154F1D">
              <w:t xml:space="preserve">Should a new defence be introduced to replace the insanity defence that provides for a verdict of </w:t>
            </w:r>
            <w:r w:rsidR="007D587C" w:rsidRPr="00154F1D">
              <w:t>not</w:t>
            </w:r>
            <w:r w:rsidR="00CD4D75">
              <w:t xml:space="preserve"> </w:t>
            </w:r>
            <w:r w:rsidRPr="00154F1D">
              <w:t xml:space="preserve">guilty on the grounds of a recognised medical condition (as proposed in England and Wales)? </w:t>
            </w:r>
            <w:r w:rsidR="00D839F7">
              <w:t xml:space="preserve">(Page </w:t>
            </w:r>
            <w:r w:rsidR="003352A7">
              <w:fldChar w:fldCharType="begin"/>
            </w:r>
            <w:r w:rsidR="003352A7">
              <w:instrText xml:space="preserve"> PAGEREF Q28 \h </w:instrText>
            </w:r>
            <w:r w:rsidR="003352A7">
              <w:fldChar w:fldCharType="separate"/>
            </w:r>
            <w:r w:rsidR="001F209C">
              <w:rPr>
                <w:noProof/>
              </w:rPr>
              <w:t>84</w:t>
            </w:r>
            <w:r w:rsidR="003352A7">
              <w:fldChar w:fldCharType="end"/>
            </w:r>
            <w:r w:rsidR="00D839F7">
              <w:t>)</w:t>
            </w:r>
          </w:p>
          <w:p w14:paraId="11F09A3F" w14:textId="0C6ADE26" w:rsidR="00ED6EE8" w:rsidRPr="00154F1D" w:rsidRDefault="00ED6EE8" w:rsidP="0090351C">
            <w:pPr>
              <w:pStyle w:val="NumberlessNormalText"/>
              <w:numPr>
                <w:ilvl w:val="0"/>
                <w:numId w:val="90"/>
              </w:numPr>
            </w:pPr>
            <w:r w:rsidRPr="00154F1D">
              <w:t>If so, should there be any non-qualifying conditions?</w:t>
            </w:r>
            <w:r w:rsidR="00D839F7">
              <w:t xml:space="preserve"> (Page </w:t>
            </w:r>
            <w:r w:rsidR="003352A7">
              <w:fldChar w:fldCharType="begin"/>
            </w:r>
            <w:r w:rsidR="003352A7">
              <w:instrText xml:space="preserve"> PAGEREF Q28 \h </w:instrText>
            </w:r>
            <w:r w:rsidR="003352A7">
              <w:fldChar w:fldCharType="separate"/>
            </w:r>
            <w:r w:rsidR="001F209C">
              <w:rPr>
                <w:noProof/>
              </w:rPr>
              <w:t>84</w:t>
            </w:r>
            <w:r w:rsidR="003352A7">
              <w:fldChar w:fldCharType="end"/>
            </w:r>
            <w:r w:rsidR="00D839F7">
              <w:t>)</w:t>
            </w:r>
          </w:p>
          <w:p w14:paraId="565A16D0" w14:textId="75C6017A" w:rsidR="00ED6EE8" w:rsidRPr="00154F1D" w:rsidRDefault="00ED6EE8" w:rsidP="0090351C">
            <w:pPr>
              <w:pStyle w:val="NumberlessNormalText"/>
              <w:numPr>
                <w:ilvl w:val="0"/>
                <w:numId w:val="90"/>
              </w:numPr>
            </w:pPr>
            <w:r w:rsidRPr="00154F1D">
              <w:t xml:space="preserve">Do you consider that the name of the defence of insanity in s 16 of the </w:t>
            </w:r>
            <w:r w:rsidRPr="00154F1D">
              <w:rPr>
                <w:i/>
              </w:rPr>
              <w:t>Criminal Code</w:t>
            </w:r>
            <w:r w:rsidRPr="00154F1D">
              <w:t xml:space="preserve"> (Tas) should be changed?</w:t>
            </w:r>
            <w:r w:rsidRPr="00154F1D">
              <w:rPr>
                <w:i/>
              </w:rPr>
              <w:t xml:space="preserve"> </w:t>
            </w:r>
            <w:r w:rsidRPr="00154F1D">
              <w:t xml:space="preserve">If so, what should </w:t>
            </w:r>
            <w:r w:rsidR="007D587C" w:rsidRPr="00154F1D">
              <w:t>the defence be called</w:t>
            </w:r>
            <w:r w:rsidRPr="00154F1D">
              <w:t>?</w:t>
            </w:r>
            <w:r w:rsidR="00D839F7">
              <w:t xml:space="preserve"> (Page </w:t>
            </w:r>
            <w:r w:rsidR="00B23948">
              <w:fldChar w:fldCharType="begin"/>
            </w:r>
            <w:r w:rsidR="00B23948">
              <w:instrText xml:space="preserve"> PAGEREF Q30 \h </w:instrText>
            </w:r>
            <w:r w:rsidR="00B23948">
              <w:fldChar w:fldCharType="separate"/>
            </w:r>
            <w:r w:rsidR="001F209C">
              <w:rPr>
                <w:noProof/>
              </w:rPr>
              <w:t>85</w:t>
            </w:r>
            <w:r w:rsidR="00B23948">
              <w:fldChar w:fldCharType="end"/>
            </w:r>
            <w:r w:rsidR="00D839F7">
              <w:t>)</w:t>
            </w:r>
          </w:p>
          <w:p w14:paraId="3B1C403D" w14:textId="0005DB92" w:rsidR="00ED6EE8" w:rsidRPr="00154F1D" w:rsidRDefault="00ED6EE8" w:rsidP="0090351C">
            <w:pPr>
              <w:pStyle w:val="NumberlessNormalText"/>
              <w:numPr>
                <w:ilvl w:val="0"/>
                <w:numId w:val="90"/>
              </w:numPr>
            </w:pPr>
            <w:r w:rsidRPr="00154F1D">
              <w:t>Does the definition of ‘mental disease’ cause problems in practice?</w:t>
            </w:r>
            <w:r w:rsidR="00D839F7">
              <w:t xml:space="preserve"> (Page </w:t>
            </w:r>
            <w:r w:rsidR="00B23948">
              <w:fldChar w:fldCharType="begin"/>
            </w:r>
            <w:r w:rsidR="00B23948">
              <w:instrText xml:space="preserve"> PAGEREF Q31 \h </w:instrText>
            </w:r>
            <w:r w:rsidR="00B23948">
              <w:fldChar w:fldCharType="separate"/>
            </w:r>
            <w:r w:rsidR="001F209C">
              <w:rPr>
                <w:noProof/>
              </w:rPr>
              <w:t>92</w:t>
            </w:r>
            <w:r w:rsidR="00B23948">
              <w:fldChar w:fldCharType="end"/>
            </w:r>
            <w:r w:rsidR="00D839F7">
              <w:t>)</w:t>
            </w:r>
          </w:p>
          <w:p w14:paraId="45D934A2" w14:textId="52AE8A9F" w:rsidR="00ED6EE8" w:rsidRPr="00154F1D" w:rsidRDefault="00ED6EE8" w:rsidP="0090351C">
            <w:pPr>
              <w:pStyle w:val="NumberlessNormalText"/>
              <w:numPr>
                <w:ilvl w:val="0"/>
                <w:numId w:val="90"/>
              </w:numPr>
            </w:pPr>
            <w:r w:rsidRPr="00154F1D">
              <w:t xml:space="preserve">Should the terminology in s 16 of the </w:t>
            </w:r>
            <w:r w:rsidRPr="00154F1D">
              <w:rPr>
                <w:i/>
              </w:rPr>
              <w:t>Criminal Code</w:t>
            </w:r>
            <w:r w:rsidRPr="00154F1D">
              <w:t xml:space="preserve"> (Tas) be changed to replace the terms ‘mental disease’ and ‘natural imbecility’? If so, what terminology should be used? Should s 16 refer to mental health and cognitive impairments (as recommended in NSW)? Or mental impairment (as used in a majority of other jurisdictions)? Or what other terminology would you recommend be used? </w:t>
            </w:r>
            <w:r w:rsidR="00D839F7">
              <w:t xml:space="preserve">(Page </w:t>
            </w:r>
            <w:r w:rsidR="00B23948">
              <w:fldChar w:fldCharType="begin"/>
            </w:r>
            <w:r w:rsidR="00B23948">
              <w:instrText xml:space="preserve"> PAGEREF Q31 \h </w:instrText>
            </w:r>
            <w:r w:rsidR="00B23948">
              <w:fldChar w:fldCharType="separate"/>
            </w:r>
            <w:r w:rsidR="001F209C">
              <w:rPr>
                <w:noProof/>
              </w:rPr>
              <w:t>92</w:t>
            </w:r>
            <w:r w:rsidR="00B23948">
              <w:fldChar w:fldCharType="end"/>
            </w:r>
            <w:r w:rsidR="00D839F7">
              <w:t>)</w:t>
            </w:r>
          </w:p>
          <w:p w14:paraId="38C507D7" w14:textId="25BADC80" w:rsidR="00ED6EE8" w:rsidRPr="00154F1D" w:rsidRDefault="00ED6EE8" w:rsidP="0090351C">
            <w:pPr>
              <w:pStyle w:val="NumberlessNormalText"/>
              <w:numPr>
                <w:ilvl w:val="0"/>
                <w:numId w:val="90"/>
              </w:numPr>
            </w:pPr>
            <w:r w:rsidRPr="00154F1D">
              <w:t xml:space="preserve">Should there be a statutory definition of the terms used? </w:t>
            </w:r>
            <w:r w:rsidR="00D839F7">
              <w:t xml:space="preserve">(Page </w:t>
            </w:r>
            <w:r w:rsidR="00B23948">
              <w:fldChar w:fldCharType="begin"/>
            </w:r>
            <w:r w:rsidR="00B23948">
              <w:instrText xml:space="preserve"> PAGEREF Q31 \h </w:instrText>
            </w:r>
            <w:r w:rsidR="00B23948">
              <w:fldChar w:fldCharType="separate"/>
            </w:r>
            <w:r w:rsidR="001F209C">
              <w:rPr>
                <w:noProof/>
              </w:rPr>
              <w:t>92</w:t>
            </w:r>
            <w:r w:rsidR="00B23948">
              <w:fldChar w:fldCharType="end"/>
            </w:r>
            <w:r w:rsidR="00D839F7">
              <w:t>)</w:t>
            </w:r>
          </w:p>
          <w:p w14:paraId="79CA868A" w14:textId="6A863386" w:rsidR="00ED6EE8" w:rsidRPr="00154F1D" w:rsidRDefault="00ED6EE8" w:rsidP="0090351C">
            <w:pPr>
              <w:pStyle w:val="NumberlessNormalText"/>
              <w:numPr>
                <w:ilvl w:val="0"/>
                <w:numId w:val="90"/>
              </w:numPr>
            </w:pPr>
            <w:r w:rsidRPr="00154F1D">
              <w:t xml:space="preserve">If so, should this be a definition that defines mental impairment to include all or any of the following: mental illness, intellectual disability, cognitive impairment, senility, dementia? </w:t>
            </w:r>
            <w:r w:rsidR="00D839F7">
              <w:t xml:space="preserve">(Page </w:t>
            </w:r>
            <w:r w:rsidR="00B23948">
              <w:fldChar w:fldCharType="begin"/>
            </w:r>
            <w:r w:rsidR="00B23948">
              <w:instrText xml:space="preserve"> PAGEREF Q31 \h </w:instrText>
            </w:r>
            <w:r w:rsidR="00B23948">
              <w:fldChar w:fldCharType="separate"/>
            </w:r>
            <w:r w:rsidR="001F209C">
              <w:rPr>
                <w:noProof/>
              </w:rPr>
              <w:t>92</w:t>
            </w:r>
            <w:r w:rsidR="00B23948">
              <w:fldChar w:fldCharType="end"/>
            </w:r>
            <w:r w:rsidR="00D839F7">
              <w:t>)</w:t>
            </w:r>
          </w:p>
          <w:p w14:paraId="69984841" w14:textId="1FA96762" w:rsidR="00ED6EE8" w:rsidRPr="00154F1D" w:rsidRDefault="00ED6EE8" w:rsidP="0090351C">
            <w:pPr>
              <w:pStyle w:val="NumberlessNormalText"/>
              <w:numPr>
                <w:ilvl w:val="0"/>
                <w:numId w:val="90"/>
              </w:numPr>
            </w:pPr>
            <w:r w:rsidRPr="00154F1D">
              <w:t>Should the definition of mental impairment include some or all personality disorders or expressly exclude some or all personality disorders</w:t>
            </w:r>
            <w:r w:rsidR="002B3A07" w:rsidRPr="00154F1D">
              <w:t>,</w:t>
            </w:r>
            <w:r w:rsidRPr="00154F1D">
              <w:t xml:space="preserve"> or should the definition not specifically refer to personality disorders? If the definition of mental impairment is to distinguish between personality disorders, which should be included or excluded from the scope of s 16?</w:t>
            </w:r>
            <w:r w:rsidR="00D839F7">
              <w:t xml:space="preserve"> (Page </w:t>
            </w:r>
            <w:r w:rsidR="00B23948">
              <w:fldChar w:fldCharType="begin"/>
            </w:r>
            <w:r w:rsidR="00B23948">
              <w:instrText xml:space="preserve"> PAGEREF Q31 \h </w:instrText>
            </w:r>
            <w:r w:rsidR="00B23948">
              <w:fldChar w:fldCharType="separate"/>
            </w:r>
            <w:r w:rsidR="001F209C">
              <w:rPr>
                <w:noProof/>
              </w:rPr>
              <w:t>92</w:t>
            </w:r>
            <w:r w:rsidR="00B23948">
              <w:fldChar w:fldCharType="end"/>
            </w:r>
            <w:r w:rsidR="00D839F7">
              <w:t>)</w:t>
            </w:r>
          </w:p>
          <w:p w14:paraId="1218C3A7" w14:textId="4EE37758" w:rsidR="00ED6EE8" w:rsidRPr="00154F1D" w:rsidRDefault="00ED6EE8" w:rsidP="0090351C">
            <w:pPr>
              <w:pStyle w:val="NumberlessNormalText"/>
              <w:numPr>
                <w:ilvl w:val="0"/>
                <w:numId w:val="90"/>
              </w:numPr>
            </w:pPr>
            <w:r w:rsidRPr="00154F1D">
              <w:t>Should there be a definition, such as is recommended in New South Wales</w:t>
            </w:r>
            <w:r w:rsidR="00271B68" w:rsidRPr="00154F1D">
              <w:t>,</w:t>
            </w:r>
            <w:r w:rsidRPr="00154F1D">
              <w:t xml:space="preserve"> that separates mental health impairment and cognitive impairment? If so, should the New South Wales definition be adopted?</w:t>
            </w:r>
            <w:r w:rsidR="00D839F7">
              <w:t xml:space="preserve"> (Page </w:t>
            </w:r>
            <w:r w:rsidR="00B23948">
              <w:fldChar w:fldCharType="begin"/>
            </w:r>
            <w:r w:rsidR="00B23948">
              <w:instrText xml:space="preserve"> PAGEREF Q31 \h </w:instrText>
            </w:r>
            <w:r w:rsidR="00B23948">
              <w:fldChar w:fldCharType="separate"/>
            </w:r>
            <w:r w:rsidR="001F209C">
              <w:rPr>
                <w:noProof/>
              </w:rPr>
              <w:t>92</w:t>
            </w:r>
            <w:r w:rsidR="00B23948">
              <w:fldChar w:fldCharType="end"/>
            </w:r>
            <w:r w:rsidR="00D839F7">
              <w:t>)</w:t>
            </w:r>
          </w:p>
          <w:p w14:paraId="5B168F92" w14:textId="7C0B2C9B" w:rsidR="00ED6EE8" w:rsidRPr="00154F1D" w:rsidRDefault="00ED6EE8" w:rsidP="0090351C">
            <w:pPr>
              <w:pStyle w:val="NumberlessNormalText"/>
              <w:numPr>
                <w:ilvl w:val="0"/>
                <w:numId w:val="90"/>
              </w:numPr>
            </w:pPr>
            <w:r w:rsidRPr="00154F1D">
              <w:t>Should mental illness be defined, and if so</w:t>
            </w:r>
            <w:r w:rsidR="00271B68" w:rsidRPr="00154F1D">
              <w:t>,</w:t>
            </w:r>
            <w:r w:rsidRPr="00154F1D">
              <w:t xml:space="preserve"> how?</w:t>
            </w:r>
            <w:r w:rsidR="00D839F7">
              <w:t xml:space="preserve"> (Page </w:t>
            </w:r>
            <w:r w:rsidR="00B23948">
              <w:fldChar w:fldCharType="begin"/>
            </w:r>
            <w:r w:rsidR="00B23948">
              <w:instrText xml:space="preserve"> PAGEREF Q31 \h </w:instrText>
            </w:r>
            <w:r w:rsidR="00B23948">
              <w:fldChar w:fldCharType="separate"/>
            </w:r>
            <w:r w:rsidR="001F209C">
              <w:rPr>
                <w:noProof/>
              </w:rPr>
              <w:t>92</w:t>
            </w:r>
            <w:r w:rsidR="00B23948">
              <w:fldChar w:fldCharType="end"/>
            </w:r>
            <w:r w:rsidR="00D839F7">
              <w:t>)</w:t>
            </w:r>
          </w:p>
          <w:p w14:paraId="0B8EACD5" w14:textId="4F4C9B2A" w:rsidR="00ED6EE8" w:rsidRPr="00154F1D" w:rsidRDefault="00ED6EE8" w:rsidP="0090351C">
            <w:pPr>
              <w:pStyle w:val="NumberlessNormalText"/>
              <w:numPr>
                <w:ilvl w:val="0"/>
                <w:numId w:val="90"/>
              </w:numPr>
            </w:pPr>
            <w:r w:rsidRPr="00154F1D">
              <w:t>Should cognitive impairment be defined</w:t>
            </w:r>
            <w:r w:rsidR="00271B68" w:rsidRPr="00154F1D">
              <w:t>,</w:t>
            </w:r>
            <w:r w:rsidRPr="00154F1D">
              <w:t xml:space="preserve"> and if so</w:t>
            </w:r>
            <w:r w:rsidR="00271B68" w:rsidRPr="00154F1D">
              <w:t>,</w:t>
            </w:r>
            <w:r w:rsidRPr="00154F1D">
              <w:t xml:space="preserve"> how?</w:t>
            </w:r>
            <w:r w:rsidR="00D839F7">
              <w:t xml:space="preserve"> (Page </w:t>
            </w:r>
            <w:r w:rsidR="00B23948">
              <w:fldChar w:fldCharType="begin"/>
            </w:r>
            <w:r w:rsidR="00B23948">
              <w:instrText xml:space="preserve"> PAGEREF Q38 \h </w:instrText>
            </w:r>
            <w:r w:rsidR="00B23948">
              <w:fldChar w:fldCharType="separate"/>
            </w:r>
            <w:r w:rsidR="001F209C">
              <w:rPr>
                <w:noProof/>
              </w:rPr>
              <w:t>93</w:t>
            </w:r>
            <w:r w:rsidR="00B23948">
              <w:fldChar w:fldCharType="end"/>
            </w:r>
            <w:r w:rsidR="00D839F7">
              <w:t>)</w:t>
            </w:r>
          </w:p>
          <w:p w14:paraId="7B892438" w14:textId="41033EA4" w:rsidR="00ED6EE8" w:rsidRPr="00154F1D" w:rsidRDefault="00ED6EE8" w:rsidP="0090351C">
            <w:pPr>
              <w:pStyle w:val="NumberlessNormalText"/>
              <w:numPr>
                <w:ilvl w:val="0"/>
                <w:numId w:val="90"/>
              </w:numPr>
            </w:pPr>
            <w:r w:rsidRPr="00154F1D">
              <w:t xml:space="preserve">How should drug induced psychosis be treated within the insanity defence? Should a distinction be made between psychosis arising from the temporary effects of drug use and mental health impairments resulting from drug use (as recommended </w:t>
            </w:r>
            <w:r w:rsidR="00271B68" w:rsidRPr="00154F1D">
              <w:t xml:space="preserve">in </w:t>
            </w:r>
            <w:r w:rsidRPr="00154F1D">
              <w:t>NSW and Victoria)?</w:t>
            </w:r>
            <w:r w:rsidR="00D839F7">
              <w:t xml:space="preserve"> (Page </w:t>
            </w:r>
            <w:r w:rsidR="00B23948">
              <w:fldChar w:fldCharType="begin"/>
            </w:r>
            <w:r w:rsidR="00B23948">
              <w:instrText xml:space="preserve"> PAGEREF Q38 \h </w:instrText>
            </w:r>
            <w:r w:rsidR="00B23948">
              <w:fldChar w:fldCharType="separate"/>
            </w:r>
            <w:r w:rsidR="001F209C">
              <w:rPr>
                <w:noProof/>
              </w:rPr>
              <w:t>93</w:t>
            </w:r>
            <w:r w:rsidR="00B23948">
              <w:fldChar w:fldCharType="end"/>
            </w:r>
            <w:r w:rsidR="00D839F7">
              <w:t>)</w:t>
            </w:r>
          </w:p>
          <w:p w14:paraId="573F6510" w14:textId="36049AC3" w:rsidR="00ED6EE8" w:rsidRPr="00154F1D" w:rsidRDefault="00ED6EE8" w:rsidP="0090351C">
            <w:pPr>
              <w:pStyle w:val="NumberlessNormalText"/>
              <w:numPr>
                <w:ilvl w:val="0"/>
                <w:numId w:val="90"/>
              </w:numPr>
            </w:pPr>
            <w:r w:rsidRPr="00154F1D">
              <w:t xml:space="preserve">Does the narrow interpretation of the ‘incapacity’ and/or the physical character of the act contained in the </w:t>
            </w:r>
            <w:r w:rsidRPr="00154F1D">
              <w:rPr>
                <w:i/>
              </w:rPr>
              <w:t xml:space="preserve">Criminal Code </w:t>
            </w:r>
            <w:r w:rsidRPr="00154F1D">
              <w:t>(Tas) s 16(1)(a)(i) cause any problems in practice?</w:t>
            </w:r>
            <w:r w:rsidR="00D839F7">
              <w:t xml:space="preserve"> (Page </w:t>
            </w:r>
            <w:r w:rsidR="00B23948">
              <w:fldChar w:fldCharType="begin"/>
            </w:r>
            <w:r w:rsidR="00B23948">
              <w:instrText xml:space="preserve"> PAGEREF Q40 \h </w:instrText>
            </w:r>
            <w:r w:rsidR="00B23948">
              <w:fldChar w:fldCharType="separate"/>
            </w:r>
            <w:r w:rsidR="001F209C">
              <w:rPr>
                <w:noProof/>
              </w:rPr>
              <w:t>94</w:t>
            </w:r>
            <w:r w:rsidR="00B23948">
              <w:fldChar w:fldCharType="end"/>
            </w:r>
            <w:r w:rsidR="00D839F7">
              <w:t>)</w:t>
            </w:r>
          </w:p>
          <w:p w14:paraId="3615063B" w14:textId="6D0B7D26" w:rsidR="00ED6EE8" w:rsidRPr="00154F1D" w:rsidRDefault="00ED6EE8" w:rsidP="0090351C">
            <w:pPr>
              <w:pStyle w:val="NumberlessNormalText"/>
              <w:numPr>
                <w:ilvl w:val="0"/>
                <w:numId w:val="90"/>
              </w:numPr>
            </w:pPr>
            <w:r w:rsidRPr="00154F1D">
              <w:t xml:space="preserve">Does the requirement to establish that the </w:t>
            </w:r>
            <w:r w:rsidR="00EB02C1" w:rsidRPr="00154F1D">
              <w:t>person</w:t>
            </w:r>
            <w:r w:rsidRPr="00154F1D">
              <w:t xml:space="preserve"> was incapable of knowing that the act was one which he or she ought not do or make contained in the </w:t>
            </w:r>
            <w:r w:rsidRPr="00154F1D">
              <w:rPr>
                <w:i/>
              </w:rPr>
              <w:t xml:space="preserve">Criminal Code </w:t>
            </w:r>
            <w:r w:rsidRPr="00154F1D">
              <w:t>(Tas) s 16(1)(a)(ii) cause any problems in practice?</w:t>
            </w:r>
            <w:r w:rsidR="00D839F7">
              <w:t xml:space="preserve"> (Page </w:t>
            </w:r>
            <w:r w:rsidR="00B23948">
              <w:fldChar w:fldCharType="begin"/>
            </w:r>
            <w:r w:rsidR="00B23948">
              <w:instrText xml:space="preserve"> PAGEREF Q40 \h </w:instrText>
            </w:r>
            <w:r w:rsidR="00B23948">
              <w:fldChar w:fldCharType="separate"/>
            </w:r>
            <w:r w:rsidR="001F209C">
              <w:rPr>
                <w:noProof/>
              </w:rPr>
              <w:t>94</w:t>
            </w:r>
            <w:r w:rsidR="00B23948">
              <w:fldChar w:fldCharType="end"/>
            </w:r>
            <w:r w:rsidR="00D839F7">
              <w:t>)</w:t>
            </w:r>
          </w:p>
          <w:p w14:paraId="5F9CE318" w14:textId="10E2EC4F" w:rsidR="00ED6EE8" w:rsidRPr="00154F1D" w:rsidRDefault="00ED6EE8" w:rsidP="0090351C">
            <w:pPr>
              <w:pStyle w:val="NumberlessNormalText"/>
              <w:numPr>
                <w:ilvl w:val="0"/>
                <w:numId w:val="90"/>
              </w:numPr>
            </w:pPr>
            <w:r w:rsidRPr="00154F1D">
              <w:t xml:space="preserve">Do you consider that there should be any change made to the qualifying conditions for the defence of insanity contained in the </w:t>
            </w:r>
            <w:r w:rsidRPr="00154F1D">
              <w:rPr>
                <w:i/>
              </w:rPr>
              <w:t xml:space="preserve">Criminal Code </w:t>
            </w:r>
            <w:r w:rsidRPr="00154F1D">
              <w:t>(Tas) s</w:t>
            </w:r>
            <w:r w:rsidR="005D3C67" w:rsidRPr="00154F1D">
              <w:t> </w:t>
            </w:r>
            <w:r w:rsidRPr="00154F1D">
              <w:t>16(1)(a)?</w:t>
            </w:r>
            <w:r w:rsidR="00D839F7">
              <w:t xml:space="preserve"> (Page </w:t>
            </w:r>
            <w:r w:rsidR="00B23948">
              <w:fldChar w:fldCharType="begin"/>
            </w:r>
            <w:r w:rsidR="00B23948">
              <w:instrText xml:space="preserve"> PAGEREF Q40 \h </w:instrText>
            </w:r>
            <w:r w:rsidR="00B23948">
              <w:fldChar w:fldCharType="separate"/>
            </w:r>
            <w:r w:rsidR="001F209C">
              <w:rPr>
                <w:noProof/>
              </w:rPr>
              <w:t>94</w:t>
            </w:r>
            <w:r w:rsidR="00B23948">
              <w:fldChar w:fldCharType="end"/>
            </w:r>
            <w:r w:rsidR="00D839F7">
              <w:t>)</w:t>
            </w:r>
          </w:p>
          <w:p w14:paraId="20C0EB82" w14:textId="79B2520C" w:rsidR="00ED6EE8" w:rsidRPr="00154F1D" w:rsidRDefault="00ED6EE8" w:rsidP="0090351C">
            <w:pPr>
              <w:pStyle w:val="NumberlessNormalText"/>
              <w:numPr>
                <w:ilvl w:val="0"/>
                <w:numId w:val="90"/>
              </w:numPr>
            </w:pPr>
            <w:r w:rsidRPr="00154F1D">
              <w:t xml:space="preserve">Do you consider that the volitional test for insanity contained in the </w:t>
            </w:r>
            <w:r w:rsidRPr="00154F1D">
              <w:rPr>
                <w:i/>
              </w:rPr>
              <w:t xml:space="preserve">Criminal Code </w:t>
            </w:r>
            <w:r w:rsidRPr="00154F1D">
              <w:t>(Tas) s 16(1)(b) should be retained?</w:t>
            </w:r>
            <w:r w:rsidR="00D839F7">
              <w:t xml:space="preserve"> (Page </w:t>
            </w:r>
            <w:r w:rsidR="00B23948">
              <w:fldChar w:fldCharType="begin"/>
            </w:r>
            <w:r w:rsidR="00B23948">
              <w:instrText xml:space="preserve"> PAGEREF Q43 \h </w:instrText>
            </w:r>
            <w:r w:rsidR="00B23948">
              <w:fldChar w:fldCharType="separate"/>
            </w:r>
            <w:r w:rsidR="001F209C">
              <w:rPr>
                <w:noProof/>
              </w:rPr>
              <w:t>95</w:t>
            </w:r>
            <w:r w:rsidR="00B23948">
              <w:fldChar w:fldCharType="end"/>
            </w:r>
            <w:r w:rsidR="00D839F7">
              <w:t>)</w:t>
            </w:r>
          </w:p>
          <w:p w14:paraId="2417A143" w14:textId="0049073D" w:rsidR="00ED6EE8" w:rsidRPr="00154F1D" w:rsidRDefault="00ED6EE8" w:rsidP="0090351C">
            <w:pPr>
              <w:pStyle w:val="NumberlessNormalText"/>
              <w:numPr>
                <w:ilvl w:val="0"/>
                <w:numId w:val="90"/>
              </w:numPr>
            </w:pPr>
            <w:r w:rsidRPr="00154F1D">
              <w:t xml:space="preserve">Do you consider that any amendment should be made to the </w:t>
            </w:r>
            <w:r w:rsidRPr="00154F1D">
              <w:rPr>
                <w:i/>
              </w:rPr>
              <w:t xml:space="preserve">Criminal Code </w:t>
            </w:r>
            <w:r w:rsidRPr="00154F1D">
              <w:t>(Tas) s 16(1)(b)?</w:t>
            </w:r>
            <w:r w:rsidR="00D839F7">
              <w:t xml:space="preserve"> (Page </w:t>
            </w:r>
            <w:r w:rsidR="00B23948">
              <w:fldChar w:fldCharType="begin"/>
            </w:r>
            <w:r w:rsidR="00B23948">
              <w:instrText xml:space="preserve"> PAGEREF Q43 \h </w:instrText>
            </w:r>
            <w:r w:rsidR="00B23948">
              <w:fldChar w:fldCharType="separate"/>
            </w:r>
            <w:r w:rsidR="001F209C">
              <w:rPr>
                <w:noProof/>
              </w:rPr>
              <w:t>95</w:t>
            </w:r>
            <w:r w:rsidR="00B23948">
              <w:fldChar w:fldCharType="end"/>
            </w:r>
            <w:r w:rsidR="00D839F7">
              <w:t>)</w:t>
            </w:r>
          </w:p>
          <w:p w14:paraId="3992424F" w14:textId="0EBBDF28" w:rsidR="00ED6EE8" w:rsidRPr="00154F1D" w:rsidRDefault="00ED6EE8" w:rsidP="0090351C">
            <w:pPr>
              <w:pStyle w:val="NumberlessNormalText"/>
              <w:numPr>
                <w:ilvl w:val="0"/>
                <w:numId w:val="90"/>
              </w:numPr>
            </w:pPr>
            <w:r w:rsidRPr="00154F1D">
              <w:t>Do you have an explanation as to why successful reliance on the defence of insanity is so low?</w:t>
            </w:r>
            <w:r w:rsidR="00D839F7">
              <w:t xml:space="preserve"> (Page </w:t>
            </w:r>
            <w:r w:rsidR="00B23948">
              <w:fldChar w:fldCharType="begin"/>
            </w:r>
            <w:r w:rsidR="00B23948">
              <w:instrText xml:space="preserve"> PAGEREF Q45 \h </w:instrText>
            </w:r>
            <w:r w:rsidR="00B23948">
              <w:fldChar w:fldCharType="separate"/>
            </w:r>
            <w:r w:rsidR="001F209C">
              <w:rPr>
                <w:noProof/>
              </w:rPr>
              <w:t>96</w:t>
            </w:r>
            <w:r w:rsidR="00B23948">
              <w:fldChar w:fldCharType="end"/>
            </w:r>
            <w:r w:rsidR="00D839F7">
              <w:t>)</w:t>
            </w:r>
          </w:p>
          <w:p w14:paraId="3B06A8AA" w14:textId="5D546454" w:rsidR="00ED6EE8" w:rsidRPr="00154F1D" w:rsidRDefault="00ED6EE8" w:rsidP="0090351C">
            <w:pPr>
              <w:pStyle w:val="NumberlessNormalText"/>
              <w:numPr>
                <w:ilvl w:val="0"/>
                <w:numId w:val="90"/>
              </w:numPr>
            </w:pPr>
            <w:r w:rsidRPr="00154F1D">
              <w:t xml:space="preserve">Do you consider that there are practical difficulties with the current operation of the insanity defence contained in the </w:t>
            </w:r>
            <w:r w:rsidRPr="00154F1D">
              <w:rPr>
                <w:i/>
              </w:rPr>
              <w:t xml:space="preserve">Criminal Code </w:t>
            </w:r>
            <w:r w:rsidRPr="00154F1D">
              <w:t xml:space="preserve">(Tas) s 16? </w:t>
            </w:r>
            <w:r w:rsidR="00D839F7">
              <w:t xml:space="preserve">(Page </w:t>
            </w:r>
            <w:r w:rsidR="00B23948">
              <w:fldChar w:fldCharType="begin"/>
            </w:r>
            <w:r w:rsidR="00B23948">
              <w:instrText xml:space="preserve"> PAGEREF Q45 \h </w:instrText>
            </w:r>
            <w:r w:rsidR="00B23948">
              <w:fldChar w:fldCharType="separate"/>
            </w:r>
            <w:r w:rsidR="001F209C">
              <w:rPr>
                <w:noProof/>
              </w:rPr>
              <w:t>96</w:t>
            </w:r>
            <w:r w:rsidR="00B23948">
              <w:fldChar w:fldCharType="end"/>
            </w:r>
            <w:r w:rsidR="00D839F7">
              <w:t>)</w:t>
            </w:r>
          </w:p>
          <w:p w14:paraId="0981650B" w14:textId="6CA3F67E" w:rsidR="00ED6EE8" w:rsidRPr="00154F1D" w:rsidRDefault="00ED6EE8" w:rsidP="0090351C">
            <w:pPr>
              <w:pStyle w:val="NumberlessNormalText"/>
              <w:numPr>
                <w:ilvl w:val="0"/>
                <w:numId w:val="90"/>
              </w:numPr>
            </w:pPr>
            <w:r w:rsidRPr="00154F1D">
              <w:t xml:space="preserve">Does the current test work well in practice or does it wrongly include or exclude defendants from the scope of the defence? </w:t>
            </w:r>
            <w:r w:rsidR="00D839F7">
              <w:t xml:space="preserve">(Page </w:t>
            </w:r>
            <w:r w:rsidR="00B23948">
              <w:fldChar w:fldCharType="begin"/>
            </w:r>
            <w:r w:rsidR="00B23948">
              <w:instrText xml:space="preserve"> PAGEREF Q45 \h </w:instrText>
            </w:r>
            <w:r w:rsidR="00B23948">
              <w:fldChar w:fldCharType="separate"/>
            </w:r>
            <w:r w:rsidR="001F209C">
              <w:rPr>
                <w:noProof/>
              </w:rPr>
              <w:t>96</w:t>
            </w:r>
            <w:r w:rsidR="00B23948">
              <w:fldChar w:fldCharType="end"/>
            </w:r>
            <w:r w:rsidR="00D839F7">
              <w:t>)</w:t>
            </w:r>
          </w:p>
          <w:p w14:paraId="440DFDF5" w14:textId="139E561F" w:rsidR="00ED6EE8" w:rsidRPr="00154F1D" w:rsidRDefault="00ED6EE8" w:rsidP="0090351C">
            <w:pPr>
              <w:pStyle w:val="NumberlessNormalText"/>
              <w:numPr>
                <w:ilvl w:val="0"/>
                <w:numId w:val="90"/>
              </w:numPr>
            </w:pPr>
            <w:r w:rsidRPr="00154F1D">
              <w:t xml:space="preserve">Do medical practitioners experience cases where a person’s mental state at the time of the offence was such that their opinion was that he or she ought not to have been held criminally responsible, but the mental condition did not meet the tests contained in s 16 of the </w:t>
            </w:r>
            <w:r w:rsidRPr="00154F1D">
              <w:rPr>
                <w:i/>
              </w:rPr>
              <w:t xml:space="preserve">Criminal Code </w:t>
            </w:r>
            <w:r w:rsidRPr="00154F1D">
              <w:t>(Tas)?</w:t>
            </w:r>
            <w:r w:rsidR="00D839F7">
              <w:t xml:space="preserve"> (Page </w:t>
            </w:r>
            <w:r w:rsidR="00B23948">
              <w:fldChar w:fldCharType="begin"/>
            </w:r>
            <w:r w:rsidR="00B23948">
              <w:instrText xml:space="preserve"> PAGEREF Q45 \h </w:instrText>
            </w:r>
            <w:r w:rsidR="00B23948">
              <w:fldChar w:fldCharType="separate"/>
            </w:r>
            <w:r w:rsidR="001F209C">
              <w:rPr>
                <w:noProof/>
              </w:rPr>
              <w:t>96</w:t>
            </w:r>
            <w:r w:rsidR="00B23948">
              <w:fldChar w:fldCharType="end"/>
            </w:r>
            <w:r w:rsidR="00D839F7">
              <w:t>)</w:t>
            </w:r>
          </w:p>
          <w:p w14:paraId="67D48B39" w14:textId="7AA33ED6" w:rsidR="00ED6EE8" w:rsidRPr="00154F1D" w:rsidRDefault="00ED6EE8" w:rsidP="0090351C">
            <w:pPr>
              <w:pStyle w:val="NumberlessNormalText"/>
              <w:numPr>
                <w:ilvl w:val="0"/>
                <w:numId w:val="90"/>
              </w:numPr>
            </w:pPr>
            <w:r w:rsidRPr="00154F1D">
              <w:t xml:space="preserve">Does the insanity test contained in s 16 of the </w:t>
            </w:r>
            <w:r w:rsidRPr="00154F1D">
              <w:rPr>
                <w:i/>
              </w:rPr>
              <w:t xml:space="preserve">Criminal Code </w:t>
            </w:r>
            <w:r w:rsidRPr="00154F1D">
              <w:t>(Tas) create difficulties for experts in writing reports and/or in giving evidence at trial?</w:t>
            </w:r>
            <w:r w:rsidR="00D839F7">
              <w:t xml:space="preserve"> (Page </w:t>
            </w:r>
            <w:r w:rsidR="00B23948">
              <w:fldChar w:fldCharType="begin"/>
            </w:r>
            <w:r w:rsidR="00B23948">
              <w:instrText xml:space="preserve"> PAGEREF Q45 \h </w:instrText>
            </w:r>
            <w:r w:rsidR="00B23948">
              <w:fldChar w:fldCharType="separate"/>
            </w:r>
            <w:r w:rsidR="001F209C">
              <w:rPr>
                <w:noProof/>
              </w:rPr>
              <w:t>96</w:t>
            </w:r>
            <w:r w:rsidR="00B23948">
              <w:fldChar w:fldCharType="end"/>
            </w:r>
            <w:r w:rsidR="00D839F7">
              <w:t>)</w:t>
            </w:r>
          </w:p>
          <w:p w14:paraId="5FEE0723" w14:textId="3C894AC4" w:rsidR="00ED6EE8" w:rsidRPr="00154F1D" w:rsidRDefault="00ED6EE8" w:rsidP="0090351C">
            <w:pPr>
              <w:pStyle w:val="NumberlessNormalText"/>
              <w:numPr>
                <w:ilvl w:val="0"/>
                <w:numId w:val="90"/>
              </w:numPr>
            </w:pPr>
            <w:r w:rsidRPr="00154F1D">
              <w:rPr>
                <w:lang w:eastAsia="ja-JP"/>
              </w:rPr>
              <w:t xml:space="preserve">Can you outline any circumstances where an </w:t>
            </w:r>
            <w:r w:rsidR="00D066F6">
              <w:rPr>
                <w:lang w:eastAsia="ja-JP"/>
              </w:rPr>
              <w:t>accused</w:t>
            </w:r>
            <w:r w:rsidR="00D066F6" w:rsidRPr="00154F1D">
              <w:rPr>
                <w:lang w:eastAsia="ja-JP"/>
              </w:rPr>
              <w:t xml:space="preserve"> </w:t>
            </w:r>
            <w:r w:rsidRPr="00154F1D">
              <w:rPr>
                <w:lang w:eastAsia="ja-JP"/>
              </w:rPr>
              <w:t xml:space="preserve">would not be able to rely on insanity within s 16(1) but would be able to rely on insanity within </w:t>
            </w:r>
            <w:r w:rsidR="00546D66" w:rsidRPr="00154F1D">
              <w:rPr>
                <w:lang w:eastAsia="ja-JP"/>
              </w:rPr>
              <w:t>s </w:t>
            </w:r>
            <w:r w:rsidRPr="00154F1D">
              <w:rPr>
                <w:lang w:eastAsia="ja-JP"/>
              </w:rPr>
              <w:t>16(3)?</w:t>
            </w:r>
            <w:r w:rsidR="00D839F7">
              <w:rPr>
                <w:lang w:eastAsia="ja-JP"/>
              </w:rPr>
              <w:t xml:space="preserve"> </w:t>
            </w:r>
            <w:r w:rsidR="00D839F7">
              <w:t xml:space="preserve">(Page </w:t>
            </w:r>
            <w:r w:rsidR="00B23948">
              <w:fldChar w:fldCharType="begin"/>
            </w:r>
            <w:r w:rsidR="00B23948">
              <w:instrText xml:space="preserve"> PAGEREF Q50 \h </w:instrText>
            </w:r>
            <w:r w:rsidR="00B23948">
              <w:fldChar w:fldCharType="separate"/>
            </w:r>
            <w:r w:rsidR="001F209C">
              <w:rPr>
                <w:noProof/>
              </w:rPr>
              <w:t>103</w:t>
            </w:r>
            <w:r w:rsidR="00B23948">
              <w:fldChar w:fldCharType="end"/>
            </w:r>
            <w:r w:rsidR="00D839F7">
              <w:t>)</w:t>
            </w:r>
          </w:p>
          <w:p w14:paraId="4994A61A" w14:textId="582B5C73" w:rsidR="00ED6EE8" w:rsidRPr="00154F1D" w:rsidRDefault="00ED6EE8" w:rsidP="0090351C">
            <w:pPr>
              <w:pStyle w:val="NumberlessNormalText"/>
              <w:numPr>
                <w:ilvl w:val="0"/>
                <w:numId w:val="90"/>
              </w:numPr>
            </w:pPr>
            <w:r w:rsidRPr="00154F1D">
              <w:rPr>
                <w:lang w:eastAsia="ja-JP"/>
              </w:rPr>
              <w:t xml:space="preserve">Do you agree with the view of the TLRI that </w:t>
            </w:r>
            <w:r w:rsidR="00546D66" w:rsidRPr="00154F1D">
              <w:rPr>
                <w:lang w:eastAsia="ja-JP"/>
              </w:rPr>
              <w:t xml:space="preserve">s 16(3) of the </w:t>
            </w:r>
            <w:r w:rsidRPr="00154F1D">
              <w:rPr>
                <w:i/>
                <w:lang w:eastAsia="ja-JP"/>
              </w:rPr>
              <w:t xml:space="preserve">Criminal Code </w:t>
            </w:r>
            <w:r w:rsidRPr="00154F1D">
              <w:rPr>
                <w:lang w:eastAsia="ja-JP"/>
              </w:rPr>
              <w:t xml:space="preserve">should be repealed and a provision inserted in the </w:t>
            </w:r>
            <w:r w:rsidRPr="00154F1D">
              <w:rPr>
                <w:i/>
                <w:lang w:eastAsia="ja-JP"/>
              </w:rPr>
              <w:t>Code</w:t>
            </w:r>
            <w:r w:rsidRPr="00154F1D">
              <w:rPr>
                <w:lang w:eastAsia="ja-JP"/>
              </w:rPr>
              <w:t xml:space="preserve"> </w:t>
            </w:r>
            <w:r w:rsidRPr="00154F1D">
              <w:t xml:space="preserve">to provide that if a person does an act or makes an omission as a result of a delusion caused by a mental disease, the delusion can only be used as a defence under s 16 of the </w:t>
            </w:r>
            <w:r w:rsidRPr="00154F1D">
              <w:rPr>
                <w:i/>
              </w:rPr>
              <w:t xml:space="preserve">Criminal Code </w:t>
            </w:r>
            <w:r w:rsidRPr="00154F1D">
              <w:t xml:space="preserve">(Tas) and cannot be relied on to support a defence of self-defence under s 46 of the </w:t>
            </w:r>
            <w:r w:rsidRPr="00154F1D">
              <w:rPr>
                <w:i/>
              </w:rPr>
              <w:t xml:space="preserve">Criminal Code </w:t>
            </w:r>
            <w:r w:rsidRPr="00154F1D">
              <w:t>(Tas)? (A possible model would be the legislation in the ACT or the Commonwealth Act)</w:t>
            </w:r>
            <w:r w:rsidR="00CD6D53" w:rsidRPr="00154F1D">
              <w:t>.</w:t>
            </w:r>
            <w:r w:rsidR="00D839F7">
              <w:t xml:space="preserve"> (Page </w:t>
            </w:r>
            <w:r w:rsidR="00B23948">
              <w:fldChar w:fldCharType="begin"/>
            </w:r>
            <w:r w:rsidR="00B23948">
              <w:instrText xml:space="preserve"> PAGEREF Q50 \h </w:instrText>
            </w:r>
            <w:r w:rsidR="00B23948">
              <w:fldChar w:fldCharType="separate"/>
            </w:r>
            <w:r w:rsidR="001F209C">
              <w:rPr>
                <w:noProof/>
              </w:rPr>
              <w:t>103</w:t>
            </w:r>
            <w:r w:rsidR="00B23948">
              <w:fldChar w:fldCharType="end"/>
            </w:r>
            <w:r w:rsidR="00D839F7">
              <w:t>)</w:t>
            </w:r>
          </w:p>
          <w:p w14:paraId="66B50BDC" w14:textId="500CFAB4" w:rsidR="00ED6EE8" w:rsidRPr="00154F1D" w:rsidRDefault="00ED6EE8" w:rsidP="0090351C">
            <w:pPr>
              <w:pStyle w:val="NumberlessNormalText"/>
              <w:numPr>
                <w:ilvl w:val="0"/>
                <w:numId w:val="90"/>
              </w:numPr>
            </w:pPr>
            <w:r w:rsidRPr="00154F1D">
              <w:rPr>
                <w:lang w:eastAsia="ja-JP"/>
              </w:rPr>
              <w:t xml:space="preserve">Alternatively, do you consider that </w:t>
            </w:r>
            <w:r w:rsidR="00CD6D53" w:rsidRPr="00154F1D">
              <w:rPr>
                <w:lang w:eastAsia="ja-JP"/>
              </w:rPr>
              <w:t xml:space="preserve">s 16(3) of the </w:t>
            </w:r>
            <w:r w:rsidRPr="00154F1D">
              <w:rPr>
                <w:i/>
                <w:lang w:eastAsia="ja-JP"/>
              </w:rPr>
              <w:t xml:space="preserve">Criminal Code </w:t>
            </w:r>
            <w:r w:rsidRPr="00154F1D">
              <w:rPr>
                <w:lang w:eastAsia="ja-JP"/>
              </w:rPr>
              <w:t>should be retained</w:t>
            </w:r>
            <w:r w:rsidR="00B23948">
              <w:rPr>
                <w:lang w:eastAsia="ja-JP"/>
              </w:rPr>
              <w:t>,</w:t>
            </w:r>
            <w:r w:rsidRPr="00154F1D">
              <w:rPr>
                <w:lang w:eastAsia="ja-JP"/>
              </w:rPr>
              <w:t xml:space="preserve"> and an amendment made to the </w:t>
            </w:r>
            <w:r w:rsidRPr="00154F1D">
              <w:rPr>
                <w:i/>
                <w:lang w:eastAsia="ja-JP"/>
              </w:rPr>
              <w:t xml:space="preserve">Code </w:t>
            </w:r>
            <w:r w:rsidRPr="00154F1D">
              <w:rPr>
                <w:lang w:eastAsia="ja-JP"/>
              </w:rPr>
              <w:t xml:space="preserve">to provide that </w:t>
            </w:r>
            <w:r w:rsidRPr="00154F1D">
              <w:t>successful reliance on s 16(3) would result in a special verdict of not guilty by reason of insanity rather than a complete acquittal? (A possible model for the legislation would be the amendment proposed by the Western Australian Law Reform Commission)</w:t>
            </w:r>
            <w:r w:rsidR="00CD6D53" w:rsidRPr="00154F1D">
              <w:t>.</w:t>
            </w:r>
            <w:r w:rsidR="00D839F7">
              <w:t xml:space="preserve"> (Page </w:t>
            </w:r>
            <w:r w:rsidR="00B23948">
              <w:fldChar w:fldCharType="begin"/>
            </w:r>
            <w:r w:rsidR="00B23948">
              <w:instrText xml:space="preserve"> PAGEREF Q50 \h </w:instrText>
            </w:r>
            <w:r w:rsidR="00B23948">
              <w:fldChar w:fldCharType="separate"/>
            </w:r>
            <w:r w:rsidR="001F209C">
              <w:rPr>
                <w:noProof/>
              </w:rPr>
              <w:t>103</w:t>
            </w:r>
            <w:r w:rsidR="00B23948">
              <w:fldChar w:fldCharType="end"/>
            </w:r>
            <w:r w:rsidR="00D839F7">
              <w:t>)</w:t>
            </w:r>
          </w:p>
          <w:p w14:paraId="4A94DDA6" w14:textId="58340800" w:rsidR="00ED6EE8" w:rsidRPr="00154F1D" w:rsidRDefault="00ED6EE8" w:rsidP="0090351C">
            <w:pPr>
              <w:pStyle w:val="NumberlessNormalText"/>
              <w:numPr>
                <w:ilvl w:val="0"/>
                <w:numId w:val="90"/>
              </w:numPr>
            </w:pPr>
            <w:r w:rsidRPr="00154F1D">
              <w:t xml:space="preserve">Alternatively, do you consider that evidence of delusions arising from mental illness should be able to be relied on </w:t>
            </w:r>
            <w:r w:rsidR="008B3DA3" w:rsidRPr="00154F1D">
              <w:t xml:space="preserve">for </w:t>
            </w:r>
            <w:r w:rsidRPr="00154F1D">
              <w:t xml:space="preserve">the purposes of the self-defence in </w:t>
            </w:r>
            <w:r w:rsidR="008B3DA3" w:rsidRPr="00154F1D">
              <w:t>s</w:t>
            </w:r>
            <w:r w:rsidR="00D11AC9" w:rsidRPr="00154F1D">
              <w:t> </w:t>
            </w:r>
            <w:r w:rsidR="008B3DA3" w:rsidRPr="00154F1D">
              <w:t xml:space="preserve">46 of </w:t>
            </w:r>
            <w:r w:rsidRPr="00154F1D">
              <w:t xml:space="preserve">the </w:t>
            </w:r>
            <w:r w:rsidRPr="00154F1D">
              <w:rPr>
                <w:i/>
              </w:rPr>
              <w:t xml:space="preserve">Criminal Code </w:t>
            </w:r>
            <w:r w:rsidRPr="00154F1D">
              <w:t xml:space="preserve">(Tas) with the result </w:t>
            </w:r>
            <w:r w:rsidR="008B3DA3" w:rsidRPr="00154F1D">
              <w:t xml:space="preserve">being </w:t>
            </w:r>
            <w:r w:rsidRPr="00154F1D">
              <w:t xml:space="preserve">that a successful argument of self-defence receives a complete acquittal? If so, what (if any) protections need to be put in place in the case of an </w:t>
            </w:r>
            <w:r w:rsidR="00D066F6">
              <w:t>accused</w:t>
            </w:r>
            <w:r w:rsidR="00D066F6" w:rsidRPr="00154F1D">
              <w:t xml:space="preserve"> </w:t>
            </w:r>
            <w:r w:rsidRPr="00154F1D">
              <w:t>who is acquitted on the basis of self-defence</w:t>
            </w:r>
            <w:r w:rsidR="00BF3DAC">
              <w:t xml:space="preserve"> arising from</w:t>
            </w:r>
            <w:r w:rsidRPr="00154F1D">
              <w:t xml:space="preserve"> a deluded belief </w:t>
            </w:r>
            <w:r w:rsidR="00BF3DAC">
              <w:t>attributable to</w:t>
            </w:r>
            <w:r w:rsidRPr="00154F1D">
              <w:t xml:space="preserve"> a mental illness?</w:t>
            </w:r>
            <w:r w:rsidR="00D839F7">
              <w:t xml:space="preserve"> (Page </w:t>
            </w:r>
            <w:r w:rsidR="00B23948">
              <w:fldChar w:fldCharType="begin"/>
            </w:r>
            <w:r w:rsidR="00B23948">
              <w:instrText xml:space="preserve"> PAGEREF Q53 \h </w:instrText>
            </w:r>
            <w:r w:rsidR="00B23948">
              <w:fldChar w:fldCharType="separate"/>
            </w:r>
            <w:r w:rsidR="001F209C">
              <w:rPr>
                <w:noProof/>
              </w:rPr>
              <w:t>104</w:t>
            </w:r>
            <w:r w:rsidR="00B23948">
              <w:fldChar w:fldCharType="end"/>
            </w:r>
            <w:r w:rsidR="00D839F7">
              <w:t>)</w:t>
            </w:r>
          </w:p>
          <w:p w14:paraId="4C080444" w14:textId="79856A23" w:rsidR="00ED6EE8" w:rsidRPr="00154F1D" w:rsidRDefault="00ED6EE8" w:rsidP="0090351C">
            <w:pPr>
              <w:pStyle w:val="NumberlessNormalText"/>
              <w:numPr>
                <w:ilvl w:val="0"/>
                <w:numId w:val="90"/>
              </w:numPr>
            </w:pPr>
            <w:r w:rsidRPr="00154F1D">
              <w:t xml:space="preserve">Should the </w:t>
            </w:r>
            <w:r w:rsidRPr="00154F1D">
              <w:rPr>
                <w:i/>
              </w:rPr>
              <w:t xml:space="preserve">Criminal Code </w:t>
            </w:r>
            <w:r w:rsidRPr="00154F1D">
              <w:t>(Tas) be amended to provide that the burden of proof for the insanity defence rests on the prosecution and that the defendant bears an evidential burden only in relation to this defence?</w:t>
            </w:r>
            <w:r w:rsidR="00D839F7">
              <w:t xml:space="preserve"> (Page </w:t>
            </w:r>
            <w:r w:rsidR="00474A71">
              <w:fldChar w:fldCharType="begin"/>
            </w:r>
            <w:r w:rsidR="00474A71">
              <w:instrText xml:space="preserve"> PAGEREF Q54 \h </w:instrText>
            </w:r>
            <w:r w:rsidR="00474A71">
              <w:fldChar w:fldCharType="separate"/>
            </w:r>
            <w:r w:rsidR="001F209C">
              <w:rPr>
                <w:noProof/>
              </w:rPr>
              <w:t>104</w:t>
            </w:r>
            <w:r w:rsidR="00474A71">
              <w:fldChar w:fldCharType="end"/>
            </w:r>
            <w:r w:rsidR="00D839F7">
              <w:t>)</w:t>
            </w:r>
          </w:p>
          <w:p w14:paraId="6A98922C" w14:textId="23C4D79B" w:rsidR="00ED6EE8" w:rsidRPr="00154F1D" w:rsidRDefault="00ED6EE8" w:rsidP="0090351C">
            <w:pPr>
              <w:pStyle w:val="NumberlessNormalText"/>
              <w:numPr>
                <w:ilvl w:val="0"/>
                <w:numId w:val="90"/>
              </w:numPr>
            </w:pPr>
            <w:r w:rsidRPr="00154F1D">
              <w:t xml:space="preserve">Should the prosecution have the power to raise the defence of </w:t>
            </w:r>
            <w:r w:rsidR="00A80BB4">
              <w:t>insanity</w:t>
            </w:r>
            <w:r w:rsidRPr="00154F1D">
              <w:t xml:space="preserve"> against the wishes of the defendant? </w:t>
            </w:r>
            <w:r w:rsidR="00D839F7">
              <w:t xml:space="preserve">(Page </w:t>
            </w:r>
            <w:r w:rsidR="00474A71">
              <w:fldChar w:fldCharType="begin"/>
            </w:r>
            <w:r w:rsidR="00474A71">
              <w:instrText xml:space="preserve"> PAGEREF Q55 \h </w:instrText>
            </w:r>
            <w:r w:rsidR="00474A71">
              <w:fldChar w:fldCharType="separate"/>
            </w:r>
            <w:r w:rsidR="001F209C">
              <w:rPr>
                <w:noProof/>
              </w:rPr>
              <w:t>106</w:t>
            </w:r>
            <w:r w:rsidR="00474A71">
              <w:fldChar w:fldCharType="end"/>
            </w:r>
            <w:r w:rsidR="00D839F7">
              <w:t>)</w:t>
            </w:r>
          </w:p>
          <w:p w14:paraId="7A2C8A48" w14:textId="1ED5EB60" w:rsidR="00ED6EE8" w:rsidRPr="00154F1D" w:rsidRDefault="00ED6EE8" w:rsidP="0090351C">
            <w:pPr>
              <w:pStyle w:val="NumberlessNormalText"/>
              <w:numPr>
                <w:ilvl w:val="0"/>
                <w:numId w:val="90"/>
              </w:numPr>
            </w:pPr>
            <w:r w:rsidRPr="00154F1D">
              <w:t>Should the leave of the court be required</w:t>
            </w:r>
            <w:r w:rsidR="00D90726" w:rsidRPr="00154F1D">
              <w:t xml:space="preserve"> for the prosecution to do this</w:t>
            </w:r>
            <w:r w:rsidRPr="00154F1D">
              <w:t>?</w:t>
            </w:r>
            <w:r w:rsidR="00D839F7">
              <w:t xml:space="preserve"> (Page</w:t>
            </w:r>
            <w:r w:rsidR="00474A71">
              <w:t xml:space="preserve"> </w:t>
            </w:r>
            <w:r w:rsidR="00474A71">
              <w:fldChar w:fldCharType="begin"/>
            </w:r>
            <w:r w:rsidR="00474A71">
              <w:instrText xml:space="preserve"> PAGEREF Q55 \h </w:instrText>
            </w:r>
            <w:r w:rsidR="00474A71">
              <w:fldChar w:fldCharType="separate"/>
            </w:r>
            <w:r w:rsidR="001F209C">
              <w:rPr>
                <w:noProof/>
              </w:rPr>
              <w:t>106</w:t>
            </w:r>
            <w:r w:rsidR="00474A71">
              <w:fldChar w:fldCharType="end"/>
            </w:r>
            <w:r w:rsidR="00D839F7">
              <w:t>)</w:t>
            </w:r>
          </w:p>
          <w:p w14:paraId="19C1E65E" w14:textId="7239B468" w:rsidR="00ED6EE8" w:rsidRPr="00154F1D" w:rsidRDefault="00ED6EE8" w:rsidP="0090351C">
            <w:pPr>
              <w:pStyle w:val="NumberlessNormalText"/>
              <w:numPr>
                <w:ilvl w:val="0"/>
                <w:numId w:val="90"/>
              </w:numPr>
            </w:pPr>
            <w:r w:rsidRPr="00154F1D">
              <w:t>Should there be legislative change to allow the prosecution and defence to agree that a defendant is not guilty by reason of insanity?</w:t>
            </w:r>
            <w:r w:rsidR="00D839F7">
              <w:t xml:space="preserve"> (Page </w:t>
            </w:r>
            <w:r w:rsidR="00474A71">
              <w:fldChar w:fldCharType="begin"/>
            </w:r>
            <w:r w:rsidR="00474A71">
              <w:instrText xml:space="preserve"> PAGEREF Q57 \h </w:instrText>
            </w:r>
            <w:r w:rsidR="00474A71">
              <w:fldChar w:fldCharType="separate"/>
            </w:r>
            <w:r w:rsidR="001F209C">
              <w:rPr>
                <w:noProof/>
              </w:rPr>
              <w:t>108</w:t>
            </w:r>
            <w:r w:rsidR="00474A71">
              <w:fldChar w:fldCharType="end"/>
            </w:r>
            <w:r w:rsidR="00D839F7">
              <w:t>)</w:t>
            </w:r>
          </w:p>
          <w:p w14:paraId="3EAF6184" w14:textId="48EA9E9A" w:rsidR="00ED6EE8" w:rsidRPr="00154F1D" w:rsidRDefault="00ED6EE8" w:rsidP="0090351C">
            <w:pPr>
              <w:pStyle w:val="NumberlessNormalText"/>
              <w:numPr>
                <w:ilvl w:val="0"/>
                <w:numId w:val="90"/>
              </w:numPr>
            </w:pPr>
            <w:r w:rsidRPr="00154F1D">
              <w:t>If so, are there any protections in the interests of the defendant that need to be put in place?</w:t>
            </w:r>
            <w:r w:rsidR="00D839F7">
              <w:t xml:space="preserve"> (Page </w:t>
            </w:r>
            <w:r w:rsidR="00474A71">
              <w:fldChar w:fldCharType="begin"/>
            </w:r>
            <w:r w:rsidR="00474A71">
              <w:instrText xml:space="preserve"> PAGEREF Q57 \h </w:instrText>
            </w:r>
            <w:r w:rsidR="00474A71">
              <w:fldChar w:fldCharType="separate"/>
            </w:r>
            <w:r w:rsidR="001F209C">
              <w:rPr>
                <w:noProof/>
              </w:rPr>
              <w:t>108</w:t>
            </w:r>
            <w:r w:rsidR="00474A71">
              <w:fldChar w:fldCharType="end"/>
            </w:r>
            <w:r w:rsidR="00D839F7">
              <w:t>)</w:t>
            </w:r>
          </w:p>
        </w:tc>
      </w:tr>
      <w:tr w:rsidR="00ED6EE8" w:rsidRPr="00154F1D" w14:paraId="08AB4509" w14:textId="77777777" w:rsidTr="00FC44D9">
        <w:tc>
          <w:tcPr>
            <w:tcW w:w="855" w:type="dxa"/>
            <w:shd w:val="clear" w:color="auto" w:fill="D9D9D9" w:themeFill="background1" w:themeFillShade="D9"/>
          </w:tcPr>
          <w:p w14:paraId="5DE01311" w14:textId="77777777" w:rsidR="00ED6EE8" w:rsidRPr="00154F1D" w:rsidRDefault="00ED6EE8" w:rsidP="00942FAF">
            <w:pPr>
              <w:pStyle w:val="NumberlessNormalText"/>
              <w:rPr>
                <w:b/>
              </w:rPr>
            </w:pPr>
            <w:r w:rsidRPr="00154F1D">
              <w:rPr>
                <w:b/>
              </w:rPr>
              <w:t>Part 8</w:t>
            </w:r>
          </w:p>
        </w:tc>
        <w:tc>
          <w:tcPr>
            <w:tcW w:w="7362" w:type="dxa"/>
            <w:shd w:val="clear" w:color="auto" w:fill="D9D9D9" w:themeFill="background1" w:themeFillShade="D9"/>
          </w:tcPr>
          <w:p w14:paraId="78484C7D" w14:textId="15D5C7F9" w:rsidR="00ED6EE8" w:rsidRPr="00154F1D" w:rsidRDefault="00ED6EE8" w:rsidP="00942FAF">
            <w:pPr>
              <w:pStyle w:val="NumberlessNormalText"/>
            </w:pPr>
            <w:r w:rsidRPr="00154F1D">
              <w:rPr>
                <w:b/>
              </w:rPr>
              <w:t>Disposition: Forensic and treatment orders</w:t>
            </w:r>
            <w:r w:rsidRPr="00154F1D">
              <w:t xml:space="preserve"> </w:t>
            </w:r>
          </w:p>
        </w:tc>
      </w:tr>
      <w:tr w:rsidR="00ED6EE8" w:rsidRPr="00154F1D" w14:paraId="6AEE54A0" w14:textId="77777777" w:rsidTr="00FC44D9">
        <w:tc>
          <w:tcPr>
            <w:tcW w:w="855" w:type="dxa"/>
          </w:tcPr>
          <w:p w14:paraId="2D8413DB" w14:textId="77777777" w:rsidR="00ED6EE8" w:rsidRPr="00154F1D" w:rsidRDefault="00ED6EE8" w:rsidP="00942FAF">
            <w:pPr>
              <w:pStyle w:val="NumberlessNormalText"/>
            </w:pPr>
            <w:r w:rsidRPr="00154F1D">
              <w:t>8.3</w:t>
            </w:r>
          </w:p>
        </w:tc>
        <w:tc>
          <w:tcPr>
            <w:tcW w:w="7362" w:type="dxa"/>
          </w:tcPr>
          <w:p w14:paraId="389EB430" w14:textId="22D253C2" w:rsidR="000B114D" w:rsidRPr="00154F1D" w:rsidRDefault="000B114D" w:rsidP="000B114D">
            <w:pPr>
              <w:pStyle w:val="NumberlessNormalText"/>
              <w:numPr>
                <w:ilvl w:val="0"/>
                <w:numId w:val="90"/>
              </w:numPr>
            </w:pPr>
            <w:r w:rsidRPr="00154F1D">
              <w:t xml:space="preserve">Should the </w:t>
            </w:r>
            <w:r w:rsidRPr="00154F1D">
              <w:rPr>
                <w:i/>
              </w:rPr>
              <w:t>Criminal Justice (Mental Impairment) Act 1999</w:t>
            </w:r>
            <w:r w:rsidRPr="00154F1D">
              <w:t xml:space="preserve"> (Tas) be amended to provide for a limiting term for restriction and supervision orders to replace the current indefinite nature of these orders?</w:t>
            </w:r>
            <w:r w:rsidR="00D839F7">
              <w:t xml:space="preserve"> (Page </w:t>
            </w:r>
            <w:r w:rsidR="00474A71">
              <w:fldChar w:fldCharType="begin"/>
            </w:r>
            <w:r w:rsidR="00474A71">
              <w:instrText xml:space="preserve"> PAGEREF Q59 \h </w:instrText>
            </w:r>
            <w:r w:rsidR="00474A71">
              <w:fldChar w:fldCharType="separate"/>
            </w:r>
            <w:r w:rsidR="001F209C">
              <w:rPr>
                <w:noProof/>
              </w:rPr>
              <w:t>131</w:t>
            </w:r>
            <w:r w:rsidR="00474A71">
              <w:fldChar w:fldCharType="end"/>
            </w:r>
            <w:r w:rsidR="00D839F7">
              <w:t>)</w:t>
            </w:r>
          </w:p>
          <w:p w14:paraId="2CB85146" w14:textId="39C0CA66" w:rsidR="00ED6EE8" w:rsidRPr="00154F1D" w:rsidRDefault="00ED6EE8" w:rsidP="000B114D">
            <w:pPr>
              <w:pStyle w:val="NumberlessNormalText"/>
              <w:numPr>
                <w:ilvl w:val="0"/>
                <w:numId w:val="90"/>
              </w:numPr>
            </w:pPr>
            <w:r w:rsidRPr="00154F1D">
              <w:t xml:space="preserve">Should the </w:t>
            </w:r>
            <w:r w:rsidRPr="00154F1D">
              <w:rPr>
                <w:i/>
                <w:iCs/>
              </w:rPr>
              <w:t xml:space="preserve">Criminal Justice (Mental Impairment) Act 1999 </w:t>
            </w:r>
            <w:r w:rsidRPr="00154F1D">
              <w:rPr>
                <w:iCs/>
              </w:rPr>
              <w:t>(Tas)</w:t>
            </w:r>
            <w:r w:rsidRPr="00154F1D">
              <w:t xml:space="preserve"> be amended to provide for a limiting term for a conditional release order to replace the current indefinite nature of these orders?</w:t>
            </w:r>
            <w:r w:rsidR="00D839F7">
              <w:t xml:space="preserve"> (Page </w:t>
            </w:r>
            <w:r w:rsidR="00474A71">
              <w:fldChar w:fldCharType="begin"/>
            </w:r>
            <w:r w:rsidR="00474A71">
              <w:instrText xml:space="preserve"> PAGEREF Q59 \h </w:instrText>
            </w:r>
            <w:r w:rsidR="00474A71">
              <w:fldChar w:fldCharType="separate"/>
            </w:r>
            <w:r w:rsidR="001F209C">
              <w:rPr>
                <w:noProof/>
              </w:rPr>
              <w:t>131</w:t>
            </w:r>
            <w:r w:rsidR="00474A71">
              <w:fldChar w:fldCharType="end"/>
            </w:r>
            <w:r w:rsidR="00D839F7">
              <w:t>)</w:t>
            </w:r>
          </w:p>
          <w:p w14:paraId="3612AD91" w14:textId="01C3BB99" w:rsidR="00ED6EE8" w:rsidRPr="00154F1D" w:rsidRDefault="00ED6EE8" w:rsidP="000B114D">
            <w:pPr>
              <w:pStyle w:val="NumberlessNormalText"/>
              <w:numPr>
                <w:ilvl w:val="0"/>
                <w:numId w:val="90"/>
              </w:numPr>
            </w:pPr>
            <w:r w:rsidRPr="00154F1D">
              <w:t xml:space="preserve">If the </w:t>
            </w:r>
            <w:r w:rsidRPr="00154F1D">
              <w:rPr>
                <w:i/>
                <w:iCs/>
              </w:rPr>
              <w:t xml:space="preserve">Criminal Justice (Mental Impairment) Act 1999 </w:t>
            </w:r>
            <w:r w:rsidRPr="00154F1D">
              <w:rPr>
                <w:iCs/>
              </w:rPr>
              <w:t>(Tas)</w:t>
            </w:r>
            <w:r w:rsidRPr="00154F1D">
              <w:t xml:space="preserve"> is amended to provide for a limiting term for restriction and supervision orders, is it necessary and appropriate to introduce a preventative detention scheme that would allow for an extension of the person’s forensic patient status?</w:t>
            </w:r>
            <w:r w:rsidR="00D839F7">
              <w:t xml:space="preserve"> (Page </w:t>
            </w:r>
            <w:r w:rsidR="00474A71">
              <w:fldChar w:fldCharType="begin"/>
            </w:r>
            <w:r w:rsidR="00474A71">
              <w:instrText xml:space="preserve"> PAGEREF Q61 \h </w:instrText>
            </w:r>
            <w:r w:rsidR="00474A71">
              <w:fldChar w:fldCharType="separate"/>
            </w:r>
            <w:r w:rsidR="001F209C">
              <w:rPr>
                <w:noProof/>
              </w:rPr>
              <w:t>137</w:t>
            </w:r>
            <w:r w:rsidR="00474A71">
              <w:fldChar w:fldCharType="end"/>
            </w:r>
            <w:r w:rsidR="00D839F7">
              <w:t>)</w:t>
            </w:r>
          </w:p>
          <w:p w14:paraId="059963EE" w14:textId="26BDC27E" w:rsidR="00ED6EE8" w:rsidRPr="00154F1D" w:rsidRDefault="00ED6EE8" w:rsidP="000B114D">
            <w:pPr>
              <w:pStyle w:val="NumberlessNormalText"/>
              <w:numPr>
                <w:ilvl w:val="0"/>
                <w:numId w:val="90"/>
              </w:numPr>
            </w:pPr>
            <w:r w:rsidRPr="00154F1D">
              <w:t>If a preventative detention scheme is introduced, what model should be used? What should the threshold test for an extension order be and how long should an extension order operate?</w:t>
            </w:r>
            <w:r w:rsidR="00D839F7">
              <w:t xml:space="preserve"> (Page </w:t>
            </w:r>
            <w:r w:rsidR="00474A71">
              <w:fldChar w:fldCharType="begin"/>
            </w:r>
            <w:r w:rsidR="00474A71">
              <w:instrText xml:space="preserve"> PAGEREF Q61 \h </w:instrText>
            </w:r>
            <w:r w:rsidR="00474A71">
              <w:fldChar w:fldCharType="separate"/>
            </w:r>
            <w:r w:rsidR="001F209C">
              <w:rPr>
                <w:noProof/>
              </w:rPr>
              <w:t>137</w:t>
            </w:r>
            <w:r w:rsidR="00474A71">
              <w:fldChar w:fldCharType="end"/>
            </w:r>
            <w:r w:rsidR="00D839F7">
              <w:t>)</w:t>
            </w:r>
          </w:p>
          <w:p w14:paraId="689B432D" w14:textId="68A267E0" w:rsidR="00ED6EE8" w:rsidRPr="00154F1D" w:rsidRDefault="00ED6EE8" w:rsidP="000B114D">
            <w:pPr>
              <w:pStyle w:val="NumberlessNormalText"/>
              <w:numPr>
                <w:ilvl w:val="0"/>
                <w:numId w:val="90"/>
              </w:numPr>
            </w:pPr>
            <w:r w:rsidRPr="00154F1D">
              <w:t xml:space="preserve">If there is a time limit for restriction and supervision orders under the </w:t>
            </w:r>
            <w:r w:rsidRPr="00154F1D">
              <w:rPr>
                <w:i/>
                <w:iCs/>
              </w:rPr>
              <w:t xml:space="preserve">Criminal Justice (Mental Impairment) Act 1999 </w:t>
            </w:r>
            <w:r w:rsidRPr="00154F1D">
              <w:rPr>
                <w:iCs/>
              </w:rPr>
              <w:t>(Tas)</w:t>
            </w:r>
            <w:r w:rsidRPr="00154F1D">
              <w:t>, on what basis should it be determined?</w:t>
            </w:r>
            <w:r w:rsidR="00D839F7">
              <w:t xml:space="preserve"> (Page </w:t>
            </w:r>
            <w:r w:rsidR="00474A71">
              <w:fldChar w:fldCharType="begin"/>
            </w:r>
            <w:r w:rsidR="00474A71">
              <w:instrText xml:space="preserve"> PAGEREF Q63 \h </w:instrText>
            </w:r>
            <w:r w:rsidR="00474A71">
              <w:fldChar w:fldCharType="separate"/>
            </w:r>
            <w:r w:rsidR="001F209C">
              <w:rPr>
                <w:noProof/>
              </w:rPr>
              <w:t>140</w:t>
            </w:r>
            <w:r w:rsidR="00474A71">
              <w:fldChar w:fldCharType="end"/>
            </w:r>
            <w:r w:rsidR="00D839F7">
              <w:t>)</w:t>
            </w:r>
          </w:p>
          <w:p w14:paraId="276D0B83" w14:textId="47531747" w:rsidR="00ED6EE8" w:rsidRPr="00154F1D" w:rsidRDefault="00ED6EE8" w:rsidP="000B114D">
            <w:pPr>
              <w:pStyle w:val="NumberlessNormalText"/>
              <w:numPr>
                <w:ilvl w:val="0"/>
                <w:numId w:val="90"/>
              </w:numPr>
            </w:pPr>
            <w:r w:rsidRPr="00154F1D">
              <w:t xml:space="preserve">If there is a time limit for conditional release orders under the </w:t>
            </w:r>
            <w:r w:rsidRPr="00154F1D">
              <w:rPr>
                <w:i/>
                <w:iCs/>
              </w:rPr>
              <w:t xml:space="preserve">Criminal Justice (Mental Impairment) Act 1999 </w:t>
            </w:r>
            <w:r w:rsidRPr="00154F1D">
              <w:rPr>
                <w:iCs/>
              </w:rPr>
              <w:t>(Tas)</w:t>
            </w:r>
            <w:r w:rsidRPr="00154F1D">
              <w:t xml:space="preserve">, should it be the same as the conditional undertaking under the </w:t>
            </w:r>
            <w:r w:rsidRPr="00154F1D">
              <w:rPr>
                <w:i/>
              </w:rPr>
              <w:t xml:space="preserve">Sentencing Act 1997 </w:t>
            </w:r>
            <w:r w:rsidRPr="00154F1D">
              <w:t>(Tas) s 7(f) (five years)? If not, on what basis should it be determined?</w:t>
            </w:r>
            <w:r w:rsidR="00D839F7">
              <w:t xml:space="preserve"> (Page </w:t>
            </w:r>
            <w:r w:rsidR="00474A71">
              <w:fldChar w:fldCharType="begin"/>
            </w:r>
            <w:r w:rsidR="00474A71">
              <w:instrText xml:space="preserve"> PAGEREF Q63 \h </w:instrText>
            </w:r>
            <w:r w:rsidR="00474A71">
              <w:fldChar w:fldCharType="separate"/>
            </w:r>
            <w:r w:rsidR="001F209C">
              <w:rPr>
                <w:noProof/>
              </w:rPr>
              <w:t>140</w:t>
            </w:r>
            <w:r w:rsidR="00474A71">
              <w:fldChar w:fldCharType="end"/>
            </w:r>
            <w:r w:rsidR="00D839F7">
              <w:t>)</w:t>
            </w:r>
          </w:p>
          <w:p w14:paraId="1D5F653A" w14:textId="72C695C0" w:rsidR="00ED6EE8" w:rsidRPr="00154F1D" w:rsidRDefault="00ED6EE8" w:rsidP="000B114D">
            <w:pPr>
              <w:pStyle w:val="NumberlessNormalText"/>
              <w:numPr>
                <w:ilvl w:val="0"/>
                <w:numId w:val="90"/>
              </w:numPr>
            </w:pPr>
            <w:r w:rsidRPr="00154F1D">
              <w:t xml:space="preserve">Are there any difficulties that exist under the </w:t>
            </w:r>
            <w:r w:rsidRPr="00154F1D">
              <w:rPr>
                <w:i/>
                <w:iCs/>
              </w:rPr>
              <w:t xml:space="preserve">Criminal Justice (Mental Impairment) Act 1999 </w:t>
            </w:r>
            <w:r w:rsidRPr="00154F1D">
              <w:rPr>
                <w:iCs/>
              </w:rPr>
              <w:t>(Tas)</w:t>
            </w:r>
            <w:r w:rsidRPr="00154F1D">
              <w:t xml:space="preserve"> in relation to the making, varying or discharging of orders for forensic patients?</w:t>
            </w:r>
            <w:r w:rsidR="00D839F7">
              <w:t xml:space="preserve"> (Page </w:t>
            </w:r>
            <w:r w:rsidR="00647409">
              <w:fldChar w:fldCharType="begin"/>
            </w:r>
            <w:r w:rsidR="00647409">
              <w:instrText xml:space="preserve"> PAGEREF Q65 \h </w:instrText>
            </w:r>
            <w:r w:rsidR="00647409">
              <w:fldChar w:fldCharType="separate"/>
            </w:r>
            <w:r w:rsidR="001F209C">
              <w:rPr>
                <w:noProof/>
              </w:rPr>
              <w:t>148</w:t>
            </w:r>
            <w:r w:rsidR="00647409">
              <w:fldChar w:fldCharType="end"/>
            </w:r>
            <w:r w:rsidR="00D839F7">
              <w:t>)</w:t>
            </w:r>
          </w:p>
          <w:p w14:paraId="6FBB243B" w14:textId="101AE0BD" w:rsidR="00ED6EE8" w:rsidRPr="00154F1D" w:rsidRDefault="00ED6EE8" w:rsidP="000B114D">
            <w:pPr>
              <w:pStyle w:val="NumberlessNormalText"/>
              <w:numPr>
                <w:ilvl w:val="0"/>
                <w:numId w:val="90"/>
              </w:numPr>
            </w:pPr>
            <w:r w:rsidRPr="00154F1D">
              <w:t>Is the current approach to decision</w:t>
            </w:r>
            <w:r w:rsidR="00547B7B" w:rsidRPr="00154F1D">
              <w:t>-</w:t>
            </w:r>
            <w:r w:rsidRPr="00154F1D">
              <w:t xml:space="preserve">making </w:t>
            </w:r>
            <w:r w:rsidR="00A80BB4">
              <w:t xml:space="preserve">in relation to </w:t>
            </w:r>
            <w:r w:rsidR="00D066F6">
              <w:t>individual</w:t>
            </w:r>
            <w:r w:rsidR="00D066F6" w:rsidRPr="00154F1D">
              <w:t xml:space="preserve">s </w:t>
            </w:r>
            <w:r w:rsidRPr="00154F1D">
              <w:t xml:space="preserve">subject </w:t>
            </w:r>
            <w:r w:rsidR="008F5CB5">
              <w:t>to</w:t>
            </w:r>
            <w:r w:rsidR="008F5CB5" w:rsidRPr="00154F1D">
              <w:t xml:space="preserve"> </w:t>
            </w:r>
            <w:r w:rsidRPr="00154F1D">
              <w:t xml:space="preserve">forensic orders overly cautious? For example, is too much emphasis placed on the risk to the community and too little emphasis placed on the interests of the </w:t>
            </w:r>
            <w:r w:rsidR="00EB02C1" w:rsidRPr="00154F1D">
              <w:t>person</w:t>
            </w:r>
            <w:r w:rsidRPr="00154F1D">
              <w:t>?</w:t>
            </w:r>
            <w:r w:rsidR="00D839F7">
              <w:t xml:space="preserve"> (Page </w:t>
            </w:r>
            <w:r w:rsidR="00647409">
              <w:fldChar w:fldCharType="begin"/>
            </w:r>
            <w:r w:rsidR="00647409">
              <w:instrText xml:space="preserve"> PAGEREF Q65 \h </w:instrText>
            </w:r>
            <w:r w:rsidR="00647409">
              <w:fldChar w:fldCharType="separate"/>
            </w:r>
            <w:r w:rsidR="001F209C">
              <w:rPr>
                <w:noProof/>
              </w:rPr>
              <w:t>148</w:t>
            </w:r>
            <w:r w:rsidR="00647409">
              <w:fldChar w:fldCharType="end"/>
            </w:r>
            <w:r w:rsidR="00D839F7">
              <w:t>)</w:t>
            </w:r>
          </w:p>
          <w:p w14:paraId="7969D42E" w14:textId="2FF7949E" w:rsidR="00ED6EE8" w:rsidRPr="00154F1D" w:rsidRDefault="00ED6EE8" w:rsidP="000B114D">
            <w:pPr>
              <w:pStyle w:val="NumberlessNormalText"/>
              <w:numPr>
                <w:ilvl w:val="0"/>
                <w:numId w:val="90"/>
              </w:numPr>
            </w:pPr>
            <w:r w:rsidRPr="00154F1D">
              <w:t xml:space="preserve">Do you think that the test contained in the </w:t>
            </w:r>
            <w:r w:rsidRPr="00154F1D">
              <w:rPr>
                <w:i/>
                <w:iCs/>
              </w:rPr>
              <w:t xml:space="preserve">Criminal Justice (Mental Impairment) Act 1999 </w:t>
            </w:r>
            <w:r w:rsidRPr="00154F1D">
              <w:rPr>
                <w:iCs/>
              </w:rPr>
              <w:t>(Tas)</w:t>
            </w:r>
            <w:r w:rsidRPr="00154F1D">
              <w:t xml:space="preserve"> s 35(1)(b) referring to ‘likely to endanger’ should be changed to refer to a ‘significant risk of serious harm’, an ‘unacceptable risk of causing physical or psychological harm’ or some other test? Are there any of the other factors that should be included or removed from the </w:t>
            </w:r>
            <w:r w:rsidRPr="00154F1D">
              <w:rPr>
                <w:i/>
                <w:iCs/>
              </w:rPr>
              <w:t xml:space="preserve">Criminal Justice (Mental Impairment) Act 1999 </w:t>
            </w:r>
            <w:r w:rsidRPr="00154F1D">
              <w:rPr>
                <w:iCs/>
              </w:rPr>
              <w:t>(Tas)</w:t>
            </w:r>
            <w:r w:rsidRPr="00154F1D">
              <w:t xml:space="preserve"> s 35?</w:t>
            </w:r>
            <w:r w:rsidR="00D839F7">
              <w:t xml:space="preserve"> (Page </w:t>
            </w:r>
            <w:r w:rsidR="00647409">
              <w:fldChar w:fldCharType="begin"/>
            </w:r>
            <w:r w:rsidR="00647409">
              <w:instrText xml:space="preserve"> PAGEREF Q65 \h </w:instrText>
            </w:r>
            <w:r w:rsidR="00647409">
              <w:fldChar w:fldCharType="separate"/>
            </w:r>
            <w:r w:rsidR="001F209C">
              <w:rPr>
                <w:noProof/>
              </w:rPr>
              <w:t>148</w:t>
            </w:r>
            <w:r w:rsidR="00647409">
              <w:fldChar w:fldCharType="end"/>
            </w:r>
            <w:r w:rsidR="00D839F7">
              <w:t>)</w:t>
            </w:r>
          </w:p>
          <w:p w14:paraId="6BFDE683" w14:textId="3CFBA3A6" w:rsidR="00ED6EE8" w:rsidRPr="00154F1D" w:rsidRDefault="00ED6EE8" w:rsidP="000B114D">
            <w:pPr>
              <w:pStyle w:val="NumberlessNormalText"/>
              <w:numPr>
                <w:ilvl w:val="0"/>
                <w:numId w:val="90"/>
              </w:numPr>
            </w:pPr>
            <w:r w:rsidRPr="00154F1D">
              <w:t xml:space="preserve">If the current system of indefinite detention or supervision with reviews is retained in Tasmania, should the </w:t>
            </w:r>
            <w:r w:rsidRPr="00154F1D">
              <w:rPr>
                <w:i/>
                <w:iCs/>
              </w:rPr>
              <w:t xml:space="preserve">Criminal Justice (Mental Impairment) Act 1999 </w:t>
            </w:r>
            <w:r w:rsidRPr="00154F1D">
              <w:rPr>
                <w:iCs/>
              </w:rPr>
              <w:t>(Tas)</w:t>
            </w:r>
            <w:r w:rsidRPr="00154F1D">
              <w:t xml:space="preserve"> be amended to create a presumption in favour of a reduced level of supervision in circumstances where the Mental Health Tribunal has issued a certificate?</w:t>
            </w:r>
            <w:r w:rsidR="00D839F7">
              <w:t xml:space="preserve"> (Page </w:t>
            </w:r>
            <w:r w:rsidR="00E25EE5">
              <w:fldChar w:fldCharType="begin"/>
            </w:r>
            <w:r w:rsidR="00E25EE5">
              <w:instrText xml:space="preserve"> PAGEREF Q68 \h </w:instrText>
            </w:r>
            <w:r w:rsidR="00E25EE5">
              <w:fldChar w:fldCharType="separate"/>
            </w:r>
            <w:r w:rsidR="001F209C">
              <w:rPr>
                <w:noProof/>
              </w:rPr>
              <w:t>149</w:t>
            </w:r>
            <w:r w:rsidR="00E25EE5">
              <w:fldChar w:fldCharType="end"/>
            </w:r>
            <w:r w:rsidR="00D839F7">
              <w:t>)</w:t>
            </w:r>
          </w:p>
          <w:p w14:paraId="06812EE6" w14:textId="5694F264" w:rsidR="00ED6EE8" w:rsidRPr="00154F1D" w:rsidRDefault="00ED6EE8" w:rsidP="000B114D">
            <w:pPr>
              <w:pStyle w:val="NumberlessNormalText"/>
              <w:numPr>
                <w:ilvl w:val="0"/>
                <w:numId w:val="90"/>
              </w:numPr>
            </w:pPr>
            <w:r w:rsidRPr="00154F1D">
              <w:t>If a system of limiting terms is adopted in Tasmania, should a presumption against release or reduced supervision be created prior to the expiry of the limiting term and then a presumption in favour of release from detention/discharge from supervision after the expiry of the limiting term?</w:t>
            </w:r>
            <w:r w:rsidR="00D839F7">
              <w:t xml:space="preserve"> (Page </w:t>
            </w:r>
            <w:r w:rsidR="00E25EE5">
              <w:fldChar w:fldCharType="begin"/>
            </w:r>
            <w:r w:rsidR="00E25EE5">
              <w:instrText xml:space="preserve"> PAGEREF Q68 \h </w:instrText>
            </w:r>
            <w:r w:rsidR="00E25EE5">
              <w:fldChar w:fldCharType="separate"/>
            </w:r>
            <w:r w:rsidR="001F209C">
              <w:rPr>
                <w:noProof/>
              </w:rPr>
              <w:t>149</w:t>
            </w:r>
            <w:r w:rsidR="00E25EE5">
              <w:fldChar w:fldCharType="end"/>
            </w:r>
            <w:r w:rsidR="00D839F7">
              <w:t>)</w:t>
            </w:r>
          </w:p>
          <w:p w14:paraId="23DA22F8" w14:textId="14C6CC59" w:rsidR="003A56C1" w:rsidRPr="00154F1D" w:rsidRDefault="00ED6EE8" w:rsidP="000B114D">
            <w:pPr>
              <w:pStyle w:val="NumberlessNormalText"/>
              <w:numPr>
                <w:ilvl w:val="0"/>
                <w:numId w:val="90"/>
              </w:numPr>
              <w:rPr>
                <w:rStyle w:val="NormalNumberedTextTLRIChar"/>
              </w:rPr>
            </w:pPr>
            <w:r w:rsidRPr="00154F1D">
              <w:rPr>
                <w:rStyle w:val="NormalNumberedTextTLRIChar"/>
              </w:rPr>
              <w:t>Should there be a change in the judicial model of decision</w:t>
            </w:r>
            <w:r w:rsidR="00547B7B" w:rsidRPr="00154F1D">
              <w:rPr>
                <w:rStyle w:val="NormalNumberedTextTLRIChar"/>
              </w:rPr>
              <w:t>-</w:t>
            </w:r>
            <w:r w:rsidRPr="00154F1D">
              <w:rPr>
                <w:rStyle w:val="NormalNumberedTextTLRIChar"/>
              </w:rPr>
              <w:t xml:space="preserve">making to allow the Mental Health Tribunal to exercise powers of variation, discharge or revocation of forensic orders under the </w:t>
            </w:r>
            <w:r w:rsidRPr="00154F1D">
              <w:rPr>
                <w:rStyle w:val="NormalNumberedTextTLRIChar"/>
                <w:i/>
              </w:rPr>
              <w:t xml:space="preserve">Criminal Justice (Mental Impairment) Act 1999 </w:t>
            </w:r>
            <w:r w:rsidRPr="00154F1D">
              <w:rPr>
                <w:rStyle w:val="NormalNumberedTextTLRIChar"/>
              </w:rPr>
              <w:t>(Tas)?</w:t>
            </w:r>
            <w:r w:rsidR="00D839F7">
              <w:rPr>
                <w:rStyle w:val="NormalNumberedTextTLRIChar"/>
              </w:rPr>
              <w:t xml:space="preserve"> </w:t>
            </w:r>
            <w:r w:rsidR="00D839F7">
              <w:t xml:space="preserve">(Page </w:t>
            </w:r>
            <w:r w:rsidR="00E25EE5">
              <w:fldChar w:fldCharType="begin"/>
            </w:r>
            <w:r w:rsidR="00E25EE5">
              <w:instrText xml:space="preserve"> PAGEREF Q70 \h </w:instrText>
            </w:r>
            <w:r w:rsidR="00E25EE5">
              <w:fldChar w:fldCharType="separate"/>
            </w:r>
            <w:r w:rsidR="001F209C">
              <w:rPr>
                <w:noProof/>
              </w:rPr>
              <w:t>152</w:t>
            </w:r>
            <w:r w:rsidR="00E25EE5">
              <w:fldChar w:fldCharType="end"/>
            </w:r>
            <w:r w:rsidR="00D839F7">
              <w:t>)</w:t>
            </w:r>
          </w:p>
          <w:p w14:paraId="292617E1" w14:textId="1C94A640" w:rsidR="003A56C1" w:rsidRPr="00154F1D" w:rsidRDefault="003A56C1" w:rsidP="000B114D">
            <w:pPr>
              <w:pStyle w:val="NumberlessNormalText"/>
              <w:numPr>
                <w:ilvl w:val="0"/>
                <w:numId w:val="90"/>
              </w:numPr>
              <w:rPr>
                <w:rStyle w:val="NormalNumberedTextTLRIChar"/>
              </w:rPr>
            </w:pPr>
            <w:r w:rsidRPr="00154F1D">
              <w:rPr>
                <w:rStyle w:val="NormalNumberedTextTLRIChar"/>
              </w:rPr>
              <w:t xml:space="preserve">If there is a change to the decision-making model in Tasmania, is it necessary to make changes in relation to the composition of the panel that is constituted to make decisions to discharge, revoke or vary forensic orders under the </w:t>
            </w:r>
            <w:r w:rsidRPr="00154F1D">
              <w:rPr>
                <w:rStyle w:val="NormalNumberedTextTLRIChar"/>
                <w:i/>
              </w:rPr>
              <w:t>Criminal Justice (Mental Impairment) Act 1999</w:t>
            </w:r>
            <w:r w:rsidRPr="00154F1D">
              <w:rPr>
                <w:rStyle w:val="NormalNumberedTextTLRIChar"/>
              </w:rPr>
              <w:t xml:space="preserve"> (Tas)?</w:t>
            </w:r>
            <w:r w:rsidR="00D839F7">
              <w:rPr>
                <w:rStyle w:val="NormalNumberedTextTLRIChar"/>
              </w:rPr>
              <w:t xml:space="preserve"> </w:t>
            </w:r>
            <w:r w:rsidR="00D839F7">
              <w:t xml:space="preserve">(Page </w:t>
            </w:r>
            <w:r w:rsidR="00E25EE5">
              <w:fldChar w:fldCharType="begin"/>
            </w:r>
            <w:r w:rsidR="00E25EE5">
              <w:instrText xml:space="preserve"> PAGEREF Q70 \h </w:instrText>
            </w:r>
            <w:r w:rsidR="00E25EE5">
              <w:fldChar w:fldCharType="separate"/>
            </w:r>
            <w:r w:rsidR="001F209C">
              <w:rPr>
                <w:noProof/>
              </w:rPr>
              <w:t>152</w:t>
            </w:r>
            <w:r w:rsidR="00E25EE5">
              <w:fldChar w:fldCharType="end"/>
            </w:r>
            <w:r w:rsidR="00D839F7">
              <w:t>)</w:t>
            </w:r>
          </w:p>
          <w:p w14:paraId="45B6DB71" w14:textId="4AD8255D" w:rsidR="00ED6EE8" w:rsidRPr="00154F1D" w:rsidRDefault="00ED6EE8" w:rsidP="000B114D">
            <w:pPr>
              <w:pStyle w:val="NumberlessNormalText"/>
              <w:numPr>
                <w:ilvl w:val="0"/>
                <w:numId w:val="90"/>
              </w:numPr>
            </w:pPr>
            <w:r w:rsidRPr="00154F1D">
              <w:rPr>
                <w:lang w:val="en-US"/>
              </w:rPr>
              <w:t xml:space="preserve">Are there any difficulties with the operation of the leave provisions under the </w:t>
            </w:r>
            <w:r w:rsidRPr="00154F1D">
              <w:rPr>
                <w:i/>
                <w:lang w:val="en-US"/>
              </w:rPr>
              <w:t xml:space="preserve">Mental Health 2013 </w:t>
            </w:r>
            <w:r w:rsidR="003A56C1" w:rsidRPr="00154F1D">
              <w:rPr>
                <w:lang w:val="en-US"/>
              </w:rPr>
              <w:t xml:space="preserve">(Tas) that limit its utility </w:t>
            </w:r>
            <w:r w:rsidRPr="00154F1D">
              <w:rPr>
                <w:lang w:val="en-US"/>
              </w:rPr>
              <w:t xml:space="preserve">in providing an appropriate pathway for the gradual reintegration of a forensic patient into the community? </w:t>
            </w:r>
            <w:r w:rsidR="00D839F7">
              <w:t xml:space="preserve">(Page </w:t>
            </w:r>
            <w:r w:rsidR="00E25EE5">
              <w:fldChar w:fldCharType="begin"/>
            </w:r>
            <w:r w:rsidR="00E25EE5">
              <w:instrText xml:space="preserve"> PAGEREF Q72 \h </w:instrText>
            </w:r>
            <w:r w:rsidR="00E25EE5">
              <w:fldChar w:fldCharType="separate"/>
            </w:r>
            <w:r w:rsidR="001F209C">
              <w:rPr>
                <w:noProof/>
              </w:rPr>
              <w:t>155</w:t>
            </w:r>
            <w:r w:rsidR="00E25EE5">
              <w:fldChar w:fldCharType="end"/>
            </w:r>
            <w:r w:rsidR="00D839F7">
              <w:t>)</w:t>
            </w:r>
          </w:p>
          <w:p w14:paraId="130D6A07" w14:textId="5E62ED50" w:rsidR="00ED6EE8" w:rsidRPr="00154F1D" w:rsidRDefault="00ED6EE8" w:rsidP="000B114D">
            <w:pPr>
              <w:pStyle w:val="NumberlessNormalText"/>
              <w:numPr>
                <w:ilvl w:val="0"/>
                <w:numId w:val="90"/>
              </w:numPr>
            </w:pPr>
            <w:r w:rsidRPr="00154F1D">
              <w:t xml:space="preserve">Does the </w:t>
            </w:r>
            <w:r w:rsidRPr="00154F1D">
              <w:rPr>
                <w:i/>
                <w:iCs/>
              </w:rPr>
              <w:t xml:space="preserve">Criminal Justice (Mental Impairment) Act 1999 </w:t>
            </w:r>
            <w:r w:rsidRPr="00154F1D">
              <w:rPr>
                <w:iCs/>
              </w:rPr>
              <w:t>(Tas)</w:t>
            </w:r>
            <w:r w:rsidRPr="00154F1D">
              <w:t xml:space="preserve"> provide an appropriate pathway for gradual reintegration of a forensic patient into the community?</w:t>
            </w:r>
            <w:r w:rsidR="00D839F7">
              <w:t xml:space="preserve"> (Page </w:t>
            </w:r>
            <w:r w:rsidR="00E25EE5">
              <w:fldChar w:fldCharType="begin"/>
            </w:r>
            <w:r w:rsidR="00E25EE5">
              <w:instrText xml:space="preserve"> PAGEREF Q72 \h </w:instrText>
            </w:r>
            <w:r w:rsidR="00E25EE5">
              <w:fldChar w:fldCharType="separate"/>
            </w:r>
            <w:r w:rsidR="001F209C">
              <w:rPr>
                <w:noProof/>
              </w:rPr>
              <w:t>155</w:t>
            </w:r>
            <w:r w:rsidR="00E25EE5">
              <w:fldChar w:fldCharType="end"/>
            </w:r>
            <w:r w:rsidR="00D839F7">
              <w:t>)</w:t>
            </w:r>
          </w:p>
          <w:p w14:paraId="78782213" w14:textId="77777777" w:rsidR="00D27D6F" w:rsidRPr="00154F1D" w:rsidRDefault="00ED6EE8" w:rsidP="00D27D6F">
            <w:pPr>
              <w:pStyle w:val="NumberlessNormalText"/>
              <w:numPr>
                <w:ilvl w:val="0"/>
                <w:numId w:val="90"/>
              </w:numPr>
            </w:pPr>
            <w:r w:rsidRPr="00154F1D">
              <w:t xml:space="preserve">If not, </w:t>
            </w:r>
          </w:p>
          <w:p w14:paraId="04A93835" w14:textId="1504E26D" w:rsidR="00ED6EE8" w:rsidRPr="00154F1D" w:rsidRDefault="00ED6EE8" w:rsidP="00795C4E">
            <w:pPr>
              <w:pStyle w:val="NumberlessNormalText"/>
              <w:tabs>
                <w:tab w:val="clear" w:pos="851"/>
              </w:tabs>
              <w:ind w:left="735" w:hanging="375"/>
            </w:pPr>
            <w:r w:rsidRPr="00154F1D">
              <w:t>(a)</w:t>
            </w:r>
            <w:r w:rsidR="00795C4E" w:rsidRPr="00154F1D">
              <w:tab/>
            </w:r>
            <w:r w:rsidRPr="00154F1D">
              <w:t xml:space="preserve">Are the provisions regarding the conditions that may attach to a supervision order adequate and appropriate? If not, what changes should be made? For example, would it be desirable for the provisions in relation to supervision orders in the </w:t>
            </w:r>
            <w:r w:rsidRPr="00154F1D">
              <w:rPr>
                <w:i/>
                <w:iCs/>
              </w:rPr>
              <w:t xml:space="preserve">Criminal Justice (Mental Impairment) Act 1999 </w:t>
            </w:r>
            <w:r w:rsidRPr="00154F1D">
              <w:rPr>
                <w:iCs/>
              </w:rPr>
              <w:t>(Tas)</w:t>
            </w:r>
            <w:r w:rsidRPr="00154F1D">
              <w:t xml:space="preserve"> to be amended to allow the court to impose conditions that the person reside in an approved hospital if directed by the Chief Forensic Psychiatrist or the Mental Health Tribunal?</w:t>
            </w:r>
          </w:p>
          <w:p w14:paraId="6ADDFC6D" w14:textId="5832FBD5" w:rsidR="00ED6EE8" w:rsidRPr="00154F1D" w:rsidRDefault="00ED6EE8" w:rsidP="00795C4E">
            <w:pPr>
              <w:pStyle w:val="NumberlessNormalText"/>
              <w:tabs>
                <w:tab w:val="clear" w:pos="851"/>
              </w:tabs>
              <w:ind w:left="735" w:hanging="375"/>
            </w:pPr>
            <w:r w:rsidRPr="00154F1D">
              <w:t>(b)</w:t>
            </w:r>
            <w:r w:rsidR="00795C4E" w:rsidRPr="00154F1D">
              <w:tab/>
            </w:r>
            <w:r w:rsidRPr="00154F1D">
              <w:t>Would changes to the leave provisions, such as providing for extended leave, provide a more appropriate pathway for gradual reintegration of a patient into the community?</w:t>
            </w:r>
          </w:p>
          <w:p w14:paraId="6129E41F" w14:textId="0A1871C7" w:rsidR="00ED6EE8" w:rsidRPr="00154F1D" w:rsidRDefault="00D27D6F" w:rsidP="00201F85">
            <w:pPr>
              <w:pStyle w:val="NumberlessNormalText"/>
              <w:tabs>
                <w:tab w:val="clear" w:pos="851"/>
              </w:tabs>
              <w:ind w:left="735" w:hanging="375"/>
            </w:pPr>
            <w:r w:rsidRPr="00154F1D">
              <w:t>(c)</w:t>
            </w:r>
            <w:r w:rsidR="00201F85" w:rsidRPr="00154F1D">
              <w:tab/>
            </w:r>
            <w:r w:rsidR="00ED6EE8" w:rsidRPr="00154F1D">
              <w:t xml:space="preserve">Is there a need for a medium secure environment to operate as a step-down/step-up facility for patients who are subject to </w:t>
            </w:r>
            <w:r w:rsidR="006847E9" w:rsidRPr="00154F1D">
              <w:t xml:space="preserve">a </w:t>
            </w:r>
            <w:r w:rsidR="00ED6EE8" w:rsidRPr="00154F1D">
              <w:t xml:space="preserve">restriction order? If so, should the </w:t>
            </w:r>
            <w:r w:rsidR="00201F85" w:rsidRPr="00154F1D">
              <w:t>Chief Forensic Psychiatrist</w:t>
            </w:r>
            <w:r w:rsidR="00ED6EE8" w:rsidRPr="00154F1D">
              <w:t xml:space="preserve">, the </w:t>
            </w:r>
            <w:r w:rsidR="00201F85" w:rsidRPr="00154F1D">
              <w:t>Mental Health Tribunal</w:t>
            </w:r>
            <w:r w:rsidR="00ED6EE8" w:rsidRPr="00154F1D">
              <w:t xml:space="preserve"> and/or the court have the ability to move a forensic </w:t>
            </w:r>
            <w:r w:rsidR="005E23AA">
              <w:t>patient</w:t>
            </w:r>
            <w:r w:rsidR="005E23AA" w:rsidRPr="00154F1D">
              <w:t xml:space="preserve"> </w:t>
            </w:r>
            <w:r w:rsidR="00ED6EE8" w:rsidRPr="00154F1D">
              <w:t>between Wilfred Lopes and the medium secure facility? On what basis?</w:t>
            </w:r>
          </w:p>
          <w:p w14:paraId="7CD3986D" w14:textId="00D41D9B" w:rsidR="003A56C1" w:rsidRPr="00154F1D" w:rsidRDefault="003904F2" w:rsidP="003904F2">
            <w:pPr>
              <w:pStyle w:val="NumberlessNormalText"/>
              <w:tabs>
                <w:tab w:val="clear" w:pos="851"/>
              </w:tabs>
              <w:ind w:left="735" w:hanging="375"/>
            </w:pPr>
            <w:r w:rsidRPr="00154F1D">
              <w:t>(d)</w:t>
            </w:r>
            <w:r w:rsidRPr="00154F1D">
              <w:tab/>
            </w:r>
            <w:r w:rsidR="00A80BB4" w:rsidRPr="00154F1D">
              <w:t>Is there a technological solution that may be used to monitor forensic patients to address concerns in relation to risk and community safety</w:t>
            </w:r>
            <w:r w:rsidR="003A56C1" w:rsidRPr="00154F1D">
              <w:t>?</w:t>
            </w:r>
          </w:p>
          <w:p w14:paraId="1F21634A" w14:textId="1FABC865" w:rsidR="00ED6EE8" w:rsidRPr="00154F1D" w:rsidRDefault="003904F2" w:rsidP="003904F2">
            <w:pPr>
              <w:pStyle w:val="NumberlessNormalText"/>
              <w:tabs>
                <w:tab w:val="clear" w:pos="851"/>
              </w:tabs>
              <w:ind w:left="735" w:hanging="375"/>
            </w:pPr>
            <w:r w:rsidRPr="00154F1D">
              <w:t>(e)</w:t>
            </w:r>
            <w:r w:rsidRPr="00154F1D">
              <w:tab/>
            </w:r>
            <w:r w:rsidR="00ED6EE8" w:rsidRPr="00154F1D">
              <w:t xml:space="preserve">What </w:t>
            </w:r>
            <w:r w:rsidR="003A56C1" w:rsidRPr="00154F1D">
              <w:t>is the cost implication</w:t>
            </w:r>
            <w:r w:rsidR="00ED6EE8" w:rsidRPr="00154F1D">
              <w:t xml:space="preserve"> of making these changes, including the costs of supervision and of treatment services?</w:t>
            </w:r>
            <w:r w:rsidR="00D839F7">
              <w:t xml:space="preserve"> (Page </w:t>
            </w:r>
            <w:r w:rsidR="00E25EE5">
              <w:fldChar w:fldCharType="begin"/>
            </w:r>
            <w:r w:rsidR="00E25EE5">
              <w:instrText xml:space="preserve"> PAGEREF Q72 \h </w:instrText>
            </w:r>
            <w:r w:rsidR="00E25EE5">
              <w:fldChar w:fldCharType="separate"/>
            </w:r>
            <w:r w:rsidR="001F209C">
              <w:rPr>
                <w:noProof/>
              </w:rPr>
              <w:t>155</w:t>
            </w:r>
            <w:r w:rsidR="00E25EE5">
              <w:fldChar w:fldCharType="end"/>
            </w:r>
            <w:r w:rsidR="00D839F7">
              <w:t>)</w:t>
            </w:r>
          </w:p>
          <w:p w14:paraId="5EEAC22E" w14:textId="02365E5C" w:rsidR="00ED6EE8" w:rsidRPr="00154F1D" w:rsidRDefault="00ED6EE8" w:rsidP="00D27D6F">
            <w:pPr>
              <w:pStyle w:val="NumberlessNormalText"/>
              <w:numPr>
                <w:ilvl w:val="0"/>
                <w:numId w:val="90"/>
              </w:numPr>
            </w:pPr>
            <w:r w:rsidRPr="00154F1D">
              <w:t xml:space="preserve">Are the orders available following a finding of not guilty by reason of insanity or that a finding cannot be made that the defendant was not guilty of the offence charged under the current </w:t>
            </w:r>
            <w:r w:rsidRPr="00154F1D">
              <w:rPr>
                <w:i/>
              </w:rPr>
              <w:t>Criminal Justice (Mental Impairment) Act 1999</w:t>
            </w:r>
            <w:r w:rsidRPr="00154F1D">
              <w:t xml:space="preserve"> (Tas) model appropriate for people with an intellectual disability or cognitive impairment?</w:t>
            </w:r>
            <w:r w:rsidR="00D839F7">
              <w:t xml:space="preserve"> (Page </w:t>
            </w:r>
            <w:r w:rsidR="00E25EE5">
              <w:fldChar w:fldCharType="begin"/>
            </w:r>
            <w:r w:rsidR="00E25EE5">
              <w:instrText xml:space="preserve"> PAGEREF Q75 \h </w:instrText>
            </w:r>
            <w:r w:rsidR="00E25EE5">
              <w:fldChar w:fldCharType="separate"/>
            </w:r>
            <w:r w:rsidR="001F209C">
              <w:rPr>
                <w:noProof/>
              </w:rPr>
              <w:t>158</w:t>
            </w:r>
            <w:r w:rsidR="00E25EE5">
              <w:fldChar w:fldCharType="end"/>
            </w:r>
            <w:r w:rsidR="00D839F7">
              <w:t>)</w:t>
            </w:r>
          </w:p>
          <w:p w14:paraId="6F2856AB" w14:textId="66294DC2" w:rsidR="00ED6EE8" w:rsidRPr="00154F1D" w:rsidRDefault="00ED6EE8" w:rsidP="00D27D6F">
            <w:pPr>
              <w:pStyle w:val="NumberlessNormalText"/>
              <w:numPr>
                <w:ilvl w:val="0"/>
                <w:numId w:val="90"/>
              </w:numPr>
            </w:pPr>
            <w:r w:rsidRPr="00154F1D">
              <w:rPr>
                <w:lang w:val="en-US"/>
              </w:rPr>
              <w:t xml:space="preserve">Are changes needed to the </w:t>
            </w:r>
            <w:r w:rsidRPr="00154F1D">
              <w:rPr>
                <w:i/>
                <w:iCs/>
              </w:rPr>
              <w:t xml:space="preserve">Criminal Justice (Mental Impairment) Act 1999 </w:t>
            </w:r>
            <w:r w:rsidRPr="00154F1D">
              <w:rPr>
                <w:iCs/>
              </w:rPr>
              <w:t>(Tas)</w:t>
            </w:r>
            <w:r w:rsidRPr="00154F1D">
              <w:rPr>
                <w:lang w:val="en-US"/>
              </w:rPr>
              <w:t xml:space="preserve"> in terms of the orders available and the process to vary or discharge an order to better meet the needs of people with an intellectual disability or cognitive impairment? What are the likely cost implication</w:t>
            </w:r>
            <w:r w:rsidR="00475E2F" w:rsidRPr="00154F1D">
              <w:rPr>
                <w:lang w:val="en-US"/>
              </w:rPr>
              <w:t>s</w:t>
            </w:r>
            <w:r w:rsidRPr="00154F1D">
              <w:rPr>
                <w:lang w:val="en-US"/>
              </w:rPr>
              <w:t xml:space="preserve"> of making these changes?</w:t>
            </w:r>
            <w:r w:rsidR="00D839F7">
              <w:rPr>
                <w:lang w:val="en-US"/>
              </w:rPr>
              <w:t xml:space="preserve"> </w:t>
            </w:r>
            <w:r w:rsidR="00D839F7">
              <w:t xml:space="preserve">(Page </w:t>
            </w:r>
            <w:r w:rsidR="00E25EE5">
              <w:fldChar w:fldCharType="begin"/>
            </w:r>
            <w:r w:rsidR="00E25EE5">
              <w:instrText xml:space="preserve"> PAGEREF Q75 \h </w:instrText>
            </w:r>
            <w:r w:rsidR="00E25EE5">
              <w:fldChar w:fldCharType="separate"/>
            </w:r>
            <w:r w:rsidR="001F209C">
              <w:rPr>
                <w:noProof/>
              </w:rPr>
              <w:t>158</w:t>
            </w:r>
            <w:r w:rsidR="00E25EE5">
              <w:fldChar w:fldCharType="end"/>
            </w:r>
            <w:r w:rsidR="00D839F7">
              <w:t>)</w:t>
            </w:r>
          </w:p>
          <w:p w14:paraId="7991D6E7" w14:textId="5DFD73EB" w:rsidR="00ED6EE8" w:rsidRPr="00154F1D" w:rsidRDefault="00ED6EE8" w:rsidP="00D27D6F">
            <w:pPr>
              <w:pStyle w:val="NumberlessNormalText"/>
              <w:numPr>
                <w:ilvl w:val="0"/>
                <w:numId w:val="90"/>
              </w:numPr>
            </w:pPr>
            <w:r w:rsidRPr="00154F1D">
              <w:rPr>
                <w:lang w:val="en-US"/>
              </w:rPr>
              <w:t xml:space="preserve">Are changes needed to the services that support the </w:t>
            </w:r>
            <w:r w:rsidRPr="00154F1D">
              <w:rPr>
                <w:i/>
                <w:iCs/>
              </w:rPr>
              <w:t xml:space="preserve">Criminal Justice (Mental Impairment) Act 1999 </w:t>
            </w:r>
            <w:r w:rsidRPr="00154F1D">
              <w:rPr>
                <w:iCs/>
              </w:rPr>
              <w:t>(Tas)</w:t>
            </w:r>
            <w:r w:rsidRPr="00154F1D">
              <w:rPr>
                <w:lang w:val="en-US"/>
              </w:rPr>
              <w:t xml:space="preserve"> model to ensure that it meets the needs of people with an intellectual disability or cognitive impairment? What are the likely cost implication</w:t>
            </w:r>
            <w:r w:rsidR="00300B44" w:rsidRPr="00154F1D">
              <w:rPr>
                <w:lang w:val="en-US"/>
              </w:rPr>
              <w:t>s</w:t>
            </w:r>
            <w:r w:rsidRPr="00154F1D">
              <w:rPr>
                <w:lang w:val="en-US"/>
              </w:rPr>
              <w:t xml:space="preserve"> of making these changes?</w:t>
            </w:r>
            <w:r w:rsidR="00D839F7">
              <w:rPr>
                <w:lang w:val="en-US"/>
              </w:rPr>
              <w:t xml:space="preserve"> </w:t>
            </w:r>
            <w:r w:rsidR="00D839F7">
              <w:t xml:space="preserve">(Page </w:t>
            </w:r>
            <w:r w:rsidR="00E25EE5">
              <w:fldChar w:fldCharType="begin"/>
            </w:r>
            <w:r w:rsidR="00E25EE5">
              <w:instrText xml:space="preserve"> PAGEREF Q75 \h </w:instrText>
            </w:r>
            <w:r w:rsidR="00E25EE5">
              <w:fldChar w:fldCharType="separate"/>
            </w:r>
            <w:r w:rsidR="001F209C">
              <w:rPr>
                <w:noProof/>
              </w:rPr>
              <w:t>158</w:t>
            </w:r>
            <w:r w:rsidR="00E25EE5">
              <w:fldChar w:fldCharType="end"/>
            </w:r>
            <w:r w:rsidR="00D839F7">
              <w:t>)</w:t>
            </w:r>
          </w:p>
        </w:tc>
      </w:tr>
    </w:tbl>
    <w:p w14:paraId="54316FF1" w14:textId="77777777" w:rsidR="00ED6EE8" w:rsidRPr="00154F1D" w:rsidRDefault="00ED6EE8" w:rsidP="00744FAA">
      <w:pPr>
        <w:pStyle w:val="NormalNumberedTextTLRI"/>
        <w:numPr>
          <w:ilvl w:val="0"/>
          <w:numId w:val="0"/>
        </w:numPr>
      </w:pPr>
    </w:p>
    <w:p w14:paraId="0F251BD1" w14:textId="77777777" w:rsidR="00393B2D" w:rsidRPr="00154F1D" w:rsidRDefault="00393B2D" w:rsidP="00ED6EE8">
      <w:pPr>
        <w:sectPr w:rsidR="00393B2D" w:rsidRPr="00154F1D" w:rsidSect="005F2C54">
          <w:headerReference w:type="default" r:id="rId22"/>
          <w:pgSz w:w="11900" w:h="16840"/>
          <w:pgMar w:top="1440" w:right="1797" w:bottom="1440" w:left="1797" w:header="709" w:footer="709" w:gutter="0"/>
          <w:pgNumType w:fmt="lowerRoman"/>
          <w:cols w:space="708"/>
          <w:titlePg/>
          <w:docGrid w:linePitch="360"/>
        </w:sectPr>
      </w:pPr>
    </w:p>
    <w:p w14:paraId="185AE9CB" w14:textId="46D0A5D1" w:rsidR="00BD4A60" w:rsidRPr="00154F1D" w:rsidRDefault="00BD4A60" w:rsidP="00827D59">
      <w:pPr>
        <w:pStyle w:val="PartNoTLRI"/>
        <w:numPr>
          <w:ilvl w:val="0"/>
          <w:numId w:val="69"/>
        </w:numPr>
        <w:ind w:left="0" w:firstLine="0"/>
      </w:pPr>
      <w:bookmarkStart w:id="33" w:name="_Toc535868902"/>
      <w:bookmarkEnd w:id="33"/>
    </w:p>
    <w:p w14:paraId="01C6C5F4" w14:textId="77777777" w:rsidR="00634420" w:rsidRPr="00154F1D" w:rsidRDefault="00BD4A60" w:rsidP="00DF349D">
      <w:pPr>
        <w:pStyle w:val="PartHeadingTLRI"/>
        <w:outlineLvl w:val="0"/>
      </w:pPr>
      <w:bookmarkStart w:id="34" w:name="_Toc535868903"/>
      <w:r w:rsidRPr="00154F1D">
        <w:t>Introduction</w:t>
      </w:r>
      <w:bookmarkEnd w:id="34"/>
    </w:p>
    <w:p w14:paraId="03824C25" w14:textId="77777777" w:rsidR="00634420" w:rsidRPr="00154F1D" w:rsidRDefault="00634420" w:rsidP="00D80045">
      <w:pPr>
        <w:pStyle w:val="NumberedHeadingTLRI"/>
      </w:pPr>
      <w:bookmarkStart w:id="35" w:name="_Toc535868904"/>
      <w:r w:rsidRPr="00154F1D">
        <w:t>Background to the Reference</w:t>
      </w:r>
      <w:bookmarkEnd w:id="35"/>
    </w:p>
    <w:p w14:paraId="4E39B754" w14:textId="5748A649" w:rsidR="004948A8" w:rsidRPr="00154F1D" w:rsidRDefault="005925CB" w:rsidP="00744FAA">
      <w:pPr>
        <w:pStyle w:val="NormalNumberedTextTLRI"/>
      </w:pPr>
      <w:r w:rsidRPr="00154F1D">
        <w:t xml:space="preserve">In its Report, </w:t>
      </w:r>
      <w:r w:rsidR="004948A8" w:rsidRPr="00154F1D">
        <w:rPr>
          <w:i/>
          <w:iCs/>
        </w:rPr>
        <w:t>Review of the Law R</w:t>
      </w:r>
      <w:r w:rsidRPr="00154F1D">
        <w:rPr>
          <w:i/>
          <w:iCs/>
        </w:rPr>
        <w:t>elating to</w:t>
      </w:r>
      <w:r w:rsidRPr="00154F1D">
        <w:t xml:space="preserve"> </w:t>
      </w:r>
      <w:r w:rsidRPr="00154F1D">
        <w:rPr>
          <w:i/>
          <w:iCs/>
        </w:rPr>
        <w:t xml:space="preserve">Self-defence </w:t>
      </w:r>
      <w:r w:rsidRPr="00154F1D">
        <w:t>(Final Repo</w:t>
      </w:r>
      <w:r w:rsidR="004948A8" w:rsidRPr="00154F1D">
        <w:t>r</w:t>
      </w:r>
      <w:r w:rsidRPr="00154F1D">
        <w:t>t No 20)</w:t>
      </w:r>
      <w:r w:rsidR="00BF1D9F" w:rsidRPr="00154F1D">
        <w:t xml:space="preserve">, the </w:t>
      </w:r>
      <w:r w:rsidR="004948A8" w:rsidRPr="00154F1D">
        <w:t xml:space="preserve">Tasmania Law Reform </w:t>
      </w:r>
      <w:r w:rsidRPr="00154F1D">
        <w:t xml:space="preserve">Institute </w:t>
      </w:r>
      <w:r w:rsidR="00FE13E8" w:rsidRPr="00154F1D">
        <w:t xml:space="preserve">(TLRI) </w:t>
      </w:r>
      <w:r w:rsidRPr="00154F1D">
        <w:t xml:space="preserve">recommended that a review of the defence of insanity contained in the </w:t>
      </w:r>
      <w:r w:rsidRPr="00154F1D">
        <w:rPr>
          <w:i/>
        </w:rPr>
        <w:t>Criminal Code</w:t>
      </w:r>
      <w:r w:rsidRPr="00154F1D">
        <w:t xml:space="preserve"> (Tas) s 16 should be undertaken. Concerns were expressed about the extent t</w:t>
      </w:r>
      <w:r w:rsidR="00C325F2" w:rsidRPr="00154F1D">
        <w:t>o which the criminal law reflects</w:t>
      </w:r>
      <w:r w:rsidRPr="00154F1D">
        <w:t xml:space="preserve"> contemporary medical knowledge about mental illness. Of particular concern was the relationship between delusions and self-defence and whether mistakes arising from insane delusions can ever ground the defence of self-defence. The Report noted that to permit complete acquittals in cases of insane delusions does not enable appropriate treatment to be provided to deluded </w:t>
      </w:r>
      <w:r w:rsidR="009954BB">
        <w:t>defendant</w:t>
      </w:r>
      <w:r w:rsidR="00D066F6" w:rsidRPr="00154F1D">
        <w:t xml:space="preserve">s </w:t>
      </w:r>
      <w:r w:rsidRPr="00154F1D">
        <w:t>or take into account the need for community protection.</w:t>
      </w:r>
      <w:r w:rsidR="00505797" w:rsidRPr="00154F1D">
        <w:t xml:space="preserve"> </w:t>
      </w:r>
      <w:r w:rsidRPr="00154F1D">
        <w:t xml:space="preserve">Ultimately, the </w:t>
      </w:r>
      <w:r w:rsidR="00505797" w:rsidRPr="00154F1D">
        <w:t>TLRI</w:t>
      </w:r>
      <w:r w:rsidRPr="00154F1D">
        <w:t xml:space="preserve"> recommended that if a person does an act or makes an omission as a result of a delusion caused by a mental disease, the delusion </w:t>
      </w:r>
      <w:r w:rsidR="00DA1DBF">
        <w:t>should</w:t>
      </w:r>
      <w:r w:rsidR="00DA1DBF" w:rsidRPr="00154F1D">
        <w:t xml:space="preserve"> </w:t>
      </w:r>
      <w:r w:rsidRPr="00154F1D">
        <w:t xml:space="preserve">only be used as a defence under </w:t>
      </w:r>
      <w:r w:rsidR="00827D59" w:rsidRPr="00154F1D">
        <w:t xml:space="preserve">s 16 of the </w:t>
      </w:r>
      <w:r w:rsidRPr="00154F1D">
        <w:rPr>
          <w:i/>
        </w:rPr>
        <w:t xml:space="preserve">Criminal Code </w:t>
      </w:r>
      <w:r w:rsidRPr="00154F1D">
        <w:t xml:space="preserve">and </w:t>
      </w:r>
      <w:r w:rsidR="00DA1DBF">
        <w:t>should not</w:t>
      </w:r>
      <w:r w:rsidR="00DA1DBF" w:rsidRPr="00154F1D">
        <w:t xml:space="preserve"> </w:t>
      </w:r>
      <w:r w:rsidRPr="00154F1D">
        <w:t xml:space="preserve">be relied on to support a defence of self-defence under of the </w:t>
      </w:r>
      <w:r w:rsidR="00827D59" w:rsidRPr="00154F1D">
        <w:t>s</w:t>
      </w:r>
      <w:r w:rsidR="00827D59" w:rsidRPr="00154F1D">
        <w:rPr>
          <w:i/>
        </w:rPr>
        <w:t xml:space="preserve"> </w:t>
      </w:r>
      <w:r w:rsidR="00827D59" w:rsidRPr="00154F1D">
        <w:t xml:space="preserve">46 of the </w:t>
      </w:r>
      <w:r w:rsidRPr="00154F1D">
        <w:rPr>
          <w:i/>
        </w:rPr>
        <w:t>Code</w:t>
      </w:r>
      <w:r w:rsidRPr="00154F1D">
        <w:t xml:space="preserve">. </w:t>
      </w:r>
    </w:p>
    <w:p w14:paraId="17E091E1" w14:textId="207E240E" w:rsidR="0094258D" w:rsidRPr="00154F1D" w:rsidRDefault="005925CB" w:rsidP="00744FAA">
      <w:pPr>
        <w:pStyle w:val="NormalNumberedTextTLRI"/>
      </w:pPr>
      <w:r w:rsidRPr="00154F1D">
        <w:t xml:space="preserve">Following the Report’s recommendations, the </w:t>
      </w:r>
      <w:r w:rsidR="00D63350" w:rsidRPr="00154F1D">
        <w:t xml:space="preserve">then </w:t>
      </w:r>
      <w:r w:rsidRPr="00154F1D">
        <w:t xml:space="preserve">Attorney-General of Tasmania, the Hon Vanessa Goodwin, </w:t>
      </w:r>
      <w:r w:rsidR="00D03D27" w:rsidRPr="00154F1D">
        <w:t xml:space="preserve">requested the TLRI </w:t>
      </w:r>
      <w:r w:rsidR="00CF22D3" w:rsidRPr="00154F1D">
        <w:t xml:space="preserve">to </w:t>
      </w:r>
      <w:r w:rsidR="00D03D27" w:rsidRPr="00154F1D">
        <w:t xml:space="preserve">provide advice in </w:t>
      </w:r>
      <w:r w:rsidR="0094258D" w:rsidRPr="00154F1D">
        <w:t>the following terms</w:t>
      </w:r>
      <w:r w:rsidR="00D03D27" w:rsidRPr="00154F1D">
        <w:t>:</w:t>
      </w:r>
    </w:p>
    <w:p w14:paraId="63AC7D25" w14:textId="2239F611" w:rsidR="005925CB" w:rsidRPr="00154F1D" w:rsidRDefault="0094258D" w:rsidP="005B676A">
      <w:pPr>
        <w:pStyle w:val="NormalNumberedTextTLRI"/>
        <w:numPr>
          <w:ilvl w:val="0"/>
          <w:numId w:val="0"/>
        </w:numPr>
        <w:spacing w:after="120"/>
        <w:ind w:left="851"/>
      </w:pPr>
      <w:r w:rsidRPr="00154F1D">
        <w:t>To consider the operation of the law</w:t>
      </w:r>
      <w:r w:rsidR="005925CB" w:rsidRPr="00154F1D">
        <w:t xml:space="preserve"> of insanity </w:t>
      </w:r>
      <w:r w:rsidR="00B00739" w:rsidRPr="00154F1D">
        <w:t>i</w:t>
      </w:r>
      <w:r w:rsidRPr="00154F1D">
        <w:t xml:space="preserve">n Tasmania </w:t>
      </w:r>
      <w:r w:rsidR="005925CB" w:rsidRPr="00154F1D">
        <w:t xml:space="preserve">with </w:t>
      </w:r>
      <w:r w:rsidRPr="00154F1D">
        <w:t>particular reference to</w:t>
      </w:r>
      <w:r w:rsidR="00CF22D3" w:rsidRPr="00154F1D">
        <w:t>:</w:t>
      </w:r>
      <w:r w:rsidRPr="00154F1D">
        <w:t xml:space="preserve"> </w:t>
      </w:r>
    </w:p>
    <w:p w14:paraId="1E354ED4" w14:textId="13A5AE41" w:rsidR="004948A8" w:rsidRPr="00154F1D" w:rsidRDefault="00601572" w:rsidP="00B76EEB">
      <w:pPr>
        <w:pStyle w:val="DotPointTLRI"/>
      </w:pPr>
      <w:r w:rsidRPr="00154F1D">
        <w:t>t</w:t>
      </w:r>
      <w:r w:rsidR="004948A8" w:rsidRPr="00154F1D">
        <w:t xml:space="preserve">he operation of s 16(3) of the </w:t>
      </w:r>
      <w:r w:rsidR="004948A8" w:rsidRPr="00154F1D">
        <w:rPr>
          <w:i/>
          <w:iCs/>
        </w:rPr>
        <w:t>Criminal Code</w:t>
      </w:r>
      <w:r w:rsidR="004929F0" w:rsidRPr="00154F1D">
        <w:rPr>
          <w:i/>
          <w:iCs/>
        </w:rPr>
        <w:t xml:space="preserve"> </w:t>
      </w:r>
      <w:r w:rsidR="004929F0" w:rsidRPr="00154F1D">
        <w:rPr>
          <w:iCs/>
        </w:rPr>
        <w:t>(Tas)</w:t>
      </w:r>
      <w:r w:rsidR="004948A8" w:rsidRPr="00154F1D">
        <w:t>;</w:t>
      </w:r>
    </w:p>
    <w:p w14:paraId="7E1DE62A" w14:textId="77777777" w:rsidR="004948A8" w:rsidRPr="00154F1D" w:rsidRDefault="004948A8" w:rsidP="00B76EEB">
      <w:pPr>
        <w:pStyle w:val="DotPointTLRI"/>
        <w:rPr>
          <w:szCs w:val="22"/>
        </w:rPr>
      </w:pPr>
      <w:r w:rsidRPr="00154F1D">
        <w:rPr>
          <w:szCs w:val="22"/>
        </w:rPr>
        <w:t>whether evidence of insane delusions arising from mental illness should form the basis of self-defence;</w:t>
      </w:r>
    </w:p>
    <w:p w14:paraId="5C13E094" w14:textId="000FAC58" w:rsidR="004948A8" w:rsidRPr="00154F1D" w:rsidRDefault="004948A8" w:rsidP="00B76EEB">
      <w:pPr>
        <w:pStyle w:val="DotPointTLRI"/>
        <w:rPr>
          <w:szCs w:val="22"/>
        </w:rPr>
      </w:pPr>
      <w:r w:rsidRPr="00154F1D">
        <w:rPr>
          <w:szCs w:val="22"/>
        </w:rPr>
        <w:t xml:space="preserve">if insane delusions arising from mental illness form the basis of self-defence, whether defendants relying on insane delusions should be liable to supervision under the </w:t>
      </w:r>
      <w:r w:rsidRPr="00154F1D">
        <w:rPr>
          <w:i/>
          <w:iCs/>
          <w:szCs w:val="22"/>
        </w:rPr>
        <w:t>Criminal Justice (Mental Impairment) Act 1999</w:t>
      </w:r>
      <w:r w:rsidR="004929F0" w:rsidRPr="00154F1D">
        <w:rPr>
          <w:i/>
          <w:iCs/>
          <w:szCs w:val="22"/>
        </w:rPr>
        <w:t xml:space="preserve"> </w:t>
      </w:r>
      <w:r w:rsidR="004929F0" w:rsidRPr="00154F1D">
        <w:rPr>
          <w:iCs/>
          <w:szCs w:val="22"/>
        </w:rPr>
        <w:t>(Tas)</w:t>
      </w:r>
      <w:r w:rsidRPr="00154F1D">
        <w:rPr>
          <w:szCs w:val="22"/>
        </w:rPr>
        <w:t>; and</w:t>
      </w:r>
    </w:p>
    <w:p w14:paraId="47663B99" w14:textId="0D3331F1" w:rsidR="00BF1D9F" w:rsidRPr="00154F1D" w:rsidRDefault="004948A8" w:rsidP="00B76EEB">
      <w:pPr>
        <w:pStyle w:val="DotPointTLRI"/>
        <w:rPr>
          <w:szCs w:val="22"/>
        </w:rPr>
      </w:pPr>
      <w:r w:rsidRPr="00154F1D">
        <w:rPr>
          <w:szCs w:val="22"/>
        </w:rPr>
        <w:t xml:space="preserve">if insane delusions arising from mental illness form the basis of self-defence, whether the </w:t>
      </w:r>
      <w:r w:rsidRPr="00154F1D">
        <w:rPr>
          <w:i/>
          <w:iCs/>
          <w:szCs w:val="22"/>
        </w:rPr>
        <w:t xml:space="preserve">Criminal Justice (Mental Impairment) Act 1999 </w:t>
      </w:r>
      <w:r w:rsidR="004929F0" w:rsidRPr="00154F1D">
        <w:rPr>
          <w:iCs/>
          <w:szCs w:val="22"/>
        </w:rPr>
        <w:t xml:space="preserve">(Tas) </w:t>
      </w:r>
      <w:r w:rsidRPr="00154F1D">
        <w:rPr>
          <w:szCs w:val="22"/>
        </w:rPr>
        <w:t>requires amendment in relation to treatment options for such defendants.</w:t>
      </w:r>
    </w:p>
    <w:p w14:paraId="7E9541F2" w14:textId="1173F61A" w:rsidR="004948A8" w:rsidRPr="00154F1D" w:rsidRDefault="0094258D" w:rsidP="005B19A5">
      <w:pPr>
        <w:pStyle w:val="NormalNumberedTextTLRI"/>
        <w:numPr>
          <w:ilvl w:val="0"/>
          <w:numId w:val="0"/>
        </w:numPr>
      </w:pPr>
      <w:r w:rsidRPr="00154F1D">
        <w:t xml:space="preserve">To consider the operation of the </w:t>
      </w:r>
      <w:r w:rsidR="004948A8" w:rsidRPr="00154F1D">
        <w:rPr>
          <w:i/>
        </w:rPr>
        <w:t xml:space="preserve">Criminal Justice (Mental Impairment) Act 1999 </w:t>
      </w:r>
      <w:r w:rsidR="004929F0" w:rsidRPr="00154F1D">
        <w:t xml:space="preserve">(Tas) </w:t>
      </w:r>
      <w:r w:rsidRPr="00154F1D">
        <w:t xml:space="preserve">and whether changes are needed to ensure that the Act operates justly, effectively and consistently with the </w:t>
      </w:r>
      <w:r w:rsidR="0097210C" w:rsidRPr="00154F1D">
        <w:t>principles that underlie it. In</w:t>
      </w:r>
      <w:r w:rsidRPr="00154F1D">
        <w:t xml:space="preserve"> particular,</w:t>
      </w:r>
      <w:r w:rsidR="0097210C" w:rsidRPr="00154F1D">
        <w:t xml:space="preserve"> the In</w:t>
      </w:r>
      <w:r w:rsidRPr="00154F1D">
        <w:t>st</w:t>
      </w:r>
      <w:r w:rsidR="0097210C" w:rsidRPr="00154F1D">
        <w:t>it</w:t>
      </w:r>
      <w:r w:rsidRPr="00154F1D">
        <w:t xml:space="preserve">ute should consider </w:t>
      </w:r>
      <w:r w:rsidR="0097210C" w:rsidRPr="00154F1D">
        <w:t>whether</w:t>
      </w:r>
      <w:r w:rsidR="004948A8" w:rsidRPr="00154F1D">
        <w:t>:</w:t>
      </w:r>
    </w:p>
    <w:p w14:paraId="3F0FE9F5" w14:textId="6D99E4EE" w:rsidR="004948A8" w:rsidRPr="00154F1D" w:rsidRDefault="004948A8" w:rsidP="002E6CC0">
      <w:pPr>
        <w:pStyle w:val="DotPointTLRI"/>
      </w:pPr>
      <w:r w:rsidRPr="00154F1D">
        <w:t>the process of determining fitness to stand trial or establishing the defence of insanity can be improved; and</w:t>
      </w:r>
    </w:p>
    <w:p w14:paraId="3DD4A896" w14:textId="5A886C7F" w:rsidR="005925CB" w:rsidRPr="00154F1D" w:rsidRDefault="004948A8" w:rsidP="002E6CC0">
      <w:pPr>
        <w:pStyle w:val="DotPointTLRI"/>
      </w:pPr>
      <w:r w:rsidRPr="00154F1D">
        <w:t xml:space="preserve">the operation of Part 4 of the </w:t>
      </w:r>
      <w:r w:rsidRPr="00154F1D">
        <w:rPr>
          <w:i/>
          <w:iCs/>
        </w:rPr>
        <w:t>Criminal Justice (Mental Impairment) Act 1999</w:t>
      </w:r>
      <w:r w:rsidRPr="00154F1D">
        <w:t xml:space="preserve"> </w:t>
      </w:r>
      <w:r w:rsidR="004929F0" w:rsidRPr="00154F1D">
        <w:t xml:space="preserve">(Tas) </w:t>
      </w:r>
      <w:r w:rsidRPr="00154F1D">
        <w:t>including in relation to discharge and review of forensic and treatment orders and whether there is a need for ‘step down’ options.</w:t>
      </w:r>
    </w:p>
    <w:p w14:paraId="5DB7425C" w14:textId="6E4F321F" w:rsidR="00D6244E" w:rsidRPr="00154F1D" w:rsidRDefault="00D6244E" w:rsidP="00744FAA">
      <w:pPr>
        <w:pStyle w:val="NormalNumberedTextTLRI"/>
      </w:pPr>
      <w:r w:rsidRPr="00154F1D">
        <w:t xml:space="preserve">This research forms part of the </w:t>
      </w:r>
      <w:r w:rsidRPr="00154F1D">
        <w:rPr>
          <w:i/>
        </w:rPr>
        <w:t>Disability Justice Plan for Tasmania 2017–2020</w:t>
      </w:r>
      <w:r w:rsidRPr="00154F1D">
        <w:t>, which sets out a commitment to safeguard the rights of forensic mental health patients.</w:t>
      </w:r>
      <w:r w:rsidRPr="00154F1D">
        <w:rPr>
          <w:rStyle w:val="FootnoteReference"/>
        </w:rPr>
        <w:footnoteReference w:id="2"/>
      </w:r>
      <w:r w:rsidRPr="00154F1D">
        <w:t xml:space="preserve"> </w:t>
      </w:r>
      <w:r w:rsidRPr="00154F1D">
        <w:rPr>
          <w:rFonts w:eastAsiaTheme="minorEastAsia"/>
          <w:szCs w:val="22"/>
          <w:lang w:val="en-US" w:eastAsia="ja-JP"/>
        </w:rPr>
        <w:t xml:space="preserve">The Plan is premised upon the principles articulated in the United Nations </w:t>
      </w:r>
      <w:r w:rsidRPr="00154F1D">
        <w:rPr>
          <w:rFonts w:eastAsiaTheme="minorEastAsia"/>
          <w:i/>
          <w:szCs w:val="22"/>
          <w:lang w:val="en-US" w:eastAsia="ja-JP"/>
        </w:rPr>
        <w:t xml:space="preserve">Convention </w:t>
      </w:r>
      <w:r w:rsidR="00824948" w:rsidRPr="00154F1D">
        <w:rPr>
          <w:rFonts w:eastAsiaTheme="minorEastAsia"/>
          <w:i/>
          <w:szCs w:val="22"/>
          <w:lang w:val="en-US" w:eastAsia="ja-JP"/>
        </w:rPr>
        <w:t xml:space="preserve">on the </w:t>
      </w:r>
      <w:r w:rsidRPr="00154F1D">
        <w:rPr>
          <w:rFonts w:eastAsiaTheme="minorEastAsia"/>
          <w:i/>
          <w:szCs w:val="22"/>
          <w:lang w:val="en-US" w:eastAsia="ja-JP"/>
        </w:rPr>
        <w:t xml:space="preserve">Rights of Persons with </w:t>
      </w:r>
      <w:r w:rsidR="00824948" w:rsidRPr="00154F1D">
        <w:rPr>
          <w:rFonts w:eastAsiaTheme="minorEastAsia"/>
          <w:i/>
          <w:szCs w:val="22"/>
          <w:lang w:val="en-US" w:eastAsia="ja-JP"/>
        </w:rPr>
        <w:t>Disabilities</w:t>
      </w:r>
      <w:r w:rsidR="00824948" w:rsidRPr="00154F1D">
        <w:rPr>
          <w:rFonts w:eastAsiaTheme="minorEastAsia"/>
          <w:szCs w:val="22"/>
          <w:lang w:val="en-US" w:eastAsia="ja-JP"/>
        </w:rPr>
        <w:t xml:space="preserve"> </w:t>
      </w:r>
      <w:r w:rsidR="005154AF" w:rsidRPr="00154F1D">
        <w:rPr>
          <w:rFonts w:eastAsiaTheme="minorEastAsia"/>
          <w:szCs w:val="22"/>
          <w:lang w:val="en-US" w:eastAsia="ja-JP"/>
        </w:rPr>
        <w:t>(</w:t>
      </w:r>
      <w:r w:rsidR="00745C18">
        <w:rPr>
          <w:rFonts w:eastAsiaTheme="minorEastAsia"/>
          <w:szCs w:val="22"/>
          <w:lang w:val="en-US" w:eastAsia="ja-JP"/>
        </w:rPr>
        <w:t>‘</w:t>
      </w:r>
      <w:r w:rsidR="005154AF" w:rsidRPr="00154F1D">
        <w:rPr>
          <w:rFonts w:eastAsiaTheme="minorEastAsia"/>
          <w:i/>
          <w:szCs w:val="22"/>
          <w:lang w:val="en-US" w:eastAsia="ja-JP"/>
        </w:rPr>
        <w:t>CRPD</w:t>
      </w:r>
      <w:r w:rsidR="00745C18">
        <w:rPr>
          <w:rFonts w:eastAsiaTheme="minorEastAsia"/>
          <w:szCs w:val="22"/>
          <w:lang w:val="en-US" w:eastAsia="ja-JP"/>
        </w:rPr>
        <w:t>’</w:t>
      </w:r>
      <w:r w:rsidR="005154AF" w:rsidRPr="00154F1D">
        <w:rPr>
          <w:rFonts w:eastAsiaTheme="minorEastAsia"/>
          <w:szCs w:val="22"/>
          <w:lang w:val="en-US" w:eastAsia="ja-JP"/>
        </w:rPr>
        <w:t xml:space="preserve">) </w:t>
      </w:r>
      <w:r w:rsidRPr="00154F1D">
        <w:rPr>
          <w:rFonts w:eastAsiaTheme="minorEastAsia"/>
          <w:szCs w:val="22"/>
          <w:lang w:val="en-US" w:eastAsia="ja-JP"/>
        </w:rPr>
        <w:t>and its objective is to develop a justice system in Tasmania that is responsive to the needs of people with disability and that provides equality before the law and equal access to justice.</w:t>
      </w:r>
      <w:r w:rsidRPr="00154F1D">
        <w:rPr>
          <w:rStyle w:val="FootnoteReference"/>
          <w:rFonts w:eastAsiaTheme="minorEastAsia"/>
          <w:szCs w:val="22"/>
          <w:lang w:val="en-US" w:eastAsia="ja-JP"/>
        </w:rPr>
        <w:footnoteReference w:id="3"/>
      </w:r>
    </w:p>
    <w:p w14:paraId="7DB5F8BA" w14:textId="727C07FC" w:rsidR="0045523F" w:rsidRPr="00154F1D" w:rsidRDefault="00D6244E" w:rsidP="00744FAA">
      <w:pPr>
        <w:pStyle w:val="NormalNumberedTextTLRI"/>
      </w:pPr>
      <w:r w:rsidRPr="00154F1D">
        <w:rPr>
          <w:rFonts w:eastAsiaTheme="minorEastAsia"/>
          <w:szCs w:val="22"/>
          <w:lang w:val="en-US" w:eastAsia="ja-JP"/>
        </w:rPr>
        <w:t xml:space="preserve">In related research, </w:t>
      </w:r>
      <w:r w:rsidR="00FE1C4B" w:rsidRPr="00154F1D">
        <w:t>t</w:t>
      </w:r>
      <w:r w:rsidR="00505797" w:rsidRPr="00154F1D">
        <w:t xml:space="preserve">he TLRI </w:t>
      </w:r>
      <w:r w:rsidR="00A01963" w:rsidRPr="00154F1D">
        <w:t>ha</w:t>
      </w:r>
      <w:r w:rsidR="00505797" w:rsidRPr="00154F1D">
        <w:t>s also undertak</w:t>
      </w:r>
      <w:r w:rsidR="00FC233F" w:rsidRPr="00154F1D">
        <w:t>en</w:t>
      </w:r>
      <w:r w:rsidR="00505797" w:rsidRPr="00154F1D">
        <w:t xml:space="preserve"> a project that </w:t>
      </w:r>
      <w:r w:rsidR="00FE13E8" w:rsidRPr="00154F1D">
        <w:t>recommends</w:t>
      </w:r>
      <w:r w:rsidR="00FE1C4B" w:rsidRPr="00154F1D">
        <w:t xml:space="preserve"> </w:t>
      </w:r>
      <w:r w:rsidR="00FE13E8" w:rsidRPr="00154F1D">
        <w:t>the establishment of</w:t>
      </w:r>
      <w:r w:rsidR="00FE1C4B" w:rsidRPr="00154F1D">
        <w:t xml:space="preserve"> a</w:t>
      </w:r>
      <w:r w:rsidR="00317613" w:rsidRPr="00154F1D">
        <w:t>n</w:t>
      </w:r>
      <w:r w:rsidR="00FE1C4B" w:rsidRPr="00154F1D">
        <w:t xml:space="preserve"> intermediary</w:t>
      </w:r>
      <w:r w:rsidR="00FE13E8" w:rsidRPr="00154F1D">
        <w:t>/communication assistant</w:t>
      </w:r>
      <w:r w:rsidR="00FE1C4B" w:rsidRPr="00154F1D">
        <w:t xml:space="preserve"> scheme in Tasmania for people with communication needs involved in the criminal justice system.</w:t>
      </w:r>
      <w:bookmarkStart w:id="36" w:name="_Ref535082003"/>
      <w:r w:rsidR="00FE13E8" w:rsidRPr="00154F1D">
        <w:rPr>
          <w:rStyle w:val="FootnoteReference"/>
        </w:rPr>
        <w:footnoteReference w:id="4"/>
      </w:r>
      <w:bookmarkEnd w:id="36"/>
      <w:r w:rsidR="00FE1C4B" w:rsidRPr="00154F1D">
        <w:t xml:space="preserve"> The term ‘communication needs’ encompasses </w:t>
      </w:r>
      <w:r w:rsidR="00FE13E8" w:rsidRPr="00154F1D">
        <w:t xml:space="preserve">a range of </w:t>
      </w:r>
      <w:r w:rsidR="00FE1C4B" w:rsidRPr="00154F1D">
        <w:t xml:space="preserve">communication </w:t>
      </w:r>
      <w:r w:rsidR="00FE13E8" w:rsidRPr="00154F1D">
        <w:t>needs, including those arising from linguistic and intellectual development,</w:t>
      </w:r>
      <w:r w:rsidR="00FE1C4B" w:rsidRPr="00154F1D">
        <w:t xml:space="preserve"> physical, mental, intellec</w:t>
      </w:r>
      <w:r w:rsidR="00FE13E8" w:rsidRPr="00154F1D">
        <w:t xml:space="preserve">tual and cognitive impairments and </w:t>
      </w:r>
      <w:r w:rsidR="00FE1C4B" w:rsidRPr="00154F1D">
        <w:t>those attributable to physical and mental trauma.</w:t>
      </w:r>
      <w:r w:rsidR="00FE1C4B" w:rsidRPr="00154F1D">
        <w:rPr>
          <w:rStyle w:val="FootnoteReference"/>
        </w:rPr>
        <w:footnoteReference w:id="5"/>
      </w:r>
      <w:r w:rsidR="00FE1C4B" w:rsidRPr="00154F1D">
        <w:t xml:space="preserve"> </w:t>
      </w:r>
      <w:r w:rsidR="00FE13E8" w:rsidRPr="00154F1D">
        <w:t xml:space="preserve">The purpose of the scheme is to maximise the opportunities for people with communication needs to participate in the criminal justice process by optimising their communication and comprehension capacities. </w:t>
      </w:r>
      <w:r w:rsidR="00317613" w:rsidRPr="00154F1D">
        <w:t xml:space="preserve">The implementation of such a scheme </w:t>
      </w:r>
      <w:r w:rsidR="007F18AF" w:rsidRPr="00154F1D">
        <w:t>will</w:t>
      </w:r>
      <w:r w:rsidR="00317613" w:rsidRPr="00154F1D">
        <w:t xml:space="preserve"> have clear relevance </w:t>
      </w:r>
      <w:r w:rsidR="00FC233F" w:rsidRPr="00154F1D">
        <w:t xml:space="preserve">to </w:t>
      </w:r>
      <w:r w:rsidR="00317613" w:rsidRPr="00154F1D">
        <w:t xml:space="preserve">the issues raised in relation to fitness to stand trial in this </w:t>
      </w:r>
      <w:r w:rsidR="003E7CFB" w:rsidRPr="00154F1D">
        <w:t>Issues P</w:t>
      </w:r>
      <w:r w:rsidR="00317613" w:rsidRPr="00154F1D">
        <w:t>aper.</w:t>
      </w:r>
      <w:r w:rsidR="00317613" w:rsidRPr="00154F1D">
        <w:rPr>
          <w:rStyle w:val="FootnoteReference"/>
        </w:rPr>
        <w:footnoteReference w:id="6"/>
      </w:r>
      <w:r w:rsidR="00317613" w:rsidRPr="00154F1D">
        <w:t xml:space="preserve"> </w:t>
      </w:r>
      <w:r w:rsidR="00FE13E8" w:rsidRPr="00154F1D">
        <w:t xml:space="preserve">The TLRI </w:t>
      </w:r>
      <w:r w:rsidR="0044488D" w:rsidRPr="00154F1D">
        <w:t>ha</w:t>
      </w:r>
      <w:r w:rsidR="00FE13E8" w:rsidRPr="00154F1D">
        <w:t>s also undertak</w:t>
      </w:r>
      <w:r w:rsidR="0044488D" w:rsidRPr="00154F1D">
        <w:t>en</w:t>
      </w:r>
      <w:r w:rsidR="00FE13E8" w:rsidRPr="00154F1D">
        <w:t xml:space="preserve"> a review of the </w:t>
      </w:r>
      <w:r w:rsidR="00FE13E8" w:rsidRPr="00154F1D">
        <w:rPr>
          <w:i/>
        </w:rPr>
        <w:t xml:space="preserve">Guardianship and Administration Act 1995 </w:t>
      </w:r>
      <w:r w:rsidR="00FE13E8" w:rsidRPr="00154F1D">
        <w:t xml:space="preserve">(Tas) and has released </w:t>
      </w:r>
      <w:r w:rsidR="0044488D" w:rsidRPr="00154F1D">
        <w:t>a final report that makes recommendation for reform</w:t>
      </w:r>
      <w:r w:rsidR="00FE13E8" w:rsidRPr="00154F1D">
        <w:t>.</w:t>
      </w:r>
      <w:bookmarkStart w:id="37" w:name="_Ref534966370"/>
      <w:r w:rsidR="00FE13E8" w:rsidRPr="00154F1D">
        <w:rPr>
          <w:rStyle w:val="FootnoteReference"/>
        </w:rPr>
        <w:footnoteReference w:id="7"/>
      </w:r>
      <w:bookmarkEnd w:id="37"/>
      <w:r w:rsidR="00FE13E8" w:rsidRPr="00154F1D">
        <w:t xml:space="preserve"> </w:t>
      </w:r>
    </w:p>
    <w:p w14:paraId="41B50988" w14:textId="77777777" w:rsidR="00634420" w:rsidRPr="00154F1D" w:rsidRDefault="00634420" w:rsidP="00D80045">
      <w:pPr>
        <w:pStyle w:val="NumberedHeadingTLRI"/>
      </w:pPr>
      <w:bookmarkStart w:id="38" w:name="_Toc535868905"/>
      <w:r w:rsidRPr="00154F1D">
        <w:t>Structure of this Issues Paper</w:t>
      </w:r>
      <w:bookmarkEnd w:id="38"/>
    </w:p>
    <w:p w14:paraId="4F5A186E" w14:textId="4E681D4F" w:rsidR="0053372A" w:rsidRPr="00154F1D" w:rsidRDefault="0053372A" w:rsidP="00744FAA">
      <w:pPr>
        <w:pStyle w:val="NormalNumberedTextTLRI"/>
      </w:pPr>
      <w:r w:rsidRPr="00154F1D">
        <w:t xml:space="preserve">Part 2 provides an overview of the legislative framework that sets out the law in relation to the operation of the criminal justice system for people with mental health and/or cognitive impairments. It sets out the distinction between fitness to stand trial and insanity and considers the principles that underlie the </w:t>
      </w:r>
      <w:r w:rsidRPr="00154F1D">
        <w:rPr>
          <w:i/>
        </w:rPr>
        <w:t xml:space="preserve">Criminal Justice Mental Impairment Act 1999 </w:t>
      </w:r>
      <w:r w:rsidRPr="00154F1D">
        <w:t>(Tas).</w:t>
      </w:r>
    </w:p>
    <w:p w14:paraId="74CDF660" w14:textId="2486A67A" w:rsidR="0053372A" w:rsidRPr="00154F1D" w:rsidRDefault="0053372A" w:rsidP="00744FAA">
      <w:pPr>
        <w:pStyle w:val="NormalNumberedTextTLRI"/>
      </w:pPr>
      <w:r w:rsidRPr="00154F1D">
        <w:t>Part 3</w:t>
      </w:r>
      <w:r w:rsidR="00755B62" w:rsidRPr="00154F1D">
        <w:t xml:space="preserve"> provides an overview of mental illness and cognitive impairments and the criminal justice system.</w:t>
      </w:r>
    </w:p>
    <w:p w14:paraId="43FCFE36" w14:textId="77777777" w:rsidR="00B31066" w:rsidRPr="00154F1D" w:rsidRDefault="00755B62" w:rsidP="00744FAA">
      <w:pPr>
        <w:pStyle w:val="NormalNumberedTextTLRI"/>
      </w:pPr>
      <w:r w:rsidRPr="00154F1D">
        <w:t xml:space="preserve">Part 4 </w:t>
      </w:r>
      <w:r w:rsidRPr="00154F1D">
        <w:rPr>
          <w:lang w:val="en-US" w:eastAsia="ja-JP"/>
        </w:rPr>
        <w:t>sets out the current test for determining unfitness to stand trial in Tasmania and considers the law in other jurisdictions and options for reforming the test.</w:t>
      </w:r>
    </w:p>
    <w:p w14:paraId="6468FF78" w14:textId="77777777" w:rsidR="00B31066" w:rsidRPr="00154F1D" w:rsidRDefault="00755B62" w:rsidP="00744FAA">
      <w:pPr>
        <w:pStyle w:val="NormalNumberedTextTLRI"/>
      </w:pPr>
      <w:r w:rsidRPr="00154F1D">
        <w:rPr>
          <w:lang w:val="en-US" w:eastAsia="ja-JP"/>
        </w:rPr>
        <w:t xml:space="preserve">Part 5 </w:t>
      </w:r>
      <w:r w:rsidR="005B3082" w:rsidRPr="00154F1D">
        <w:t>sets out the current Tasmanian procedure to determine unfitness to stand trial, the position in other jurisdictions and options available to reform the current procedure.</w:t>
      </w:r>
    </w:p>
    <w:p w14:paraId="2CEA4969" w14:textId="77777777" w:rsidR="00B31066" w:rsidRPr="00154F1D" w:rsidRDefault="005B3082" w:rsidP="00744FAA">
      <w:pPr>
        <w:pStyle w:val="NormalNumberedTextTLRI"/>
      </w:pPr>
      <w:r w:rsidRPr="00154F1D">
        <w:t>Part 6 sets out the procedure following a determination of unfitness to stand trial in Tasmania and in other comparable jurisdictions. It then examines options for reform of the procedure following a determination of unfitness to stand trial.</w:t>
      </w:r>
    </w:p>
    <w:p w14:paraId="4E251337" w14:textId="77777777" w:rsidR="00B31066" w:rsidRPr="00154F1D" w:rsidRDefault="005B3082" w:rsidP="00744FAA">
      <w:pPr>
        <w:pStyle w:val="NormalNumberedTextTLRI"/>
      </w:pPr>
      <w:r w:rsidRPr="00154F1D">
        <w:t xml:space="preserve">Part 7 provides an overview of the law of insanity in Tasmania and identifies concerns in relation to the existing law and considers options for reform. </w:t>
      </w:r>
    </w:p>
    <w:p w14:paraId="67F151F1" w14:textId="118F280A" w:rsidR="005B3082" w:rsidRPr="00154F1D" w:rsidRDefault="005B3082" w:rsidP="00744FAA">
      <w:pPr>
        <w:pStyle w:val="NormalNumberedTextTLRI"/>
      </w:pPr>
      <w:r w:rsidRPr="00154F1D">
        <w:t xml:space="preserve">Part 8 examines the orders that can be made under the </w:t>
      </w:r>
      <w:r w:rsidRPr="00154F1D">
        <w:rPr>
          <w:i/>
        </w:rPr>
        <w:t xml:space="preserve">Criminal Justice (Mental Impairment) Act 1999 </w:t>
      </w:r>
      <w:r w:rsidRPr="00154F1D">
        <w:t xml:space="preserve">(Tas) following a finding that </w:t>
      </w:r>
      <w:r w:rsidR="00D066F6">
        <w:t>a person</w:t>
      </w:r>
      <w:r w:rsidRPr="00154F1D">
        <w:t xml:space="preserve"> is not guilty by reason of insanity (either at a trial or a special hearing) or if </w:t>
      </w:r>
      <w:r w:rsidR="00FC233F" w:rsidRPr="00154F1D">
        <w:t xml:space="preserve">a </w:t>
      </w:r>
      <w:r w:rsidRPr="00154F1D">
        <w:t>finding cannot be made that the defendant is not guilty of an offence (at a special hearing). It identifies concerns in relation to the existing law and considers options for reform.</w:t>
      </w:r>
    </w:p>
    <w:p w14:paraId="1B9DE699" w14:textId="77777777" w:rsidR="007168E2" w:rsidRPr="00154F1D" w:rsidRDefault="007C3AF7" w:rsidP="00D80045">
      <w:pPr>
        <w:pStyle w:val="NumberedHeadingTLRI"/>
      </w:pPr>
      <w:bookmarkStart w:id="39" w:name="_Toc535868906"/>
      <w:r w:rsidRPr="00154F1D">
        <w:t>Scope of the Reference</w:t>
      </w:r>
      <w:bookmarkEnd w:id="39"/>
    </w:p>
    <w:p w14:paraId="7A5F2AD5" w14:textId="44821B33" w:rsidR="00670390" w:rsidRPr="00154F1D" w:rsidRDefault="00670390" w:rsidP="00744FAA">
      <w:pPr>
        <w:pStyle w:val="NormalNumberedTextTLRI"/>
      </w:pPr>
      <w:r w:rsidRPr="00154F1D">
        <w:t xml:space="preserve">This </w:t>
      </w:r>
      <w:r w:rsidR="00B750C6">
        <w:t>Issues P</w:t>
      </w:r>
      <w:r w:rsidRPr="00154F1D">
        <w:t xml:space="preserve">aper considers two specialised responses for </w:t>
      </w:r>
      <w:r w:rsidR="00D066F6">
        <w:t>people</w:t>
      </w:r>
      <w:r w:rsidR="00D066F6" w:rsidRPr="00154F1D">
        <w:t xml:space="preserve"> </w:t>
      </w:r>
      <w:r w:rsidRPr="00154F1D">
        <w:t xml:space="preserve">with mental </w:t>
      </w:r>
      <w:r w:rsidR="00545A11" w:rsidRPr="00154F1D">
        <w:t>illness</w:t>
      </w:r>
      <w:r w:rsidRPr="00154F1D">
        <w:t xml:space="preserve"> and/or cognitive impairment where their mental impairment affects their ability to participate in the ordinary processes of the criminal justice system: </w:t>
      </w:r>
    </w:p>
    <w:p w14:paraId="2FFB25F1" w14:textId="0064E0DD" w:rsidR="00670390" w:rsidRPr="00154F1D" w:rsidRDefault="00670390" w:rsidP="00883CDC">
      <w:pPr>
        <w:pStyle w:val="NumberlessNormalText"/>
        <w:tabs>
          <w:tab w:val="clear" w:pos="851"/>
        </w:tabs>
        <w:ind w:left="426" w:hanging="426"/>
      </w:pPr>
      <w:r w:rsidRPr="00154F1D">
        <w:t>(1)</w:t>
      </w:r>
      <w:r w:rsidR="00883CDC" w:rsidRPr="00154F1D">
        <w:tab/>
      </w:r>
      <w:r w:rsidRPr="00154F1D">
        <w:t xml:space="preserve">fitness to stand trial; and </w:t>
      </w:r>
    </w:p>
    <w:p w14:paraId="50EB4C11" w14:textId="5AB729D5" w:rsidR="00670390" w:rsidRPr="00154F1D" w:rsidRDefault="00670390" w:rsidP="00883CDC">
      <w:pPr>
        <w:pStyle w:val="NumberlessNormalText"/>
        <w:tabs>
          <w:tab w:val="clear" w:pos="851"/>
        </w:tabs>
        <w:ind w:left="426" w:hanging="426"/>
      </w:pPr>
      <w:r w:rsidRPr="00154F1D">
        <w:t>(2)</w:t>
      </w:r>
      <w:r w:rsidR="00F31663" w:rsidRPr="00154F1D">
        <w:tab/>
      </w:r>
      <w:r w:rsidRPr="00154F1D">
        <w:t>the defence of insanity.</w:t>
      </w:r>
    </w:p>
    <w:p w14:paraId="0F33234F" w14:textId="592DF6F6" w:rsidR="00F17483" w:rsidRPr="00154F1D" w:rsidRDefault="00C057E7" w:rsidP="00744FAA">
      <w:pPr>
        <w:pStyle w:val="NormalNumberedTextTLRI"/>
        <w:numPr>
          <w:ilvl w:val="0"/>
          <w:numId w:val="0"/>
        </w:numPr>
      </w:pPr>
      <w:r w:rsidRPr="00154F1D">
        <w:t>In examining the law of insanity, this Issues Paper considers</w:t>
      </w:r>
      <w:r w:rsidRPr="00154F1D" w:rsidDel="00C057E7">
        <w:t xml:space="preserve"> </w:t>
      </w:r>
      <w:r w:rsidR="00670390" w:rsidRPr="00154F1D">
        <w:t xml:space="preserve">the interaction of evidence of an </w:t>
      </w:r>
      <w:r w:rsidR="00D066F6">
        <w:t>individual</w:t>
      </w:r>
      <w:r w:rsidR="00D066F6" w:rsidRPr="00154F1D">
        <w:t xml:space="preserve">’s </w:t>
      </w:r>
      <w:r w:rsidR="00670390" w:rsidRPr="00154F1D">
        <w:t xml:space="preserve">mental </w:t>
      </w:r>
      <w:r w:rsidR="005E674C" w:rsidRPr="00154F1D">
        <w:t>health</w:t>
      </w:r>
      <w:r w:rsidR="00670390" w:rsidRPr="00154F1D">
        <w:t xml:space="preserve"> and/or cognitive impairment with other defences, in particular the law of self-defence and the law of intoxication</w:t>
      </w:r>
      <w:r w:rsidR="0097210C" w:rsidRPr="00154F1D">
        <w:t xml:space="preserve">. </w:t>
      </w:r>
      <w:r w:rsidR="00C325F2" w:rsidRPr="00154F1D">
        <w:t xml:space="preserve">It also examines the orders that may </w:t>
      </w:r>
      <w:r w:rsidR="00FC233F" w:rsidRPr="00154F1D">
        <w:t xml:space="preserve">be made </w:t>
      </w:r>
      <w:r w:rsidR="00C325F2" w:rsidRPr="00154F1D">
        <w:t xml:space="preserve">following a special hearing in circumstances where a </w:t>
      </w:r>
      <w:r w:rsidR="00D066F6">
        <w:t>person</w:t>
      </w:r>
      <w:r w:rsidR="00D066F6" w:rsidRPr="00154F1D">
        <w:t xml:space="preserve"> </w:t>
      </w:r>
      <w:r w:rsidR="00C325F2" w:rsidRPr="00154F1D">
        <w:t xml:space="preserve">has been found to be not fit to stand trial and after </w:t>
      </w:r>
      <w:r w:rsidR="00D066F6">
        <w:t>a person</w:t>
      </w:r>
      <w:r w:rsidR="00C325F2" w:rsidRPr="00154F1D">
        <w:t xml:space="preserve"> has been found not guilty by reason of insanity. </w:t>
      </w:r>
      <w:r w:rsidR="006B1BE3" w:rsidRPr="00154F1D">
        <w:t xml:space="preserve">A key point to observe is that </w:t>
      </w:r>
      <w:r w:rsidR="00D066F6">
        <w:t>a person</w:t>
      </w:r>
      <w:r w:rsidR="006B1BE3" w:rsidRPr="00154F1D">
        <w:t xml:space="preserve"> </w:t>
      </w:r>
      <w:r w:rsidR="001C126E" w:rsidRPr="00154F1D">
        <w:t xml:space="preserve">is </w:t>
      </w:r>
      <w:r w:rsidRPr="00154F1D">
        <w:rPr>
          <w:b/>
        </w:rPr>
        <w:t>not</w:t>
      </w:r>
      <w:r w:rsidRPr="00154F1D">
        <w:t xml:space="preserve"> </w:t>
      </w:r>
      <w:r w:rsidR="001C126E" w:rsidRPr="00154F1D">
        <w:t xml:space="preserve">found guilty of an offence where he or she </w:t>
      </w:r>
      <w:r w:rsidR="006B1BE3" w:rsidRPr="00154F1D">
        <w:t xml:space="preserve">is found not guilty by reason of insanity or unfit to stand trial </w:t>
      </w:r>
      <w:r w:rsidR="001C126E" w:rsidRPr="00154F1D">
        <w:t>if</w:t>
      </w:r>
      <w:r w:rsidR="00FC233F" w:rsidRPr="00154F1D">
        <w:t xml:space="preserve"> </w:t>
      </w:r>
      <w:r w:rsidR="006B1BE3" w:rsidRPr="00154F1D">
        <w:t xml:space="preserve">a finding </w:t>
      </w:r>
      <w:r w:rsidR="00FC233F" w:rsidRPr="00154F1D">
        <w:t xml:space="preserve">is </w:t>
      </w:r>
      <w:r w:rsidR="006B1BE3" w:rsidRPr="00154F1D">
        <w:t xml:space="preserve">not able to be made at a special hearing that </w:t>
      </w:r>
      <w:r w:rsidR="00473E40">
        <w:t>the</w:t>
      </w:r>
      <w:r w:rsidR="00473E40" w:rsidRPr="00154F1D">
        <w:t xml:space="preserve"> </w:t>
      </w:r>
      <w:r w:rsidR="00D066F6">
        <w:t>person</w:t>
      </w:r>
      <w:r w:rsidR="00D066F6" w:rsidRPr="00154F1D">
        <w:t xml:space="preserve"> </w:t>
      </w:r>
      <w:r w:rsidR="006B1BE3" w:rsidRPr="00154F1D">
        <w:t xml:space="preserve">is not guilty. Accordingly, the person is not ‘sentenced’ for the offence according to the ordinary principles of sentencing. Instead, the dispositions available to the judge or magistrate rely on an assessment of the future risk posed by the person </w:t>
      </w:r>
      <w:r w:rsidR="001948C7" w:rsidRPr="00154F1D">
        <w:t>to inform the exercise of judicial discretion</w:t>
      </w:r>
      <w:r w:rsidR="006B1BE3" w:rsidRPr="00154F1D">
        <w:t>.</w:t>
      </w:r>
    </w:p>
    <w:p w14:paraId="5BA06627" w14:textId="76DEAABD" w:rsidR="00CD25B5" w:rsidRPr="00154F1D" w:rsidRDefault="00CD25B5" w:rsidP="00744FAA">
      <w:pPr>
        <w:pStyle w:val="NormalNumberedTextTLRI"/>
        <w:rPr>
          <w:lang w:val="en-US"/>
        </w:rPr>
      </w:pPr>
      <w:r w:rsidRPr="00154F1D">
        <w:t>Th</w:t>
      </w:r>
      <w:r w:rsidR="001C126E" w:rsidRPr="00154F1D">
        <w:t>is</w:t>
      </w:r>
      <w:r w:rsidRPr="00154F1D">
        <w:t xml:space="preserve"> </w:t>
      </w:r>
      <w:r w:rsidR="003F6E00" w:rsidRPr="00154F1D">
        <w:t>Issues P</w:t>
      </w:r>
      <w:r w:rsidRPr="00154F1D">
        <w:t xml:space="preserve">aper </w:t>
      </w:r>
      <w:r w:rsidR="00631FC9" w:rsidRPr="00154F1D">
        <w:t>examines</w:t>
      </w:r>
      <w:r w:rsidRPr="00154F1D">
        <w:t xml:space="preserve"> the operation of fitness to stand trial and </w:t>
      </w:r>
      <w:r w:rsidR="00631FC9" w:rsidRPr="00154F1D">
        <w:t>insanity</w:t>
      </w:r>
      <w:r w:rsidRPr="00154F1D">
        <w:t xml:space="preserve"> </w:t>
      </w:r>
      <w:r w:rsidR="0080362B" w:rsidRPr="00154F1D">
        <w:t xml:space="preserve">provisions </w:t>
      </w:r>
      <w:r w:rsidRPr="00154F1D">
        <w:t xml:space="preserve">for </w:t>
      </w:r>
      <w:r w:rsidR="00D066F6">
        <w:t>individual</w:t>
      </w:r>
      <w:r w:rsidR="00D066F6" w:rsidRPr="00154F1D">
        <w:t xml:space="preserve">s </w:t>
      </w:r>
      <w:r w:rsidRPr="00154F1D">
        <w:t xml:space="preserve">with mental </w:t>
      </w:r>
      <w:r w:rsidR="005E674C" w:rsidRPr="00154F1D">
        <w:t>health</w:t>
      </w:r>
      <w:r w:rsidRPr="00154F1D">
        <w:t xml:space="preserve"> and</w:t>
      </w:r>
      <w:r w:rsidR="00AA39D8" w:rsidRPr="00154F1D">
        <w:t>/or</w:t>
      </w:r>
      <w:r w:rsidRPr="00154F1D">
        <w:t xml:space="preserve"> cognitive impairment</w:t>
      </w:r>
      <w:r w:rsidR="00AA39D8" w:rsidRPr="00154F1D">
        <w:t>s</w:t>
      </w:r>
      <w:r w:rsidRPr="00154F1D">
        <w:t xml:space="preserve">. </w:t>
      </w:r>
      <w:r w:rsidR="00472E3A" w:rsidRPr="00154F1D">
        <w:t>The use of t</w:t>
      </w:r>
      <w:r w:rsidRPr="00154F1D">
        <w:t xml:space="preserve">erminology </w:t>
      </w:r>
      <w:r w:rsidR="005154AF" w:rsidRPr="00154F1D">
        <w:t>and the scope of definitions are</w:t>
      </w:r>
      <w:r w:rsidR="00472E3A" w:rsidRPr="00154F1D">
        <w:t xml:space="preserve"> problematic given that medical and legal definitions may </w:t>
      </w:r>
      <w:r w:rsidR="002245D9" w:rsidRPr="00154F1D">
        <w:t>differ</w:t>
      </w:r>
      <w:r w:rsidRPr="00154F1D">
        <w:t xml:space="preserve"> </w:t>
      </w:r>
      <w:r w:rsidR="002245D9" w:rsidRPr="00154F1D">
        <w:t>depending on the purpose and context</w:t>
      </w:r>
      <w:r w:rsidR="007A6D69" w:rsidRPr="00154F1D">
        <w:t xml:space="preserve"> in which </w:t>
      </w:r>
      <w:r w:rsidR="001C126E" w:rsidRPr="00154F1D">
        <w:t>they are</w:t>
      </w:r>
      <w:r w:rsidR="007A6D69" w:rsidRPr="00154F1D">
        <w:t xml:space="preserve"> used</w:t>
      </w:r>
      <w:r w:rsidR="00472E3A" w:rsidRPr="00154F1D">
        <w:t>.</w:t>
      </w:r>
      <w:bookmarkStart w:id="40" w:name="_Ref535170374"/>
      <w:r w:rsidR="00472E3A" w:rsidRPr="00154F1D">
        <w:rPr>
          <w:rStyle w:val="FootnoteReference"/>
        </w:rPr>
        <w:footnoteReference w:id="8"/>
      </w:r>
      <w:bookmarkEnd w:id="40"/>
      <w:r w:rsidR="007A6D69" w:rsidRPr="00154F1D">
        <w:t xml:space="preserve"> However, for the purposes of this paper, </w:t>
      </w:r>
      <w:r w:rsidR="005E674C" w:rsidRPr="00154F1D">
        <w:t xml:space="preserve">the TLRI has relied on the definitions developed by the </w:t>
      </w:r>
      <w:r w:rsidR="003F6E00" w:rsidRPr="00154F1D">
        <w:t>New South Wales Law Reform Commission (</w:t>
      </w:r>
      <w:r w:rsidR="005E674C" w:rsidRPr="00154F1D">
        <w:t>NSWLRC</w:t>
      </w:r>
      <w:r w:rsidR="003F6E00" w:rsidRPr="00154F1D">
        <w:t>)</w:t>
      </w:r>
      <w:r w:rsidR="005E674C" w:rsidRPr="00154F1D">
        <w:t xml:space="preserve">. Accordingly, </w:t>
      </w:r>
      <w:r w:rsidR="00AC0B4B" w:rsidRPr="00154F1D">
        <w:t xml:space="preserve">a </w:t>
      </w:r>
      <w:r w:rsidR="007A6D69" w:rsidRPr="00154F1D">
        <w:t xml:space="preserve">mental </w:t>
      </w:r>
      <w:r w:rsidR="005E674C" w:rsidRPr="00154F1D">
        <w:t>health impairment</w:t>
      </w:r>
      <w:r w:rsidR="007A6D69" w:rsidRPr="00154F1D">
        <w:t xml:space="preserve"> is understood to </w:t>
      </w:r>
      <w:r w:rsidR="005E674C" w:rsidRPr="00154F1D">
        <w:t>mean ‘a temporary or continuing disturbance of thought, mood, volition, perception or memory that impairs emotional wellbeing, judgement or behaviour, so as to affect function in daily life to a material extent’.</w:t>
      </w:r>
      <w:r w:rsidR="005E674C" w:rsidRPr="00154F1D">
        <w:rPr>
          <w:rStyle w:val="FootnoteReference"/>
        </w:rPr>
        <w:footnoteReference w:id="9"/>
      </w:r>
      <w:r w:rsidR="005E674C" w:rsidRPr="00154F1D">
        <w:t xml:space="preserve"> </w:t>
      </w:r>
      <w:r w:rsidR="00AA39D8" w:rsidRPr="00154F1D">
        <w:t>C</w:t>
      </w:r>
      <w:r w:rsidR="007A6D69" w:rsidRPr="00154F1D">
        <w:t xml:space="preserve">ognitive impairment </w:t>
      </w:r>
      <w:r w:rsidR="00AA39D8" w:rsidRPr="00154F1D">
        <w:t>‘refers to impairments in a person’s ability to think, concentrate, react to emotions, formulate ideas and remember and process information’.</w:t>
      </w:r>
      <w:r w:rsidR="00AA39D8" w:rsidRPr="00154F1D">
        <w:rPr>
          <w:rStyle w:val="FootnoteReference"/>
        </w:rPr>
        <w:footnoteReference w:id="10"/>
      </w:r>
      <w:r w:rsidR="00AA39D8" w:rsidRPr="00154F1D">
        <w:t xml:space="preserve"> It includes intellectual disability and borderline intellectual functioning, acqui</w:t>
      </w:r>
      <w:r w:rsidR="00545A11" w:rsidRPr="00154F1D">
        <w:t>r</w:t>
      </w:r>
      <w:r w:rsidR="00AA39D8" w:rsidRPr="00154F1D">
        <w:t xml:space="preserve">ed brain injury, dementia, autism spectrum disorder </w:t>
      </w:r>
      <w:r w:rsidR="0080362B" w:rsidRPr="00154F1D">
        <w:t xml:space="preserve">and </w:t>
      </w:r>
      <w:r w:rsidR="00545A11" w:rsidRPr="00154F1D">
        <w:t xml:space="preserve">drug or alcohol related </w:t>
      </w:r>
      <w:r w:rsidR="0080362B" w:rsidRPr="00154F1D">
        <w:t>b</w:t>
      </w:r>
      <w:r w:rsidR="00545A11" w:rsidRPr="00154F1D">
        <w:t>rain damage</w:t>
      </w:r>
      <w:r w:rsidR="00AA39D8" w:rsidRPr="00154F1D">
        <w:t>.</w:t>
      </w:r>
      <w:r w:rsidR="00AA39D8" w:rsidRPr="00154F1D">
        <w:rPr>
          <w:rStyle w:val="FootnoteReference"/>
        </w:rPr>
        <w:footnoteReference w:id="11"/>
      </w:r>
      <w:r w:rsidR="007A6D69" w:rsidRPr="00154F1D">
        <w:t xml:space="preserve"> </w:t>
      </w:r>
    </w:p>
    <w:p w14:paraId="55AA5BA2" w14:textId="3E3EBC56" w:rsidR="003814BF" w:rsidRPr="00154F1D" w:rsidRDefault="00901DD1" w:rsidP="003814BF">
      <w:pPr>
        <w:pStyle w:val="NormalNumberedTextTLRI"/>
      </w:pPr>
      <w:r w:rsidRPr="00154F1D">
        <w:t xml:space="preserve">This </w:t>
      </w:r>
      <w:r w:rsidR="003F6E00" w:rsidRPr="00154F1D">
        <w:t>Issues P</w:t>
      </w:r>
      <w:r w:rsidRPr="00154F1D">
        <w:t xml:space="preserve">aper does not involve a review of the </w:t>
      </w:r>
      <w:r w:rsidRPr="00154F1D">
        <w:rPr>
          <w:i/>
        </w:rPr>
        <w:t xml:space="preserve">Mental Health Act 2013 </w:t>
      </w:r>
      <w:r w:rsidRPr="00154F1D">
        <w:t xml:space="preserve">(Tas) but </w:t>
      </w:r>
      <w:r w:rsidR="003F6E00" w:rsidRPr="00154F1D">
        <w:t xml:space="preserve">does </w:t>
      </w:r>
      <w:r w:rsidRPr="00154F1D">
        <w:t xml:space="preserve">consider </w:t>
      </w:r>
      <w:r w:rsidR="00B50BE8" w:rsidRPr="00154F1D">
        <w:t xml:space="preserve">the interaction between the </w:t>
      </w:r>
      <w:r w:rsidRPr="00154F1D">
        <w:t>criminal justice system</w:t>
      </w:r>
      <w:r w:rsidR="00B50BE8" w:rsidRPr="00154F1D">
        <w:t xml:space="preserve"> and </w:t>
      </w:r>
      <w:r w:rsidR="00C91D89">
        <w:t>that Act</w:t>
      </w:r>
      <w:r w:rsidR="00B50BE8" w:rsidRPr="00154F1D">
        <w:t>.</w:t>
      </w:r>
      <w:r w:rsidR="00F17483" w:rsidRPr="00154F1D">
        <w:t xml:space="preserve"> </w:t>
      </w:r>
      <w:r w:rsidRPr="00154F1D">
        <w:t>In addition, it does</w:t>
      </w:r>
      <w:r w:rsidR="00F17483" w:rsidRPr="00154F1D">
        <w:t xml:space="preserve"> not review the </w:t>
      </w:r>
      <w:r w:rsidR="00F17483" w:rsidRPr="00154F1D">
        <w:rPr>
          <w:i/>
        </w:rPr>
        <w:t>Guardianship and Administration Act</w:t>
      </w:r>
      <w:r w:rsidRPr="00154F1D">
        <w:rPr>
          <w:i/>
        </w:rPr>
        <w:t xml:space="preserve"> 1995</w:t>
      </w:r>
      <w:r w:rsidR="00F17483" w:rsidRPr="00154F1D">
        <w:t xml:space="preserve"> </w:t>
      </w:r>
      <w:r w:rsidRPr="00154F1D">
        <w:t xml:space="preserve">(Tas) </w:t>
      </w:r>
      <w:r w:rsidR="00F17483" w:rsidRPr="00154F1D">
        <w:t>but</w:t>
      </w:r>
      <w:r w:rsidR="005154AF" w:rsidRPr="00154F1D">
        <w:t>,</w:t>
      </w:r>
      <w:r w:rsidR="00F17483" w:rsidRPr="00154F1D">
        <w:t xml:space="preserve"> </w:t>
      </w:r>
      <w:r w:rsidR="005154AF" w:rsidRPr="00154F1D">
        <w:t>as</w:t>
      </w:r>
      <w:r w:rsidRPr="00154F1D">
        <w:t xml:space="preserve"> noted</w:t>
      </w:r>
      <w:r w:rsidR="0080362B" w:rsidRPr="00154F1D">
        <w:t xml:space="preserve"> earlier</w:t>
      </w:r>
      <w:r w:rsidR="005154AF" w:rsidRPr="00154F1D">
        <w:t>,</w:t>
      </w:r>
      <w:r w:rsidRPr="00154F1D">
        <w:t xml:space="preserve"> </w:t>
      </w:r>
      <w:r w:rsidR="005154AF" w:rsidRPr="00154F1D">
        <w:t>the</w:t>
      </w:r>
      <w:r w:rsidRPr="00154F1D">
        <w:t xml:space="preserve"> </w:t>
      </w:r>
      <w:r w:rsidR="00F17483" w:rsidRPr="00154F1D">
        <w:t xml:space="preserve">TLRI </w:t>
      </w:r>
      <w:r w:rsidR="0044488D" w:rsidRPr="00154F1D">
        <w:t>has undertaken</w:t>
      </w:r>
      <w:r w:rsidR="00F17483" w:rsidRPr="00154F1D">
        <w:t xml:space="preserve"> a </w:t>
      </w:r>
      <w:r w:rsidRPr="00154F1D">
        <w:t xml:space="preserve">separate </w:t>
      </w:r>
      <w:r w:rsidR="00A01963" w:rsidRPr="00154F1D">
        <w:t xml:space="preserve">review of this </w:t>
      </w:r>
      <w:r w:rsidRPr="00154F1D">
        <w:t>Act</w:t>
      </w:r>
      <w:r w:rsidR="00F17483" w:rsidRPr="00154F1D">
        <w:t>.</w:t>
      </w:r>
      <w:r w:rsidR="00D67AC9" w:rsidRPr="00154F1D">
        <w:rPr>
          <w:rStyle w:val="FootnoteReference"/>
        </w:rPr>
        <w:footnoteReference w:id="12"/>
      </w:r>
      <w:r w:rsidR="00D67AC9" w:rsidRPr="00154F1D">
        <w:t xml:space="preserve"> Further, this paper does not review the Diversion List that operates in the Magistrates Court for </w:t>
      </w:r>
      <w:r w:rsidR="00D066F6">
        <w:t>individual</w:t>
      </w:r>
      <w:r w:rsidR="00D066F6" w:rsidRPr="00154F1D">
        <w:t xml:space="preserve">s </w:t>
      </w:r>
      <w:r w:rsidR="00D67AC9" w:rsidRPr="00154F1D">
        <w:t>who have mental health and/or cognitive impairments.</w:t>
      </w:r>
      <w:r w:rsidR="00D67AC9" w:rsidRPr="00154F1D">
        <w:rPr>
          <w:rStyle w:val="FootnoteReference"/>
        </w:rPr>
        <w:footnoteReference w:id="13"/>
      </w:r>
    </w:p>
    <w:p w14:paraId="4AA957BB" w14:textId="5D9784E3" w:rsidR="003814BF" w:rsidRPr="00154F1D" w:rsidRDefault="003814BF" w:rsidP="003814BF">
      <w:pPr>
        <w:pStyle w:val="NormalNumberedTextTLRI"/>
        <w:numPr>
          <w:ilvl w:val="0"/>
          <w:numId w:val="0"/>
        </w:numPr>
      </w:pPr>
    </w:p>
    <w:p w14:paraId="387D9CD7" w14:textId="77777777" w:rsidR="003814BF" w:rsidRPr="00154F1D" w:rsidRDefault="003814BF" w:rsidP="003814BF">
      <w:pPr>
        <w:pStyle w:val="NormalNumberedTextTLRI"/>
        <w:numPr>
          <w:ilvl w:val="0"/>
          <w:numId w:val="0"/>
        </w:numPr>
        <w:sectPr w:rsidR="003814BF" w:rsidRPr="00154F1D" w:rsidSect="005F2C54">
          <w:headerReference w:type="default" r:id="rId23"/>
          <w:headerReference w:type="first" r:id="rId24"/>
          <w:pgSz w:w="11900" w:h="16840"/>
          <w:pgMar w:top="1440" w:right="1797" w:bottom="1440" w:left="1797" w:header="709" w:footer="709" w:gutter="0"/>
          <w:pgNumType w:start="1"/>
          <w:cols w:space="708"/>
          <w:titlePg/>
          <w:docGrid w:linePitch="360"/>
        </w:sectPr>
      </w:pPr>
    </w:p>
    <w:p w14:paraId="77DBCC8D" w14:textId="228A4DCB" w:rsidR="00BD4A60" w:rsidRPr="00154F1D" w:rsidRDefault="00BD4A60" w:rsidP="00BD4A60">
      <w:pPr>
        <w:pStyle w:val="PartNoTLRI"/>
      </w:pPr>
      <w:r w:rsidRPr="00154F1D">
        <w:t xml:space="preserve"> </w:t>
      </w:r>
      <w:bookmarkStart w:id="41" w:name="_Toc535868907"/>
      <w:bookmarkEnd w:id="41"/>
    </w:p>
    <w:p w14:paraId="4643466B" w14:textId="01A4A7AD" w:rsidR="00BD4A60" w:rsidRPr="00154F1D" w:rsidRDefault="00BD4A60" w:rsidP="00DF349D">
      <w:pPr>
        <w:pStyle w:val="PartHeadingTLRI"/>
        <w:outlineLvl w:val="0"/>
      </w:pPr>
      <w:bookmarkStart w:id="42" w:name="_Toc535868908"/>
      <w:r w:rsidRPr="00154F1D">
        <w:t xml:space="preserve">Background and </w:t>
      </w:r>
      <w:r w:rsidR="00852528" w:rsidRPr="00154F1D">
        <w:t>P</w:t>
      </w:r>
      <w:r w:rsidRPr="00154F1D">
        <w:t>rinciples</w:t>
      </w:r>
      <w:bookmarkEnd w:id="42"/>
    </w:p>
    <w:p w14:paraId="70BE459C" w14:textId="4E81649C" w:rsidR="006940B7" w:rsidRPr="00154F1D" w:rsidRDefault="006940B7" w:rsidP="00D80045">
      <w:pPr>
        <w:pStyle w:val="NumberedHeadingTLRI"/>
      </w:pPr>
      <w:bookmarkStart w:id="43" w:name="_Toc535868909"/>
      <w:r w:rsidRPr="00154F1D">
        <w:t>Introduction</w:t>
      </w:r>
      <w:bookmarkEnd w:id="43"/>
    </w:p>
    <w:p w14:paraId="6CB5D8F8" w14:textId="4D199BDA" w:rsidR="00670390" w:rsidRPr="00154F1D" w:rsidRDefault="00670390" w:rsidP="00744FAA">
      <w:pPr>
        <w:pStyle w:val="NormalNumberedTextTLRI"/>
      </w:pPr>
      <w:r w:rsidRPr="00154F1D">
        <w:t xml:space="preserve">This </w:t>
      </w:r>
      <w:r w:rsidR="00852528" w:rsidRPr="00154F1D">
        <w:t>P</w:t>
      </w:r>
      <w:r w:rsidRPr="00154F1D">
        <w:t xml:space="preserve">art </w:t>
      </w:r>
      <w:r w:rsidR="00053A1D" w:rsidRPr="00154F1D">
        <w:t>contains</w:t>
      </w:r>
      <w:r w:rsidR="00657CB2" w:rsidRPr="00154F1D">
        <w:t xml:space="preserve"> an overview of the legislative framework that sets out the law in relation to the operation of the criminal justice system for people with mental health and/or cognitive impairments. It sets out the distinction between fitness to stand trial and </w:t>
      </w:r>
      <w:r w:rsidR="0080362B" w:rsidRPr="00154F1D">
        <w:t xml:space="preserve">the defence of </w:t>
      </w:r>
      <w:r w:rsidR="00657CB2" w:rsidRPr="00154F1D">
        <w:t>insanity and</w:t>
      </w:r>
      <w:r w:rsidR="00053A1D" w:rsidRPr="00154F1D">
        <w:t xml:space="preserve"> also</w:t>
      </w:r>
      <w:r w:rsidR="00657CB2" w:rsidRPr="00154F1D">
        <w:t xml:space="preserve"> considers the principles that underlie the </w:t>
      </w:r>
      <w:r w:rsidR="00657CB2" w:rsidRPr="00154F1D">
        <w:rPr>
          <w:i/>
        </w:rPr>
        <w:t xml:space="preserve">Criminal Justice Mental Impairment Act 1999 </w:t>
      </w:r>
      <w:r w:rsidR="0053372A" w:rsidRPr="00154F1D">
        <w:t>(Tas).</w:t>
      </w:r>
      <w:r w:rsidR="00E9352A" w:rsidRPr="00154F1D">
        <w:t xml:space="preserve"> </w:t>
      </w:r>
    </w:p>
    <w:p w14:paraId="7000E8F1" w14:textId="29AB8AF0" w:rsidR="00AB6D36" w:rsidRPr="00154F1D" w:rsidRDefault="00AB6D36" w:rsidP="00D80045">
      <w:pPr>
        <w:pStyle w:val="NumberedHeadingTLRI"/>
      </w:pPr>
      <w:bookmarkStart w:id="44" w:name="_Toc535868910"/>
      <w:r w:rsidRPr="00154F1D">
        <w:t>Brief overview of legislative framework</w:t>
      </w:r>
      <w:bookmarkEnd w:id="44"/>
    </w:p>
    <w:p w14:paraId="1E1FDA4A" w14:textId="0F0DE501" w:rsidR="00E26E2D" w:rsidRPr="00154F1D" w:rsidRDefault="00E26E2D" w:rsidP="00744FAA">
      <w:pPr>
        <w:pStyle w:val="NormalNumberedTextTLRI"/>
      </w:pPr>
      <w:r w:rsidRPr="00154F1D">
        <w:t xml:space="preserve">In Tasmania, several pieces of legislation set out the law in relation to the operation of the criminal justice system for people with mental </w:t>
      </w:r>
      <w:r w:rsidR="005E674C" w:rsidRPr="00154F1D">
        <w:t>health</w:t>
      </w:r>
      <w:r w:rsidRPr="00154F1D">
        <w:t xml:space="preserve"> and/or cognitive impairment</w:t>
      </w:r>
      <w:r w:rsidR="005650F9" w:rsidRPr="00154F1D">
        <w:t>s</w:t>
      </w:r>
      <w:r w:rsidRPr="00154F1D">
        <w:t>. These include:</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741"/>
        <w:gridCol w:w="5559"/>
      </w:tblGrid>
      <w:tr w:rsidR="009E7E35" w:rsidRPr="00154F1D" w14:paraId="4772D047" w14:textId="77777777" w:rsidTr="00533270">
        <w:tc>
          <w:tcPr>
            <w:tcW w:w="2802" w:type="dxa"/>
          </w:tcPr>
          <w:p w14:paraId="7A7511E6" w14:textId="0DB0B41E" w:rsidR="009E7E35" w:rsidRPr="00154F1D" w:rsidRDefault="0080362B" w:rsidP="00E17B07">
            <w:pPr>
              <w:spacing w:before="40" w:afterLines="40" w:after="96"/>
              <w:rPr>
                <w:sz w:val="20"/>
                <w:szCs w:val="20"/>
              </w:rPr>
            </w:pPr>
            <w:r w:rsidRPr="00154F1D">
              <w:rPr>
                <w:i/>
                <w:sz w:val="20"/>
                <w:szCs w:val="20"/>
              </w:rPr>
              <w:t xml:space="preserve">The </w:t>
            </w:r>
            <w:r w:rsidR="009E7E35" w:rsidRPr="00154F1D">
              <w:rPr>
                <w:i/>
                <w:sz w:val="20"/>
                <w:szCs w:val="20"/>
              </w:rPr>
              <w:t xml:space="preserve">Criminal Justice (Mental Impairment) Act 1999 </w:t>
            </w:r>
            <w:r w:rsidR="009E7E35" w:rsidRPr="00154F1D">
              <w:rPr>
                <w:sz w:val="20"/>
                <w:szCs w:val="20"/>
              </w:rPr>
              <w:t xml:space="preserve">(Tas) </w:t>
            </w:r>
          </w:p>
        </w:tc>
        <w:tc>
          <w:tcPr>
            <w:tcW w:w="5714" w:type="dxa"/>
          </w:tcPr>
          <w:p w14:paraId="66551551" w14:textId="59A169AF" w:rsidR="0080362B" w:rsidRPr="00154F1D" w:rsidRDefault="0080362B" w:rsidP="00E17B07">
            <w:pPr>
              <w:pStyle w:val="ListParagraph"/>
              <w:spacing w:before="40" w:afterLines="40" w:after="96"/>
              <w:ind w:left="0"/>
              <w:contextualSpacing w:val="0"/>
              <w:rPr>
                <w:sz w:val="20"/>
                <w:szCs w:val="20"/>
              </w:rPr>
            </w:pPr>
            <w:r w:rsidRPr="00154F1D">
              <w:rPr>
                <w:sz w:val="20"/>
                <w:szCs w:val="20"/>
              </w:rPr>
              <w:t>Establishes:</w:t>
            </w:r>
          </w:p>
          <w:p w14:paraId="44C82F45" w14:textId="77777777" w:rsidR="009E7E35" w:rsidRPr="00154F1D" w:rsidRDefault="009E7E35" w:rsidP="00E17B07">
            <w:pPr>
              <w:pStyle w:val="ListParagraph"/>
              <w:numPr>
                <w:ilvl w:val="0"/>
                <w:numId w:val="5"/>
              </w:numPr>
              <w:spacing w:before="40" w:afterLines="40" w:after="96"/>
              <w:contextualSpacing w:val="0"/>
              <w:rPr>
                <w:sz w:val="20"/>
                <w:szCs w:val="20"/>
              </w:rPr>
            </w:pPr>
            <w:r w:rsidRPr="00154F1D">
              <w:rPr>
                <w:sz w:val="20"/>
                <w:szCs w:val="20"/>
              </w:rPr>
              <w:t>the process and criteria for determining if a person is unfit to stand trial;</w:t>
            </w:r>
          </w:p>
          <w:p w14:paraId="4ECA3226" w14:textId="77777777" w:rsidR="009E7E35" w:rsidRPr="00154F1D" w:rsidRDefault="009E7E35" w:rsidP="00E17B07">
            <w:pPr>
              <w:pStyle w:val="ListParagraph"/>
              <w:numPr>
                <w:ilvl w:val="0"/>
                <w:numId w:val="5"/>
              </w:numPr>
              <w:spacing w:before="40" w:afterLines="40" w:after="96"/>
              <w:contextualSpacing w:val="0"/>
              <w:rPr>
                <w:sz w:val="20"/>
                <w:szCs w:val="20"/>
              </w:rPr>
            </w:pPr>
            <w:r w:rsidRPr="00154F1D">
              <w:rPr>
                <w:sz w:val="20"/>
                <w:szCs w:val="20"/>
              </w:rPr>
              <w:t>the procedure for a special hearing following a finding of unfitness to stand trial;</w:t>
            </w:r>
          </w:p>
          <w:p w14:paraId="3DF2AB9B" w14:textId="77777777" w:rsidR="009E7E35" w:rsidRPr="00154F1D" w:rsidRDefault="009E7E35" w:rsidP="00E17B07">
            <w:pPr>
              <w:pStyle w:val="ListParagraph"/>
              <w:numPr>
                <w:ilvl w:val="0"/>
                <w:numId w:val="5"/>
              </w:numPr>
              <w:spacing w:before="40" w:afterLines="40" w:after="96"/>
              <w:contextualSpacing w:val="0"/>
              <w:rPr>
                <w:sz w:val="20"/>
                <w:szCs w:val="20"/>
              </w:rPr>
            </w:pPr>
            <w:r w:rsidRPr="00154F1D">
              <w:rPr>
                <w:sz w:val="20"/>
                <w:szCs w:val="20"/>
              </w:rPr>
              <w:t>the findings available at a special hearing;</w:t>
            </w:r>
          </w:p>
          <w:p w14:paraId="21AE1DF2" w14:textId="54933D87" w:rsidR="009E7E35" w:rsidRPr="00154F1D" w:rsidRDefault="009E7E35" w:rsidP="00E17B07">
            <w:pPr>
              <w:pStyle w:val="ListParagraph"/>
              <w:numPr>
                <w:ilvl w:val="0"/>
                <w:numId w:val="5"/>
              </w:numPr>
              <w:spacing w:before="40" w:afterLines="40" w:after="96"/>
              <w:contextualSpacing w:val="0"/>
              <w:rPr>
                <w:sz w:val="20"/>
                <w:szCs w:val="20"/>
              </w:rPr>
            </w:pPr>
            <w:r w:rsidRPr="00154F1D">
              <w:rPr>
                <w:sz w:val="20"/>
                <w:szCs w:val="20"/>
              </w:rPr>
              <w:t xml:space="preserve">the consequences of a finding that an </w:t>
            </w:r>
            <w:r w:rsidR="00D066F6">
              <w:rPr>
                <w:sz w:val="20"/>
                <w:szCs w:val="20"/>
              </w:rPr>
              <w:t>accused</w:t>
            </w:r>
            <w:r w:rsidR="00D066F6" w:rsidRPr="00154F1D">
              <w:rPr>
                <w:sz w:val="20"/>
                <w:szCs w:val="20"/>
              </w:rPr>
              <w:t xml:space="preserve"> </w:t>
            </w:r>
            <w:r w:rsidR="0080362B" w:rsidRPr="00154F1D">
              <w:rPr>
                <w:sz w:val="20"/>
                <w:szCs w:val="20"/>
              </w:rPr>
              <w:t>i</w:t>
            </w:r>
            <w:r w:rsidRPr="00154F1D">
              <w:rPr>
                <w:sz w:val="20"/>
                <w:szCs w:val="20"/>
              </w:rPr>
              <w:t xml:space="preserve">s not guilty </w:t>
            </w:r>
            <w:r w:rsidR="0080362B" w:rsidRPr="00154F1D">
              <w:rPr>
                <w:sz w:val="20"/>
                <w:szCs w:val="20"/>
              </w:rPr>
              <w:t xml:space="preserve">by reason </w:t>
            </w:r>
            <w:r w:rsidRPr="00154F1D">
              <w:rPr>
                <w:sz w:val="20"/>
                <w:szCs w:val="20"/>
              </w:rPr>
              <w:t xml:space="preserve">of insanity (either following an ordinary trial or a special hearing) or </w:t>
            </w:r>
            <w:r w:rsidR="0080362B" w:rsidRPr="00154F1D">
              <w:rPr>
                <w:sz w:val="20"/>
                <w:szCs w:val="20"/>
              </w:rPr>
              <w:t xml:space="preserve">where </w:t>
            </w:r>
            <w:r w:rsidRPr="00154F1D">
              <w:rPr>
                <w:sz w:val="20"/>
                <w:szCs w:val="20"/>
              </w:rPr>
              <w:t>a finding cannot be made that the defendant is not guilty;</w:t>
            </w:r>
          </w:p>
          <w:p w14:paraId="783C96D1" w14:textId="4F9C255B" w:rsidR="009E7E35" w:rsidRPr="00154F1D" w:rsidRDefault="009E7E35" w:rsidP="00E17B07">
            <w:pPr>
              <w:pStyle w:val="ListParagraph"/>
              <w:numPr>
                <w:ilvl w:val="0"/>
                <w:numId w:val="5"/>
              </w:numPr>
              <w:spacing w:before="40" w:afterLines="40" w:after="96"/>
              <w:contextualSpacing w:val="0"/>
              <w:rPr>
                <w:sz w:val="20"/>
                <w:szCs w:val="20"/>
              </w:rPr>
            </w:pPr>
            <w:r w:rsidRPr="00154F1D">
              <w:rPr>
                <w:sz w:val="20"/>
                <w:szCs w:val="20"/>
              </w:rPr>
              <w:t>the process and criteria</w:t>
            </w:r>
            <w:r w:rsidR="004229A2" w:rsidRPr="00154F1D">
              <w:rPr>
                <w:sz w:val="20"/>
                <w:szCs w:val="20"/>
              </w:rPr>
              <w:t xml:space="preserve"> for the discharge of a restriction order, </w:t>
            </w:r>
            <w:r w:rsidR="005E674C" w:rsidRPr="00154F1D">
              <w:rPr>
                <w:sz w:val="20"/>
                <w:szCs w:val="20"/>
              </w:rPr>
              <w:t xml:space="preserve">and </w:t>
            </w:r>
            <w:r w:rsidR="004229A2" w:rsidRPr="00154F1D">
              <w:rPr>
                <w:sz w:val="20"/>
                <w:szCs w:val="20"/>
              </w:rPr>
              <w:t>the variation or revocation of a supervision order</w:t>
            </w:r>
            <w:r w:rsidRPr="00154F1D">
              <w:rPr>
                <w:sz w:val="20"/>
                <w:szCs w:val="20"/>
              </w:rPr>
              <w:t>.</w:t>
            </w:r>
          </w:p>
        </w:tc>
      </w:tr>
      <w:tr w:rsidR="009E7E35" w:rsidRPr="00154F1D" w14:paraId="7A171E8A" w14:textId="77777777" w:rsidTr="00533270">
        <w:tc>
          <w:tcPr>
            <w:tcW w:w="2802" w:type="dxa"/>
          </w:tcPr>
          <w:p w14:paraId="1AAD137B" w14:textId="58B34127" w:rsidR="009E7E35" w:rsidRPr="00154F1D" w:rsidRDefault="0080362B" w:rsidP="00E17B07">
            <w:pPr>
              <w:spacing w:before="40" w:afterLines="40" w:after="96"/>
              <w:rPr>
                <w:sz w:val="20"/>
                <w:szCs w:val="20"/>
              </w:rPr>
            </w:pPr>
            <w:r w:rsidRPr="00154F1D">
              <w:rPr>
                <w:i/>
                <w:sz w:val="20"/>
                <w:szCs w:val="20"/>
              </w:rPr>
              <w:t xml:space="preserve">The </w:t>
            </w:r>
            <w:r w:rsidR="009E7E35" w:rsidRPr="00154F1D">
              <w:rPr>
                <w:i/>
                <w:sz w:val="20"/>
                <w:szCs w:val="20"/>
              </w:rPr>
              <w:t xml:space="preserve">Criminal Code </w:t>
            </w:r>
            <w:r w:rsidR="009E7E35" w:rsidRPr="00154F1D">
              <w:rPr>
                <w:sz w:val="20"/>
                <w:szCs w:val="20"/>
              </w:rPr>
              <w:t>(Tas</w:t>
            </w:r>
            <w:r w:rsidR="00DB77CA" w:rsidRPr="00154F1D">
              <w:rPr>
                <w:sz w:val="20"/>
                <w:szCs w:val="20"/>
              </w:rPr>
              <w:t>)</w:t>
            </w:r>
          </w:p>
        </w:tc>
        <w:tc>
          <w:tcPr>
            <w:tcW w:w="5714" w:type="dxa"/>
          </w:tcPr>
          <w:p w14:paraId="7CD1076F" w14:textId="6BA38F8C" w:rsidR="009E7E35" w:rsidRPr="00154F1D" w:rsidRDefault="0080362B" w:rsidP="00E17B07">
            <w:pPr>
              <w:pStyle w:val="ListParagraph"/>
              <w:numPr>
                <w:ilvl w:val="0"/>
                <w:numId w:val="59"/>
              </w:numPr>
              <w:spacing w:before="40" w:afterLines="40" w:after="96"/>
              <w:contextualSpacing w:val="0"/>
              <w:rPr>
                <w:sz w:val="20"/>
                <w:szCs w:val="20"/>
              </w:rPr>
            </w:pPr>
            <w:r w:rsidRPr="00154F1D">
              <w:rPr>
                <w:sz w:val="20"/>
                <w:szCs w:val="20"/>
              </w:rPr>
              <w:t xml:space="preserve">Sets down </w:t>
            </w:r>
            <w:r w:rsidR="00BA3263" w:rsidRPr="00154F1D">
              <w:rPr>
                <w:sz w:val="20"/>
                <w:szCs w:val="20"/>
              </w:rPr>
              <w:t xml:space="preserve">the law and procedure for determining if an </w:t>
            </w:r>
            <w:r w:rsidR="00D066F6">
              <w:rPr>
                <w:sz w:val="20"/>
                <w:szCs w:val="20"/>
              </w:rPr>
              <w:t>accused</w:t>
            </w:r>
            <w:r w:rsidR="00D066F6" w:rsidRPr="00154F1D">
              <w:rPr>
                <w:sz w:val="20"/>
                <w:szCs w:val="20"/>
              </w:rPr>
              <w:t xml:space="preserve"> </w:t>
            </w:r>
            <w:r w:rsidR="00BA3263" w:rsidRPr="00154F1D">
              <w:rPr>
                <w:sz w:val="20"/>
                <w:szCs w:val="20"/>
              </w:rPr>
              <w:t>is not guilty by reason of insanity.</w:t>
            </w:r>
          </w:p>
        </w:tc>
      </w:tr>
      <w:tr w:rsidR="009E7E35" w:rsidRPr="00154F1D" w14:paraId="09223873" w14:textId="77777777" w:rsidTr="00533270">
        <w:tc>
          <w:tcPr>
            <w:tcW w:w="2802" w:type="dxa"/>
          </w:tcPr>
          <w:p w14:paraId="63FB7FA7" w14:textId="6FD754A0" w:rsidR="009E7E35" w:rsidRPr="00154F1D" w:rsidRDefault="0080362B" w:rsidP="00E17B07">
            <w:pPr>
              <w:spacing w:before="40" w:afterLines="40" w:after="96"/>
              <w:rPr>
                <w:sz w:val="20"/>
                <w:szCs w:val="20"/>
              </w:rPr>
            </w:pPr>
            <w:r w:rsidRPr="00154F1D">
              <w:rPr>
                <w:i/>
                <w:sz w:val="20"/>
                <w:szCs w:val="20"/>
              </w:rPr>
              <w:t xml:space="preserve">The </w:t>
            </w:r>
            <w:r w:rsidR="009E7E35" w:rsidRPr="00154F1D">
              <w:rPr>
                <w:i/>
                <w:sz w:val="20"/>
                <w:szCs w:val="20"/>
              </w:rPr>
              <w:t xml:space="preserve">Mental Health Act 2013 </w:t>
            </w:r>
            <w:r w:rsidR="009E7E35" w:rsidRPr="00154F1D">
              <w:rPr>
                <w:sz w:val="20"/>
                <w:szCs w:val="20"/>
              </w:rPr>
              <w:t>(Tas)</w:t>
            </w:r>
          </w:p>
        </w:tc>
        <w:tc>
          <w:tcPr>
            <w:tcW w:w="5714" w:type="dxa"/>
          </w:tcPr>
          <w:p w14:paraId="35416F63" w14:textId="3A48D218" w:rsidR="0080362B" w:rsidRPr="00154F1D" w:rsidRDefault="00611439" w:rsidP="00E17B07">
            <w:pPr>
              <w:pStyle w:val="ListParagraph"/>
              <w:spacing w:before="40" w:afterLines="40" w:after="96"/>
              <w:ind w:left="0"/>
              <w:contextualSpacing w:val="0"/>
              <w:rPr>
                <w:sz w:val="20"/>
                <w:szCs w:val="20"/>
              </w:rPr>
            </w:pPr>
            <w:r w:rsidRPr="00154F1D">
              <w:rPr>
                <w:sz w:val="20"/>
                <w:szCs w:val="20"/>
              </w:rPr>
              <w:t>Provides</w:t>
            </w:r>
            <w:r w:rsidR="0080362B" w:rsidRPr="00154F1D">
              <w:rPr>
                <w:sz w:val="20"/>
                <w:szCs w:val="20"/>
              </w:rPr>
              <w:t>:</w:t>
            </w:r>
          </w:p>
          <w:p w14:paraId="7D86E097" w14:textId="19BA2C96" w:rsidR="009E7E35" w:rsidRPr="00154F1D" w:rsidRDefault="00611439" w:rsidP="00E17B07">
            <w:pPr>
              <w:pStyle w:val="ListParagraph"/>
              <w:numPr>
                <w:ilvl w:val="0"/>
                <w:numId w:val="6"/>
              </w:numPr>
              <w:spacing w:before="40" w:afterLines="40" w:after="96"/>
              <w:contextualSpacing w:val="0"/>
              <w:rPr>
                <w:sz w:val="20"/>
                <w:szCs w:val="20"/>
              </w:rPr>
            </w:pPr>
            <w:r w:rsidRPr="00154F1D">
              <w:rPr>
                <w:sz w:val="20"/>
                <w:szCs w:val="20"/>
              </w:rPr>
              <w:t xml:space="preserve">for </w:t>
            </w:r>
            <w:r w:rsidR="008D044D" w:rsidRPr="00154F1D">
              <w:rPr>
                <w:sz w:val="20"/>
                <w:szCs w:val="20"/>
              </w:rPr>
              <w:t>the management of involuntary patients (</w:t>
            </w:r>
            <w:r w:rsidR="00CB4E20" w:rsidRPr="00154F1D">
              <w:rPr>
                <w:sz w:val="20"/>
                <w:szCs w:val="20"/>
              </w:rPr>
              <w:t>includ</w:t>
            </w:r>
            <w:r w:rsidRPr="00154F1D">
              <w:rPr>
                <w:sz w:val="20"/>
                <w:szCs w:val="20"/>
              </w:rPr>
              <w:t>ing</w:t>
            </w:r>
            <w:r w:rsidR="00CB4E20" w:rsidRPr="00154F1D">
              <w:rPr>
                <w:sz w:val="20"/>
                <w:szCs w:val="20"/>
              </w:rPr>
              <w:t xml:space="preserve"> </w:t>
            </w:r>
            <w:r w:rsidR="00D066F6">
              <w:rPr>
                <w:sz w:val="20"/>
                <w:szCs w:val="20"/>
              </w:rPr>
              <w:t>people</w:t>
            </w:r>
            <w:r w:rsidR="00D066F6" w:rsidRPr="00154F1D">
              <w:rPr>
                <w:sz w:val="20"/>
                <w:szCs w:val="20"/>
              </w:rPr>
              <w:t xml:space="preserve"> </w:t>
            </w:r>
            <w:r w:rsidR="005E674C" w:rsidRPr="00154F1D">
              <w:rPr>
                <w:sz w:val="20"/>
                <w:szCs w:val="20"/>
              </w:rPr>
              <w:t>placed on</w:t>
            </w:r>
            <w:r w:rsidR="008D044D" w:rsidRPr="00154F1D">
              <w:rPr>
                <w:sz w:val="20"/>
                <w:szCs w:val="20"/>
              </w:rPr>
              <w:t xml:space="preserve"> a treatment order)</w:t>
            </w:r>
            <w:r w:rsidR="00533270" w:rsidRPr="00154F1D">
              <w:rPr>
                <w:sz w:val="20"/>
                <w:szCs w:val="20"/>
              </w:rPr>
              <w:t>;</w:t>
            </w:r>
          </w:p>
          <w:p w14:paraId="563CC5D3" w14:textId="6D26F633" w:rsidR="00CB4E20" w:rsidRPr="00154F1D" w:rsidRDefault="00611439" w:rsidP="00E17B07">
            <w:pPr>
              <w:pStyle w:val="ListParagraph"/>
              <w:numPr>
                <w:ilvl w:val="0"/>
                <w:numId w:val="6"/>
              </w:numPr>
              <w:spacing w:before="40" w:afterLines="40" w:after="96"/>
              <w:contextualSpacing w:val="0"/>
              <w:rPr>
                <w:sz w:val="20"/>
                <w:szCs w:val="20"/>
              </w:rPr>
            </w:pPr>
            <w:r w:rsidRPr="00154F1D">
              <w:rPr>
                <w:sz w:val="20"/>
                <w:szCs w:val="20"/>
              </w:rPr>
              <w:t xml:space="preserve">for </w:t>
            </w:r>
            <w:r w:rsidR="00CB4E20" w:rsidRPr="00154F1D">
              <w:rPr>
                <w:sz w:val="20"/>
                <w:szCs w:val="20"/>
              </w:rPr>
              <w:t>the management of forensic pa</w:t>
            </w:r>
            <w:r w:rsidR="008D044D" w:rsidRPr="00154F1D">
              <w:rPr>
                <w:sz w:val="20"/>
                <w:szCs w:val="20"/>
              </w:rPr>
              <w:t xml:space="preserve">tients </w:t>
            </w:r>
            <w:r w:rsidR="00CB4E20" w:rsidRPr="00154F1D">
              <w:rPr>
                <w:sz w:val="20"/>
                <w:szCs w:val="20"/>
              </w:rPr>
              <w:t>(includ</w:t>
            </w:r>
            <w:r w:rsidRPr="00154F1D">
              <w:rPr>
                <w:sz w:val="20"/>
                <w:szCs w:val="20"/>
              </w:rPr>
              <w:t>ing</w:t>
            </w:r>
            <w:r w:rsidR="00CB4E20" w:rsidRPr="00154F1D">
              <w:rPr>
                <w:sz w:val="20"/>
                <w:szCs w:val="20"/>
              </w:rPr>
              <w:t xml:space="preserve"> </w:t>
            </w:r>
            <w:r w:rsidR="00D066F6">
              <w:rPr>
                <w:sz w:val="20"/>
                <w:szCs w:val="20"/>
              </w:rPr>
              <w:t xml:space="preserve">people </w:t>
            </w:r>
            <w:r w:rsidR="00CB4E20" w:rsidRPr="00154F1D">
              <w:rPr>
                <w:sz w:val="20"/>
                <w:szCs w:val="20"/>
              </w:rPr>
              <w:t xml:space="preserve">placed on restriction </w:t>
            </w:r>
            <w:r w:rsidR="00B22B52" w:rsidRPr="00154F1D">
              <w:rPr>
                <w:sz w:val="20"/>
                <w:szCs w:val="20"/>
              </w:rPr>
              <w:t xml:space="preserve">and supervision </w:t>
            </w:r>
            <w:r w:rsidR="00CB4E20" w:rsidRPr="00154F1D">
              <w:rPr>
                <w:sz w:val="20"/>
                <w:szCs w:val="20"/>
              </w:rPr>
              <w:t>order</w:t>
            </w:r>
            <w:r w:rsidR="00B22B52" w:rsidRPr="00154F1D">
              <w:rPr>
                <w:sz w:val="20"/>
                <w:szCs w:val="20"/>
              </w:rPr>
              <w:t>s</w:t>
            </w:r>
            <w:r w:rsidR="00CB4E20" w:rsidRPr="00154F1D">
              <w:rPr>
                <w:sz w:val="20"/>
                <w:szCs w:val="20"/>
              </w:rPr>
              <w:t>)</w:t>
            </w:r>
            <w:r w:rsidR="00533270" w:rsidRPr="00154F1D">
              <w:rPr>
                <w:sz w:val="20"/>
                <w:szCs w:val="20"/>
              </w:rPr>
              <w:t>;</w:t>
            </w:r>
          </w:p>
          <w:p w14:paraId="425D1CAF" w14:textId="0934C3BA" w:rsidR="00916E8D" w:rsidRPr="00154F1D" w:rsidRDefault="00611439" w:rsidP="00E17B07">
            <w:pPr>
              <w:pStyle w:val="ListParagraph"/>
              <w:numPr>
                <w:ilvl w:val="0"/>
                <w:numId w:val="6"/>
              </w:numPr>
              <w:spacing w:before="40" w:afterLines="40" w:after="96"/>
              <w:contextualSpacing w:val="0"/>
              <w:rPr>
                <w:sz w:val="20"/>
                <w:szCs w:val="20"/>
              </w:rPr>
            </w:pPr>
            <w:r w:rsidRPr="00154F1D">
              <w:rPr>
                <w:sz w:val="20"/>
                <w:szCs w:val="20"/>
              </w:rPr>
              <w:t>the</w:t>
            </w:r>
            <w:r w:rsidR="00916E8D" w:rsidRPr="00154F1D">
              <w:rPr>
                <w:sz w:val="20"/>
                <w:szCs w:val="20"/>
              </w:rPr>
              <w:t xml:space="preserve"> procedure for </w:t>
            </w:r>
            <w:r w:rsidRPr="00154F1D">
              <w:rPr>
                <w:sz w:val="20"/>
                <w:szCs w:val="20"/>
              </w:rPr>
              <w:t xml:space="preserve">the </w:t>
            </w:r>
            <w:r w:rsidR="00916E8D" w:rsidRPr="00154F1D">
              <w:rPr>
                <w:sz w:val="20"/>
                <w:szCs w:val="20"/>
              </w:rPr>
              <w:t xml:space="preserve">review of orders by </w:t>
            </w:r>
            <w:r w:rsidRPr="00154F1D">
              <w:rPr>
                <w:sz w:val="20"/>
                <w:szCs w:val="20"/>
              </w:rPr>
              <w:t xml:space="preserve">the </w:t>
            </w:r>
            <w:r w:rsidR="00B22B52" w:rsidRPr="00154F1D">
              <w:rPr>
                <w:sz w:val="20"/>
                <w:szCs w:val="20"/>
              </w:rPr>
              <w:t>MHT</w:t>
            </w:r>
            <w:r w:rsidR="00C057E7" w:rsidRPr="00154F1D">
              <w:rPr>
                <w:sz w:val="20"/>
                <w:szCs w:val="20"/>
              </w:rPr>
              <w:t>.</w:t>
            </w:r>
          </w:p>
        </w:tc>
      </w:tr>
      <w:tr w:rsidR="009E7E35" w:rsidRPr="00154F1D" w14:paraId="4F0825D0" w14:textId="77777777" w:rsidTr="00533270">
        <w:tc>
          <w:tcPr>
            <w:tcW w:w="2802" w:type="dxa"/>
          </w:tcPr>
          <w:p w14:paraId="00DC4336" w14:textId="32D667B3" w:rsidR="009E7E35" w:rsidRPr="00154F1D" w:rsidRDefault="0080362B" w:rsidP="00E17B07">
            <w:pPr>
              <w:spacing w:before="40" w:afterLines="40" w:after="96"/>
              <w:rPr>
                <w:sz w:val="20"/>
                <w:szCs w:val="20"/>
              </w:rPr>
            </w:pPr>
            <w:r w:rsidRPr="00154F1D">
              <w:rPr>
                <w:i/>
                <w:sz w:val="20"/>
                <w:szCs w:val="20"/>
              </w:rPr>
              <w:t xml:space="preserve">The </w:t>
            </w:r>
            <w:r w:rsidR="009E7E35" w:rsidRPr="00154F1D">
              <w:rPr>
                <w:i/>
                <w:sz w:val="20"/>
                <w:szCs w:val="20"/>
              </w:rPr>
              <w:t xml:space="preserve">Sentencing Act 1997 </w:t>
            </w:r>
            <w:r w:rsidR="009E7E35" w:rsidRPr="00154F1D">
              <w:rPr>
                <w:sz w:val="20"/>
                <w:szCs w:val="20"/>
              </w:rPr>
              <w:t>(Tas</w:t>
            </w:r>
            <w:r w:rsidR="008B119E" w:rsidRPr="00154F1D">
              <w:rPr>
                <w:sz w:val="20"/>
                <w:szCs w:val="20"/>
              </w:rPr>
              <w:t>)</w:t>
            </w:r>
          </w:p>
        </w:tc>
        <w:tc>
          <w:tcPr>
            <w:tcW w:w="5714" w:type="dxa"/>
          </w:tcPr>
          <w:p w14:paraId="1D0B2145" w14:textId="13D45BEB" w:rsidR="009E7E35" w:rsidRPr="00154F1D" w:rsidRDefault="00611439" w:rsidP="00E17B07">
            <w:pPr>
              <w:pStyle w:val="ListParagraph"/>
              <w:numPr>
                <w:ilvl w:val="0"/>
                <w:numId w:val="7"/>
              </w:numPr>
              <w:spacing w:before="40" w:afterLines="40" w:after="96"/>
              <w:contextualSpacing w:val="0"/>
              <w:rPr>
                <w:sz w:val="20"/>
                <w:szCs w:val="20"/>
              </w:rPr>
            </w:pPr>
            <w:r w:rsidRPr="00154F1D">
              <w:rPr>
                <w:sz w:val="20"/>
                <w:szCs w:val="20"/>
              </w:rPr>
              <w:t xml:space="preserve">contains </w:t>
            </w:r>
            <w:r w:rsidR="00E11C9E" w:rsidRPr="00154F1D">
              <w:rPr>
                <w:sz w:val="20"/>
                <w:szCs w:val="20"/>
              </w:rPr>
              <w:t>the process and criteria for making an assessment order, treatment, supervision and restriction order in respect of offenders found guilty of an offence.</w:t>
            </w:r>
          </w:p>
        </w:tc>
      </w:tr>
    </w:tbl>
    <w:p w14:paraId="12B73169" w14:textId="379EC7FC" w:rsidR="00053A1D" w:rsidRPr="00154F1D" w:rsidRDefault="00414F9D" w:rsidP="00744FAA">
      <w:pPr>
        <w:pStyle w:val="NormalNumberedTextTLRI"/>
      </w:pPr>
      <w:r w:rsidRPr="00154F1D">
        <w:t xml:space="preserve">Some </w:t>
      </w:r>
      <w:r w:rsidR="00D066F6">
        <w:t>individual</w:t>
      </w:r>
      <w:r w:rsidR="00D066F6" w:rsidRPr="00154F1D">
        <w:t xml:space="preserve">s </w:t>
      </w:r>
      <w:r w:rsidRPr="00154F1D">
        <w:t>who have mental heal</w:t>
      </w:r>
      <w:r w:rsidR="005E674C" w:rsidRPr="00154F1D">
        <w:t xml:space="preserve">th and/or cognitive impairments who </w:t>
      </w:r>
      <w:r w:rsidRPr="00154F1D">
        <w:t xml:space="preserve">may </w:t>
      </w:r>
      <w:r w:rsidR="005E674C" w:rsidRPr="00154F1D">
        <w:t>be</w:t>
      </w:r>
      <w:r w:rsidRPr="00154F1D">
        <w:t xml:space="preserve"> </w:t>
      </w:r>
      <w:r w:rsidR="005E674C" w:rsidRPr="00154F1D">
        <w:t>un</w:t>
      </w:r>
      <w:r w:rsidRPr="00154F1D">
        <w:t>fit to stand trial and/or who may be able to rely on the insanity defence</w:t>
      </w:r>
      <w:r w:rsidR="008B119E" w:rsidRPr="00154F1D">
        <w:t xml:space="preserve">, </w:t>
      </w:r>
      <w:r w:rsidR="005E674C" w:rsidRPr="00154F1D">
        <w:t>might</w:t>
      </w:r>
      <w:r w:rsidRPr="00154F1D">
        <w:t xml:space="preserve"> opt instead to participate in the </w:t>
      </w:r>
      <w:r w:rsidR="00F0433A" w:rsidRPr="00154F1D">
        <w:t>Diversion List</w:t>
      </w:r>
      <w:r w:rsidR="00047398" w:rsidRPr="00154F1D">
        <w:t xml:space="preserve"> (if eligible)</w:t>
      </w:r>
      <w:r w:rsidR="00F0433A" w:rsidRPr="00154F1D">
        <w:t>.</w:t>
      </w:r>
      <w:bookmarkStart w:id="45" w:name="_Ref534969682"/>
      <w:r w:rsidR="00F0433A" w:rsidRPr="00154F1D">
        <w:rPr>
          <w:rStyle w:val="FootnoteReference"/>
        </w:rPr>
        <w:footnoteReference w:id="14"/>
      </w:r>
      <w:bookmarkEnd w:id="45"/>
      <w:r w:rsidR="00F0433A" w:rsidRPr="00154F1D">
        <w:t xml:space="preserve"> </w:t>
      </w:r>
      <w:r w:rsidR="00053A1D" w:rsidRPr="00154F1D">
        <w:t xml:space="preserve">An outcome of the Diversion List is to modify and improve court processes to reflect the court’s aspiration to improve access to justice for </w:t>
      </w:r>
      <w:r w:rsidR="00D066F6">
        <w:t>individual</w:t>
      </w:r>
      <w:r w:rsidR="00D066F6" w:rsidRPr="00154F1D">
        <w:t xml:space="preserve">s </w:t>
      </w:r>
      <w:r w:rsidR="00053A1D" w:rsidRPr="00154F1D">
        <w:t>with mental health problems or cognitive disabilities.</w:t>
      </w:r>
      <w:r w:rsidR="00053A1D" w:rsidRPr="00154F1D">
        <w:rPr>
          <w:rStyle w:val="FootnoteReference"/>
        </w:rPr>
        <w:footnoteReference w:id="15"/>
      </w:r>
      <w:r w:rsidR="00053A1D" w:rsidRPr="00154F1D">
        <w:t xml:space="preserve"> While </w:t>
      </w:r>
      <w:r w:rsidR="00D066F6">
        <w:t>a person</w:t>
      </w:r>
      <w:r w:rsidR="00053A1D" w:rsidRPr="00154F1D">
        <w:t xml:space="preserve"> is engaged with the diversion program, a treatment plan is developed</w:t>
      </w:r>
      <w:r w:rsidR="00611439" w:rsidRPr="00154F1D">
        <w:t xml:space="preserve"> for </w:t>
      </w:r>
      <w:r w:rsidR="00D066F6">
        <w:t>them</w:t>
      </w:r>
      <w:r w:rsidR="00053A1D" w:rsidRPr="00154F1D">
        <w:t xml:space="preserve"> and </w:t>
      </w:r>
      <w:r w:rsidR="00D066F6">
        <w:t>their</w:t>
      </w:r>
      <w:r w:rsidR="00053A1D" w:rsidRPr="00154F1D">
        <w:t xml:space="preserve"> compliance </w:t>
      </w:r>
      <w:r w:rsidR="00611439" w:rsidRPr="00154F1D">
        <w:t xml:space="preserve">with that plan </w:t>
      </w:r>
      <w:r w:rsidR="00053A1D" w:rsidRPr="00154F1D">
        <w:t xml:space="preserve">is relevant to the final disposition </w:t>
      </w:r>
      <w:r w:rsidR="00611439" w:rsidRPr="00154F1D">
        <w:t xml:space="preserve">made </w:t>
      </w:r>
      <w:r w:rsidR="00053A1D" w:rsidRPr="00154F1D">
        <w:t xml:space="preserve">by the court. This may include the prosecution withdrawing the charges or the </w:t>
      </w:r>
      <w:r w:rsidR="00D066F6">
        <w:t>person</w:t>
      </w:r>
      <w:r w:rsidR="00D066F6" w:rsidRPr="00154F1D">
        <w:t xml:space="preserve"> </w:t>
      </w:r>
      <w:r w:rsidR="00053A1D" w:rsidRPr="00154F1D">
        <w:t>receiving a lesser sentence tha</w:t>
      </w:r>
      <w:r w:rsidR="00611439" w:rsidRPr="00154F1D">
        <w:t>n</w:t>
      </w:r>
      <w:r w:rsidR="00053A1D" w:rsidRPr="00154F1D">
        <w:t xml:space="preserve"> they would have received if their case had been heard </w:t>
      </w:r>
      <w:r w:rsidR="00611439" w:rsidRPr="00154F1D">
        <w:t>according to</w:t>
      </w:r>
      <w:r w:rsidR="00053A1D" w:rsidRPr="00154F1D">
        <w:t xml:space="preserve"> the ordinary court process.</w:t>
      </w:r>
      <w:bookmarkStart w:id="46" w:name="_Ref534969763"/>
      <w:r w:rsidR="00053A1D" w:rsidRPr="00154F1D">
        <w:rPr>
          <w:rStyle w:val="FootnoteReference"/>
        </w:rPr>
        <w:footnoteReference w:id="16"/>
      </w:r>
      <w:bookmarkEnd w:id="46"/>
      <w:r w:rsidR="00053A1D" w:rsidRPr="00154F1D">
        <w:t xml:space="preserve"> Another aim of the Diversion List is to achieve long-term savings for the court and community by reducing reoffending</w:t>
      </w:r>
      <w:r w:rsidR="00611439" w:rsidRPr="00154F1D">
        <w:t>.</w:t>
      </w:r>
      <w:r w:rsidR="00053A1D" w:rsidRPr="00154F1D">
        <w:t xml:space="preserve"> </w:t>
      </w:r>
      <w:r w:rsidR="00611439" w:rsidRPr="00154F1D">
        <w:t>A concomitant result</w:t>
      </w:r>
      <w:r w:rsidR="00053A1D" w:rsidRPr="00154F1D">
        <w:t xml:space="preserve"> is the reduced number of special hearings under </w:t>
      </w:r>
      <w:r w:rsidR="0088130F" w:rsidRPr="00154F1D">
        <w:t xml:space="preserve">s 15 of </w:t>
      </w:r>
      <w:r w:rsidR="00053A1D" w:rsidRPr="00154F1D">
        <w:t xml:space="preserve">the </w:t>
      </w:r>
      <w:r w:rsidR="00053A1D" w:rsidRPr="00154F1D">
        <w:rPr>
          <w:i/>
        </w:rPr>
        <w:t xml:space="preserve">Criminal Justice (Mental Impairment) Act 1999 </w:t>
      </w:r>
      <w:r w:rsidR="00053A1D" w:rsidRPr="00154F1D">
        <w:t>(Tas).</w:t>
      </w:r>
      <w:r w:rsidR="00053A1D" w:rsidRPr="00154F1D">
        <w:rPr>
          <w:rStyle w:val="FootnoteReference"/>
        </w:rPr>
        <w:footnoteReference w:id="17"/>
      </w:r>
      <w:r w:rsidR="00053A1D" w:rsidRPr="00154F1D">
        <w:t xml:space="preserve"> </w:t>
      </w:r>
      <w:r w:rsidR="00611439" w:rsidRPr="00154F1D">
        <w:t xml:space="preserve">For example, in </w:t>
      </w:r>
      <w:r w:rsidR="00053A1D" w:rsidRPr="00154F1D">
        <w:t xml:space="preserve">an evaluation of the Diversion List conducted in 2009, it was reported that a benefit had been </w:t>
      </w:r>
      <w:r w:rsidR="00611439" w:rsidRPr="00154F1D">
        <w:t xml:space="preserve">a </w:t>
      </w:r>
      <w:r w:rsidR="00053A1D" w:rsidRPr="00154F1D">
        <w:t>decrease in the need for special hearings in the Magistrates Court.</w:t>
      </w:r>
      <w:r w:rsidR="00053A1D" w:rsidRPr="00154F1D">
        <w:rPr>
          <w:rStyle w:val="FootnoteReference"/>
        </w:rPr>
        <w:footnoteReference w:id="18"/>
      </w:r>
    </w:p>
    <w:p w14:paraId="0375BB6C" w14:textId="06F9FBD8" w:rsidR="008B119E" w:rsidRPr="00154F1D" w:rsidRDefault="000A74BC" w:rsidP="00744FAA">
      <w:pPr>
        <w:pStyle w:val="NormalNumberedTextTLRI"/>
      </w:pPr>
      <w:r w:rsidRPr="00154F1D">
        <w:t>A Diversion List has operated in the Magistrates Court in Tasmania since the implementation of a pilot program in Hobart in 2007</w:t>
      </w:r>
      <w:r w:rsidR="005E674C" w:rsidRPr="00154F1D">
        <w:t>. This</w:t>
      </w:r>
      <w:r w:rsidRPr="00154F1D">
        <w:t xml:space="preserve"> has now been expanded to Launceston, Burnie and Devonport. </w:t>
      </w:r>
      <w:r w:rsidR="005E674C" w:rsidRPr="00154F1D">
        <w:t>The Diversion List</w:t>
      </w:r>
      <w:r w:rsidR="00F0433A" w:rsidRPr="00154F1D">
        <w:t xml:space="preserve"> is</w:t>
      </w:r>
      <w:r w:rsidR="00414F9D" w:rsidRPr="00154F1D">
        <w:t xml:space="preserve"> a pre-sentence ‘problem-solving’ approach that </w:t>
      </w:r>
      <w:r w:rsidR="00F0433A" w:rsidRPr="00154F1D">
        <w:t xml:space="preserve">uses the provisions of the </w:t>
      </w:r>
      <w:r w:rsidR="00F0433A" w:rsidRPr="00154F1D">
        <w:rPr>
          <w:i/>
        </w:rPr>
        <w:t xml:space="preserve">Bail Act 1994 </w:t>
      </w:r>
      <w:r w:rsidR="00F0433A" w:rsidRPr="00154F1D">
        <w:t xml:space="preserve">(Tas) and the </w:t>
      </w:r>
      <w:r w:rsidR="00F0433A" w:rsidRPr="00154F1D">
        <w:rPr>
          <w:i/>
        </w:rPr>
        <w:t xml:space="preserve">Sentencing Act 1997 </w:t>
      </w:r>
      <w:r w:rsidR="00F0433A" w:rsidRPr="00154F1D">
        <w:t xml:space="preserve">(Tas) to </w:t>
      </w:r>
      <w:r w:rsidR="00414F9D" w:rsidRPr="00154F1D">
        <w:t xml:space="preserve">divert eligible </w:t>
      </w:r>
      <w:r w:rsidR="00D066F6">
        <w:t>individual</w:t>
      </w:r>
      <w:r w:rsidR="00D066F6" w:rsidRPr="00154F1D">
        <w:t xml:space="preserve">s </w:t>
      </w:r>
      <w:r w:rsidR="00414F9D" w:rsidRPr="00154F1D">
        <w:t xml:space="preserve">to mental health, disability and other welfare services </w:t>
      </w:r>
      <w:r w:rsidR="00611439" w:rsidRPr="00154F1D">
        <w:t xml:space="preserve">in order </w:t>
      </w:r>
      <w:r w:rsidR="00414F9D" w:rsidRPr="00154F1D">
        <w:t>to address the underlying issues of their criminal offending</w:t>
      </w:r>
      <w:r w:rsidR="005E674C" w:rsidRPr="00154F1D">
        <w:t xml:space="preserve"> where they have been charged with summary offences or minor indictable offences that can be tried summarily</w:t>
      </w:r>
      <w:r w:rsidR="00414F9D" w:rsidRPr="00154F1D">
        <w:t>.</w:t>
      </w:r>
      <w:r w:rsidR="00414F9D" w:rsidRPr="00154F1D">
        <w:rPr>
          <w:rStyle w:val="FootnoteReference"/>
        </w:rPr>
        <w:footnoteReference w:id="19"/>
      </w:r>
      <w:r w:rsidR="00414F9D" w:rsidRPr="00154F1D">
        <w:t xml:space="preserve"> </w:t>
      </w:r>
      <w:r w:rsidR="009C0C72" w:rsidRPr="00154F1D">
        <w:t>The Diversion List targets repeat offenders where the nature of the</w:t>
      </w:r>
      <w:r w:rsidR="00611439" w:rsidRPr="00154F1D">
        <w:t>ir</w:t>
      </w:r>
      <w:r w:rsidR="009C0C72" w:rsidRPr="00154F1D">
        <w:t xml:space="preserve"> offending is usually not serious enough </w:t>
      </w:r>
      <w:r w:rsidR="00611439" w:rsidRPr="00154F1D">
        <w:t>to warrant</w:t>
      </w:r>
      <w:r w:rsidR="009C0C72" w:rsidRPr="00154F1D">
        <w:t xml:space="preserve"> a p</w:t>
      </w:r>
      <w:r w:rsidR="00626D51" w:rsidRPr="00154F1D">
        <w:t>rison</w:t>
      </w:r>
      <w:r w:rsidR="009C0C72" w:rsidRPr="00154F1D">
        <w:t xml:space="preserve"> sentence or a community service order.</w:t>
      </w:r>
      <w:r w:rsidR="009C0C72" w:rsidRPr="00154F1D">
        <w:rPr>
          <w:rStyle w:val="FootnoteReference"/>
        </w:rPr>
        <w:footnoteReference w:id="20"/>
      </w:r>
      <w:r w:rsidR="009C0C72" w:rsidRPr="00154F1D">
        <w:t xml:space="preserve"> In 2011, it was reported that an average of 500 Hobart defendants are referred by the court to Forensic Mental Health Court </w:t>
      </w:r>
      <w:r w:rsidR="00626D51" w:rsidRPr="00154F1D">
        <w:t>Liaison</w:t>
      </w:r>
      <w:r w:rsidR="009C0C72" w:rsidRPr="00154F1D">
        <w:t xml:space="preserve"> Officers each year for assessment and as of April 2011, 231 individuals had been referred to the list.</w:t>
      </w:r>
      <w:r w:rsidR="009C0C72" w:rsidRPr="00154F1D">
        <w:rPr>
          <w:rStyle w:val="FootnoteReference"/>
        </w:rPr>
        <w:footnoteReference w:id="21"/>
      </w:r>
    </w:p>
    <w:p w14:paraId="62C928DB" w14:textId="3943BD52" w:rsidR="00E9352A" w:rsidRPr="00154F1D" w:rsidRDefault="00E9352A" w:rsidP="00744FAA">
      <w:pPr>
        <w:pStyle w:val="NormalNumberedTextTLRI"/>
      </w:pPr>
      <w:r w:rsidRPr="00154F1D">
        <w:t xml:space="preserve">In addition, as discussed further in Part 3, a significant proportion of </w:t>
      </w:r>
      <w:r w:rsidR="00762DA9">
        <w:t>defendant</w:t>
      </w:r>
      <w:r w:rsidR="00D066F6">
        <w:t>s</w:t>
      </w:r>
      <w:r w:rsidR="00D066F6" w:rsidRPr="00154F1D">
        <w:t xml:space="preserve"> </w:t>
      </w:r>
      <w:r w:rsidRPr="00154F1D">
        <w:t>have mental and/or cognitive impairments, and</w:t>
      </w:r>
      <w:r w:rsidR="00184B2C">
        <w:t>,</w:t>
      </w:r>
      <w:r w:rsidRPr="00154F1D">
        <w:t xml:space="preserve"> as noted, only a small number of </w:t>
      </w:r>
      <w:r w:rsidR="00626D51" w:rsidRPr="00154F1D">
        <w:t xml:space="preserve">such </w:t>
      </w:r>
      <w:r w:rsidR="00D066F6">
        <w:t xml:space="preserve">people </w:t>
      </w:r>
      <w:r w:rsidRPr="00154F1D">
        <w:t xml:space="preserve">rely on </w:t>
      </w:r>
      <w:r w:rsidR="00626D51" w:rsidRPr="00154F1D">
        <w:t xml:space="preserve">unfitness to stand trial and/or </w:t>
      </w:r>
      <w:r w:rsidR="004929F7" w:rsidRPr="00154F1D">
        <w:t>th</w:t>
      </w:r>
      <w:r w:rsidR="00EB19C0" w:rsidRPr="00154F1D">
        <w:t>e</w:t>
      </w:r>
      <w:r w:rsidR="004929F7" w:rsidRPr="00154F1D">
        <w:t xml:space="preserve"> defence of </w:t>
      </w:r>
      <w:r w:rsidR="00626D51" w:rsidRPr="00154F1D">
        <w:t>insanity</w:t>
      </w:r>
      <w:r w:rsidRPr="00154F1D">
        <w:t xml:space="preserve">. </w:t>
      </w:r>
      <w:r w:rsidR="00626D51" w:rsidRPr="00154F1D">
        <w:t xml:space="preserve">Many more </w:t>
      </w:r>
      <w:r w:rsidR="00D066F6">
        <w:t>people</w:t>
      </w:r>
      <w:r w:rsidR="00D066F6" w:rsidRPr="00154F1D">
        <w:t xml:space="preserve"> </w:t>
      </w:r>
      <w:r w:rsidR="00626D51" w:rsidRPr="00154F1D">
        <w:t xml:space="preserve">with mental and/or cognitive impairments do not rely on the unfitness procedure or the insanity defence and instead enter a plea of guilty and/or are found guilty following a trial. Accordingly, in understanding the operation of the criminal justice system in relation to </w:t>
      </w:r>
      <w:r w:rsidR="008F0CC0">
        <w:t>people</w:t>
      </w:r>
      <w:r w:rsidR="008F0CC0" w:rsidRPr="00154F1D">
        <w:t xml:space="preserve"> </w:t>
      </w:r>
      <w:r w:rsidR="00626D51" w:rsidRPr="00154F1D">
        <w:t xml:space="preserve">with mental and/or cognitive impairments, it is important to understand the role of impairment as a sentencing factor. This is discussed at </w:t>
      </w:r>
      <w:r w:rsidR="00C90E35" w:rsidRPr="00154F1D">
        <w:t>[3.3]</w:t>
      </w:r>
      <w:r w:rsidR="00626D51" w:rsidRPr="00154F1D">
        <w:t>.</w:t>
      </w:r>
    </w:p>
    <w:p w14:paraId="13F40D08" w14:textId="3D44BCC7" w:rsidR="00BE2A05" w:rsidRPr="00154F1D" w:rsidRDefault="00BE2A05" w:rsidP="00D80045">
      <w:pPr>
        <w:pStyle w:val="NumberedHeadingTLRI"/>
      </w:pPr>
      <w:bookmarkStart w:id="47" w:name="_Toc535868911"/>
      <w:r w:rsidRPr="00154F1D">
        <w:t>Understanding fitness to stand trial and</w:t>
      </w:r>
      <w:r w:rsidR="00791E8A" w:rsidRPr="00154F1D">
        <w:t xml:space="preserve"> the defence of</w:t>
      </w:r>
      <w:r w:rsidRPr="00154F1D">
        <w:t xml:space="preserve"> insanity</w:t>
      </w:r>
      <w:bookmarkEnd w:id="47"/>
    </w:p>
    <w:p w14:paraId="5BAAD435" w14:textId="0256E287" w:rsidR="00FF2B5D" w:rsidRPr="00154F1D" w:rsidRDefault="001C31FF" w:rsidP="00744FAA">
      <w:pPr>
        <w:pStyle w:val="NormalNumberedTextTLRI"/>
      </w:pPr>
      <w:r w:rsidRPr="00154F1D">
        <w:t xml:space="preserve">Although there </w:t>
      </w:r>
      <w:r w:rsidR="008F22E7" w:rsidRPr="00154F1D">
        <w:t xml:space="preserve">may be an </w:t>
      </w:r>
      <w:r w:rsidRPr="00154F1D">
        <w:t xml:space="preserve">overlap </w:t>
      </w:r>
      <w:r w:rsidR="00FF2B5D" w:rsidRPr="00154F1D">
        <w:t>in</w:t>
      </w:r>
      <w:r w:rsidRPr="00154F1D">
        <w:t xml:space="preserve"> the conditions that give rise to a finding that an </w:t>
      </w:r>
      <w:r w:rsidR="00D066F6">
        <w:t>individual</w:t>
      </w:r>
      <w:r w:rsidR="00D066F6" w:rsidRPr="00154F1D">
        <w:t xml:space="preserve"> </w:t>
      </w:r>
      <w:r w:rsidRPr="00154F1D">
        <w:t xml:space="preserve">is unfit to stand trial and a finding that an </w:t>
      </w:r>
      <w:r w:rsidR="00D066F6">
        <w:t>individual</w:t>
      </w:r>
      <w:r w:rsidR="00D066F6" w:rsidRPr="00154F1D">
        <w:t xml:space="preserve"> </w:t>
      </w:r>
      <w:r w:rsidRPr="00154F1D">
        <w:t>is not g</w:t>
      </w:r>
      <w:r w:rsidR="008F22E7" w:rsidRPr="00154F1D">
        <w:t>uilty by reason of insanity, the scope of their</w:t>
      </w:r>
      <w:r w:rsidRPr="00154F1D">
        <w:t xml:space="preserve"> </w:t>
      </w:r>
      <w:r w:rsidR="008F22E7" w:rsidRPr="00154F1D">
        <w:t>operation and the</w:t>
      </w:r>
      <w:r w:rsidR="00FF2B5D" w:rsidRPr="00154F1D">
        <w:t>ir</w:t>
      </w:r>
      <w:r w:rsidR="008F22E7" w:rsidRPr="00154F1D">
        <w:t xml:space="preserve"> </w:t>
      </w:r>
      <w:r w:rsidRPr="00154F1D">
        <w:t xml:space="preserve">legal </w:t>
      </w:r>
      <w:r w:rsidR="008F22E7" w:rsidRPr="00154F1D">
        <w:t>requirements</w:t>
      </w:r>
      <w:r w:rsidRPr="00154F1D">
        <w:t xml:space="preserve"> are different. </w:t>
      </w:r>
    </w:p>
    <w:p w14:paraId="44DD1B00" w14:textId="13866782" w:rsidR="00053A1D" w:rsidRPr="00154F1D" w:rsidRDefault="00053A1D" w:rsidP="00DF349D">
      <w:pPr>
        <w:pStyle w:val="Sub-HeadingTLRI"/>
        <w:outlineLvl w:val="0"/>
      </w:pPr>
      <w:bookmarkStart w:id="48" w:name="_Toc535868912"/>
      <w:r w:rsidRPr="00154F1D">
        <w:t>The difference between insanity and fitness to stand trial</w:t>
      </w:r>
      <w:bookmarkEnd w:id="48"/>
    </w:p>
    <w:p w14:paraId="3503F85D" w14:textId="674AD99F" w:rsidR="003263A0" w:rsidRPr="00154F1D" w:rsidRDefault="005650F9" w:rsidP="00744FAA">
      <w:pPr>
        <w:pStyle w:val="NormalNumberedTextTLRI"/>
      </w:pPr>
      <w:r w:rsidRPr="00154F1D">
        <w:t>As shown in Table 2.1</w:t>
      </w:r>
      <w:r w:rsidR="00D25C96" w:rsidRPr="00154F1D">
        <w:t xml:space="preserve"> below</w:t>
      </w:r>
      <w:r w:rsidRPr="00154F1D">
        <w:t xml:space="preserve">, fitness to stand trial is a </w:t>
      </w:r>
      <w:r w:rsidRPr="00154F1D">
        <w:rPr>
          <w:i/>
        </w:rPr>
        <w:t>procedural</w:t>
      </w:r>
      <w:r w:rsidRPr="00154F1D">
        <w:t xml:space="preserve"> provision that relates to the issue of whether the accused has the ability to understand or participate in </w:t>
      </w:r>
      <w:r w:rsidR="00053A1D" w:rsidRPr="00154F1D">
        <w:t>his or her</w:t>
      </w:r>
      <w:r w:rsidRPr="00154F1D">
        <w:t xml:space="preserve"> trial.</w:t>
      </w:r>
      <w:r w:rsidRPr="00154F1D">
        <w:rPr>
          <w:rStyle w:val="FootnoteReference"/>
        </w:rPr>
        <w:footnoteReference w:id="22"/>
      </w:r>
      <w:r w:rsidRPr="00154F1D">
        <w:t xml:space="preserve"> It is concerned with the </w:t>
      </w:r>
      <w:r w:rsidR="00D066F6">
        <w:t>accused</w:t>
      </w:r>
      <w:r w:rsidR="00D066F6" w:rsidRPr="00154F1D">
        <w:t xml:space="preserve">’s </w:t>
      </w:r>
      <w:r w:rsidRPr="00154F1D">
        <w:t xml:space="preserve">capacity at the </w:t>
      </w:r>
      <w:r w:rsidRPr="00154F1D">
        <w:rPr>
          <w:i/>
        </w:rPr>
        <w:t>time of the trial</w:t>
      </w:r>
      <w:r w:rsidRPr="00154F1D">
        <w:t xml:space="preserve">. </w:t>
      </w:r>
      <w:r w:rsidR="001C31FF" w:rsidRPr="00154F1D">
        <w:t xml:space="preserve">It applies </w:t>
      </w:r>
      <w:r w:rsidR="00B830E9" w:rsidRPr="00154F1D">
        <w:t>where a</w:t>
      </w:r>
      <w:r w:rsidR="001C31FF" w:rsidRPr="00154F1D">
        <w:t xml:space="preserve"> person’s mental processes are disordered or impaired</w:t>
      </w:r>
      <w:r w:rsidR="00D25C96" w:rsidRPr="00154F1D">
        <w:t>,</w:t>
      </w:r>
      <w:r w:rsidR="001C31FF" w:rsidRPr="00154F1D">
        <w:t xml:space="preserve"> or </w:t>
      </w:r>
      <w:r w:rsidR="00D25C96" w:rsidRPr="00154F1D">
        <w:t xml:space="preserve">if </w:t>
      </w:r>
      <w:r w:rsidR="001C31FF" w:rsidRPr="00154F1D">
        <w:t xml:space="preserve">for any other reason the person is </w:t>
      </w:r>
      <w:r w:rsidR="00B830E9" w:rsidRPr="00154F1D">
        <w:t>unable to understand court processes and make a defence to the charge</w:t>
      </w:r>
      <w:r w:rsidR="001C31FF" w:rsidRPr="00154F1D">
        <w:t>.</w:t>
      </w:r>
      <w:bookmarkStart w:id="49" w:name="_Ref535347210"/>
      <w:r w:rsidR="001C31FF" w:rsidRPr="00154F1D">
        <w:rPr>
          <w:rStyle w:val="FootnoteReference"/>
        </w:rPr>
        <w:footnoteReference w:id="23"/>
      </w:r>
      <w:bookmarkEnd w:id="49"/>
      <w:r w:rsidR="001C31FF" w:rsidRPr="00154F1D">
        <w:t xml:space="preserve"> </w:t>
      </w:r>
    </w:p>
    <w:p w14:paraId="38E865A0" w14:textId="6B9704AC" w:rsidR="00B604E3" w:rsidRPr="00154F1D" w:rsidRDefault="00B604E3" w:rsidP="00AF4DDC">
      <w:pPr>
        <w:pStyle w:val="NormalNumberedTextTLRI"/>
        <w:numPr>
          <w:ilvl w:val="0"/>
          <w:numId w:val="0"/>
        </w:numPr>
        <w:pBdr>
          <w:top w:val="single" w:sz="2" w:space="1" w:color="auto"/>
          <w:left w:val="single" w:sz="2" w:space="1" w:color="auto"/>
          <w:bottom w:val="single" w:sz="2" w:space="1" w:color="auto"/>
          <w:right w:val="single" w:sz="2" w:space="1" w:color="auto"/>
        </w:pBdr>
        <w:ind w:left="57" w:right="57"/>
      </w:pPr>
      <w:r w:rsidRPr="00154F1D">
        <w:t>Case example</w:t>
      </w:r>
      <w:r w:rsidR="00EB19C0" w:rsidRPr="00154F1D">
        <w:t xml:space="preserve"> (unfit but no issue of insanity)</w:t>
      </w:r>
    </w:p>
    <w:p w14:paraId="38B71623" w14:textId="0E2CC5E8" w:rsidR="0031718F" w:rsidRPr="00154F1D" w:rsidRDefault="00BD1F51" w:rsidP="00AF4DDC">
      <w:pPr>
        <w:pStyle w:val="NormalNumberedTextTLRI"/>
        <w:numPr>
          <w:ilvl w:val="0"/>
          <w:numId w:val="0"/>
        </w:numPr>
        <w:pBdr>
          <w:top w:val="single" w:sz="2" w:space="1" w:color="auto"/>
          <w:left w:val="single" w:sz="2" w:space="1" w:color="auto"/>
          <w:bottom w:val="single" w:sz="2" w:space="1" w:color="auto"/>
          <w:right w:val="single" w:sz="2" w:space="1" w:color="auto"/>
        </w:pBdr>
        <w:ind w:left="57" w:right="57"/>
      </w:pPr>
      <w:r w:rsidRPr="00154F1D">
        <w:t>D was found unfit to stand trial for offences of arson and attempted arson</w:t>
      </w:r>
      <w:r w:rsidR="009123F6" w:rsidRPr="00154F1D">
        <w:t xml:space="preserve"> by agreement of the prosecution and defence</w:t>
      </w:r>
      <w:r w:rsidRPr="00154F1D">
        <w:t xml:space="preserve">. </w:t>
      </w:r>
      <w:r w:rsidR="009123F6" w:rsidRPr="00154F1D">
        <w:t xml:space="preserve">D has Alzheimer’s disease. </w:t>
      </w:r>
      <w:r w:rsidRPr="00154F1D">
        <w:t>Following a special hearing conducted before a jury, the jury returned a verdict that they were unable to find D not guilty.</w:t>
      </w:r>
      <w:r w:rsidR="009123F6" w:rsidRPr="00154F1D">
        <w:t xml:space="preserve"> D was released unconditionally.</w:t>
      </w:r>
    </w:p>
    <w:p w14:paraId="7236B503" w14:textId="04A6B6B2" w:rsidR="003263A0" w:rsidRPr="00154F1D" w:rsidRDefault="005650F9" w:rsidP="00744FAA">
      <w:pPr>
        <w:pStyle w:val="NormalNumberedTextTLRI"/>
      </w:pPr>
      <w:r w:rsidRPr="00154F1D">
        <w:t xml:space="preserve">In contrast, insanity is a matter of </w:t>
      </w:r>
      <w:r w:rsidRPr="00154F1D">
        <w:rPr>
          <w:i/>
        </w:rPr>
        <w:t>substantive</w:t>
      </w:r>
      <w:r w:rsidRPr="00154F1D">
        <w:t xml:space="preserve"> </w:t>
      </w:r>
      <w:r w:rsidRPr="00154F1D">
        <w:rPr>
          <w:i/>
        </w:rPr>
        <w:t>law</w:t>
      </w:r>
      <w:r w:rsidRPr="00154F1D">
        <w:t xml:space="preserve"> involving the determination of a whether an </w:t>
      </w:r>
      <w:r w:rsidR="00D066F6">
        <w:t>accused</w:t>
      </w:r>
      <w:r w:rsidR="00D066F6" w:rsidRPr="00154F1D">
        <w:t xml:space="preserve"> </w:t>
      </w:r>
      <w:r w:rsidRPr="00154F1D">
        <w:t xml:space="preserve">should not be held criminally responsible on the ground that </w:t>
      </w:r>
      <w:r w:rsidR="004A4294" w:rsidRPr="00154F1D">
        <w:t xml:space="preserve">he or she </w:t>
      </w:r>
      <w:r w:rsidRPr="00154F1D">
        <w:t>lacked the mental capacity to commit the offence.</w:t>
      </w:r>
      <w:bookmarkStart w:id="50" w:name="_Ref534978514"/>
      <w:r w:rsidRPr="00154F1D">
        <w:rPr>
          <w:rStyle w:val="FootnoteReference"/>
        </w:rPr>
        <w:footnoteReference w:id="24"/>
      </w:r>
      <w:bookmarkEnd w:id="50"/>
      <w:r w:rsidRPr="00154F1D">
        <w:t xml:space="preserve"> Insanity is concerned with an </w:t>
      </w:r>
      <w:r w:rsidR="00D066F6">
        <w:t>accused</w:t>
      </w:r>
      <w:r w:rsidR="00D066F6" w:rsidRPr="00154F1D">
        <w:t xml:space="preserve">’s </w:t>
      </w:r>
      <w:r w:rsidRPr="00154F1D">
        <w:t xml:space="preserve">capacity at the </w:t>
      </w:r>
      <w:r w:rsidRPr="00154F1D">
        <w:rPr>
          <w:i/>
        </w:rPr>
        <w:t>time of the offence</w:t>
      </w:r>
      <w:r w:rsidRPr="00154F1D">
        <w:t xml:space="preserve">. </w:t>
      </w:r>
      <w:r w:rsidR="001C31FF" w:rsidRPr="00154F1D">
        <w:t>In order to rely on the insanity defence</w:t>
      </w:r>
      <w:r w:rsidR="00B830E9" w:rsidRPr="00154F1D">
        <w:t xml:space="preserve">, </w:t>
      </w:r>
      <w:r w:rsidR="00B4114D" w:rsidRPr="00154F1D">
        <w:t xml:space="preserve">the </w:t>
      </w:r>
      <w:r w:rsidR="00D066F6">
        <w:t>accused</w:t>
      </w:r>
      <w:r w:rsidR="00B4114D" w:rsidRPr="00154F1D">
        <w:t xml:space="preserve"> </w:t>
      </w:r>
      <w:r w:rsidR="008308C0" w:rsidRPr="00154F1D">
        <w:t xml:space="preserve">must have a mental disease (which includes natural imbecility) such that the </w:t>
      </w:r>
      <w:r w:rsidR="00D066F6">
        <w:t>person</w:t>
      </w:r>
      <w:r w:rsidR="00D066F6" w:rsidRPr="00154F1D">
        <w:t xml:space="preserve"> </w:t>
      </w:r>
      <w:r w:rsidR="008308C0" w:rsidRPr="00154F1D">
        <w:t xml:space="preserve">lacked the capacity to understand the physical character of the act or know that the act was one which he or she ought not do, or, by reason of the mental disease, the </w:t>
      </w:r>
      <w:r w:rsidR="00D066F6">
        <w:t>person</w:t>
      </w:r>
      <w:r w:rsidR="00D066F6" w:rsidRPr="00154F1D">
        <w:t xml:space="preserve"> </w:t>
      </w:r>
      <w:r w:rsidR="008308C0" w:rsidRPr="00154F1D">
        <w:t>was deprived o</w:t>
      </w:r>
      <w:r w:rsidR="004A4294" w:rsidRPr="00154F1D">
        <w:t>f the</w:t>
      </w:r>
      <w:r w:rsidR="008308C0" w:rsidRPr="00154F1D">
        <w:t xml:space="preserve"> power to resist an impulse.</w:t>
      </w:r>
      <w:r w:rsidR="008308C0" w:rsidRPr="00154F1D">
        <w:rPr>
          <w:rStyle w:val="FootnoteReference"/>
        </w:rPr>
        <w:footnoteReference w:id="25"/>
      </w:r>
    </w:p>
    <w:p w14:paraId="2369C0CC" w14:textId="0FC5F185" w:rsidR="00427C21" w:rsidRPr="004B5E9F" w:rsidRDefault="00427C21" w:rsidP="00161F81">
      <w:pPr>
        <w:pStyle w:val="NormalNumberedTextTLRI"/>
        <w:numPr>
          <w:ilvl w:val="0"/>
          <w:numId w:val="0"/>
        </w:numPr>
        <w:pBdr>
          <w:top w:val="single" w:sz="2" w:space="1" w:color="auto"/>
          <w:left w:val="single" w:sz="2" w:space="1" w:color="auto"/>
          <w:bottom w:val="single" w:sz="2" w:space="1" w:color="auto"/>
          <w:right w:val="single" w:sz="2" w:space="1" w:color="auto"/>
        </w:pBdr>
        <w:ind w:left="57" w:right="57"/>
      </w:pPr>
      <w:r w:rsidRPr="004B5E9F">
        <w:t>Case example</w:t>
      </w:r>
      <w:r w:rsidR="00EB19C0" w:rsidRPr="004B5E9F">
        <w:t xml:space="preserve"> (no issue of fitness but insanity)</w:t>
      </w:r>
    </w:p>
    <w:p w14:paraId="7B6DD5F1" w14:textId="5049F62F" w:rsidR="00427C21" w:rsidRPr="00154F1D" w:rsidRDefault="00427C21" w:rsidP="00161F81">
      <w:pPr>
        <w:pStyle w:val="NormalNumberedTextTLRI"/>
        <w:numPr>
          <w:ilvl w:val="0"/>
          <w:numId w:val="0"/>
        </w:numPr>
        <w:pBdr>
          <w:top w:val="single" w:sz="2" w:space="1" w:color="auto"/>
          <w:left w:val="single" w:sz="2" w:space="1" w:color="auto"/>
          <w:bottom w:val="single" w:sz="2" w:space="1" w:color="auto"/>
          <w:right w:val="single" w:sz="2" w:space="1" w:color="auto"/>
        </w:pBdr>
        <w:ind w:left="57" w:right="57"/>
      </w:pPr>
      <w:r w:rsidRPr="00154F1D">
        <w:t>D was charged with murder. He</w:t>
      </w:r>
      <w:r w:rsidR="00C02FBC" w:rsidRPr="00154F1D">
        <w:t xml:space="preserve"> </w:t>
      </w:r>
      <w:r w:rsidRPr="00154F1D">
        <w:t>suffered from schizophrenia or a schizophrenic condition which resulted in an acute psychosis. Expert evidence was given that this disorder deprived him of the capacity to know the acts were one</w:t>
      </w:r>
      <w:r w:rsidR="004A4294" w:rsidRPr="00154F1D">
        <w:t>s</w:t>
      </w:r>
      <w:r w:rsidRPr="00154F1D">
        <w:t xml:space="preserve"> which he ought not to do. Following a jury trial, D was found not guilty by reason of insanity. D was detained in a secure mental health unit under a restriction order.</w:t>
      </w:r>
    </w:p>
    <w:p w14:paraId="7F934183" w14:textId="158593E1" w:rsidR="005650F9" w:rsidRPr="00154F1D" w:rsidRDefault="001C31FF" w:rsidP="00744FAA">
      <w:pPr>
        <w:pStyle w:val="NormalNumberedTextTLRI"/>
      </w:pPr>
      <w:r w:rsidRPr="00154F1D">
        <w:t xml:space="preserve">Consequently, an </w:t>
      </w:r>
      <w:r w:rsidR="00D066F6">
        <w:t>accused</w:t>
      </w:r>
      <w:r w:rsidR="00D066F6" w:rsidRPr="00154F1D">
        <w:t xml:space="preserve"> </w:t>
      </w:r>
      <w:r w:rsidRPr="00154F1D">
        <w:t>may be unfit</w:t>
      </w:r>
      <w:r w:rsidR="001E6B93" w:rsidRPr="00154F1D">
        <w:t xml:space="preserve"> to stand trial but not insane </w:t>
      </w:r>
      <w:r w:rsidRPr="00154F1D">
        <w:t>for the p</w:t>
      </w:r>
      <w:r w:rsidR="001E6B93" w:rsidRPr="00154F1D">
        <w:t xml:space="preserve">urposes of the insanity defence </w:t>
      </w:r>
      <w:r w:rsidRPr="00154F1D">
        <w:t>or</w:t>
      </w:r>
      <w:r w:rsidR="00B830E9" w:rsidRPr="00154F1D">
        <w:t xml:space="preserve"> </w:t>
      </w:r>
      <w:r w:rsidRPr="00154F1D">
        <w:t>fit to stand trial but insane</w:t>
      </w:r>
      <w:r w:rsidR="001E6B93" w:rsidRPr="00154F1D">
        <w:t xml:space="preserve"> </w:t>
      </w:r>
      <w:r w:rsidR="00B830E9" w:rsidRPr="00154F1D">
        <w:t>or unfit and insane</w:t>
      </w:r>
      <w:r w:rsidRPr="00154F1D">
        <w:t>.</w:t>
      </w:r>
    </w:p>
    <w:p w14:paraId="67979EE4" w14:textId="176CE6E8" w:rsidR="009123F6" w:rsidRPr="00154F1D" w:rsidRDefault="009123F6" w:rsidP="00B90EFB">
      <w:pPr>
        <w:pStyle w:val="NormalNumberedTextTLRI"/>
        <w:numPr>
          <w:ilvl w:val="0"/>
          <w:numId w:val="0"/>
        </w:numPr>
        <w:pBdr>
          <w:top w:val="single" w:sz="2" w:space="1" w:color="auto"/>
          <w:left w:val="single" w:sz="2" w:space="1" w:color="auto"/>
          <w:bottom w:val="single" w:sz="2" w:space="1" w:color="auto"/>
          <w:right w:val="single" w:sz="2" w:space="1" w:color="auto"/>
        </w:pBdr>
        <w:ind w:left="57" w:right="57"/>
      </w:pPr>
      <w:r w:rsidRPr="00154F1D">
        <w:t>Case example</w:t>
      </w:r>
      <w:r w:rsidR="00EB19C0" w:rsidRPr="00154F1D">
        <w:t xml:space="preserve"> (unfit and insanity)</w:t>
      </w:r>
    </w:p>
    <w:p w14:paraId="26D57A79" w14:textId="38011EB4" w:rsidR="009123F6" w:rsidRPr="00154F1D" w:rsidRDefault="009123F6" w:rsidP="00B90EFB">
      <w:pPr>
        <w:pStyle w:val="NormalNumberedTextTLRI"/>
        <w:numPr>
          <w:ilvl w:val="0"/>
          <w:numId w:val="0"/>
        </w:numPr>
        <w:pBdr>
          <w:top w:val="single" w:sz="2" w:space="1" w:color="auto"/>
          <w:left w:val="single" w:sz="2" w:space="1" w:color="auto"/>
          <w:bottom w:val="single" w:sz="2" w:space="1" w:color="auto"/>
          <w:right w:val="single" w:sz="2" w:space="1" w:color="auto"/>
        </w:pBdr>
        <w:ind w:left="57" w:right="57"/>
      </w:pPr>
      <w:r w:rsidRPr="00154F1D">
        <w:t>D was charged with assaulting a police officer. D suffered from severe schizophrenia. Following a finding that D was unfit to stand trial, at the special hearing, the jury found that D was not guilty on the grounds of insanity</w:t>
      </w:r>
      <w:r w:rsidR="00870587" w:rsidRPr="00154F1D">
        <w:t xml:space="preserve"> </w:t>
      </w:r>
      <w:r w:rsidR="004A4294" w:rsidRPr="00154F1D">
        <w:t xml:space="preserve">because </w:t>
      </w:r>
      <w:r w:rsidR="00870587" w:rsidRPr="00154F1D">
        <w:t xml:space="preserve">D was incapable of knowing that his acts were ones he ought not to do. </w:t>
      </w:r>
      <w:r w:rsidRPr="00154F1D">
        <w:t>D was detained in a secure mental health unit under a restriction order.</w:t>
      </w:r>
    </w:p>
    <w:p w14:paraId="06E2D0C4" w14:textId="4F45405D" w:rsidR="002C1F1C" w:rsidRPr="00154F1D" w:rsidRDefault="002C1F1C" w:rsidP="00A3502A">
      <w:pPr>
        <w:pStyle w:val="NormalNumberedTextTLRI"/>
        <w:numPr>
          <w:ilvl w:val="0"/>
          <w:numId w:val="0"/>
        </w:numPr>
        <w:spacing w:after="40"/>
      </w:pPr>
      <w:r w:rsidRPr="00154F1D">
        <w:rPr>
          <w:b/>
        </w:rPr>
        <w:t>Table 2.1: Process and timing of determining unfitness to stand trial and the insanity defence</w:t>
      </w:r>
      <w:bookmarkStart w:id="51" w:name="_Ref534979326"/>
      <w:r w:rsidRPr="00154F1D">
        <w:rPr>
          <w:rStyle w:val="FootnoteReference"/>
        </w:rPr>
        <w:footnoteReference w:id="26"/>
      </w:r>
      <w:bookmarkEnd w:id="51"/>
    </w:p>
    <w:tbl>
      <w:tblPr>
        <w:tblStyle w:val="TableGrid"/>
        <w:tblW w:w="83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13"/>
        <w:gridCol w:w="3473"/>
        <w:gridCol w:w="3473"/>
      </w:tblGrid>
      <w:tr w:rsidR="002C1F1C" w:rsidRPr="00154F1D" w14:paraId="6F547CAF" w14:textId="77777777" w:rsidTr="000E450B">
        <w:tc>
          <w:tcPr>
            <w:tcW w:w="1413" w:type="dxa"/>
            <w:shd w:val="clear" w:color="auto" w:fill="CCCCCC"/>
            <w:vAlign w:val="center"/>
          </w:tcPr>
          <w:p w14:paraId="466FAFDE" w14:textId="77777777" w:rsidR="002C1F1C" w:rsidRPr="00154F1D" w:rsidRDefault="002C1F1C" w:rsidP="00B90EFB">
            <w:pPr>
              <w:spacing w:before="40" w:after="40"/>
              <w:jc w:val="center"/>
              <w:rPr>
                <w:sz w:val="20"/>
                <w:szCs w:val="20"/>
              </w:rPr>
            </w:pPr>
          </w:p>
        </w:tc>
        <w:tc>
          <w:tcPr>
            <w:tcW w:w="3473" w:type="dxa"/>
            <w:shd w:val="clear" w:color="auto" w:fill="CCCCCC"/>
            <w:vAlign w:val="center"/>
          </w:tcPr>
          <w:p w14:paraId="45BAA81F" w14:textId="2EAE6424" w:rsidR="002C1F1C" w:rsidRPr="00154F1D" w:rsidRDefault="008F22E7" w:rsidP="00B90EFB">
            <w:pPr>
              <w:spacing w:before="40" w:after="40"/>
              <w:jc w:val="center"/>
              <w:rPr>
                <w:b/>
                <w:sz w:val="20"/>
                <w:szCs w:val="20"/>
              </w:rPr>
            </w:pPr>
            <w:r w:rsidRPr="00154F1D">
              <w:rPr>
                <w:b/>
                <w:sz w:val="20"/>
                <w:szCs w:val="20"/>
              </w:rPr>
              <w:t>Unfitness to stand trial</w:t>
            </w:r>
          </w:p>
        </w:tc>
        <w:tc>
          <w:tcPr>
            <w:tcW w:w="3473" w:type="dxa"/>
            <w:shd w:val="clear" w:color="auto" w:fill="CCCCCC"/>
            <w:vAlign w:val="center"/>
          </w:tcPr>
          <w:p w14:paraId="24D08A40" w14:textId="5993995C" w:rsidR="002C1F1C" w:rsidRPr="00154F1D" w:rsidRDefault="008F22E7" w:rsidP="00B90EFB">
            <w:pPr>
              <w:spacing w:before="40" w:after="40"/>
              <w:jc w:val="center"/>
              <w:rPr>
                <w:b/>
                <w:sz w:val="20"/>
                <w:szCs w:val="20"/>
              </w:rPr>
            </w:pPr>
            <w:r w:rsidRPr="00154F1D">
              <w:rPr>
                <w:b/>
                <w:sz w:val="20"/>
                <w:szCs w:val="20"/>
              </w:rPr>
              <w:t>Insanity</w:t>
            </w:r>
          </w:p>
        </w:tc>
      </w:tr>
      <w:tr w:rsidR="002C1F1C" w:rsidRPr="00154F1D" w14:paraId="52598409" w14:textId="77777777" w:rsidTr="000E450B">
        <w:trPr>
          <w:trHeight w:val="661"/>
        </w:trPr>
        <w:tc>
          <w:tcPr>
            <w:tcW w:w="1413" w:type="dxa"/>
            <w:shd w:val="clear" w:color="auto" w:fill="CCCCCC"/>
            <w:vAlign w:val="center"/>
          </w:tcPr>
          <w:p w14:paraId="174031B3" w14:textId="77777777" w:rsidR="002C1F1C" w:rsidRPr="00154F1D" w:rsidRDefault="002C1F1C" w:rsidP="00B90EFB">
            <w:pPr>
              <w:spacing w:before="40" w:after="40"/>
              <w:jc w:val="center"/>
              <w:rPr>
                <w:b/>
                <w:sz w:val="20"/>
                <w:szCs w:val="20"/>
              </w:rPr>
            </w:pPr>
            <w:r w:rsidRPr="00154F1D">
              <w:rPr>
                <w:b/>
                <w:sz w:val="20"/>
                <w:szCs w:val="20"/>
              </w:rPr>
              <w:t>Issue to be determined</w:t>
            </w:r>
          </w:p>
        </w:tc>
        <w:tc>
          <w:tcPr>
            <w:tcW w:w="3473" w:type="dxa"/>
            <w:vAlign w:val="center"/>
          </w:tcPr>
          <w:p w14:paraId="14BF57B4" w14:textId="77777777" w:rsidR="002C1F1C" w:rsidRPr="00154F1D" w:rsidRDefault="002C1F1C" w:rsidP="00B90EFB">
            <w:pPr>
              <w:spacing w:before="40" w:after="40"/>
              <w:jc w:val="center"/>
              <w:rPr>
                <w:sz w:val="20"/>
                <w:szCs w:val="20"/>
              </w:rPr>
            </w:pPr>
            <w:r w:rsidRPr="00154F1D">
              <w:rPr>
                <w:sz w:val="20"/>
                <w:szCs w:val="20"/>
              </w:rPr>
              <w:t>Whether the accused is fit to stand trial</w:t>
            </w:r>
          </w:p>
        </w:tc>
        <w:tc>
          <w:tcPr>
            <w:tcW w:w="3473" w:type="dxa"/>
            <w:vAlign w:val="center"/>
          </w:tcPr>
          <w:p w14:paraId="0B94464C" w14:textId="568A239D" w:rsidR="002C1F1C" w:rsidRPr="00154F1D" w:rsidRDefault="002C1F1C" w:rsidP="00B90EFB">
            <w:pPr>
              <w:spacing w:before="40" w:after="40"/>
              <w:jc w:val="center"/>
              <w:rPr>
                <w:sz w:val="20"/>
                <w:szCs w:val="20"/>
              </w:rPr>
            </w:pPr>
            <w:r w:rsidRPr="00154F1D">
              <w:rPr>
                <w:sz w:val="20"/>
                <w:szCs w:val="20"/>
              </w:rPr>
              <w:t>Whether the accused is not gu</w:t>
            </w:r>
            <w:r w:rsidR="00B830E9" w:rsidRPr="00154F1D">
              <w:rPr>
                <w:sz w:val="20"/>
                <w:szCs w:val="20"/>
              </w:rPr>
              <w:t>ilty by</w:t>
            </w:r>
            <w:r w:rsidRPr="00154F1D">
              <w:rPr>
                <w:sz w:val="20"/>
                <w:szCs w:val="20"/>
              </w:rPr>
              <w:t xml:space="preserve"> reason of insanity</w:t>
            </w:r>
          </w:p>
        </w:tc>
      </w:tr>
      <w:tr w:rsidR="008F22E7" w:rsidRPr="00154F1D" w14:paraId="26D81DAE" w14:textId="77777777" w:rsidTr="000E450B">
        <w:tc>
          <w:tcPr>
            <w:tcW w:w="1413" w:type="dxa"/>
            <w:shd w:val="clear" w:color="auto" w:fill="CCCCCC"/>
            <w:vAlign w:val="center"/>
          </w:tcPr>
          <w:p w14:paraId="10C58260" w14:textId="2972654B" w:rsidR="008F22E7" w:rsidRPr="00154F1D" w:rsidRDefault="008F22E7" w:rsidP="00B90EFB">
            <w:pPr>
              <w:spacing w:before="40" w:after="40"/>
              <w:jc w:val="center"/>
              <w:rPr>
                <w:b/>
                <w:sz w:val="20"/>
                <w:szCs w:val="20"/>
              </w:rPr>
            </w:pPr>
            <w:r w:rsidRPr="00154F1D">
              <w:rPr>
                <w:b/>
                <w:sz w:val="20"/>
                <w:szCs w:val="20"/>
              </w:rPr>
              <w:t>Relevant time</w:t>
            </w:r>
          </w:p>
        </w:tc>
        <w:tc>
          <w:tcPr>
            <w:tcW w:w="3473" w:type="dxa"/>
            <w:vAlign w:val="center"/>
          </w:tcPr>
          <w:p w14:paraId="042751A1" w14:textId="73449516" w:rsidR="008F22E7" w:rsidRPr="00154F1D" w:rsidRDefault="008F22E7" w:rsidP="00B90EFB">
            <w:pPr>
              <w:spacing w:before="40" w:after="40"/>
              <w:jc w:val="center"/>
              <w:rPr>
                <w:sz w:val="20"/>
                <w:szCs w:val="20"/>
              </w:rPr>
            </w:pPr>
            <w:r w:rsidRPr="00154F1D">
              <w:rPr>
                <w:sz w:val="20"/>
                <w:szCs w:val="20"/>
              </w:rPr>
              <w:t>Time of trial</w:t>
            </w:r>
          </w:p>
        </w:tc>
        <w:tc>
          <w:tcPr>
            <w:tcW w:w="3473" w:type="dxa"/>
            <w:vAlign w:val="center"/>
          </w:tcPr>
          <w:p w14:paraId="73733C2A" w14:textId="34F5ED0B" w:rsidR="008F22E7" w:rsidRPr="00154F1D" w:rsidRDefault="008F22E7" w:rsidP="00B90EFB">
            <w:pPr>
              <w:spacing w:before="40" w:after="40"/>
              <w:jc w:val="center"/>
              <w:rPr>
                <w:sz w:val="20"/>
                <w:szCs w:val="20"/>
              </w:rPr>
            </w:pPr>
            <w:r w:rsidRPr="00154F1D">
              <w:rPr>
                <w:sz w:val="20"/>
                <w:szCs w:val="20"/>
              </w:rPr>
              <w:t>Time of offence</w:t>
            </w:r>
          </w:p>
        </w:tc>
      </w:tr>
      <w:tr w:rsidR="002C1F1C" w:rsidRPr="00154F1D" w14:paraId="40EA087E" w14:textId="77777777" w:rsidTr="000E450B">
        <w:tc>
          <w:tcPr>
            <w:tcW w:w="1413" w:type="dxa"/>
            <w:shd w:val="clear" w:color="auto" w:fill="CCCCCC"/>
            <w:vAlign w:val="center"/>
          </w:tcPr>
          <w:p w14:paraId="4F2B3079" w14:textId="77777777" w:rsidR="002C1F1C" w:rsidRPr="00154F1D" w:rsidRDefault="002C1F1C" w:rsidP="00B90EFB">
            <w:pPr>
              <w:spacing w:before="40" w:after="40"/>
              <w:jc w:val="center"/>
              <w:rPr>
                <w:b/>
                <w:sz w:val="20"/>
                <w:szCs w:val="20"/>
              </w:rPr>
            </w:pPr>
            <w:r w:rsidRPr="00154F1D">
              <w:rPr>
                <w:b/>
                <w:sz w:val="20"/>
                <w:szCs w:val="20"/>
              </w:rPr>
              <w:t>Process</w:t>
            </w:r>
          </w:p>
        </w:tc>
        <w:tc>
          <w:tcPr>
            <w:tcW w:w="3473" w:type="dxa"/>
            <w:vAlign w:val="center"/>
          </w:tcPr>
          <w:p w14:paraId="46EF7EAE" w14:textId="77777777" w:rsidR="002C1F1C" w:rsidRPr="00154F1D" w:rsidRDefault="002C1F1C" w:rsidP="00B90EFB">
            <w:pPr>
              <w:spacing w:before="40" w:after="40"/>
              <w:jc w:val="center"/>
              <w:rPr>
                <w:sz w:val="20"/>
                <w:szCs w:val="20"/>
              </w:rPr>
            </w:pPr>
            <w:r w:rsidRPr="00154F1D">
              <w:rPr>
                <w:sz w:val="20"/>
                <w:szCs w:val="20"/>
              </w:rPr>
              <w:t>Investigation into unfitness</w:t>
            </w:r>
          </w:p>
        </w:tc>
        <w:tc>
          <w:tcPr>
            <w:tcW w:w="3473" w:type="dxa"/>
            <w:vAlign w:val="center"/>
          </w:tcPr>
          <w:p w14:paraId="6CDBA230" w14:textId="77777777" w:rsidR="002C1F1C" w:rsidRPr="00154F1D" w:rsidRDefault="002C1F1C" w:rsidP="00B90EFB">
            <w:pPr>
              <w:spacing w:before="40" w:after="40"/>
              <w:jc w:val="center"/>
              <w:rPr>
                <w:sz w:val="20"/>
                <w:szCs w:val="20"/>
              </w:rPr>
            </w:pPr>
            <w:r w:rsidRPr="00154F1D">
              <w:rPr>
                <w:sz w:val="20"/>
                <w:szCs w:val="20"/>
              </w:rPr>
              <w:t>Trial or special hearing (if the person is unfit)</w:t>
            </w:r>
          </w:p>
        </w:tc>
      </w:tr>
      <w:tr w:rsidR="002C1F1C" w:rsidRPr="00154F1D" w14:paraId="5D7FC64B" w14:textId="77777777" w:rsidTr="000E450B">
        <w:tc>
          <w:tcPr>
            <w:tcW w:w="1413" w:type="dxa"/>
            <w:shd w:val="clear" w:color="auto" w:fill="CCCCCC"/>
            <w:vAlign w:val="center"/>
          </w:tcPr>
          <w:p w14:paraId="6D54A9C1" w14:textId="77777777" w:rsidR="002C1F1C" w:rsidRPr="00154F1D" w:rsidRDefault="002C1F1C" w:rsidP="00B90EFB">
            <w:pPr>
              <w:spacing w:before="40" w:after="40"/>
              <w:jc w:val="center"/>
              <w:rPr>
                <w:b/>
                <w:sz w:val="20"/>
                <w:szCs w:val="20"/>
              </w:rPr>
            </w:pPr>
            <w:r w:rsidRPr="00154F1D">
              <w:rPr>
                <w:b/>
                <w:sz w:val="20"/>
                <w:szCs w:val="20"/>
              </w:rPr>
              <w:t>Relevant legislation</w:t>
            </w:r>
          </w:p>
        </w:tc>
        <w:tc>
          <w:tcPr>
            <w:tcW w:w="3473" w:type="dxa"/>
            <w:vAlign w:val="center"/>
          </w:tcPr>
          <w:p w14:paraId="6401451A" w14:textId="77777777" w:rsidR="002C1F1C" w:rsidRPr="00154F1D" w:rsidRDefault="002C1F1C" w:rsidP="00B90EFB">
            <w:pPr>
              <w:spacing w:before="40" w:after="40"/>
              <w:jc w:val="center"/>
              <w:rPr>
                <w:sz w:val="20"/>
                <w:szCs w:val="20"/>
              </w:rPr>
            </w:pPr>
            <w:r w:rsidRPr="00154F1D">
              <w:rPr>
                <w:i/>
                <w:sz w:val="20"/>
                <w:szCs w:val="20"/>
              </w:rPr>
              <w:t xml:space="preserve">Criminal Justice (Mental Impairment) Act 1999 </w:t>
            </w:r>
            <w:r w:rsidRPr="00154F1D">
              <w:rPr>
                <w:sz w:val="20"/>
                <w:szCs w:val="20"/>
              </w:rPr>
              <w:t>(Tas)</w:t>
            </w:r>
          </w:p>
        </w:tc>
        <w:tc>
          <w:tcPr>
            <w:tcW w:w="3473" w:type="dxa"/>
            <w:vAlign w:val="center"/>
          </w:tcPr>
          <w:p w14:paraId="1FC4D72E" w14:textId="4E6EC778" w:rsidR="002C1F1C" w:rsidRPr="00154F1D" w:rsidRDefault="002C1F1C" w:rsidP="00B90EFB">
            <w:pPr>
              <w:spacing w:before="40" w:after="40"/>
              <w:jc w:val="center"/>
              <w:rPr>
                <w:sz w:val="20"/>
                <w:szCs w:val="20"/>
              </w:rPr>
            </w:pPr>
            <w:r w:rsidRPr="00154F1D">
              <w:rPr>
                <w:i/>
                <w:sz w:val="20"/>
                <w:szCs w:val="20"/>
              </w:rPr>
              <w:t xml:space="preserve">Criminal Code </w:t>
            </w:r>
            <w:r w:rsidRPr="00154F1D">
              <w:rPr>
                <w:sz w:val="20"/>
                <w:szCs w:val="20"/>
              </w:rPr>
              <w:t>(Tas) s 16</w:t>
            </w:r>
          </w:p>
        </w:tc>
      </w:tr>
    </w:tbl>
    <w:p w14:paraId="263D9F66" w14:textId="49665690" w:rsidR="00053A1D" w:rsidRPr="00154F1D" w:rsidRDefault="00053A1D" w:rsidP="00053A1D">
      <w:pPr>
        <w:pStyle w:val="Sub-HeadingTLRI"/>
      </w:pPr>
      <w:bookmarkStart w:id="52" w:name="_Toc535868913"/>
      <w:r w:rsidRPr="00154F1D">
        <w:t>The criminal justice pathway</w:t>
      </w:r>
      <w:bookmarkEnd w:id="52"/>
      <w:r w:rsidRPr="00154F1D">
        <w:t xml:space="preserve"> </w:t>
      </w:r>
    </w:p>
    <w:p w14:paraId="46097697" w14:textId="37946183" w:rsidR="00053A1D" w:rsidRPr="00154F1D" w:rsidRDefault="00E26E2D" w:rsidP="00744FAA">
      <w:pPr>
        <w:pStyle w:val="NormalNumberedTextTLRI"/>
      </w:pPr>
      <w:r w:rsidRPr="00154F1D">
        <w:t>Figure 2.1</w:t>
      </w:r>
      <w:r w:rsidR="00345F7D" w:rsidRPr="00154F1D">
        <w:t xml:space="preserve"> </w:t>
      </w:r>
      <w:r w:rsidR="00991900" w:rsidRPr="00154F1D">
        <w:t>contains a flowchart</w:t>
      </w:r>
      <w:r w:rsidR="00345F7D" w:rsidRPr="00154F1D">
        <w:t xml:space="preserve"> </w:t>
      </w:r>
      <w:r w:rsidR="00565B6F" w:rsidRPr="00154F1D">
        <w:t xml:space="preserve">that sets out the criminal justice pathway where an </w:t>
      </w:r>
      <w:r w:rsidR="00D066F6">
        <w:t>accused</w:t>
      </w:r>
      <w:r w:rsidR="00D066F6" w:rsidRPr="00154F1D">
        <w:t xml:space="preserve">’s </w:t>
      </w:r>
      <w:r w:rsidR="00565B6F" w:rsidRPr="00154F1D">
        <w:t xml:space="preserve">mental health and/or cognitive impairment </w:t>
      </w:r>
      <w:r w:rsidR="007C7D69" w:rsidRPr="00154F1D">
        <w:t xml:space="preserve">raises </w:t>
      </w:r>
      <w:r w:rsidR="00345F7D" w:rsidRPr="00154F1D">
        <w:t>issues of fitness to stand trial and</w:t>
      </w:r>
      <w:r w:rsidR="00565B6F" w:rsidRPr="00154F1D">
        <w:t>/or</w:t>
      </w:r>
      <w:r w:rsidR="00345F7D" w:rsidRPr="00154F1D">
        <w:t xml:space="preserve"> insanity</w:t>
      </w:r>
      <w:r w:rsidR="00565B6F" w:rsidRPr="00154F1D">
        <w:t xml:space="preserve">. </w:t>
      </w:r>
    </w:p>
    <w:p w14:paraId="4C847B46" w14:textId="1F70C425" w:rsidR="00345F7D" w:rsidRPr="00154F1D" w:rsidRDefault="00991900" w:rsidP="002B1505">
      <w:pPr>
        <w:pStyle w:val="NormalNumberedTextTLRI"/>
        <w:keepNext/>
        <w:numPr>
          <w:ilvl w:val="0"/>
          <w:numId w:val="0"/>
        </w:numPr>
        <w:tabs>
          <w:tab w:val="clear" w:pos="851"/>
        </w:tabs>
        <w:spacing w:after="60"/>
        <w:rPr>
          <w:b/>
        </w:rPr>
      </w:pPr>
      <w:r w:rsidRPr="00154F1D">
        <w:rPr>
          <w:b/>
        </w:rPr>
        <w:t>Figure 2.1</w:t>
      </w:r>
      <w:r w:rsidR="00B90EFB" w:rsidRPr="00154F1D">
        <w:rPr>
          <w:b/>
        </w:rPr>
        <w:t>:</w:t>
      </w:r>
      <w:r w:rsidRPr="00154F1D">
        <w:rPr>
          <w:b/>
        </w:rPr>
        <w:t xml:space="preserve"> </w:t>
      </w:r>
      <w:r w:rsidR="00565B6F" w:rsidRPr="00154F1D">
        <w:rPr>
          <w:b/>
        </w:rPr>
        <w:t xml:space="preserve">Criminal justice pathway where an </w:t>
      </w:r>
      <w:r w:rsidR="00D066F6">
        <w:rPr>
          <w:b/>
        </w:rPr>
        <w:t>accused</w:t>
      </w:r>
      <w:r w:rsidR="00D066F6" w:rsidRPr="00154F1D">
        <w:rPr>
          <w:b/>
        </w:rPr>
        <w:t xml:space="preserve">’s </w:t>
      </w:r>
      <w:r w:rsidR="00565B6F" w:rsidRPr="00154F1D">
        <w:rPr>
          <w:b/>
        </w:rPr>
        <w:t xml:space="preserve">mental health and/or cognitive impairment </w:t>
      </w:r>
      <w:r w:rsidR="00896950" w:rsidRPr="00154F1D">
        <w:rPr>
          <w:b/>
        </w:rPr>
        <w:t xml:space="preserve">raises </w:t>
      </w:r>
      <w:r w:rsidR="00565B6F" w:rsidRPr="00154F1D">
        <w:rPr>
          <w:b/>
        </w:rPr>
        <w:t>issues of fitness to stand trial and/or insanity</w:t>
      </w:r>
      <w:r w:rsidR="00C059DF" w:rsidRPr="00154F1D">
        <w:rPr>
          <w:b/>
        </w:rPr>
        <w:t xml:space="preserve"> </w:t>
      </w:r>
    </w:p>
    <w:p w14:paraId="7A8F881A" w14:textId="2B854C1F" w:rsidR="00053A1D" w:rsidRPr="00154F1D" w:rsidRDefault="002B1505" w:rsidP="008562C7">
      <w:r w:rsidRPr="00154F1D">
        <w:rPr>
          <w:noProof/>
          <w:lang w:val="en-US"/>
        </w:rPr>
        <w:drawing>
          <wp:inline distT="0" distB="0" distL="0" distR="0" wp14:anchorId="44A73DA9" wp14:editId="09A1FEC0">
            <wp:extent cx="5270500" cy="4392000"/>
            <wp:effectExtent l="0" t="12700" r="1270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sidR="00053A1D" w:rsidRPr="00154F1D">
        <w:t xml:space="preserve">Figure 2.1 shows that the same dispositions are available to the court whether: </w:t>
      </w:r>
    </w:p>
    <w:p w14:paraId="6F65384A" w14:textId="431726B8" w:rsidR="00053A1D" w:rsidRPr="00154F1D" w:rsidRDefault="00053A1D" w:rsidP="00A16EF1">
      <w:pPr>
        <w:pStyle w:val="NormalNumberedTextTLRI"/>
        <w:numPr>
          <w:ilvl w:val="0"/>
          <w:numId w:val="0"/>
        </w:numPr>
        <w:tabs>
          <w:tab w:val="clear" w:pos="851"/>
        </w:tabs>
        <w:ind w:left="1276" w:hanging="425"/>
      </w:pPr>
      <w:r w:rsidRPr="00154F1D">
        <w:t>(1)</w:t>
      </w:r>
      <w:r w:rsidR="00A16EF1" w:rsidRPr="00154F1D">
        <w:tab/>
      </w:r>
      <w:r w:rsidRPr="00154F1D">
        <w:t xml:space="preserve">an </w:t>
      </w:r>
      <w:r w:rsidR="00D066F6">
        <w:t>accused</w:t>
      </w:r>
      <w:r w:rsidR="00D066F6" w:rsidRPr="00154F1D">
        <w:t xml:space="preserve"> </w:t>
      </w:r>
      <w:r w:rsidRPr="00154F1D">
        <w:t xml:space="preserve">is found not guilty by reason of insanity following a trial (where the </w:t>
      </w:r>
      <w:r w:rsidR="008F0CC0">
        <w:t>person</w:t>
      </w:r>
      <w:r w:rsidR="008F0CC0" w:rsidRPr="00154F1D">
        <w:t xml:space="preserve"> </w:t>
      </w:r>
      <w:r w:rsidRPr="00154F1D">
        <w:t xml:space="preserve">was fit to stand trial); or </w:t>
      </w:r>
    </w:p>
    <w:p w14:paraId="192D6FFD" w14:textId="052E777E" w:rsidR="00053A1D" w:rsidRPr="00154F1D" w:rsidRDefault="00053A1D" w:rsidP="00A16EF1">
      <w:pPr>
        <w:pStyle w:val="NormalNumberedTextTLRI"/>
        <w:numPr>
          <w:ilvl w:val="0"/>
          <w:numId w:val="0"/>
        </w:numPr>
        <w:tabs>
          <w:tab w:val="clear" w:pos="851"/>
        </w:tabs>
        <w:ind w:left="1276" w:hanging="425"/>
      </w:pPr>
      <w:r w:rsidRPr="00154F1D">
        <w:t>(2)</w:t>
      </w:r>
      <w:r w:rsidR="00A16EF1" w:rsidRPr="00154F1D">
        <w:tab/>
      </w:r>
      <w:r w:rsidRPr="00154F1D">
        <w:t xml:space="preserve">where an </w:t>
      </w:r>
      <w:r w:rsidR="00D066F6">
        <w:t>accused</w:t>
      </w:r>
      <w:r w:rsidR="00D066F6" w:rsidRPr="00154F1D">
        <w:t xml:space="preserve"> </w:t>
      </w:r>
      <w:r w:rsidRPr="00154F1D">
        <w:t xml:space="preserve">is found not guilty </w:t>
      </w:r>
      <w:r w:rsidR="00252E9B" w:rsidRPr="00154F1D">
        <w:t xml:space="preserve">by reason </w:t>
      </w:r>
      <w:r w:rsidRPr="00154F1D">
        <w:t xml:space="preserve">of insanity or a finding could not be made that an </w:t>
      </w:r>
      <w:r w:rsidR="00D066F6">
        <w:t>accused</w:t>
      </w:r>
      <w:r w:rsidR="00D066F6" w:rsidRPr="00154F1D">
        <w:t xml:space="preserve"> </w:t>
      </w:r>
      <w:r w:rsidRPr="00154F1D">
        <w:t xml:space="preserve">was not guilty following a special hearing (unfit to stand trial). </w:t>
      </w:r>
    </w:p>
    <w:p w14:paraId="77441082" w14:textId="77777777" w:rsidR="008A1B0B" w:rsidRPr="00154F1D" w:rsidRDefault="00053A1D" w:rsidP="00744FAA">
      <w:pPr>
        <w:pStyle w:val="NormalNumberedTextTLRI"/>
        <w:numPr>
          <w:ilvl w:val="0"/>
          <w:numId w:val="0"/>
        </w:numPr>
      </w:pPr>
      <w:r w:rsidRPr="00154F1D">
        <w:t>These orders are a restriction order, a supervision order, conditional release or unconditional release.</w:t>
      </w:r>
      <w:r w:rsidRPr="00154F1D">
        <w:rPr>
          <w:rStyle w:val="FootnoteReference"/>
        </w:rPr>
        <w:footnoteReference w:id="27"/>
      </w:r>
      <w:r w:rsidRPr="00154F1D">
        <w:t xml:space="preserve"> It is important to note that these dispositions are </w:t>
      </w:r>
      <w:r w:rsidRPr="00154F1D">
        <w:rPr>
          <w:b/>
        </w:rPr>
        <w:t xml:space="preserve">not </w:t>
      </w:r>
      <w:r w:rsidRPr="00154F1D">
        <w:t xml:space="preserve">sentences of the court and </w:t>
      </w:r>
      <w:r w:rsidRPr="00154F1D">
        <w:rPr>
          <w:b/>
        </w:rPr>
        <w:t xml:space="preserve">do not follow </w:t>
      </w:r>
      <w:r w:rsidRPr="00154F1D">
        <w:t xml:space="preserve">from a finding of guilt (unlike the ordinary trial where sentencing orders follow a finding of guilt). </w:t>
      </w:r>
    </w:p>
    <w:p w14:paraId="7F2DEF2F" w14:textId="586F67E5" w:rsidR="00053A1D" w:rsidRPr="00154F1D" w:rsidRDefault="008A1B0B" w:rsidP="00744FAA">
      <w:pPr>
        <w:pStyle w:val="NormalNumberedTextTLRI"/>
      </w:pPr>
      <w:r w:rsidRPr="00154F1D">
        <w:t>In addition</w:t>
      </w:r>
      <w:r w:rsidR="00053A1D" w:rsidRPr="00154F1D">
        <w:t xml:space="preserve">, under the </w:t>
      </w:r>
      <w:r w:rsidR="00053A1D" w:rsidRPr="00154F1D">
        <w:rPr>
          <w:i/>
        </w:rPr>
        <w:t xml:space="preserve">Sentencing Act 1997 </w:t>
      </w:r>
      <w:r w:rsidR="00053A1D" w:rsidRPr="00154F1D">
        <w:t xml:space="preserve">(Tas), the court can make a treatment order, a supervision order or a restriction order (in addition to or instead of any sentence it may impose), </w:t>
      </w:r>
      <w:r w:rsidR="00252E9B" w:rsidRPr="00154F1D">
        <w:t xml:space="preserve">in respect of </w:t>
      </w:r>
      <w:r w:rsidR="00053A1D" w:rsidRPr="00154F1D">
        <w:t xml:space="preserve">an offender who has been found guilty of an offence. </w:t>
      </w:r>
      <w:r w:rsidRPr="00154F1D">
        <w:t>However, i</w:t>
      </w:r>
      <w:r w:rsidR="00053A1D" w:rsidRPr="00154F1D">
        <w:t>n this case, the offender has been found guilty and the orders are imposed as a sentence. This power exists where the offender is suffering a mental illness that requires treatment.</w:t>
      </w:r>
      <w:r w:rsidR="00053A1D" w:rsidRPr="00154F1D">
        <w:rPr>
          <w:rStyle w:val="FootnoteReference"/>
        </w:rPr>
        <w:footnoteReference w:id="28"/>
      </w:r>
      <w:r w:rsidR="00053A1D" w:rsidRPr="00154F1D">
        <w:t xml:space="preserve"> </w:t>
      </w:r>
      <w:r w:rsidR="00271097" w:rsidRPr="00154F1D">
        <w:t xml:space="preserve">There were </w:t>
      </w:r>
      <w:r w:rsidR="003652B9" w:rsidRPr="00154F1D">
        <w:t>seven</w:t>
      </w:r>
      <w:r w:rsidR="00271097" w:rsidRPr="00154F1D">
        <w:t xml:space="preserve"> offenders identified in the </w:t>
      </w:r>
      <w:r w:rsidR="008B3913">
        <w:t xml:space="preserve">Mental </w:t>
      </w:r>
      <w:r w:rsidR="00271097" w:rsidRPr="00154F1D">
        <w:t>H</w:t>
      </w:r>
      <w:r w:rsidR="008B3913">
        <w:t xml:space="preserve">ealth </w:t>
      </w:r>
      <w:r w:rsidR="00271097" w:rsidRPr="00154F1D">
        <w:t>T</w:t>
      </w:r>
      <w:r w:rsidR="008B3913">
        <w:t>ribunal (MHT)</w:t>
      </w:r>
      <w:r w:rsidR="00271097" w:rsidRPr="00154F1D">
        <w:t xml:space="preserve"> data as being subject to restriction or supervision orders imposed as part of a sentence.</w:t>
      </w:r>
    </w:p>
    <w:p w14:paraId="203DD9B5" w14:textId="77777777" w:rsidR="00053A1D" w:rsidRPr="00154F1D" w:rsidRDefault="00053A1D" w:rsidP="00286F26">
      <w:pPr>
        <w:pStyle w:val="NormalNumberedTextTLRI"/>
        <w:numPr>
          <w:ilvl w:val="0"/>
          <w:numId w:val="0"/>
        </w:numPr>
        <w:pBdr>
          <w:top w:val="single" w:sz="2" w:space="1" w:color="auto"/>
          <w:left w:val="single" w:sz="2" w:space="1" w:color="auto"/>
          <w:bottom w:val="single" w:sz="2" w:space="1" w:color="auto"/>
          <w:right w:val="single" w:sz="2" w:space="1" w:color="auto"/>
        </w:pBdr>
        <w:ind w:left="57" w:right="57"/>
      </w:pPr>
      <w:r w:rsidRPr="00154F1D">
        <w:t>Case examples</w:t>
      </w:r>
    </w:p>
    <w:p w14:paraId="7FD5C380" w14:textId="66B10768" w:rsidR="00053A1D" w:rsidRPr="00154F1D" w:rsidRDefault="00053A1D" w:rsidP="00286F26">
      <w:pPr>
        <w:pStyle w:val="NormalNumberedTextTLRI"/>
        <w:numPr>
          <w:ilvl w:val="0"/>
          <w:numId w:val="0"/>
        </w:numPr>
        <w:pBdr>
          <w:top w:val="single" w:sz="2" w:space="1" w:color="auto"/>
          <w:left w:val="single" w:sz="2" w:space="1" w:color="auto"/>
          <w:bottom w:val="single" w:sz="2" w:space="1" w:color="auto"/>
          <w:right w:val="single" w:sz="2" w:space="1" w:color="auto"/>
        </w:pBdr>
        <w:ind w:left="57" w:right="57"/>
      </w:pPr>
      <w:r w:rsidRPr="00154F1D">
        <w:t>D suffered from schizophrenia and was found guilty of wounding. At the sentencing hearing, D was released under the supervision of the Chief Forensic Psychiatrist on conditions including in relation to taking medication, submission to treatment and attendance at drug and alcohol rehabilitation sessions.</w:t>
      </w:r>
    </w:p>
    <w:p w14:paraId="416FD6C8" w14:textId="279518D3" w:rsidR="00053A1D" w:rsidRPr="00154F1D" w:rsidRDefault="00053A1D" w:rsidP="00286F26">
      <w:pPr>
        <w:pStyle w:val="NormalNumberedTextTLRI"/>
        <w:numPr>
          <w:ilvl w:val="0"/>
          <w:numId w:val="0"/>
        </w:numPr>
        <w:pBdr>
          <w:top w:val="single" w:sz="2" w:space="1" w:color="auto"/>
          <w:left w:val="single" w:sz="2" w:space="1" w:color="auto"/>
          <w:bottom w:val="single" w:sz="2" w:space="1" w:color="auto"/>
          <w:right w:val="single" w:sz="2" w:space="1" w:color="auto"/>
        </w:pBdr>
        <w:ind w:left="57" w:right="57"/>
      </w:pPr>
      <w:r w:rsidRPr="00154F1D">
        <w:t>D suffered from schizophrenia and pleaded guilty to arson and setting fire to vegetation. D was sentenced to 13 months</w:t>
      </w:r>
      <w:r w:rsidR="00252E9B" w:rsidRPr="00154F1D">
        <w:t>’</w:t>
      </w:r>
      <w:r w:rsidRPr="00154F1D">
        <w:t xml:space="preserve"> imprisonment and, on release, a restriction order detaining </w:t>
      </w:r>
      <w:r w:rsidR="00252E9B" w:rsidRPr="00154F1D">
        <w:t xml:space="preserve">him </w:t>
      </w:r>
      <w:r w:rsidRPr="00154F1D">
        <w:t>in a secure mental health unit until the order was discharged by the Supreme Court.</w:t>
      </w:r>
    </w:p>
    <w:p w14:paraId="34FDEDC8" w14:textId="2E053A4C" w:rsidR="00AB6D36" w:rsidRPr="00154F1D" w:rsidRDefault="0024478B" w:rsidP="00D80045">
      <w:pPr>
        <w:pStyle w:val="NumberedHeadingTLRI"/>
      </w:pPr>
      <w:bookmarkStart w:id="53" w:name="_Toc535868914"/>
      <w:r w:rsidRPr="00154F1D">
        <w:t xml:space="preserve">The </w:t>
      </w:r>
      <w:r w:rsidR="00C37D5C" w:rsidRPr="00154F1D">
        <w:t>principles underlying</w:t>
      </w:r>
      <w:r w:rsidR="00B130F3" w:rsidRPr="00154F1D">
        <w:t xml:space="preserve"> the </w:t>
      </w:r>
      <w:r w:rsidR="00B130F3" w:rsidRPr="00154F1D">
        <w:rPr>
          <w:i/>
        </w:rPr>
        <w:t>C</w:t>
      </w:r>
      <w:r w:rsidR="004B2E87" w:rsidRPr="00154F1D">
        <w:rPr>
          <w:i/>
        </w:rPr>
        <w:t xml:space="preserve">riminal </w:t>
      </w:r>
      <w:r w:rsidR="00B130F3" w:rsidRPr="00154F1D">
        <w:rPr>
          <w:i/>
        </w:rPr>
        <w:t>J</w:t>
      </w:r>
      <w:r w:rsidR="004B2E87" w:rsidRPr="00154F1D">
        <w:rPr>
          <w:i/>
        </w:rPr>
        <w:t xml:space="preserve">ustice </w:t>
      </w:r>
      <w:r w:rsidR="00B130F3" w:rsidRPr="00154F1D">
        <w:rPr>
          <w:i/>
        </w:rPr>
        <w:t>M</w:t>
      </w:r>
      <w:r w:rsidR="004B2E87" w:rsidRPr="00154F1D">
        <w:rPr>
          <w:i/>
        </w:rPr>
        <w:t xml:space="preserve">ental Impairment </w:t>
      </w:r>
      <w:r w:rsidR="00B130F3" w:rsidRPr="00154F1D">
        <w:rPr>
          <w:i/>
        </w:rPr>
        <w:t>A</w:t>
      </w:r>
      <w:r w:rsidR="004B2E87" w:rsidRPr="00154F1D">
        <w:rPr>
          <w:i/>
        </w:rPr>
        <w:t>ct 1999</w:t>
      </w:r>
      <w:r w:rsidR="004B2E87" w:rsidRPr="00154F1D">
        <w:t xml:space="preserve"> (Tas)</w:t>
      </w:r>
      <w:bookmarkEnd w:id="53"/>
    </w:p>
    <w:p w14:paraId="094DF1F3" w14:textId="0E8BB491" w:rsidR="004C6417" w:rsidRPr="00154F1D" w:rsidRDefault="004C6417" w:rsidP="00DF349D">
      <w:pPr>
        <w:pStyle w:val="Sub-HeadingTLRI"/>
        <w:outlineLvl w:val="0"/>
      </w:pPr>
      <w:bookmarkStart w:id="54" w:name="_Toc535868915"/>
      <w:r w:rsidRPr="00154F1D">
        <w:t xml:space="preserve">Background to the </w:t>
      </w:r>
      <w:r w:rsidR="004B2E87" w:rsidRPr="00154F1D">
        <w:t>Criminal Justice Mental Impairment Act 1999 (Tas)</w:t>
      </w:r>
      <w:bookmarkEnd w:id="54"/>
    </w:p>
    <w:p w14:paraId="06FFD349" w14:textId="32058B4A" w:rsidR="002B6AAF" w:rsidRPr="00154F1D" w:rsidRDefault="00B130F3" w:rsidP="00744FAA">
      <w:pPr>
        <w:pStyle w:val="NormalNumberedTextTLRI"/>
      </w:pPr>
      <w:r w:rsidRPr="00154F1D">
        <w:t xml:space="preserve">In 1999, the </w:t>
      </w:r>
      <w:r w:rsidRPr="00154F1D">
        <w:rPr>
          <w:i/>
        </w:rPr>
        <w:t>C</w:t>
      </w:r>
      <w:r w:rsidR="004B2E87" w:rsidRPr="00154F1D">
        <w:rPr>
          <w:i/>
        </w:rPr>
        <w:t xml:space="preserve">riminal </w:t>
      </w:r>
      <w:r w:rsidRPr="00154F1D">
        <w:rPr>
          <w:i/>
        </w:rPr>
        <w:t>J</w:t>
      </w:r>
      <w:r w:rsidR="004B2E87" w:rsidRPr="00154F1D">
        <w:rPr>
          <w:i/>
        </w:rPr>
        <w:t xml:space="preserve">ustice </w:t>
      </w:r>
      <w:r w:rsidRPr="00154F1D">
        <w:rPr>
          <w:i/>
        </w:rPr>
        <w:t>M</w:t>
      </w:r>
      <w:r w:rsidR="004B2E87" w:rsidRPr="00154F1D">
        <w:rPr>
          <w:i/>
        </w:rPr>
        <w:t xml:space="preserve">ental Impairment </w:t>
      </w:r>
      <w:r w:rsidRPr="00154F1D">
        <w:rPr>
          <w:i/>
        </w:rPr>
        <w:t>A</w:t>
      </w:r>
      <w:r w:rsidR="004B2E87" w:rsidRPr="00154F1D">
        <w:rPr>
          <w:i/>
        </w:rPr>
        <w:t>ct 1999</w:t>
      </w:r>
      <w:r w:rsidR="004B2E87" w:rsidRPr="00154F1D">
        <w:t xml:space="preserve"> (Tas)</w:t>
      </w:r>
      <w:r w:rsidRPr="00154F1D">
        <w:t xml:space="preserve"> made significant changes to the law that applied to </w:t>
      </w:r>
      <w:r w:rsidR="00D066F6">
        <w:t>individual</w:t>
      </w:r>
      <w:r w:rsidR="00D066F6" w:rsidRPr="00154F1D">
        <w:t xml:space="preserve">s </w:t>
      </w:r>
      <w:r w:rsidRPr="00154F1D">
        <w:t xml:space="preserve">with mental </w:t>
      </w:r>
      <w:r w:rsidR="00545A11" w:rsidRPr="00154F1D">
        <w:t xml:space="preserve">illness </w:t>
      </w:r>
      <w:r w:rsidRPr="00154F1D">
        <w:t xml:space="preserve">and/or cognitive impairment in Tasmania. </w:t>
      </w:r>
      <w:r w:rsidR="00BE0709" w:rsidRPr="00154F1D">
        <w:t xml:space="preserve">It was part of a package of reforms that followed from a review of the </w:t>
      </w:r>
      <w:r w:rsidR="00BE0709" w:rsidRPr="00154F1D">
        <w:rPr>
          <w:i/>
        </w:rPr>
        <w:t>Mental Health Act 1963</w:t>
      </w:r>
      <w:r w:rsidR="004B2E87" w:rsidRPr="00154F1D">
        <w:rPr>
          <w:i/>
        </w:rPr>
        <w:t xml:space="preserve"> </w:t>
      </w:r>
      <w:r w:rsidR="004B2E87" w:rsidRPr="00154F1D">
        <w:t>(Tas)</w:t>
      </w:r>
      <w:r w:rsidR="00BE0709" w:rsidRPr="00154F1D">
        <w:t xml:space="preserve"> and sought to address deficiencies that existed in the previous law. </w:t>
      </w:r>
      <w:r w:rsidRPr="00154F1D">
        <w:t xml:space="preserve">Previously, </w:t>
      </w:r>
      <w:r w:rsidR="000D309D" w:rsidRPr="00154F1D">
        <w:t xml:space="preserve">the procedural law on the insanity defence, fitness to plead and disposition of </w:t>
      </w:r>
      <w:r w:rsidR="00D066F6">
        <w:t>individual</w:t>
      </w:r>
      <w:r w:rsidR="00D066F6" w:rsidRPr="00154F1D">
        <w:t xml:space="preserve">s </w:t>
      </w:r>
      <w:r w:rsidR="000D309D" w:rsidRPr="00154F1D">
        <w:t>w</w:t>
      </w:r>
      <w:r w:rsidR="000706A5">
        <w:t>ere</w:t>
      </w:r>
      <w:r w:rsidR="000D309D" w:rsidRPr="00154F1D">
        <w:t xml:space="preserve"> contained in the </w:t>
      </w:r>
      <w:r w:rsidR="000D309D" w:rsidRPr="00154F1D">
        <w:rPr>
          <w:i/>
        </w:rPr>
        <w:t xml:space="preserve">Criminal Code </w:t>
      </w:r>
      <w:r w:rsidR="000D309D" w:rsidRPr="00154F1D">
        <w:t xml:space="preserve">and the </w:t>
      </w:r>
      <w:r w:rsidR="000D309D" w:rsidRPr="00154F1D">
        <w:rPr>
          <w:i/>
        </w:rPr>
        <w:t xml:space="preserve">Mental Health Act 1963 </w:t>
      </w:r>
      <w:r w:rsidR="000D309D" w:rsidRPr="00154F1D">
        <w:t xml:space="preserve">(Tas). </w:t>
      </w:r>
      <w:r w:rsidR="0080307F" w:rsidRPr="00154F1D">
        <w:t xml:space="preserve">Under these provisions, </w:t>
      </w:r>
      <w:r w:rsidR="00C057E7" w:rsidRPr="00154F1D">
        <w:t xml:space="preserve">if </w:t>
      </w:r>
      <w:r w:rsidR="002B6AAF" w:rsidRPr="00154F1D">
        <w:t>a person had been found unfit to stand trial or found not guilty by reason of insanity then:</w:t>
      </w:r>
    </w:p>
    <w:p w14:paraId="185F5FB2" w14:textId="006F8BCA" w:rsidR="002B6AAF" w:rsidRPr="00154F1D" w:rsidRDefault="002B6AAF" w:rsidP="000706A5">
      <w:pPr>
        <w:pStyle w:val="QuoteTLRI"/>
        <w:numPr>
          <w:ilvl w:val="0"/>
          <w:numId w:val="60"/>
        </w:numPr>
        <w:ind w:left="851" w:hanging="425"/>
      </w:pPr>
      <w:r w:rsidRPr="00154F1D">
        <w:t xml:space="preserve">The </w:t>
      </w:r>
      <w:r w:rsidRPr="00154F1D">
        <w:rPr>
          <w:i/>
        </w:rPr>
        <w:t xml:space="preserve">Criminal Code </w:t>
      </w:r>
      <w:r w:rsidRPr="00154F1D">
        <w:t>required a judge to make an order</w:t>
      </w:r>
      <w:r w:rsidR="002F21EF" w:rsidRPr="00154F1D">
        <w:t xml:space="preserve"> that</w:t>
      </w:r>
      <w:r w:rsidRPr="00154F1D">
        <w:t xml:space="preserve"> the </w:t>
      </w:r>
      <w:r w:rsidR="00D066F6">
        <w:t>person</w:t>
      </w:r>
      <w:r w:rsidR="00D066F6" w:rsidRPr="00154F1D">
        <w:t xml:space="preserve"> </w:t>
      </w:r>
      <w:r w:rsidRPr="00154F1D">
        <w:t>was to</w:t>
      </w:r>
      <w:r w:rsidR="002F21EF" w:rsidRPr="00154F1D">
        <w:t xml:space="preserve"> be</w:t>
      </w:r>
      <w:r w:rsidRPr="00154F1D">
        <w:t xml:space="preserve"> deal</w:t>
      </w:r>
      <w:r w:rsidR="002F21EF" w:rsidRPr="00154F1D">
        <w:t>t</w:t>
      </w:r>
      <w:r w:rsidRPr="00154F1D">
        <w:t xml:space="preserve"> with as a mentally disordered</w:t>
      </w:r>
      <w:r w:rsidR="002F21EF" w:rsidRPr="00154F1D">
        <w:t xml:space="preserve"> person</w:t>
      </w:r>
      <w:r w:rsidRPr="00154F1D">
        <w:t xml:space="preserve"> who had become subject to the criminal process. There was no discretion in relation to this.</w:t>
      </w:r>
    </w:p>
    <w:p w14:paraId="1C60BCCD" w14:textId="67DAB349" w:rsidR="002B6AAF" w:rsidRPr="00154F1D" w:rsidRDefault="002B6AAF" w:rsidP="000706A5">
      <w:pPr>
        <w:pStyle w:val="QuoteTLRI"/>
        <w:numPr>
          <w:ilvl w:val="0"/>
          <w:numId w:val="60"/>
        </w:numPr>
        <w:ind w:left="851" w:hanging="425"/>
      </w:pPr>
      <w:r w:rsidRPr="00154F1D">
        <w:t xml:space="preserve">When the judge made the order, the </w:t>
      </w:r>
      <w:r w:rsidR="001B57D5" w:rsidRPr="00154F1D">
        <w:t>Attorney</w:t>
      </w:r>
      <w:r w:rsidRPr="00154F1D">
        <w:t>-General was required to specify</w:t>
      </w:r>
      <w:r w:rsidR="001B57D5" w:rsidRPr="00154F1D">
        <w:t xml:space="preserve"> an i</w:t>
      </w:r>
      <w:r w:rsidRPr="00154F1D">
        <w:t>n</w:t>
      </w:r>
      <w:r w:rsidR="001B57D5" w:rsidRPr="00154F1D">
        <w:t>st</w:t>
      </w:r>
      <w:r w:rsidRPr="00154F1D">
        <w:t>i</w:t>
      </w:r>
      <w:r w:rsidR="001B57D5" w:rsidRPr="00154F1D">
        <w:t>tu</w:t>
      </w:r>
      <w:r w:rsidRPr="00154F1D">
        <w:t xml:space="preserve">tion in which the person was to be detained, which was a Special </w:t>
      </w:r>
      <w:r w:rsidR="001B57D5" w:rsidRPr="00154F1D">
        <w:t>Institution</w:t>
      </w:r>
      <w:r w:rsidRPr="00154F1D">
        <w:t xml:space="preserve"> at Risdon Prison.</w:t>
      </w:r>
    </w:p>
    <w:p w14:paraId="257A618F" w14:textId="06A1E6CE" w:rsidR="002B6AAF" w:rsidRPr="00154F1D" w:rsidRDefault="002B6AAF" w:rsidP="00C95DFB">
      <w:pPr>
        <w:pStyle w:val="QuoteTLRI"/>
        <w:numPr>
          <w:ilvl w:val="0"/>
          <w:numId w:val="60"/>
        </w:numPr>
        <w:ind w:left="851" w:hanging="425"/>
      </w:pPr>
      <w:r w:rsidRPr="00154F1D">
        <w:t xml:space="preserve">When the Attorney-General made the </w:t>
      </w:r>
      <w:r w:rsidR="001B57D5" w:rsidRPr="00154F1D">
        <w:t>order,</w:t>
      </w:r>
      <w:r w:rsidRPr="00154F1D">
        <w:t xml:space="preserve"> the </w:t>
      </w:r>
      <w:r w:rsidR="001B57D5" w:rsidRPr="00154F1D">
        <w:rPr>
          <w:i/>
        </w:rPr>
        <w:t>Criminal</w:t>
      </w:r>
      <w:r w:rsidRPr="00154F1D">
        <w:rPr>
          <w:i/>
        </w:rPr>
        <w:t xml:space="preserve"> Code</w:t>
      </w:r>
      <w:r w:rsidR="00EB19C0" w:rsidRPr="00154F1D">
        <w:rPr>
          <w:i/>
        </w:rPr>
        <w:t xml:space="preserve"> </w:t>
      </w:r>
      <w:r w:rsidR="00EB19C0" w:rsidRPr="00154F1D">
        <w:t>(Tas)</w:t>
      </w:r>
      <w:r w:rsidRPr="00154F1D">
        <w:rPr>
          <w:i/>
        </w:rPr>
        <w:t xml:space="preserve"> </w:t>
      </w:r>
      <w:r w:rsidRPr="00154F1D">
        <w:t>st</w:t>
      </w:r>
      <w:r w:rsidR="001B57D5" w:rsidRPr="00154F1D">
        <w:t>ated</w:t>
      </w:r>
      <w:r w:rsidRPr="00154F1D">
        <w:t xml:space="preserve"> that</w:t>
      </w:r>
      <w:r w:rsidR="001B57D5" w:rsidRPr="00154F1D">
        <w:t xml:space="preserve"> the person wa</w:t>
      </w:r>
      <w:r w:rsidRPr="00154F1D">
        <w:t xml:space="preserve">s </w:t>
      </w:r>
      <w:r w:rsidR="001B57D5" w:rsidRPr="00154F1D">
        <w:t xml:space="preserve">to be </w:t>
      </w:r>
      <w:r w:rsidRPr="00154F1D">
        <w:t>treated for the p</w:t>
      </w:r>
      <w:r w:rsidR="001B57D5" w:rsidRPr="00154F1D">
        <w:t>urposes</w:t>
      </w:r>
      <w:r w:rsidRPr="00154F1D">
        <w:t xml:space="preserve"> of the </w:t>
      </w:r>
      <w:r w:rsidRPr="00154F1D">
        <w:rPr>
          <w:i/>
        </w:rPr>
        <w:t xml:space="preserve">Mental Health Act 1963 </w:t>
      </w:r>
      <w:r w:rsidRPr="00154F1D">
        <w:t xml:space="preserve">as having been admitted in </w:t>
      </w:r>
      <w:r w:rsidR="001B57D5" w:rsidRPr="00154F1D">
        <w:t>pursuance</w:t>
      </w:r>
      <w:r w:rsidRPr="00154F1D">
        <w:t xml:space="preserve"> of a hospital order made </w:t>
      </w:r>
      <w:r w:rsidR="001B57D5" w:rsidRPr="00154F1D">
        <w:t>together</w:t>
      </w:r>
      <w:r w:rsidRPr="00154F1D">
        <w:t xml:space="preserve"> with a restriction order.</w:t>
      </w:r>
    </w:p>
    <w:p w14:paraId="5643532F" w14:textId="2E3FBB85" w:rsidR="002B6AAF" w:rsidRPr="00154F1D" w:rsidRDefault="002B6AAF" w:rsidP="00C95DFB">
      <w:pPr>
        <w:pStyle w:val="QuoteTLRI"/>
        <w:numPr>
          <w:ilvl w:val="0"/>
          <w:numId w:val="60"/>
        </w:numPr>
        <w:ind w:left="851" w:hanging="425"/>
      </w:pPr>
      <w:r w:rsidRPr="00154F1D">
        <w:t xml:space="preserve">Once the </w:t>
      </w:r>
      <w:r w:rsidR="001B57D5" w:rsidRPr="00154F1D">
        <w:t>Attorney-General ma</w:t>
      </w:r>
      <w:r w:rsidRPr="00154F1D">
        <w:t xml:space="preserve">de the order the person </w:t>
      </w:r>
      <w:r w:rsidR="001B57D5" w:rsidRPr="00154F1D">
        <w:t>could</w:t>
      </w:r>
      <w:r w:rsidRPr="00154F1D">
        <w:t xml:space="preserve"> only be </w:t>
      </w:r>
      <w:r w:rsidR="001B57D5" w:rsidRPr="00154F1D">
        <w:t>released</w:t>
      </w:r>
      <w:r w:rsidRPr="00154F1D">
        <w:t xml:space="preserve"> by the Governo</w:t>
      </w:r>
      <w:r w:rsidR="001B57D5" w:rsidRPr="00154F1D">
        <w:t>r</w:t>
      </w:r>
      <w:r w:rsidRPr="00154F1D">
        <w:t xml:space="preserve"> acting on the advice of the Executive Council and on the recommendation of the </w:t>
      </w:r>
      <w:r w:rsidR="001B57D5" w:rsidRPr="00154F1D">
        <w:t>Mental</w:t>
      </w:r>
      <w:r w:rsidRPr="00154F1D">
        <w:t xml:space="preserve"> </w:t>
      </w:r>
      <w:r w:rsidR="001B57D5" w:rsidRPr="00154F1D">
        <w:t>Health</w:t>
      </w:r>
      <w:r w:rsidRPr="00154F1D">
        <w:t xml:space="preserve"> Review </w:t>
      </w:r>
      <w:r w:rsidR="001B57D5" w:rsidRPr="00154F1D">
        <w:t>Tribunal</w:t>
      </w:r>
      <w:r w:rsidRPr="00154F1D">
        <w:t xml:space="preserve">. The decision as to </w:t>
      </w:r>
      <w:r w:rsidR="001B57D5" w:rsidRPr="00154F1D">
        <w:t>whether</w:t>
      </w:r>
      <w:r w:rsidRPr="00154F1D">
        <w:t xml:space="preserve"> or not to </w:t>
      </w:r>
      <w:r w:rsidR="001B57D5" w:rsidRPr="00154F1D">
        <w:t>accept</w:t>
      </w:r>
      <w:r w:rsidRPr="00154F1D">
        <w:t xml:space="preserve"> the </w:t>
      </w:r>
      <w:r w:rsidR="001B57D5" w:rsidRPr="00154F1D">
        <w:t>recommendations</w:t>
      </w:r>
      <w:r w:rsidRPr="00154F1D">
        <w:t xml:space="preserve"> </w:t>
      </w:r>
      <w:r w:rsidR="001B57D5" w:rsidRPr="00154F1D">
        <w:t>of</w:t>
      </w:r>
      <w:r w:rsidRPr="00154F1D">
        <w:t xml:space="preserve"> the tribunal was generally made by Cabinet.</w:t>
      </w:r>
      <w:r w:rsidR="001B57D5" w:rsidRPr="00154F1D">
        <w:rPr>
          <w:rStyle w:val="FootnoteReference"/>
        </w:rPr>
        <w:footnoteReference w:id="29"/>
      </w:r>
    </w:p>
    <w:p w14:paraId="5690C53D" w14:textId="696AE164" w:rsidR="00F654FB" w:rsidRPr="00154F1D" w:rsidRDefault="005A1E7B" w:rsidP="00744FAA">
      <w:pPr>
        <w:pStyle w:val="NormalNumberedTextTLRI"/>
        <w:numPr>
          <w:ilvl w:val="0"/>
          <w:numId w:val="0"/>
        </w:numPr>
      </w:pPr>
      <w:r w:rsidRPr="00154F1D">
        <w:t xml:space="preserve">This was ‘akin to a sentence for the term of the defendant’s natural life’ </w:t>
      </w:r>
      <w:r w:rsidR="008E16EB" w:rsidRPr="00154F1D">
        <w:t xml:space="preserve">(at least for some people) </w:t>
      </w:r>
      <w:r w:rsidRPr="00154F1D">
        <w:t>given that the decision to release a person ‘was for practical purposes in the hands of the State Cabinet and therefore subject to political pressure from a community with little compassion for, or understanding of</w:t>
      </w:r>
      <w:r w:rsidR="00C8036B">
        <w:t>,</w:t>
      </w:r>
      <w:r w:rsidRPr="00154F1D">
        <w:t xml:space="preserve"> mental illness’.</w:t>
      </w:r>
      <w:bookmarkStart w:id="55" w:name="_Ref535661080"/>
      <w:r w:rsidRPr="00154F1D">
        <w:rPr>
          <w:rStyle w:val="FootnoteReference"/>
        </w:rPr>
        <w:footnoteReference w:id="30"/>
      </w:r>
      <w:bookmarkEnd w:id="55"/>
      <w:r w:rsidRPr="00154F1D">
        <w:t xml:space="preserve"> </w:t>
      </w:r>
      <w:r w:rsidR="00900D95" w:rsidRPr="00154F1D">
        <w:t xml:space="preserve">However, </w:t>
      </w:r>
      <w:r w:rsidR="0024402C" w:rsidRPr="00154F1D">
        <w:t xml:space="preserve">while there is a lack of statistics, it </w:t>
      </w:r>
      <w:r w:rsidR="005B5A72" w:rsidRPr="00154F1D">
        <w:t>h</w:t>
      </w:r>
      <w:r w:rsidR="0024402C" w:rsidRPr="00154F1D">
        <w:t xml:space="preserve">as been reported that </w:t>
      </w:r>
      <w:r w:rsidR="00F654FB" w:rsidRPr="00154F1D">
        <w:t>the ‘</w:t>
      </w:r>
      <w:r w:rsidR="00900D95" w:rsidRPr="00154F1D">
        <w:t xml:space="preserve">Governor’s pleasure regime’ did allow for the release of some </w:t>
      </w:r>
      <w:r w:rsidR="00D066F6">
        <w:t>people</w:t>
      </w:r>
      <w:r w:rsidR="00D066F6" w:rsidRPr="00154F1D">
        <w:t xml:space="preserve"> </w:t>
      </w:r>
      <w:r w:rsidR="00900D95" w:rsidRPr="00154F1D">
        <w:t>after relatively short periods</w:t>
      </w:r>
      <w:r w:rsidR="0024402C" w:rsidRPr="00154F1D">
        <w:t xml:space="preserve"> of time.</w:t>
      </w:r>
      <w:r w:rsidR="0024402C" w:rsidRPr="00154F1D">
        <w:rPr>
          <w:rStyle w:val="FootnoteReference"/>
        </w:rPr>
        <w:footnoteReference w:id="31"/>
      </w:r>
      <w:r w:rsidR="00900D95" w:rsidRPr="00154F1D">
        <w:t xml:space="preserve"> </w:t>
      </w:r>
    </w:p>
    <w:p w14:paraId="794415D2" w14:textId="38799BC6" w:rsidR="00F654FB" w:rsidRPr="00154F1D" w:rsidRDefault="00F654FB" w:rsidP="00744FAA">
      <w:pPr>
        <w:pStyle w:val="NormalNumberedTextTLRI"/>
      </w:pPr>
      <w:r w:rsidRPr="00154F1D">
        <w:t xml:space="preserve">Changes were made in the </w:t>
      </w:r>
      <w:r w:rsidR="004B2E87" w:rsidRPr="00154F1D">
        <w:rPr>
          <w:i/>
        </w:rPr>
        <w:t>Criminal Justice Mental Impairment Act 1999</w:t>
      </w:r>
      <w:r w:rsidR="004B2E87" w:rsidRPr="00154F1D">
        <w:t xml:space="preserve"> (Tas) </w:t>
      </w:r>
      <w:r w:rsidRPr="00154F1D">
        <w:t>in relation to two key issues</w:t>
      </w:r>
      <w:r w:rsidR="00ED1D65" w:rsidRPr="00154F1D">
        <w:t xml:space="preserve"> to address these concerns</w:t>
      </w:r>
      <w:r w:rsidRPr="00154F1D">
        <w:t>:</w:t>
      </w:r>
    </w:p>
    <w:p w14:paraId="775D7715" w14:textId="6D5A03D8" w:rsidR="00C8325B" w:rsidRPr="00154F1D" w:rsidRDefault="00C8325B" w:rsidP="00C8036B">
      <w:pPr>
        <w:pStyle w:val="NormalNumberedTextTLRI"/>
        <w:numPr>
          <w:ilvl w:val="0"/>
          <w:numId w:val="8"/>
        </w:numPr>
        <w:ind w:left="851" w:hanging="425"/>
      </w:pPr>
      <w:r w:rsidRPr="00154F1D">
        <w:rPr>
          <w:b/>
        </w:rPr>
        <w:t xml:space="preserve">Procedures for a special hearing were created where an </w:t>
      </w:r>
      <w:r w:rsidR="00D066F6">
        <w:rPr>
          <w:b/>
        </w:rPr>
        <w:t>accused</w:t>
      </w:r>
      <w:r w:rsidR="00D066F6" w:rsidRPr="00154F1D">
        <w:rPr>
          <w:b/>
        </w:rPr>
        <w:t xml:space="preserve"> </w:t>
      </w:r>
      <w:r w:rsidRPr="00154F1D">
        <w:rPr>
          <w:b/>
        </w:rPr>
        <w:t>was found unfit to stand trial</w:t>
      </w:r>
      <w:r w:rsidRPr="00154F1D">
        <w:t>. Previously, if a person was declared unfit, then they were detained under a restriction order, ‘notwithstanding the fact that these persons have not been convicted of any offence and irrespective of both the seriousness of the mental illness, and whether or not they are a danger to the public’.</w:t>
      </w:r>
      <w:r w:rsidRPr="00154F1D">
        <w:rPr>
          <w:rStyle w:val="FootnoteReference"/>
        </w:rPr>
        <w:footnoteReference w:id="32"/>
      </w:r>
      <w:r w:rsidRPr="00154F1D">
        <w:t xml:space="preserve"> Under the </w:t>
      </w:r>
      <w:r w:rsidR="001C7FA2" w:rsidRPr="00154F1D">
        <w:rPr>
          <w:i/>
        </w:rPr>
        <w:t>Criminal Justice Mental Impairment Act 1999</w:t>
      </w:r>
      <w:r w:rsidR="001C7FA2" w:rsidRPr="00154F1D">
        <w:t xml:space="preserve"> (Tas)</w:t>
      </w:r>
      <w:r w:rsidRPr="00154F1D">
        <w:t xml:space="preserve">, a special hearing was created to ‘determine the external facts of the case </w:t>
      </w:r>
      <w:r w:rsidR="008018FE" w:rsidRPr="00154F1D">
        <w:t>—</w:t>
      </w:r>
      <w:r w:rsidRPr="00154F1D">
        <w:t xml:space="preserve"> excluding the question of intention </w:t>
      </w:r>
      <w:r w:rsidR="008018FE" w:rsidRPr="00154F1D">
        <w:t>—</w:t>
      </w:r>
      <w:r w:rsidRPr="00154F1D">
        <w:t xml:space="preserve"> to ascertain whether the basic prosecution case can be </w:t>
      </w:r>
      <w:r w:rsidR="00D90F27" w:rsidRPr="00154F1D">
        <w:t xml:space="preserve">proved </w:t>
      </w:r>
      <w:r w:rsidRPr="00154F1D">
        <w:t>beyond reasonable doubt’.</w:t>
      </w:r>
      <w:r w:rsidRPr="00154F1D">
        <w:rPr>
          <w:rStyle w:val="FootnoteReference"/>
        </w:rPr>
        <w:footnoteReference w:id="33"/>
      </w:r>
      <w:r w:rsidRPr="00154F1D">
        <w:t xml:space="preserve"> At the special hearing, the following findings are available: not guilty, not guilty of the offence charged on the grounds of insanity, or that a finding cannot be made that the defendant is not guilty.</w:t>
      </w:r>
      <w:r w:rsidRPr="00154F1D">
        <w:rPr>
          <w:rStyle w:val="FootnoteReference"/>
        </w:rPr>
        <w:footnoteReference w:id="34"/>
      </w:r>
      <w:r w:rsidRPr="00154F1D">
        <w:t xml:space="preserve"> It is noted that following a special hearing, there is no provision to find that the defendant is guilty.</w:t>
      </w:r>
    </w:p>
    <w:p w14:paraId="0680962F" w14:textId="326E741C" w:rsidR="00335C8B" w:rsidRPr="00154F1D" w:rsidRDefault="00EB19C0" w:rsidP="00C8036B">
      <w:pPr>
        <w:pStyle w:val="NormalNumberedTextTLRI"/>
        <w:numPr>
          <w:ilvl w:val="0"/>
          <w:numId w:val="8"/>
        </w:numPr>
        <w:ind w:left="851" w:hanging="425"/>
      </w:pPr>
      <w:r w:rsidRPr="00154F1D">
        <w:rPr>
          <w:b/>
        </w:rPr>
        <w:t>T</w:t>
      </w:r>
      <w:r w:rsidR="00335C8B" w:rsidRPr="00154F1D">
        <w:rPr>
          <w:b/>
        </w:rPr>
        <w:t>he process for determining the appropriate disposition order for persons found unfit to stand trial or not guilty by reasons of insanity</w:t>
      </w:r>
      <w:r w:rsidR="00335C8B" w:rsidRPr="00154F1D">
        <w:t xml:space="preserve">. The court was given a discretion in relation to the disposition options from </w:t>
      </w:r>
      <w:r w:rsidR="002F21EF" w:rsidRPr="00154F1D">
        <w:t>a</w:t>
      </w:r>
      <w:r w:rsidR="00B64BD5" w:rsidRPr="00154F1D">
        <w:t>n</w:t>
      </w:r>
      <w:r w:rsidR="002F21EF" w:rsidRPr="00154F1D">
        <w:t xml:space="preserve"> </w:t>
      </w:r>
      <w:r w:rsidR="00335C8B" w:rsidRPr="00154F1D">
        <w:t xml:space="preserve">unconditional release </w:t>
      </w:r>
      <w:r w:rsidR="002F21EF" w:rsidRPr="00154F1D">
        <w:t xml:space="preserve">order </w:t>
      </w:r>
      <w:r w:rsidR="00335C8B" w:rsidRPr="00154F1D">
        <w:t>up to the making of the restriction order. The court</w:t>
      </w:r>
      <w:r w:rsidR="00FF5FEA" w:rsidRPr="00154F1D">
        <w:t>,</w:t>
      </w:r>
      <w:r w:rsidR="00335C8B" w:rsidRPr="00154F1D">
        <w:t xml:space="preserve"> </w:t>
      </w:r>
      <w:r w:rsidR="004E37EB" w:rsidRPr="00154F1D">
        <w:t>rather than the executive</w:t>
      </w:r>
      <w:r w:rsidR="00FF5FEA" w:rsidRPr="00154F1D">
        <w:t>,</w:t>
      </w:r>
      <w:r w:rsidR="004E37EB" w:rsidRPr="00154F1D">
        <w:t xml:space="preserve"> </w:t>
      </w:r>
      <w:r w:rsidR="00335C8B" w:rsidRPr="00154F1D">
        <w:t xml:space="preserve">was also given the power to make orders revoking or discharging an </w:t>
      </w:r>
      <w:r w:rsidR="00D066F6">
        <w:t>individual</w:t>
      </w:r>
      <w:r w:rsidR="00335C8B" w:rsidRPr="00154F1D">
        <w:t xml:space="preserve">. There was a power for </w:t>
      </w:r>
      <w:r w:rsidR="00D066F6">
        <w:t>a person</w:t>
      </w:r>
      <w:r w:rsidR="00335C8B" w:rsidRPr="00154F1D">
        <w:t xml:space="preserve"> to make an application to the Supreme Court for release every two years and </w:t>
      </w:r>
      <w:r w:rsidR="002F21EF" w:rsidRPr="00154F1D">
        <w:t xml:space="preserve">for </w:t>
      </w:r>
      <w:r w:rsidR="00335C8B" w:rsidRPr="00154F1D">
        <w:t>review hearings to be conducted annually by the Mental Health Tribunal</w:t>
      </w:r>
      <w:r w:rsidR="00907A05" w:rsidRPr="00154F1D">
        <w:t xml:space="preserve"> (MHT). </w:t>
      </w:r>
      <w:r w:rsidR="00EC3DE9">
        <w:t>Under these provisions, i</w:t>
      </w:r>
      <w:r w:rsidR="00907A05" w:rsidRPr="00154F1D">
        <w:t xml:space="preserve">f the MHT </w:t>
      </w:r>
      <w:r w:rsidR="00EC3DE9">
        <w:t>is</w:t>
      </w:r>
      <w:r w:rsidR="00C057E7" w:rsidRPr="00154F1D">
        <w:t xml:space="preserve"> </w:t>
      </w:r>
      <w:r w:rsidR="00907A05" w:rsidRPr="00154F1D">
        <w:t xml:space="preserve">of the view that a restriction order or a supervision order </w:t>
      </w:r>
      <w:r w:rsidR="00EC3DE9">
        <w:t>i</w:t>
      </w:r>
      <w:r w:rsidR="00EC3DE9" w:rsidRPr="00154F1D">
        <w:t xml:space="preserve">s </w:t>
      </w:r>
      <w:r w:rsidR="002F21EF" w:rsidRPr="00154F1D">
        <w:t>no longer</w:t>
      </w:r>
      <w:r w:rsidR="00907A05" w:rsidRPr="00154F1D">
        <w:t xml:space="preserve"> required, it issues a Certificate that allows the person to apply to the Supreme Court for the release of </w:t>
      </w:r>
      <w:r w:rsidR="004E37EB" w:rsidRPr="00154F1D">
        <w:t xml:space="preserve">the </w:t>
      </w:r>
      <w:r w:rsidR="00907A05" w:rsidRPr="00154F1D">
        <w:t xml:space="preserve">restriction order or the revocation of the supervision order. </w:t>
      </w:r>
      <w:r w:rsidR="005B5A72" w:rsidRPr="00154F1D">
        <w:t xml:space="preserve">The purpose of this was to </w:t>
      </w:r>
      <w:r w:rsidR="00EF5DF7" w:rsidRPr="00154F1D">
        <w:t xml:space="preserve">provide for the eventual release of </w:t>
      </w:r>
      <w:r w:rsidR="006A138C">
        <w:t>persons found unfit to stand trial or not guilty by reason of insanity</w:t>
      </w:r>
      <w:r w:rsidR="00EF5DF7" w:rsidRPr="00154F1D">
        <w:t>.</w:t>
      </w:r>
      <w:r w:rsidR="00EF5DF7" w:rsidRPr="00154F1D">
        <w:rPr>
          <w:rStyle w:val="FootnoteReference"/>
        </w:rPr>
        <w:footnoteReference w:id="35"/>
      </w:r>
      <w:r w:rsidR="00C8325B" w:rsidRPr="00154F1D">
        <w:t xml:space="preserve"> Accordingly, while the </w:t>
      </w:r>
      <w:r w:rsidR="001C7FA2" w:rsidRPr="00154F1D">
        <w:rPr>
          <w:i/>
        </w:rPr>
        <w:t>Criminal Justice Mental Impairment Act 1999</w:t>
      </w:r>
      <w:r w:rsidR="001C7FA2" w:rsidRPr="00154F1D">
        <w:t xml:space="preserve"> (Tas)</w:t>
      </w:r>
      <w:r w:rsidR="00C8325B" w:rsidRPr="00154F1D">
        <w:t xml:space="preserve"> did not make any changes to the defence of insanity contained in the </w:t>
      </w:r>
      <w:r w:rsidR="00C8325B" w:rsidRPr="00154F1D">
        <w:rPr>
          <w:i/>
        </w:rPr>
        <w:t xml:space="preserve">Criminal Code </w:t>
      </w:r>
      <w:r w:rsidR="00C8325B" w:rsidRPr="00154F1D">
        <w:t xml:space="preserve">(Tas), it did make significant changes to the consequences of a finding that an </w:t>
      </w:r>
      <w:r w:rsidR="006A138C">
        <w:t>individual</w:t>
      </w:r>
      <w:r w:rsidR="006A138C" w:rsidRPr="00154F1D">
        <w:t xml:space="preserve"> </w:t>
      </w:r>
      <w:r w:rsidR="00C8325B" w:rsidRPr="00154F1D">
        <w:t>was not guilty by reason of insanity</w:t>
      </w:r>
      <w:r w:rsidR="00F6664B" w:rsidRPr="00154F1D">
        <w:t>.</w:t>
      </w:r>
    </w:p>
    <w:p w14:paraId="78746C2E" w14:textId="24D37E4A" w:rsidR="00105C7F" w:rsidRPr="00154F1D" w:rsidRDefault="00B52ED2" w:rsidP="00744FAA">
      <w:pPr>
        <w:pStyle w:val="NormalNumberedTextTLRI"/>
      </w:pPr>
      <w:r w:rsidRPr="00154F1D">
        <w:t xml:space="preserve">In </w:t>
      </w:r>
      <w:r w:rsidR="00AD5BB2" w:rsidRPr="00154F1D">
        <w:t>making these changes,</w:t>
      </w:r>
      <w:r w:rsidR="00426744" w:rsidRPr="00154F1D">
        <w:t xml:space="preserve"> t</w:t>
      </w:r>
      <w:r w:rsidR="00EF5DF7" w:rsidRPr="00154F1D">
        <w:t xml:space="preserve">he </w:t>
      </w:r>
      <w:r w:rsidR="001C7FA2" w:rsidRPr="00154F1D">
        <w:rPr>
          <w:i/>
        </w:rPr>
        <w:t>Criminal Justice Mental Impairment Act 1999</w:t>
      </w:r>
      <w:r w:rsidR="001C7FA2" w:rsidRPr="00154F1D">
        <w:t xml:space="preserve"> (Tas) </w:t>
      </w:r>
      <w:r w:rsidR="00EF5DF7" w:rsidRPr="00154F1D">
        <w:t xml:space="preserve">was intended to modernise the law in relation to mental impairment and to recognise the rights of </w:t>
      </w:r>
      <w:r w:rsidR="00762DA9">
        <w:t>defendants</w:t>
      </w:r>
      <w:r w:rsidR="002F5921" w:rsidRPr="00154F1D">
        <w:t xml:space="preserve"> </w:t>
      </w:r>
      <w:r w:rsidR="00EF5DF7" w:rsidRPr="00154F1D">
        <w:t xml:space="preserve">while </w:t>
      </w:r>
      <w:r w:rsidR="00AD5BB2" w:rsidRPr="00154F1D">
        <w:t xml:space="preserve">at the same time </w:t>
      </w:r>
      <w:r w:rsidR="00EF5DF7" w:rsidRPr="00154F1D">
        <w:t>protecting public safety.</w:t>
      </w:r>
      <w:r w:rsidR="00EF5DF7" w:rsidRPr="00154F1D">
        <w:rPr>
          <w:rStyle w:val="FootnoteReference"/>
        </w:rPr>
        <w:footnoteReference w:id="36"/>
      </w:r>
      <w:r w:rsidR="007F4F54" w:rsidRPr="00154F1D">
        <w:t xml:space="preserve"> </w:t>
      </w:r>
      <w:r w:rsidR="00EA7532" w:rsidRPr="00154F1D">
        <w:t>It reflects</w:t>
      </w:r>
      <w:r w:rsidR="006E77A8" w:rsidRPr="00154F1D">
        <w:t xml:space="preserve"> the </w:t>
      </w:r>
      <w:r w:rsidR="00EA7532" w:rsidRPr="00154F1D">
        <w:t xml:space="preserve">background to the </w:t>
      </w:r>
      <w:r w:rsidR="006E77A8" w:rsidRPr="00154F1D">
        <w:t xml:space="preserve">unfitness to stand trial doctrine </w:t>
      </w:r>
      <w:r w:rsidR="00EA7532" w:rsidRPr="00154F1D">
        <w:t xml:space="preserve">that </w:t>
      </w:r>
      <w:r w:rsidR="006E77A8" w:rsidRPr="00154F1D">
        <w:t>‘was largely incorporated into modern law as a humanistic measure to protect accused person</w:t>
      </w:r>
      <w:r w:rsidR="004E37EB" w:rsidRPr="00154F1D">
        <w:t>s</w:t>
      </w:r>
      <w:r w:rsidR="006E77A8" w:rsidRPr="00154F1D">
        <w:t xml:space="preserve"> with disabilities, offer a mechanism to test the prosecution, and divert individuals to relevant treatment’</w:t>
      </w:r>
      <w:r w:rsidR="006E77A8" w:rsidRPr="00154F1D">
        <w:rPr>
          <w:rFonts w:eastAsiaTheme="minorEastAsia"/>
          <w:lang w:val="en-US"/>
        </w:rPr>
        <w:t>.</w:t>
      </w:r>
      <w:bookmarkStart w:id="56" w:name="_Ref534982760"/>
      <w:r w:rsidR="006E77A8" w:rsidRPr="00154F1D">
        <w:rPr>
          <w:rStyle w:val="FootnoteReference"/>
        </w:rPr>
        <w:footnoteReference w:id="37"/>
      </w:r>
      <w:bookmarkEnd w:id="56"/>
      <w:r w:rsidR="006E77A8" w:rsidRPr="00154F1D">
        <w:rPr>
          <w:rFonts w:ascii="Helvetica" w:eastAsiaTheme="minorEastAsia" w:hAnsi="Helvetica"/>
          <w:lang w:val="en-US"/>
        </w:rPr>
        <w:t xml:space="preserve"> </w:t>
      </w:r>
    </w:p>
    <w:p w14:paraId="7DFADBBE" w14:textId="13950C2A" w:rsidR="004C6417" w:rsidRPr="00154F1D" w:rsidRDefault="004C6417" w:rsidP="00DF349D">
      <w:pPr>
        <w:pStyle w:val="Sub-HeadingTLRI"/>
        <w:outlineLvl w:val="0"/>
      </w:pPr>
      <w:bookmarkStart w:id="57" w:name="_Toc535868916"/>
      <w:r w:rsidRPr="00154F1D">
        <w:t xml:space="preserve">Principles </w:t>
      </w:r>
      <w:r w:rsidR="002058A6" w:rsidRPr="00154F1D">
        <w:t>that underlie</w:t>
      </w:r>
      <w:r w:rsidRPr="00154F1D">
        <w:t xml:space="preserve"> the </w:t>
      </w:r>
      <w:r w:rsidR="001C7FA2" w:rsidRPr="00154F1D">
        <w:t>Criminal Justice Mental Impairment Act 1999 (Tas)</w:t>
      </w:r>
      <w:bookmarkEnd w:id="57"/>
    </w:p>
    <w:p w14:paraId="7B626C5F" w14:textId="7367E539" w:rsidR="002058A6" w:rsidRPr="00154F1D" w:rsidRDefault="00ED1D65" w:rsidP="00744FAA">
      <w:pPr>
        <w:pStyle w:val="NormalNumberedTextTLRI"/>
        <w:rPr>
          <w:rFonts w:ascii="Helvetica" w:eastAsiaTheme="minorEastAsia" w:hAnsi="Helvetica"/>
          <w:sz w:val="17"/>
          <w:szCs w:val="17"/>
          <w:lang w:val="en-US"/>
        </w:rPr>
      </w:pPr>
      <w:r w:rsidRPr="00154F1D">
        <w:t xml:space="preserve">The Terms of Reference require the TLRI to consider whether changes are needed to the </w:t>
      </w:r>
      <w:r w:rsidR="001C7FA2" w:rsidRPr="00154F1D">
        <w:rPr>
          <w:i/>
        </w:rPr>
        <w:t>Criminal Justice Mental Impairment Act 1999</w:t>
      </w:r>
      <w:r w:rsidR="001C7FA2" w:rsidRPr="00154F1D">
        <w:t xml:space="preserve"> (Tas)</w:t>
      </w:r>
      <w:r w:rsidRPr="00154F1D">
        <w:t xml:space="preserve"> to ensure that it operates justly, effectively and consistently with the principles that underlie it. Th</w:t>
      </w:r>
      <w:r w:rsidR="004578F0" w:rsidRPr="00154F1D">
        <w:t xml:space="preserve">e </w:t>
      </w:r>
      <w:r w:rsidRPr="00154F1D">
        <w:t xml:space="preserve">principles </w:t>
      </w:r>
      <w:r w:rsidR="004578F0" w:rsidRPr="00154F1D">
        <w:t xml:space="preserve">that can be identified from the legislative provisions and background to the implementation of the Act </w:t>
      </w:r>
      <w:r w:rsidRPr="00154F1D">
        <w:t>are</w:t>
      </w:r>
      <w:r w:rsidR="00EA7532" w:rsidRPr="00154F1D">
        <w:t>:</w:t>
      </w:r>
      <w:r w:rsidRPr="00154F1D">
        <w:t xml:space="preserve"> fairness to the accused person and the right to a fair trial, the protection of the community and the recognition of the rights of mentally impaired </w:t>
      </w:r>
      <w:r w:rsidR="00762DA9">
        <w:t>defendant</w:t>
      </w:r>
      <w:r w:rsidR="002F5921" w:rsidRPr="00154F1D">
        <w:t xml:space="preserve">s </w:t>
      </w:r>
      <w:r w:rsidRPr="00154F1D">
        <w:t>consistent with the principles of least restriction.</w:t>
      </w:r>
      <w:r w:rsidRPr="00154F1D">
        <w:rPr>
          <w:rStyle w:val="FootnoteReference"/>
        </w:rPr>
        <w:footnoteReference w:id="38"/>
      </w:r>
      <w:r w:rsidRPr="00154F1D">
        <w:t xml:space="preserve"> </w:t>
      </w:r>
    </w:p>
    <w:p w14:paraId="436E1618" w14:textId="1C8A4545" w:rsidR="0086222D" w:rsidRPr="00154F1D" w:rsidRDefault="008A5A73" w:rsidP="00744FAA">
      <w:pPr>
        <w:pStyle w:val="NormalNumberedTextTLRI"/>
        <w:rPr>
          <w:rFonts w:ascii="Helvetica" w:eastAsiaTheme="minorEastAsia" w:hAnsi="Helvetica"/>
          <w:sz w:val="17"/>
          <w:szCs w:val="17"/>
          <w:lang w:val="en-US"/>
        </w:rPr>
      </w:pPr>
      <w:r w:rsidRPr="00154F1D">
        <w:t xml:space="preserve">In addition, </w:t>
      </w:r>
      <w:r w:rsidR="002058A6" w:rsidRPr="00154F1D">
        <w:t>t</w:t>
      </w:r>
      <w:r w:rsidRPr="00154F1D">
        <w:t xml:space="preserve">he TLRI’s consideration of the </w:t>
      </w:r>
      <w:r w:rsidR="001C7FA2" w:rsidRPr="00154F1D">
        <w:rPr>
          <w:i/>
        </w:rPr>
        <w:t>Criminal Justice Mental Impairment Act 1999</w:t>
      </w:r>
      <w:r w:rsidR="001C7FA2" w:rsidRPr="00154F1D">
        <w:t xml:space="preserve"> (Tas)</w:t>
      </w:r>
      <w:r w:rsidRPr="00154F1D">
        <w:t xml:space="preserve"> is informed by the obligations that arise under international legal instruments to which Australia is a signatory including the </w:t>
      </w:r>
      <w:r w:rsidRPr="00154F1D">
        <w:rPr>
          <w:i/>
        </w:rPr>
        <w:t>International Covenant on Civil and Political Rights</w:t>
      </w:r>
      <w:r w:rsidR="00011F34" w:rsidRPr="00154F1D">
        <w:rPr>
          <w:i/>
        </w:rPr>
        <w:t xml:space="preserve"> </w:t>
      </w:r>
      <w:r w:rsidR="00011F34" w:rsidRPr="00154F1D">
        <w:t>(</w:t>
      </w:r>
      <w:r w:rsidR="00184D61">
        <w:t>‘</w:t>
      </w:r>
      <w:r w:rsidR="00011F34" w:rsidRPr="00154F1D">
        <w:rPr>
          <w:i/>
        </w:rPr>
        <w:t>ICCPR</w:t>
      </w:r>
      <w:r w:rsidR="00184D61">
        <w:t>’</w:t>
      </w:r>
      <w:r w:rsidR="00011F34" w:rsidRPr="00154F1D">
        <w:t>)</w:t>
      </w:r>
      <w:r w:rsidRPr="00154F1D">
        <w:t xml:space="preserve"> </w:t>
      </w:r>
      <w:r w:rsidR="00011F34" w:rsidRPr="00154F1D">
        <w:t xml:space="preserve">and </w:t>
      </w:r>
      <w:r w:rsidRPr="00154F1D">
        <w:t xml:space="preserve">the </w:t>
      </w:r>
      <w:r w:rsidR="00011F34" w:rsidRPr="00154F1D">
        <w:rPr>
          <w:i/>
        </w:rPr>
        <w:t>CRPD</w:t>
      </w:r>
      <w:r w:rsidRPr="00154F1D">
        <w:rPr>
          <w:i/>
        </w:rPr>
        <w:t>.</w:t>
      </w:r>
      <w:r w:rsidRPr="00154F1D">
        <w:t xml:space="preserve"> The </w:t>
      </w:r>
      <w:r w:rsidR="00011F34" w:rsidRPr="00154F1D">
        <w:rPr>
          <w:i/>
        </w:rPr>
        <w:t>ICCPR</w:t>
      </w:r>
      <w:r w:rsidRPr="00154F1D">
        <w:t xml:space="preserve"> sets out the right to a fair trial, the right to be treated with dignity and humanity, the right to equality before the law and the right not to be discriminated against. </w:t>
      </w:r>
      <w:r w:rsidR="00011F34" w:rsidRPr="00154F1D">
        <w:t xml:space="preserve">The </w:t>
      </w:r>
      <w:r w:rsidR="00011F34" w:rsidRPr="00154F1D">
        <w:rPr>
          <w:i/>
        </w:rPr>
        <w:t>CRPD</w:t>
      </w:r>
      <w:r w:rsidR="00011F34" w:rsidRPr="00154F1D">
        <w:t xml:space="preserve"> </w:t>
      </w:r>
      <w:r w:rsidR="00F379F5" w:rsidRPr="00154F1D">
        <w:t>sets</w:t>
      </w:r>
      <w:r w:rsidR="00AF2FD6" w:rsidRPr="00154F1D">
        <w:t xml:space="preserve"> out </w:t>
      </w:r>
      <w:r w:rsidR="006E2E2B" w:rsidRPr="00154F1D">
        <w:t>the requirement for substantive equality for accused persons with disabilities,</w:t>
      </w:r>
      <w:r w:rsidR="00AF2FD6" w:rsidRPr="00154F1D">
        <w:t xml:space="preserve"> including the prohibition of discrimination on the basis of disability, the right to equal recognition before the law</w:t>
      </w:r>
      <w:r w:rsidR="006E2E2B" w:rsidRPr="00154F1D">
        <w:t>, the right to access to justice and the right to liberty and security of the person.</w:t>
      </w:r>
      <w:r w:rsidR="006E2E2B" w:rsidRPr="00154F1D">
        <w:rPr>
          <w:rStyle w:val="FootnoteReference"/>
        </w:rPr>
        <w:footnoteReference w:id="39"/>
      </w:r>
      <w:r w:rsidR="006E2E2B" w:rsidRPr="00154F1D">
        <w:t xml:space="preserve"> </w:t>
      </w:r>
      <w:r w:rsidR="00E75B82" w:rsidRPr="00154F1D">
        <w:t>In understanding the human rights implications of current insanity and fitness to stand tr</w:t>
      </w:r>
      <w:r w:rsidR="008B72C4" w:rsidRPr="00154F1D">
        <w:t>ia</w:t>
      </w:r>
      <w:r w:rsidR="00E75B82" w:rsidRPr="00154F1D">
        <w:t xml:space="preserve">l laws, the TLRI has been assisted by the </w:t>
      </w:r>
      <w:r w:rsidR="00B5252D" w:rsidRPr="00154F1D">
        <w:t>considerable work</w:t>
      </w:r>
      <w:r w:rsidR="00E75B82" w:rsidRPr="00154F1D">
        <w:t xml:space="preserve"> that has been undertaken by the Melbourne Social Equity Institute </w:t>
      </w:r>
      <w:r w:rsidR="00B5252D" w:rsidRPr="00154F1D">
        <w:t xml:space="preserve">(and associated researchers) </w:t>
      </w:r>
      <w:r w:rsidR="00E75B82" w:rsidRPr="00154F1D">
        <w:t>in this field.</w:t>
      </w:r>
      <w:bookmarkStart w:id="58" w:name="_Ref536017353"/>
      <w:r w:rsidR="00E75B82" w:rsidRPr="00154F1D">
        <w:rPr>
          <w:rStyle w:val="FootnoteReference"/>
        </w:rPr>
        <w:footnoteReference w:id="40"/>
      </w:r>
      <w:bookmarkEnd w:id="58"/>
    </w:p>
    <w:p w14:paraId="61FDD5FE" w14:textId="77777777" w:rsidR="00D9085C" w:rsidRPr="00154F1D" w:rsidRDefault="00D9085C" w:rsidP="00AC3C06">
      <w:pPr>
        <w:pStyle w:val="furhtersub-heading2"/>
      </w:pPr>
      <w:r w:rsidRPr="00154F1D">
        <w:t>Fairness to an accused person and the right to a fair trial</w:t>
      </w:r>
    </w:p>
    <w:p w14:paraId="3D051581" w14:textId="257C990E" w:rsidR="00D9085C" w:rsidRPr="00154F1D" w:rsidRDefault="00B837C0" w:rsidP="00744FAA">
      <w:pPr>
        <w:pStyle w:val="NormalNumberedTextTLRI"/>
      </w:pPr>
      <w:r w:rsidRPr="00154F1D">
        <w:t xml:space="preserve">Fundamental principles underpinning the </w:t>
      </w:r>
      <w:r w:rsidR="00DE6538" w:rsidRPr="00154F1D">
        <w:rPr>
          <w:i/>
        </w:rPr>
        <w:t>Criminal Justice Mental Impairment Act 1999</w:t>
      </w:r>
      <w:r w:rsidR="00DE6538" w:rsidRPr="00154F1D">
        <w:t xml:space="preserve"> (Tas)</w:t>
      </w:r>
      <w:r w:rsidRPr="00154F1D">
        <w:t xml:space="preserve"> are fairness to an accused person and the right to a fair trial. This reflects the historical basis for the </w:t>
      </w:r>
      <w:r w:rsidR="00ED1D65" w:rsidRPr="00154F1D">
        <w:t xml:space="preserve">requirement that an </w:t>
      </w:r>
      <w:r w:rsidR="002F5921">
        <w:t>individual</w:t>
      </w:r>
      <w:r w:rsidR="002F5921" w:rsidRPr="00154F1D">
        <w:t xml:space="preserve"> </w:t>
      </w:r>
      <w:r w:rsidR="003D2BCE" w:rsidRPr="00154F1D">
        <w:t xml:space="preserve">must </w:t>
      </w:r>
      <w:r w:rsidR="00ED1D65" w:rsidRPr="00154F1D">
        <w:t>be fit to stand trial</w:t>
      </w:r>
      <w:r w:rsidRPr="00154F1D">
        <w:t xml:space="preserve"> </w:t>
      </w:r>
      <w:r w:rsidR="003D2BCE" w:rsidRPr="00154F1D">
        <w:t>and, as observed by the VLRC, ‘this principle is based on the “central percept of our criminal law … that no person shall be convicted of a crime otherwise than after a trial according to law”’.</w:t>
      </w:r>
      <w:r w:rsidR="003D2BCE" w:rsidRPr="00154F1D">
        <w:rPr>
          <w:rStyle w:val="FootnoteReference"/>
        </w:rPr>
        <w:footnoteReference w:id="41"/>
      </w:r>
      <w:r w:rsidR="00F54CAB" w:rsidRPr="00154F1D">
        <w:t xml:space="preserve"> </w:t>
      </w:r>
    </w:p>
    <w:p w14:paraId="1FED41BC" w14:textId="605C1673" w:rsidR="00D9085C" w:rsidRPr="00154F1D" w:rsidRDefault="00F54CAB" w:rsidP="00744FAA">
      <w:pPr>
        <w:pStyle w:val="NormalNumberedTextTLRI"/>
      </w:pPr>
      <w:r w:rsidRPr="00154F1D">
        <w:t>In addition to providing that a person who is unfit to stand trial</w:t>
      </w:r>
      <w:r w:rsidR="003D2BCE" w:rsidRPr="00154F1D">
        <w:t xml:space="preserve"> is not subject to the normal trial procedure, t</w:t>
      </w:r>
      <w:r w:rsidRPr="00154F1D">
        <w:t xml:space="preserve">he </w:t>
      </w:r>
      <w:r w:rsidR="00DE6538" w:rsidRPr="00154F1D">
        <w:rPr>
          <w:i/>
        </w:rPr>
        <w:t>Criminal Justice Mental Impairment Act 1999</w:t>
      </w:r>
      <w:r w:rsidR="00DE6538" w:rsidRPr="00154F1D">
        <w:t xml:space="preserve"> (Tas)</w:t>
      </w:r>
      <w:r w:rsidRPr="00154F1D">
        <w:t xml:space="preserve"> sets out a process for providing a </w:t>
      </w:r>
      <w:r w:rsidR="003D2BCE" w:rsidRPr="00154F1D">
        <w:t>fair hearing to test the evidence against a person found unfit to stand trial.</w:t>
      </w:r>
      <w:r w:rsidR="003D2BCE" w:rsidRPr="00154F1D">
        <w:rPr>
          <w:rStyle w:val="FootnoteReference"/>
        </w:rPr>
        <w:footnoteReference w:id="42"/>
      </w:r>
      <w:r w:rsidR="003D2BCE" w:rsidRPr="00154F1D">
        <w:t xml:space="preserve"> </w:t>
      </w:r>
      <w:r w:rsidR="00AD1C11" w:rsidRPr="00154F1D">
        <w:t xml:space="preserve">In </w:t>
      </w:r>
      <w:r w:rsidR="00053A1D" w:rsidRPr="00154F1D">
        <w:t xml:space="preserve">order to </w:t>
      </w:r>
      <w:r w:rsidR="00AD1C11" w:rsidRPr="00154F1D">
        <w:t xml:space="preserve">address concerns about the imposition of orders on </w:t>
      </w:r>
      <w:r w:rsidR="002F5921">
        <w:t>a person</w:t>
      </w:r>
      <w:r w:rsidR="00AD1C11" w:rsidRPr="00154F1D">
        <w:t xml:space="preserve"> who ha</w:t>
      </w:r>
      <w:r w:rsidR="00053A1D" w:rsidRPr="00154F1D">
        <w:t>s</w:t>
      </w:r>
      <w:r w:rsidR="00AD1C11" w:rsidRPr="00154F1D">
        <w:t xml:space="preserve"> not been established to have committed an offence</w:t>
      </w:r>
      <w:r w:rsidR="00D91F08" w:rsidRPr="00154F1D">
        <w:t xml:space="preserve"> and without the opportunity of an acquittal</w:t>
      </w:r>
      <w:r w:rsidR="00AD1C11" w:rsidRPr="00154F1D">
        <w:t>, t</w:t>
      </w:r>
      <w:r w:rsidR="003D2BCE" w:rsidRPr="00154F1D">
        <w:t xml:space="preserve">he </w:t>
      </w:r>
      <w:r w:rsidR="00DE6538" w:rsidRPr="00154F1D">
        <w:rPr>
          <w:i/>
        </w:rPr>
        <w:t>Criminal Justice Mental Impairment Act 1999</w:t>
      </w:r>
      <w:r w:rsidR="00DE6538" w:rsidRPr="00154F1D">
        <w:t xml:space="preserve"> (Tas)</w:t>
      </w:r>
      <w:r w:rsidR="003D2BCE" w:rsidRPr="00154F1D">
        <w:t xml:space="preserve"> provides for a special hearing. </w:t>
      </w:r>
      <w:r w:rsidR="00AD1C11" w:rsidRPr="00154F1D">
        <w:t>The Act</w:t>
      </w:r>
      <w:r w:rsidR="003D2BCE" w:rsidRPr="00154F1D">
        <w:t xml:space="preserve"> provides that s</w:t>
      </w:r>
      <w:r w:rsidR="00D9085C" w:rsidRPr="00154F1D">
        <w:t>pecial hearing</w:t>
      </w:r>
      <w:r w:rsidR="003D2BCE" w:rsidRPr="00154F1D">
        <w:t>s are</w:t>
      </w:r>
      <w:r w:rsidR="00D9085C" w:rsidRPr="00154F1D">
        <w:t xml:space="preserve"> </w:t>
      </w:r>
      <w:r w:rsidR="003D2BCE" w:rsidRPr="00154F1D">
        <w:t>‘</w:t>
      </w:r>
      <w:r w:rsidR="00D9085C" w:rsidRPr="00154F1D">
        <w:t>to be conducted so that the onus of proof and standard of proof are the same as in a trial and in all other respects as nearly as possible as if it were a trial of criminal proceedings</w:t>
      </w:r>
      <w:r w:rsidR="003D2BCE" w:rsidRPr="00154F1D">
        <w:t>’.</w:t>
      </w:r>
      <w:r w:rsidR="003D2BCE" w:rsidRPr="00154F1D">
        <w:rPr>
          <w:rStyle w:val="FootnoteReference"/>
        </w:rPr>
        <w:footnoteReference w:id="43"/>
      </w:r>
      <w:r w:rsidR="00D9085C" w:rsidRPr="00154F1D">
        <w:t xml:space="preserve"> At </w:t>
      </w:r>
      <w:r w:rsidR="004E37EB" w:rsidRPr="00154F1D">
        <w:t xml:space="preserve">a </w:t>
      </w:r>
      <w:r w:rsidR="00D9085C" w:rsidRPr="00154F1D">
        <w:t xml:space="preserve">special hearing, </w:t>
      </w:r>
      <w:r w:rsidR="003D2BCE" w:rsidRPr="00154F1D">
        <w:t>the defendant can raise any defence that could be raised if the special hearing were an ordinary trial and the defendant is entitled to give evidence.</w:t>
      </w:r>
      <w:r w:rsidR="003D2BCE" w:rsidRPr="00154F1D">
        <w:rPr>
          <w:rStyle w:val="FootnoteReference"/>
        </w:rPr>
        <w:footnoteReference w:id="44"/>
      </w:r>
      <w:r w:rsidR="003D2BCE" w:rsidRPr="00154F1D">
        <w:t xml:space="preserve"> In addition, the defendant’s legal representatives are able to challenge jurors.</w:t>
      </w:r>
      <w:r w:rsidR="003D2BCE" w:rsidRPr="00154F1D">
        <w:rPr>
          <w:rStyle w:val="FootnoteReference"/>
        </w:rPr>
        <w:footnoteReference w:id="45"/>
      </w:r>
      <w:r w:rsidR="00D91F08" w:rsidRPr="00154F1D">
        <w:t xml:space="preserve"> Following the special hearing, the jury can make a finding that the </w:t>
      </w:r>
      <w:r w:rsidR="002F5921">
        <w:t>person</w:t>
      </w:r>
      <w:r w:rsidR="002F5921" w:rsidRPr="00154F1D">
        <w:t xml:space="preserve"> </w:t>
      </w:r>
      <w:r w:rsidR="00D91F08" w:rsidRPr="00154F1D">
        <w:t xml:space="preserve">is not guilty, which has the same effect as if the </w:t>
      </w:r>
      <w:r w:rsidR="002F5921">
        <w:t>accused</w:t>
      </w:r>
      <w:r w:rsidR="002F5921" w:rsidRPr="00154F1D">
        <w:t xml:space="preserve"> </w:t>
      </w:r>
      <w:r w:rsidR="00D91F08" w:rsidRPr="00154F1D">
        <w:t xml:space="preserve">was acquitted following an ordinary trial process, or a finding that the </w:t>
      </w:r>
      <w:r w:rsidR="002F5921">
        <w:t>accused</w:t>
      </w:r>
      <w:r w:rsidR="002F5921" w:rsidRPr="00154F1D">
        <w:t xml:space="preserve"> </w:t>
      </w:r>
      <w:r w:rsidR="00D91F08" w:rsidRPr="00154F1D">
        <w:t>is not guilty by reason of insanity or that a finding cannot be made that the defendant is not guilty of the offence.</w:t>
      </w:r>
    </w:p>
    <w:p w14:paraId="7A0E2293" w14:textId="623B55D5" w:rsidR="004C6417" w:rsidRPr="00154F1D" w:rsidRDefault="003D5C5D" w:rsidP="004C6417">
      <w:pPr>
        <w:pStyle w:val="furhtersub-heading2"/>
      </w:pPr>
      <w:r w:rsidRPr="00154F1D">
        <w:t>L</w:t>
      </w:r>
      <w:r w:rsidR="00426744" w:rsidRPr="00154F1D">
        <w:t>east restrictive alternative</w:t>
      </w:r>
    </w:p>
    <w:p w14:paraId="6472E676" w14:textId="4738661F" w:rsidR="000B0BD0" w:rsidRPr="00154F1D" w:rsidRDefault="002752C4" w:rsidP="00744FAA">
      <w:pPr>
        <w:pStyle w:val="NormalNumberedTextTLRI"/>
      </w:pPr>
      <w:r w:rsidRPr="00154F1D">
        <w:t xml:space="preserve">The </w:t>
      </w:r>
      <w:r w:rsidR="00DE6538" w:rsidRPr="00154F1D">
        <w:rPr>
          <w:i/>
        </w:rPr>
        <w:t>Criminal Justice Mental Impairment Act 1999</w:t>
      </w:r>
      <w:r w:rsidR="00DE6538" w:rsidRPr="00154F1D">
        <w:t xml:space="preserve"> (Tas)</w:t>
      </w:r>
      <w:r w:rsidRPr="00154F1D">
        <w:t xml:space="preserve"> </w:t>
      </w:r>
      <w:r w:rsidR="000B332E" w:rsidRPr="00154F1D">
        <w:t>exp</w:t>
      </w:r>
      <w:r w:rsidR="0013613A" w:rsidRPr="00154F1D">
        <w:t>ressly</w:t>
      </w:r>
      <w:r w:rsidR="000B332E" w:rsidRPr="00154F1D">
        <w:t xml:space="preserve"> states that the court is to apply the principle that ‘restrictions on the defendant’s freedom and personal autonomy should be kept to the minimum consistent with the safety of the community’.</w:t>
      </w:r>
      <w:r w:rsidR="000B332E" w:rsidRPr="00154F1D">
        <w:rPr>
          <w:rStyle w:val="FootnoteReference"/>
        </w:rPr>
        <w:footnoteReference w:id="46"/>
      </w:r>
      <w:r w:rsidR="000B332E" w:rsidRPr="00154F1D">
        <w:t xml:space="preserve"> </w:t>
      </w:r>
      <w:r w:rsidR="000B0BD0" w:rsidRPr="00154F1D">
        <w:t>As noted by the VLRC:</w:t>
      </w:r>
    </w:p>
    <w:p w14:paraId="4E17CD93" w14:textId="655C0184" w:rsidR="000B0BD0" w:rsidRPr="00154F1D" w:rsidRDefault="000B0BD0" w:rsidP="0074267A">
      <w:pPr>
        <w:pStyle w:val="QuoteTLRI"/>
      </w:pPr>
      <w:r w:rsidRPr="00154F1D">
        <w:t>The principle of least restriction is fundamental to considering the protection of the community, as the rehabilitation of people subject to the CMIA through successful community reintegration is the best way to ensure protection of the community, as well as restoring the person to a state in which they can be a functioning member of that community.</w:t>
      </w:r>
      <w:r w:rsidRPr="00154F1D">
        <w:rPr>
          <w:rStyle w:val="FootnoteReference"/>
        </w:rPr>
        <w:footnoteReference w:id="47"/>
      </w:r>
    </w:p>
    <w:p w14:paraId="4651A997" w14:textId="64C5D811" w:rsidR="004C77DA" w:rsidRPr="00154F1D" w:rsidRDefault="000B332E" w:rsidP="00744FAA">
      <w:pPr>
        <w:pStyle w:val="NormalNumberedTextTLRI"/>
        <w:numPr>
          <w:ilvl w:val="0"/>
          <w:numId w:val="0"/>
        </w:numPr>
      </w:pPr>
      <w:r w:rsidRPr="00154F1D">
        <w:t xml:space="preserve">This </w:t>
      </w:r>
      <w:r w:rsidR="000B0BD0" w:rsidRPr="00154F1D">
        <w:t xml:space="preserve">principle </w:t>
      </w:r>
      <w:r w:rsidRPr="00154F1D">
        <w:t xml:space="preserve">applies to the decision of the court in relation to which dispositions to impose on an </w:t>
      </w:r>
      <w:r w:rsidR="002F5921">
        <w:t>individual</w:t>
      </w:r>
      <w:r w:rsidRPr="00154F1D">
        <w:t xml:space="preserve">, the conditions of such an order and the decision as to whether to discharge or vary </w:t>
      </w:r>
      <w:r w:rsidR="00D92573">
        <w:t>the</w:t>
      </w:r>
      <w:r w:rsidRPr="00154F1D">
        <w:t xml:space="preserve"> order. In reviewing forensic orders under the </w:t>
      </w:r>
      <w:r w:rsidRPr="00154F1D">
        <w:rPr>
          <w:i/>
        </w:rPr>
        <w:t xml:space="preserve">Mental Health Act 2013 </w:t>
      </w:r>
      <w:r w:rsidRPr="00154F1D">
        <w:t xml:space="preserve">(Tas), the MHT </w:t>
      </w:r>
      <w:r w:rsidR="00FB576B" w:rsidRPr="00154F1D">
        <w:t xml:space="preserve">must </w:t>
      </w:r>
      <w:r w:rsidRPr="00154F1D">
        <w:t>also have regard to this principle.</w:t>
      </w:r>
      <w:r w:rsidRPr="00154F1D">
        <w:rPr>
          <w:rStyle w:val="FootnoteReference"/>
        </w:rPr>
        <w:footnoteReference w:id="48"/>
      </w:r>
    </w:p>
    <w:p w14:paraId="3FA24286" w14:textId="77777777" w:rsidR="004D623C" w:rsidRPr="00154F1D" w:rsidRDefault="004D623C" w:rsidP="004D623C">
      <w:pPr>
        <w:pStyle w:val="furhtersub-heading2"/>
      </w:pPr>
      <w:r w:rsidRPr="00154F1D">
        <w:t>Community protection</w:t>
      </w:r>
    </w:p>
    <w:p w14:paraId="4B151409" w14:textId="33C2F958" w:rsidR="008C3677" w:rsidRPr="00154F1D" w:rsidRDefault="000B0BD0" w:rsidP="00744FAA">
      <w:pPr>
        <w:pStyle w:val="NormalNumberedTextTLRI"/>
      </w:pPr>
      <w:r w:rsidRPr="00154F1D">
        <w:t xml:space="preserve">Connected with the principle of least restrictive alternative is </w:t>
      </w:r>
      <w:r w:rsidR="00FB576B" w:rsidRPr="00154F1D">
        <w:t xml:space="preserve">the need for </w:t>
      </w:r>
      <w:r w:rsidRPr="00154F1D">
        <w:t xml:space="preserve">community protection. </w:t>
      </w:r>
      <w:r w:rsidR="00C8325B" w:rsidRPr="00154F1D">
        <w:t>A k</w:t>
      </w:r>
      <w:r w:rsidR="00426744" w:rsidRPr="00154F1D">
        <w:t xml:space="preserve">ey focus of the </w:t>
      </w:r>
      <w:r w:rsidR="00DE6538" w:rsidRPr="00154F1D">
        <w:rPr>
          <w:i/>
        </w:rPr>
        <w:t>Criminal Justice Mental Impairment Act 1999</w:t>
      </w:r>
      <w:r w:rsidR="00DE6538" w:rsidRPr="00154F1D">
        <w:t xml:space="preserve"> (Tas)</w:t>
      </w:r>
      <w:r w:rsidR="00C8325B" w:rsidRPr="00154F1D">
        <w:t xml:space="preserve"> </w:t>
      </w:r>
      <w:r w:rsidR="00426744" w:rsidRPr="00154F1D">
        <w:t xml:space="preserve">is </w:t>
      </w:r>
      <w:r w:rsidR="0013613A" w:rsidRPr="00154F1D">
        <w:t xml:space="preserve">the need to protect </w:t>
      </w:r>
      <w:r w:rsidR="00426744" w:rsidRPr="00154F1D">
        <w:t xml:space="preserve">community safety, including the </w:t>
      </w:r>
      <w:r w:rsidR="0013613A" w:rsidRPr="00154F1D">
        <w:t xml:space="preserve">need to recognise the </w:t>
      </w:r>
      <w:r w:rsidR="00426744" w:rsidRPr="00154F1D">
        <w:t>interests of victims</w:t>
      </w:r>
      <w:r w:rsidR="003D5C5D" w:rsidRPr="00154F1D">
        <w:t xml:space="preserve"> and family members</w:t>
      </w:r>
      <w:r w:rsidR="00426744" w:rsidRPr="00154F1D">
        <w:t xml:space="preserve">. </w:t>
      </w:r>
      <w:r w:rsidR="00B750C6">
        <w:t>C</w:t>
      </w:r>
      <w:r w:rsidR="00B0339A">
        <w:t>oncern</w:t>
      </w:r>
      <w:r w:rsidR="00B0339A" w:rsidRPr="00154F1D">
        <w:t xml:space="preserve"> </w:t>
      </w:r>
      <w:r w:rsidR="0089268A" w:rsidRPr="00154F1D">
        <w:t>to reflect the interests of a person with mental health and cognitive</w:t>
      </w:r>
      <w:r w:rsidR="008C3677" w:rsidRPr="00154F1D">
        <w:t xml:space="preserve"> </w:t>
      </w:r>
      <w:r w:rsidR="0089268A" w:rsidRPr="00154F1D">
        <w:t>impairment within the criminal justice process and the needs of the community and victims was articulated in the Butler</w:t>
      </w:r>
      <w:r w:rsidR="00A236B1" w:rsidRPr="00154F1D">
        <w:t xml:space="preserve"> R</w:t>
      </w:r>
      <w:r w:rsidR="0089268A" w:rsidRPr="00154F1D">
        <w:t>eport:</w:t>
      </w:r>
    </w:p>
    <w:p w14:paraId="7D4496EE" w14:textId="6D84E05C" w:rsidR="0089268A" w:rsidRPr="00154F1D" w:rsidRDefault="0089268A" w:rsidP="0074267A">
      <w:pPr>
        <w:pStyle w:val="QuoteTLRI"/>
      </w:pPr>
      <w:r w:rsidRPr="00154F1D">
        <w:rPr>
          <w:lang w:val="en-US"/>
        </w:rPr>
        <w:t xml:space="preserve">It is fundamental for all mental health consumers, including forensic patients, to be accorded basic rights and treated with humanity and respect. They should not be discriminated against on the grounds of mental illness. </w:t>
      </w:r>
      <w:r w:rsidRPr="00154F1D">
        <w:t>Where, however, a person has committed a serious criminal act, particularly a violent act, consideration must also be given to the fundamental rights of others to protection and support.</w:t>
      </w:r>
      <w:bookmarkStart w:id="59" w:name="_Ref535835551"/>
      <w:r w:rsidRPr="00154F1D">
        <w:rPr>
          <w:rStyle w:val="FootnoteReference"/>
        </w:rPr>
        <w:footnoteReference w:id="49"/>
      </w:r>
      <w:bookmarkEnd w:id="59"/>
    </w:p>
    <w:p w14:paraId="5AD1D9ED" w14:textId="5BF40057" w:rsidR="004D623C" w:rsidRPr="00154F1D" w:rsidRDefault="0089268A" w:rsidP="00744FAA">
      <w:pPr>
        <w:pStyle w:val="NormalNumberedTextTLRI"/>
      </w:pPr>
      <w:r w:rsidRPr="00154F1D">
        <w:t>Community prote</w:t>
      </w:r>
      <w:r w:rsidR="008C3677" w:rsidRPr="00154F1D">
        <w:t xml:space="preserve">ction </w:t>
      </w:r>
      <w:r w:rsidR="004D623C" w:rsidRPr="00154F1D">
        <w:t xml:space="preserve">is reflected in the </w:t>
      </w:r>
      <w:r w:rsidR="00DE6538" w:rsidRPr="00154F1D">
        <w:rPr>
          <w:i/>
        </w:rPr>
        <w:t>Criminal Justice Mental Impairment Act 1999</w:t>
      </w:r>
      <w:r w:rsidR="00DE6538" w:rsidRPr="00154F1D">
        <w:t xml:space="preserve"> (Tas)</w:t>
      </w:r>
      <w:r w:rsidR="004D623C" w:rsidRPr="00154F1D">
        <w:t xml:space="preserve"> </w:t>
      </w:r>
      <w:r w:rsidR="000D6DC5" w:rsidRPr="00154F1D">
        <w:t>with the court being directed to have regard to whether the defendant is, or would if released be</w:t>
      </w:r>
      <w:r w:rsidR="00B0339A">
        <w:t>,</w:t>
      </w:r>
      <w:r w:rsidR="000D6DC5" w:rsidRPr="00154F1D">
        <w:t xml:space="preserve"> likely to endanger another person or other persons generally.</w:t>
      </w:r>
      <w:r w:rsidR="000D6DC5" w:rsidRPr="00154F1D">
        <w:rPr>
          <w:rStyle w:val="FootnoteReference"/>
        </w:rPr>
        <w:footnoteReference w:id="50"/>
      </w:r>
      <w:r w:rsidR="000D6DC5" w:rsidRPr="00154F1D">
        <w:t xml:space="preserve"> The Court is also directed to have regard to the nature of the defendant’s mental impairment or other condition or disability,</w:t>
      </w:r>
      <w:r w:rsidR="000D6DC5" w:rsidRPr="00154F1D">
        <w:rPr>
          <w:rStyle w:val="FootnoteReference"/>
        </w:rPr>
        <w:footnoteReference w:id="51"/>
      </w:r>
      <w:r w:rsidR="007A5B28" w:rsidRPr="00154F1D">
        <w:t xml:space="preserve"> and a court must not discharge a restriction order, release a defendant or significantly reduce the degree of supervision, unless it has considered expert reports on the condition of the defendant and the possible effect of the proposed action on the behaviour of the defendant.</w:t>
      </w:r>
      <w:r w:rsidR="007A5B28" w:rsidRPr="00154F1D">
        <w:rPr>
          <w:rStyle w:val="FootnoteReference"/>
        </w:rPr>
        <w:footnoteReference w:id="52"/>
      </w:r>
      <w:r w:rsidR="007A5B28" w:rsidRPr="00154F1D">
        <w:t xml:space="preserve"> In reviewing forensic orders under the </w:t>
      </w:r>
      <w:r w:rsidR="007A5B28" w:rsidRPr="00154F1D">
        <w:rPr>
          <w:i/>
        </w:rPr>
        <w:t xml:space="preserve">Mental Health Act 2013 </w:t>
      </w:r>
      <w:r w:rsidR="007A5B28" w:rsidRPr="00154F1D">
        <w:t>(Tas)</w:t>
      </w:r>
      <w:r w:rsidR="00F66C2F" w:rsidRPr="00154F1D">
        <w:t xml:space="preserve">, the MHT </w:t>
      </w:r>
      <w:r w:rsidR="003B6AD3">
        <w:t xml:space="preserve">must </w:t>
      </w:r>
      <w:r w:rsidR="00F66C2F" w:rsidRPr="00154F1D">
        <w:t>also have regard to these principles.</w:t>
      </w:r>
      <w:r w:rsidR="00F66C2F" w:rsidRPr="00154F1D">
        <w:rPr>
          <w:rStyle w:val="FootnoteReference"/>
        </w:rPr>
        <w:footnoteReference w:id="53"/>
      </w:r>
      <w:r w:rsidR="008B5CA4" w:rsidRPr="00154F1D">
        <w:t xml:space="preserve"> Community protection is also a factor relevant to the operation of the insanity defence (as discussed at </w:t>
      </w:r>
      <w:r w:rsidR="007C5546" w:rsidRPr="00154F1D">
        <w:t>[7.2]</w:t>
      </w:r>
      <w:r w:rsidR="008B5CA4" w:rsidRPr="00154F1D">
        <w:t>).</w:t>
      </w:r>
    </w:p>
    <w:p w14:paraId="02C6BE5C" w14:textId="216D0ED9" w:rsidR="00846C5A" w:rsidRPr="00154F1D" w:rsidRDefault="0073494E" w:rsidP="00744FAA">
      <w:pPr>
        <w:pStyle w:val="NormalNumberedTextTLRI"/>
      </w:pPr>
      <w:r w:rsidRPr="00154F1D">
        <w:t>Related to community protection, a</w:t>
      </w:r>
      <w:r w:rsidR="003D5C5D" w:rsidRPr="00154F1D">
        <w:t xml:space="preserve"> significant factor that is recognised under the </w:t>
      </w:r>
      <w:r w:rsidR="00DE6538" w:rsidRPr="00154F1D">
        <w:rPr>
          <w:i/>
        </w:rPr>
        <w:t>Criminal Justice Mental Impairment Act 1999</w:t>
      </w:r>
      <w:r w:rsidR="00DE6538" w:rsidRPr="00154F1D">
        <w:t xml:space="preserve"> (Tas)</w:t>
      </w:r>
      <w:r w:rsidR="003D5C5D" w:rsidRPr="00154F1D">
        <w:t xml:space="preserve"> </w:t>
      </w:r>
      <w:r w:rsidR="00FB576B" w:rsidRPr="00154F1D">
        <w:t xml:space="preserve">is </w:t>
      </w:r>
      <w:r w:rsidR="003D5C5D" w:rsidRPr="00154F1D">
        <w:t>the rights of v</w:t>
      </w:r>
      <w:r w:rsidR="00426744" w:rsidRPr="00154F1D">
        <w:t>ictims</w:t>
      </w:r>
      <w:r w:rsidR="003D5C5D" w:rsidRPr="00154F1D">
        <w:t xml:space="preserve"> and family members.</w:t>
      </w:r>
      <w:r w:rsidR="00426744" w:rsidRPr="00154F1D">
        <w:t xml:space="preserve"> </w:t>
      </w:r>
      <w:r w:rsidR="00DC5CF9" w:rsidRPr="00154F1D">
        <w:t>Before varying</w:t>
      </w:r>
      <w:r w:rsidR="00EA7532" w:rsidRPr="00154F1D">
        <w:t xml:space="preserve"> or discharging an order, </w:t>
      </w:r>
      <w:r w:rsidR="00DC5CF9" w:rsidRPr="00154F1D">
        <w:t xml:space="preserve">the </w:t>
      </w:r>
      <w:r w:rsidR="00DE6538" w:rsidRPr="00154F1D">
        <w:rPr>
          <w:i/>
        </w:rPr>
        <w:t>Criminal Justice Mental Impairment Act 1999</w:t>
      </w:r>
      <w:r w:rsidR="00DE6538" w:rsidRPr="00154F1D">
        <w:t xml:space="preserve"> (Tas)</w:t>
      </w:r>
      <w:r w:rsidR="00C06D1C" w:rsidRPr="00154F1D">
        <w:t xml:space="preserve"> provides that </w:t>
      </w:r>
      <w:r w:rsidR="00DC5CF9" w:rsidRPr="00154F1D">
        <w:t xml:space="preserve">the court must be provided </w:t>
      </w:r>
      <w:r w:rsidR="00426744" w:rsidRPr="00154F1D">
        <w:t xml:space="preserve">with </w:t>
      </w:r>
      <w:r w:rsidR="00FB576B" w:rsidRPr="00154F1D">
        <w:t xml:space="preserve">a </w:t>
      </w:r>
      <w:r w:rsidR="00426744" w:rsidRPr="00154F1D">
        <w:t xml:space="preserve">report stating the views of the next of kin of the </w:t>
      </w:r>
      <w:r w:rsidR="00DC5CF9" w:rsidRPr="00154F1D">
        <w:t>defendant</w:t>
      </w:r>
      <w:r w:rsidR="00426744" w:rsidRPr="00154F1D">
        <w:t xml:space="preserve"> and</w:t>
      </w:r>
      <w:r w:rsidR="003030D0" w:rsidRPr="00154F1D">
        <w:t xml:space="preserve"> the victims </w:t>
      </w:r>
      <w:r w:rsidR="00426744" w:rsidRPr="00154F1D">
        <w:t xml:space="preserve">of the </w:t>
      </w:r>
      <w:r w:rsidR="00DE6538" w:rsidRPr="00154F1D">
        <w:t>defendant</w:t>
      </w:r>
      <w:r w:rsidR="00426744" w:rsidRPr="00154F1D">
        <w:t>’s conduct</w:t>
      </w:r>
      <w:r w:rsidR="002C3259">
        <w:t>,</w:t>
      </w:r>
      <w:r w:rsidR="002C3259" w:rsidRPr="002C3259">
        <w:t xml:space="preserve"> </w:t>
      </w:r>
      <w:r w:rsidR="002C3259" w:rsidRPr="00154F1D">
        <w:t xml:space="preserve">so far as </w:t>
      </w:r>
      <w:r w:rsidR="002C3259">
        <w:t xml:space="preserve">is </w:t>
      </w:r>
      <w:r w:rsidR="002C3259" w:rsidRPr="00154F1D">
        <w:t>reasonably ascertainable</w:t>
      </w:r>
      <w:r w:rsidR="00DC5CF9" w:rsidRPr="00154F1D">
        <w:t>.</w:t>
      </w:r>
      <w:r w:rsidR="00DC5CF9" w:rsidRPr="00154F1D">
        <w:rPr>
          <w:rStyle w:val="FootnoteReference"/>
        </w:rPr>
        <w:footnoteReference w:id="54"/>
      </w:r>
      <w:r w:rsidR="00426744" w:rsidRPr="00154F1D">
        <w:t xml:space="preserve"> </w:t>
      </w:r>
    </w:p>
    <w:p w14:paraId="7F44246A" w14:textId="40BC01B4" w:rsidR="00846C5A" w:rsidRPr="00154F1D" w:rsidRDefault="00846C5A" w:rsidP="00846C5A">
      <w:pPr>
        <w:pStyle w:val="NormalNumberedTextTLRI"/>
        <w:numPr>
          <w:ilvl w:val="0"/>
          <w:numId w:val="0"/>
        </w:numPr>
      </w:pPr>
    </w:p>
    <w:p w14:paraId="621E5BF2" w14:textId="77777777" w:rsidR="00846C5A" w:rsidRPr="00154F1D" w:rsidRDefault="00846C5A" w:rsidP="00846C5A">
      <w:pPr>
        <w:pStyle w:val="NormalNumberedTextTLRI"/>
        <w:numPr>
          <w:ilvl w:val="0"/>
          <w:numId w:val="0"/>
        </w:numPr>
        <w:sectPr w:rsidR="00846C5A" w:rsidRPr="00154F1D" w:rsidSect="00D44CC5">
          <w:headerReference w:type="even" r:id="rId30"/>
          <w:headerReference w:type="default" r:id="rId31"/>
          <w:headerReference w:type="first" r:id="rId32"/>
          <w:pgSz w:w="11900" w:h="16840"/>
          <w:pgMar w:top="1440" w:right="1797" w:bottom="1440" w:left="1797" w:header="709" w:footer="709" w:gutter="0"/>
          <w:cols w:space="708"/>
          <w:titlePg/>
          <w:docGrid w:linePitch="360"/>
        </w:sectPr>
      </w:pPr>
    </w:p>
    <w:p w14:paraId="0665C07E" w14:textId="77777777" w:rsidR="00BD4A60" w:rsidRPr="00154F1D" w:rsidRDefault="00BD4A60" w:rsidP="00BD4A60">
      <w:pPr>
        <w:pStyle w:val="PartNoTLRI"/>
      </w:pPr>
      <w:bookmarkStart w:id="60" w:name="_Toc535868917"/>
      <w:bookmarkEnd w:id="60"/>
    </w:p>
    <w:p w14:paraId="618F39F7" w14:textId="5A880940" w:rsidR="00097D34" w:rsidRPr="00154F1D" w:rsidRDefault="00545A11" w:rsidP="00097D34">
      <w:pPr>
        <w:pStyle w:val="PartHeadingTLRI"/>
        <w:rPr>
          <w:sz w:val="48"/>
          <w:szCs w:val="48"/>
        </w:rPr>
      </w:pPr>
      <w:bookmarkStart w:id="61" w:name="_Toc535868918"/>
      <w:r w:rsidRPr="00154F1D">
        <w:rPr>
          <w:sz w:val="48"/>
          <w:szCs w:val="48"/>
        </w:rPr>
        <w:t>Mental</w:t>
      </w:r>
      <w:r w:rsidR="00E46681" w:rsidRPr="00154F1D">
        <w:rPr>
          <w:sz w:val="48"/>
          <w:szCs w:val="48"/>
        </w:rPr>
        <w:t xml:space="preserve"> </w:t>
      </w:r>
      <w:r w:rsidR="00846C5A" w:rsidRPr="00154F1D">
        <w:rPr>
          <w:sz w:val="48"/>
          <w:szCs w:val="48"/>
        </w:rPr>
        <w:t>H</w:t>
      </w:r>
      <w:r w:rsidR="005E674C" w:rsidRPr="00154F1D">
        <w:rPr>
          <w:sz w:val="48"/>
          <w:szCs w:val="48"/>
        </w:rPr>
        <w:t>ealth</w:t>
      </w:r>
      <w:r w:rsidR="005D096F">
        <w:rPr>
          <w:sz w:val="48"/>
          <w:szCs w:val="48"/>
        </w:rPr>
        <w:t xml:space="preserve"> and</w:t>
      </w:r>
      <w:r w:rsidRPr="00154F1D">
        <w:rPr>
          <w:sz w:val="48"/>
          <w:szCs w:val="48"/>
        </w:rPr>
        <w:t xml:space="preserve"> </w:t>
      </w:r>
      <w:r w:rsidR="00846C5A" w:rsidRPr="00154F1D">
        <w:rPr>
          <w:sz w:val="48"/>
          <w:szCs w:val="48"/>
        </w:rPr>
        <w:t>C</w:t>
      </w:r>
      <w:r w:rsidRPr="00154F1D">
        <w:rPr>
          <w:sz w:val="48"/>
          <w:szCs w:val="48"/>
        </w:rPr>
        <w:t>ognitive</w:t>
      </w:r>
      <w:r w:rsidR="00E46681" w:rsidRPr="00154F1D">
        <w:rPr>
          <w:sz w:val="48"/>
          <w:szCs w:val="48"/>
        </w:rPr>
        <w:t xml:space="preserve"> </w:t>
      </w:r>
      <w:r w:rsidR="00846C5A" w:rsidRPr="00154F1D">
        <w:rPr>
          <w:sz w:val="48"/>
          <w:szCs w:val="48"/>
        </w:rPr>
        <w:t>I</w:t>
      </w:r>
      <w:r w:rsidR="00E46681" w:rsidRPr="00154F1D">
        <w:rPr>
          <w:sz w:val="48"/>
          <w:szCs w:val="48"/>
        </w:rPr>
        <w:t xml:space="preserve">mpairments </w:t>
      </w:r>
      <w:r w:rsidR="00547923" w:rsidRPr="00154F1D">
        <w:rPr>
          <w:sz w:val="48"/>
          <w:szCs w:val="48"/>
        </w:rPr>
        <w:t xml:space="preserve">and </w:t>
      </w:r>
      <w:r w:rsidR="00BD4A60" w:rsidRPr="00154F1D">
        <w:rPr>
          <w:sz w:val="48"/>
          <w:szCs w:val="48"/>
        </w:rPr>
        <w:t xml:space="preserve">the </w:t>
      </w:r>
      <w:r w:rsidR="00846C5A" w:rsidRPr="00154F1D">
        <w:rPr>
          <w:sz w:val="48"/>
          <w:szCs w:val="48"/>
        </w:rPr>
        <w:t>C</w:t>
      </w:r>
      <w:r w:rsidR="00BD4A60" w:rsidRPr="00154F1D">
        <w:rPr>
          <w:sz w:val="48"/>
          <w:szCs w:val="48"/>
        </w:rPr>
        <w:t xml:space="preserve">riminal </w:t>
      </w:r>
      <w:r w:rsidR="00846C5A" w:rsidRPr="00154F1D">
        <w:rPr>
          <w:sz w:val="48"/>
          <w:szCs w:val="48"/>
        </w:rPr>
        <w:t>J</w:t>
      </w:r>
      <w:r w:rsidR="00BD4A60" w:rsidRPr="00154F1D">
        <w:rPr>
          <w:sz w:val="48"/>
          <w:szCs w:val="48"/>
        </w:rPr>
        <w:t xml:space="preserve">ustice </w:t>
      </w:r>
      <w:r w:rsidR="00846C5A" w:rsidRPr="00154F1D">
        <w:rPr>
          <w:sz w:val="48"/>
          <w:szCs w:val="48"/>
        </w:rPr>
        <w:t>S</w:t>
      </w:r>
      <w:r w:rsidR="00BD4A60" w:rsidRPr="00154F1D">
        <w:rPr>
          <w:sz w:val="48"/>
          <w:szCs w:val="48"/>
        </w:rPr>
        <w:t>ystem</w:t>
      </w:r>
      <w:bookmarkEnd w:id="61"/>
    </w:p>
    <w:p w14:paraId="61E683DF" w14:textId="2468D91E" w:rsidR="008B119E" w:rsidRPr="00154F1D" w:rsidRDefault="00097D34" w:rsidP="00D80045">
      <w:pPr>
        <w:pStyle w:val="NumberedHeadingTLRI"/>
      </w:pPr>
      <w:bookmarkStart w:id="62" w:name="_Toc535868919"/>
      <w:r w:rsidRPr="00154F1D">
        <w:t>I</w:t>
      </w:r>
      <w:r w:rsidR="008B119E" w:rsidRPr="00154F1D">
        <w:t>ntroduction</w:t>
      </w:r>
      <w:bookmarkEnd w:id="62"/>
    </w:p>
    <w:p w14:paraId="7E05DF1D" w14:textId="18255888" w:rsidR="00540002" w:rsidRPr="00154F1D" w:rsidRDefault="008B119E" w:rsidP="00744FAA">
      <w:pPr>
        <w:pStyle w:val="NormalNumberedTextTLRI"/>
      </w:pPr>
      <w:r w:rsidRPr="00154F1D">
        <w:t>I</w:t>
      </w:r>
      <w:r w:rsidR="00097D34" w:rsidRPr="00154F1D">
        <w:t xml:space="preserve">nsanity and fitness to stand trial </w:t>
      </w:r>
      <w:r w:rsidR="00FB576B" w:rsidRPr="00154F1D">
        <w:t xml:space="preserve">apply </w:t>
      </w:r>
      <w:r w:rsidR="00097D34" w:rsidRPr="00154F1D">
        <w:t xml:space="preserve">to only a small number of </w:t>
      </w:r>
      <w:r w:rsidR="002F5921">
        <w:t>individual</w:t>
      </w:r>
      <w:r w:rsidR="002F5921" w:rsidRPr="00154F1D">
        <w:t xml:space="preserve">s </w:t>
      </w:r>
      <w:r w:rsidR="00097D34" w:rsidRPr="00154F1D">
        <w:t xml:space="preserve">compared to the </w:t>
      </w:r>
      <w:r w:rsidR="00545A11" w:rsidRPr="00154F1D">
        <w:t xml:space="preserve">number of </w:t>
      </w:r>
      <w:r w:rsidR="00762DA9">
        <w:t>defendant</w:t>
      </w:r>
      <w:r w:rsidR="002F5921">
        <w:t xml:space="preserve">s </w:t>
      </w:r>
      <w:r w:rsidR="00545A11" w:rsidRPr="00154F1D">
        <w:t xml:space="preserve">with mental health and cognitive impairments </w:t>
      </w:r>
      <w:r w:rsidR="00AD5DC1" w:rsidRPr="00154F1D">
        <w:t xml:space="preserve">overall who are </w:t>
      </w:r>
      <w:r w:rsidR="00097D34" w:rsidRPr="00154F1D">
        <w:t xml:space="preserve">involved in the criminal justice system. </w:t>
      </w:r>
      <w:r w:rsidR="009A052E" w:rsidRPr="00154F1D">
        <w:t xml:space="preserve">This </w:t>
      </w:r>
      <w:r w:rsidR="008B5CA4" w:rsidRPr="00154F1D">
        <w:t>P</w:t>
      </w:r>
      <w:r w:rsidR="009A052E" w:rsidRPr="00154F1D">
        <w:t xml:space="preserve">art </w:t>
      </w:r>
      <w:r w:rsidR="00657CB2" w:rsidRPr="00154F1D">
        <w:t xml:space="preserve">provides an overview of mental illness </w:t>
      </w:r>
      <w:r w:rsidR="00AD5DC1" w:rsidRPr="00154F1D">
        <w:t xml:space="preserve">and </w:t>
      </w:r>
      <w:r w:rsidR="00657CB2" w:rsidRPr="00154F1D">
        <w:t>cognitive impairments and the criminal justice system.</w:t>
      </w:r>
    </w:p>
    <w:p w14:paraId="27C09916" w14:textId="10181DE6" w:rsidR="008B119E" w:rsidRPr="00154F1D" w:rsidRDefault="008B119E" w:rsidP="00D80045">
      <w:pPr>
        <w:pStyle w:val="NumberedHeadingTLRI"/>
      </w:pPr>
      <w:bookmarkStart w:id="63" w:name="_Toc535868920"/>
      <w:r w:rsidRPr="00154F1D">
        <w:t xml:space="preserve">Overview of mental </w:t>
      </w:r>
      <w:r w:rsidR="00545A11" w:rsidRPr="00154F1D">
        <w:t>illness and cognitive impairments</w:t>
      </w:r>
      <w:r w:rsidRPr="00154F1D">
        <w:t xml:space="preserve"> and the criminal justice system</w:t>
      </w:r>
      <w:bookmarkEnd w:id="63"/>
    </w:p>
    <w:p w14:paraId="66B032F6" w14:textId="4FFC27A6" w:rsidR="0019370F" w:rsidRPr="00154F1D" w:rsidRDefault="00F24336" w:rsidP="00744FAA">
      <w:pPr>
        <w:pStyle w:val="NormalNumberedTextTLRI"/>
      </w:pPr>
      <w:r w:rsidRPr="00154F1D">
        <w:t xml:space="preserve">Research in other </w:t>
      </w:r>
      <w:r w:rsidR="00CE5A81" w:rsidRPr="00154F1D">
        <w:t xml:space="preserve">Australian </w:t>
      </w:r>
      <w:r w:rsidRPr="00154F1D">
        <w:t>jurisdictions has concluded that there ‘is strong evidence that people with cognitive and mental health impairments are over-represented throughout the criminal justice system’.</w:t>
      </w:r>
      <w:bookmarkStart w:id="64" w:name="_Ref534982374"/>
      <w:r w:rsidRPr="00154F1D">
        <w:rPr>
          <w:rStyle w:val="FootnoteReference"/>
        </w:rPr>
        <w:footnoteReference w:id="55"/>
      </w:r>
      <w:bookmarkEnd w:id="64"/>
      <w:r w:rsidR="00BE6F72" w:rsidRPr="00154F1D">
        <w:t xml:space="preserve"> </w:t>
      </w:r>
      <w:r w:rsidR="00A65D83" w:rsidRPr="00154F1D">
        <w:t>In 2015, t</w:t>
      </w:r>
      <w:r w:rsidR="00E13550" w:rsidRPr="00154F1D">
        <w:t>he Australian Institute of Health and Welfare reported that 49</w:t>
      </w:r>
      <w:r w:rsidR="00C92F06" w:rsidRPr="00154F1D">
        <w:t xml:space="preserve"> per cent</w:t>
      </w:r>
      <w:r w:rsidR="00E13550" w:rsidRPr="00154F1D">
        <w:t xml:space="preserve"> of prison entra</w:t>
      </w:r>
      <w:r w:rsidR="00D710F0" w:rsidRPr="00154F1D">
        <w:t xml:space="preserve">nts </w:t>
      </w:r>
      <w:r w:rsidR="00A65D83" w:rsidRPr="00154F1D">
        <w:t xml:space="preserve">had </w:t>
      </w:r>
      <w:r w:rsidR="00D710F0" w:rsidRPr="00154F1D">
        <w:t xml:space="preserve">disclosed that they had </w:t>
      </w:r>
      <w:r w:rsidR="00E13550" w:rsidRPr="00154F1D">
        <w:t>been told by a doctor, psychiatrist, psychologist or nurse that they had a mental health disorder (including drug or alcohol abuse).</w:t>
      </w:r>
      <w:r w:rsidR="00E13550" w:rsidRPr="00154F1D">
        <w:rPr>
          <w:rStyle w:val="FootnoteReference"/>
        </w:rPr>
        <w:footnoteReference w:id="56"/>
      </w:r>
      <w:r w:rsidR="00E13550" w:rsidRPr="00154F1D">
        <w:t xml:space="preserve"> </w:t>
      </w:r>
      <w:r w:rsidR="00D6057D" w:rsidRPr="00154F1D">
        <w:t>In Victoria, it has been estimated that ‘approximately 55% of offenders at court suffer some form of mental impairment’.</w:t>
      </w:r>
      <w:r w:rsidR="00D6057D" w:rsidRPr="00154F1D">
        <w:rPr>
          <w:rStyle w:val="FootnoteReference"/>
        </w:rPr>
        <w:footnoteReference w:id="57"/>
      </w:r>
      <w:r w:rsidR="00D6057D" w:rsidRPr="00154F1D">
        <w:t xml:space="preserve"> </w:t>
      </w:r>
      <w:r w:rsidR="00465957" w:rsidRPr="00154F1D">
        <w:t xml:space="preserve">There </w:t>
      </w:r>
      <w:r w:rsidR="00A65D83" w:rsidRPr="00154F1D">
        <w:t>are</w:t>
      </w:r>
      <w:r w:rsidR="00465957" w:rsidRPr="00154F1D">
        <w:t xml:space="preserve"> also high rates of cognitive </w:t>
      </w:r>
      <w:r w:rsidR="00A65D83" w:rsidRPr="00154F1D">
        <w:t>impairment</w:t>
      </w:r>
      <w:r w:rsidR="00465957" w:rsidRPr="00154F1D">
        <w:t xml:space="preserve"> identified in individuals in contact with the criminal justice system.</w:t>
      </w:r>
      <w:r w:rsidR="00465957" w:rsidRPr="00154F1D">
        <w:rPr>
          <w:rStyle w:val="FootnoteReference"/>
        </w:rPr>
        <w:footnoteReference w:id="58"/>
      </w:r>
      <w:r w:rsidR="00465957" w:rsidRPr="00154F1D">
        <w:t xml:space="preserve"> </w:t>
      </w:r>
      <w:r w:rsidR="000C040E" w:rsidRPr="00154F1D">
        <w:t>Victorian</w:t>
      </w:r>
      <w:r w:rsidR="00EC0947" w:rsidRPr="00154F1D">
        <w:t xml:space="preserve"> research has found that </w:t>
      </w:r>
      <w:r w:rsidR="000C040E" w:rsidRPr="00154F1D">
        <w:t>people with intellectual disabilit</w:t>
      </w:r>
      <w:r w:rsidR="00FB576B" w:rsidRPr="00154F1D">
        <w:t>ies</w:t>
      </w:r>
      <w:r w:rsidR="000C040E" w:rsidRPr="00154F1D">
        <w:t xml:space="preserve"> are at increased risk of having a history of criminal cha</w:t>
      </w:r>
      <w:r w:rsidR="00C92F06" w:rsidRPr="00154F1D">
        <w:t>r</w:t>
      </w:r>
      <w:r w:rsidR="000C040E" w:rsidRPr="00154F1D">
        <w:t>ges, particularly for violent and sexual offences.</w:t>
      </w:r>
      <w:r w:rsidR="000C040E" w:rsidRPr="00154F1D">
        <w:rPr>
          <w:rStyle w:val="FootnoteReference"/>
        </w:rPr>
        <w:footnoteReference w:id="59"/>
      </w:r>
      <w:r w:rsidR="000C040E" w:rsidRPr="00154F1D">
        <w:t xml:space="preserve"> </w:t>
      </w:r>
      <w:r w:rsidR="00842ABB" w:rsidRPr="00154F1D">
        <w:t xml:space="preserve">The </w:t>
      </w:r>
      <w:r w:rsidR="006D16F2" w:rsidRPr="00154F1D">
        <w:t>Law Council of Australia ha</w:t>
      </w:r>
      <w:r w:rsidR="00D94122" w:rsidRPr="00154F1D">
        <w:t>s</w:t>
      </w:r>
      <w:r w:rsidR="003652B9" w:rsidRPr="00154F1D">
        <w:t xml:space="preserve"> observed that ‘[b]</w:t>
      </w:r>
      <w:r w:rsidR="006D16F2" w:rsidRPr="00154F1D">
        <w:t>etween 50 to 78 per cent of prisoners have experienced a psychiatric disorder compared with 11 per cent of the general population, and 20 per cent of prisoner</w:t>
      </w:r>
      <w:r w:rsidR="00907B2C" w:rsidRPr="00154F1D">
        <w:t>s</w:t>
      </w:r>
      <w:r w:rsidR="006D16F2" w:rsidRPr="00154F1D">
        <w:t xml:space="preserve"> have an intellectual disability compared with 2 to 3 per</w:t>
      </w:r>
      <w:r w:rsidR="00C92F06" w:rsidRPr="00154F1D">
        <w:t xml:space="preserve"> </w:t>
      </w:r>
      <w:r w:rsidR="006D16F2" w:rsidRPr="00154F1D">
        <w:t>cent of the general population’.</w:t>
      </w:r>
      <w:r w:rsidR="006D16F2" w:rsidRPr="00154F1D">
        <w:rPr>
          <w:rStyle w:val="FootnoteReference"/>
        </w:rPr>
        <w:footnoteReference w:id="60"/>
      </w:r>
      <w:r w:rsidR="006D16F2" w:rsidRPr="00154F1D">
        <w:t xml:space="preserve"> </w:t>
      </w:r>
      <w:r w:rsidR="001076E6" w:rsidRPr="00154F1D">
        <w:t>In this context, Gooding and his colleagues have written that</w:t>
      </w:r>
      <w:r w:rsidR="00C92F06" w:rsidRPr="00154F1D">
        <w:t>,</w:t>
      </w:r>
      <w:r w:rsidR="001076E6" w:rsidRPr="00154F1D">
        <w:t xml:space="preserve"> ‘</w:t>
      </w:r>
      <w:r w:rsidR="00586137" w:rsidRPr="00154F1D">
        <w:t>[</w:t>
      </w:r>
      <w:r w:rsidR="00E13550" w:rsidRPr="00154F1D">
        <w:t>a</w:t>
      </w:r>
      <w:r w:rsidR="00586137" w:rsidRPr="00154F1D">
        <w:t>]lthough there are significant issues with data collection, [this</w:t>
      </w:r>
      <w:r w:rsidR="00A65D83" w:rsidRPr="00154F1D">
        <w:t xml:space="preserve"> finding</w:t>
      </w:r>
      <w:r w:rsidR="00586137" w:rsidRPr="00154F1D">
        <w:t>] echo[s] a growing body of international research suggesting people with cognitive disabilities are significantly over-represented … in the criminal justice systems of Western, high-income countries’.</w:t>
      </w:r>
      <w:r w:rsidR="00586137" w:rsidRPr="00154F1D">
        <w:rPr>
          <w:rStyle w:val="FootnoteReference"/>
        </w:rPr>
        <w:footnoteReference w:id="61"/>
      </w:r>
      <w:r w:rsidR="00586137" w:rsidRPr="00154F1D">
        <w:t xml:space="preserve"> </w:t>
      </w:r>
      <w:r w:rsidR="00850451" w:rsidRPr="00154F1D">
        <w:t xml:space="preserve">International research </w:t>
      </w:r>
      <w:r w:rsidR="00411331" w:rsidRPr="00154F1D">
        <w:t xml:space="preserve">also </w:t>
      </w:r>
      <w:r w:rsidR="00850451" w:rsidRPr="00154F1D">
        <w:t xml:space="preserve">indicates that the prevalence of mental </w:t>
      </w:r>
      <w:r w:rsidR="00A65D83" w:rsidRPr="00154F1D">
        <w:t xml:space="preserve">health impairments </w:t>
      </w:r>
      <w:r w:rsidR="00850451" w:rsidRPr="00154F1D">
        <w:t>in individuals in contact with the criminal justice system is much higher than rates in the general population.</w:t>
      </w:r>
      <w:r w:rsidR="00850451" w:rsidRPr="00154F1D">
        <w:rPr>
          <w:rStyle w:val="FootnoteReference"/>
        </w:rPr>
        <w:footnoteReference w:id="62"/>
      </w:r>
      <w:r w:rsidR="00962F4D" w:rsidRPr="00154F1D">
        <w:t xml:space="preserve"> Bagaric and Edney indicate that ‘most studies which have been undertaken to measure the prevalence of mental disorders among criminal offenders suggest that it </w:t>
      </w:r>
      <w:r w:rsidR="00FB576B" w:rsidRPr="00154F1D">
        <w:t xml:space="preserve">is </w:t>
      </w:r>
      <w:r w:rsidR="00962F4D" w:rsidRPr="00154F1D">
        <w:t>very high: ranging from approximately one-third to half of criminal offenders’.</w:t>
      </w:r>
      <w:bookmarkStart w:id="65" w:name="_Ref534983520"/>
      <w:r w:rsidR="00962F4D" w:rsidRPr="00154F1D">
        <w:rPr>
          <w:rStyle w:val="FootnoteReference"/>
        </w:rPr>
        <w:footnoteReference w:id="63"/>
      </w:r>
      <w:bookmarkEnd w:id="65"/>
    </w:p>
    <w:p w14:paraId="36E3FF84" w14:textId="732072CC" w:rsidR="00DB20F3" w:rsidRPr="00154F1D" w:rsidRDefault="00850451" w:rsidP="00744FAA">
      <w:pPr>
        <w:pStyle w:val="NormalNumberedTextTLRI"/>
      </w:pPr>
      <w:r w:rsidRPr="00154F1D">
        <w:t>H</w:t>
      </w:r>
      <w:r w:rsidR="00097D34" w:rsidRPr="00154F1D">
        <w:t>igher involvement</w:t>
      </w:r>
      <w:r w:rsidRPr="00154F1D">
        <w:t xml:space="preserve"> in the criminal justice system, however,</w:t>
      </w:r>
      <w:r w:rsidR="00097D34" w:rsidRPr="00154F1D">
        <w:t xml:space="preserve"> </w:t>
      </w:r>
      <w:r w:rsidR="00BE6F72" w:rsidRPr="00154F1D">
        <w:t xml:space="preserve">does not </w:t>
      </w:r>
      <w:r w:rsidR="00097D34" w:rsidRPr="00154F1D">
        <w:t>reflect</w:t>
      </w:r>
      <w:r w:rsidR="00BE6F72" w:rsidRPr="00154F1D">
        <w:t xml:space="preserve"> a simple relationsh</w:t>
      </w:r>
      <w:r w:rsidRPr="00154F1D">
        <w:t>ip between impairment and crime. Instead,</w:t>
      </w:r>
      <w:r w:rsidR="00BE6F72" w:rsidRPr="00154F1D">
        <w:t xml:space="preserve"> </w:t>
      </w:r>
      <w:r w:rsidR="00097D34" w:rsidRPr="00154F1D">
        <w:t>‘</w:t>
      </w:r>
      <w:r w:rsidR="00BE6F72" w:rsidRPr="00154F1D">
        <w:t>it is frequently the product of impairment together with other factors, such as disrupted family backgrounds, family violence, abuse, misuse of drugs and alcohol, and unstable housing’.</w:t>
      </w:r>
      <w:r w:rsidR="00BE6F72" w:rsidRPr="00154F1D">
        <w:rPr>
          <w:rStyle w:val="FootnoteReference"/>
        </w:rPr>
        <w:footnoteReference w:id="64"/>
      </w:r>
      <w:r w:rsidR="00540002" w:rsidRPr="00154F1D">
        <w:t xml:space="preserve"> Other factors that have been </w:t>
      </w:r>
      <w:r w:rsidR="003A555E" w:rsidRPr="00154F1D">
        <w:t>identified</w:t>
      </w:r>
      <w:r w:rsidR="00540002" w:rsidRPr="00154F1D">
        <w:t xml:space="preserve"> include the </w:t>
      </w:r>
      <w:r w:rsidR="00B3399B" w:rsidRPr="00154F1D">
        <w:t>‘</w:t>
      </w:r>
      <w:r w:rsidR="00540002" w:rsidRPr="00154F1D">
        <w:t>dei</w:t>
      </w:r>
      <w:r w:rsidR="00B3399B" w:rsidRPr="00154F1D">
        <w:t>nsti</w:t>
      </w:r>
      <w:r w:rsidR="00540002" w:rsidRPr="00154F1D">
        <w:t>t</w:t>
      </w:r>
      <w:r w:rsidR="00B3399B" w:rsidRPr="00154F1D">
        <w:t>utionalis</w:t>
      </w:r>
      <w:r w:rsidR="00540002" w:rsidRPr="00154F1D">
        <w:t>ation of mentally ill people</w:t>
      </w:r>
      <w:r w:rsidR="00B3399B" w:rsidRPr="00154F1D">
        <w:t xml:space="preserve"> … and the limited capacity of community-based mental health services to address the needs of mentally ill offenders’.</w:t>
      </w:r>
      <w:r w:rsidR="00B3399B" w:rsidRPr="00154F1D">
        <w:rPr>
          <w:rStyle w:val="FootnoteReference"/>
        </w:rPr>
        <w:footnoteReference w:id="65"/>
      </w:r>
      <w:r w:rsidR="00DB20F3" w:rsidRPr="00154F1D">
        <w:t xml:space="preserve"> Further, as Cunneen et al observe</w:t>
      </w:r>
      <w:r w:rsidR="00596690" w:rsidRPr="00154F1D">
        <w:t>,</w:t>
      </w:r>
      <w:r w:rsidR="00DB20F3" w:rsidRPr="00154F1D">
        <w:t xml:space="preserve"> ‘for people with mental and cognitive impairment, the majority of research finds no inherent link between these illnesses or disabilities and crime, but a strong causal link between disability and incarceration’.</w:t>
      </w:r>
      <w:r w:rsidR="00022776" w:rsidRPr="00154F1D">
        <w:rPr>
          <w:rStyle w:val="FootnoteReference"/>
        </w:rPr>
        <w:footnoteReference w:id="66"/>
      </w:r>
      <w:r w:rsidR="00BD5790" w:rsidRPr="00154F1D">
        <w:t xml:space="preserve"> </w:t>
      </w:r>
      <w:r w:rsidRPr="00154F1D">
        <w:t>Further,</w:t>
      </w:r>
      <w:r w:rsidR="00BD5790" w:rsidRPr="00154F1D">
        <w:t xml:space="preserve"> </w:t>
      </w:r>
      <w:r w:rsidR="00FF2AE3" w:rsidRPr="00154F1D">
        <w:t xml:space="preserve">the risk of being drawn into the criminal justice system </w:t>
      </w:r>
      <w:r w:rsidR="00BD5790" w:rsidRPr="00154F1D">
        <w:t xml:space="preserve">is not spread evenly </w:t>
      </w:r>
      <w:r w:rsidR="00FF2AE3" w:rsidRPr="00154F1D">
        <w:t>for</w:t>
      </w:r>
      <w:r w:rsidR="00BD5790" w:rsidRPr="00154F1D">
        <w:t xml:space="preserve"> those with mental and cognitive impairments</w:t>
      </w:r>
      <w:r w:rsidR="00FF2AE3" w:rsidRPr="00154F1D">
        <w:t>, as</w:t>
      </w:r>
      <w:r w:rsidR="00BD5790" w:rsidRPr="00154F1D">
        <w:t xml:space="preserve"> </w:t>
      </w:r>
      <w:r w:rsidR="00FF2AE3" w:rsidRPr="00154F1D">
        <w:t>‘</w:t>
      </w:r>
      <w:r w:rsidR="00BD5790" w:rsidRPr="00154F1D">
        <w:t>it is only those who are seriously socially disadvantaged (homeless mentally ill persons in particular) and from racialised communities who are likely to be imprisoned</w:t>
      </w:r>
      <w:r w:rsidR="00FF2AE3" w:rsidRPr="00154F1D">
        <w:t>’</w:t>
      </w:r>
      <w:r w:rsidR="00BD5790" w:rsidRPr="00154F1D">
        <w:t>.</w:t>
      </w:r>
      <w:r w:rsidR="00FF2AE3" w:rsidRPr="00154F1D">
        <w:rPr>
          <w:rStyle w:val="FootnoteReference"/>
        </w:rPr>
        <w:footnoteReference w:id="67"/>
      </w:r>
    </w:p>
    <w:p w14:paraId="4A33AB2D" w14:textId="413D581F" w:rsidR="008A1B0B" w:rsidRPr="00154F1D" w:rsidRDefault="008A1B0B" w:rsidP="00D80045">
      <w:pPr>
        <w:pStyle w:val="NumberedHeadingTLRI"/>
      </w:pPr>
      <w:bookmarkStart w:id="66" w:name="_Toc535868921"/>
      <w:r w:rsidRPr="00154F1D">
        <w:t xml:space="preserve">Mental </w:t>
      </w:r>
      <w:r w:rsidR="00D1725B" w:rsidRPr="00154F1D">
        <w:t xml:space="preserve">health </w:t>
      </w:r>
      <w:r w:rsidRPr="00154F1D">
        <w:t xml:space="preserve">and </w:t>
      </w:r>
      <w:r w:rsidR="00044240" w:rsidRPr="00154F1D">
        <w:t>cognitive</w:t>
      </w:r>
      <w:r w:rsidRPr="00154F1D">
        <w:t xml:space="preserve"> impairment as a sentencing factor</w:t>
      </w:r>
      <w:bookmarkEnd w:id="66"/>
    </w:p>
    <w:p w14:paraId="20A4E768" w14:textId="049B538F" w:rsidR="00C23DCB" w:rsidRPr="00154F1D" w:rsidRDefault="00D1725B" w:rsidP="00744FAA">
      <w:pPr>
        <w:pStyle w:val="NormalNumberedTextTLRI"/>
      </w:pPr>
      <w:r w:rsidRPr="00154F1D">
        <w:t xml:space="preserve">Although a review of the relevance of mental health and cognitive impairment as a sentencing factor is beyond the scope of this reference, it is important to be aware of </w:t>
      </w:r>
      <w:r w:rsidR="00751CC6" w:rsidRPr="00154F1D">
        <w:t>the operation of the sentencing process</w:t>
      </w:r>
      <w:r w:rsidR="00C23DCB" w:rsidRPr="00154F1D">
        <w:t xml:space="preserve"> for several reasons</w:t>
      </w:r>
      <w:r w:rsidR="00751CC6" w:rsidRPr="00154F1D">
        <w:t xml:space="preserve">. First, an </w:t>
      </w:r>
      <w:r w:rsidR="002F5921">
        <w:t>accused</w:t>
      </w:r>
      <w:r w:rsidR="002F5921" w:rsidRPr="00154F1D">
        <w:t xml:space="preserve"> </w:t>
      </w:r>
      <w:r w:rsidR="00751CC6" w:rsidRPr="00154F1D">
        <w:t xml:space="preserve">with a mental health or cognitive impairment may not rely on the process of fitness to stand trial and/or on the insanity </w:t>
      </w:r>
      <w:r w:rsidR="003A3915" w:rsidRPr="00154F1D">
        <w:t>defence but</w:t>
      </w:r>
      <w:r w:rsidR="00751CC6" w:rsidRPr="00154F1D">
        <w:t xml:space="preserve"> may proceed through the usual criminal justice process. This is a clear alternative and the possible sentence received (if found guilty) compared to the consequences of a finding of unfitness or insanity are likely to </w:t>
      </w:r>
      <w:r w:rsidR="00C23DCB" w:rsidRPr="00154F1D">
        <w:t>weigh</w:t>
      </w:r>
      <w:r w:rsidR="00751CC6" w:rsidRPr="00154F1D">
        <w:t xml:space="preserve"> into the decision-making process. </w:t>
      </w:r>
      <w:r w:rsidR="00C23DCB" w:rsidRPr="00154F1D">
        <w:t xml:space="preserve">As discussed below, there has been a </w:t>
      </w:r>
      <w:r w:rsidR="00D50EC2" w:rsidRPr="00154F1D">
        <w:t>marked</w:t>
      </w:r>
      <w:r w:rsidR="00C23DCB" w:rsidRPr="00154F1D">
        <w:t xml:space="preserve"> shift in relation to the types of mental health and cognitive impairments that may mitigate sentencing and this broadening of approach, together with </w:t>
      </w:r>
      <w:r w:rsidR="00751CC6" w:rsidRPr="00154F1D">
        <w:t xml:space="preserve">the sentencing discount that </w:t>
      </w:r>
      <w:r w:rsidR="00C23DCB" w:rsidRPr="00154F1D">
        <w:t>a guilty p</w:t>
      </w:r>
      <w:r w:rsidR="00751CC6" w:rsidRPr="00154F1D">
        <w:t xml:space="preserve">lea attracts, may make a </w:t>
      </w:r>
      <w:r w:rsidR="00C23DCB" w:rsidRPr="00154F1D">
        <w:t xml:space="preserve">guilty plea a </w:t>
      </w:r>
      <w:r w:rsidR="00751CC6" w:rsidRPr="00154F1D">
        <w:t xml:space="preserve">more attractive option </w:t>
      </w:r>
      <w:r w:rsidR="00C23DCB" w:rsidRPr="00154F1D">
        <w:t xml:space="preserve">from an </w:t>
      </w:r>
      <w:r w:rsidR="002F5921">
        <w:t>accused</w:t>
      </w:r>
      <w:r w:rsidR="002F5921" w:rsidRPr="00154F1D">
        <w:t xml:space="preserve">’s </w:t>
      </w:r>
      <w:r w:rsidR="00C23DCB" w:rsidRPr="00154F1D">
        <w:t xml:space="preserve">point of view </w:t>
      </w:r>
      <w:r w:rsidR="00751CC6" w:rsidRPr="00154F1D">
        <w:t xml:space="preserve">given that the sentence imposed by the court may be less restrictive than if the </w:t>
      </w:r>
      <w:r w:rsidR="002F5921">
        <w:t>person</w:t>
      </w:r>
      <w:r w:rsidR="002F5921" w:rsidRPr="00154F1D">
        <w:t xml:space="preserve"> </w:t>
      </w:r>
      <w:r w:rsidR="00751CC6" w:rsidRPr="00154F1D">
        <w:t>relies on unfitness to stand trial and/or insanity and is placed on a restriction or supervision order.</w:t>
      </w:r>
      <w:r w:rsidR="00751CC6" w:rsidRPr="00154F1D">
        <w:rPr>
          <w:rStyle w:val="FootnoteReference"/>
        </w:rPr>
        <w:footnoteReference w:id="68"/>
      </w:r>
      <w:r w:rsidR="00751CC6" w:rsidRPr="00154F1D">
        <w:t xml:space="preserve"> </w:t>
      </w:r>
      <w:r w:rsidR="00412E9A" w:rsidRPr="00154F1D">
        <w:t xml:space="preserve">However, it needs to be borne in mind </w:t>
      </w:r>
      <w:r w:rsidR="00BE079F" w:rsidRPr="00154F1D">
        <w:t xml:space="preserve">that </w:t>
      </w:r>
      <w:r w:rsidR="00412E9A" w:rsidRPr="00154F1D">
        <w:t xml:space="preserve">the nature of the deprivation of liberty and the treatment services that a person will receive in prison </w:t>
      </w:r>
      <w:r w:rsidR="00FA31B7" w:rsidRPr="00154F1D">
        <w:t>are</w:t>
      </w:r>
      <w:r w:rsidR="00412E9A" w:rsidRPr="00154F1D">
        <w:t xml:space="preserve"> not the same as a person detained at the </w:t>
      </w:r>
      <w:r w:rsidR="00C057E7" w:rsidRPr="00154F1D">
        <w:t>Secure Mental Health Unit (</w:t>
      </w:r>
      <w:r w:rsidR="00412E9A" w:rsidRPr="00154F1D">
        <w:t>SMHU</w:t>
      </w:r>
      <w:r w:rsidR="00C057E7" w:rsidRPr="00154F1D">
        <w:t>)</w:t>
      </w:r>
      <w:r w:rsidR="00412E9A" w:rsidRPr="00154F1D">
        <w:t xml:space="preserve"> or a supervision order in the community.</w:t>
      </w:r>
      <w:r w:rsidR="00535454" w:rsidRPr="00154F1D">
        <w:t xml:space="preserve"> </w:t>
      </w:r>
      <w:r w:rsidR="00FA31B7" w:rsidRPr="00154F1D">
        <w:t>Concerns have been raised about the level of services available for prisoners with mental health needs at the Risdon Complex and a taskforce has been established to investigate the issue.</w:t>
      </w:r>
      <w:r w:rsidR="00FA31B7" w:rsidRPr="00154F1D">
        <w:rPr>
          <w:rStyle w:val="FootnoteReference"/>
        </w:rPr>
        <w:footnoteReference w:id="69"/>
      </w:r>
      <w:r w:rsidR="00C53A32" w:rsidRPr="00154F1D">
        <w:t xml:space="preserve"> The Custodial Inspector Tasmania has recently reported that ‘current mental </w:t>
      </w:r>
      <w:r w:rsidR="002C4E2B">
        <w:t xml:space="preserve">health </w:t>
      </w:r>
      <w:r w:rsidR="00C53A32" w:rsidRPr="00154F1D">
        <w:t>services do not meet the needs of the Tasmanian prison population</w:t>
      </w:r>
      <w:r w:rsidR="000349AA" w:rsidRPr="00154F1D">
        <w:t>.</w:t>
      </w:r>
      <w:r w:rsidR="00C53A32" w:rsidRPr="00154F1D">
        <w:t>’</w:t>
      </w:r>
      <w:r w:rsidR="00C53A32" w:rsidRPr="00154F1D">
        <w:rPr>
          <w:rStyle w:val="FootnoteReference"/>
        </w:rPr>
        <w:footnoteReference w:id="70"/>
      </w:r>
      <w:r w:rsidR="00C53A32" w:rsidRPr="00154F1D">
        <w:t xml:space="preserve"> </w:t>
      </w:r>
      <w:r w:rsidR="00475E2F" w:rsidRPr="00154F1D">
        <w:t>Particular</w:t>
      </w:r>
      <w:r w:rsidR="00C53A32" w:rsidRPr="00154F1D">
        <w:t xml:space="preserve"> issues identified were understaffing, lack of mental health leadership in the prison, no formal service level agreement with the Forensic Mental </w:t>
      </w:r>
      <w:r w:rsidR="00475E2F" w:rsidRPr="00154F1D">
        <w:t>Health</w:t>
      </w:r>
      <w:r w:rsidR="00C53A32" w:rsidRPr="00154F1D">
        <w:t xml:space="preserve"> Service, a lack of dedicated spaces that are conducive </w:t>
      </w:r>
      <w:r w:rsidR="00BE079F" w:rsidRPr="00154F1D">
        <w:t xml:space="preserve">to </w:t>
      </w:r>
      <w:r w:rsidR="00C53A32" w:rsidRPr="00154F1D">
        <w:t xml:space="preserve">the </w:t>
      </w:r>
      <w:r w:rsidR="00475E2F" w:rsidRPr="00154F1D">
        <w:t>provision</w:t>
      </w:r>
      <w:r w:rsidR="00C53A32" w:rsidRPr="00154F1D">
        <w:t xml:space="preserve"> of mental health care in the prisons, and the need for </w:t>
      </w:r>
      <w:r w:rsidR="00475E2F" w:rsidRPr="00154F1D">
        <w:t>ongoing</w:t>
      </w:r>
      <w:r w:rsidR="00C53A32" w:rsidRPr="00154F1D">
        <w:t xml:space="preserve"> </w:t>
      </w:r>
      <w:r w:rsidR="00475E2F" w:rsidRPr="00154F1D">
        <w:t>training</w:t>
      </w:r>
      <w:r w:rsidR="00C53A32" w:rsidRPr="00154F1D">
        <w:t xml:space="preserve"> and support for correctional officers to all</w:t>
      </w:r>
      <w:r w:rsidR="00475E2F" w:rsidRPr="00154F1D">
        <w:t>o</w:t>
      </w:r>
      <w:r w:rsidR="00C53A32" w:rsidRPr="00154F1D">
        <w:t xml:space="preserve">w them to ‘understand and manage </w:t>
      </w:r>
      <w:r w:rsidR="00475E2F" w:rsidRPr="00154F1D">
        <w:t>people</w:t>
      </w:r>
      <w:r w:rsidR="00C53A32" w:rsidRPr="00154F1D">
        <w:t xml:space="preserve"> with mental health issues’.</w:t>
      </w:r>
      <w:r w:rsidR="00C53A32" w:rsidRPr="00154F1D">
        <w:rPr>
          <w:rStyle w:val="FootnoteReference"/>
        </w:rPr>
        <w:footnoteReference w:id="71"/>
      </w:r>
    </w:p>
    <w:p w14:paraId="0E8BDD66" w14:textId="38D6C6F7" w:rsidR="00751CC6" w:rsidRPr="00154F1D" w:rsidRDefault="00C23DCB" w:rsidP="00744FAA">
      <w:pPr>
        <w:pStyle w:val="NormalNumberedTextTLRI"/>
      </w:pPr>
      <w:r w:rsidRPr="00154F1D">
        <w:t>Another factor that makes it important to be aware of the sentencing approach to mental health and cognitive impairments is that</w:t>
      </w:r>
      <w:r w:rsidR="00751CC6" w:rsidRPr="00154F1D">
        <w:t xml:space="preserve"> if changes are made to the test for fitness to stand trial (such as the use of supports, accommodations and intermediaries)</w:t>
      </w:r>
      <w:r w:rsidRPr="00154F1D">
        <w:t>,</w:t>
      </w:r>
      <w:r w:rsidR="00751CC6" w:rsidRPr="00154F1D">
        <w:t xml:space="preserve"> </w:t>
      </w:r>
      <w:r w:rsidRPr="00154F1D">
        <w:t>which</w:t>
      </w:r>
      <w:r w:rsidR="00751CC6" w:rsidRPr="00154F1D">
        <w:t xml:space="preserve"> would assist </w:t>
      </w:r>
      <w:r w:rsidR="002F5921">
        <w:t>people</w:t>
      </w:r>
      <w:r w:rsidR="002F5921" w:rsidRPr="00154F1D">
        <w:t xml:space="preserve"> </w:t>
      </w:r>
      <w:r w:rsidR="00751CC6" w:rsidRPr="00154F1D">
        <w:t>to be fit for trial</w:t>
      </w:r>
      <w:r w:rsidR="00535454" w:rsidRPr="00154F1D">
        <w:t xml:space="preserve"> or if the concept of fit to enter a plea was adopted in Tasmania</w:t>
      </w:r>
      <w:r w:rsidR="00751CC6" w:rsidRPr="00154F1D">
        <w:t>,</w:t>
      </w:r>
      <w:r w:rsidR="00751CC6" w:rsidRPr="00154F1D">
        <w:rPr>
          <w:rStyle w:val="FootnoteReference"/>
        </w:rPr>
        <w:footnoteReference w:id="72"/>
      </w:r>
      <w:r w:rsidR="00751CC6" w:rsidRPr="00154F1D">
        <w:t xml:space="preserve"> then </w:t>
      </w:r>
      <w:r w:rsidR="00EF5655" w:rsidRPr="00154F1D">
        <w:t xml:space="preserve">the </w:t>
      </w:r>
      <w:r w:rsidR="00535454" w:rsidRPr="00154F1D">
        <w:t>approach taken to</w:t>
      </w:r>
      <w:r w:rsidR="00EF5655" w:rsidRPr="00154F1D">
        <w:t xml:space="preserve"> the accused’s impairment at the sentencing stage will be important. Walvisch has argued that ‘great care would need to be taken to ensure that the accused person’s impairment be properly taken into account in the sentencing process’ and that it would be a concern ‘if such a system were implemented which assisted an accused to face charges at trial, only to abandon him or her at the sentencing stage’.</w:t>
      </w:r>
      <w:r w:rsidR="00EF5655" w:rsidRPr="00154F1D">
        <w:rPr>
          <w:rStyle w:val="FootnoteReference"/>
        </w:rPr>
        <w:footnoteReference w:id="73"/>
      </w:r>
    </w:p>
    <w:p w14:paraId="0E8ECF6C" w14:textId="1BCA5C4B" w:rsidR="00535454" w:rsidRPr="00154F1D" w:rsidRDefault="00044240" w:rsidP="00744FAA">
      <w:pPr>
        <w:pStyle w:val="NormalNumberedTextTLRI"/>
      </w:pPr>
      <w:r w:rsidRPr="00154F1D">
        <w:t>In Tasmania, as with other jurisdictions</w:t>
      </w:r>
      <w:r w:rsidR="005F4484" w:rsidRPr="00154F1D">
        <w:t>, an offender’s mental or cognitive impairment is relevant to the sentencing process.</w:t>
      </w:r>
      <w:r w:rsidR="005F4484" w:rsidRPr="00154F1D">
        <w:rPr>
          <w:rStyle w:val="FootnoteReference"/>
        </w:rPr>
        <w:footnoteReference w:id="74"/>
      </w:r>
      <w:r w:rsidR="005F4484" w:rsidRPr="00154F1D">
        <w:t xml:space="preserve"> </w:t>
      </w:r>
      <w:r w:rsidR="00D50EC2" w:rsidRPr="00154F1D">
        <w:t>While i</w:t>
      </w:r>
      <w:r w:rsidR="00EF5655" w:rsidRPr="00154F1D">
        <w:t xml:space="preserve">t is not known </w:t>
      </w:r>
      <w:r w:rsidR="006A2A89" w:rsidRPr="00154F1D">
        <w:t>what</w:t>
      </w:r>
      <w:r w:rsidR="00EF5655" w:rsidRPr="00154F1D">
        <w:t xml:space="preserve"> number of offenders raise mental </w:t>
      </w:r>
      <w:r w:rsidR="00C23DCB" w:rsidRPr="00154F1D">
        <w:t xml:space="preserve">health </w:t>
      </w:r>
      <w:r w:rsidR="00EF5655" w:rsidRPr="00154F1D">
        <w:t>or cognitive impairment as mitigating factor</w:t>
      </w:r>
      <w:r w:rsidR="006A2A89" w:rsidRPr="00154F1D">
        <w:t>s</w:t>
      </w:r>
      <w:r w:rsidR="00EF5655" w:rsidRPr="00154F1D">
        <w:t xml:space="preserve"> at sentencing</w:t>
      </w:r>
      <w:r w:rsidR="00C23DCB" w:rsidRPr="00154F1D">
        <w:t xml:space="preserve"> (or</w:t>
      </w:r>
      <w:r w:rsidR="00440EF6">
        <w:t>,</w:t>
      </w:r>
      <w:r w:rsidR="00C23DCB" w:rsidRPr="00154F1D">
        <w:t xml:space="preserve"> as discussed at </w:t>
      </w:r>
      <w:r w:rsidR="0062405B" w:rsidRPr="00154F1D">
        <w:t>[3.2]</w:t>
      </w:r>
      <w:r w:rsidR="00C23DCB" w:rsidRPr="00154F1D">
        <w:t xml:space="preserve">, the number of offenders with mental health or cognitive impairments who are </w:t>
      </w:r>
      <w:r w:rsidR="00D50EC2" w:rsidRPr="00154F1D">
        <w:t>involved in the criminal justice system)</w:t>
      </w:r>
      <w:r w:rsidR="00EF5655" w:rsidRPr="00154F1D">
        <w:t xml:space="preserve">, </w:t>
      </w:r>
      <w:r w:rsidR="00C23DCB" w:rsidRPr="00154F1D">
        <w:t xml:space="preserve">it is likely that this </w:t>
      </w:r>
      <w:r w:rsidR="00D50EC2" w:rsidRPr="00154F1D">
        <w:t xml:space="preserve">may affect </w:t>
      </w:r>
      <w:r w:rsidR="00C23DCB" w:rsidRPr="00154F1D">
        <w:t xml:space="preserve">a </w:t>
      </w:r>
      <w:r w:rsidR="00D50EC2" w:rsidRPr="00154F1D">
        <w:t>significant proportion of offenders. A</w:t>
      </w:r>
      <w:r w:rsidR="009810B9" w:rsidRPr="00154F1D">
        <w:t>necdotally,</w:t>
      </w:r>
      <w:r w:rsidR="00A00898" w:rsidRPr="00154F1D">
        <w:t xml:space="preserve"> it appears that</w:t>
      </w:r>
      <w:r w:rsidR="009810B9" w:rsidRPr="00154F1D">
        <w:t xml:space="preserve"> there has been an increase in the number of sentencing submissions</w:t>
      </w:r>
      <w:r w:rsidR="00810EFC" w:rsidRPr="00154F1D">
        <w:t xml:space="preserve"> in Tasmania </w:t>
      </w:r>
      <w:r w:rsidR="009810B9" w:rsidRPr="00154F1D">
        <w:t xml:space="preserve">that rely on </w:t>
      </w:r>
      <w:r w:rsidR="00A00898" w:rsidRPr="00154F1D">
        <w:t>expert</w:t>
      </w:r>
      <w:r w:rsidR="009810B9" w:rsidRPr="00154F1D">
        <w:t xml:space="preserve"> reports outlining </w:t>
      </w:r>
      <w:r w:rsidR="00A00898" w:rsidRPr="00154F1D">
        <w:t>impairment</w:t>
      </w:r>
      <w:r w:rsidR="009810B9" w:rsidRPr="00154F1D">
        <w:t xml:space="preserve">. </w:t>
      </w:r>
      <w:r w:rsidR="00D50EC2" w:rsidRPr="00154F1D">
        <w:t xml:space="preserve">This raises complex issues. </w:t>
      </w:r>
      <w:r w:rsidR="0075410D" w:rsidRPr="00154F1D">
        <w:t>Bagaric and Edney have written that ‘the sentencing of mentally impaired offenders is one of the most complex and acute issues in the criminal justice system’.</w:t>
      </w:r>
      <w:r w:rsidR="0075410D" w:rsidRPr="00154F1D">
        <w:rPr>
          <w:rStyle w:val="FootnoteReference"/>
        </w:rPr>
        <w:footnoteReference w:id="75"/>
      </w:r>
      <w:r w:rsidR="0075410D" w:rsidRPr="00154F1D">
        <w:t xml:space="preserve"> </w:t>
      </w:r>
    </w:p>
    <w:p w14:paraId="36CF3613" w14:textId="7F5E7704" w:rsidR="00BD5424" w:rsidRPr="00154F1D" w:rsidRDefault="0075410D" w:rsidP="00744FAA">
      <w:pPr>
        <w:pStyle w:val="NormalNumberedTextTLRI"/>
      </w:pPr>
      <w:r w:rsidRPr="00154F1D">
        <w:t>Th</w:t>
      </w:r>
      <w:r w:rsidR="00535454" w:rsidRPr="00154F1D">
        <w:t>e</w:t>
      </w:r>
      <w:r w:rsidRPr="00154F1D">
        <w:t xml:space="preserve"> difficulty </w:t>
      </w:r>
      <w:r w:rsidR="00535454" w:rsidRPr="00154F1D">
        <w:t>that arise</w:t>
      </w:r>
      <w:r w:rsidR="00EF166C" w:rsidRPr="00154F1D">
        <w:t>s</w:t>
      </w:r>
      <w:r w:rsidR="00535454" w:rsidRPr="00154F1D">
        <w:t xml:space="preserve"> in sentencing offenders with mental health or cognitive impairment </w:t>
      </w:r>
      <w:r w:rsidR="00EF166C" w:rsidRPr="00154F1D">
        <w:t xml:space="preserve">stems </w:t>
      </w:r>
      <w:r w:rsidRPr="00154F1D">
        <w:t>from the number of offenders who suffer some form of mental or cognitive impairment and the need to reconcile the tension between two competing considerations: the nature of the condition that may reduce the moral culpability of the offender</w:t>
      </w:r>
      <w:r w:rsidR="00BB2273" w:rsidRPr="00154F1D">
        <w:t xml:space="preserve"> </w:t>
      </w:r>
      <w:r w:rsidR="00056ECD" w:rsidRPr="00154F1D">
        <w:t xml:space="preserve">that may </w:t>
      </w:r>
      <w:r w:rsidR="006A2A89" w:rsidRPr="00154F1D">
        <w:t>justify</w:t>
      </w:r>
      <w:r w:rsidRPr="00154F1D">
        <w:t xml:space="preserve"> a more </w:t>
      </w:r>
      <w:r w:rsidR="00056ECD" w:rsidRPr="00154F1D">
        <w:t>lenient</w:t>
      </w:r>
      <w:r w:rsidRPr="00154F1D">
        <w:t xml:space="preserve"> sentence </w:t>
      </w:r>
      <w:r w:rsidR="00056ECD" w:rsidRPr="00154F1D">
        <w:t>on the one hand</w:t>
      </w:r>
      <w:r w:rsidR="00440EF6">
        <w:t>,</w:t>
      </w:r>
      <w:r w:rsidR="00056ECD" w:rsidRPr="00154F1D">
        <w:t xml:space="preserve"> </w:t>
      </w:r>
      <w:r w:rsidRPr="00154F1D">
        <w:t>and</w:t>
      </w:r>
      <w:r w:rsidR="00440EF6">
        <w:t>,</w:t>
      </w:r>
      <w:r w:rsidR="00056ECD" w:rsidRPr="00154F1D">
        <w:t xml:space="preserve"> on the other, the </w:t>
      </w:r>
      <w:r w:rsidRPr="00154F1D">
        <w:t>nature</w:t>
      </w:r>
      <w:r w:rsidR="00056ECD" w:rsidRPr="00154F1D">
        <w:t xml:space="preserve"> </w:t>
      </w:r>
      <w:r w:rsidRPr="00154F1D">
        <w:t xml:space="preserve">of the </w:t>
      </w:r>
      <w:r w:rsidR="00056ECD" w:rsidRPr="00154F1D">
        <w:t>condit</w:t>
      </w:r>
      <w:r w:rsidRPr="00154F1D">
        <w:t xml:space="preserve">ion </w:t>
      </w:r>
      <w:r w:rsidR="006A2A89" w:rsidRPr="00154F1D">
        <w:t xml:space="preserve">that </w:t>
      </w:r>
      <w:r w:rsidR="00056ECD" w:rsidRPr="00154F1D">
        <w:t>may</w:t>
      </w:r>
      <w:r w:rsidRPr="00154F1D">
        <w:t xml:space="preserve"> indicate that the offender is ‘a </w:t>
      </w:r>
      <w:r w:rsidR="00056ECD" w:rsidRPr="00154F1D">
        <w:t>more</w:t>
      </w:r>
      <w:r w:rsidRPr="00154F1D">
        <w:t xml:space="preserve"> </w:t>
      </w:r>
      <w:r w:rsidR="00056ECD" w:rsidRPr="00154F1D">
        <w:t>intractable</w:t>
      </w:r>
      <w:r w:rsidRPr="00154F1D">
        <w:t xml:space="preserve"> subject </w:t>
      </w:r>
      <w:r w:rsidR="00056ECD" w:rsidRPr="00154F1D">
        <w:t>for</w:t>
      </w:r>
      <w:r w:rsidRPr="00154F1D">
        <w:t xml:space="preserve"> reform than one who is not so affected or even as one who is so </w:t>
      </w:r>
      <w:r w:rsidR="00056ECD" w:rsidRPr="00154F1D">
        <w:t>likely to offend again that he [or she]</w:t>
      </w:r>
      <w:r w:rsidRPr="00154F1D">
        <w:t xml:space="preserve"> should be removed from society for a lengthy or indeterminate period’.</w:t>
      </w:r>
      <w:r w:rsidRPr="00154F1D">
        <w:rPr>
          <w:rStyle w:val="FootnoteReference"/>
        </w:rPr>
        <w:footnoteReference w:id="76"/>
      </w:r>
      <w:r w:rsidR="000A417F" w:rsidRPr="00154F1D">
        <w:t xml:space="preserve"> </w:t>
      </w:r>
      <w:r w:rsidR="00D92784" w:rsidRPr="00154F1D">
        <w:t xml:space="preserve">As recognised in </w:t>
      </w:r>
      <w:r w:rsidR="00AB682F" w:rsidRPr="00154F1D">
        <w:rPr>
          <w:i/>
        </w:rPr>
        <w:t>Veen v The Queen</w:t>
      </w:r>
      <w:r w:rsidR="00BD5424" w:rsidRPr="00154F1D">
        <w:t>:</w:t>
      </w:r>
      <w:r w:rsidR="00AB682F" w:rsidRPr="00154F1D">
        <w:rPr>
          <w:rStyle w:val="FootnoteReference"/>
        </w:rPr>
        <w:footnoteReference w:id="77"/>
      </w:r>
    </w:p>
    <w:p w14:paraId="110C43E1" w14:textId="55391715" w:rsidR="00BD5424" w:rsidRPr="00154F1D" w:rsidRDefault="00BD5424" w:rsidP="0074267A">
      <w:pPr>
        <w:pStyle w:val="QuoteTLRI"/>
      </w:pPr>
      <w:r w:rsidRPr="00154F1D">
        <w:t>a mental abnormality which makes an offender a danger to society when he is at large but which diminishes his moral culpability for a particular crime is a factor which has two countervailing effects: one which tends towards a longer custodial sentence, the other towards a shorter. These effects may balance out, but consideration of the danger to society cannot lead to the imposition of a more severe</w:t>
      </w:r>
      <w:r w:rsidR="0038740A" w:rsidRPr="00154F1D">
        <w:t xml:space="preserve"> </w:t>
      </w:r>
      <w:r w:rsidRPr="00154F1D">
        <w:t>penalty than would have been imposed if the offender had not been suffering from a mental abnormality.</w:t>
      </w:r>
      <w:r w:rsidRPr="00154F1D">
        <w:rPr>
          <w:rStyle w:val="FootnoteReference"/>
          <w:rFonts w:eastAsiaTheme="minorEastAsia"/>
          <w:lang w:val="en-US"/>
        </w:rPr>
        <w:footnoteReference w:id="78"/>
      </w:r>
    </w:p>
    <w:p w14:paraId="70B8DFE8" w14:textId="467EEB12" w:rsidR="0075410D" w:rsidRPr="00154F1D" w:rsidRDefault="0038740A" w:rsidP="00744FAA">
      <w:pPr>
        <w:pStyle w:val="NormalNumberedTextTLRI"/>
        <w:numPr>
          <w:ilvl w:val="0"/>
          <w:numId w:val="0"/>
        </w:numPr>
      </w:pPr>
      <w:r w:rsidRPr="00154F1D">
        <w:t xml:space="preserve">Accordingly, in the circumstances of a case, the nature of the offender’s mental or cognitive impairment may be such that protection of the community carries greater weight in the exercise of the sentencing discretion. </w:t>
      </w:r>
      <w:r w:rsidR="00CB288E" w:rsidRPr="00154F1D">
        <w:t xml:space="preserve">This involves </w:t>
      </w:r>
      <w:r w:rsidR="00C057E7" w:rsidRPr="00154F1D">
        <w:t>balancing</w:t>
      </w:r>
      <w:r w:rsidR="00CB288E" w:rsidRPr="00154F1D">
        <w:t xml:space="preserve"> the offender’s culpability and the need to protect the community. </w:t>
      </w:r>
      <w:r w:rsidR="00056ECD" w:rsidRPr="00154F1D">
        <w:t>This complexity has been recognised by the Tasmanian Court of Criminal Appeal.</w:t>
      </w:r>
      <w:r w:rsidR="00056ECD" w:rsidRPr="00154F1D">
        <w:rPr>
          <w:rStyle w:val="FootnoteReference"/>
        </w:rPr>
        <w:footnoteReference w:id="79"/>
      </w:r>
    </w:p>
    <w:p w14:paraId="3E8DA79E" w14:textId="79179CC7" w:rsidR="00056ECD" w:rsidRPr="00154F1D" w:rsidRDefault="0038740A" w:rsidP="00744FAA">
      <w:pPr>
        <w:pStyle w:val="NormalNumberedTextTLRI"/>
      </w:pPr>
      <w:r w:rsidRPr="00154F1D">
        <w:t>More recently, i</w:t>
      </w:r>
      <w:r w:rsidR="0075410D" w:rsidRPr="00154F1D">
        <w:t xml:space="preserve">n Tasmania the </w:t>
      </w:r>
      <w:r w:rsidR="00056ECD" w:rsidRPr="00154F1D">
        <w:t>principles</w:t>
      </w:r>
      <w:r w:rsidR="0075410D" w:rsidRPr="00154F1D">
        <w:t xml:space="preserve"> set out by the </w:t>
      </w:r>
      <w:r w:rsidR="00056ECD" w:rsidRPr="00154F1D">
        <w:t>Victorian Court of Appeal in</w:t>
      </w:r>
      <w:r w:rsidR="00056ECD" w:rsidRPr="00154F1D">
        <w:rPr>
          <w:i/>
        </w:rPr>
        <w:t xml:space="preserve"> R v </w:t>
      </w:r>
      <w:r w:rsidR="0075410D" w:rsidRPr="00154F1D">
        <w:rPr>
          <w:i/>
        </w:rPr>
        <w:t>Verdins</w:t>
      </w:r>
      <w:r w:rsidR="00056ECD" w:rsidRPr="00154F1D">
        <w:rPr>
          <w:rStyle w:val="FootnoteReference"/>
        </w:rPr>
        <w:footnoteReference w:id="80"/>
      </w:r>
      <w:r w:rsidR="0075410D" w:rsidRPr="00154F1D">
        <w:t xml:space="preserve"> </w:t>
      </w:r>
      <w:r w:rsidR="00056ECD" w:rsidRPr="00154F1D">
        <w:t>have been adopted</w:t>
      </w:r>
      <w:r w:rsidR="00D50EC2" w:rsidRPr="00154F1D">
        <w:t xml:space="preserve"> in relation to the mitigati</w:t>
      </w:r>
      <w:r w:rsidR="006A2A89" w:rsidRPr="00154F1D">
        <w:t>on</w:t>
      </w:r>
      <w:r w:rsidR="00D50EC2" w:rsidRPr="00154F1D">
        <w:t xml:space="preserve"> of sentence</w:t>
      </w:r>
      <w:r w:rsidR="00E82E4E">
        <w:t>.</w:t>
      </w:r>
      <w:r w:rsidR="00056ECD" w:rsidRPr="00154F1D">
        <w:rPr>
          <w:rStyle w:val="FootnoteReference"/>
        </w:rPr>
        <w:footnoteReference w:id="81"/>
      </w:r>
      <w:r w:rsidR="00056ECD" w:rsidRPr="00154F1D">
        <w:t xml:space="preserve"> </w:t>
      </w:r>
      <w:r w:rsidR="00E82E4E">
        <w:t>T</w:t>
      </w:r>
      <w:r w:rsidR="00056ECD" w:rsidRPr="00154F1D">
        <w:t xml:space="preserve">hese </w:t>
      </w:r>
      <w:r w:rsidR="00D50EC2" w:rsidRPr="00154F1D">
        <w:t xml:space="preserve">principles </w:t>
      </w:r>
      <w:r w:rsidR="00056ECD" w:rsidRPr="00154F1D">
        <w:t>recognise that an offender’s impaired mental functioning, whether temporary or permanent</w:t>
      </w:r>
      <w:r w:rsidR="00275FAA" w:rsidRPr="00154F1D">
        <w:t>,</w:t>
      </w:r>
      <w:r w:rsidR="00056ECD" w:rsidRPr="00154F1D">
        <w:t xml:space="preserve"> </w:t>
      </w:r>
      <w:r w:rsidR="00D50EC2" w:rsidRPr="00154F1D">
        <w:t>is</w:t>
      </w:r>
      <w:r w:rsidR="00056ECD" w:rsidRPr="00154F1D">
        <w:t xml:space="preserve"> relevant to sentencing in at least six ways:</w:t>
      </w:r>
    </w:p>
    <w:p w14:paraId="65F72112" w14:textId="64096B3F" w:rsidR="00754547" w:rsidRPr="00154F1D" w:rsidRDefault="00754547" w:rsidP="0031412F">
      <w:pPr>
        <w:pStyle w:val="QuoteTLRI"/>
        <w:spacing w:after="120"/>
        <w:ind w:left="1135" w:right="788" w:hanging="284"/>
      </w:pPr>
      <w:r w:rsidRPr="00154F1D">
        <w:t>1.</w:t>
      </w:r>
      <w:r w:rsidR="00961BC5" w:rsidRPr="00154F1D">
        <w:tab/>
      </w:r>
      <w:r w:rsidR="00D50EC2" w:rsidRPr="00154F1D">
        <w:t xml:space="preserve">to </w:t>
      </w:r>
      <w:r w:rsidR="00CB288E" w:rsidRPr="00154F1D">
        <w:t>reduce the offender</w:t>
      </w:r>
      <w:r w:rsidR="00961BC5" w:rsidRPr="00154F1D">
        <w:t>’</w:t>
      </w:r>
      <w:r w:rsidR="00CB288E" w:rsidRPr="00154F1D">
        <w:t>s moral culpability, thereby affecting the punishment</w:t>
      </w:r>
      <w:r w:rsidRPr="00154F1D">
        <w:t xml:space="preserve"> </w:t>
      </w:r>
      <w:r w:rsidR="00CB288E" w:rsidRPr="00154F1D">
        <w:t>that is just in the circumstances and the importance of denunciation as a</w:t>
      </w:r>
      <w:r w:rsidRPr="00154F1D">
        <w:t xml:space="preserve"> sentencing </w:t>
      </w:r>
      <w:r w:rsidR="00CB288E" w:rsidRPr="00154F1D">
        <w:t>consideration;</w:t>
      </w:r>
    </w:p>
    <w:p w14:paraId="2E800D46" w14:textId="1A504051" w:rsidR="00754547" w:rsidRPr="00154F1D" w:rsidRDefault="00CB288E" w:rsidP="0031412F">
      <w:pPr>
        <w:pStyle w:val="QuoteTLRI"/>
        <w:spacing w:after="120"/>
        <w:ind w:left="1135" w:right="788" w:hanging="284"/>
      </w:pPr>
      <w:r w:rsidRPr="00154F1D">
        <w:t>2</w:t>
      </w:r>
      <w:r w:rsidR="00754547" w:rsidRPr="00154F1D">
        <w:t>.</w:t>
      </w:r>
      <w:r w:rsidR="00961BC5" w:rsidRPr="00154F1D">
        <w:tab/>
      </w:r>
      <w:r w:rsidR="00D50EC2" w:rsidRPr="00154F1D">
        <w:t xml:space="preserve">to </w:t>
      </w:r>
      <w:r w:rsidRPr="00154F1D">
        <w:t>influence the kind of sentence that should be imposed, or the conditions</w:t>
      </w:r>
      <w:r w:rsidR="00754547" w:rsidRPr="00154F1D">
        <w:t xml:space="preserve"> </w:t>
      </w:r>
      <w:r w:rsidRPr="00154F1D">
        <w:t>under which it should be served;</w:t>
      </w:r>
    </w:p>
    <w:p w14:paraId="5F70BFB0" w14:textId="4C5800C9" w:rsidR="00754547" w:rsidRPr="00154F1D" w:rsidRDefault="00CB288E" w:rsidP="0031412F">
      <w:pPr>
        <w:pStyle w:val="QuoteTLRI"/>
        <w:spacing w:after="120"/>
        <w:ind w:left="1135" w:right="788" w:hanging="284"/>
      </w:pPr>
      <w:r w:rsidRPr="00154F1D">
        <w:t>3</w:t>
      </w:r>
      <w:r w:rsidR="00754547" w:rsidRPr="00154F1D">
        <w:t>.</w:t>
      </w:r>
      <w:r w:rsidR="00961BC5" w:rsidRPr="00154F1D">
        <w:tab/>
      </w:r>
      <w:r w:rsidR="00D50EC2" w:rsidRPr="00154F1D">
        <w:t xml:space="preserve">to </w:t>
      </w:r>
      <w:r w:rsidRPr="00154F1D">
        <w:t>moderate or eliminate the need for general deterrence as a sentencing</w:t>
      </w:r>
      <w:r w:rsidR="00754547" w:rsidRPr="00154F1D">
        <w:t xml:space="preserve"> </w:t>
      </w:r>
      <w:r w:rsidRPr="00154F1D">
        <w:t>consideration;</w:t>
      </w:r>
    </w:p>
    <w:p w14:paraId="286261F8" w14:textId="45BA2A30" w:rsidR="00754547" w:rsidRPr="00154F1D" w:rsidRDefault="00CB288E" w:rsidP="0031412F">
      <w:pPr>
        <w:pStyle w:val="QuoteTLRI"/>
        <w:spacing w:after="120"/>
        <w:ind w:left="1135" w:right="788" w:hanging="284"/>
      </w:pPr>
      <w:r w:rsidRPr="00154F1D">
        <w:t>4</w:t>
      </w:r>
      <w:r w:rsidR="00754547" w:rsidRPr="00154F1D">
        <w:t>.</w:t>
      </w:r>
      <w:r w:rsidR="00961BC5" w:rsidRPr="00154F1D">
        <w:tab/>
      </w:r>
      <w:r w:rsidR="00D50EC2" w:rsidRPr="00154F1D">
        <w:t xml:space="preserve">to </w:t>
      </w:r>
      <w:r w:rsidRPr="00154F1D">
        <w:t>moderate or eliminate the need for specific deterrence as a sentencing</w:t>
      </w:r>
      <w:r w:rsidR="00754547" w:rsidRPr="00154F1D">
        <w:t xml:space="preserve"> </w:t>
      </w:r>
      <w:r w:rsidRPr="00154F1D">
        <w:t>consideration;</w:t>
      </w:r>
    </w:p>
    <w:p w14:paraId="5FD46E8A" w14:textId="6E90AC98" w:rsidR="00754547" w:rsidRPr="00154F1D" w:rsidRDefault="00CB288E" w:rsidP="0031412F">
      <w:pPr>
        <w:pStyle w:val="QuoteTLRI"/>
        <w:spacing w:after="120"/>
        <w:ind w:left="1135" w:right="788" w:hanging="284"/>
      </w:pPr>
      <w:r w:rsidRPr="00154F1D">
        <w:t>5</w:t>
      </w:r>
      <w:r w:rsidR="00754547" w:rsidRPr="00154F1D">
        <w:t>.</w:t>
      </w:r>
      <w:r w:rsidR="00961BC5" w:rsidRPr="00154F1D">
        <w:tab/>
      </w:r>
      <w:r w:rsidR="00D50EC2" w:rsidRPr="00154F1D">
        <w:t xml:space="preserve">to </w:t>
      </w:r>
      <w:r w:rsidRPr="00154F1D">
        <w:t>make a sentence weigh more heavily on the offender than on a person in</w:t>
      </w:r>
      <w:r w:rsidR="00754547" w:rsidRPr="00154F1D">
        <w:t xml:space="preserve"> </w:t>
      </w:r>
      <w:r w:rsidRPr="00154F1D">
        <w:t>normal health, thereby affecting the determination of a proportionate</w:t>
      </w:r>
      <w:r w:rsidR="00754547" w:rsidRPr="00154F1D">
        <w:t xml:space="preserve"> </w:t>
      </w:r>
      <w:r w:rsidRPr="00154F1D">
        <w:t>sentence; or</w:t>
      </w:r>
    </w:p>
    <w:p w14:paraId="35C1B02D" w14:textId="3D0F3798" w:rsidR="00CB288E" w:rsidRPr="00154F1D" w:rsidRDefault="00CB288E" w:rsidP="0031412F">
      <w:pPr>
        <w:pStyle w:val="QuoteTLRI"/>
        <w:ind w:left="1134" w:hanging="283"/>
      </w:pPr>
      <w:r w:rsidRPr="00154F1D">
        <w:t>6</w:t>
      </w:r>
      <w:r w:rsidR="00754547" w:rsidRPr="00154F1D">
        <w:t>.</w:t>
      </w:r>
      <w:r w:rsidR="00961BC5" w:rsidRPr="00154F1D">
        <w:tab/>
      </w:r>
      <w:r w:rsidR="00D50EC2" w:rsidRPr="00154F1D">
        <w:t xml:space="preserve">to </w:t>
      </w:r>
      <w:r w:rsidRPr="00154F1D">
        <w:t>create a serious risk of imprisonment having a significant adverse effect on</w:t>
      </w:r>
      <w:r w:rsidR="00754547" w:rsidRPr="00154F1D">
        <w:t xml:space="preserve"> </w:t>
      </w:r>
      <w:r w:rsidRPr="00154F1D">
        <w:t>the offender</w:t>
      </w:r>
      <w:r w:rsidR="00961BC5" w:rsidRPr="00154F1D">
        <w:t>’</w:t>
      </w:r>
      <w:r w:rsidRPr="00154F1D">
        <w:t>s mental health, suggesting the need to reduce the sanction.</w:t>
      </w:r>
      <w:r w:rsidR="00AF71C0" w:rsidRPr="00154F1D">
        <w:rPr>
          <w:rStyle w:val="FootnoteReference"/>
        </w:rPr>
        <w:footnoteReference w:id="82"/>
      </w:r>
    </w:p>
    <w:p w14:paraId="5A08548B" w14:textId="3CD1B53A" w:rsidR="005A02C0" w:rsidRPr="00154F1D" w:rsidRDefault="00754547" w:rsidP="003A4AC2">
      <w:pPr>
        <w:pStyle w:val="NormalNumberedTextTLRI"/>
        <w:numPr>
          <w:ilvl w:val="0"/>
          <w:numId w:val="0"/>
        </w:numPr>
      </w:pPr>
      <w:r w:rsidRPr="00154F1D">
        <w:t xml:space="preserve">The decision in </w:t>
      </w:r>
      <w:r w:rsidRPr="00154F1D">
        <w:rPr>
          <w:i/>
        </w:rPr>
        <w:t xml:space="preserve">Verdins </w:t>
      </w:r>
      <w:r w:rsidRPr="00154F1D">
        <w:t>was a change from the pre-existing position ‘that only “[s]erious psychiatric illnesses”</w:t>
      </w:r>
      <w:r w:rsidR="003A4AC2" w:rsidRPr="00154F1D">
        <w:t>’</w:t>
      </w:r>
      <w:r w:rsidRPr="00154F1D">
        <w:t xml:space="preserve"> needed to be taken into account by a sentencing judge</w:t>
      </w:r>
      <w:r w:rsidR="00AF71C0" w:rsidRPr="00154F1D">
        <w:t>,</w:t>
      </w:r>
      <w:bookmarkStart w:id="67" w:name="_Ref535005024"/>
      <w:r w:rsidRPr="00154F1D">
        <w:rPr>
          <w:rStyle w:val="FootnoteReference"/>
        </w:rPr>
        <w:footnoteReference w:id="83"/>
      </w:r>
      <w:bookmarkEnd w:id="67"/>
      <w:r w:rsidRPr="00154F1D">
        <w:t xml:space="preserve"> </w:t>
      </w:r>
      <w:r w:rsidR="00AF71C0" w:rsidRPr="00154F1D">
        <w:t>and so expanded t</w:t>
      </w:r>
      <w:r w:rsidRPr="00154F1D">
        <w:t xml:space="preserve">he </w:t>
      </w:r>
      <w:r w:rsidR="00CA3CF5" w:rsidRPr="00154F1D">
        <w:t>relevance</w:t>
      </w:r>
      <w:r w:rsidRPr="00154F1D">
        <w:t xml:space="preserve"> of mental impairment</w:t>
      </w:r>
      <w:r w:rsidR="00AF71C0" w:rsidRPr="00154F1D">
        <w:t xml:space="preserve"> as a factor relevant to sentencing</w:t>
      </w:r>
      <w:r w:rsidRPr="00154F1D">
        <w:t xml:space="preserve">. </w:t>
      </w:r>
      <w:r w:rsidR="005A02C0" w:rsidRPr="00154F1D">
        <w:t>However, f</w:t>
      </w:r>
      <w:r w:rsidRPr="00154F1D">
        <w:t xml:space="preserve">ollowing </w:t>
      </w:r>
      <w:r w:rsidRPr="00154F1D">
        <w:rPr>
          <w:i/>
        </w:rPr>
        <w:t>Verdins</w:t>
      </w:r>
      <w:r w:rsidRPr="00154F1D">
        <w:t>, the extent to which the principles applied to personality disorders</w:t>
      </w:r>
      <w:r w:rsidR="005A02C0" w:rsidRPr="00154F1D">
        <w:t xml:space="preserve"> </w:t>
      </w:r>
      <w:r w:rsidR="007E12CC" w:rsidRPr="00154F1D">
        <w:t xml:space="preserve">was unclear </w:t>
      </w:r>
      <w:r w:rsidR="005A02C0" w:rsidRPr="00154F1D">
        <w:t xml:space="preserve">and </w:t>
      </w:r>
      <w:r w:rsidR="006436EF">
        <w:t>subsequent decisions were inconsistent in this regard</w:t>
      </w:r>
      <w:r w:rsidRPr="00154F1D">
        <w:t>.</w:t>
      </w:r>
      <w:r w:rsidR="005A02C0" w:rsidRPr="00154F1D">
        <w:rPr>
          <w:rStyle w:val="FootnoteReference"/>
        </w:rPr>
        <w:footnoteReference w:id="84"/>
      </w:r>
      <w:r w:rsidRPr="00154F1D">
        <w:rPr>
          <w:i/>
        </w:rPr>
        <w:t xml:space="preserve"> </w:t>
      </w:r>
    </w:p>
    <w:p w14:paraId="620E1128" w14:textId="2AD665C8" w:rsidR="006A02DF" w:rsidRPr="00154F1D" w:rsidRDefault="005A02C0" w:rsidP="00744FAA">
      <w:pPr>
        <w:pStyle w:val="NormalNumberedTextTLRI"/>
      </w:pPr>
      <w:r w:rsidRPr="00154F1D">
        <w:t xml:space="preserve">The application </w:t>
      </w:r>
      <w:r w:rsidR="00CA3CF5" w:rsidRPr="00154F1D">
        <w:t>of</w:t>
      </w:r>
      <w:r w:rsidRPr="00154F1D">
        <w:t xml:space="preserve"> the </w:t>
      </w:r>
      <w:r w:rsidRPr="00154F1D">
        <w:rPr>
          <w:i/>
        </w:rPr>
        <w:t>Verdin</w:t>
      </w:r>
      <w:r w:rsidR="00834316" w:rsidRPr="00154F1D">
        <w:rPr>
          <w:i/>
        </w:rPr>
        <w:t>s</w:t>
      </w:r>
      <w:r w:rsidRPr="00154F1D">
        <w:rPr>
          <w:i/>
        </w:rPr>
        <w:t xml:space="preserve"> </w:t>
      </w:r>
      <w:r w:rsidRPr="00154F1D">
        <w:t xml:space="preserve">principles to </w:t>
      </w:r>
      <w:r w:rsidR="00CA3CF5" w:rsidRPr="00154F1D">
        <w:t>personality</w:t>
      </w:r>
      <w:r w:rsidRPr="00154F1D">
        <w:t xml:space="preserve"> </w:t>
      </w:r>
      <w:r w:rsidR="00CA3CF5" w:rsidRPr="00154F1D">
        <w:t>disorders</w:t>
      </w:r>
      <w:r w:rsidRPr="00154F1D">
        <w:t xml:space="preserve"> </w:t>
      </w:r>
      <w:r w:rsidR="00754547" w:rsidRPr="00154F1D">
        <w:t>was considered by the Victorian</w:t>
      </w:r>
      <w:r w:rsidR="00056ECD" w:rsidRPr="00154F1D">
        <w:t xml:space="preserve"> Court of Appeal in </w:t>
      </w:r>
      <w:r w:rsidR="007E0C35" w:rsidRPr="00154F1D">
        <w:rPr>
          <w:i/>
        </w:rPr>
        <w:t xml:space="preserve">Director of Public Prosecutions v </w:t>
      </w:r>
      <w:r w:rsidR="000A417F" w:rsidRPr="00154F1D">
        <w:rPr>
          <w:i/>
        </w:rPr>
        <w:t>O’Neill</w:t>
      </w:r>
      <w:r w:rsidR="00CA3CF5" w:rsidRPr="00154F1D">
        <w:t>.</w:t>
      </w:r>
      <w:r w:rsidR="007E0C35" w:rsidRPr="00154F1D">
        <w:rPr>
          <w:rStyle w:val="FootnoteReference"/>
        </w:rPr>
        <w:footnoteReference w:id="85"/>
      </w:r>
      <w:r w:rsidR="000A417F" w:rsidRPr="00154F1D">
        <w:t xml:space="preserve"> </w:t>
      </w:r>
      <w:r w:rsidR="00CA3CF5" w:rsidRPr="00154F1D">
        <w:t>In this case,</w:t>
      </w:r>
      <w:r w:rsidR="007E0C35" w:rsidRPr="00154F1D">
        <w:t xml:space="preserve"> the court indicated that </w:t>
      </w:r>
      <w:r w:rsidR="00AF71C0" w:rsidRPr="00154F1D">
        <w:t xml:space="preserve">the </w:t>
      </w:r>
      <w:r w:rsidR="00AF71C0" w:rsidRPr="00154F1D">
        <w:rPr>
          <w:i/>
        </w:rPr>
        <w:t xml:space="preserve">Verdins </w:t>
      </w:r>
      <w:r w:rsidR="00AF71C0" w:rsidRPr="00154F1D">
        <w:t>principles did not apply to the personality disorder that affected the accused</w:t>
      </w:r>
      <w:r w:rsidRPr="00154F1D">
        <w:t xml:space="preserve"> (dependent personality disorder) </w:t>
      </w:r>
      <w:r w:rsidR="00AF71C0" w:rsidRPr="00154F1D">
        <w:t xml:space="preserve">but indicated that this did not mean that the </w:t>
      </w:r>
      <w:r w:rsidR="000A3ADB" w:rsidRPr="00154F1D">
        <w:t>‘</w:t>
      </w:r>
      <w:r w:rsidR="00AF71C0" w:rsidRPr="00154F1D">
        <w:t>personality disorder should be completely disregarded by the sentencing judge’.</w:t>
      </w:r>
      <w:r w:rsidR="00AF71C0" w:rsidRPr="00154F1D">
        <w:rPr>
          <w:rStyle w:val="FootnoteReference"/>
        </w:rPr>
        <w:footnoteReference w:id="86"/>
      </w:r>
      <w:r w:rsidR="00AF71C0" w:rsidRPr="00154F1D">
        <w:t xml:space="preserve"> </w:t>
      </w:r>
      <w:r w:rsidRPr="00154F1D">
        <w:t xml:space="preserve">There are </w:t>
      </w:r>
      <w:r w:rsidR="00CA3CF5" w:rsidRPr="00154F1D">
        <w:t xml:space="preserve">also </w:t>
      </w:r>
      <w:r w:rsidRPr="00154F1D">
        <w:t xml:space="preserve">unresolved issues in relation to the application of the </w:t>
      </w:r>
      <w:r w:rsidRPr="00154F1D">
        <w:rPr>
          <w:i/>
        </w:rPr>
        <w:t xml:space="preserve">Verdins </w:t>
      </w:r>
      <w:r w:rsidR="00CA3CF5" w:rsidRPr="00154F1D">
        <w:t>principles</w:t>
      </w:r>
      <w:r w:rsidRPr="00154F1D">
        <w:t xml:space="preserve"> as it is unc</w:t>
      </w:r>
      <w:r w:rsidR="00CA3CF5" w:rsidRPr="00154F1D">
        <w:t>l</w:t>
      </w:r>
      <w:r w:rsidRPr="00154F1D">
        <w:t xml:space="preserve">ear whether the </w:t>
      </w:r>
      <w:r w:rsidR="00CA3CF5" w:rsidRPr="00154F1D">
        <w:t>judgment</w:t>
      </w:r>
      <w:r w:rsidRPr="00154F1D">
        <w:t xml:space="preserve"> was intended to exclude all personality disorders </w:t>
      </w:r>
      <w:r w:rsidR="00CA3CF5" w:rsidRPr="00154F1D">
        <w:t>(the b</w:t>
      </w:r>
      <w:r w:rsidR="00411253" w:rsidRPr="00154F1D">
        <w:t>r</w:t>
      </w:r>
      <w:r w:rsidR="00CA3CF5" w:rsidRPr="00154F1D">
        <w:t>o</w:t>
      </w:r>
      <w:r w:rsidR="00411253" w:rsidRPr="00154F1D">
        <w:t>a</w:t>
      </w:r>
      <w:r w:rsidR="00CA3CF5" w:rsidRPr="00154F1D">
        <w:t xml:space="preserve">d interpretation) </w:t>
      </w:r>
      <w:r w:rsidRPr="00154F1D">
        <w:t xml:space="preserve">or only those that were similar in some way to </w:t>
      </w:r>
      <w:r w:rsidR="00CA3CF5" w:rsidRPr="00154F1D">
        <w:t>dependent</w:t>
      </w:r>
      <w:r w:rsidRPr="00154F1D">
        <w:t xml:space="preserve"> personality disorder</w:t>
      </w:r>
      <w:r w:rsidR="00CA3CF5" w:rsidRPr="00154F1D">
        <w:t xml:space="preserve"> (narrow interpretation).</w:t>
      </w:r>
      <w:r w:rsidR="00CA3CF5" w:rsidRPr="00154F1D">
        <w:rPr>
          <w:rStyle w:val="FootnoteReference"/>
        </w:rPr>
        <w:footnoteReference w:id="87"/>
      </w:r>
      <w:r w:rsidR="00CA3CF5" w:rsidRPr="00154F1D">
        <w:t xml:space="preserve"> This ambiguity has not been resolved by subsequent higher court cases in other jurisdictions.</w:t>
      </w:r>
      <w:r w:rsidR="00CA3CF5" w:rsidRPr="00154F1D">
        <w:rPr>
          <w:rStyle w:val="FootnoteReference"/>
        </w:rPr>
        <w:footnoteReference w:id="88"/>
      </w:r>
      <w:r w:rsidR="00CA3CF5" w:rsidRPr="00154F1D">
        <w:t xml:space="preserve"> However</w:t>
      </w:r>
      <w:r w:rsidR="001F7704" w:rsidRPr="00154F1D">
        <w:t>,</w:t>
      </w:r>
      <w:r w:rsidR="00CA3CF5" w:rsidRPr="00154F1D">
        <w:t xml:space="preserve"> in Tasmania it has been observed that the Court of Criminal Appeal appeared to apply a narrow interpretation </w:t>
      </w:r>
      <w:r w:rsidR="006A02DF" w:rsidRPr="00154F1D">
        <w:t xml:space="preserve">(that is, excluding only personality disorders that are similar to dependent personality disorder and not all personality disorders) </w:t>
      </w:r>
      <w:r w:rsidR="00CA3CF5" w:rsidRPr="00154F1D">
        <w:t xml:space="preserve">and so this is the interpretation of the law </w:t>
      </w:r>
      <w:r w:rsidR="00411253" w:rsidRPr="00154F1D">
        <w:t xml:space="preserve">that </w:t>
      </w:r>
      <w:r w:rsidR="00CA3CF5" w:rsidRPr="00154F1D">
        <w:t>applies in Tasmania.</w:t>
      </w:r>
      <w:r w:rsidR="00CA3CF5" w:rsidRPr="00154F1D">
        <w:rPr>
          <w:rStyle w:val="FootnoteReference"/>
        </w:rPr>
        <w:footnoteReference w:id="89"/>
      </w:r>
      <w:r w:rsidR="006A02DF" w:rsidRPr="00154F1D">
        <w:t xml:space="preserve"> It is also clear that a further limitation of the </w:t>
      </w:r>
      <w:r w:rsidR="006A02DF" w:rsidRPr="00154F1D">
        <w:rPr>
          <w:i/>
        </w:rPr>
        <w:t>Verdins</w:t>
      </w:r>
      <w:r w:rsidR="006A02DF" w:rsidRPr="00154F1D">
        <w:t xml:space="preserve"> principles exists in relation to self-induced impairment (such as a mental impairment resulting for drug or alcohol use).</w:t>
      </w:r>
      <w:r w:rsidR="006A02DF" w:rsidRPr="00154F1D">
        <w:rPr>
          <w:rStyle w:val="FootnoteReference"/>
        </w:rPr>
        <w:footnoteReference w:id="90"/>
      </w:r>
    </w:p>
    <w:p w14:paraId="02845323" w14:textId="60C283F1" w:rsidR="00E2211F" w:rsidRPr="00154F1D" w:rsidRDefault="00CA3CF5" w:rsidP="00744FAA">
      <w:pPr>
        <w:pStyle w:val="NormalNumberedTextTLRI"/>
      </w:pPr>
      <w:r w:rsidRPr="00154F1D">
        <w:t>Despite this uncertainty</w:t>
      </w:r>
      <w:r w:rsidR="005A02C0" w:rsidRPr="00154F1D">
        <w:t xml:space="preserve">, it is </w:t>
      </w:r>
      <w:r w:rsidRPr="00154F1D">
        <w:t>clear that the court’s view was that a rigorous assessment of the evidence was required. T</w:t>
      </w:r>
      <w:r w:rsidR="00AF71C0" w:rsidRPr="00154F1D">
        <w:t xml:space="preserve">he court expressed the view that </w:t>
      </w:r>
      <w:r w:rsidR="007E0C35" w:rsidRPr="00154F1D">
        <w:t>it was inappropriate to apply a mechanistic approach such that if an offender suffered from an</w:t>
      </w:r>
      <w:r w:rsidR="00D55CDB" w:rsidRPr="00154F1D">
        <w:t>y</w:t>
      </w:r>
      <w:r w:rsidR="007E0C35" w:rsidRPr="00154F1D">
        <w:t xml:space="preserve"> impaired mental functioning the</w:t>
      </w:r>
      <w:r w:rsidR="0038740A" w:rsidRPr="00154F1D">
        <w:t xml:space="preserve"> </w:t>
      </w:r>
      <w:r w:rsidR="007E0C35" w:rsidRPr="00154F1D">
        <w:rPr>
          <w:i/>
        </w:rPr>
        <w:t xml:space="preserve">Verdins </w:t>
      </w:r>
      <w:r w:rsidR="007E0C35" w:rsidRPr="00154F1D">
        <w:t xml:space="preserve">principles were </w:t>
      </w:r>
      <w:r w:rsidRPr="00154F1D">
        <w:t xml:space="preserve">automatically </w:t>
      </w:r>
      <w:r w:rsidR="007E0C35" w:rsidRPr="00154F1D">
        <w:t xml:space="preserve">attracted. Instead, </w:t>
      </w:r>
      <w:r w:rsidRPr="00154F1D">
        <w:t>the court sta</w:t>
      </w:r>
      <w:r w:rsidR="00530122" w:rsidRPr="00154F1D">
        <w:t>t</w:t>
      </w:r>
      <w:r w:rsidRPr="00154F1D">
        <w:t xml:space="preserve">ed that </w:t>
      </w:r>
      <w:r w:rsidR="007E0C35" w:rsidRPr="00154F1D">
        <w:t xml:space="preserve">careful consideration </w:t>
      </w:r>
      <w:r w:rsidR="005A26B2">
        <w:t>should</w:t>
      </w:r>
      <w:r w:rsidR="007E0C35" w:rsidRPr="00154F1D">
        <w:t xml:space="preserve"> be given to the evidence</w:t>
      </w:r>
      <w:r w:rsidR="000A417F" w:rsidRPr="00154F1D">
        <w:t xml:space="preserve"> </w:t>
      </w:r>
      <w:r w:rsidR="007E0C35" w:rsidRPr="00154F1D">
        <w:t>to determine whether the of</w:t>
      </w:r>
      <w:r w:rsidRPr="00154F1D">
        <w:t>fender</w:t>
      </w:r>
      <w:r w:rsidR="007E0C35" w:rsidRPr="00154F1D">
        <w:t xml:space="preserve"> suffer</w:t>
      </w:r>
      <w:r w:rsidRPr="00154F1D">
        <w:t>ed</w:t>
      </w:r>
      <w:r w:rsidR="007E0C35" w:rsidRPr="00154F1D">
        <w:t xml:space="preserve"> from an impairment of mental functioning, and </w:t>
      </w:r>
      <w:r w:rsidR="005A26B2">
        <w:t xml:space="preserve">if so, </w:t>
      </w:r>
      <w:r w:rsidR="007E0C35" w:rsidRPr="00154F1D">
        <w:t>whether</w:t>
      </w:r>
      <w:r w:rsidRPr="00154F1D">
        <w:t xml:space="preserve"> there wa</w:t>
      </w:r>
      <w:r w:rsidR="007E0C35" w:rsidRPr="00154F1D">
        <w:t>s a connection between the impairment and the person’s moral culpability or the need for general and specific deterren</w:t>
      </w:r>
      <w:r w:rsidR="00530122" w:rsidRPr="00154F1D">
        <w:t>ce</w:t>
      </w:r>
      <w:r w:rsidR="007E0C35" w:rsidRPr="00154F1D">
        <w:t>. This meant that there needed to be a ‘realistic connection’ between the impa</w:t>
      </w:r>
      <w:r w:rsidRPr="00154F1D">
        <w:t xml:space="preserve">irment and the offence or that </w:t>
      </w:r>
      <w:r w:rsidR="00530122" w:rsidRPr="00154F1D">
        <w:t>it</w:t>
      </w:r>
      <w:r w:rsidR="007E0C35" w:rsidRPr="00154F1D">
        <w:t xml:space="preserve"> ‘caused or contributed’ to the offence or was ‘causally linked’</w:t>
      </w:r>
      <w:r w:rsidR="00530122" w:rsidRPr="00154F1D">
        <w:t xml:space="preserve"> to it</w:t>
      </w:r>
      <w:r w:rsidR="007E0C35" w:rsidRPr="00154F1D">
        <w:t>.</w:t>
      </w:r>
      <w:r w:rsidR="007E0C35" w:rsidRPr="00154F1D">
        <w:rPr>
          <w:rStyle w:val="FootnoteReference"/>
        </w:rPr>
        <w:footnoteReference w:id="91"/>
      </w:r>
      <w:r w:rsidR="007E0C35" w:rsidRPr="00154F1D">
        <w:t xml:space="preserve"> Further, it must be shown that the mental impairment affected </w:t>
      </w:r>
      <w:r w:rsidR="00530122" w:rsidRPr="00154F1D">
        <w:t xml:space="preserve">the offender’s </w:t>
      </w:r>
      <w:r w:rsidR="007E0C35" w:rsidRPr="00154F1D">
        <w:t xml:space="preserve">ability to appreciate the wrongfulness of the conduct, or obscured </w:t>
      </w:r>
      <w:r w:rsidR="00530122" w:rsidRPr="00154F1D">
        <w:t xml:space="preserve">his or her </w:t>
      </w:r>
      <w:r w:rsidR="007E0C35" w:rsidRPr="00154F1D">
        <w:t xml:space="preserve">intent to commit the offence, or impaired </w:t>
      </w:r>
      <w:r w:rsidR="00530122" w:rsidRPr="00154F1D">
        <w:t>his or her</w:t>
      </w:r>
      <w:r w:rsidR="007E0C35" w:rsidRPr="00154F1D">
        <w:t xml:space="preserve"> ability to make calm and rational choices or to think clearly at the time of the offence.</w:t>
      </w:r>
      <w:r w:rsidR="007E0C35" w:rsidRPr="00154F1D">
        <w:rPr>
          <w:rStyle w:val="FootnoteReference"/>
        </w:rPr>
        <w:footnoteReference w:id="92"/>
      </w:r>
      <w:r w:rsidR="007E0C35" w:rsidRPr="00154F1D">
        <w:t xml:space="preserve"> </w:t>
      </w:r>
      <w:r w:rsidR="00EC0C7E" w:rsidRPr="00154F1D">
        <w:t>The ability of the court to make this rigorous assessment is clearly dependent on the nature of the information contained in the expert reports received by the court.</w:t>
      </w:r>
      <w:r w:rsidR="00512D7E" w:rsidRPr="00154F1D">
        <w:t xml:space="preserve"> </w:t>
      </w:r>
      <w:r w:rsidR="00E2211F" w:rsidRPr="00154F1D">
        <w:t xml:space="preserve">Further, the information contained in the expert report, in more serious cases of mental or cognitive impairment, may trigger an exploration of whether the appropriate pathway for the offender is an order under the </w:t>
      </w:r>
      <w:r w:rsidR="00E2211F" w:rsidRPr="00154F1D">
        <w:rPr>
          <w:i/>
        </w:rPr>
        <w:t xml:space="preserve">Sentencing Act 1997 </w:t>
      </w:r>
      <w:r w:rsidR="00E2211F" w:rsidRPr="00154F1D">
        <w:t xml:space="preserve">(Tas) Part 10 (restriction, supervision and treatment orders) rather than a sentencing order under </w:t>
      </w:r>
      <w:r w:rsidR="00921447" w:rsidRPr="00154F1D">
        <w:t>s</w:t>
      </w:r>
      <w:r w:rsidR="000079E4" w:rsidRPr="00154F1D">
        <w:t>s</w:t>
      </w:r>
      <w:r w:rsidR="00921447" w:rsidRPr="00154F1D">
        <w:t xml:space="preserve"> 7(a)–(h) of </w:t>
      </w:r>
      <w:r w:rsidR="00E2211F" w:rsidRPr="00154F1D">
        <w:t xml:space="preserve">the </w:t>
      </w:r>
      <w:r w:rsidR="00E2211F" w:rsidRPr="00154F1D">
        <w:rPr>
          <w:i/>
        </w:rPr>
        <w:t xml:space="preserve">Sentencing Act 1997 </w:t>
      </w:r>
      <w:r w:rsidR="00E2211F" w:rsidRPr="00154F1D">
        <w:t xml:space="preserve">(Tas). </w:t>
      </w:r>
    </w:p>
    <w:p w14:paraId="51229526" w14:textId="20615669" w:rsidR="00E603B3" w:rsidRPr="00154F1D" w:rsidRDefault="00E603B3" w:rsidP="00744FAA">
      <w:pPr>
        <w:pStyle w:val="NormalNumberedTextTLRI"/>
      </w:pPr>
      <w:r w:rsidRPr="00154F1D">
        <w:t xml:space="preserve">Under the </w:t>
      </w:r>
      <w:r w:rsidRPr="00154F1D">
        <w:rPr>
          <w:i/>
        </w:rPr>
        <w:t xml:space="preserve">Sentencing Act 1997 </w:t>
      </w:r>
      <w:r w:rsidRPr="00154F1D">
        <w:t>(Tas) Part 10, an offender who is found guilty of an offence may be sentenced to a restriction order, a supervision order or a treatment order in cases where the offender appears to be suffering from a mental illness.</w:t>
      </w:r>
      <w:r w:rsidRPr="00154F1D">
        <w:rPr>
          <w:rStyle w:val="FootnoteReference"/>
        </w:rPr>
        <w:footnoteReference w:id="93"/>
      </w:r>
      <w:r w:rsidRPr="00154F1D">
        <w:t xml:space="preserve"> In a case where a person is found guilty, the court makes a restriction order </w:t>
      </w:r>
      <w:r w:rsidR="0097014F" w:rsidRPr="00154F1D">
        <w:t>upon</w:t>
      </w:r>
      <w:r w:rsidRPr="00154F1D">
        <w:t xml:space="preserve"> receiving a report from the Chief Forensic Psychiatrist</w:t>
      </w:r>
      <w:r w:rsidR="0097014F" w:rsidRPr="00154F1D">
        <w:t>,</w:t>
      </w:r>
      <w:r w:rsidRPr="00154F1D">
        <w:t xml:space="preserve"> or another psychiatrist</w:t>
      </w:r>
      <w:r w:rsidR="0097014F" w:rsidRPr="00154F1D">
        <w:t>,</w:t>
      </w:r>
      <w:r w:rsidRPr="00154F1D">
        <w:t xml:space="preserve"> that the person appears to be suffering from a mental illness that requires treatment, that </w:t>
      </w:r>
      <w:r w:rsidR="0097014F" w:rsidRPr="00154F1D">
        <w:t xml:space="preserve">such </w:t>
      </w:r>
      <w:r w:rsidRPr="00154F1D">
        <w:t>treatment can be obtained by admission to and detention in a secure mental health unit</w:t>
      </w:r>
      <w:r w:rsidR="0097014F" w:rsidRPr="00154F1D">
        <w:t>,</w:t>
      </w:r>
      <w:r w:rsidRPr="00154F1D">
        <w:t xml:space="preserve"> that the person should be admitted as a patient for the person’s own safety and the Chief Forensic Psychiatrist recommends the proposed admission.</w:t>
      </w:r>
      <w:r w:rsidRPr="00154F1D">
        <w:rPr>
          <w:rStyle w:val="FootnoteReference"/>
        </w:rPr>
        <w:footnoteReference w:id="94"/>
      </w:r>
      <w:r w:rsidRPr="00154F1D">
        <w:t xml:space="preserve"> There is also power for the court to make a treatment order or a supervision order, subject to the receipt of an expert report.</w:t>
      </w:r>
      <w:r w:rsidRPr="00154F1D">
        <w:rPr>
          <w:rStyle w:val="FootnoteReference"/>
        </w:rPr>
        <w:footnoteReference w:id="95"/>
      </w:r>
      <w:r w:rsidRPr="00154F1D">
        <w:t xml:space="preserve"> In its research, the TLRI identified nine cases in the Supreme Court between 2001 and 2016 where an offender was sentenced under the </w:t>
      </w:r>
      <w:r w:rsidRPr="00154F1D">
        <w:rPr>
          <w:i/>
        </w:rPr>
        <w:t xml:space="preserve">Sentencing Act 1997 </w:t>
      </w:r>
      <w:r w:rsidRPr="00154F1D">
        <w:t xml:space="preserve">(Tas) to either a sentence of imprisonment combined with a supervision order (five cases) or imprisonment combined with a restriction order (two cases) or a supervision order (two cases). In eight cases, the offender entered a plea of guilty and in one case, the offender was found guilty by a jury of one offence (the issue was whether the offender was guilty of attempted murder or attempted wounding) and entered a plea of guilty to another charge. </w:t>
      </w:r>
    </w:p>
    <w:p w14:paraId="580A25D0" w14:textId="461F9E0D" w:rsidR="00512D7E" w:rsidRPr="00154F1D" w:rsidRDefault="00E2211F" w:rsidP="00744FAA">
      <w:pPr>
        <w:pStyle w:val="NormalNumberedTextTLRI"/>
      </w:pPr>
      <w:r w:rsidRPr="00154F1D">
        <w:t>The other context in which an offender’s mental condition at the time of the offence is relevant to the imposition of sentence</w:t>
      </w:r>
      <w:r w:rsidR="004A0831" w:rsidRPr="00154F1D">
        <w:t>,</w:t>
      </w:r>
      <w:r w:rsidRPr="00154F1D">
        <w:t xml:space="preserve"> and, again, the nature of the information contained in any reports provided to the court is central to the exercise of judicial discretion</w:t>
      </w:r>
      <w:r w:rsidR="004A0831" w:rsidRPr="00154F1D">
        <w:t>,</w:t>
      </w:r>
      <w:r w:rsidRPr="00154F1D">
        <w:t xml:space="preserve"> is in making a dangerous criminal declaration under the </w:t>
      </w:r>
      <w:r w:rsidRPr="00154F1D">
        <w:rPr>
          <w:i/>
        </w:rPr>
        <w:t xml:space="preserve">Sentencing Act 1997 </w:t>
      </w:r>
      <w:r w:rsidRPr="00154F1D">
        <w:t>(Tas) s 19.</w:t>
      </w:r>
      <w:r w:rsidR="00D319D9">
        <w:t xml:space="preserve"> </w:t>
      </w:r>
      <w:r w:rsidR="006A6946" w:rsidRPr="00154F1D">
        <w:t>The dangerous criminal provisions in</w:t>
      </w:r>
      <w:r w:rsidR="00AD48E9" w:rsidRPr="00154F1D">
        <w:t xml:space="preserve"> the</w:t>
      </w:r>
      <w:r w:rsidR="006A6946" w:rsidRPr="00154F1D">
        <w:t xml:space="preserve"> </w:t>
      </w:r>
      <w:r w:rsidR="00AD48E9" w:rsidRPr="00154F1D">
        <w:rPr>
          <w:i/>
        </w:rPr>
        <w:t xml:space="preserve">Sentencing Act 1997 </w:t>
      </w:r>
      <w:r w:rsidRPr="00154F1D">
        <w:t>(Tas)</w:t>
      </w:r>
      <w:r w:rsidR="00AD48E9" w:rsidRPr="00154F1D">
        <w:t xml:space="preserve"> </w:t>
      </w:r>
      <w:r w:rsidR="006A6946" w:rsidRPr="00154F1D">
        <w:t xml:space="preserve">Part 3, Division 3 allows </w:t>
      </w:r>
      <w:r w:rsidR="00AD48E9" w:rsidRPr="00154F1D">
        <w:t>the court to make a dangerous criminal declaration which provides for</w:t>
      </w:r>
      <w:r w:rsidR="006A6946" w:rsidRPr="00154F1D">
        <w:t xml:space="preserve"> indefinite detention</w:t>
      </w:r>
      <w:r w:rsidRPr="00154F1D">
        <w:t xml:space="preserve"> and</w:t>
      </w:r>
      <w:r w:rsidR="006A6946" w:rsidRPr="00154F1D">
        <w:t xml:space="preserve"> </w:t>
      </w:r>
      <w:r w:rsidR="00AD48E9" w:rsidRPr="00154F1D">
        <w:t xml:space="preserve">so </w:t>
      </w:r>
      <w:r w:rsidRPr="00154F1D">
        <w:t>an</w:t>
      </w:r>
      <w:r w:rsidR="006A6946" w:rsidRPr="00154F1D">
        <w:t xml:space="preserve"> offender is ineligible for release until the declaration is discharged.</w:t>
      </w:r>
      <w:bookmarkStart w:id="68" w:name="_Ref535749202"/>
      <w:r w:rsidR="006A6946" w:rsidRPr="00154F1D">
        <w:rPr>
          <w:rStyle w:val="FootnoteReference"/>
        </w:rPr>
        <w:footnoteReference w:id="96"/>
      </w:r>
      <w:bookmarkEnd w:id="68"/>
      <w:r w:rsidR="006A6946" w:rsidRPr="00154F1D">
        <w:t xml:space="preserve"> </w:t>
      </w:r>
      <w:r w:rsidR="00DC55A7" w:rsidRPr="00154F1D">
        <w:t>One of the pre-conditions to making an order is the requirement that the judge is of the opinion that the declaration is warranted for the protection of the public.</w:t>
      </w:r>
      <w:r w:rsidR="00DC55A7" w:rsidRPr="00154F1D">
        <w:rPr>
          <w:rStyle w:val="FootnoteReference"/>
        </w:rPr>
        <w:footnoteReference w:id="97"/>
      </w:r>
      <w:r w:rsidR="00DC55A7" w:rsidRPr="00154F1D">
        <w:t xml:space="preserve"> </w:t>
      </w:r>
      <w:r w:rsidR="006A6946" w:rsidRPr="00154F1D">
        <w:t>Section 19(2) sets out a non-exhaustive list of factors that are relevant to the making of the declaration including medical opinion.</w:t>
      </w:r>
      <w:r w:rsidR="00DC55A7" w:rsidRPr="00154F1D">
        <w:t xml:space="preserve"> </w:t>
      </w:r>
      <w:r w:rsidR="006208F5" w:rsidRPr="00154F1D">
        <w:t xml:space="preserve">It has been stated that </w:t>
      </w:r>
      <w:r w:rsidR="004A0831" w:rsidRPr="00154F1D">
        <w:t xml:space="preserve">the </w:t>
      </w:r>
      <w:r w:rsidR="006208F5" w:rsidRPr="00154F1D">
        <w:t>‘existence of a mental disorder making a convicted person prone to commit random and impulsive acts of violence would be a most material factor in assessing whether to make a declaration’.</w:t>
      </w:r>
      <w:r w:rsidR="006208F5" w:rsidRPr="00154F1D">
        <w:rPr>
          <w:rStyle w:val="FootnoteReference"/>
        </w:rPr>
        <w:footnoteReference w:id="98"/>
      </w:r>
      <w:r w:rsidR="006208F5" w:rsidRPr="00154F1D">
        <w:t xml:space="preserve"> The interaction of an offender’s mental health and the dangerous criminal provisions can be seen i</w:t>
      </w:r>
      <w:r w:rsidR="00DC55A7" w:rsidRPr="00154F1D">
        <w:t xml:space="preserve">n the case of </w:t>
      </w:r>
      <w:r w:rsidR="00DC55A7" w:rsidRPr="00154F1D">
        <w:rPr>
          <w:i/>
        </w:rPr>
        <w:t>McCross</w:t>
      </w:r>
      <w:r w:rsidR="00F20542" w:rsidRPr="00154F1D">
        <w:rPr>
          <w:i/>
        </w:rPr>
        <w:t>e</w:t>
      </w:r>
      <w:r w:rsidR="00DC55A7" w:rsidRPr="00154F1D">
        <w:rPr>
          <w:i/>
        </w:rPr>
        <w:t>n</w:t>
      </w:r>
      <w:r w:rsidR="0062405B" w:rsidRPr="00154F1D">
        <w:rPr>
          <w:i/>
        </w:rPr>
        <w:t xml:space="preserve"> v Tasmania</w:t>
      </w:r>
      <w:r w:rsidR="006208F5" w:rsidRPr="00154F1D">
        <w:t>,</w:t>
      </w:r>
      <w:r w:rsidR="001633DE" w:rsidRPr="00154F1D">
        <w:rPr>
          <w:rStyle w:val="FootnoteReference"/>
        </w:rPr>
        <w:footnoteReference w:id="99"/>
      </w:r>
      <w:r w:rsidR="006208F5" w:rsidRPr="00154F1D">
        <w:t xml:space="preserve"> where </w:t>
      </w:r>
      <w:r w:rsidR="001633DE" w:rsidRPr="00154F1D">
        <w:t xml:space="preserve">the applicant’s complex mental health state was exacerbated by his indefinite detention and long history of incarceration. Expert reports to the court highlighted the rehabilitative benefit to the offender </w:t>
      </w:r>
      <w:r w:rsidR="006C3FEF">
        <w:t xml:space="preserve">that would result </w:t>
      </w:r>
      <w:r w:rsidR="00736E6A" w:rsidRPr="00154F1D">
        <w:t>from</w:t>
      </w:r>
      <w:r w:rsidR="001633DE" w:rsidRPr="00154F1D">
        <w:t xml:space="preserve"> </w:t>
      </w:r>
      <w:r w:rsidR="006C3FEF">
        <w:t xml:space="preserve">his </w:t>
      </w:r>
      <w:r w:rsidR="001633DE" w:rsidRPr="00154F1D">
        <w:t xml:space="preserve">being discharged from </w:t>
      </w:r>
      <w:r w:rsidR="00736E6A" w:rsidRPr="00154F1D">
        <w:t xml:space="preserve">the </w:t>
      </w:r>
      <w:r w:rsidR="001633DE" w:rsidRPr="00154F1D">
        <w:t xml:space="preserve">Dangerous Criminal Declaration and instead </w:t>
      </w:r>
      <w:r w:rsidR="00736E6A" w:rsidRPr="00154F1D">
        <w:t>treated</w:t>
      </w:r>
      <w:r w:rsidR="001633DE" w:rsidRPr="00154F1D">
        <w:t xml:space="preserve"> in the secure mental health unit under the </w:t>
      </w:r>
      <w:r w:rsidR="001633DE" w:rsidRPr="00154F1D">
        <w:rPr>
          <w:i/>
        </w:rPr>
        <w:t>Mental Health Act 2013</w:t>
      </w:r>
      <w:r w:rsidR="001633DE" w:rsidRPr="00154F1D">
        <w:t xml:space="preserve"> (Tas) as a</w:t>
      </w:r>
      <w:r w:rsidR="00736E6A" w:rsidRPr="00154F1D">
        <w:t>n involuntary</w:t>
      </w:r>
      <w:r w:rsidR="001633DE" w:rsidRPr="00154F1D">
        <w:t xml:space="preserve"> civil patient.</w:t>
      </w:r>
      <w:r w:rsidR="00736E6A" w:rsidRPr="00154F1D">
        <w:t xml:space="preserve"> This was the approach to the offender’s rehabilitation that </w:t>
      </w:r>
      <w:r w:rsidR="00634509" w:rsidRPr="00154F1D">
        <w:t xml:space="preserve">was </w:t>
      </w:r>
      <w:r w:rsidR="00736E6A" w:rsidRPr="00154F1D">
        <w:t>taken by Wood J in making an order discharging the declaration:</w:t>
      </w:r>
    </w:p>
    <w:p w14:paraId="01B311FF" w14:textId="226A9B8C" w:rsidR="00736E6A" w:rsidRPr="00154F1D" w:rsidRDefault="00736E6A" w:rsidP="0074267A">
      <w:pPr>
        <w:pStyle w:val="QuoteTLRI"/>
        <w:rPr>
          <w:lang w:val="en-US"/>
        </w:rPr>
      </w:pPr>
      <w:r w:rsidRPr="00154F1D">
        <w:t>What this case has demonstrated is that the indeterminate nature of the sentence was in itself crushing and counterproductive in terms of the applicant</w:t>
      </w:r>
      <w:r w:rsidR="00FC0A0C" w:rsidRPr="00154F1D">
        <w:t>’</w:t>
      </w:r>
      <w:r w:rsidRPr="00154F1D">
        <w:t>s rehabilitation. Since there has been talk of the order being lifted, the applicant has made significant progress in a short time. To offset these crushing effects, a prison system would have to be vigilant and have a committed and co-ordinated approach to an individual</w:t>
      </w:r>
      <w:r w:rsidR="00FC0A0C" w:rsidRPr="00154F1D">
        <w:t>’</w:t>
      </w:r>
      <w:r w:rsidRPr="00154F1D">
        <w:t>s rehabilitation. Questions may be asked about whether more could have been done from the beginning by the prison system to promote the applicant</w:t>
      </w:r>
      <w:r w:rsidR="00FC0A0C" w:rsidRPr="00154F1D">
        <w:t>’</w:t>
      </w:r>
      <w:r w:rsidRPr="00154F1D">
        <w:t>s rehabilitation in a committed way which recognised the applicant</w:t>
      </w:r>
      <w:r w:rsidR="00FC0A0C" w:rsidRPr="00154F1D">
        <w:t>’</w:t>
      </w:r>
      <w:r w:rsidRPr="00154F1D">
        <w:t>s profound difficulties and mental health condition. His potential for reform cannot be doubted, noting the marked significant improvement away from the prison during his admissions to the Wilfred Lopes Centre, particularly in 2009</w:t>
      </w:r>
      <w:r w:rsidR="00040B3F" w:rsidRPr="00154F1D">
        <w:t>.</w:t>
      </w:r>
    </w:p>
    <w:p w14:paraId="0B678724" w14:textId="215BCD3C" w:rsidR="006208F5" w:rsidRPr="00154F1D" w:rsidRDefault="006208F5" w:rsidP="00744FAA">
      <w:pPr>
        <w:pStyle w:val="NormalNumberedTextTLRI"/>
      </w:pPr>
      <w:r w:rsidRPr="00154F1D">
        <w:t>It may be that in cases where the basis for the need for community protection arise</w:t>
      </w:r>
      <w:r w:rsidR="00143717" w:rsidRPr="00154F1D">
        <w:t>s from</w:t>
      </w:r>
      <w:r w:rsidRPr="00154F1D">
        <w:t xml:space="preserve"> the nature of the offender’s mental impairment, a more appropriate pathway for the offender that will protect the community and allow </w:t>
      </w:r>
      <w:r w:rsidR="00143717" w:rsidRPr="00154F1D">
        <w:t xml:space="preserve">the </w:t>
      </w:r>
      <w:r w:rsidRPr="00154F1D">
        <w:t xml:space="preserve">offender to obtain appropriate treatment may be found in the forensic orders contained </w:t>
      </w:r>
      <w:r w:rsidR="00143717" w:rsidRPr="00154F1D">
        <w:t xml:space="preserve">in </w:t>
      </w:r>
      <w:r w:rsidRPr="00154F1D">
        <w:t xml:space="preserve">the </w:t>
      </w:r>
      <w:r w:rsidRPr="00154F1D">
        <w:rPr>
          <w:i/>
        </w:rPr>
        <w:t xml:space="preserve">Criminal Justice (Mental Impairment) Act 1999 </w:t>
      </w:r>
      <w:r w:rsidRPr="00154F1D">
        <w:t>(Tas)</w:t>
      </w:r>
      <w:r w:rsidRPr="00154F1D">
        <w:rPr>
          <w:i/>
        </w:rPr>
        <w:t xml:space="preserve"> </w:t>
      </w:r>
      <w:r w:rsidRPr="00154F1D">
        <w:t xml:space="preserve">rather than in indefinite detention as a dangerous </w:t>
      </w:r>
      <w:r w:rsidR="0078717A" w:rsidRPr="00154F1D">
        <w:t xml:space="preserve">criminal </w:t>
      </w:r>
      <w:r w:rsidRPr="00154F1D">
        <w:t xml:space="preserve">under the </w:t>
      </w:r>
      <w:r w:rsidR="0078717A" w:rsidRPr="00154F1D">
        <w:rPr>
          <w:i/>
        </w:rPr>
        <w:t xml:space="preserve">Sentencing Act 1997 </w:t>
      </w:r>
      <w:r w:rsidR="0078717A" w:rsidRPr="00154F1D">
        <w:t xml:space="preserve">(Tas). This point was made clearly by the High Court in </w:t>
      </w:r>
      <w:r w:rsidR="0078717A" w:rsidRPr="00154F1D">
        <w:rPr>
          <w:i/>
        </w:rPr>
        <w:t>Chester v The Queen</w:t>
      </w:r>
      <w:r w:rsidR="0078717A" w:rsidRPr="00154F1D">
        <w:t>,</w:t>
      </w:r>
      <w:r w:rsidR="0078717A" w:rsidRPr="00154F1D">
        <w:rPr>
          <w:rStyle w:val="FootnoteReference"/>
        </w:rPr>
        <w:footnoteReference w:id="100"/>
      </w:r>
      <w:r w:rsidR="0078717A" w:rsidRPr="00154F1D">
        <w:t xml:space="preserve"> where the court expressed the view that indefinite detention as a dangerous criminal should not ‘be contemplated when in due course it may be more appropriate that there be a justice’s order … for reception into and detention in an approved hospital of a person suffering from mental disorder’.</w:t>
      </w:r>
      <w:r w:rsidR="0078717A" w:rsidRPr="00154F1D">
        <w:rPr>
          <w:rStyle w:val="FootnoteReference"/>
        </w:rPr>
        <w:footnoteReference w:id="101"/>
      </w:r>
      <w:r w:rsidR="0078717A" w:rsidRPr="00154F1D">
        <w:t xml:space="preserve"> On this basis, a possible reform may be to amend the dangerous criminal provisions contained in the </w:t>
      </w:r>
      <w:r w:rsidR="0078717A" w:rsidRPr="00154F1D">
        <w:rPr>
          <w:i/>
        </w:rPr>
        <w:t xml:space="preserve">Sentencing Act 1997 </w:t>
      </w:r>
      <w:r w:rsidR="0078717A" w:rsidRPr="00154F1D">
        <w:t xml:space="preserve">(Tas) to provide a statutory trigger for </w:t>
      </w:r>
      <w:r w:rsidR="00AD48E9" w:rsidRPr="00154F1D">
        <w:t xml:space="preserve">judicial </w:t>
      </w:r>
      <w:r w:rsidR="0078717A" w:rsidRPr="00154F1D">
        <w:t xml:space="preserve">consideration of </w:t>
      </w:r>
      <w:r w:rsidR="00AD48E9" w:rsidRPr="00154F1D">
        <w:t xml:space="preserve">the appropriateness of making an order for referral for assessment with a view to making a restriction, supervision or treatment </w:t>
      </w:r>
      <w:r w:rsidR="0078717A" w:rsidRPr="00154F1D">
        <w:t xml:space="preserve">order under the </w:t>
      </w:r>
      <w:r w:rsidR="00AD48E9" w:rsidRPr="00154F1D">
        <w:rPr>
          <w:i/>
        </w:rPr>
        <w:t xml:space="preserve">Sentencing Act 1997 </w:t>
      </w:r>
      <w:r w:rsidR="00AD48E9" w:rsidRPr="00154F1D">
        <w:t xml:space="preserve">(Tas) Part 10, </w:t>
      </w:r>
      <w:r w:rsidR="004A65D2" w:rsidRPr="00154F1D">
        <w:t>rather than</w:t>
      </w:r>
      <w:r w:rsidR="00AD48E9" w:rsidRPr="00154F1D">
        <w:t xml:space="preserve"> making a dangerous criminal declaration.</w:t>
      </w:r>
    </w:p>
    <w:p w14:paraId="272FCFF9" w14:textId="70DC4B3F" w:rsidR="006208F5" w:rsidRPr="007A6066" w:rsidRDefault="00AD48E9" w:rsidP="00A0367E">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spacing w:after="120"/>
        <w:ind w:left="57" w:right="57"/>
        <w:rPr>
          <w:b/>
        </w:rPr>
      </w:pPr>
      <w:bookmarkStart w:id="69" w:name="Q1"/>
      <w:r w:rsidRPr="007A6066">
        <w:rPr>
          <w:b/>
        </w:rPr>
        <w:t xml:space="preserve">Question </w:t>
      </w:r>
      <w:r w:rsidR="00C057E7" w:rsidRPr="007A6066">
        <w:rPr>
          <w:b/>
        </w:rPr>
        <w:t>1</w:t>
      </w:r>
      <w:bookmarkEnd w:id="69"/>
    </w:p>
    <w:p w14:paraId="3077676C" w14:textId="7DAB3E3E" w:rsidR="00AD48E9" w:rsidRPr="00154F1D" w:rsidRDefault="00AD48E9" w:rsidP="00A0367E">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spacing w:before="120"/>
        <w:ind w:left="57" w:right="57"/>
      </w:pPr>
      <w:r w:rsidRPr="00154F1D">
        <w:t xml:space="preserve">Should there be an amendment to the dangerous criminal provisions contained in the </w:t>
      </w:r>
      <w:r w:rsidRPr="00154F1D">
        <w:rPr>
          <w:i/>
        </w:rPr>
        <w:t xml:space="preserve">Sentencing Act 1997 </w:t>
      </w:r>
      <w:r w:rsidRPr="00154F1D">
        <w:t xml:space="preserve">(Tas) to provide a statutory trigger for judicial consideration of the appropriateness of making an order under the </w:t>
      </w:r>
      <w:r w:rsidRPr="00154F1D">
        <w:rPr>
          <w:i/>
        </w:rPr>
        <w:t xml:space="preserve">Sentencing Act 1997 </w:t>
      </w:r>
      <w:r w:rsidRPr="00154F1D">
        <w:t>(Tas) Part 10 instead of a dangerous criminal declaration?</w:t>
      </w:r>
    </w:p>
    <w:p w14:paraId="14DCEDA6" w14:textId="795266A7" w:rsidR="00F24336" w:rsidRPr="00154F1D" w:rsidRDefault="008B119E" w:rsidP="00A0367E">
      <w:pPr>
        <w:pStyle w:val="NumberedHeadingTLRI"/>
        <w:spacing w:before="360"/>
      </w:pPr>
      <w:bookmarkStart w:id="70" w:name="_Toc535868922"/>
      <w:r w:rsidRPr="00154F1D">
        <w:t>Reliance on unfitness to stand trial and insanity in Tasmania</w:t>
      </w:r>
      <w:bookmarkEnd w:id="70"/>
    </w:p>
    <w:p w14:paraId="5A1EC7C0" w14:textId="59DD452C" w:rsidR="005140EB" w:rsidRPr="00154F1D" w:rsidRDefault="005140EB" w:rsidP="007E2E89">
      <w:pPr>
        <w:pStyle w:val="NormalNumberedTextTLRI"/>
      </w:pPr>
      <w:r w:rsidRPr="00154F1D">
        <w:t xml:space="preserve">The TLRI has sought to identify information in relation to cases where unfitness to stand trial and insanity </w:t>
      </w:r>
      <w:r w:rsidR="000465B6" w:rsidRPr="00154F1D">
        <w:t xml:space="preserve">were </w:t>
      </w:r>
      <w:r w:rsidRPr="00154F1D">
        <w:t>raised</w:t>
      </w:r>
      <w:r w:rsidR="00B10186" w:rsidRPr="00154F1D">
        <w:t xml:space="preserve"> by using</w:t>
      </w:r>
      <w:r w:rsidR="00574872" w:rsidRPr="00154F1D">
        <w:t xml:space="preserve"> a number of sources:</w:t>
      </w:r>
    </w:p>
    <w:p w14:paraId="0BCDFBE9" w14:textId="7A09FBC1" w:rsidR="00574872" w:rsidRPr="00154F1D" w:rsidRDefault="00574872" w:rsidP="00AC4FFD">
      <w:pPr>
        <w:pStyle w:val="DotPointTLRI"/>
        <w:tabs>
          <w:tab w:val="left" w:pos="851"/>
        </w:tabs>
        <w:ind w:hanging="785"/>
      </w:pPr>
      <w:r w:rsidRPr="00154F1D">
        <w:t>data obtained from the Director of Public Prosecutions Annual Report</w:t>
      </w:r>
      <w:r w:rsidR="00EB19C0" w:rsidRPr="00154F1D">
        <w:t>;</w:t>
      </w:r>
    </w:p>
    <w:p w14:paraId="55482A53" w14:textId="6C0C1D1D" w:rsidR="00574872" w:rsidRPr="00154F1D" w:rsidRDefault="00574872" w:rsidP="00AC4FFD">
      <w:pPr>
        <w:pStyle w:val="DotPointTLRI"/>
        <w:tabs>
          <w:tab w:val="left" w:pos="851"/>
        </w:tabs>
        <w:ind w:hanging="785"/>
      </w:pPr>
      <w:r w:rsidRPr="00154F1D">
        <w:t xml:space="preserve">data obtained from the </w:t>
      </w:r>
      <w:r w:rsidR="003460C9" w:rsidRPr="00154F1D">
        <w:t>Mental Health Tribunal</w:t>
      </w:r>
      <w:r w:rsidR="00EB19C0" w:rsidRPr="00154F1D">
        <w:t>;</w:t>
      </w:r>
    </w:p>
    <w:p w14:paraId="7756E4B8" w14:textId="74F4DACF" w:rsidR="003460C9" w:rsidRPr="00154F1D" w:rsidRDefault="003460C9" w:rsidP="00AC4FFD">
      <w:pPr>
        <w:pStyle w:val="DotPointTLRI"/>
        <w:tabs>
          <w:tab w:val="left" w:pos="851"/>
        </w:tabs>
        <w:ind w:hanging="785"/>
      </w:pPr>
      <w:r w:rsidRPr="00154F1D">
        <w:t xml:space="preserve">data obtained </w:t>
      </w:r>
      <w:r w:rsidR="00EB19C0" w:rsidRPr="00154F1D">
        <w:t>from the Supreme Court;</w:t>
      </w:r>
    </w:p>
    <w:p w14:paraId="3B7ACAB8" w14:textId="4991BCB2" w:rsidR="00574872" w:rsidRPr="00154F1D" w:rsidRDefault="00574872" w:rsidP="00A0367E">
      <w:pPr>
        <w:pStyle w:val="DotPointTLRI"/>
        <w:ind w:left="851" w:hanging="425"/>
      </w:pPr>
      <w:r w:rsidRPr="00154F1D">
        <w:t>a survey of sentencing cases using a search of the TLRI data</w:t>
      </w:r>
      <w:r w:rsidR="00B10186" w:rsidRPr="00154F1D">
        <w:t>base and the online sentencing datab</w:t>
      </w:r>
      <w:r w:rsidR="00445018" w:rsidRPr="00154F1D">
        <w:t>ase at the Inglis Clark Library;</w:t>
      </w:r>
    </w:p>
    <w:p w14:paraId="7700C816" w14:textId="269721F2" w:rsidR="00445018" w:rsidRPr="00154F1D" w:rsidRDefault="00445018" w:rsidP="00A0367E">
      <w:pPr>
        <w:pStyle w:val="DotPointTLRI"/>
        <w:ind w:left="851" w:hanging="425"/>
      </w:pPr>
      <w:r w:rsidRPr="00154F1D">
        <w:t>data obtained from the Department of Justice.</w:t>
      </w:r>
    </w:p>
    <w:p w14:paraId="0EFDF524" w14:textId="5A9D6A2C" w:rsidR="00445018" w:rsidRPr="00154F1D" w:rsidRDefault="00445018" w:rsidP="00065DEA">
      <w:pPr>
        <w:pStyle w:val="Sub-HeadingTLRI"/>
        <w:keepNext/>
      </w:pPr>
      <w:bookmarkStart w:id="71" w:name="_Toc535868923"/>
      <w:r w:rsidRPr="00154F1D">
        <w:t>Supreme Court</w:t>
      </w:r>
      <w:bookmarkEnd w:id="71"/>
    </w:p>
    <w:p w14:paraId="46BE02A0" w14:textId="244C526F" w:rsidR="00574872" w:rsidRPr="00154F1D" w:rsidRDefault="00B10186" w:rsidP="007E2E89">
      <w:pPr>
        <w:pStyle w:val="NormalNumberedTextTLRI"/>
      </w:pPr>
      <w:r w:rsidRPr="00154F1D">
        <w:t>Table 3.</w:t>
      </w:r>
      <w:r w:rsidR="00EA255E" w:rsidRPr="00154F1D">
        <w:t>1</w:t>
      </w:r>
      <w:r w:rsidRPr="00154F1D">
        <w:t xml:space="preserve"> sets out i</w:t>
      </w:r>
      <w:r w:rsidR="00574872" w:rsidRPr="00154F1D">
        <w:t>nformation from the Office of the Director of Public Prosecutions</w:t>
      </w:r>
      <w:r w:rsidR="00D94122" w:rsidRPr="00154F1D">
        <w:t>. It</w:t>
      </w:r>
      <w:r w:rsidR="00574872" w:rsidRPr="00154F1D">
        <w:t xml:space="preserve"> shows that in the period 2004</w:t>
      </w:r>
      <w:r w:rsidR="000E450B" w:rsidRPr="00154F1D">
        <w:t>–</w:t>
      </w:r>
      <w:r w:rsidR="00AC4FFD">
        <w:t>200</w:t>
      </w:r>
      <w:r w:rsidR="00574872" w:rsidRPr="00154F1D">
        <w:t>5 to 201</w:t>
      </w:r>
      <w:r w:rsidR="0067174C" w:rsidRPr="00154F1D">
        <w:t>6</w:t>
      </w:r>
      <w:r w:rsidR="000E450B" w:rsidRPr="00154F1D">
        <w:t>–</w:t>
      </w:r>
      <w:r w:rsidR="00AC4FFD">
        <w:t>20</w:t>
      </w:r>
      <w:r w:rsidR="00574872" w:rsidRPr="00154F1D">
        <w:t>1</w:t>
      </w:r>
      <w:r w:rsidR="0067174C" w:rsidRPr="00154F1D">
        <w:t>7</w:t>
      </w:r>
      <w:r w:rsidR="00574872" w:rsidRPr="00154F1D">
        <w:t xml:space="preserve">, there were </w:t>
      </w:r>
      <w:r w:rsidR="00504DA7" w:rsidRPr="00154F1D">
        <w:t>3</w:t>
      </w:r>
      <w:r w:rsidR="0067174C" w:rsidRPr="00154F1D">
        <w:t>7</w:t>
      </w:r>
      <w:r w:rsidR="00574872" w:rsidRPr="00154F1D">
        <w:t xml:space="preserve"> people who were found insane or unfit to </w:t>
      </w:r>
      <w:r w:rsidR="008B6F45" w:rsidRPr="00154F1D">
        <w:t xml:space="preserve">stand trial </w:t>
      </w:r>
      <w:r w:rsidR="00574872" w:rsidRPr="00154F1D">
        <w:t>in the Supreme Court. These data also show that such cases only account for a small num</w:t>
      </w:r>
      <w:r w:rsidR="00504DA7" w:rsidRPr="00154F1D">
        <w:t>ber of cases dealt with in the Supreme Court when compared with cases that are finalised by way of a sentence</w:t>
      </w:r>
      <w:r w:rsidR="008B6F45" w:rsidRPr="00154F1D">
        <w:t xml:space="preserve"> </w:t>
      </w:r>
      <w:r w:rsidR="0067174C" w:rsidRPr="00154F1D">
        <w:t xml:space="preserve">following conviction </w:t>
      </w:r>
      <w:r w:rsidR="008B6F45" w:rsidRPr="00154F1D">
        <w:t>(</w:t>
      </w:r>
      <w:r w:rsidR="0067174C" w:rsidRPr="00154F1D">
        <w:t>982</w:t>
      </w:r>
      <w:r w:rsidR="008B6F45" w:rsidRPr="00154F1D">
        <w:t xml:space="preserve"> cases)</w:t>
      </w:r>
      <w:r w:rsidR="00504DA7" w:rsidRPr="00154F1D">
        <w:t xml:space="preserve">. </w:t>
      </w:r>
      <w:r w:rsidR="008B6F45" w:rsidRPr="00154F1D">
        <w:t xml:space="preserve">In this period, </w:t>
      </w:r>
      <w:r w:rsidR="002F5921">
        <w:t>individuals</w:t>
      </w:r>
      <w:r w:rsidR="002F5921" w:rsidRPr="00154F1D">
        <w:t xml:space="preserve"> </w:t>
      </w:r>
      <w:r w:rsidR="008B6F45" w:rsidRPr="00154F1D">
        <w:t>found unfit to stand trial or insane made up 3.</w:t>
      </w:r>
      <w:r w:rsidR="0067174C" w:rsidRPr="00154F1D">
        <w:t>8</w:t>
      </w:r>
      <w:r w:rsidR="000E450B" w:rsidRPr="00154F1D">
        <w:t xml:space="preserve"> per cent</w:t>
      </w:r>
      <w:r w:rsidR="008B6F45" w:rsidRPr="00154F1D">
        <w:t xml:space="preserve"> of cases.</w:t>
      </w:r>
      <w:bookmarkStart w:id="72" w:name="_Ref535061852"/>
      <w:r w:rsidR="00AB3BD8" w:rsidRPr="00154F1D">
        <w:rPr>
          <w:rStyle w:val="FootnoteReference"/>
        </w:rPr>
        <w:footnoteReference w:id="102"/>
      </w:r>
      <w:bookmarkEnd w:id="72"/>
    </w:p>
    <w:p w14:paraId="044857F7" w14:textId="50AA3480" w:rsidR="00581825" w:rsidRPr="00154F1D" w:rsidRDefault="00581825" w:rsidP="000E450B">
      <w:pPr>
        <w:pStyle w:val="NormalNumberedTextTLRI"/>
        <w:numPr>
          <w:ilvl w:val="0"/>
          <w:numId w:val="0"/>
        </w:numPr>
        <w:spacing w:after="60"/>
        <w:rPr>
          <w:b/>
        </w:rPr>
      </w:pPr>
      <w:r w:rsidRPr="00154F1D">
        <w:rPr>
          <w:b/>
        </w:rPr>
        <w:t>Table 3.</w:t>
      </w:r>
      <w:r w:rsidR="00EA255E" w:rsidRPr="00154F1D">
        <w:rPr>
          <w:b/>
        </w:rPr>
        <w:t>1</w:t>
      </w:r>
      <w:r w:rsidR="000E450B" w:rsidRPr="00154F1D">
        <w:rPr>
          <w:b/>
        </w:rPr>
        <w:t>:</w:t>
      </w:r>
      <w:r w:rsidR="00856F2F" w:rsidRPr="00154F1D">
        <w:rPr>
          <w:b/>
        </w:rPr>
        <w:t xml:space="preserve"> Person tried, Supreme Court</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42"/>
        <w:gridCol w:w="3229"/>
        <w:gridCol w:w="3229"/>
      </w:tblGrid>
      <w:tr w:rsidR="00581825" w:rsidRPr="00154F1D" w14:paraId="65E084B0" w14:textId="77777777" w:rsidTr="000E450B">
        <w:tc>
          <w:tcPr>
            <w:tcW w:w="1110" w:type="pct"/>
            <w:vAlign w:val="center"/>
          </w:tcPr>
          <w:p w14:paraId="25624CFD" w14:textId="0F5B46C9" w:rsidR="00581825" w:rsidRPr="00154F1D" w:rsidRDefault="00581825" w:rsidP="000E450B">
            <w:pPr>
              <w:spacing w:beforeLines="20" w:before="48" w:afterLines="20" w:after="48"/>
              <w:jc w:val="center"/>
              <w:rPr>
                <w:b/>
                <w:sz w:val="20"/>
                <w:szCs w:val="20"/>
              </w:rPr>
            </w:pPr>
            <w:r w:rsidRPr="00154F1D">
              <w:rPr>
                <w:b/>
                <w:sz w:val="20"/>
                <w:szCs w:val="20"/>
              </w:rPr>
              <w:t>Year</w:t>
            </w:r>
          </w:p>
        </w:tc>
        <w:tc>
          <w:tcPr>
            <w:tcW w:w="1945" w:type="pct"/>
            <w:vAlign w:val="center"/>
          </w:tcPr>
          <w:p w14:paraId="47304C7E" w14:textId="3BB74AE2" w:rsidR="00581825" w:rsidRPr="00154F1D" w:rsidRDefault="00581825" w:rsidP="000E450B">
            <w:pPr>
              <w:spacing w:beforeLines="20" w:before="48" w:afterLines="20" w:after="48"/>
              <w:jc w:val="center"/>
              <w:rPr>
                <w:b/>
                <w:sz w:val="20"/>
                <w:szCs w:val="20"/>
              </w:rPr>
            </w:pPr>
            <w:r w:rsidRPr="00154F1D">
              <w:rPr>
                <w:b/>
                <w:sz w:val="20"/>
                <w:szCs w:val="20"/>
              </w:rPr>
              <w:t>Convictions</w:t>
            </w:r>
          </w:p>
        </w:tc>
        <w:tc>
          <w:tcPr>
            <w:tcW w:w="1945" w:type="pct"/>
            <w:vAlign w:val="center"/>
          </w:tcPr>
          <w:p w14:paraId="22F35BA9" w14:textId="45B046DC" w:rsidR="00581825" w:rsidRPr="00154F1D" w:rsidRDefault="00581825" w:rsidP="000E450B">
            <w:pPr>
              <w:spacing w:beforeLines="20" w:before="48" w:afterLines="20" w:after="48"/>
              <w:jc w:val="center"/>
              <w:rPr>
                <w:b/>
                <w:sz w:val="20"/>
                <w:szCs w:val="20"/>
              </w:rPr>
            </w:pPr>
            <w:r w:rsidRPr="00154F1D">
              <w:rPr>
                <w:b/>
                <w:sz w:val="20"/>
                <w:szCs w:val="20"/>
              </w:rPr>
              <w:t>Found insane or unfit to plead</w:t>
            </w:r>
          </w:p>
        </w:tc>
      </w:tr>
      <w:tr w:rsidR="00581825" w:rsidRPr="00154F1D" w14:paraId="3832865E" w14:textId="77777777" w:rsidTr="000E450B">
        <w:tc>
          <w:tcPr>
            <w:tcW w:w="1110" w:type="pct"/>
            <w:vAlign w:val="center"/>
          </w:tcPr>
          <w:p w14:paraId="714F4EAB" w14:textId="6E1161B7" w:rsidR="00581825" w:rsidRPr="00154F1D" w:rsidRDefault="00581825" w:rsidP="000E450B">
            <w:pPr>
              <w:spacing w:beforeLines="20" w:before="48" w:afterLines="20" w:after="48"/>
              <w:jc w:val="center"/>
              <w:rPr>
                <w:sz w:val="20"/>
                <w:szCs w:val="20"/>
              </w:rPr>
            </w:pPr>
            <w:r w:rsidRPr="00154F1D">
              <w:rPr>
                <w:sz w:val="20"/>
                <w:szCs w:val="20"/>
              </w:rPr>
              <w:t>2004</w:t>
            </w:r>
            <w:r w:rsidR="000E450B" w:rsidRPr="00154F1D">
              <w:rPr>
                <w:sz w:val="20"/>
                <w:szCs w:val="20"/>
              </w:rPr>
              <w:t>–</w:t>
            </w:r>
            <w:r w:rsidRPr="00154F1D">
              <w:rPr>
                <w:sz w:val="20"/>
                <w:szCs w:val="20"/>
              </w:rPr>
              <w:t>5</w:t>
            </w:r>
          </w:p>
        </w:tc>
        <w:tc>
          <w:tcPr>
            <w:tcW w:w="1945" w:type="pct"/>
            <w:vAlign w:val="center"/>
          </w:tcPr>
          <w:p w14:paraId="0A89E432" w14:textId="1A7D788C" w:rsidR="00581825" w:rsidRPr="00154F1D" w:rsidRDefault="00581825" w:rsidP="000E450B">
            <w:pPr>
              <w:spacing w:beforeLines="20" w:before="48" w:afterLines="20" w:after="48"/>
              <w:jc w:val="center"/>
              <w:rPr>
                <w:sz w:val="20"/>
                <w:szCs w:val="20"/>
              </w:rPr>
            </w:pPr>
            <w:r w:rsidRPr="00154F1D">
              <w:rPr>
                <w:sz w:val="20"/>
                <w:szCs w:val="20"/>
              </w:rPr>
              <w:t>81</w:t>
            </w:r>
          </w:p>
        </w:tc>
        <w:tc>
          <w:tcPr>
            <w:tcW w:w="1945" w:type="pct"/>
            <w:vAlign w:val="center"/>
          </w:tcPr>
          <w:p w14:paraId="6703FF32" w14:textId="32DCCFF9" w:rsidR="00581825" w:rsidRPr="00154F1D" w:rsidRDefault="00856F2F" w:rsidP="000E450B">
            <w:pPr>
              <w:spacing w:beforeLines="20" w:before="48" w:afterLines="20" w:after="48"/>
              <w:jc w:val="center"/>
              <w:rPr>
                <w:sz w:val="20"/>
                <w:szCs w:val="20"/>
              </w:rPr>
            </w:pPr>
            <w:r w:rsidRPr="00154F1D">
              <w:rPr>
                <w:sz w:val="20"/>
                <w:szCs w:val="20"/>
              </w:rPr>
              <w:t>3</w:t>
            </w:r>
          </w:p>
        </w:tc>
      </w:tr>
      <w:tr w:rsidR="00581825" w:rsidRPr="00154F1D" w14:paraId="4FA3C4DE" w14:textId="77777777" w:rsidTr="000E450B">
        <w:tc>
          <w:tcPr>
            <w:tcW w:w="1110" w:type="pct"/>
            <w:vAlign w:val="center"/>
          </w:tcPr>
          <w:p w14:paraId="05598BDC" w14:textId="4495CFF0" w:rsidR="00581825" w:rsidRPr="00154F1D" w:rsidRDefault="00581825" w:rsidP="000E450B">
            <w:pPr>
              <w:spacing w:beforeLines="20" w:before="48" w:afterLines="20" w:after="48"/>
              <w:jc w:val="center"/>
              <w:rPr>
                <w:sz w:val="20"/>
                <w:szCs w:val="20"/>
              </w:rPr>
            </w:pPr>
            <w:r w:rsidRPr="00154F1D">
              <w:rPr>
                <w:sz w:val="20"/>
                <w:szCs w:val="20"/>
              </w:rPr>
              <w:t>2005</w:t>
            </w:r>
            <w:r w:rsidR="000E450B" w:rsidRPr="00154F1D">
              <w:rPr>
                <w:sz w:val="20"/>
                <w:szCs w:val="20"/>
              </w:rPr>
              <w:t>–</w:t>
            </w:r>
            <w:r w:rsidRPr="00154F1D">
              <w:rPr>
                <w:sz w:val="20"/>
                <w:szCs w:val="20"/>
              </w:rPr>
              <w:t>6</w:t>
            </w:r>
          </w:p>
        </w:tc>
        <w:tc>
          <w:tcPr>
            <w:tcW w:w="1945" w:type="pct"/>
            <w:vAlign w:val="center"/>
          </w:tcPr>
          <w:p w14:paraId="575723E1" w14:textId="4F5DF0B8" w:rsidR="00581825" w:rsidRPr="00154F1D" w:rsidRDefault="00856F2F" w:rsidP="000E450B">
            <w:pPr>
              <w:spacing w:beforeLines="20" w:before="48" w:afterLines="20" w:after="48"/>
              <w:jc w:val="center"/>
              <w:rPr>
                <w:sz w:val="20"/>
                <w:szCs w:val="20"/>
              </w:rPr>
            </w:pPr>
            <w:r w:rsidRPr="00154F1D">
              <w:rPr>
                <w:sz w:val="20"/>
                <w:szCs w:val="20"/>
              </w:rPr>
              <w:t>89</w:t>
            </w:r>
          </w:p>
        </w:tc>
        <w:tc>
          <w:tcPr>
            <w:tcW w:w="1945" w:type="pct"/>
            <w:vAlign w:val="center"/>
          </w:tcPr>
          <w:p w14:paraId="450847FA" w14:textId="27637E47" w:rsidR="00581825" w:rsidRPr="00154F1D" w:rsidRDefault="00856F2F" w:rsidP="000E450B">
            <w:pPr>
              <w:spacing w:beforeLines="20" w:before="48" w:afterLines="20" w:after="48"/>
              <w:jc w:val="center"/>
              <w:rPr>
                <w:sz w:val="20"/>
                <w:szCs w:val="20"/>
              </w:rPr>
            </w:pPr>
            <w:r w:rsidRPr="00154F1D">
              <w:rPr>
                <w:sz w:val="20"/>
                <w:szCs w:val="20"/>
              </w:rPr>
              <w:t>4</w:t>
            </w:r>
          </w:p>
        </w:tc>
      </w:tr>
      <w:tr w:rsidR="00581825" w:rsidRPr="00154F1D" w14:paraId="3279ED39" w14:textId="77777777" w:rsidTr="000E450B">
        <w:tc>
          <w:tcPr>
            <w:tcW w:w="1110" w:type="pct"/>
            <w:vAlign w:val="center"/>
          </w:tcPr>
          <w:p w14:paraId="58C46093" w14:textId="1DAFE453" w:rsidR="00581825" w:rsidRPr="00154F1D" w:rsidRDefault="00856F2F" w:rsidP="000E450B">
            <w:pPr>
              <w:spacing w:beforeLines="20" w:before="48" w:afterLines="20" w:after="48"/>
              <w:jc w:val="center"/>
              <w:rPr>
                <w:sz w:val="20"/>
                <w:szCs w:val="20"/>
              </w:rPr>
            </w:pPr>
            <w:r w:rsidRPr="00154F1D">
              <w:rPr>
                <w:sz w:val="20"/>
                <w:szCs w:val="20"/>
              </w:rPr>
              <w:t>2006</w:t>
            </w:r>
            <w:r w:rsidR="000E450B" w:rsidRPr="00154F1D">
              <w:rPr>
                <w:sz w:val="20"/>
                <w:szCs w:val="20"/>
              </w:rPr>
              <w:t>–</w:t>
            </w:r>
            <w:r w:rsidRPr="00154F1D">
              <w:rPr>
                <w:sz w:val="20"/>
                <w:szCs w:val="20"/>
              </w:rPr>
              <w:t>7</w:t>
            </w:r>
          </w:p>
        </w:tc>
        <w:tc>
          <w:tcPr>
            <w:tcW w:w="1945" w:type="pct"/>
            <w:vAlign w:val="center"/>
          </w:tcPr>
          <w:p w14:paraId="00B9BEC6" w14:textId="759D21E6" w:rsidR="00581825" w:rsidRPr="00154F1D" w:rsidRDefault="00856F2F" w:rsidP="000E450B">
            <w:pPr>
              <w:spacing w:beforeLines="20" w:before="48" w:afterLines="20" w:after="48"/>
              <w:jc w:val="center"/>
              <w:rPr>
                <w:sz w:val="20"/>
                <w:szCs w:val="20"/>
              </w:rPr>
            </w:pPr>
            <w:r w:rsidRPr="00154F1D">
              <w:rPr>
                <w:sz w:val="20"/>
                <w:szCs w:val="20"/>
              </w:rPr>
              <w:t>83</w:t>
            </w:r>
          </w:p>
        </w:tc>
        <w:tc>
          <w:tcPr>
            <w:tcW w:w="1945" w:type="pct"/>
            <w:vAlign w:val="center"/>
          </w:tcPr>
          <w:p w14:paraId="70D85D76" w14:textId="2EF0438F" w:rsidR="00581825" w:rsidRPr="00154F1D" w:rsidRDefault="00856F2F" w:rsidP="000E450B">
            <w:pPr>
              <w:spacing w:beforeLines="20" w:before="48" w:afterLines="20" w:after="48"/>
              <w:jc w:val="center"/>
              <w:rPr>
                <w:sz w:val="20"/>
                <w:szCs w:val="20"/>
              </w:rPr>
            </w:pPr>
            <w:r w:rsidRPr="00154F1D">
              <w:rPr>
                <w:sz w:val="20"/>
                <w:szCs w:val="20"/>
              </w:rPr>
              <w:t>2</w:t>
            </w:r>
          </w:p>
        </w:tc>
      </w:tr>
      <w:tr w:rsidR="00856F2F" w:rsidRPr="00154F1D" w14:paraId="2C6282DC" w14:textId="77777777" w:rsidTr="000E450B">
        <w:tc>
          <w:tcPr>
            <w:tcW w:w="1110" w:type="pct"/>
            <w:vAlign w:val="center"/>
          </w:tcPr>
          <w:p w14:paraId="4EC5EE72" w14:textId="750EEB59" w:rsidR="00856F2F" w:rsidRPr="00154F1D" w:rsidRDefault="00856F2F" w:rsidP="000E450B">
            <w:pPr>
              <w:spacing w:beforeLines="20" w:before="48" w:afterLines="20" w:after="48"/>
              <w:jc w:val="center"/>
              <w:rPr>
                <w:sz w:val="20"/>
                <w:szCs w:val="20"/>
              </w:rPr>
            </w:pPr>
            <w:r w:rsidRPr="00154F1D">
              <w:rPr>
                <w:sz w:val="20"/>
                <w:szCs w:val="20"/>
              </w:rPr>
              <w:t>2007</w:t>
            </w:r>
            <w:r w:rsidR="000E450B" w:rsidRPr="00154F1D">
              <w:rPr>
                <w:sz w:val="20"/>
                <w:szCs w:val="20"/>
              </w:rPr>
              <w:t>–</w:t>
            </w:r>
            <w:r w:rsidRPr="00154F1D">
              <w:rPr>
                <w:sz w:val="20"/>
                <w:szCs w:val="20"/>
              </w:rPr>
              <w:t>8</w:t>
            </w:r>
          </w:p>
        </w:tc>
        <w:tc>
          <w:tcPr>
            <w:tcW w:w="1945" w:type="pct"/>
            <w:vAlign w:val="center"/>
          </w:tcPr>
          <w:p w14:paraId="1A597A89" w14:textId="282A5810" w:rsidR="00856F2F" w:rsidRPr="00154F1D" w:rsidRDefault="00856F2F" w:rsidP="000E450B">
            <w:pPr>
              <w:spacing w:beforeLines="20" w:before="48" w:afterLines="20" w:after="48"/>
              <w:jc w:val="center"/>
              <w:rPr>
                <w:sz w:val="20"/>
                <w:szCs w:val="20"/>
              </w:rPr>
            </w:pPr>
            <w:r w:rsidRPr="00154F1D">
              <w:rPr>
                <w:sz w:val="20"/>
                <w:szCs w:val="20"/>
              </w:rPr>
              <w:t>76</w:t>
            </w:r>
          </w:p>
        </w:tc>
        <w:tc>
          <w:tcPr>
            <w:tcW w:w="1945" w:type="pct"/>
            <w:vAlign w:val="center"/>
          </w:tcPr>
          <w:p w14:paraId="75BE9B8E" w14:textId="449A6729" w:rsidR="00856F2F" w:rsidRPr="00154F1D" w:rsidRDefault="00856F2F" w:rsidP="000E450B">
            <w:pPr>
              <w:spacing w:beforeLines="20" w:before="48" w:afterLines="20" w:after="48"/>
              <w:jc w:val="center"/>
              <w:rPr>
                <w:sz w:val="20"/>
                <w:szCs w:val="20"/>
              </w:rPr>
            </w:pPr>
            <w:r w:rsidRPr="00154F1D">
              <w:rPr>
                <w:sz w:val="20"/>
                <w:szCs w:val="20"/>
              </w:rPr>
              <w:t>3</w:t>
            </w:r>
          </w:p>
        </w:tc>
      </w:tr>
      <w:tr w:rsidR="00856F2F" w:rsidRPr="00154F1D" w14:paraId="23E0F439" w14:textId="77777777" w:rsidTr="000E450B">
        <w:tc>
          <w:tcPr>
            <w:tcW w:w="1110" w:type="pct"/>
            <w:vAlign w:val="center"/>
          </w:tcPr>
          <w:p w14:paraId="0A8E76A8" w14:textId="1AB53CA9" w:rsidR="00856F2F" w:rsidRPr="00154F1D" w:rsidRDefault="00856F2F" w:rsidP="000E450B">
            <w:pPr>
              <w:spacing w:beforeLines="20" w:before="48" w:afterLines="20" w:after="48"/>
              <w:jc w:val="center"/>
              <w:rPr>
                <w:sz w:val="20"/>
                <w:szCs w:val="20"/>
              </w:rPr>
            </w:pPr>
            <w:r w:rsidRPr="00154F1D">
              <w:rPr>
                <w:sz w:val="20"/>
                <w:szCs w:val="20"/>
              </w:rPr>
              <w:t>2008</w:t>
            </w:r>
            <w:r w:rsidR="000E450B" w:rsidRPr="00154F1D">
              <w:rPr>
                <w:sz w:val="20"/>
                <w:szCs w:val="20"/>
              </w:rPr>
              <w:t>–</w:t>
            </w:r>
            <w:r w:rsidRPr="00154F1D">
              <w:rPr>
                <w:sz w:val="20"/>
                <w:szCs w:val="20"/>
              </w:rPr>
              <w:t>9</w:t>
            </w:r>
          </w:p>
        </w:tc>
        <w:tc>
          <w:tcPr>
            <w:tcW w:w="1945" w:type="pct"/>
            <w:vAlign w:val="center"/>
          </w:tcPr>
          <w:p w14:paraId="166AC16F" w14:textId="7B8119AD" w:rsidR="00856F2F" w:rsidRPr="00154F1D" w:rsidRDefault="00856F2F" w:rsidP="000E450B">
            <w:pPr>
              <w:spacing w:beforeLines="20" w:before="48" w:afterLines="20" w:after="48"/>
              <w:jc w:val="center"/>
              <w:rPr>
                <w:sz w:val="20"/>
                <w:szCs w:val="20"/>
              </w:rPr>
            </w:pPr>
            <w:r w:rsidRPr="00154F1D">
              <w:rPr>
                <w:sz w:val="20"/>
                <w:szCs w:val="20"/>
              </w:rPr>
              <w:t>113</w:t>
            </w:r>
          </w:p>
        </w:tc>
        <w:tc>
          <w:tcPr>
            <w:tcW w:w="1945" w:type="pct"/>
            <w:vAlign w:val="center"/>
          </w:tcPr>
          <w:p w14:paraId="188B6DDC" w14:textId="72746F5A" w:rsidR="00856F2F" w:rsidRPr="00154F1D" w:rsidRDefault="00856F2F" w:rsidP="000E450B">
            <w:pPr>
              <w:spacing w:beforeLines="20" w:before="48" w:afterLines="20" w:after="48"/>
              <w:jc w:val="center"/>
              <w:rPr>
                <w:sz w:val="20"/>
                <w:szCs w:val="20"/>
              </w:rPr>
            </w:pPr>
            <w:r w:rsidRPr="00154F1D">
              <w:rPr>
                <w:sz w:val="20"/>
                <w:szCs w:val="20"/>
              </w:rPr>
              <w:t>9</w:t>
            </w:r>
          </w:p>
        </w:tc>
      </w:tr>
      <w:tr w:rsidR="00856F2F" w:rsidRPr="00154F1D" w14:paraId="65436365" w14:textId="77777777" w:rsidTr="000E450B">
        <w:tc>
          <w:tcPr>
            <w:tcW w:w="1110" w:type="pct"/>
            <w:vAlign w:val="center"/>
          </w:tcPr>
          <w:p w14:paraId="0805FCB6" w14:textId="298583A3" w:rsidR="00856F2F" w:rsidRPr="00154F1D" w:rsidRDefault="00856F2F" w:rsidP="000E450B">
            <w:pPr>
              <w:spacing w:beforeLines="20" w:before="48" w:afterLines="20" w:after="48"/>
              <w:jc w:val="center"/>
              <w:rPr>
                <w:sz w:val="20"/>
                <w:szCs w:val="20"/>
              </w:rPr>
            </w:pPr>
            <w:r w:rsidRPr="00154F1D">
              <w:rPr>
                <w:sz w:val="20"/>
                <w:szCs w:val="20"/>
              </w:rPr>
              <w:t>2009</w:t>
            </w:r>
            <w:r w:rsidR="000E450B" w:rsidRPr="00154F1D">
              <w:rPr>
                <w:sz w:val="20"/>
                <w:szCs w:val="20"/>
              </w:rPr>
              <w:t>–</w:t>
            </w:r>
            <w:r w:rsidRPr="00154F1D">
              <w:rPr>
                <w:sz w:val="20"/>
                <w:szCs w:val="20"/>
              </w:rPr>
              <w:t>10</w:t>
            </w:r>
          </w:p>
        </w:tc>
        <w:tc>
          <w:tcPr>
            <w:tcW w:w="1945" w:type="pct"/>
            <w:vAlign w:val="center"/>
          </w:tcPr>
          <w:p w14:paraId="68BC88F6" w14:textId="22C30713" w:rsidR="00856F2F" w:rsidRPr="00154F1D" w:rsidRDefault="00856F2F" w:rsidP="000E450B">
            <w:pPr>
              <w:spacing w:beforeLines="20" w:before="48" w:afterLines="20" w:after="48"/>
              <w:jc w:val="center"/>
              <w:rPr>
                <w:sz w:val="20"/>
                <w:szCs w:val="20"/>
              </w:rPr>
            </w:pPr>
            <w:r w:rsidRPr="00154F1D">
              <w:rPr>
                <w:sz w:val="20"/>
                <w:szCs w:val="20"/>
              </w:rPr>
              <w:t>78</w:t>
            </w:r>
          </w:p>
        </w:tc>
        <w:tc>
          <w:tcPr>
            <w:tcW w:w="1945" w:type="pct"/>
            <w:vAlign w:val="center"/>
          </w:tcPr>
          <w:p w14:paraId="23DF4413" w14:textId="77E0B944" w:rsidR="00856F2F" w:rsidRPr="00154F1D" w:rsidRDefault="00856F2F" w:rsidP="000E450B">
            <w:pPr>
              <w:spacing w:beforeLines="20" w:before="48" w:afterLines="20" w:after="48"/>
              <w:jc w:val="center"/>
              <w:rPr>
                <w:sz w:val="20"/>
                <w:szCs w:val="20"/>
              </w:rPr>
            </w:pPr>
            <w:r w:rsidRPr="00154F1D">
              <w:rPr>
                <w:sz w:val="20"/>
                <w:szCs w:val="20"/>
              </w:rPr>
              <w:t>2</w:t>
            </w:r>
          </w:p>
        </w:tc>
      </w:tr>
      <w:tr w:rsidR="00856F2F" w:rsidRPr="00154F1D" w14:paraId="230C0389" w14:textId="77777777" w:rsidTr="000E450B">
        <w:tc>
          <w:tcPr>
            <w:tcW w:w="1110" w:type="pct"/>
            <w:vAlign w:val="center"/>
          </w:tcPr>
          <w:p w14:paraId="65490583" w14:textId="67F978E7" w:rsidR="00856F2F" w:rsidRPr="00154F1D" w:rsidRDefault="00856F2F" w:rsidP="000E450B">
            <w:pPr>
              <w:spacing w:beforeLines="20" w:before="48" w:afterLines="20" w:after="48"/>
              <w:jc w:val="center"/>
              <w:rPr>
                <w:sz w:val="20"/>
                <w:szCs w:val="20"/>
              </w:rPr>
            </w:pPr>
            <w:r w:rsidRPr="00154F1D">
              <w:rPr>
                <w:sz w:val="20"/>
                <w:szCs w:val="20"/>
              </w:rPr>
              <w:t>2010</w:t>
            </w:r>
            <w:r w:rsidR="000E450B" w:rsidRPr="00154F1D">
              <w:rPr>
                <w:sz w:val="20"/>
                <w:szCs w:val="20"/>
              </w:rPr>
              <w:t>–</w:t>
            </w:r>
            <w:r w:rsidRPr="00154F1D">
              <w:rPr>
                <w:sz w:val="20"/>
                <w:szCs w:val="20"/>
              </w:rPr>
              <w:t>11</w:t>
            </w:r>
          </w:p>
        </w:tc>
        <w:tc>
          <w:tcPr>
            <w:tcW w:w="1945" w:type="pct"/>
            <w:vAlign w:val="center"/>
          </w:tcPr>
          <w:p w14:paraId="3D655B0A" w14:textId="2EF315E2" w:rsidR="00856F2F" w:rsidRPr="00154F1D" w:rsidRDefault="00856F2F" w:rsidP="000E450B">
            <w:pPr>
              <w:spacing w:beforeLines="20" w:before="48" w:afterLines="20" w:after="48"/>
              <w:jc w:val="center"/>
              <w:rPr>
                <w:sz w:val="20"/>
                <w:szCs w:val="20"/>
              </w:rPr>
            </w:pPr>
            <w:r w:rsidRPr="00154F1D">
              <w:rPr>
                <w:sz w:val="20"/>
                <w:szCs w:val="20"/>
              </w:rPr>
              <w:t>75</w:t>
            </w:r>
          </w:p>
        </w:tc>
        <w:tc>
          <w:tcPr>
            <w:tcW w:w="1945" w:type="pct"/>
            <w:vAlign w:val="center"/>
          </w:tcPr>
          <w:p w14:paraId="74627069" w14:textId="0330635D" w:rsidR="00856F2F" w:rsidRPr="00154F1D" w:rsidRDefault="00856F2F" w:rsidP="000E450B">
            <w:pPr>
              <w:spacing w:beforeLines="20" w:before="48" w:afterLines="20" w:after="48"/>
              <w:jc w:val="center"/>
              <w:rPr>
                <w:sz w:val="20"/>
                <w:szCs w:val="20"/>
              </w:rPr>
            </w:pPr>
            <w:r w:rsidRPr="00154F1D">
              <w:rPr>
                <w:sz w:val="20"/>
                <w:szCs w:val="20"/>
              </w:rPr>
              <w:t>2</w:t>
            </w:r>
          </w:p>
        </w:tc>
      </w:tr>
      <w:tr w:rsidR="00856F2F" w:rsidRPr="00154F1D" w14:paraId="0D3D9A76" w14:textId="77777777" w:rsidTr="000E450B">
        <w:tc>
          <w:tcPr>
            <w:tcW w:w="1110" w:type="pct"/>
            <w:vAlign w:val="center"/>
          </w:tcPr>
          <w:p w14:paraId="1EF05578" w14:textId="63E1DC1A" w:rsidR="00856F2F" w:rsidRPr="00154F1D" w:rsidRDefault="00856F2F" w:rsidP="000E450B">
            <w:pPr>
              <w:spacing w:beforeLines="20" w:before="48" w:afterLines="20" w:after="48"/>
              <w:jc w:val="center"/>
              <w:rPr>
                <w:sz w:val="20"/>
                <w:szCs w:val="20"/>
              </w:rPr>
            </w:pPr>
            <w:r w:rsidRPr="00154F1D">
              <w:rPr>
                <w:sz w:val="20"/>
                <w:szCs w:val="20"/>
              </w:rPr>
              <w:t>2011</w:t>
            </w:r>
            <w:r w:rsidR="000E450B" w:rsidRPr="00154F1D">
              <w:rPr>
                <w:sz w:val="20"/>
                <w:szCs w:val="20"/>
              </w:rPr>
              <w:t>–</w:t>
            </w:r>
            <w:r w:rsidRPr="00154F1D">
              <w:rPr>
                <w:sz w:val="20"/>
                <w:szCs w:val="20"/>
              </w:rPr>
              <w:t>12</w:t>
            </w:r>
          </w:p>
        </w:tc>
        <w:tc>
          <w:tcPr>
            <w:tcW w:w="1945" w:type="pct"/>
            <w:vAlign w:val="center"/>
          </w:tcPr>
          <w:p w14:paraId="050BA700" w14:textId="3E9B387F" w:rsidR="00856F2F" w:rsidRPr="00154F1D" w:rsidRDefault="00856F2F" w:rsidP="000E450B">
            <w:pPr>
              <w:spacing w:beforeLines="20" w:before="48" w:afterLines="20" w:after="48"/>
              <w:jc w:val="center"/>
              <w:rPr>
                <w:sz w:val="20"/>
                <w:szCs w:val="20"/>
              </w:rPr>
            </w:pPr>
            <w:r w:rsidRPr="00154F1D">
              <w:rPr>
                <w:sz w:val="20"/>
                <w:szCs w:val="20"/>
              </w:rPr>
              <w:t>76</w:t>
            </w:r>
          </w:p>
        </w:tc>
        <w:tc>
          <w:tcPr>
            <w:tcW w:w="1945" w:type="pct"/>
            <w:vAlign w:val="center"/>
          </w:tcPr>
          <w:p w14:paraId="2B126CA4" w14:textId="72608B6C" w:rsidR="00856F2F" w:rsidRPr="00154F1D" w:rsidRDefault="00856F2F" w:rsidP="000E450B">
            <w:pPr>
              <w:spacing w:beforeLines="20" w:before="48" w:afterLines="20" w:after="48"/>
              <w:jc w:val="center"/>
              <w:rPr>
                <w:sz w:val="20"/>
                <w:szCs w:val="20"/>
              </w:rPr>
            </w:pPr>
            <w:r w:rsidRPr="00154F1D">
              <w:rPr>
                <w:sz w:val="20"/>
                <w:szCs w:val="20"/>
              </w:rPr>
              <w:t>3</w:t>
            </w:r>
          </w:p>
        </w:tc>
      </w:tr>
      <w:tr w:rsidR="00856F2F" w:rsidRPr="00154F1D" w14:paraId="46C26650" w14:textId="77777777" w:rsidTr="000E450B">
        <w:tc>
          <w:tcPr>
            <w:tcW w:w="1110" w:type="pct"/>
            <w:vAlign w:val="center"/>
          </w:tcPr>
          <w:p w14:paraId="1626EE66" w14:textId="3D51554B" w:rsidR="00856F2F" w:rsidRPr="00154F1D" w:rsidRDefault="00856F2F" w:rsidP="000E450B">
            <w:pPr>
              <w:spacing w:beforeLines="20" w:before="48" w:afterLines="20" w:after="48"/>
              <w:jc w:val="center"/>
              <w:rPr>
                <w:sz w:val="20"/>
                <w:szCs w:val="20"/>
              </w:rPr>
            </w:pPr>
            <w:r w:rsidRPr="00154F1D">
              <w:rPr>
                <w:sz w:val="20"/>
                <w:szCs w:val="20"/>
              </w:rPr>
              <w:t>2012</w:t>
            </w:r>
            <w:r w:rsidR="000E450B" w:rsidRPr="00154F1D">
              <w:rPr>
                <w:sz w:val="20"/>
                <w:szCs w:val="20"/>
              </w:rPr>
              <w:t>–</w:t>
            </w:r>
            <w:r w:rsidRPr="00154F1D">
              <w:rPr>
                <w:sz w:val="20"/>
                <w:szCs w:val="20"/>
              </w:rPr>
              <w:t>13</w:t>
            </w:r>
          </w:p>
        </w:tc>
        <w:tc>
          <w:tcPr>
            <w:tcW w:w="1945" w:type="pct"/>
            <w:vAlign w:val="center"/>
          </w:tcPr>
          <w:p w14:paraId="6E947214" w14:textId="63D33F38" w:rsidR="00856F2F" w:rsidRPr="00154F1D" w:rsidRDefault="00856F2F" w:rsidP="000E450B">
            <w:pPr>
              <w:spacing w:beforeLines="20" w:before="48" w:afterLines="20" w:after="48"/>
              <w:jc w:val="center"/>
              <w:rPr>
                <w:sz w:val="20"/>
                <w:szCs w:val="20"/>
              </w:rPr>
            </w:pPr>
            <w:r w:rsidRPr="00154F1D">
              <w:rPr>
                <w:sz w:val="20"/>
                <w:szCs w:val="20"/>
              </w:rPr>
              <w:t>72</w:t>
            </w:r>
          </w:p>
        </w:tc>
        <w:tc>
          <w:tcPr>
            <w:tcW w:w="1945" w:type="pct"/>
            <w:vAlign w:val="center"/>
          </w:tcPr>
          <w:p w14:paraId="4FE95DDA" w14:textId="7CD1A79E" w:rsidR="00856F2F" w:rsidRPr="00154F1D" w:rsidRDefault="00856F2F" w:rsidP="000E450B">
            <w:pPr>
              <w:spacing w:beforeLines="20" w:before="48" w:afterLines="20" w:after="48"/>
              <w:jc w:val="center"/>
              <w:rPr>
                <w:sz w:val="20"/>
                <w:szCs w:val="20"/>
              </w:rPr>
            </w:pPr>
            <w:r w:rsidRPr="00154F1D">
              <w:rPr>
                <w:sz w:val="20"/>
                <w:szCs w:val="20"/>
              </w:rPr>
              <w:t>5</w:t>
            </w:r>
          </w:p>
        </w:tc>
      </w:tr>
      <w:tr w:rsidR="00856F2F" w:rsidRPr="00154F1D" w14:paraId="0192A020" w14:textId="77777777" w:rsidTr="000E450B">
        <w:tc>
          <w:tcPr>
            <w:tcW w:w="1110" w:type="pct"/>
            <w:vAlign w:val="center"/>
          </w:tcPr>
          <w:p w14:paraId="138C369A" w14:textId="22782E6D" w:rsidR="00856F2F" w:rsidRPr="00154F1D" w:rsidRDefault="00856F2F" w:rsidP="000E450B">
            <w:pPr>
              <w:spacing w:beforeLines="20" w:before="48" w:afterLines="20" w:after="48"/>
              <w:jc w:val="center"/>
              <w:rPr>
                <w:sz w:val="20"/>
                <w:szCs w:val="20"/>
              </w:rPr>
            </w:pPr>
            <w:r w:rsidRPr="00154F1D">
              <w:rPr>
                <w:sz w:val="20"/>
                <w:szCs w:val="20"/>
              </w:rPr>
              <w:t>2013</w:t>
            </w:r>
            <w:r w:rsidR="000E450B" w:rsidRPr="00154F1D">
              <w:rPr>
                <w:sz w:val="20"/>
                <w:szCs w:val="20"/>
              </w:rPr>
              <w:t>–</w:t>
            </w:r>
            <w:r w:rsidRPr="00154F1D">
              <w:rPr>
                <w:sz w:val="20"/>
                <w:szCs w:val="20"/>
              </w:rPr>
              <w:t>14</w:t>
            </w:r>
          </w:p>
        </w:tc>
        <w:tc>
          <w:tcPr>
            <w:tcW w:w="1945" w:type="pct"/>
            <w:vAlign w:val="center"/>
          </w:tcPr>
          <w:p w14:paraId="05177D1A" w14:textId="3A2D3471" w:rsidR="00856F2F" w:rsidRPr="00154F1D" w:rsidRDefault="00856F2F" w:rsidP="000E450B">
            <w:pPr>
              <w:spacing w:beforeLines="20" w:before="48" w:afterLines="20" w:after="48"/>
              <w:jc w:val="center"/>
              <w:rPr>
                <w:sz w:val="20"/>
                <w:szCs w:val="20"/>
              </w:rPr>
            </w:pPr>
            <w:r w:rsidRPr="00154F1D">
              <w:rPr>
                <w:sz w:val="20"/>
                <w:szCs w:val="20"/>
              </w:rPr>
              <w:t>63</w:t>
            </w:r>
          </w:p>
        </w:tc>
        <w:tc>
          <w:tcPr>
            <w:tcW w:w="1945" w:type="pct"/>
            <w:vAlign w:val="center"/>
          </w:tcPr>
          <w:p w14:paraId="71270909" w14:textId="12185336" w:rsidR="00856F2F" w:rsidRPr="00154F1D" w:rsidRDefault="00856F2F" w:rsidP="000E450B">
            <w:pPr>
              <w:spacing w:beforeLines="20" w:before="48" w:afterLines="20" w:after="48"/>
              <w:jc w:val="center"/>
              <w:rPr>
                <w:sz w:val="20"/>
                <w:szCs w:val="20"/>
              </w:rPr>
            </w:pPr>
            <w:r w:rsidRPr="00154F1D">
              <w:rPr>
                <w:sz w:val="20"/>
                <w:szCs w:val="20"/>
              </w:rPr>
              <w:t>2</w:t>
            </w:r>
          </w:p>
        </w:tc>
      </w:tr>
      <w:tr w:rsidR="00856F2F" w:rsidRPr="00154F1D" w14:paraId="428DAF9F" w14:textId="77777777" w:rsidTr="000E450B">
        <w:tc>
          <w:tcPr>
            <w:tcW w:w="1110" w:type="pct"/>
            <w:vAlign w:val="center"/>
          </w:tcPr>
          <w:p w14:paraId="6143DCE3" w14:textId="60218F20" w:rsidR="00856F2F" w:rsidRPr="00154F1D" w:rsidRDefault="00856F2F" w:rsidP="000E450B">
            <w:pPr>
              <w:spacing w:beforeLines="20" w:before="48" w:afterLines="20" w:after="48"/>
              <w:jc w:val="center"/>
              <w:rPr>
                <w:sz w:val="20"/>
                <w:szCs w:val="20"/>
              </w:rPr>
            </w:pPr>
            <w:r w:rsidRPr="00154F1D">
              <w:rPr>
                <w:sz w:val="20"/>
                <w:szCs w:val="20"/>
              </w:rPr>
              <w:t>2014</w:t>
            </w:r>
            <w:r w:rsidR="000E450B" w:rsidRPr="00154F1D">
              <w:rPr>
                <w:sz w:val="20"/>
                <w:szCs w:val="20"/>
              </w:rPr>
              <w:t>–</w:t>
            </w:r>
            <w:r w:rsidRPr="00154F1D">
              <w:rPr>
                <w:sz w:val="20"/>
                <w:szCs w:val="20"/>
              </w:rPr>
              <w:t>15</w:t>
            </w:r>
          </w:p>
        </w:tc>
        <w:tc>
          <w:tcPr>
            <w:tcW w:w="1945" w:type="pct"/>
            <w:vAlign w:val="center"/>
          </w:tcPr>
          <w:p w14:paraId="037DD180" w14:textId="73419882" w:rsidR="00856F2F" w:rsidRPr="00154F1D" w:rsidRDefault="00856F2F" w:rsidP="000E450B">
            <w:pPr>
              <w:spacing w:beforeLines="20" w:before="48" w:afterLines="20" w:after="48"/>
              <w:jc w:val="center"/>
              <w:rPr>
                <w:sz w:val="20"/>
                <w:szCs w:val="20"/>
              </w:rPr>
            </w:pPr>
            <w:r w:rsidRPr="00154F1D">
              <w:rPr>
                <w:sz w:val="20"/>
                <w:szCs w:val="20"/>
              </w:rPr>
              <w:t>62</w:t>
            </w:r>
          </w:p>
        </w:tc>
        <w:tc>
          <w:tcPr>
            <w:tcW w:w="1945" w:type="pct"/>
            <w:vAlign w:val="center"/>
          </w:tcPr>
          <w:p w14:paraId="0CDAD799" w14:textId="4A3CE701" w:rsidR="00856F2F" w:rsidRPr="00154F1D" w:rsidRDefault="00856F2F" w:rsidP="000E450B">
            <w:pPr>
              <w:spacing w:beforeLines="20" w:before="48" w:afterLines="20" w:after="48"/>
              <w:jc w:val="center"/>
              <w:rPr>
                <w:sz w:val="20"/>
                <w:szCs w:val="20"/>
              </w:rPr>
            </w:pPr>
            <w:r w:rsidRPr="00154F1D">
              <w:rPr>
                <w:sz w:val="20"/>
                <w:szCs w:val="20"/>
              </w:rPr>
              <w:t>0</w:t>
            </w:r>
          </w:p>
        </w:tc>
      </w:tr>
      <w:tr w:rsidR="00856F2F" w:rsidRPr="00154F1D" w14:paraId="3D35844B" w14:textId="77777777" w:rsidTr="000E450B">
        <w:tc>
          <w:tcPr>
            <w:tcW w:w="1110" w:type="pct"/>
            <w:vAlign w:val="center"/>
          </w:tcPr>
          <w:p w14:paraId="21C938B1" w14:textId="028FCC49" w:rsidR="00856F2F" w:rsidRPr="00154F1D" w:rsidRDefault="00856F2F" w:rsidP="000E450B">
            <w:pPr>
              <w:spacing w:beforeLines="20" w:before="48" w:afterLines="20" w:after="48"/>
              <w:jc w:val="center"/>
              <w:rPr>
                <w:sz w:val="20"/>
                <w:szCs w:val="20"/>
              </w:rPr>
            </w:pPr>
            <w:r w:rsidRPr="00154F1D">
              <w:rPr>
                <w:sz w:val="20"/>
                <w:szCs w:val="20"/>
              </w:rPr>
              <w:t>2015</w:t>
            </w:r>
            <w:r w:rsidR="000E450B" w:rsidRPr="00154F1D">
              <w:rPr>
                <w:sz w:val="20"/>
                <w:szCs w:val="20"/>
              </w:rPr>
              <w:t>–</w:t>
            </w:r>
            <w:r w:rsidRPr="00154F1D">
              <w:rPr>
                <w:sz w:val="20"/>
                <w:szCs w:val="20"/>
              </w:rPr>
              <w:t>16</w:t>
            </w:r>
          </w:p>
        </w:tc>
        <w:tc>
          <w:tcPr>
            <w:tcW w:w="1945" w:type="pct"/>
            <w:vAlign w:val="center"/>
          </w:tcPr>
          <w:p w14:paraId="3F90B07F" w14:textId="36849BAD" w:rsidR="00856F2F" w:rsidRPr="00154F1D" w:rsidRDefault="00856F2F" w:rsidP="000E450B">
            <w:pPr>
              <w:spacing w:beforeLines="20" w:before="48" w:afterLines="20" w:after="48"/>
              <w:jc w:val="center"/>
              <w:rPr>
                <w:sz w:val="20"/>
                <w:szCs w:val="20"/>
              </w:rPr>
            </w:pPr>
            <w:r w:rsidRPr="00154F1D">
              <w:rPr>
                <w:sz w:val="20"/>
                <w:szCs w:val="20"/>
              </w:rPr>
              <w:t>55</w:t>
            </w:r>
          </w:p>
        </w:tc>
        <w:tc>
          <w:tcPr>
            <w:tcW w:w="1945" w:type="pct"/>
            <w:vAlign w:val="center"/>
          </w:tcPr>
          <w:p w14:paraId="2CCFDBF1" w14:textId="1D76E789" w:rsidR="00856F2F" w:rsidRPr="00154F1D" w:rsidRDefault="00856F2F" w:rsidP="000E450B">
            <w:pPr>
              <w:spacing w:beforeLines="20" w:before="48" w:afterLines="20" w:after="48"/>
              <w:jc w:val="center"/>
              <w:rPr>
                <w:sz w:val="20"/>
                <w:szCs w:val="20"/>
              </w:rPr>
            </w:pPr>
            <w:r w:rsidRPr="00154F1D">
              <w:rPr>
                <w:sz w:val="20"/>
                <w:szCs w:val="20"/>
              </w:rPr>
              <w:t>0</w:t>
            </w:r>
          </w:p>
        </w:tc>
      </w:tr>
      <w:tr w:rsidR="00601522" w:rsidRPr="00154F1D" w14:paraId="25C1BCBB" w14:textId="77777777" w:rsidTr="000E450B">
        <w:tc>
          <w:tcPr>
            <w:tcW w:w="1110" w:type="pct"/>
            <w:vAlign w:val="center"/>
          </w:tcPr>
          <w:p w14:paraId="5AEF35A4" w14:textId="52BB621F" w:rsidR="00601522" w:rsidRPr="00154F1D" w:rsidRDefault="00601522" w:rsidP="000E450B">
            <w:pPr>
              <w:spacing w:beforeLines="20" w:before="48" w:afterLines="20" w:after="48"/>
              <w:jc w:val="center"/>
              <w:rPr>
                <w:sz w:val="20"/>
                <w:szCs w:val="20"/>
              </w:rPr>
            </w:pPr>
            <w:r w:rsidRPr="00154F1D">
              <w:rPr>
                <w:sz w:val="20"/>
                <w:szCs w:val="20"/>
              </w:rPr>
              <w:t>2016</w:t>
            </w:r>
            <w:r w:rsidR="000E450B" w:rsidRPr="00154F1D">
              <w:rPr>
                <w:sz w:val="20"/>
                <w:szCs w:val="20"/>
              </w:rPr>
              <w:t>–</w:t>
            </w:r>
            <w:r w:rsidRPr="00154F1D">
              <w:rPr>
                <w:sz w:val="20"/>
                <w:szCs w:val="20"/>
              </w:rPr>
              <w:t>17</w:t>
            </w:r>
          </w:p>
        </w:tc>
        <w:tc>
          <w:tcPr>
            <w:tcW w:w="1945" w:type="pct"/>
            <w:vAlign w:val="center"/>
          </w:tcPr>
          <w:p w14:paraId="25E9AC79" w14:textId="77D2E175" w:rsidR="00601522" w:rsidRPr="00154F1D" w:rsidRDefault="00601522" w:rsidP="000E450B">
            <w:pPr>
              <w:spacing w:beforeLines="20" w:before="48" w:afterLines="20" w:after="48"/>
              <w:jc w:val="center"/>
              <w:rPr>
                <w:sz w:val="20"/>
                <w:szCs w:val="20"/>
              </w:rPr>
            </w:pPr>
            <w:r w:rsidRPr="00154F1D">
              <w:rPr>
                <w:sz w:val="20"/>
                <w:szCs w:val="20"/>
              </w:rPr>
              <w:t>59</w:t>
            </w:r>
          </w:p>
        </w:tc>
        <w:tc>
          <w:tcPr>
            <w:tcW w:w="1945" w:type="pct"/>
            <w:vAlign w:val="center"/>
          </w:tcPr>
          <w:p w14:paraId="108A53E9" w14:textId="7020367E" w:rsidR="00601522" w:rsidRPr="00154F1D" w:rsidRDefault="00601522" w:rsidP="000E450B">
            <w:pPr>
              <w:spacing w:beforeLines="20" w:before="48" w:afterLines="20" w:after="48"/>
              <w:jc w:val="center"/>
              <w:rPr>
                <w:sz w:val="20"/>
                <w:szCs w:val="20"/>
              </w:rPr>
            </w:pPr>
            <w:r w:rsidRPr="00154F1D">
              <w:rPr>
                <w:sz w:val="20"/>
                <w:szCs w:val="20"/>
              </w:rPr>
              <w:t>2</w:t>
            </w:r>
          </w:p>
        </w:tc>
      </w:tr>
    </w:tbl>
    <w:p w14:paraId="66635DBE" w14:textId="7FAF493E" w:rsidR="00581825" w:rsidRPr="00154F1D" w:rsidRDefault="00856F2F" w:rsidP="000E450B">
      <w:pPr>
        <w:pStyle w:val="NumberlessNormalText"/>
        <w:spacing w:before="0"/>
        <w:rPr>
          <w:i/>
          <w:sz w:val="20"/>
          <w:szCs w:val="20"/>
        </w:rPr>
      </w:pPr>
      <w:r w:rsidRPr="00154F1D">
        <w:rPr>
          <w:i/>
          <w:sz w:val="20"/>
          <w:szCs w:val="20"/>
        </w:rPr>
        <w:t>Source: DPP Annual Report</w:t>
      </w:r>
      <w:r w:rsidR="000E450B" w:rsidRPr="00154F1D">
        <w:rPr>
          <w:i/>
          <w:sz w:val="20"/>
          <w:szCs w:val="20"/>
        </w:rPr>
        <w:t>s</w:t>
      </w:r>
    </w:p>
    <w:p w14:paraId="3B31D8E3" w14:textId="1A85FB9C" w:rsidR="005140EB" w:rsidRPr="00154F1D" w:rsidRDefault="004A46D2" w:rsidP="007E2E89">
      <w:pPr>
        <w:pStyle w:val="NormalNumberedTextTLRI"/>
      </w:pPr>
      <w:r w:rsidRPr="00154F1D">
        <w:t xml:space="preserve">The </w:t>
      </w:r>
      <w:r w:rsidR="005140EB" w:rsidRPr="00154F1D">
        <w:t xml:space="preserve">TLRI </w:t>
      </w:r>
      <w:r w:rsidRPr="00154F1D">
        <w:t xml:space="preserve">conducted a </w:t>
      </w:r>
      <w:r w:rsidR="005140EB" w:rsidRPr="00154F1D">
        <w:t xml:space="preserve">survey of </w:t>
      </w:r>
      <w:r w:rsidR="00B2603E" w:rsidRPr="00154F1D">
        <w:t xml:space="preserve">Supreme Court </w:t>
      </w:r>
      <w:r w:rsidR="005140EB" w:rsidRPr="00154F1D">
        <w:t xml:space="preserve">sentencing cases using </w:t>
      </w:r>
      <w:r w:rsidR="00D94122" w:rsidRPr="00154F1D">
        <w:t xml:space="preserve">the </w:t>
      </w:r>
      <w:r w:rsidR="005140EB" w:rsidRPr="00154F1D">
        <w:t xml:space="preserve">TLRI sentencing database and </w:t>
      </w:r>
      <w:r w:rsidR="00D94122" w:rsidRPr="00154F1D">
        <w:t xml:space="preserve">a </w:t>
      </w:r>
      <w:r w:rsidR="005140EB" w:rsidRPr="00154F1D">
        <w:t xml:space="preserve">sentencing search </w:t>
      </w:r>
      <w:r w:rsidRPr="00154F1D">
        <w:t xml:space="preserve">on </w:t>
      </w:r>
      <w:r w:rsidR="00D94122" w:rsidRPr="00154F1D">
        <w:t xml:space="preserve">the </w:t>
      </w:r>
      <w:r w:rsidRPr="00154F1D">
        <w:t>Inglis Clark Library website for the p</w:t>
      </w:r>
      <w:r w:rsidR="001F6601" w:rsidRPr="00154F1D">
        <w:t>eriod 2005–</w:t>
      </w:r>
      <w:r w:rsidR="004716DE" w:rsidRPr="00154F1D">
        <w:t>June 2018</w:t>
      </w:r>
      <w:r w:rsidR="0008630D" w:rsidRPr="00154F1D">
        <w:t>. This was supplemented by details provided by the Supreme Court</w:t>
      </w:r>
      <w:r w:rsidR="003652B9" w:rsidRPr="00154F1D">
        <w:t xml:space="preserve"> and the Mental Health Tribunal</w:t>
      </w:r>
      <w:r w:rsidR="0008630D" w:rsidRPr="00154F1D">
        <w:t>. This study</w:t>
      </w:r>
      <w:r w:rsidR="001F6601" w:rsidRPr="00154F1D">
        <w:t xml:space="preserve"> located </w:t>
      </w:r>
      <w:r w:rsidR="003652B9" w:rsidRPr="00154F1D">
        <w:t>4</w:t>
      </w:r>
      <w:r w:rsidR="00454F69" w:rsidRPr="00154F1D">
        <w:t>5</w:t>
      </w:r>
      <w:r w:rsidRPr="00154F1D">
        <w:t xml:space="preserve"> cases where an </w:t>
      </w:r>
      <w:r w:rsidR="002F5921">
        <w:t>individual</w:t>
      </w:r>
      <w:r w:rsidR="002F5921" w:rsidRPr="00154F1D">
        <w:t xml:space="preserve"> </w:t>
      </w:r>
      <w:r w:rsidRPr="00154F1D">
        <w:t>was found unfit to stand trial and/or not guilty by reason of insanity.</w:t>
      </w:r>
      <w:r w:rsidR="003652B9" w:rsidRPr="00154F1D">
        <w:rPr>
          <w:rStyle w:val="FootnoteReference"/>
        </w:rPr>
        <w:footnoteReference w:id="103"/>
      </w:r>
      <w:r w:rsidRPr="00154F1D">
        <w:t xml:space="preserve"> There were </w:t>
      </w:r>
      <w:r w:rsidR="003652B9" w:rsidRPr="00154F1D">
        <w:t xml:space="preserve">17 </w:t>
      </w:r>
      <w:r w:rsidR="00B2603E" w:rsidRPr="00154F1D">
        <w:t xml:space="preserve">cases where the </w:t>
      </w:r>
      <w:r w:rsidR="002F5921">
        <w:t>person</w:t>
      </w:r>
      <w:r w:rsidR="002F5921" w:rsidRPr="00154F1D">
        <w:t xml:space="preserve"> </w:t>
      </w:r>
      <w:r w:rsidR="00B2603E" w:rsidRPr="00154F1D">
        <w:t>was unfit to stand trial</w:t>
      </w:r>
      <w:r w:rsidR="00D05B20">
        <w:t xml:space="preserve"> and</w:t>
      </w:r>
      <w:r w:rsidR="003652B9" w:rsidRPr="00154F1D">
        <w:t xml:space="preserve"> 2</w:t>
      </w:r>
      <w:r w:rsidR="00454F69" w:rsidRPr="00154F1D">
        <w:t>7</w:t>
      </w:r>
      <w:r w:rsidR="003652B9" w:rsidRPr="00154F1D">
        <w:t xml:space="preserve"> </w:t>
      </w:r>
      <w:r w:rsidR="00B2603E" w:rsidRPr="00154F1D">
        <w:t xml:space="preserve">cases where the </w:t>
      </w:r>
      <w:r w:rsidR="002F5921">
        <w:t>person</w:t>
      </w:r>
      <w:r w:rsidR="002F5921" w:rsidRPr="00154F1D">
        <w:t xml:space="preserve"> </w:t>
      </w:r>
      <w:r w:rsidR="00B2603E" w:rsidRPr="00154F1D">
        <w:t xml:space="preserve">was </w:t>
      </w:r>
      <w:r w:rsidR="003652B9" w:rsidRPr="00154F1D">
        <w:t xml:space="preserve">fit for trial but found </w:t>
      </w:r>
      <w:r w:rsidR="00B2603E" w:rsidRPr="00154F1D">
        <w:t>not guilty by reason of insanity</w:t>
      </w:r>
      <w:r w:rsidR="003652B9" w:rsidRPr="00154F1D">
        <w:t xml:space="preserve"> at trial</w:t>
      </w:r>
      <w:r w:rsidR="00B2603E" w:rsidRPr="00154F1D">
        <w:t xml:space="preserve">. </w:t>
      </w:r>
      <w:r w:rsidR="007073E2" w:rsidRPr="00154F1D">
        <w:t xml:space="preserve">In </w:t>
      </w:r>
      <w:r w:rsidR="003652B9" w:rsidRPr="00154F1D">
        <w:t>one</w:t>
      </w:r>
      <w:r w:rsidR="007073E2" w:rsidRPr="00154F1D">
        <w:t xml:space="preserve"> case, </w:t>
      </w:r>
      <w:r w:rsidR="003652B9" w:rsidRPr="00154F1D">
        <w:t>it wa</w:t>
      </w:r>
      <w:r w:rsidR="007073E2" w:rsidRPr="00154F1D">
        <w:t xml:space="preserve">s not </w:t>
      </w:r>
      <w:r w:rsidR="003652B9" w:rsidRPr="00154F1D">
        <w:t xml:space="preserve">clear </w:t>
      </w:r>
      <w:r w:rsidR="007073E2" w:rsidRPr="00154F1D">
        <w:t xml:space="preserve">whether the </w:t>
      </w:r>
      <w:r w:rsidR="002F5921">
        <w:t>person</w:t>
      </w:r>
      <w:r w:rsidR="002F5921" w:rsidRPr="00154F1D">
        <w:t xml:space="preserve"> </w:t>
      </w:r>
      <w:r w:rsidR="007073E2" w:rsidRPr="00154F1D">
        <w:t xml:space="preserve">was unfit to stand trial and/or not guilty by reason of insanity. </w:t>
      </w:r>
    </w:p>
    <w:p w14:paraId="6D691AB5" w14:textId="38CC0D89" w:rsidR="00D2181E" w:rsidRPr="00154F1D" w:rsidRDefault="00D2181E" w:rsidP="007E2E89">
      <w:pPr>
        <w:pStyle w:val="NormalNumberedTextTLRI"/>
      </w:pPr>
      <w:r w:rsidRPr="00154F1D">
        <w:t>Table 3.</w:t>
      </w:r>
      <w:r w:rsidR="00EA255E" w:rsidRPr="00154F1D">
        <w:t>2</w:t>
      </w:r>
      <w:r w:rsidRPr="00154F1D">
        <w:t xml:space="preserve"> shows the most serious offence for those persons </w:t>
      </w:r>
      <w:r w:rsidR="004716DE" w:rsidRPr="00154F1D">
        <w:t>identified in this</w:t>
      </w:r>
      <w:r w:rsidRPr="00154F1D">
        <w:t xml:space="preserve"> </w:t>
      </w:r>
      <w:r w:rsidR="00DE7ABE" w:rsidRPr="00154F1D">
        <w:t>survey</w:t>
      </w:r>
      <w:r w:rsidRPr="00154F1D">
        <w:t xml:space="preserve"> of sentencing cases with the offences ranging from murder to being found prepared for the commission of a crime.</w:t>
      </w:r>
      <w:r w:rsidRPr="00154F1D">
        <w:rPr>
          <w:rStyle w:val="FootnoteReference"/>
        </w:rPr>
        <w:footnoteReference w:id="104"/>
      </w:r>
    </w:p>
    <w:p w14:paraId="74327541" w14:textId="36484B32" w:rsidR="00D2181E" w:rsidRPr="00154F1D" w:rsidRDefault="00D2181E" w:rsidP="002C25EB">
      <w:pPr>
        <w:pStyle w:val="NormalNumberedTextTLRI"/>
        <w:numPr>
          <w:ilvl w:val="0"/>
          <w:numId w:val="0"/>
        </w:numPr>
        <w:spacing w:after="40"/>
        <w:rPr>
          <w:b/>
        </w:rPr>
      </w:pPr>
      <w:r w:rsidRPr="00154F1D">
        <w:rPr>
          <w:b/>
        </w:rPr>
        <w:t>Table 3.</w:t>
      </w:r>
      <w:r w:rsidR="00EA255E" w:rsidRPr="00154F1D">
        <w:rPr>
          <w:b/>
        </w:rPr>
        <w:t>2</w:t>
      </w:r>
      <w:r w:rsidRPr="00154F1D">
        <w:rPr>
          <w:b/>
        </w:rPr>
        <w:t>: Insanity or unfit to stand trial, 2005–</w:t>
      </w:r>
      <w:r w:rsidR="004716DE" w:rsidRPr="00154F1D">
        <w:rPr>
          <w:b/>
        </w:rPr>
        <w:t xml:space="preserve">June </w:t>
      </w:r>
      <w:r w:rsidRPr="00154F1D">
        <w:rPr>
          <w:b/>
        </w:rPr>
        <w:t>201</w:t>
      </w:r>
      <w:r w:rsidR="004716DE" w:rsidRPr="00154F1D">
        <w:rPr>
          <w:b/>
        </w:rPr>
        <w:t>8</w:t>
      </w:r>
      <w:r w:rsidRPr="00154F1D">
        <w:rPr>
          <w:b/>
        </w:rPr>
        <w:t xml:space="preserve">, </w:t>
      </w:r>
      <w:r w:rsidR="007E2E89" w:rsidRPr="00154F1D">
        <w:rPr>
          <w:b/>
        </w:rPr>
        <w:t>b</w:t>
      </w:r>
      <w:r w:rsidRPr="00154F1D">
        <w:rPr>
          <w:b/>
        </w:rPr>
        <w:t>y most serious offence</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870"/>
        <w:gridCol w:w="2430"/>
      </w:tblGrid>
      <w:tr w:rsidR="00D2181E" w:rsidRPr="00154F1D" w14:paraId="76F75F98" w14:textId="77777777" w:rsidTr="007E2E89">
        <w:tc>
          <w:tcPr>
            <w:tcW w:w="3536" w:type="pct"/>
          </w:tcPr>
          <w:p w14:paraId="4EC94735" w14:textId="77777777" w:rsidR="00D2181E" w:rsidRPr="00154F1D" w:rsidRDefault="00D2181E" w:rsidP="007E2E89">
            <w:pPr>
              <w:spacing w:before="20" w:after="20"/>
              <w:rPr>
                <w:b/>
                <w:sz w:val="20"/>
                <w:szCs w:val="20"/>
              </w:rPr>
            </w:pPr>
            <w:r w:rsidRPr="00154F1D">
              <w:rPr>
                <w:b/>
                <w:sz w:val="20"/>
                <w:szCs w:val="20"/>
              </w:rPr>
              <w:t>Offence category</w:t>
            </w:r>
          </w:p>
        </w:tc>
        <w:tc>
          <w:tcPr>
            <w:tcW w:w="1464" w:type="pct"/>
          </w:tcPr>
          <w:p w14:paraId="1ABD9B31" w14:textId="77777777" w:rsidR="00D2181E" w:rsidRPr="00154F1D" w:rsidRDefault="00D2181E" w:rsidP="007E2E89">
            <w:pPr>
              <w:spacing w:before="20" w:after="20"/>
              <w:jc w:val="center"/>
              <w:rPr>
                <w:b/>
                <w:sz w:val="20"/>
                <w:szCs w:val="20"/>
              </w:rPr>
            </w:pPr>
            <w:r w:rsidRPr="00154F1D">
              <w:rPr>
                <w:b/>
                <w:sz w:val="20"/>
                <w:szCs w:val="20"/>
              </w:rPr>
              <w:t>No of cases</w:t>
            </w:r>
          </w:p>
        </w:tc>
      </w:tr>
      <w:tr w:rsidR="00D2181E" w:rsidRPr="00154F1D" w14:paraId="0E3B9542" w14:textId="77777777" w:rsidTr="007E2E89">
        <w:tc>
          <w:tcPr>
            <w:tcW w:w="3536" w:type="pct"/>
          </w:tcPr>
          <w:p w14:paraId="0B1B3E49" w14:textId="68500985" w:rsidR="00D2181E" w:rsidRPr="00154F1D" w:rsidRDefault="00D2181E" w:rsidP="007E2E89">
            <w:pPr>
              <w:spacing w:before="20" w:after="20"/>
              <w:rPr>
                <w:sz w:val="20"/>
                <w:szCs w:val="20"/>
              </w:rPr>
            </w:pPr>
            <w:r w:rsidRPr="00154F1D">
              <w:rPr>
                <w:sz w:val="20"/>
                <w:szCs w:val="20"/>
              </w:rPr>
              <w:t>Homicide and related offences</w:t>
            </w:r>
          </w:p>
        </w:tc>
        <w:tc>
          <w:tcPr>
            <w:tcW w:w="1464" w:type="pct"/>
          </w:tcPr>
          <w:p w14:paraId="2F3137EF" w14:textId="32E84081" w:rsidR="00D2181E" w:rsidRPr="00154F1D" w:rsidRDefault="00454F69" w:rsidP="007E2E89">
            <w:pPr>
              <w:spacing w:before="20" w:after="20"/>
              <w:jc w:val="center"/>
              <w:rPr>
                <w:sz w:val="20"/>
                <w:szCs w:val="20"/>
              </w:rPr>
            </w:pPr>
            <w:r w:rsidRPr="00154F1D">
              <w:rPr>
                <w:sz w:val="20"/>
                <w:szCs w:val="20"/>
              </w:rPr>
              <w:t>3</w:t>
            </w:r>
          </w:p>
        </w:tc>
      </w:tr>
      <w:tr w:rsidR="00D2181E" w:rsidRPr="00154F1D" w14:paraId="6799AB83" w14:textId="77777777" w:rsidTr="007E2E89">
        <w:tc>
          <w:tcPr>
            <w:tcW w:w="3536" w:type="pct"/>
          </w:tcPr>
          <w:p w14:paraId="1ED9B8C1" w14:textId="10214B3C" w:rsidR="00D2181E" w:rsidRPr="00154F1D" w:rsidRDefault="00D2181E" w:rsidP="007E2E89">
            <w:pPr>
              <w:spacing w:before="20" w:after="20"/>
              <w:rPr>
                <w:sz w:val="20"/>
                <w:szCs w:val="20"/>
              </w:rPr>
            </w:pPr>
            <w:r w:rsidRPr="00154F1D">
              <w:rPr>
                <w:sz w:val="20"/>
                <w:szCs w:val="20"/>
              </w:rPr>
              <w:t>Acts intended to cause injury</w:t>
            </w:r>
          </w:p>
        </w:tc>
        <w:tc>
          <w:tcPr>
            <w:tcW w:w="1464" w:type="pct"/>
          </w:tcPr>
          <w:p w14:paraId="21918B4C" w14:textId="42EDDE82" w:rsidR="00D2181E" w:rsidRPr="00154F1D" w:rsidRDefault="00D2181E" w:rsidP="007E2E89">
            <w:pPr>
              <w:spacing w:before="20" w:after="20"/>
              <w:jc w:val="center"/>
              <w:rPr>
                <w:sz w:val="20"/>
                <w:szCs w:val="20"/>
              </w:rPr>
            </w:pPr>
            <w:r w:rsidRPr="00154F1D">
              <w:rPr>
                <w:sz w:val="20"/>
                <w:szCs w:val="20"/>
              </w:rPr>
              <w:t>1</w:t>
            </w:r>
            <w:r w:rsidR="003652B9" w:rsidRPr="00154F1D">
              <w:rPr>
                <w:sz w:val="20"/>
                <w:szCs w:val="20"/>
              </w:rPr>
              <w:t>7</w:t>
            </w:r>
          </w:p>
        </w:tc>
      </w:tr>
      <w:tr w:rsidR="00D2181E" w:rsidRPr="00154F1D" w14:paraId="44D1F405" w14:textId="77777777" w:rsidTr="007E2E89">
        <w:tc>
          <w:tcPr>
            <w:tcW w:w="3536" w:type="pct"/>
          </w:tcPr>
          <w:p w14:paraId="0D55B6AE" w14:textId="0A69990D" w:rsidR="00D2181E" w:rsidRPr="00154F1D" w:rsidRDefault="00D2181E" w:rsidP="007E2E89">
            <w:pPr>
              <w:spacing w:before="20" w:after="20"/>
              <w:rPr>
                <w:sz w:val="20"/>
                <w:szCs w:val="20"/>
              </w:rPr>
            </w:pPr>
            <w:r w:rsidRPr="00154F1D">
              <w:rPr>
                <w:sz w:val="20"/>
                <w:szCs w:val="20"/>
              </w:rPr>
              <w:t>Sexual assault and related offences</w:t>
            </w:r>
          </w:p>
        </w:tc>
        <w:tc>
          <w:tcPr>
            <w:tcW w:w="1464" w:type="pct"/>
          </w:tcPr>
          <w:p w14:paraId="2C4DEEE1" w14:textId="0FAC7265" w:rsidR="00D2181E" w:rsidRPr="00154F1D" w:rsidRDefault="003652B9" w:rsidP="007E2E89">
            <w:pPr>
              <w:spacing w:before="20" w:after="20"/>
              <w:jc w:val="center"/>
              <w:rPr>
                <w:sz w:val="20"/>
                <w:szCs w:val="20"/>
              </w:rPr>
            </w:pPr>
            <w:r w:rsidRPr="00154F1D">
              <w:rPr>
                <w:sz w:val="20"/>
                <w:szCs w:val="20"/>
              </w:rPr>
              <w:t>4</w:t>
            </w:r>
          </w:p>
        </w:tc>
      </w:tr>
      <w:tr w:rsidR="00D2181E" w:rsidRPr="00154F1D" w14:paraId="16613C92" w14:textId="77777777" w:rsidTr="007E2E89">
        <w:tc>
          <w:tcPr>
            <w:tcW w:w="3536" w:type="pct"/>
          </w:tcPr>
          <w:p w14:paraId="458B4C31" w14:textId="70DDDCB9" w:rsidR="00D2181E" w:rsidRPr="00154F1D" w:rsidRDefault="00D2181E" w:rsidP="007E2E89">
            <w:pPr>
              <w:spacing w:before="20" w:after="20"/>
              <w:rPr>
                <w:sz w:val="20"/>
                <w:szCs w:val="20"/>
              </w:rPr>
            </w:pPr>
            <w:r w:rsidRPr="00154F1D">
              <w:rPr>
                <w:sz w:val="20"/>
                <w:szCs w:val="20"/>
              </w:rPr>
              <w:t>Property damage</w:t>
            </w:r>
          </w:p>
        </w:tc>
        <w:tc>
          <w:tcPr>
            <w:tcW w:w="1464" w:type="pct"/>
          </w:tcPr>
          <w:p w14:paraId="0BF6CE9E" w14:textId="0E29ABF2" w:rsidR="00D2181E" w:rsidRPr="00154F1D" w:rsidRDefault="003652B9" w:rsidP="007E2E89">
            <w:pPr>
              <w:spacing w:before="20" w:after="20"/>
              <w:jc w:val="center"/>
              <w:rPr>
                <w:sz w:val="20"/>
                <w:szCs w:val="20"/>
              </w:rPr>
            </w:pPr>
            <w:r w:rsidRPr="00154F1D">
              <w:rPr>
                <w:sz w:val="20"/>
                <w:szCs w:val="20"/>
              </w:rPr>
              <w:t>9</w:t>
            </w:r>
          </w:p>
        </w:tc>
      </w:tr>
      <w:tr w:rsidR="00D2181E" w:rsidRPr="00154F1D" w14:paraId="6E3A1D62" w14:textId="77777777" w:rsidTr="007E2E89">
        <w:tc>
          <w:tcPr>
            <w:tcW w:w="3536" w:type="pct"/>
          </w:tcPr>
          <w:p w14:paraId="2B5D7738" w14:textId="54527AF7" w:rsidR="00D2181E" w:rsidRPr="00154F1D" w:rsidRDefault="00D2181E" w:rsidP="007E2E89">
            <w:pPr>
              <w:spacing w:before="20" w:after="20"/>
              <w:rPr>
                <w:sz w:val="20"/>
                <w:szCs w:val="20"/>
              </w:rPr>
            </w:pPr>
            <w:r w:rsidRPr="00154F1D">
              <w:rPr>
                <w:sz w:val="20"/>
                <w:szCs w:val="20"/>
              </w:rPr>
              <w:t>Robbery</w:t>
            </w:r>
            <w:r w:rsidR="003652B9" w:rsidRPr="00154F1D">
              <w:rPr>
                <w:sz w:val="20"/>
                <w:szCs w:val="20"/>
              </w:rPr>
              <w:t>/burglary</w:t>
            </w:r>
          </w:p>
        </w:tc>
        <w:tc>
          <w:tcPr>
            <w:tcW w:w="1464" w:type="pct"/>
          </w:tcPr>
          <w:p w14:paraId="3BB37271" w14:textId="68BF2532" w:rsidR="00D2181E" w:rsidRPr="00154F1D" w:rsidRDefault="003652B9" w:rsidP="007E2E89">
            <w:pPr>
              <w:spacing w:before="20" w:after="20"/>
              <w:jc w:val="center"/>
              <w:rPr>
                <w:sz w:val="20"/>
                <w:szCs w:val="20"/>
              </w:rPr>
            </w:pPr>
            <w:r w:rsidRPr="00154F1D">
              <w:rPr>
                <w:sz w:val="20"/>
                <w:szCs w:val="20"/>
              </w:rPr>
              <w:t>3</w:t>
            </w:r>
          </w:p>
        </w:tc>
      </w:tr>
      <w:tr w:rsidR="00D2181E" w:rsidRPr="00154F1D" w14:paraId="64734FBA" w14:textId="77777777" w:rsidTr="007E2E89">
        <w:tc>
          <w:tcPr>
            <w:tcW w:w="3536" w:type="pct"/>
          </w:tcPr>
          <w:p w14:paraId="46862B9E" w14:textId="01DC05F9" w:rsidR="00D2181E" w:rsidRPr="00154F1D" w:rsidRDefault="00D2181E" w:rsidP="007E2E89">
            <w:pPr>
              <w:spacing w:before="20" w:after="20"/>
              <w:rPr>
                <w:sz w:val="20"/>
                <w:szCs w:val="20"/>
              </w:rPr>
            </w:pPr>
            <w:r w:rsidRPr="00154F1D">
              <w:rPr>
                <w:sz w:val="20"/>
                <w:szCs w:val="20"/>
              </w:rPr>
              <w:t>Related weapons and explosive offences</w:t>
            </w:r>
          </w:p>
        </w:tc>
        <w:tc>
          <w:tcPr>
            <w:tcW w:w="1464" w:type="pct"/>
          </w:tcPr>
          <w:p w14:paraId="24441F59" w14:textId="49339D38" w:rsidR="00D2181E" w:rsidRPr="00154F1D" w:rsidRDefault="003652B9" w:rsidP="007E2E89">
            <w:pPr>
              <w:spacing w:before="20" w:after="20"/>
              <w:jc w:val="center"/>
              <w:rPr>
                <w:sz w:val="20"/>
                <w:szCs w:val="20"/>
              </w:rPr>
            </w:pPr>
            <w:r w:rsidRPr="00154F1D">
              <w:rPr>
                <w:sz w:val="20"/>
                <w:szCs w:val="20"/>
              </w:rPr>
              <w:t>2</w:t>
            </w:r>
          </w:p>
        </w:tc>
      </w:tr>
      <w:tr w:rsidR="00D2181E" w:rsidRPr="00154F1D" w14:paraId="63ACAB8D" w14:textId="77777777" w:rsidTr="007E2E89">
        <w:tc>
          <w:tcPr>
            <w:tcW w:w="3536" w:type="pct"/>
          </w:tcPr>
          <w:p w14:paraId="36C68DD4" w14:textId="7B442F6B" w:rsidR="00D2181E" w:rsidRPr="00154F1D" w:rsidRDefault="00D2181E" w:rsidP="007E2E89">
            <w:pPr>
              <w:spacing w:before="20" w:after="20"/>
              <w:rPr>
                <w:sz w:val="20"/>
                <w:szCs w:val="20"/>
              </w:rPr>
            </w:pPr>
            <w:r w:rsidRPr="00154F1D">
              <w:rPr>
                <w:sz w:val="20"/>
                <w:szCs w:val="20"/>
              </w:rPr>
              <w:t>Public order offences</w:t>
            </w:r>
          </w:p>
        </w:tc>
        <w:tc>
          <w:tcPr>
            <w:tcW w:w="1464" w:type="pct"/>
          </w:tcPr>
          <w:p w14:paraId="7A3BD022" w14:textId="77777777" w:rsidR="00D2181E" w:rsidRPr="00154F1D" w:rsidRDefault="00D2181E" w:rsidP="007E2E89">
            <w:pPr>
              <w:spacing w:before="20" w:after="20"/>
              <w:jc w:val="center"/>
              <w:rPr>
                <w:sz w:val="20"/>
                <w:szCs w:val="20"/>
              </w:rPr>
            </w:pPr>
            <w:r w:rsidRPr="00154F1D">
              <w:rPr>
                <w:sz w:val="20"/>
                <w:szCs w:val="20"/>
              </w:rPr>
              <w:t>1</w:t>
            </w:r>
          </w:p>
        </w:tc>
      </w:tr>
      <w:tr w:rsidR="003652B9" w:rsidRPr="00154F1D" w14:paraId="712872EB" w14:textId="77777777" w:rsidTr="007E2E89">
        <w:tc>
          <w:tcPr>
            <w:tcW w:w="3536" w:type="pct"/>
          </w:tcPr>
          <w:p w14:paraId="6656E1FF" w14:textId="3A2494BB" w:rsidR="003652B9" w:rsidRPr="00154F1D" w:rsidRDefault="003652B9" w:rsidP="007E2E89">
            <w:pPr>
              <w:spacing w:before="20" w:after="20"/>
              <w:rPr>
                <w:sz w:val="20"/>
                <w:szCs w:val="20"/>
              </w:rPr>
            </w:pPr>
            <w:r w:rsidRPr="00154F1D">
              <w:rPr>
                <w:sz w:val="20"/>
                <w:szCs w:val="20"/>
              </w:rPr>
              <w:t>Harassment (stalking)</w:t>
            </w:r>
          </w:p>
        </w:tc>
        <w:tc>
          <w:tcPr>
            <w:tcW w:w="1464" w:type="pct"/>
          </w:tcPr>
          <w:p w14:paraId="2E28E00F" w14:textId="286AA4C0" w:rsidR="003652B9" w:rsidRPr="00154F1D" w:rsidRDefault="003652B9" w:rsidP="007E2E89">
            <w:pPr>
              <w:spacing w:before="20" w:after="20"/>
              <w:jc w:val="center"/>
              <w:rPr>
                <w:sz w:val="20"/>
                <w:szCs w:val="20"/>
              </w:rPr>
            </w:pPr>
            <w:r w:rsidRPr="00154F1D">
              <w:rPr>
                <w:sz w:val="20"/>
                <w:szCs w:val="20"/>
              </w:rPr>
              <w:t>2</w:t>
            </w:r>
          </w:p>
        </w:tc>
      </w:tr>
      <w:tr w:rsidR="003652B9" w:rsidRPr="00154F1D" w14:paraId="644F1A84" w14:textId="77777777" w:rsidTr="007E2E89">
        <w:tc>
          <w:tcPr>
            <w:tcW w:w="3536" w:type="pct"/>
          </w:tcPr>
          <w:p w14:paraId="2635E407" w14:textId="72BF910A" w:rsidR="003652B9" w:rsidRPr="00154F1D" w:rsidRDefault="003652B9" w:rsidP="007E2E89">
            <w:pPr>
              <w:spacing w:before="20" w:after="20"/>
              <w:rPr>
                <w:sz w:val="20"/>
                <w:szCs w:val="20"/>
              </w:rPr>
            </w:pPr>
            <w:r w:rsidRPr="00154F1D">
              <w:rPr>
                <w:sz w:val="20"/>
                <w:szCs w:val="20"/>
              </w:rPr>
              <w:t>Threatening behaviour</w:t>
            </w:r>
          </w:p>
        </w:tc>
        <w:tc>
          <w:tcPr>
            <w:tcW w:w="1464" w:type="pct"/>
          </w:tcPr>
          <w:p w14:paraId="7C79B62F" w14:textId="59F49477" w:rsidR="003652B9" w:rsidRPr="00154F1D" w:rsidRDefault="003652B9" w:rsidP="007E2E89">
            <w:pPr>
              <w:spacing w:before="20" w:after="20"/>
              <w:jc w:val="center"/>
              <w:rPr>
                <w:sz w:val="20"/>
                <w:szCs w:val="20"/>
              </w:rPr>
            </w:pPr>
            <w:r w:rsidRPr="00154F1D">
              <w:rPr>
                <w:sz w:val="20"/>
                <w:szCs w:val="20"/>
              </w:rPr>
              <w:t>2</w:t>
            </w:r>
          </w:p>
        </w:tc>
      </w:tr>
      <w:tr w:rsidR="003652B9" w:rsidRPr="00154F1D" w14:paraId="2F2D8766" w14:textId="77777777" w:rsidTr="007E2E89">
        <w:tc>
          <w:tcPr>
            <w:tcW w:w="3536" w:type="pct"/>
          </w:tcPr>
          <w:p w14:paraId="453A63E0" w14:textId="4BC6C0DF" w:rsidR="003652B9" w:rsidRPr="00154F1D" w:rsidRDefault="003652B9" w:rsidP="007E2E89">
            <w:pPr>
              <w:spacing w:before="20" w:after="20"/>
              <w:rPr>
                <w:sz w:val="20"/>
                <w:szCs w:val="20"/>
              </w:rPr>
            </w:pPr>
            <w:r w:rsidRPr="00154F1D">
              <w:rPr>
                <w:sz w:val="20"/>
                <w:szCs w:val="20"/>
              </w:rPr>
              <w:t>Driving offences</w:t>
            </w:r>
          </w:p>
        </w:tc>
        <w:tc>
          <w:tcPr>
            <w:tcW w:w="1464" w:type="pct"/>
          </w:tcPr>
          <w:p w14:paraId="6C1650FA" w14:textId="42588BB6" w:rsidR="003652B9" w:rsidRPr="00154F1D" w:rsidRDefault="003652B9" w:rsidP="007E2E89">
            <w:pPr>
              <w:spacing w:before="20" w:after="20"/>
              <w:jc w:val="center"/>
              <w:rPr>
                <w:sz w:val="20"/>
                <w:szCs w:val="20"/>
              </w:rPr>
            </w:pPr>
            <w:r w:rsidRPr="00154F1D">
              <w:rPr>
                <w:sz w:val="20"/>
                <w:szCs w:val="20"/>
              </w:rPr>
              <w:t>2</w:t>
            </w:r>
          </w:p>
        </w:tc>
      </w:tr>
    </w:tbl>
    <w:p w14:paraId="181FF26D" w14:textId="6FB61F74" w:rsidR="00445018" w:rsidRPr="00154F1D" w:rsidRDefault="004716DE" w:rsidP="004716DE">
      <w:pPr>
        <w:pStyle w:val="Sub-HeadingTLRI"/>
      </w:pPr>
      <w:bookmarkStart w:id="73" w:name="_Toc535868924"/>
      <w:r w:rsidRPr="00154F1D">
        <w:t>Magistrates Court</w:t>
      </w:r>
      <w:bookmarkEnd w:id="73"/>
    </w:p>
    <w:p w14:paraId="4C09DCB4" w14:textId="638CF984" w:rsidR="003A3915" w:rsidRPr="00154F1D" w:rsidRDefault="003A3915" w:rsidP="007E2E89">
      <w:pPr>
        <w:pStyle w:val="NormalNumberedTextTLRI"/>
      </w:pPr>
      <w:r w:rsidRPr="00154F1D">
        <w:t>Table 3.</w:t>
      </w:r>
      <w:r w:rsidR="00EA255E" w:rsidRPr="00154F1D">
        <w:t>3</w:t>
      </w:r>
      <w:r w:rsidRPr="00154F1D">
        <w:t xml:space="preserve"> sets out information provided by the Department of Justice in</w:t>
      </w:r>
      <w:r w:rsidR="00445018" w:rsidRPr="00154F1D">
        <w:t xml:space="preserve"> r</w:t>
      </w:r>
      <w:r w:rsidRPr="00154F1D">
        <w:t xml:space="preserve">elation to the number of findings of not guilty by reason of insanity </w:t>
      </w:r>
      <w:r w:rsidR="00964B56" w:rsidRPr="00154F1D">
        <w:t xml:space="preserve">and </w:t>
      </w:r>
      <w:r w:rsidRPr="00154F1D">
        <w:t>unfit to stand trial in the Magistrates Court from 2013</w:t>
      </w:r>
      <w:r w:rsidR="007E2E89" w:rsidRPr="00154F1D">
        <w:t>–</w:t>
      </w:r>
      <w:r w:rsidR="007907E8" w:rsidRPr="00154F1D">
        <w:t>2018</w:t>
      </w:r>
      <w:r w:rsidRPr="00154F1D">
        <w:t>.</w:t>
      </w:r>
      <w:r w:rsidR="00B256A1" w:rsidRPr="00154F1D">
        <w:rPr>
          <w:rStyle w:val="FootnoteReference"/>
        </w:rPr>
        <w:footnoteReference w:id="105"/>
      </w:r>
      <w:r w:rsidRPr="00154F1D">
        <w:t xml:space="preserve"> It shows that o</w:t>
      </w:r>
      <w:r w:rsidR="00B256A1" w:rsidRPr="00154F1D">
        <w:t xml:space="preserve">nly a small number of </w:t>
      </w:r>
      <w:r w:rsidR="002F5921">
        <w:t>individual</w:t>
      </w:r>
      <w:r w:rsidR="002F5921" w:rsidRPr="00154F1D">
        <w:t xml:space="preserve">s </w:t>
      </w:r>
      <w:r w:rsidR="00B256A1" w:rsidRPr="00154F1D">
        <w:t xml:space="preserve">successfully rely on insanity or are found ‘not guilty’ </w:t>
      </w:r>
      <w:r w:rsidR="00454F69" w:rsidRPr="00154F1D">
        <w:t xml:space="preserve">(that is, a finding cannot be made that the </w:t>
      </w:r>
      <w:r w:rsidR="002F5921">
        <w:t xml:space="preserve">accused </w:t>
      </w:r>
      <w:r w:rsidR="00454F69" w:rsidRPr="00154F1D">
        <w:t xml:space="preserve">is not guilty) </w:t>
      </w:r>
      <w:r w:rsidR="00B256A1" w:rsidRPr="00154F1D">
        <w:t>following a finding of unfitness to stand trial.</w:t>
      </w:r>
    </w:p>
    <w:p w14:paraId="10121C9D" w14:textId="2C06A126" w:rsidR="00EA255E" w:rsidRPr="00154F1D" w:rsidRDefault="00EA255E" w:rsidP="002C25EB">
      <w:pPr>
        <w:pStyle w:val="NormalNumberedTextTLRI"/>
        <w:numPr>
          <w:ilvl w:val="0"/>
          <w:numId w:val="0"/>
        </w:numPr>
        <w:spacing w:after="40"/>
        <w:rPr>
          <w:b/>
        </w:rPr>
      </w:pPr>
      <w:r w:rsidRPr="00154F1D">
        <w:rPr>
          <w:b/>
        </w:rPr>
        <w:t>Table 3.3</w:t>
      </w:r>
      <w:r w:rsidR="007E2E89" w:rsidRPr="00154F1D">
        <w:rPr>
          <w:b/>
        </w:rPr>
        <w:t>:</w:t>
      </w:r>
      <w:r w:rsidRPr="00154F1D">
        <w:rPr>
          <w:b/>
        </w:rPr>
        <w:t xml:space="preserve"> Magistrates Court </w:t>
      </w:r>
      <w:r w:rsidR="00D03074" w:rsidRPr="00154F1D">
        <w:rPr>
          <w:b/>
        </w:rPr>
        <w:t>2013</w:t>
      </w:r>
      <w:r w:rsidR="007E2E89" w:rsidRPr="00154F1D">
        <w:rPr>
          <w:b/>
        </w:rPr>
        <w:t>–</w:t>
      </w:r>
      <w:r w:rsidR="00D03074" w:rsidRPr="00154F1D">
        <w:rPr>
          <w:b/>
        </w:rPr>
        <w:t>14 to 2017</w:t>
      </w:r>
      <w:r w:rsidR="007E2E89" w:rsidRPr="00154F1D">
        <w:rPr>
          <w:b/>
        </w:rPr>
        <w:t>–</w:t>
      </w:r>
      <w:r w:rsidR="00D03074" w:rsidRPr="00154F1D">
        <w:rPr>
          <w:b/>
        </w:rPr>
        <w:t>March 2018</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984"/>
        <w:gridCol w:w="1135"/>
        <w:gridCol w:w="1134"/>
        <w:gridCol w:w="1135"/>
        <w:gridCol w:w="1277"/>
        <w:gridCol w:w="1635"/>
      </w:tblGrid>
      <w:tr w:rsidR="007E2E89" w:rsidRPr="00154F1D" w14:paraId="66636B25" w14:textId="77777777" w:rsidTr="007E2E89">
        <w:trPr>
          <w:trHeight w:val="300"/>
        </w:trPr>
        <w:tc>
          <w:tcPr>
            <w:tcW w:w="1195" w:type="pct"/>
            <w:noWrap/>
            <w:tcMar>
              <w:top w:w="0" w:type="dxa"/>
              <w:left w:w="108" w:type="dxa"/>
              <w:bottom w:w="0" w:type="dxa"/>
              <w:right w:w="108" w:type="dxa"/>
            </w:tcMar>
            <w:vAlign w:val="center"/>
            <w:hideMark/>
          </w:tcPr>
          <w:p w14:paraId="37BA3ECD" w14:textId="57AB0E44" w:rsidR="00B256A1" w:rsidRPr="00154F1D" w:rsidRDefault="00B256A1" w:rsidP="003A3915">
            <w:pPr>
              <w:jc w:val="center"/>
              <w:rPr>
                <w:sz w:val="20"/>
                <w:szCs w:val="20"/>
              </w:rPr>
            </w:pPr>
          </w:p>
        </w:tc>
        <w:tc>
          <w:tcPr>
            <w:tcW w:w="684" w:type="pct"/>
            <w:noWrap/>
            <w:tcMar>
              <w:top w:w="0" w:type="dxa"/>
              <w:left w:w="108" w:type="dxa"/>
              <w:bottom w:w="0" w:type="dxa"/>
              <w:right w:w="108" w:type="dxa"/>
            </w:tcMar>
            <w:vAlign w:val="center"/>
            <w:hideMark/>
          </w:tcPr>
          <w:p w14:paraId="323B7ACC" w14:textId="5F7CE6E1" w:rsidR="00B256A1" w:rsidRPr="00154F1D" w:rsidRDefault="00B256A1" w:rsidP="003A3915">
            <w:pPr>
              <w:jc w:val="center"/>
              <w:rPr>
                <w:b/>
                <w:sz w:val="20"/>
                <w:szCs w:val="20"/>
              </w:rPr>
            </w:pPr>
            <w:r w:rsidRPr="00154F1D">
              <w:rPr>
                <w:b/>
                <w:color w:val="000000"/>
                <w:sz w:val="20"/>
                <w:szCs w:val="20"/>
              </w:rPr>
              <w:t>2013</w:t>
            </w:r>
            <w:r w:rsidR="007E2E89" w:rsidRPr="00154F1D">
              <w:rPr>
                <w:b/>
                <w:color w:val="000000"/>
                <w:sz w:val="20"/>
                <w:szCs w:val="20"/>
              </w:rPr>
              <w:t>–</w:t>
            </w:r>
            <w:r w:rsidRPr="00154F1D">
              <w:rPr>
                <w:b/>
                <w:color w:val="000000"/>
                <w:sz w:val="20"/>
                <w:szCs w:val="20"/>
              </w:rPr>
              <w:t>14</w:t>
            </w:r>
          </w:p>
        </w:tc>
        <w:tc>
          <w:tcPr>
            <w:tcW w:w="683" w:type="pct"/>
            <w:noWrap/>
            <w:tcMar>
              <w:top w:w="0" w:type="dxa"/>
              <w:left w:w="108" w:type="dxa"/>
              <w:bottom w:w="0" w:type="dxa"/>
              <w:right w:w="108" w:type="dxa"/>
            </w:tcMar>
            <w:vAlign w:val="center"/>
            <w:hideMark/>
          </w:tcPr>
          <w:p w14:paraId="2EE2AA78" w14:textId="55B23621" w:rsidR="00B256A1" w:rsidRPr="00154F1D" w:rsidRDefault="00B256A1" w:rsidP="003A3915">
            <w:pPr>
              <w:jc w:val="center"/>
              <w:rPr>
                <w:b/>
                <w:sz w:val="20"/>
                <w:szCs w:val="20"/>
              </w:rPr>
            </w:pPr>
            <w:r w:rsidRPr="00154F1D">
              <w:rPr>
                <w:b/>
                <w:color w:val="000000"/>
                <w:sz w:val="20"/>
                <w:szCs w:val="20"/>
              </w:rPr>
              <w:t>2014</w:t>
            </w:r>
            <w:r w:rsidR="007E2E89" w:rsidRPr="00154F1D">
              <w:rPr>
                <w:b/>
                <w:color w:val="000000"/>
                <w:sz w:val="20"/>
                <w:szCs w:val="20"/>
              </w:rPr>
              <w:t>–</w:t>
            </w:r>
            <w:r w:rsidRPr="00154F1D">
              <w:rPr>
                <w:b/>
                <w:color w:val="000000"/>
                <w:sz w:val="20"/>
                <w:szCs w:val="20"/>
              </w:rPr>
              <w:t>15</w:t>
            </w:r>
          </w:p>
        </w:tc>
        <w:tc>
          <w:tcPr>
            <w:tcW w:w="684" w:type="pct"/>
            <w:noWrap/>
            <w:tcMar>
              <w:top w:w="0" w:type="dxa"/>
              <w:left w:w="108" w:type="dxa"/>
              <w:bottom w:w="0" w:type="dxa"/>
              <w:right w:w="108" w:type="dxa"/>
            </w:tcMar>
            <w:vAlign w:val="center"/>
            <w:hideMark/>
          </w:tcPr>
          <w:p w14:paraId="48B28693" w14:textId="30D37B83" w:rsidR="00B256A1" w:rsidRPr="00154F1D" w:rsidRDefault="00B256A1" w:rsidP="003A3915">
            <w:pPr>
              <w:jc w:val="center"/>
              <w:rPr>
                <w:b/>
                <w:sz w:val="20"/>
                <w:szCs w:val="20"/>
              </w:rPr>
            </w:pPr>
            <w:r w:rsidRPr="00154F1D">
              <w:rPr>
                <w:b/>
                <w:color w:val="000000"/>
                <w:sz w:val="20"/>
                <w:szCs w:val="20"/>
              </w:rPr>
              <w:t>2015</w:t>
            </w:r>
            <w:r w:rsidR="007E2E89" w:rsidRPr="00154F1D">
              <w:rPr>
                <w:b/>
                <w:color w:val="000000"/>
                <w:sz w:val="20"/>
                <w:szCs w:val="20"/>
              </w:rPr>
              <w:t>–</w:t>
            </w:r>
            <w:r w:rsidRPr="00154F1D">
              <w:rPr>
                <w:b/>
                <w:color w:val="000000"/>
                <w:sz w:val="20"/>
                <w:szCs w:val="20"/>
              </w:rPr>
              <w:t>16</w:t>
            </w:r>
          </w:p>
        </w:tc>
        <w:tc>
          <w:tcPr>
            <w:tcW w:w="769" w:type="pct"/>
            <w:noWrap/>
            <w:tcMar>
              <w:top w:w="0" w:type="dxa"/>
              <w:left w:w="108" w:type="dxa"/>
              <w:bottom w:w="0" w:type="dxa"/>
              <w:right w:w="108" w:type="dxa"/>
            </w:tcMar>
            <w:vAlign w:val="center"/>
            <w:hideMark/>
          </w:tcPr>
          <w:p w14:paraId="03E18C19" w14:textId="3C361D2B" w:rsidR="00B256A1" w:rsidRPr="00154F1D" w:rsidRDefault="00B256A1" w:rsidP="003A3915">
            <w:pPr>
              <w:jc w:val="center"/>
              <w:rPr>
                <w:b/>
                <w:sz w:val="20"/>
                <w:szCs w:val="20"/>
              </w:rPr>
            </w:pPr>
            <w:r w:rsidRPr="00154F1D">
              <w:rPr>
                <w:b/>
                <w:color w:val="000000"/>
                <w:sz w:val="20"/>
                <w:szCs w:val="20"/>
              </w:rPr>
              <w:t>2016</w:t>
            </w:r>
            <w:r w:rsidR="007E2E89" w:rsidRPr="00154F1D">
              <w:rPr>
                <w:b/>
                <w:color w:val="000000"/>
                <w:sz w:val="20"/>
                <w:szCs w:val="20"/>
              </w:rPr>
              <w:t>–</w:t>
            </w:r>
            <w:r w:rsidRPr="00154F1D">
              <w:rPr>
                <w:b/>
                <w:color w:val="000000"/>
                <w:sz w:val="20"/>
                <w:szCs w:val="20"/>
              </w:rPr>
              <w:t>17</w:t>
            </w:r>
          </w:p>
        </w:tc>
        <w:tc>
          <w:tcPr>
            <w:tcW w:w="985" w:type="pct"/>
            <w:noWrap/>
            <w:tcMar>
              <w:top w:w="0" w:type="dxa"/>
              <w:left w:w="108" w:type="dxa"/>
              <w:bottom w:w="0" w:type="dxa"/>
              <w:right w:w="108" w:type="dxa"/>
            </w:tcMar>
            <w:vAlign w:val="center"/>
            <w:hideMark/>
          </w:tcPr>
          <w:p w14:paraId="7EC854A0" w14:textId="018DCA19" w:rsidR="00B256A1" w:rsidRPr="00154F1D" w:rsidRDefault="00B256A1" w:rsidP="003A3915">
            <w:pPr>
              <w:jc w:val="center"/>
              <w:rPr>
                <w:b/>
                <w:sz w:val="20"/>
                <w:szCs w:val="20"/>
              </w:rPr>
            </w:pPr>
            <w:r w:rsidRPr="00154F1D">
              <w:rPr>
                <w:b/>
                <w:color w:val="000000"/>
                <w:sz w:val="20"/>
                <w:szCs w:val="20"/>
              </w:rPr>
              <w:t>2017</w:t>
            </w:r>
            <w:r w:rsidR="007E2E89" w:rsidRPr="00154F1D">
              <w:rPr>
                <w:b/>
                <w:color w:val="000000"/>
                <w:sz w:val="20"/>
                <w:szCs w:val="20"/>
              </w:rPr>
              <w:t>–</w:t>
            </w:r>
            <w:r w:rsidRPr="00154F1D">
              <w:rPr>
                <w:b/>
                <w:color w:val="000000"/>
                <w:sz w:val="20"/>
                <w:szCs w:val="20"/>
              </w:rPr>
              <w:t>Mar 2018</w:t>
            </w:r>
          </w:p>
        </w:tc>
      </w:tr>
      <w:tr w:rsidR="007E2E89" w:rsidRPr="00154F1D" w14:paraId="450DC613" w14:textId="77777777" w:rsidTr="007E2E89">
        <w:trPr>
          <w:trHeight w:val="300"/>
        </w:trPr>
        <w:tc>
          <w:tcPr>
            <w:tcW w:w="1195" w:type="pct"/>
            <w:noWrap/>
            <w:tcMar>
              <w:top w:w="0" w:type="dxa"/>
              <w:left w:w="108" w:type="dxa"/>
              <w:bottom w:w="0" w:type="dxa"/>
              <w:right w:w="108" w:type="dxa"/>
            </w:tcMar>
            <w:vAlign w:val="bottom"/>
            <w:hideMark/>
          </w:tcPr>
          <w:p w14:paraId="0F124F60" w14:textId="0B4B8DC0" w:rsidR="00B256A1" w:rsidRPr="00154F1D" w:rsidRDefault="00B256A1" w:rsidP="00B256A1">
            <w:pPr>
              <w:rPr>
                <w:sz w:val="20"/>
                <w:szCs w:val="20"/>
              </w:rPr>
            </w:pPr>
            <w:r w:rsidRPr="00154F1D">
              <w:rPr>
                <w:color w:val="000000"/>
                <w:sz w:val="20"/>
                <w:szCs w:val="20"/>
              </w:rPr>
              <w:t xml:space="preserve">No Finding </w:t>
            </w:r>
            <w:r w:rsidR="007E2E89" w:rsidRPr="00154F1D">
              <w:rPr>
                <w:color w:val="000000"/>
                <w:sz w:val="20"/>
                <w:szCs w:val="20"/>
              </w:rPr>
              <w:t>–</w:t>
            </w:r>
            <w:r w:rsidRPr="00154F1D">
              <w:rPr>
                <w:color w:val="000000"/>
                <w:sz w:val="20"/>
                <w:szCs w:val="20"/>
              </w:rPr>
              <w:t xml:space="preserve"> Mental Impairment</w:t>
            </w:r>
          </w:p>
        </w:tc>
        <w:tc>
          <w:tcPr>
            <w:tcW w:w="684" w:type="pct"/>
            <w:noWrap/>
            <w:tcMar>
              <w:top w:w="0" w:type="dxa"/>
              <w:left w:w="108" w:type="dxa"/>
              <w:bottom w:w="0" w:type="dxa"/>
              <w:right w:w="108" w:type="dxa"/>
            </w:tcMar>
            <w:vAlign w:val="center"/>
            <w:hideMark/>
          </w:tcPr>
          <w:p w14:paraId="09B38818" w14:textId="5C0A1253" w:rsidR="00B256A1" w:rsidRPr="00154F1D" w:rsidRDefault="00B256A1" w:rsidP="00B256A1">
            <w:pPr>
              <w:jc w:val="center"/>
              <w:rPr>
                <w:sz w:val="20"/>
                <w:szCs w:val="20"/>
              </w:rPr>
            </w:pPr>
            <w:r w:rsidRPr="00154F1D">
              <w:rPr>
                <w:color w:val="000000"/>
                <w:sz w:val="20"/>
                <w:szCs w:val="20"/>
              </w:rPr>
              <w:t>4</w:t>
            </w:r>
          </w:p>
        </w:tc>
        <w:tc>
          <w:tcPr>
            <w:tcW w:w="683" w:type="pct"/>
            <w:noWrap/>
            <w:tcMar>
              <w:top w:w="0" w:type="dxa"/>
              <w:left w:w="108" w:type="dxa"/>
              <w:bottom w:w="0" w:type="dxa"/>
              <w:right w:w="108" w:type="dxa"/>
            </w:tcMar>
            <w:vAlign w:val="center"/>
            <w:hideMark/>
          </w:tcPr>
          <w:p w14:paraId="4778B9E4" w14:textId="219681CC" w:rsidR="00B256A1" w:rsidRPr="00154F1D" w:rsidRDefault="00B256A1" w:rsidP="00B256A1">
            <w:pPr>
              <w:jc w:val="center"/>
              <w:rPr>
                <w:sz w:val="20"/>
                <w:szCs w:val="20"/>
              </w:rPr>
            </w:pPr>
            <w:r w:rsidRPr="00154F1D">
              <w:rPr>
                <w:color w:val="000000"/>
                <w:sz w:val="20"/>
                <w:szCs w:val="20"/>
              </w:rPr>
              <w:t>0</w:t>
            </w:r>
          </w:p>
        </w:tc>
        <w:tc>
          <w:tcPr>
            <w:tcW w:w="684" w:type="pct"/>
            <w:noWrap/>
            <w:tcMar>
              <w:top w:w="0" w:type="dxa"/>
              <w:left w:w="108" w:type="dxa"/>
              <w:bottom w:w="0" w:type="dxa"/>
              <w:right w:w="108" w:type="dxa"/>
            </w:tcMar>
            <w:vAlign w:val="center"/>
            <w:hideMark/>
          </w:tcPr>
          <w:p w14:paraId="7D802A01" w14:textId="04788296" w:rsidR="00B256A1" w:rsidRPr="00154F1D" w:rsidRDefault="00B256A1" w:rsidP="00B256A1">
            <w:pPr>
              <w:jc w:val="center"/>
              <w:rPr>
                <w:sz w:val="20"/>
                <w:szCs w:val="20"/>
              </w:rPr>
            </w:pPr>
            <w:r w:rsidRPr="00154F1D">
              <w:rPr>
                <w:color w:val="000000"/>
                <w:sz w:val="20"/>
                <w:szCs w:val="20"/>
              </w:rPr>
              <w:t>2</w:t>
            </w:r>
          </w:p>
        </w:tc>
        <w:tc>
          <w:tcPr>
            <w:tcW w:w="769" w:type="pct"/>
            <w:noWrap/>
            <w:tcMar>
              <w:top w:w="0" w:type="dxa"/>
              <w:left w:w="108" w:type="dxa"/>
              <w:bottom w:w="0" w:type="dxa"/>
              <w:right w:w="108" w:type="dxa"/>
            </w:tcMar>
            <w:vAlign w:val="center"/>
          </w:tcPr>
          <w:p w14:paraId="38D861D3" w14:textId="253E1D3A" w:rsidR="00B256A1" w:rsidRPr="00154F1D" w:rsidRDefault="00B256A1" w:rsidP="00B256A1">
            <w:pPr>
              <w:jc w:val="center"/>
              <w:rPr>
                <w:sz w:val="20"/>
                <w:szCs w:val="20"/>
              </w:rPr>
            </w:pPr>
            <w:r w:rsidRPr="00154F1D">
              <w:rPr>
                <w:color w:val="000000"/>
                <w:sz w:val="20"/>
                <w:szCs w:val="20"/>
              </w:rPr>
              <w:t>2</w:t>
            </w:r>
          </w:p>
        </w:tc>
        <w:tc>
          <w:tcPr>
            <w:tcW w:w="985" w:type="pct"/>
            <w:noWrap/>
            <w:tcMar>
              <w:top w:w="0" w:type="dxa"/>
              <w:left w:w="108" w:type="dxa"/>
              <w:bottom w:w="0" w:type="dxa"/>
              <w:right w:w="108" w:type="dxa"/>
            </w:tcMar>
            <w:vAlign w:val="center"/>
          </w:tcPr>
          <w:p w14:paraId="602DA00F" w14:textId="02D26219" w:rsidR="00B256A1" w:rsidRPr="00154F1D" w:rsidRDefault="00B256A1" w:rsidP="00713745">
            <w:pPr>
              <w:jc w:val="center"/>
              <w:rPr>
                <w:sz w:val="20"/>
                <w:szCs w:val="20"/>
              </w:rPr>
            </w:pPr>
            <w:r w:rsidRPr="00154F1D">
              <w:rPr>
                <w:color w:val="000000"/>
                <w:sz w:val="20"/>
                <w:szCs w:val="20"/>
              </w:rPr>
              <w:t>4*</w:t>
            </w:r>
          </w:p>
        </w:tc>
      </w:tr>
      <w:tr w:rsidR="007E2E89" w:rsidRPr="00154F1D" w14:paraId="1A1E499F" w14:textId="77777777" w:rsidTr="007E2E89">
        <w:trPr>
          <w:trHeight w:val="300"/>
        </w:trPr>
        <w:tc>
          <w:tcPr>
            <w:tcW w:w="1195" w:type="pct"/>
            <w:noWrap/>
            <w:tcMar>
              <w:top w:w="0" w:type="dxa"/>
              <w:left w:w="108" w:type="dxa"/>
              <w:bottom w:w="0" w:type="dxa"/>
              <w:right w:w="108" w:type="dxa"/>
            </w:tcMar>
            <w:vAlign w:val="bottom"/>
            <w:hideMark/>
          </w:tcPr>
          <w:p w14:paraId="3C749D12" w14:textId="1284322B" w:rsidR="00B256A1" w:rsidRPr="00154F1D" w:rsidRDefault="00B256A1" w:rsidP="00B256A1">
            <w:pPr>
              <w:rPr>
                <w:sz w:val="20"/>
                <w:szCs w:val="20"/>
              </w:rPr>
            </w:pPr>
            <w:r w:rsidRPr="00154F1D">
              <w:rPr>
                <w:color w:val="000000"/>
                <w:sz w:val="20"/>
                <w:szCs w:val="20"/>
              </w:rPr>
              <w:t xml:space="preserve">Not Guilty </w:t>
            </w:r>
            <w:r w:rsidR="00530122" w:rsidRPr="00154F1D">
              <w:rPr>
                <w:color w:val="000000"/>
                <w:sz w:val="20"/>
                <w:szCs w:val="20"/>
              </w:rPr>
              <w:t>–</w:t>
            </w:r>
            <w:r w:rsidRPr="00154F1D">
              <w:rPr>
                <w:color w:val="000000"/>
                <w:sz w:val="20"/>
                <w:szCs w:val="20"/>
              </w:rPr>
              <w:t xml:space="preserve"> Insanity</w:t>
            </w:r>
          </w:p>
        </w:tc>
        <w:tc>
          <w:tcPr>
            <w:tcW w:w="684" w:type="pct"/>
            <w:noWrap/>
            <w:tcMar>
              <w:top w:w="0" w:type="dxa"/>
              <w:left w:w="108" w:type="dxa"/>
              <w:bottom w:w="0" w:type="dxa"/>
              <w:right w:w="108" w:type="dxa"/>
            </w:tcMar>
            <w:vAlign w:val="center"/>
            <w:hideMark/>
          </w:tcPr>
          <w:p w14:paraId="6A2EC2CF" w14:textId="096DF1AB" w:rsidR="00B256A1" w:rsidRPr="00154F1D" w:rsidRDefault="00B256A1" w:rsidP="00B256A1">
            <w:pPr>
              <w:jc w:val="center"/>
              <w:rPr>
                <w:sz w:val="20"/>
                <w:szCs w:val="20"/>
              </w:rPr>
            </w:pPr>
            <w:r w:rsidRPr="00154F1D">
              <w:rPr>
                <w:color w:val="000000"/>
                <w:sz w:val="20"/>
                <w:szCs w:val="20"/>
              </w:rPr>
              <w:t>1</w:t>
            </w:r>
          </w:p>
        </w:tc>
        <w:tc>
          <w:tcPr>
            <w:tcW w:w="683" w:type="pct"/>
            <w:noWrap/>
            <w:tcMar>
              <w:top w:w="0" w:type="dxa"/>
              <w:left w:w="108" w:type="dxa"/>
              <w:bottom w:w="0" w:type="dxa"/>
              <w:right w:w="108" w:type="dxa"/>
            </w:tcMar>
            <w:vAlign w:val="center"/>
            <w:hideMark/>
          </w:tcPr>
          <w:p w14:paraId="1EF45E5C" w14:textId="2624D0C1" w:rsidR="00B256A1" w:rsidRPr="00154F1D" w:rsidRDefault="00B256A1" w:rsidP="00B256A1">
            <w:pPr>
              <w:jc w:val="center"/>
              <w:rPr>
                <w:sz w:val="20"/>
                <w:szCs w:val="20"/>
              </w:rPr>
            </w:pPr>
            <w:r w:rsidRPr="00154F1D">
              <w:rPr>
                <w:color w:val="000000"/>
                <w:sz w:val="20"/>
                <w:szCs w:val="20"/>
              </w:rPr>
              <w:t>2</w:t>
            </w:r>
          </w:p>
        </w:tc>
        <w:tc>
          <w:tcPr>
            <w:tcW w:w="684" w:type="pct"/>
            <w:noWrap/>
            <w:tcMar>
              <w:top w:w="0" w:type="dxa"/>
              <w:left w:w="108" w:type="dxa"/>
              <w:bottom w:w="0" w:type="dxa"/>
              <w:right w:w="108" w:type="dxa"/>
            </w:tcMar>
            <w:vAlign w:val="center"/>
            <w:hideMark/>
          </w:tcPr>
          <w:p w14:paraId="1FD4BD20" w14:textId="2764F099" w:rsidR="00B256A1" w:rsidRPr="00154F1D" w:rsidRDefault="00B256A1" w:rsidP="00B256A1">
            <w:pPr>
              <w:jc w:val="center"/>
              <w:rPr>
                <w:sz w:val="20"/>
                <w:szCs w:val="20"/>
              </w:rPr>
            </w:pPr>
            <w:r w:rsidRPr="00154F1D">
              <w:rPr>
                <w:color w:val="000000"/>
                <w:sz w:val="20"/>
                <w:szCs w:val="20"/>
              </w:rPr>
              <w:t>1</w:t>
            </w:r>
          </w:p>
        </w:tc>
        <w:tc>
          <w:tcPr>
            <w:tcW w:w="769" w:type="pct"/>
            <w:noWrap/>
            <w:tcMar>
              <w:top w:w="0" w:type="dxa"/>
              <w:left w:w="108" w:type="dxa"/>
              <w:bottom w:w="0" w:type="dxa"/>
              <w:right w:w="108" w:type="dxa"/>
            </w:tcMar>
            <w:vAlign w:val="center"/>
          </w:tcPr>
          <w:p w14:paraId="3F6835F6" w14:textId="5AF3F5A3" w:rsidR="00B256A1" w:rsidRPr="00154F1D" w:rsidRDefault="00B256A1" w:rsidP="00B256A1">
            <w:pPr>
              <w:jc w:val="center"/>
              <w:rPr>
                <w:sz w:val="20"/>
                <w:szCs w:val="20"/>
              </w:rPr>
            </w:pPr>
            <w:r w:rsidRPr="00154F1D">
              <w:rPr>
                <w:color w:val="000000"/>
                <w:sz w:val="20"/>
                <w:szCs w:val="20"/>
              </w:rPr>
              <w:t>3</w:t>
            </w:r>
          </w:p>
        </w:tc>
        <w:tc>
          <w:tcPr>
            <w:tcW w:w="985" w:type="pct"/>
            <w:noWrap/>
            <w:tcMar>
              <w:top w:w="0" w:type="dxa"/>
              <w:left w:w="108" w:type="dxa"/>
              <w:bottom w:w="0" w:type="dxa"/>
              <w:right w:w="108" w:type="dxa"/>
            </w:tcMar>
            <w:vAlign w:val="center"/>
          </w:tcPr>
          <w:p w14:paraId="1BEB0732" w14:textId="460A8BD7" w:rsidR="00B256A1" w:rsidRPr="00154F1D" w:rsidRDefault="00B256A1" w:rsidP="00B256A1">
            <w:pPr>
              <w:jc w:val="center"/>
              <w:rPr>
                <w:sz w:val="20"/>
                <w:szCs w:val="20"/>
              </w:rPr>
            </w:pPr>
            <w:r w:rsidRPr="00154F1D">
              <w:rPr>
                <w:sz w:val="20"/>
                <w:szCs w:val="20"/>
              </w:rPr>
              <w:t>2</w:t>
            </w:r>
          </w:p>
        </w:tc>
      </w:tr>
      <w:tr w:rsidR="007E2E89" w:rsidRPr="00154F1D" w14:paraId="719D0E41" w14:textId="77777777" w:rsidTr="007E2E89">
        <w:trPr>
          <w:trHeight w:val="300"/>
        </w:trPr>
        <w:tc>
          <w:tcPr>
            <w:tcW w:w="1195" w:type="pct"/>
            <w:noWrap/>
            <w:tcMar>
              <w:top w:w="0" w:type="dxa"/>
              <w:left w:w="108" w:type="dxa"/>
              <w:bottom w:w="0" w:type="dxa"/>
              <w:right w:w="108" w:type="dxa"/>
            </w:tcMar>
            <w:vAlign w:val="bottom"/>
            <w:hideMark/>
          </w:tcPr>
          <w:p w14:paraId="16FB2531" w14:textId="77777777" w:rsidR="00B256A1" w:rsidRPr="00154F1D" w:rsidRDefault="00B256A1" w:rsidP="00B256A1">
            <w:pPr>
              <w:rPr>
                <w:sz w:val="20"/>
                <w:szCs w:val="20"/>
              </w:rPr>
            </w:pPr>
            <w:r w:rsidRPr="00154F1D">
              <w:rPr>
                <w:color w:val="000000"/>
                <w:sz w:val="20"/>
                <w:szCs w:val="20"/>
              </w:rPr>
              <w:t>Total</w:t>
            </w:r>
          </w:p>
        </w:tc>
        <w:tc>
          <w:tcPr>
            <w:tcW w:w="684" w:type="pct"/>
            <w:noWrap/>
            <w:tcMar>
              <w:top w:w="0" w:type="dxa"/>
              <w:left w:w="108" w:type="dxa"/>
              <w:bottom w:w="0" w:type="dxa"/>
              <w:right w:w="108" w:type="dxa"/>
            </w:tcMar>
            <w:vAlign w:val="center"/>
            <w:hideMark/>
          </w:tcPr>
          <w:p w14:paraId="628DFD73" w14:textId="77777777" w:rsidR="00B256A1" w:rsidRPr="00154F1D" w:rsidRDefault="00B256A1" w:rsidP="00B256A1">
            <w:pPr>
              <w:jc w:val="center"/>
              <w:rPr>
                <w:sz w:val="20"/>
                <w:szCs w:val="20"/>
              </w:rPr>
            </w:pPr>
            <w:r w:rsidRPr="00154F1D">
              <w:rPr>
                <w:color w:val="000000"/>
                <w:sz w:val="20"/>
                <w:szCs w:val="20"/>
              </w:rPr>
              <w:t>5</w:t>
            </w:r>
          </w:p>
        </w:tc>
        <w:tc>
          <w:tcPr>
            <w:tcW w:w="683" w:type="pct"/>
            <w:noWrap/>
            <w:tcMar>
              <w:top w:w="0" w:type="dxa"/>
              <w:left w:w="108" w:type="dxa"/>
              <w:bottom w:w="0" w:type="dxa"/>
              <w:right w:w="108" w:type="dxa"/>
            </w:tcMar>
            <w:vAlign w:val="center"/>
            <w:hideMark/>
          </w:tcPr>
          <w:p w14:paraId="7C40FD30" w14:textId="7AE87C45" w:rsidR="00B256A1" w:rsidRPr="00154F1D" w:rsidRDefault="00B256A1" w:rsidP="00B256A1">
            <w:pPr>
              <w:jc w:val="center"/>
              <w:rPr>
                <w:sz w:val="20"/>
                <w:szCs w:val="20"/>
              </w:rPr>
            </w:pPr>
            <w:r w:rsidRPr="00154F1D">
              <w:rPr>
                <w:color w:val="000000"/>
                <w:sz w:val="20"/>
                <w:szCs w:val="20"/>
              </w:rPr>
              <w:t>2</w:t>
            </w:r>
          </w:p>
        </w:tc>
        <w:tc>
          <w:tcPr>
            <w:tcW w:w="684" w:type="pct"/>
            <w:noWrap/>
            <w:tcMar>
              <w:top w:w="0" w:type="dxa"/>
              <w:left w:w="108" w:type="dxa"/>
              <w:bottom w:w="0" w:type="dxa"/>
              <w:right w:w="108" w:type="dxa"/>
            </w:tcMar>
            <w:vAlign w:val="center"/>
            <w:hideMark/>
          </w:tcPr>
          <w:p w14:paraId="643E2787" w14:textId="45373409" w:rsidR="00B256A1" w:rsidRPr="00154F1D" w:rsidRDefault="00B256A1" w:rsidP="00B256A1">
            <w:pPr>
              <w:jc w:val="center"/>
              <w:rPr>
                <w:sz w:val="20"/>
                <w:szCs w:val="20"/>
              </w:rPr>
            </w:pPr>
            <w:r w:rsidRPr="00154F1D">
              <w:rPr>
                <w:color w:val="000000"/>
                <w:sz w:val="20"/>
                <w:szCs w:val="20"/>
              </w:rPr>
              <w:t>3</w:t>
            </w:r>
          </w:p>
        </w:tc>
        <w:tc>
          <w:tcPr>
            <w:tcW w:w="769" w:type="pct"/>
            <w:noWrap/>
            <w:tcMar>
              <w:top w:w="0" w:type="dxa"/>
              <w:left w:w="108" w:type="dxa"/>
              <w:bottom w:w="0" w:type="dxa"/>
              <w:right w:w="108" w:type="dxa"/>
            </w:tcMar>
            <w:vAlign w:val="center"/>
          </w:tcPr>
          <w:p w14:paraId="3F7F4115" w14:textId="5C235790" w:rsidR="00B256A1" w:rsidRPr="00154F1D" w:rsidRDefault="00B256A1" w:rsidP="00B256A1">
            <w:pPr>
              <w:jc w:val="center"/>
              <w:rPr>
                <w:sz w:val="20"/>
                <w:szCs w:val="20"/>
              </w:rPr>
            </w:pPr>
            <w:r w:rsidRPr="00154F1D">
              <w:rPr>
                <w:color w:val="000000"/>
                <w:sz w:val="20"/>
                <w:szCs w:val="20"/>
              </w:rPr>
              <w:t>5</w:t>
            </w:r>
          </w:p>
        </w:tc>
        <w:tc>
          <w:tcPr>
            <w:tcW w:w="985" w:type="pct"/>
            <w:noWrap/>
            <w:tcMar>
              <w:top w:w="0" w:type="dxa"/>
              <w:left w:w="108" w:type="dxa"/>
              <w:bottom w:w="0" w:type="dxa"/>
              <w:right w:w="108" w:type="dxa"/>
            </w:tcMar>
            <w:vAlign w:val="center"/>
          </w:tcPr>
          <w:p w14:paraId="0FF090B5" w14:textId="1DA38CC0" w:rsidR="00B256A1" w:rsidRPr="00154F1D" w:rsidRDefault="00B256A1" w:rsidP="00B256A1">
            <w:pPr>
              <w:jc w:val="center"/>
              <w:rPr>
                <w:sz w:val="20"/>
                <w:szCs w:val="20"/>
              </w:rPr>
            </w:pPr>
            <w:r w:rsidRPr="00154F1D">
              <w:rPr>
                <w:sz w:val="20"/>
                <w:szCs w:val="20"/>
              </w:rPr>
              <w:t>6</w:t>
            </w:r>
          </w:p>
        </w:tc>
      </w:tr>
    </w:tbl>
    <w:p w14:paraId="038F33BF" w14:textId="27C0CC9A" w:rsidR="007E2E89" w:rsidRPr="00154F1D" w:rsidRDefault="007E2E89" w:rsidP="007E2E89">
      <w:pPr>
        <w:jc w:val="both"/>
        <w:rPr>
          <w:sz w:val="20"/>
          <w:szCs w:val="20"/>
        </w:rPr>
      </w:pPr>
      <w:r w:rsidRPr="00154F1D">
        <w:rPr>
          <w:color w:val="000000"/>
          <w:sz w:val="20"/>
          <w:szCs w:val="20"/>
        </w:rPr>
        <w:t>*includes one Youth Justice case</w:t>
      </w:r>
    </w:p>
    <w:p w14:paraId="69DD243F" w14:textId="2B714386" w:rsidR="00BA08EB" w:rsidRPr="00154F1D" w:rsidRDefault="00906B51" w:rsidP="00CE3F73">
      <w:pPr>
        <w:pStyle w:val="NormalNumberedTextTLRI"/>
        <w:numPr>
          <w:ilvl w:val="0"/>
          <w:numId w:val="0"/>
        </w:numPr>
      </w:pPr>
      <w:r w:rsidRPr="00154F1D">
        <w:t xml:space="preserve">Using online search databases, </w:t>
      </w:r>
      <w:r w:rsidR="0038527C" w:rsidRPr="00154F1D">
        <w:t xml:space="preserve">the TLRI </w:t>
      </w:r>
      <w:r w:rsidR="00B256A1" w:rsidRPr="00154F1D">
        <w:t>found</w:t>
      </w:r>
      <w:r w:rsidR="0038527C" w:rsidRPr="00154F1D">
        <w:t xml:space="preserve"> </w:t>
      </w:r>
      <w:r w:rsidR="003E18F0" w:rsidRPr="00154F1D">
        <w:t>three</w:t>
      </w:r>
      <w:r w:rsidR="0038527C" w:rsidRPr="00154F1D">
        <w:t xml:space="preserve"> cases </w:t>
      </w:r>
      <w:r w:rsidRPr="00154F1D">
        <w:t xml:space="preserve">in the Magistrates Court, </w:t>
      </w:r>
      <w:r w:rsidR="0038527C" w:rsidRPr="00154F1D">
        <w:t xml:space="preserve">where the defendant </w:t>
      </w:r>
      <w:r w:rsidR="003E18F0" w:rsidRPr="00154F1D">
        <w:t>relied on the defence of insanity.</w:t>
      </w:r>
      <w:r w:rsidR="000F7FF5" w:rsidRPr="00154F1D">
        <w:rPr>
          <w:rStyle w:val="FootnoteReference"/>
        </w:rPr>
        <w:footnoteReference w:id="106"/>
      </w:r>
      <w:r w:rsidR="003E18F0" w:rsidRPr="00154F1D">
        <w:t xml:space="preserve"> In </w:t>
      </w:r>
      <w:r w:rsidR="000F7FF5" w:rsidRPr="00154F1D">
        <w:t>two of the</w:t>
      </w:r>
      <w:r w:rsidR="00B256A1" w:rsidRPr="00154F1D">
        <w:t>se</w:t>
      </w:r>
      <w:r w:rsidR="000F7FF5" w:rsidRPr="00154F1D">
        <w:t xml:space="preserve"> three</w:t>
      </w:r>
      <w:r w:rsidR="003E18F0" w:rsidRPr="00154F1D">
        <w:t xml:space="preserve"> cases, the defendant was</w:t>
      </w:r>
      <w:r w:rsidR="0038527C" w:rsidRPr="00154F1D">
        <w:t xml:space="preserve"> found not guilty by reason of </w:t>
      </w:r>
      <w:r w:rsidR="002E482B" w:rsidRPr="00154F1D">
        <w:t>insanity.</w:t>
      </w:r>
      <w:r w:rsidR="000F7FF5" w:rsidRPr="00154F1D">
        <w:rPr>
          <w:rStyle w:val="FootnoteReference"/>
        </w:rPr>
        <w:footnoteReference w:id="107"/>
      </w:r>
      <w:r w:rsidR="000F7FF5" w:rsidRPr="00154F1D">
        <w:t xml:space="preserve"> These cases involved assault and destroying property</w:t>
      </w:r>
      <w:r w:rsidR="000F7FF5" w:rsidRPr="00154F1D">
        <w:rPr>
          <w:rStyle w:val="FootnoteReference"/>
        </w:rPr>
        <w:footnoteReference w:id="108"/>
      </w:r>
      <w:r w:rsidR="000F7FF5" w:rsidRPr="00154F1D">
        <w:t xml:space="preserve"> and dangerous driving, failing to stop after being involved in a crash and evade police, as well as common assault.</w:t>
      </w:r>
      <w:r w:rsidR="000F7FF5" w:rsidRPr="00154F1D">
        <w:rPr>
          <w:rStyle w:val="FootnoteReference"/>
        </w:rPr>
        <w:footnoteReference w:id="109"/>
      </w:r>
      <w:r w:rsidRPr="00154F1D">
        <w:t xml:space="preserve"> </w:t>
      </w:r>
    </w:p>
    <w:p w14:paraId="71577F67" w14:textId="7718AEBA" w:rsidR="00410A12" w:rsidRPr="00154F1D" w:rsidRDefault="00781FFA" w:rsidP="00410A12">
      <w:pPr>
        <w:pStyle w:val="NormalNumberedTextTLRI"/>
      </w:pPr>
      <w:r w:rsidRPr="00154F1D">
        <w:t>These numbers are very low</w:t>
      </w:r>
      <w:r w:rsidR="002C25EB">
        <w:t>.</w:t>
      </w:r>
      <w:r w:rsidRPr="00154F1D">
        <w:t xml:space="preserve"> However, a</w:t>
      </w:r>
      <w:r w:rsidR="00B256A1" w:rsidRPr="00154F1D">
        <w:t xml:space="preserve">lthough difficult to capture in official data, anecdotally, </w:t>
      </w:r>
      <w:r w:rsidRPr="00154F1D">
        <w:t xml:space="preserve">it is reported that </w:t>
      </w:r>
      <w:r w:rsidR="00B256A1" w:rsidRPr="00154F1D">
        <w:t xml:space="preserve">there are a significant number of </w:t>
      </w:r>
      <w:r w:rsidR="006436EF">
        <w:t>defendant</w:t>
      </w:r>
      <w:r w:rsidR="002F5921" w:rsidRPr="00154F1D">
        <w:t xml:space="preserve">s </w:t>
      </w:r>
      <w:r w:rsidR="00B256A1" w:rsidRPr="00154F1D">
        <w:t>in the Magistrates Court who have mental health or cognitive impairment</w:t>
      </w:r>
      <w:r w:rsidR="00D94122" w:rsidRPr="00154F1D">
        <w:t xml:space="preserve"> problems</w:t>
      </w:r>
      <w:r w:rsidR="00B256A1" w:rsidRPr="00154F1D">
        <w:t xml:space="preserve">. Some </w:t>
      </w:r>
      <w:r w:rsidRPr="00154F1D">
        <w:t xml:space="preserve">of these </w:t>
      </w:r>
      <w:r w:rsidR="002F5921">
        <w:t>individuals</w:t>
      </w:r>
      <w:r w:rsidR="002F5921" w:rsidRPr="00154F1D">
        <w:t xml:space="preserve"> </w:t>
      </w:r>
      <w:r w:rsidRPr="00154F1D">
        <w:t>may</w:t>
      </w:r>
      <w:r w:rsidR="00B256A1" w:rsidRPr="00154F1D">
        <w:t xml:space="preserve"> participate in the Diversion List, and many others proceed through the ordinary criminal process.</w:t>
      </w:r>
      <w:r w:rsidR="0013396C" w:rsidRPr="00154F1D">
        <w:t xml:space="preserve"> In addition, the data do not indicate those who have not successfully relied on insanity or been found fit to stand trial (when the issue of fitness was raised) and those who are unfit to stand trial and are subsequently acquitted at the special hearing.</w:t>
      </w:r>
    </w:p>
    <w:p w14:paraId="1249230A" w14:textId="77777777" w:rsidR="00626D51" w:rsidRPr="00154F1D" w:rsidRDefault="00626D51" w:rsidP="00D03074">
      <w:pPr>
        <w:pStyle w:val="PartNoTLRI"/>
        <w:numPr>
          <w:ilvl w:val="0"/>
          <w:numId w:val="0"/>
        </w:numPr>
        <w:jc w:val="left"/>
        <w:sectPr w:rsidR="00626D51" w:rsidRPr="00154F1D" w:rsidSect="00D44CC5">
          <w:headerReference w:type="default" r:id="rId33"/>
          <w:pgSz w:w="11900" w:h="16840"/>
          <w:pgMar w:top="1440" w:right="1797" w:bottom="1440" w:left="1797" w:header="709" w:footer="709" w:gutter="0"/>
          <w:cols w:space="708"/>
          <w:titlePg/>
          <w:docGrid w:linePitch="360"/>
        </w:sectPr>
      </w:pPr>
    </w:p>
    <w:p w14:paraId="27DC5671" w14:textId="4EAB0770" w:rsidR="00525165" w:rsidRPr="00154F1D" w:rsidRDefault="00525165" w:rsidP="00525165">
      <w:pPr>
        <w:pStyle w:val="PartNoTLRI"/>
      </w:pPr>
      <w:bookmarkStart w:id="74" w:name="_Toc535868925"/>
      <w:bookmarkEnd w:id="74"/>
    </w:p>
    <w:p w14:paraId="6999025A" w14:textId="426D6DBD" w:rsidR="00085578" w:rsidRPr="00154F1D" w:rsidRDefault="00EF68EF" w:rsidP="00525165">
      <w:pPr>
        <w:pStyle w:val="PartHeadingTLRI"/>
      </w:pPr>
      <w:bookmarkStart w:id="75" w:name="_Toc535868926"/>
      <w:r w:rsidRPr="00154F1D">
        <w:t>Unf</w:t>
      </w:r>
      <w:r w:rsidR="00BD4A60" w:rsidRPr="00154F1D">
        <w:t xml:space="preserve">itness to </w:t>
      </w:r>
      <w:r w:rsidR="00410A12" w:rsidRPr="00154F1D">
        <w:t>S</w:t>
      </w:r>
      <w:r w:rsidR="00BD4A60" w:rsidRPr="00154F1D">
        <w:t xml:space="preserve">tand </w:t>
      </w:r>
      <w:r w:rsidR="00410A12" w:rsidRPr="00154F1D">
        <w:t>T</w:t>
      </w:r>
      <w:r w:rsidR="00BD4A60" w:rsidRPr="00154F1D">
        <w:t>rial</w:t>
      </w:r>
      <w:r w:rsidR="00601522" w:rsidRPr="00154F1D">
        <w:t xml:space="preserve">: The </w:t>
      </w:r>
      <w:r w:rsidR="00410A12" w:rsidRPr="00154F1D">
        <w:t>T</w:t>
      </w:r>
      <w:r w:rsidR="00601522" w:rsidRPr="00154F1D">
        <w:t>est</w:t>
      </w:r>
      <w:bookmarkEnd w:id="75"/>
    </w:p>
    <w:p w14:paraId="79B1C41C" w14:textId="33BD6EB1" w:rsidR="00CA6742" w:rsidRPr="00154F1D" w:rsidRDefault="00CA6742" w:rsidP="00D80045">
      <w:pPr>
        <w:pStyle w:val="NumberedHeadingTLRI"/>
        <w:rPr>
          <w:lang w:val="en-US" w:eastAsia="ja-JP"/>
        </w:rPr>
      </w:pPr>
      <w:bookmarkStart w:id="76" w:name="_Toc535868927"/>
      <w:r w:rsidRPr="00154F1D">
        <w:rPr>
          <w:lang w:val="en-US" w:eastAsia="ja-JP"/>
        </w:rPr>
        <w:t>Introduction</w:t>
      </w:r>
      <w:bookmarkEnd w:id="76"/>
    </w:p>
    <w:p w14:paraId="5D976428" w14:textId="0B41EA69" w:rsidR="00CA6742" w:rsidRPr="00154F1D" w:rsidRDefault="00CA6742" w:rsidP="00744FAA">
      <w:pPr>
        <w:pStyle w:val="NormalNumberedTextTLRI"/>
        <w:rPr>
          <w:lang w:val="en-US" w:eastAsia="ja-JP"/>
        </w:rPr>
      </w:pPr>
      <w:r w:rsidRPr="00154F1D">
        <w:rPr>
          <w:lang w:val="en-US" w:eastAsia="ja-JP"/>
        </w:rPr>
        <w:t>This Part sets out the current test for determining unfitness to stand trial in Tasmania and considers the law in other jurisdictions and options for reforming the test.</w:t>
      </w:r>
    </w:p>
    <w:p w14:paraId="13E43E39" w14:textId="6B99CB52" w:rsidR="00BE07D9" w:rsidRPr="00154F1D" w:rsidRDefault="003045B7" w:rsidP="00744FAA">
      <w:pPr>
        <w:pStyle w:val="NormalNumberedTextTLRI"/>
      </w:pPr>
      <w:r w:rsidRPr="00154F1D">
        <w:t xml:space="preserve">As indicated at </w:t>
      </w:r>
      <w:r w:rsidR="0063337E" w:rsidRPr="00154F1D">
        <w:t>[2.3]</w:t>
      </w:r>
      <w:r w:rsidRPr="00154F1D">
        <w:t>, u</w:t>
      </w:r>
      <w:r w:rsidR="00EF68EF" w:rsidRPr="00154F1D">
        <w:t xml:space="preserve">nfitness to stand trial </w:t>
      </w:r>
      <w:r w:rsidR="00B830E9" w:rsidRPr="00154F1D">
        <w:t>r</w:t>
      </w:r>
      <w:r w:rsidRPr="00154F1D">
        <w:t xml:space="preserve">elates to the issue of whether the accused has the </w:t>
      </w:r>
      <w:r w:rsidR="00C34379" w:rsidRPr="00154F1D">
        <w:t xml:space="preserve">mental </w:t>
      </w:r>
      <w:r w:rsidRPr="00154F1D">
        <w:t>ability to underst</w:t>
      </w:r>
      <w:r w:rsidR="00C34379" w:rsidRPr="00154F1D">
        <w:t>and or participate in the trial</w:t>
      </w:r>
      <w:r w:rsidRPr="00154F1D">
        <w:t xml:space="preserve">. This is concerned with the </w:t>
      </w:r>
      <w:r w:rsidR="0065769D">
        <w:t>accused</w:t>
      </w:r>
      <w:r w:rsidR="0065769D" w:rsidRPr="00154F1D">
        <w:t xml:space="preserve">’s </w:t>
      </w:r>
      <w:r w:rsidRPr="00154F1D">
        <w:t xml:space="preserve">capacity at the </w:t>
      </w:r>
      <w:r w:rsidRPr="00154F1D">
        <w:rPr>
          <w:i/>
        </w:rPr>
        <w:t>time of the trial</w:t>
      </w:r>
      <w:r w:rsidRPr="00154F1D">
        <w:t xml:space="preserve"> rather than at the time of the offence. </w:t>
      </w:r>
    </w:p>
    <w:p w14:paraId="65E70FA8" w14:textId="5C503535" w:rsidR="00EF68EF" w:rsidRPr="00154F1D" w:rsidRDefault="00E9390E" w:rsidP="00744FAA">
      <w:pPr>
        <w:pStyle w:val="NormalNumberedTextTLRI"/>
      </w:pPr>
      <w:r w:rsidRPr="00154F1D">
        <w:t xml:space="preserve">The Australian Law Reform Commission </w:t>
      </w:r>
      <w:r w:rsidR="00410A12" w:rsidRPr="00154F1D">
        <w:t xml:space="preserve">(ALRC) </w:t>
      </w:r>
      <w:r w:rsidRPr="00154F1D">
        <w:t>has summarised the justification</w:t>
      </w:r>
      <w:r w:rsidR="007D3E42" w:rsidRPr="00154F1D">
        <w:t>s</w:t>
      </w:r>
      <w:r w:rsidRPr="00154F1D">
        <w:t xml:space="preserve"> for the </w:t>
      </w:r>
      <w:r w:rsidR="007D3E42" w:rsidRPr="00154F1D">
        <w:t xml:space="preserve">rule that a person who </w:t>
      </w:r>
      <w:r w:rsidR="00530122" w:rsidRPr="00154F1D">
        <w:t xml:space="preserve">is </w:t>
      </w:r>
      <w:r w:rsidR="007D3E42" w:rsidRPr="00154F1D">
        <w:t xml:space="preserve">unfit to stand trial cannot be tried as follows: </w:t>
      </w:r>
    </w:p>
    <w:p w14:paraId="34D98118" w14:textId="389B3D99" w:rsidR="007D3E42" w:rsidRPr="00154F1D" w:rsidRDefault="007D3E42" w:rsidP="0031412F">
      <w:pPr>
        <w:pStyle w:val="QuoteTLRI"/>
        <w:numPr>
          <w:ilvl w:val="0"/>
          <w:numId w:val="12"/>
        </w:numPr>
        <w:spacing w:after="120"/>
        <w:ind w:left="1570" w:right="788" w:hanging="357"/>
        <w:rPr>
          <w:lang w:val="en-US"/>
        </w:rPr>
      </w:pPr>
      <w:r w:rsidRPr="00154F1D">
        <w:rPr>
          <w:lang w:val="en-US"/>
        </w:rPr>
        <w:t>[to] avoid inaccurate verdicts—forcing the defendant to be answerable for his or her actions when incapable of doing so could lead to an inaccurate verdict;</w:t>
      </w:r>
    </w:p>
    <w:p w14:paraId="5520F3DB" w14:textId="5D9F0A14" w:rsidR="007D3E42" w:rsidRPr="00154F1D" w:rsidRDefault="007D3E42" w:rsidP="0031412F">
      <w:pPr>
        <w:pStyle w:val="QuoteTLRI"/>
        <w:numPr>
          <w:ilvl w:val="0"/>
          <w:numId w:val="12"/>
        </w:numPr>
        <w:spacing w:after="120"/>
        <w:ind w:left="1570" w:right="788" w:hanging="357"/>
        <w:rPr>
          <w:lang w:val="en-US"/>
        </w:rPr>
      </w:pPr>
      <w:r w:rsidRPr="00154F1D">
        <w:rPr>
          <w:lang w:val="en-US"/>
        </w:rPr>
        <w:t xml:space="preserve">[to] maintain the ‘moral dignity’ of the trial process—requiring that a defendant is fit to stand trial recognises the importance of maintaining the moral dignity of the trial process, ensuring that the defendant is able to form a link between the alleged crime and the trial or punishment and </w:t>
      </w:r>
      <w:r w:rsidR="00530122" w:rsidRPr="00154F1D">
        <w:rPr>
          <w:lang w:val="en-US"/>
        </w:rPr>
        <w:t xml:space="preserve">is </w:t>
      </w:r>
      <w:r w:rsidRPr="00154F1D">
        <w:rPr>
          <w:lang w:val="en-US"/>
        </w:rPr>
        <w:t>accountable for his or her actions; and</w:t>
      </w:r>
    </w:p>
    <w:p w14:paraId="24390FFD" w14:textId="712E4EDA" w:rsidR="007D3E42" w:rsidRPr="00154F1D" w:rsidRDefault="007D3E42" w:rsidP="0074267A">
      <w:pPr>
        <w:pStyle w:val="QuoteTLRI"/>
        <w:numPr>
          <w:ilvl w:val="0"/>
          <w:numId w:val="12"/>
        </w:numPr>
        <w:rPr>
          <w:lang w:val="en-US"/>
        </w:rPr>
      </w:pPr>
      <w:r w:rsidRPr="00154F1D">
        <w:rPr>
          <w:lang w:val="en-US"/>
        </w:rPr>
        <w:t>[to] avoid unfairness—it would be unfair or inhumane to subject someone to the trial process who is unfit.</w:t>
      </w:r>
      <w:bookmarkStart w:id="77" w:name="_Ref536035283"/>
      <w:r w:rsidR="009D17A9" w:rsidRPr="00154F1D">
        <w:rPr>
          <w:rStyle w:val="FootnoteReference"/>
          <w:lang w:val="en-US"/>
        </w:rPr>
        <w:footnoteReference w:id="110"/>
      </w:r>
      <w:bookmarkEnd w:id="77"/>
    </w:p>
    <w:p w14:paraId="6F759101" w14:textId="4C37207E" w:rsidR="002850C7" w:rsidRPr="00154F1D" w:rsidRDefault="00850451" w:rsidP="00744FAA">
      <w:pPr>
        <w:pStyle w:val="NormalNumberedTextTLRI"/>
        <w:numPr>
          <w:ilvl w:val="0"/>
          <w:numId w:val="0"/>
        </w:numPr>
        <w:rPr>
          <w:lang w:val="en-US" w:eastAsia="ja-JP"/>
        </w:rPr>
      </w:pPr>
      <w:r w:rsidRPr="00154F1D">
        <w:rPr>
          <w:lang w:val="en-US" w:eastAsia="ja-JP"/>
        </w:rPr>
        <w:t>The u</w:t>
      </w:r>
      <w:r w:rsidR="00F87D13" w:rsidRPr="00154F1D">
        <w:rPr>
          <w:lang w:val="en-US" w:eastAsia="ja-JP"/>
        </w:rPr>
        <w:t xml:space="preserve">nfitness to stand trial </w:t>
      </w:r>
      <w:r w:rsidRPr="00154F1D">
        <w:rPr>
          <w:lang w:val="en-US" w:eastAsia="ja-JP"/>
        </w:rPr>
        <w:t xml:space="preserve">doctrine </w:t>
      </w:r>
      <w:r w:rsidR="00EC5F62" w:rsidRPr="00154F1D">
        <w:rPr>
          <w:lang w:val="en-US" w:eastAsia="ja-JP"/>
        </w:rPr>
        <w:t>aims to protect accused persons with disabilities, provide a means to challenge the prosecution case and provide for appropriate treatment.</w:t>
      </w:r>
      <w:r w:rsidR="00EC5F62" w:rsidRPr="00154F1D">
        <w:rPr>
          <w:rStyle w:val="FootnoteReference"/>
          <w:lang w:val="en-US" w:eastAsia="ja-JP"/>
        </w:rPr>
        <w:footnoteReference w:id="111"/>
      </w:r>
      <w:r w:rsidR="00EC5F62" w:rsidRPr="00154F1D">
        <w:rPr>
          <w:lang w:val="en-US" w:eastAsia="ja-JP"/>
        </w:rPr>
        <w:t xml:space="preserve"> As discussed at </w:t>
      </w:r>
      <w:r w:rsidR="0063337E" w:rsidRPr="00154F1D">
        <w:rPr>
          <w:lang w:val="en-US" w:eastAsia="ja-JP"/>
        </w:rPr>
        <w:t>[2.4]</w:t>
      </w:r>
      <w:r w:rsidR="00EC5F62" w:rsidRPr="00154F1D">
        <w:rPr>
          <w:lang w:val="en-US" w:eastAsia="ja-JP"/>
        </w:rPr>
        <w:t>, t</w:t>
      </w:r>
      <w:r w:rsidR="002850C7" w:rsidRPr="00154F1D">
        <w:rPr>
          <w:lang w:val="en-US" w:eastAsia="ja-JP"/>
        </w:rPr>
        <w:t xml:space="preserve">hese concerns were reflected in the introduction of the fitness to stand trial procedure contained in the </w:t>
      </w:r>
      <w:r w:rsidRPr="00154F1D">
        <w:rPr>
          <w:i/>
        </w:rPr>
        <w:t>Criminal Justice Mental Impairment Act 1999</w:t>
      </w:r>
      <w:r w:rsidRPr="00154F1D">
        <w:t xml:space="preserve"> (Tas)</w:t>
      </w:r>
      <w:r w:rsidR="002850C7" w:rsidRPr="00154F1D">
        <w:rPr>
          <w:lang w:val="en-US" w:eastAsia="ja-JP"/>
        </w:rPr>
        <w:t xml:space="preserve"> and are relevant to the TLRI’s examination of the law and procedure relating of unfitness to stand trial. The Terms of Reference request that the TLRI consider whether the Act operates justly, effectively and consistently with the principles that underli</w:t>
      </w:r>
      <w:r w:rsidR="00530122" w:rsidRPr="00154F1D">
        <w:rPr>
          <w:lang w:val="en-US" w:eastAsia="ja-JP"/>
        </w:rPr>
        <w:t>e</w:t>
      </w:r>
      <w:r w:rsidR="002850C7" w:rsidRPr="00154F1D">
        <w:rPr>
          <w:lang w:val="en-US" w:eastAsia="ja-JP"/>
        </w:rPr>
        <w:t xml:space="preserve"> it. In particular, the TLRI has been asked to consider whether the process of determining fitness to stand trial can be improved.</w:t>
      </w:r>
    </w:p>
    <w:p w14:paraId="71986A31" w14:textId="6D5F56D8" w:rsidR="004F12AB" w:rsidRPr="00154F1D" w:rsidRDefault="00BB4955" w:rsidP="00D80045">
      <w:pPr>
        <w:pStyle w:val="NumberedHeadingTLRI"/>
      </w:pPr>
      <w:bookmarkStart w:id="78" w:name="_Toc535868928"/>
      <w:r w:rsidRPr="00154F1D">
        <w:t xml:space="preserve">The test </w:t>
      </w:r>
      <w:r w:rsidR="0058539A" w:rsidRPr="00154F1D">
        <w:t xml:space="preserve">for </w:t>
      </w:r>
      <w:r w:rsidRPr="00154F1D">
        <w:t>determining unfitness to stand trial</w:t>
      </w:r>
      <w:r w:rsidR="000B7247" w:rsidRPr="00154F1D">
        <w:t>: Tasmania</w:t>
      </w:r>
      <w:bookmarkEnd w:id="78"/>
    </w:p>
    <w:p w14:paraId="54FCB570" w14:textId="21183EBD" w:rsidR="00BB4955" w:rsidRPr="00154F1D" w:rsidRDefault="005037A5" w:rsidP="00744FAA">
      <w:pPr>
        <w:pStyle w:val="NormalNumberedTextTLRI"/>
      </w:pPr>
      <w:r w:rsidRPr="00154F1D">
        <w:t>T</w:t>
      </w:r>
      <w:r w:rsidR="004F12AB" w:rsidRPr="00154F1D">
        <w:t xml:space="preserve">he </w:t>
      </w:r>
      <w:r w:rsidR="00850451" w:rsidRPr="00154F1D">
        <w:rPr>
          <w:i/>
        </w:rPr>
        <w:t>Criminal Justice Mental Impairment Act 1999</w:t>
      </w:r>
      <w:r w:rsidR="00850451" w:rsidRPr="00154F1D">
        <w:t xml:space="preserve"> (Tas)</w:t>
      </w:r>
      <w:r w:rsidR="004F12AB" w:rsidRPr="00154F1D">
        <w:t xml:space="preserve"> s 8 sets out the test to determine if a </w:t>
      </w:r>
      <w:r w:rsidR="00C63FE2" w:rsidRPr="00154F1D">
        <w:t>person is unfit to stand trial</w:t>
      </w:r>
      <w:r w:rsidR="00BB4955" w:rsidRPr="00154F1D">
        <w:t>:</w:t>
      </w:r>
    </w:p>
    <w:p w14:paraId="4A507C60" w14:textId="7001FD51" w:rsidR="00BB4955" w:rsidRPr="00154F1D" w:rsidRDefault="00EF68EF" w:rsidP="00AF5F07">
      <w:pPr>
        <w:pStyle w:val="QuoteTLRI"/>
        <w:spacing w:after="120"/>
        <w:ind w:left="1276" w:right="788" w:hanging="425"/>
      </w:pPr>
      <w:r w:rsidRPr="00154F1D">
        <w:t>(1)</w:t>
      </w:r>
      <w:r w:rsidR="005037A5" w:rsidRPr="00154F1D">
        <w:tab/>
      </w:r>
      <w:r w:rsidR="00BB4955" w:rsidRPr="00154F1D">
        <w:t>A person is unfit to stand trial for an offence if, because the person’s mental processes are disordered or impaired or for any other reason, the person is –</w:t>
      </w:r>
    </w:p>
    <w:p w14:paraId="57A2582A" w14:textId="32952BEB" w:rsidR="00BB4955" w:rsidRPr="00154F1D" w:rsidRDefault="00BB4955" w:rsidP="00AF5F07">
      <w:pPr>
        <w:pStyle w:val="QuoteTLRI"/>
        <w:numPr>
          <w:ilvl w:val="0"/>
          <w:numId w:val="123"/>
        </w:numPr>
        <w:spacing w:after="120"/>
        <w:ind w:right="788" w:hanging="295"/>
      </w:pPr>
      <w:r w:rsidRPr="00154F1D">
        <w:t>unable to understand the nature of the charge; or</w:t>
      </w:r>
    </w:p>
    <w:p w14:paraId="298BD2E7" w14:textId="1C6CC434" w:rsidR="00BB4955" w:rsidRPr="00154F1D" w:rsidRDefault="004870EC" w:rsidP="00AF5F07">
      <w:pPr>
        <w:pStyle w:val="QuoteTLRI"/>
        <w:numPr>
          <w:ilvl w:val="0"/>
          <w:numId w:val="123"/>
        </w:numPr>
        <w:spacing w:after="120"/>
        <w:ind w:right="788" w:hanging="295"/>
      </w:pPr>
      <w:r w:rsidRPr="00154F1D">
        <w:t>unable to plead to the charge or</w:t>
      </w:r>
      <w:r w:rsidR="00BB4955" w:rsidRPr="00154F1D">
        <w:t xml:space="preserve"> to exercise the right of challenge; or </w:t>
      </w:r>
    </w:p>
    <w:p w14:paraId="2933C267" w14:textId="02BED173" w:rsidR="00BB4955" w:rsidRPr="00154F1D" w:rsidRDefault="00BB4955" w:rsidP="00AF5F07">
      <w:pPr>
        <w:pStyle w:val="QuoteTLRI"/>
        <w:numPr>
          <w:ilvl w:val="0"/>
          <w:numId w:val="123"/>
        </w:numPr>
        <w:spacing w:after="120"/>
        <w:ind w:right="788" w:hanging="295"/>
      </w:pPr>
      <w:r w:rsidRPr="00154F1D">
        <w:t>unable to unde</w:t>
      </w:r>
      <w:r w:rsidR="005E27DE" w:rsidRPr="00154F1D">
        <w:t>rstand</w:t>
      </w:r>
      <w:r w:rsidRPr="00154F1D">
        <w:t xml:space="preserve"> the </w:t>
      </w:r>
      <w:r w:rsidR="005E27DE" w:rsidRPr="00154F1D">
        <w:t>nature of the proceedings; or</w:t>
      </w:r>
    </w:p>
    <w:p w14:paraId="6645118A" w14:textId="2914D1E5" w:rsidR="005E27DE" w:rsidRPr="00154F1D" w:rsidRDefault="005E27DE" w:rsidP="00AF5F07">
      <w:pPr>
        <w:pStyle w:val="QuoteTLRI"/>
        <w:numPr>
          <w:ilvl w:val="0"/>
          <w:numId w:val="123"/>
        </w:numPr>
        <w:spacing w:after="120"/>
        <w:ind w:right="788" w:hanging="295"/>
      </w:pPr>
      <w:r w:rsidRPr="00154F1D">
        <w:t xml:space="preserve">unable to follow the course of the proceedings; or </w:t>
      </w:r>
    </w:p>
    <w:p w14:paraId="73C3FB65" w14:textId="29E917DB" w:rsidR="00C63FE2" w:rsidRPr="00154F1D" w:rsidRDefault="005E27DE" w:rsidP="00AF5F07">
      <w:pPr>
        <w:pStyle w:val="QuoteTLRI"/>
        <w:numPr>
          <w:ilvl w:val="0"/>
          <w:numId w:val="123"/>
        </w:numPr>
        <w:spacing w:after="120"/>
        <w:ind w:right="788" w:hanging="295"/>
      </w:pPr>
      <w:r w:rsidRPr="00154F1D">
        <w:t xml:space="preserve">unable to make a </w:t>
      </w:r>
      <w:r w:rsidR="00C63FE2" w:rsidRPr="00154F1D">
        <w:t>defence</w:t>
      </w:r>
      <w:r w:rsidR="00B22E21">
        <w:t xml:space="preserve"> or answer the charge</w:t>
      </w:r>
      <w:r w:rsidR="00C63FE2" w:rsidRPr="00154F1D">
        <w:t>.</w:t>
      </w:r>
    </w:p>
    <w:p w14:paraId="1E07530E" w14:textId="5DA0042C" w:rsidR="00EF68EF" w:rsidRPr="00154F1D" w:rsidRDefault="00EF68EF" w:rsidP="0031412F">
      <w:pPr>
        <w:pStyle w:val="QuoteTLRI"/>
        <w:ind w:left="1276" w:hanging="425"/>
      </w:pPr>
      <w:r w:rsidRPr="00154F1D">
        <w:t>(2)</w:t>
      </w:r>
      <w:r w:rsidR="005037A5" w:rsidRPr="00154F1D">
        <w:tab/>
      </w:r>
      <w:r w:rsidRPr="00154F1D">
        <w:t>Notwithstanding subsection (1)(e), a</w:t>
      </w:r>
      <w:r w:rsidR="0077086E" w:rsidRPr="00154F1D">
        <w:t xml:space="preserve"> </w:t>
      </w:r>
      <w:r w:rsidRPr="00154F1D">
        <w:t>person is not un</w:t>
      </w:r>
      <w:r w:rsidR="0077086E" w:rsidRPr="00154F1D">
        <w:t>f</w:t>
      </w:r>
      <w:r w:rsidRPr="00154F1D">
        <w:t>it to be tried if the only reason that the pe</w:t>
      </w:r>
      <w:r w:rsidR="0077086E" w:rsidRPr="00154F1D">
        <w:t>r</w:t>
      </w:r>
      <w:r w:rsidRPr="00154F1D">
        <w:t xml:space="preserve">son is unable to make a defence or answer </w:t>
      </w:r>
      <w:r w:rsidR="00B22E21">
        <w:t>a</w:t>
      </w:r>
      <w:r w:rsidR="00B22E21" w:rsidRPr="00154F1D">
        <w:t xml:space="preserve"> </w:t>
      </w:r>
      <w:r w:rsidRPr="00154F1D">
        <w:t>charge i</w:t>
      </w:r>
      <w:r w:rsidR="0003383C" w:rsidRPr="00154F1D">
        <w:t>s that he or she is suffering f</w:t>
      </w:r>
      <w:r w:rsidRPr="00154F1D">
        <w:t>r</w:t>
      </w:r>
      <w:r w:rsidR="0003383C" w:rsidRPr="00154F1D">
        <w:t>o</w:t>
      </w:r>
      <w:r w:rsidRPr="00154F1D">
        <w:t>m memory loss</w:t>
      </w:r>
      <w:r w:rsidR="00530122" w:rsidRPr="00154F1D">
        <w:t>.</w:t>
      </w:r>
    </w:p>
    <w:p w14:paraId="02719CB2" w14:textId="741A9441" w:rsidR="00805558" w:rsidRPr="00154F1D" w:rsidRDefault="00805558" w:rsidP="00744FAA">
      <w:pPr>
        <w:pStyle w:val="NormalNumberedTextTLRI"/>
      </w:pPr>
      <w:bookmarkStart w:id="79" w:name="_Ref535010544"/>
      <w:r w:rsidRPr="00154F1D">
        <w:t xml:space="preserve">These </w:t>
      </w:r>
      <w:r w:rsidR="003F1B8F" w:rsidRPr="00154F1D">
        <w:t>criteria</w:t>
      </w:r>
      <w:r w:rsidRPr="00154F1D">
        <w:t xml:space="preserve"> reflect the </w:t>
      </w:r>
      <w:r w:rsidRPr="00154F1D">
        <w:rPr>
          <w:i/>
        </w:rPr>
        <w:t>Presser</w:t>
      </w:r>
      <w:r w:rsidRPr="00154F1D">
        <w:t xml:space="preserve"> criteria, set out in the Victorian case of </w:t>
      </w:r>
      <w:r w:rsidRPr="00154F1D">
        <w:rPr>
          <w:i/>
        </w:rPr>
        <w:t>R v Presser</w:t>
      </w:r>
      <w:r w:rsidRPr="00154F1D">
        <w:t>,</w:t>
      </w:r>
      <w:r w:rsidRPr="00154F1D">
        <w:rPr>
          <w:rStyle w:val="FootnoteReference"/>
        </w:rPr>
        <w:footnoteReference w:id="112"/>
      </w:r>
      <w:r w:rsidRPr="00154F1D">
        <w:t xml:space="preserve"> where seven </w:t>
      </w:r>
      <w:r w:rsidR="004B791B" w:rsidRPr="00154F1D">
        <w:t>factors</w:t>
      </w:r>
      <w:r w:rsidRPr="00154F1D">
        <w:t xml:space="preserve"> were identified </w:t>
      </w:r>
      <w:r w:rsidR="004B791B" w:rsidRPr="00154F1D">
        <w:t xml:space="preserve">as relevant </w:t>
      </w:r>
      <w:r w:rsidRPr="00154F1D">
        <w:t xml:space="preserve">to </w:t>
      </w:r>
      <w:r w:rsidR="004B791B" w:rsidRPr="00154F1D">
        <w:t>the determination of</w:t>
      </w:r>
      <w:r w:rsidRPr="00154F1D">
        <w:t xml:space="preserve"> fitness:</w:t>
      </w:r>
      <w:bookmarkEnd w:id="79"/>
    </w:p>
    <w:p w14:paraId="5C1223AB" w14:textId="700728FB" w:rsidR="00805558" w:rsidRPr="00154F1D" w:rsidRDefault="00805558" w:rsidP="003F1B8F">
      <w:pPr>
        <w:pStyle w:val="DotPointTLRI"/>
        <w:ind w:left="851" w:hanging="425"/>
      </w:pPr>
      <w:r w:rsidRPr="00154F1D">
        <w:t xml:space="preserve">ability to understand the charge; </w:t>
      </w:r>
    </w:p>
    <w:p w14:paraId="3EEF4DBC" w14:textId="5DBC1520" w:rsidR="00805558" w:rsidRPr="00154F1D" w:rsidRDefault="00805558" w:rsidP="003F1B8F">
      <w:pPr>
        <w:pStyle w:val="DotPointTLRI"/>
        <w:ind w:left="851" w:hanging="425"/>
      </w:pPr>
      <w:r w:rsidRPr="00154F1D">
        <w:t xml:space="preserve">ability to plead to the charge and exercise the right to challenge jurors; </w:t>
      </w:r>
    </w:p>
    <w:p w14:paraId="7D85ED60" w14:textId="359142BD" w:rsidR="00805558" w:rsidRPr="00154F1D" w:rsidRDefault="00805558" w:rsidP="003F1B8F">
      <w:pPr>
        <w:pStyle w:val="DotPointTLRI"/>
        <w:ind w:left="851" w:hanging="425"/>
      </w:pPr>
      <w:r w:rsidRPr="00154F1D">
        <w:t>ability to understand the nature of the proceedings;</w:t>
      </w:r>
    </w:p>
    <w:p w14:paraId="15F0720A" w14:textId="77777777" w:rsidR="00805558" w:rsidRPr="00154F1D" w:rsidRDefault="00805558" w:rsidP="003F1B8F">
      <w:pPr>
        <w:pStyle w:val="DotPointTLRI"/>
        <w:ind w:left="851" w:hanging="425"/>
      </w:pPr>
      <w:r w:rsidRPr="00154F1D">
        <w:t xml:space="preserve">ability to follow the course of the proceedings in broad terms; </w:t>
      </w:r>
    </w:p>
    <w:p w14:paraId="2060EE4E" w14:textId="2D852651" w:rsidR="00805558" w:rsidRPr="00154F1D" w:rsidRDefault="00805558" w:rsidP="003F1B8F">
      <w:pPr>
        <w:pStyle w:val="DotPointTLRI"/>
        <w:ind w:left="851" w:hanging="425"/>
      </w:pPr>
      <w:r w:rsidRPr="00154F1D">
        <w:t>ability to understand the substantial effect of any evidence;</w:t>
      </w:r>
    </w:p>
    <w:p w14:paraId="40915699" w14:textId="0ADC3DB3" w:rsidR="00805558" w:rsidRPr="00154F1D" w:rsidRDefault="00805558" w:rsidP="003F1B8F">
      <w:pPr>
        <w:pStyle w:val="DotPointTLRI"/>
        <w:ind w:left="851" w:hanging="425"/>
      </w:pPr>
      <w:r w:rsidRPr="00154F1D">
        <w:t>ability to make a defence or answer to the charge;</w:t>
      </w:r>
    </w:p>
    <w:p w14:paraId="4453AE58" w14:textId="7C48B785" w:rsidR="00805558" w:rsidRPr="00154F1D" w:rsidRDefault="00805558" w:rsidP="003F1B8F">
      <w:pPr>
        <w:pStyle w:val="DotPointTLRI"/>
        <w:ind w:left="851" w:hanging="425"/>
      </w:pPr>
      <w:r w:rsidRPr="00154F1D">
        <w:t>ability to instruct counsel.</w:t>
      </w:r>
    </w:p>
    <w:p w14:paraId="579DE179" w14:textId="0B7B8516" w:rsidR="00B076D7" w:rsidRPr="00154F1D" w:rsidRDefault="00C34379" w:rsidP="004C6DBB">
      <w:pPr>
        <w:pStyle w:val="NormalNumberedTextTLRI"/>
        <w:numPr>
          <w:ilvl w:val="0"/>
          <w:numId w:val="0"/>
        </w:numPr>
      </w:pPr>
      <w:r w:rsidRPr="00154F1D">
        <w:t xml:space="preserve">In order to be unfit to stand trial, an </w:t>
      </w:r>
      <w:r w:rsidR="0065769D">
        <w:t>accused</w:t>
      </w:r>
      <w:r w:rsidR="0065769D" w:rsidRPr="00154F1D">
        <w:t xml:space="preserve"> </w:t>
      </w:r>
      <w:r w:rsidRPr="00154F1D">
        <w:t>only needs to satisfy one of the criteria</w:t>
      </w:r>
      <w:r w:rsidR="00EE42A7" w:rsidRPr="00154F1D">
        <w:t xml:space="preserve">, </w:t>
      </w:r>
      <w:r w:rsidRPr="00154F1D">
        <w:t>set out above</w:t>
      </w:r>
      <w:r w:rsidR="00ED6886" w:rsidRPr="00154F1D">
        <w:t xml:space="preserve">, as each </w:t>
      </w:r>
      <w:r w:rsidR="00267FD6" w:rsidRPr="00154F1D">
        <w:t>criterion</w:t>
      </w:r>
      <w:r w:rsidR="00ED6886" w:rsidRPr="00154F1D">
        <w:t xml:space="preserve"> stand</w:t>
      </w:r>
      <w:r w:rsidR="00267FD6" w:rsidRPr="00154F1D">
        <w:t>s</w:t>
      </w:r>
      <w:r w:rsidR="00ED6886" w:rsidRPr="00154F1D">
        <w:t xml:space="preserve"> alone. </w:t>
      </w:r>
    </w:p>
    <w:p w14:paraId="037234DF" w14:textId="56B69DB7" w:rsidR="00C63FE2" w:rsidRPr="00154F1D" w:rsidRDefault="00EE42A7" w:rsidP="00AF5F07">
      <w:pPr>
        <w:pStyle w:val="NormalNumberedTextTLRI"/>
        <w:spacing w:after="120"/>
      </w:pPr>
      <w:r w:rsidRPr="00154F1D">
        <w:t>In Tasmania, t</w:t>
      </w:r>
      <w:r w:rsidR="00F63C81" w:rsidRPr="00154F1D">
        <w:t xml:space="preserve">here is little case law that has </w:t>
      </w:r>
      <w:r w:rsidR="00C9643C" w:rsidRPr="00154F1D">
        <w:t>considered the operation of the test. However, guidance can be sought from other jurisdictions</w:t>
      </w:r>
      <w:r w:rsidR="001A0328" w:rsidRPr="00154F1D">
        <w:t xml:space="preserve"> as indicated in the following extract from the DPP’s prosecution guidelines:</w:t>
      </w:r>
    </w:p>
    <w:p w14:paraId="5A7F5C86" w14:textId="5B5E27E4" w:rsidR="001A0328" w:rsidRPr="00154F1D" w:rsidRDefault="001A0328" w:rsidP="00D97283">
      <w:pPr>
        <w:pStyle w:val="QuoteTLRI"/>
        <w:spacing w:after="120"/>
        <w:ind w:right="788"/>
        <w:rPr>
          <w:lang w:val="en-US"/>
        </w:rPr>
      </w:pPr>
      <w:r w:rsidRPr="00154F1D">
        <w:rPr>
          <w:lang w:val="en-US"/>
        </w:rPr>
        <w:t xml:space="preserve">Where fitness to stand trial is an issue requiring investigation, the principles discussed by Smith J in </w:t>
      </w:r>
      <w:r w:rsidRPr="00154F1D">
        <w:rPr>
          <w:i/>
          <w:iCs/>
          <w:lang w:val="en-US"/>
        </w:rPr>
        <w:t xml:space="preserve">R v Presser </w:t>
      </w:r>
      <w:r w:rsidRPr="00154F1D">
        <w:rPr>
          <w:lang w:val="en-US"/>
        </w:rPr>
        <w:t xml:space="preserve">[1958] VR 45 at 48; [1958] ALR 248 cited with approval in </w:t>
      </w:r>
      <w:r w:rsidRPr="00154F1D">
        <w:rPr>
          <w:i/>
          <w:iCs/>
          <w:lang w:val="en-US"/>
        </w:rPr>
        <w:t xml:space="preserve">Ngatayi v R </w:t>
      </w:r>
      <w:r w:rsidRPr="00154F1D">
        <w:rPr>
          <w:lang w:val="en-US"/>
        </w:rPr>
        <w:t>(1980) 147 CLR 1 at 8, are of consequence when considering the criteria laid out in s 8:</w:t>
      </w:r>
    </w:p>
    <w:p w14:paraId="00E8162C" w14:textId="29E918D5" w:rsidR="001A0328" w:rsidRPr="00154F1D" w:rsidRDefault="001A0328" w:rsidP="000F2E2F">
      <w:pPr>
        <w:pStyle w:val="SecondLevelofQuoteTLRI"/>
        <w:spacing w:after="120" w:line="271" w:lineRule="auto"/>
        <w:ind w:left="1134" w:right="1218"/>
        <w:rPr>
          <w:lang w:val="en-US"/>
        </w:rPr>
      </w:pPr>
      <w:r w:rsidRPr="00154F1D">
        <w:rPr>
          <w:lang w:val="en-US"/>
        </w:rPr>
        <w:t xml:space="preserve">A mere lack of formal education, a mere lack of familiarity with court forms and procedures, would not, of course, render a man unfit to be tried, but he may, upon the test of fitness for the purposes of the section that has been laid down in the cases, be held unfit to be tried when he is far from being insane in the colloquial sense. Dixon, J, as he then was, mentioned in </w:t>
      </w:r>
      <w:r w:rsidRPr="00154F1D">
        <w:rPr>
          <w:i/>
          <w:iCs/>
          <w:lang w:val="en-US"/>
        </w:rPr>
        <w:t xml:space="preserve">Sinclair v R </w:t>
      </w:r>
      <w:r w:rsidRPr="00154F1D">
        <w:rPr>
          <w:lang w:val="en-US"/>
        </w:rPr>
        <w:t>(1946) 73 CLR 316, that it does not seem to have been noticed by the text writers how high a degree of intelligence the test might demand if it were literally applied. But he is not there, in my view, suggesting that it should be applied in any extreme sense, or in any over-literal sense. It needs, I think, to be applied in a reasonable and commonsense fashion. And the question, I consider, is whether the accused, because of mental defect, fails to come up to certain minimum standards which he needs to equal before he can be tried without unfairness or injustice to him.</w:t>
      </w:r>
    </w:p>
    <w:p w14:paraId="62A752AD" w14:textId="103CB414" w:rsidR="001A0328" w:rsidRPr="00154F1D" w:rsidRDefault="001A0328" w:rsidP="000F2E2F">
      <w:pPr>
        <w:pStyle w:val="SecondLevelofQuoteTLRI"/>
        <w:spacing w:line="271" w:lineRule="auto"/>
        <w:ind w:left="1134" w:right="1218"/>
        <w:rPr>
          <w:lang w:val="en-US"/>
        </w:rPr>
      </w:pPr>
      <w:r w:rsidRPr="00154F1D">
        <w:rPr>
          <w:lang w:val="en-US"/>
        </w:rPr>
        <w:t>He needs, I think, to be able to understand what it is that he is charged with. He needs to be able to plead to the charge and to exercise his right of challenge. He needs to understand generally the nature of the proceeding, namely, that it is an inquiry as to whether he did what he is charged with. He needs to be able to follow the course of the proceedings so as to understand what is going on in court in a general sense, though he need not, of course, understand the purpose of all the various court formalities. He needs to be able to understand, I think, the substantial effect of any evidence that may be given against him; and he needs to be able to make his defence or answer to the charge. Where he has counsel he needs to be able to do this through his counsel by giving any necessary instructions and by letting his counsel know what his version of the facts is and, if necessary, telling the court what it is. He need not, of course, be conversant with court procedure and he need not have the mental capacity to make an able defence; but he must, I think, have sufficient capacity to be able to decide what defence he will rely upon and to make his defence and his version of the facts known to the court and to his counsel, if any.</w:t>
      </w:r>
      <w:r w:rsidR="00615A90" w:rsidRPr="00154F1D">
        <w:rPr>
          <w:lang w:val="en-US"/>
        </w:rPr>
        <w:t>’</w:t>
      </w:r>
      <w:bookmarkStart w:id="80" w:name="_Ref535010444"/>
      <w:r w:rsidRPr="00154F1D">
        <w:rPr>
          <w:rStyle w:val="FootnoteReference"/>
          <w:lang w:val="en-US"/>
        </w:rPr>
        <w:footnoteReference w:id="113"/>
      </w:r>
      <w:bookmarkEnd w:id="80"/>
      <w:r w:rsidRPr="00154F1D">
        <w:rPr>
          <w:lang w:val="en-US"/>
        </w:rPr>
        <w:t> </w:t>
      </w:r>
    </w:p>
    <w:p w14:paraId="45C1BE1B" w14:textId="6BF6A74F" w:rsidR="008956EB" w:rsidRPr="00154F1D" w:rsidRDefault="008956EB" w:rsidP="00744FAA">
      <w:pPr>
        <w:pStyle w:val="NormalNumberedTextTLRI"/>
      </w:pPr>
      <w:r w:rsidRPr="00154F1D">
        <w:t xml:space="preserve">Although there is no express reference in the Tasmanian provision </w:t>
      </w:r>
      <w:r w:rsidR="00850451" w:rsidRPr="00154F1D">
        <w:t>to the requirement that</w:t>
      </w:r>
      <w:r w:rsidRPr="00154F1D">
        <w:t xml:space="preserve"> the accused be able to give evidence, provide an account of his or her version of the facts or provide instructions to a legal practitioner, these requirements would appear to be included in the requirement that the </w:t>
      </w:r>
      <w:r w:rsidR="0065769D">
        <w:t>accused</w:t>
      </w:r>
      <w:r w:rsidR="0065769D" w:rsidRPr="00154F1D">
        <w:t xml:space="preserve"> </w:t>
      </w:r>
      <w:r w:rsidRPr="00154F1D">
        <w:t>be able to make a defence.</w:t>
      </w:r>
      <w:r w:rsidRPr="00154F1D">
        <w:rPr>
          <w:rStyle w:val="FootnoteReference"/>
        </w:rPr>
        <w:footnoteReference w:id="114"/>
      </w:r>
      <w:r w:rsidRPr="00154F1D">
        <w:t xml:space="preserve"> Similarly, there is no requirement in the Tasmanian provision for a</w:t>
      </w:r>
      <w:r w:rsidR="0065769D">
        <w:t xml:space="preserve"> person</w:t>
      </w:r>
      <w:r w:rsidRPr="00154F1D">
        <w:t xml:space="preserve"> to understand the substantial effect of the evidence. However, the requirement that </w:t>
      </w:r>
      <w:r w:rsidR="0065769D">
        <w:t>a person</w:t>
      </w:r>
      <w:r w:rsidRPr="00154F1D">
        <w:t xml:space="preserve"> follow the course of the proceedings has been interpreted to mean that the defend</w:t>
      </w:r>
      <w:r w:rsidR="00F85BBC" w:rsidRPr="00154F1D">
        <w:t>ant</w:t>
      </w:r>
      <w:r w:rsidRPr="00154F1D">
        <w:t xml:space="preserve"> is able to follow the evidence: ‘The accused must have at least a rudimentary understanding of the reception of evidence adverse to him, whether orally or by exhibits’.</w:t>
      </w:r>
      <w:r w:rsidRPr="00154F1D">
        <w:rPr>
          <w:rStyle w:val="FootnoteReference"/>
        </w:rPr>
        <w:footnoteReference w:id="115"/>
      </w:r>
    </w:p>
    <w:p w14:paraId="6CFB5DDE" w14:textId="75295028" w:rsidR="00B076D7" w:rsidRPr="00154F1D" w:rsidRDefault="00EE42A7" w:rsidP="00AF5F07">
      <w:pPr>
        <w:pStyle w:val="NormalNumberedTextTLRI"/>
        <w:spacing w:after="120"/>
      </w:pPr>
      <w:r w:rsidRPr="00154F1D">
        <w:t>The</w:t>
      </w:r>
      <w:r w:rsidR="001A0328" w:rsidRPr="00154F1D">
        <w:t xml:space="preserve"> </w:t>
      </w:r>
      <w:r w:rsidR="008956EB" w:rsidRPr="00154F1D">
        <w:t xml:space="preserve">DPP’s </w:t>
      </w:r>
      <w:r w:rsidR="001A0328" w:rsidRPr="00154F1D">
        <w:t xml:space="preserve">guidelines </w:t>
      </w:r>
      <w:r w:rsidRPr="00154F1D">
        <w:t xml:space="preserve">also </w:t>
      </w:r>
      <w:r w:rsidR="001A0328" w:rsidRPr="00154F1D">
        <w:t>recognise the need for the court</w:t>
      </w:r>
      <w:r w:rsidR="0034515B" w:rsidRPr="00154F1D">
        <w:t xml:space="preserve">, in making an assessment of whether an </w:t>
      </w:r>
      <w:r w:rsidR="0065769D">
        <w:t>individual</w:t>
      </w:r>
      <w:r w:rsidR="0065769D" w:rsidRPr="00154F1D">
        <w:t xml:space="preserve"> </w:t>
      </w:r>
      <w:r w:rsidR="0034515B" w:rsidRPr="00154F1D">
        <w:t>is fit to stand trial</w:t>
      </w:r>
      <w:r w:rsidR="001C6FE1" w:rsidRPr="00154F1D">
        <w:t>,</w:t>
      </w:r>
      <w:r w:rsidR="001A0328" w:rsidRPr="00154F1D">
        <w:t xml:space="preserve"> to take account of any accommodations that can be made to enable </w:t>
      </w:r>
      <w:r w:rsidR="0065769D">
        <w:t>a person</w:t>
      </w:r>
      <w:r w:rsidR="001A0328" w:rsidRPr="00154F1D">
        <w:t xml:space="preserve"> to participate in the trial process</w:t>
      </w:r>
      <w:r w:rsidR="00B076D7" w:rsidRPr="00154F1D">
        <w:t>. These include accommodation</w:t>
      </w:r>
      <w:r w:rsidR="00F85BBC" w:rsidRPr="00154F1D">
        <w:t>s</w:t>
      </w:r>
      <w:r w:rsidR="00B076D7" w:rsidRPr="00154F1D">
        <w:t xml:space="preserve"> </w:t>
      </w:r>
      <w:r w:rsidR="000F2E2F">
        <w:t>such as</w:t>
      </w:r>
      <w:r w:rsidR="001A0328" w:rsidRPr="00154F1D">
        <w:t xml:space="preserve"> ‘regular breaks, slowing the pace of proceedings, monitoring the type and length of questioning </w:t>
      </w:r>
      <w:r w:rsidR="00F85BBC" w:rsidRPr="00154F1D">
        <w:t xml:space="preserve">of </w:t>
      </w:r>
      <w:r w:rsidR="001A0328" w:rsidRPr="00154F1D">
        <w:t>witnesses, including the defendant, and allowing for adjournments where necessary’.</w:t>
      </w:r>
      <w:r w:rsidR="001A0328" w:rsidRPr="00154F1D">
        <w:rPr>
          <w:rStyle w:val="FootnoteReference"/>
          <w:lang w:eastAsia="ja-JP"/>
        </w:rPr>
        <w:footnoteReference w:id="116"/>
      </w:r>
      <w:r w:rsidR="000F2E2F">
        <w:t xml:space="preserve"> </w:t>
      </w:r>
      <w:r w:rsidR="00B076D7" w:rsidRPr="00154F1D">
        <w:t xml:space="preserve">This reflects Australian case law that has accepted the availability of support as a relevant factor in the determination of whether someone is unfit to stand trial. In </w:t>
      </w:r>
      <w:r w:rsidR="00B076D7" w:rsidRPr="00154F1D">
        <w:rPr>
          <w:i/>
        </w:rPr>
        <w:t>R v Fisher</w:t>
      </w:r>
      <w:r w:rsidR="00B076D7" w:rsidRPr="00154F1D">
        <w:t>,</w:t>
      </w:r>
      <w:r w:rsidR="00B076D7" w:rsidRPr="00154F1D">
        <w:rPr>
          <w:rStyle w:val="FootnoteReference"/>
        </w:rPr>
        <w:footnoteReference w:id="117"/>
      </w:r>
      <w:r w:rsidR="00B076D7" w:rsidRPr="00154F1D">
        <w:t xml:space="preserve"> Refshauge J </w:t>
      </w:r>
      <w:r w:rsidR="00F85BBC" w:rsidRPr="00154F1D">
        <w:t xml:space="preserve">stated </w:t>
      </w:r>
      <w:r w:rsidR="00B076D7" w:rsidRPr="00154F1D">
        <w:t>that:</w:t>
      </w:r>
    </w:p>
    <w:p w14:paraId="018D6727" w14:textId="310FD61D" w:rsidR="001A0328" w:rsidRPr="00154F1D" w:rsidRDefault="00B076D7" w:rsidP="0074267A">
      <w:pPr>
        <w:pStyle w:val="QuoteTLRI"/>
        <w:rPr>
          <w:rFonts w:eastAsia="Times New Roman"/>
          <w:sz w:val="22"/>
          <w:szCs w:val="24"/>
        </w:rPr>
      </w:pPr>
      <w:r w:rsidRPr="00154F1D">
        <w:t xml:space="preserve">Where steps can reasonably be taken to accommodate the difficulties of the accused, including adjournments, </w:t>
      </w:r>
      <w:r w:rsidR="00D2156E" w:rsidRPr="00154F1D">
        <w:t>‘</w:t>
      </w:r>
      <w:r w:rsidRPr="00154F1D">
        <w:t>one-on-one</w:t>
      </w:r>
      <w:r w:rsidR="00D2156E" w:rsidRPr="00154F1D">
        <w:t>’</w:t>
      </w:r>
      <w:r w:rsidRPr="00154F1D">
        <w:t xml:space="preserve"> assistance to follow the proceedings, insistence on brief, clear questions to the accused if he or she is examined on oath, an opportunity for the accused to narrate his or her version of events without interruption and the like</w:t>
      </w:r>
      <w:r w:rsidR="00F85BBC" w:rsidRPr="00154F1D">
        <w:t>,</w:t>
      </w:r>
      <w:r w:rsidRPr="00154F1D">
        <w:t xml:space="preserve"> the implementation of these will mean the accused is not unfit to plead: </w:t>
      </w:r>
      <w:r w:rsidRPr="00154F1D">
        <w:rPr>
          <w:i/>
        </w:rPr>
        <w:t>Kesavarajah v The Queen</w:t>
      </w:r>
      <w:r w:rsidR="00D2156E" w:rsidRPr="00154F1D">
        <w:rPr>
          <w:i/>
        </w:rPr>
        <w:t xml:space="preserve"> </w:t>
      </w:r>
      <w:r w:rsidRPr="00154F1D">
        <w:t xml:space="preserve">(1994) 181 CLR 230 at 246; 111, </w:t>
      </w:r>
      <w:r w:rsidRPr="00154F1D">
        <w:rPr>
          <w:i/>
        </w:rPr>
        <w:t>R v Smith</w:t>
      </w:r>
      <w:r w:rsidRPr="00154F1D">
        <w:t xml:space="preserve"> [2008] NSWDC 23 at [36]; </w:t>
      </w:r>
      <w:r w:rsidRPr="00154F1D">
        <w:rPr>
          <w:i/>
        </w:rPr>
        <w:t>R v Tuigamala </w:t>
      </w:r>
      <w:r w:rsidRPr="00154F1D">
        <w:t>[2007] NSWSC 493 at [22].</w:t>
      </w:r>
      <w:r w:rsidRPr="00154F1D">
        <w:rPr>
          <w:rStyle w:val="FootnoteReference"/>
          <w:lang w:val="en-US"/>
        </w:rPr>
        <w:footnoteReference w:id="118"/>
      </w:r>
    </w:p>
    <w:p w14:paraId="5AD0E611" w14:textId="6FA06081" w:rsidR="00617598" w:rsidRPr="00154F1D" w:rsidRDefault="000B7247" w:rsidP="00D80045">
      <w:pPr>
        <w:pStyle w:val="NumberedHeadingTLRI"/>
      </w:pPr>
      <w:bookmarkStart w:id="81" w:name="_Toc535868929"/>
      <w:r w:rsidRPr="00154F1D">
        <w:t xml:space="preserve">The test </w:t>
      </w:r>
      <w:r w:rsidR="00547923" w:rsidRPr="00154F1D">
        <w:t xml:space="preserve">for </w:t>
      </w:r>
      <w:r w:rsidRPr="00154F1D">
        <w:t xml:space="preserve">determining unfitness to stand trial: </w:t>
      </w:r>
      <w:r w:rsidR="00617598" w:rsidRPr="00154F1D">
        <w:t>The position in other jurisdictions</w:t>
      </w:r>
      <w:bookmarkEnd w:id="81"/>
    </w:p>
    <w:p w14:paraId="05DD6661" w14:textId="56BD8CDB" w:rsidR="009437BD" w:rsidRPr="00154F1D" w:rsidRDefault="00D83F1F" w:rsidP="00744FAA">
      <w:pPr>
        <w:pStyle w:val="NormalNumberedTextTLRI"/>
      </w:pPr>
      <w:r w:rsidRPr="00154F1D">
        <w:t xml:space="preserve">All </w:t>
      </w:r>
      <w:r w:rsidR="007C34A4" w:rsidRPr="00154F1D">
        <w:t>Australian</w:t>
      </w:r>
      <w:r w:rsidRPr="00154F1D">
        <w:t xml:space="preserve"> juris</w:t>
      </w:r>
      <w:r w:rsidR="007C34A4" w:rsidRPr="00154F1D">
        <w:t xml:space="preserve">dictions have legislation dealing with fitness to stand trial, </w:t>
      </w:r>
      <w:r w:rsidR="00267FD6" w:rsidRPr="00154F1D">
        <w:t>and</w:t>
      </w:r>
      <w:r w:rsidR="007C34A4" w:rsidRPr="00154F1D">
        <w:t xml:space="preserve"> a</w:t>
      </w:r>
      <w:r w:rsidR="00EC5F62" w:rsidRPr="00154F1D">
        <w:t xml:space="preserve">lthough there </w:t>
      </w:r>
      <w:r w:rsidR="00FF3495" w:rsidRPr="00154F1D">
        <w:t>are</w:t>
      </w:r>
      <w:r w:rsidR="00EC5F62" w:rsidRPr="00154F1D">
        <w:t xml:space="preserve"> some variations</w:t>
      </w:r>
      <w:r w:rsidR="007C34A4" w:rsidRPr="00154F1D">
        <w:t>,</w:t>
      </w:r>
      <w:r w:rsidR="00267FD6" w:rsidRPr="00154F1D">
        <w:t xml:space="preserve"> </w:t>
      </w:r>
      <w:r w:rsidR="007C34A4" w:rsidRPr="00154F1D">
        <w:t xml:space="preserve">the criteria are </w:t>
      </w:r>
      <w:r w:rsidR="00805558" w:rsidRPr="00154F1D">
        <w:t xml:space="preserve">broadly similar </w:t>
      </w:r>
      <w:r w:rsidR="00267FD6" w:rsidRPr="00154F1D">
        <w:t xml:space="preserve">to </w:t>
      </w:r>
      <w:r w:rsidR="00805558" w:rsidRPr="00154F1D">
        <w:t xml:space="preserve">the </w:t>
      </w:r>
      <w:r w:rsidR="00805558" w:rsidRPr="00154F1D">
        <w:rPr>
          <w:i/>
        </w:rPr>
        <w:t>Presser</w:t>
      </w:r>
      <w:r w:rsidR="00805558" w:rsidRPr="00154F1D">
        <w:t xml:space="preserve"> criteria</w:t>
      </w:r>
      <w:r w:rsidR="00EE42A7" w:rsidRPr="00154F1D">
        <w:t xml:space="preserve"> (as set out at </w:t>
      </w:r>
      <w:r w:rsidR="003C1F28" w:rsidRPr="00154F1D">
        <w:t>[</w:t>
      </w:r>
      <w:r w:rsidR="003C1F28" w:rsidRPr="00154F1D">
        <w:fldChar w:fldCharType="begin"/>
      </w:r>
      <w:r w:rsidR="003C1F28" w:rsidRPr="00154F1D">
        <w:instrText xml:space="preserve"> REF _Ref535010544 \r \h  \* MERGEFORMAT </w:instrText>
      </w:r>
      <w:r w:rsidR="003C1F28" w:rsidRPr="00154F1D">
        <w:fldChar w:fldCharType="separate"/>
      </w:r>
      <w:r w:rsidR="001F209C">
        <w:t>4.2.2</w:t>
      </w:r>
      <w:r w:rsidR="003C1F28" w:rsidRPr="00154F1D">
        <w:fldChar w:fldCharType="end"/>
      </w:r>
      <w:r w:rsidR="003C1F28" w:rsidRPr="00154F1D">
        <w:t>]</w:t>
      </w:r>
      <w:r w:rsidR="00EE42A7" w:rsidRPr="00154F1D">
        <w:t>)</w:t>
      </w:r>
      <w:r w:rsidR="00805558" w:rsidRPr="00154F1D">
        <w:t>.</w:t>
      </w:r>
      <w:r w:rsidR="00805558" w:rsidRPr="00154F1D">
        <w:rPr>
          <w:rStyle w:val="FootnoteReference"/>
        </w:rPr>
        <w:footnoteReference w:id="119"/>
      </w:r>
      <w:r w:rsidR="007C34A4" w:rsidRPr="00154F1D">
        <w:t xml:space="preserve"> This </w:t>
      </w:r>
      <w:r w:rsidR="00EE42A7" w:rsidRPr="00154F1D">
        <w:t>is also the approach</w:t>
      </w:r>
      <w:r w:rsidR="00EC5F62" w:rsidRPr="00154F1D">
        <w:t xml:space="preserve"> in the </w:t>
      </w:r>
      <w:r w:rsidR="007C34A4" w:rsidRPr="00154F1D">
        <w:t>England and Wales</w:t>
      </w:r>
      <w:r w:rsidR="00EC5F62" w:rsidRPr="00154F1D">
        <w:t xml:space="preserve"> </w:t>
      </w:r>
      <w:r w:rsidR="007C34A4" w:rsidRPr="00154F1D">
        <w:t>and New Zealand.</w:t>
      </w:r>
      <w:r w:rsidR="004B791B" w:rsidRPr="00154F1D">
        <w:rPr>
          <w:rStyle w:val="FootnoteReference"/>
        </w:rPr>
        <w:footnoteReference w:id="120"/>
      </w:r>
      <w:r w:rsidR="007C34A4" w:rsidRPr="00154F1D">
        <w:t xml:space="preserve"> </w:t>
      </w:r>
      <w:r w:rsidR="003C560A" w:rsidRPr="00154F1D">
        <w:t>The</w:t>
      </w:r>
      <w:r w:rsidR="00267FD6" w:rsidRPr="00154F1D">
        <w:t xml:space="preserve">se factors focus on an </w:t>
      </w:r>
      <w:r w:rsidR="0065769D">
        <w:t>accused</w:t>
      </w:r>
      <w:r w:rsidR="0065769D" w:rsidRPr="00154F1D">
        <w:t xml:space="preserve">’s </w:t>
      </w:r>
      <w:r w:rsidR="00267FD6" w:rsidRPr="00154F1D">
        <w:t>cognitive capacity, particularly the capacity to ‘understand, comprehend and assist counsel, in order to allow a satisfactory level of participation in the court process’.</w:t>
      </w:r>
      <w:r w:rsidR="00267FD6" w:rsidRPr="00154F1D">
        <w:rPr>
          <w:rStyle w:val="FootnoteReference"/>
        </w:rPr>
        <w:footnoteReference w:id="121"/>
      </w:r>
      <w:r w:rsidR="00267FD6" w:rsidRPr="00154F1D">
        <w:t xml:space="preserve"> </w:t>
      </w:r>
      <w:r w:rsidR="00190C66" w:rsidRPr="00154F1D">
        <w:t xml:space="preserve">The test </w:t>
      </w:r>
      <w:r w:rsidR="003C560A" w:rsidRPr="00154F1D">
        <w:t xml:space="preserve">is not concerned with </w:t>
      </w:r>
      <w:r w:rsidR="0003383C" w:rsidRPr="00154F1D">
        <w:t xml:space="preserve">whether </w:t>
      </w:r>
      <w:r w:rsidR="00190C66" w:rsidRPr="00154F1D">
        <w:t>a</w:t>
      </w:r>
      <w:r w:rsidR="0003383C" w:rsidRPr="00154F1D">
        <w:t xml:space="preserve"> person is able to</w:t>
      </w:r>
      <w:r w:rsidR="003C560A" w:rsidRPr="00154F1D">
        <w:t xml:space="preserve"> act in </w:t>
      </w:r>
      <w:r w:rsidR="0003383C" w:rsidRPr="00154F1D">
        <w:t>their best interest</w:t>
      </w:r>
      <w:r w:rsidR="003C560A" w:rsidRPr="00154F1D">
        <w:t>s</w:t>
      </w:r>
      <w:r w:rsidR="0003383C" w:rsidRPr="00154F1D">
        <w:t xml:space="preserve"> or engage in rational decision</w:t>
      </w:r>
      <w:r w:rsidR="003C1F28" w:rsidRPr="00154F1D">
        <w:t>-</w:t>
      </w:r>
      <w:r w:rsidR="0003383C" w:rsidRPr="00154F1D">
        <w:t>making.</w:t>
      </w:r>
      <w:bookmarkStart w:id="82" w:name="_Ref535065725"/>
      <w:r w:rsidR="0003383C" w:rsidRPr="00154F1D">
        <w:rPr>
          <w:rStyle w:val="FootnoteReference"/>
        </w:rPr>
        <w:footnoteReference w:id="122"/>
      </w:r>
      <w:bookmarkEnd w:id="82"/>
      <w:r w:rsidR="00231834" w:rsidRPr="00154F1D">
        <w:t xml:space="preserve"> </w:t>
      </w:r>
      <w:r w:rsidR="00EE42A7" w:rsidRPr="00154F1D">
        <w:t xml:space="preserve">However, it is noted </w:t>
      </w:r>
      <w:r w:rsidR="00B8043B">
        <w:t>the position in South Australia provides and exception to this in that</w:t>
      </w:r>
      <w:r w:rsidR="0088483E" w:rsidRPr="00154F1D">
        <w:t xml:space="preserve"> the test for fitness set out in the </w:t>
      </w:r>
      <w:r w:rsidR="0088483E" w:rsidRPr="00154F1D">
        <w:rPr>
          <w:i/>
        </w:rPr>
        <w:t>Criminal Law Consolidation Act</w:t>
      </w:r>
      <w:r w:rsidR="0088483E" w:rsidRPr="00154F1D">
        <w:t xml:space="preserve"> (SA) s 269H</w:t>
      </w:r>
      <w:r w:rsidR="007C1606" w:rsidRPr="00154F1D">
        <w:t xml:space="preserve"> provides that the accused is mentally unfit to stand trial if his or her mental processes are so disordered or impaired that he or she is unable to:</w:t>
      </w:r>
    </w:p>
    <w:p w14:paraId="3D5355E1" w14:textId="56CB22C1" w:rsidR="007C1606" w:rsidRPr="00154F1D" w:rsidRDefault="007C1606" w:rsidP="00924DE9">
      <w:pPr>
        <w:pStyle w:val="DotPointTLRI"/>
        <w:ind w:left="851" w:hanging="425"/>
      </w:pPr>
      <w:r w:rsidRPr="00154F1D">
        <w:t xml:space="preserve">understand, or respond </w:t>
      </w:r>
      <w:r w:rsidRPr="00154F1D">
        <w:rPr>
          <w:i/>
        </w:rPr>
        <w:t>rationally</w:t>
      </w:r>
      <w:r w:rsidRPr="00154F1D">
        <w:t xml:space="preserve">, to the charge or allegations </w:t>
      </w:r>
      <w:r w:rsidR="00AF4D7B">
        <w:t>o</w:t>
      </w:r>
      <w:r w:rsidR="00AF4D7B" w:rsidRPr="00154F1D">
        <w:t xml:space="preserve">n </w:t>
      </w:r>
      <w:r w:rsidRPr="00154F1D">
        <w:t>which the charge is based; or</w:t>
      </w:r>
    </w:p>
    <w:p w14:paraId="694B4EE6" w14:textId="1526B6AA" w:rsidR="007C1606" w:rsidRPr="00154F1D" w:rsidRDefault="004870EC" w:rsidP="00924DE9">
      <w:pPr>
        <w:pStyle w:val="DotPointTLRI"/>
        <w:ind w:left="851" w:hanging="425"/>
      </w:pPr>
      <w:r w:rsidRPr="00154F1D">
        <w:t xml:space="preserve">exercise </w:t>
      </w:r>
      <w:r w:rsidR="007C1606" w:rsidRPr="00154F1D">
        <w:t xml:space="preserve">or give </w:t>
      </w:r>
      <w:r w:rsidR="007C1606" w:rsidRPr="00154F1D">
        <w:rPr>
          <w:i/>
        </w:rPr>
        <w:t>rational</w:t>
      </w:r>
      <w:r w:rsidR="007C1606" w:rsidRPr="00154F1D">
        <w:t xml:space="preserve"> instructions about the exercise of procedural rights (such as, for example, the right to challenge jurors); or</w:t>
      </w:r>
    </w:p>
    <w:p w14:paraId="3375AC10" w14:textId="33445A05" w:rsidR="007C1606" w:rsidRPr="00154F1D" w:rsidRDefault="007C1606" w:rsidP="00924DE9">
      <w:pPr>
        <w:pStyle w:val="DotPointTLRI"/>
        <w:ind w:left="851" w:hanging="425"/>
        <w:outlineLvl w:val="0"/>
      </w:pPr>
      <w:r w:rsidRPr="00154F1D">
        <w:t>understand the nature of the proceedings, or to follow the evidence or the course of the proceedings</w:t>
      </w:r>
      <w:r w:rsidR="00850451" w:rsidRPr="00154F1D">
        <w:t>.</w:t>
      </w:r>
      <w:r w:rsidRPr="00154F1D">
        <w:rPr>
          <w:rStyle w:val="FootnoteReference"/>
        </w:rPr>
        <w:footnoteReference w:id="123"/>
      </w:r>
    </w:p>
    <w:p w14:paraId="00665C60" w14:textId="0CDF1593" w:rsidR="00ED6886" w:rsidRPr="00154F1D" w:rsidRDefault="0023213C" w:rsidP="00D80045">
      <w:pPr>
        <w:pStyle w:val="NumberedHeadingTLRI"/>
      </w:pPr>
      <w:bookmarkStart w:id="83" w:name="_Toc535868930"/>
      <w:r w:rsidRPr="00154F1D">
        <w:t>Issues for consideration</w:t>
      </w:r>
      <w:bookmarkEnd w:id="83"/>
    </w:p>
    <w:p w14:paraId="17161B99" w14:textId="19CEC670" w:rsidR="00E81011" w:rsidRPr="00154F1D" w:rsidRDefault="00E81011" w:rsidP="00601522">
      <w:pPr>
        <w:pStyle w:val="Sub-HeadingTLRI"/>
      </w:pPr>
      <w:bookmarkStart w:id="84" w:name="_Toc535868931"/>
      <w:r w:rsidRPr="00154F1D">
        <w:t>Abolishing fitness to stand trial</w:t>
      </w:r>
      <w:bookmarkEnd w:id="84"/>
    </w:p>
    <w:p w14:paraId="63873428" w14:textId="789413BD" w:rsidR="00213C47" w:rsidRPr="00154F1D" w:rsidRDefault="00AF4652" w:rsidP="00744FAA">
      <w:pPr>
        <w:pStyle w:val="NormalNumberedTextTLRI"/>
      </w:pPr>
      <w:r w:rsidRPr="00154F1D">
        <w:t>S</w:t>
      </w:r>
      <w:r w:rsidR="00213C47" w:rsidRPr="00154F1D">
        <w:t xml:space="preserve">ome commentators have argued that </w:t>
      </w:r>
      <w:r w:rsidRPr="00154F1D">
        <w:t>fitness to stand trial should be abolished in order</w:t>
      </w:r>
      <w:r w:rsidR="00213C47" w:rsidRPr="00154F1D">
        <w:t xml:space="preserve"> to </w:t>
      </w:r>
      <w:r w:rsidR="00926CF1" w:rsidRPr="00154F1D">
        <w:t xml:space="preserve">accord with the requirements of the </w:t>
      </w:r>
      <w:r w:rsidR="00926CF1" w:rsidRPr="00154F1D">
        <w:rPr>
          <w:i/>
        </w:rPr>
        <w:t>CRPD</w:t>
      </w:r>
      <w:r w:rsidR="005701F9" w:rsidRPr="00154F1D">
        <w:t>. This is on the basis that</w:t>
      </w:r>
      <w:r w:rsidR="00C67E45" w:rsidRPr="00154F1D">
        <w:t xml:space="preserve"> the adoption of a separate legal process that applies to people with a disability is inherently discriminatory</w:t>
      </w:r>
      <w:r w:rsidR="005701F9" w:rsidRPr="00154F1D">
        <w:t>.</w:t>
      </w:r>
      <w:bookmarkStart w:id="85" w:name="_Ref535056394"/>
      <w:r w:rsidR="00C67E45" w:rsidRPr="00154F1D">
        <w:rPr>
          <w:rStyle w:val="FootnoteReference"/>
        </w:rPr>
        <w:footnoteReference w:id="124"/>
      </w:r>
      <w:bookmarkEnd w:id="85"/>
      <w:r w:rsidR="00935ED0" w:rsidRPr="00154F1D">
        <w:t xml:space="preserve"> </w:t>
      </w:r>
      <w:r w:rsidR="005701F9" w:rsidRPr="00154F1D">
        <w:t xml:space="preserve">In particular, </w:t>
      </w:r>
      <w:r w:rsidRPr="00154F1D">
        <w:t>it</w:t>
      </w:r>
      <w:r w:rsidR="005701F9" w:rsidRPr="00154F1D">
        <w:t xml:space="preserve"> is </w:t>
      </w:r>
      <w:r w:rsidR="00AF3EED" w:rsidRPr="00154F1D">
        <w:t xml:space="preserve">argued that it is </w:t>
      </w:r>
      <w:r w:rsidR="005701F9" w:rsidRPr="00154F1D">
        <w:t xml:space="preserve">contrary to art 12 of the </w:t>
      </w:r>
      <w:r w:rsidR="005701F9" w:rsidRPr="00154F1D">
        <w:rPr>
          <w:i/>
        </w:rPr>
        <w:t>CRPD</w:t>
      </w:r>
      <w:r w:rsidR="005701F9" w:rsidRPr="00154F1D">
        <w:t>,</w:t>
      </w:r>
      <w:r w:rsidR="005701F9" w:rsidRPr="00154F1D">
        <w:rPr>
          <w:rStyle w:val="FootnoteReference"/>
        </w:rPr>
        <w:footnoteReference w:id="125"/>
      </w:r>
      <w:r w:rsidR="005701F9" w:rsidRPr="00154F1D">
        <w:t xml:space="preserve"> which sets out the right to ‘equal recognition before the law’ for people with disability</w:t>
      </w:r>
      <w:r w:rsidR="000263BD" w:rsidRPr="00154F1D">
        <w:t>,</w:t>
      </w:r>
      <w:bookmarkStart w:id="86" w:name="_Ref535056500"/>
      <w:r w:rsidR="005701F9" w:rsidRPr="00154F1D">
        <w:rPr>
          <w:rStyle w:val="FootnoteReference"/>
        </w:rPr>
        <w:footnoteReference w:id="126"/>
      </w:r>
      <w:bookmarkEnd w:id="86"/>
      <w:r w:rsidR="005701F9" w:rsidRPr="00154F1D">
        <w:t xml:space="preserve"> art 13 which sets out ‘the right to access to justice on an equal basis with others’</w:t>
      </w:r>
      <w:r w:rsidR="000263BD" w:rsidRPr="00154F1D">
        <w:t>,</w:t>
      </w:r>
      <w:r w:rsidR="005701F9" w:rsidRPr="00154F1D">
        <w:rPr>
          <w:rStyle w:val="FootnoteReference"/>
        </w:rPr>
        <w:footnoteReference w:id="127"/>
      </w:r>
      <w:r w:rsidR="005701F9" w:rsidRPr="00154F1D">
        <w:t xml:space="preserve"> </w:t>
      </w:r>
      <w:r w:rsidR="000263BD" w:rsidRPr="00154F1D">
        <w:t>and art 14, which prohibits the deprivation of liberty on the basis of a disability.</w:t>
      </w:r>
      <w:bookmarkStart w:id="87" w:name="_Ref535087573"/>
      <w:r w:rsidR="000263BD" w:rsidRPr="00154F1D">
        <w:rPr>
          <w:rStyle w:val="FootnoteReference"/>
        </w:rPr>
        <w:footnoteReference w:id="128"/>
      </w:r>
      <w:bookmarkEnd w:id="87"/>
      <w:r w:rsidR="00BD147A" w:rsidRPr="00154F1D">
        <w:t xml:space="preserve"> </w:t>
      </w:r>
      <w:r w:rsidR="00AF2295" w:rsidRPr="00154F1D">
        <w:t xml:space="preserve">Accordingly, the </w:t>
      </w:r>
      <w:r w:rsidR="00544005">
        <w:t xml:space="preserve">United Nations </w:t>
      </w:r>
      <w:r w:rsidR="00544005" w:rsidRPr="00154F1D">
        <w:t xml:space="preserve">Committee </w:t>
      </w:r>
      <w:r w:rsidR="00544005">
        <w:t>on the Rights of Persons with Disabilities (</w:t>
      </w:r>
      <w:r w:rsidR="00850451" w:rsidRPr="00154F1D">
        <w:t>UN</w:t>
      </w:r>
      <w:r w:rsidR="00AF2295" w:rsidRPr="00154F1D">
        <w:t>CRPD</w:t>
      </w:r>
      <w:r w:rsidR="00544005">
        <w:t>)</w:t>
      </w:r>
      <w:r w:rsidR="00AF2295" w:rsidRPr="00154F1D">
        <w:t xml:space="preserve"> ‘has directed countries to abandon the emphasis on identifying the point at which a person should be deemed unfit to plead, and instead places an obligation on </w:t>
      </w:r>
      <w:r w:rsidR="007907E8" w:rsidRPr="00154F1D">
        <w:t>S</w:t>
      </w:r>
      <w:r w:rsidR="00AF2295" w:rsidRPr="00154F1D">
        <w:t xml:space="preserve">tates </w:t>
      </w:r>
      <w:r w:rsidR="007907E8" w:rsidRPr="00154F1D">
        <w:t>P</w:t>
      </w:r>
      <w:r w:rsidR="00AF2295" w:rsidRPr="00154F1D">
        <w:t>arties to provide support to the exercise of legal capacity’.</w:t>
      </w:r>
      <w:bookmarkStart w:id="88" w:name="_Ref535748943"/>
      <w:r w:rsidR="00AF2295" w:rsidRPr="00154F1D">
        <w:rPr>
          <w:rStyle w:val="FootnoteReference"/>
        </w:rPr>
        <w:footnoteReference w:id="129"/>
      </w:r>
      <w:bookmarkEnd w:id="88"/>
      <w:r w:rsidR="00AF2295" w:rsidRPr="00154F1D">
        <w:t xml:space="preserve"> </w:t>
      </w:r>
      <w:r w:rsidR="00C67E45" w:rsidRPr="00154F1D">
        <w:t>In this context,</w:t>
      </w:r>
      <w:r w:rsidR="00213C47" w:rsidRPr="00154F1D">
        <w:t xml:space="preserve"> Minkowitz has asserted that the </w:t>
      </w:r>
      <w:r w:rsidR="00213C47" w:rsidRPr="00154F1D">
        <w:rPr>
          <w:i/>
        </w:rPr>
        <w:t>CRPD</w:t>
      </w:r>
      <w:r w:rsidR="00213C47" w:rsidRPr="00154F1D">
        <w:t>:</w:t>
      </w:r>
    </w:p>
    <w:p w14:paraId="03CC4D62" w14:textId="0564C641" w:rsidR="00213C47" w:rsidRPr="00154F1D" w:rsidRDefault="00213C47" w:rsidP="0074267A">
      <w:pPr>
        <w:pStyle w:val="QuoteTLRI"/>
      </w:pPr>
      <w:r w:rsidRPr="00154F1D">
        <w:t>Views all measure</w:t>
      </w:r>
      <w:r w:rsidR="00F85BBC" w:rsidRPr="00154F1D">
        <w:t>s</w:t>
      </w:r>
      <w:r w:rsidRPr="00154F1D">
        <w:t xml:space="preserve"> by which a person is treated unequally in legal proceedings or in the adjudication of responsibility, including the insanity defence, unfitness to plead and incompetence to stand trial, as well as the disposition to forensic psychiatric institutions, as inherently suspect and discriminatory based on disability. Therefore it is necessary to abolish these measure</w:t>
      </w:r>
      <w:r w:rsidR="00F85BBC" w:rsidRPr="00154F1D">
        <w:t>s</w:t>
      </w:r>
      <w:r w:rsidRPr="00154F1D">
        <w:t xml:space="preserve"> in order to comply with the equality and non-discrimination obligations under various provisions of the CRPD.</w:t>
      </w:r>
      <w:r w:rsidRPr="00154F1D">
        <w:rPr>
          <w:rStyle w:val="FootnoteReference"/>
        </w:rPr>
        <w:footnoteReference w:id="130"/>
      </w:r>
    </w:p>
    <w:p w14:paraId="273E6F81" w14:textId="12E0D633" w:rsidR="00217C1F" w:rsidRPr="00154F1D" w:rsidRDefault="001719C2" w:rsidP="00744FAA">
      <w:pPr>
        <w:pStyle w:val="NormalNumberedTextTLRI"/>
      </w:pPr>
      <w:r w:rsidRPr="00154F1D">
        <w:t>O</w:t>
      </w:r>
      <w:r w:rsidR="00CE030F" w:rsidRPr="00154F1D">
        <w:t xml:space="preserve">ther commentators </w:t>
      </w:r>
      <w:r w:rsidR="00176EB7" w:rsidRPr="00154F1D">
        <w:t xml:space="preserve">on the </w:t>
      </w:r>
      <w:r w:rsidR="00176EB7" w:rsidRPr="00154F1D">
        <w:rPr>
          <w:i/>
        </w:rPr>
        <w:t>CRPD</w:t>
      </w:r>
      <w:r w:rsidR="00176EB7" w:rsidRPr="00154F1D">
        <w:t xml:space="preserve"> </w:t>
      </w:r>
      <w:r w:rsidR="00CE030F" w:rsidRPr="00154F1D">
        <w:t xml:space="preserve">have </w:t>
      </w:r>
      <w:r w:rsidR="00AF3EED" w:rsidRPr="00154F1D">
        <w:t xml:space="preserve">not </w:t>
      </w:r>
      <w:r w:rsidR="00176EB7" w:rsidRPr="00154F1D">
        <w:t xml:space="preserve">gone as far as </w:t>
      </w:r>
      <w:r w:rsidR="00AF3EED" w:rsidRPr="00154F1D">
        <w:t>call</w:t>
      </w:r>
      <w:r w:rsidR="00176EB7" w:rsidRPr="00154F1D">
        <w:t>ing</w:t>
      </w:r>
      <w:r w:rsidR="00AF3EED" w:rsidRPr="00154F1D">
        <w:t xml:space="preserve"> for the abolition of the doctrine of fitness to stand trial</w:t>
      </w:r>
      <w:r w:rsidR="00267BC1" w:rsidRPr="00154F1D">
        <w:rPr>
          <w:rStyle w:val="FootnoteReference"/>
        </w:rPr>
        <w:footnoteReference w:id="131"/>
      </w:r>
      <w:r w:rsidR="00AF3EED" w:rsidRPr="00154F1D">
        <w:t xml:space="preserve"> but have </w:t>
      </w:r>
      <w:r w:rsidR="00CE030F" w:rsidRPr="00154F1D">
        <w:t xml:space="preserve">highlighted the </w:t>
      </w:r>
      <w:r w:rsidR="00AF3EED" w:rsidRPr="00154F1D">
        <w:t>uncertain and potentially significant implications arising</w:t>
      </w:r>
      <w:r w:rsidR="00AF2295" w:rsidRPr="00154F1D">
        <w:t xml:space="preserve"> </w:t>
      </w:r>
      <w:r w:rsidR="00F85BBC" w:rsidRPr="00154F1D">
        <w:t xml:space="preserve">from </w:t>
      </w:r>
      <w:r w:rsidR="00AF2295" w:rsidRPr="00154F1D">
        <w:t xml:space="preserve">the </w:t>
      </w:r>
      <w:r w:rsidR="00AF2295" w:rsidRPr="00154F1D">
        <w:rPr>
          <w:i/>
        </w:rPr>
        <w:t>CRPD</w:t>
      </w:r>
      <w:r w:rsidR="00AF2295" w:rsidRPr="00154F1D">
        <w:t xml:space="preserve"> for </w:t>
      </w:r>
      <w:r w:rsidR="00B45B8D" w:rsidRPr="00154F1D">
        <w:t xml:space="preserve">the current doctrine </w:t>
      </w:r>
      <w:r w:rsidR="00176EB7" w:rsidRPr="00154F1D">
        <w:t>and the need for considerable amendment</w:t>
      </w:r>
      <w:r w:rsidR="008D0507" w:rsidRPr="00154F1D">
        <w:t xml:space="preserve"> to comply with </w:t>
      </w:r>
      <w:r w:rsidR="00C14CEA" w:rsidRPr="00154F1D">
        <w:t xml:space="preserve">the </w:t>
      </w:r>
      <w:r w:rsidR="008D0507" w:rsidRPr="00154F1D">
        <w:t xml:space="preserve">requirements of the </w:t>
      </w:r>
      <w:r w:rsidR="008D0507" w:rsidRPr="00154F1D">
        <w:rPr>
          <w:i/>
        </w:rPr>
        <w:t>CRPD</w:t>
      </w:r>
      <w:r w:rsidRPr="00154F1D">
        <w:t>.</w:t>
      </w:r>
      <w:r w:rsidR="00AF2295" w:rsidRPr="00154F1D">
        <w:rPr>
          <w:rStyle w:val="FootnoteReference"/>
        </w:rPr>
        <w:footnoteReference w:id="132"/>
      </w:r>
      <w:r w:rsidR="00CE030F" w:rsidRPr="00154F1D">
        <w:t xml:space="preserve"> </w:t>
      </w:r>
      <w:r w:rsidR="00217C1F" w:rsidRPr="00154F1D">
        <w:t>For example, Arstein-Kerslake et al have argued that:</w:t>
      </w:r>
    </w:p>
    <w:p w14:paraId="75B8C727" w14:textId="5309512E" w:rsidR="00217C1F" w:rsidRPr="00154F1D" w:rsidRDefault="00217C1F" w:rsidP="0074267A">
      <w:pPr>
        <w:pStyle w:val="QuoteTLRI"/>
      </w:pPr>
      <w:r w:rsidRPr="00154F1D">
        <w:t xml:space="preserve">One challenge is ensuring that there is a process that protects the rights of persons with cognitive disabilities to legal capacity on an equal basis with others. This would, at a minimum, require that unfitness to plead regimes are disability neutral on their face and in their application. This will likely require a dismantling of unfitness to plead regimes and the construction of a system that never denies legal capacities but instead provides support for </w:t>
      </w:r>
      <w:r w:rsidR="00666AC1" w:rsidRPr="00154F1D">
        <w:t xml:space="preserve">the </w:t>
      </w:r>
      <w:r w:rsidRPr="00154F1D">
        <w:t xml:space="preserve">individual to participate in a trial and </w:t>
      </w:r>
      <w:r w:rsidR="00666AC1" w:rsidRPr="00154F1D">
        <w:t xml:space="preserve">a </w:t>
      </w:r>
      <w:r w:rsidRPr="00154F1D">
        <w:t>court structure that ensures fairness of the trial proceedings without depending on the accused’s particular abilities to enforce those rights.</w:t>
      </w:r>
      <w:r w:rsidRPr="00154F1D">
        <w:rPr>
          <w:rStyle w:val="FootnoteReference"/>
        </w:rPr>
        <w:footnoteReference w:id="133"/>
      </w:r>
    </w:p>
    <w:p w14:paraId="4615CA37" w14:textId="75008840" w:rsidR="00090244" w:rsidRPr="00154F1D" w:rsidRDefault="00507ECB" w:rsidP="00744FAA">
      <w:pPr>
        <w:pStyle w:val="NormalNumberedTextTLRI"/>
        <w:numPr>
          <w:ilvl w:val="0"/>
          <w:numId w:val="0"/>
        </w:numPr>
      </w:pPr>
      <w:r w:rsidRPr="00154F1D">
        <w:t xml:space="preserve">In this way, </w:t>
      </w:r>
      <w:r w:rsidR="00666AC1" w:rsidRPr="00154F1D">
        <w:t xml:space="preserve">it is argued that </w:t>
      </w:r>
      <w:r w:rsidRPr="00154F1D">
        <w:t xml:space="preserve">the focus of the inquiry </w:t>
      </w:r>
      <w:r w:rsidR="00666AC1" w:rsidRPr="00154F1D">
        <w:t>should</w:t>
      </w:r>
      <w:r w:rsidRPr="00154F1D">
        <w:t xml:space="preserve"> no longer </w:t>
      </w:r>
      <w:r w:rsidR="00666AC1" w:rsidRPr="00154F1D">
        <w:t xml:space="preserve">be </w:t>
      </w:r>
      <w:r w:rsidRPr="00154F1D">
        <w:t xml:space="preserve">on identifying ‘“the line” over which someone is incapable of expressing a valid will or undertaking some function’ and </w:t>
      </w:r>
      <w:r w:rsidR="00666AC1" w:rsidRPr="00154F1D">
        <w:t>instead</w:t>
      </w:r>
      <w:r w:rsidRPr="00154F1D">
        <w:t xml:space="preserve"> the issue</w:t>
      </w:r>
      <w:r w:rsidR="00666AC1" w:rsidRPr="00154F1D">
        <w:t xml:space="preserve"> should</w:t>
      </w:r>
      <w:r w:rsidRPr="00154F1D">
        <w:t xml:space="preserve"> ‘</w:t>
      </w:r>
      <w:r w:rsidR="00666AC1" w:rsidRPr="00154F1D">
        <w:t>turn</w:t>
      </w:r>
      <w:r w:rsidRPr="00154F1D">
        <w:t xml:space="preserve"> to the support and accommodations necessary to enable every person with a disability to function as a legal actor’</w:t>
      </w:r>
      <w:r w:rsidR="00666AC1" w:rsidRPr="00154F1D">
        <w:t>.</w:t>
      </w:r>
      <w:r w:rsidRPr="00154F1D">
        <w:rPr>
          <w:rStyle w:val="FootnoteReference"/>
        </w:rPr>
        <w:footnoteReference w:id="134"/>
      </w:r>
      <w:r w:rsidRPr="00154F1D">
        <w:t xml:space="preserve"> Accordingly, </w:t>
      </w:r>
      <w:r w:rsidR="00EE42A7" w:rsidRPr="00154F1D">
        <w:t xml:space="preserve">Gooding argues that </w:t>
      </w:r>
      <w:r w:rsidR="00666AC1" w:rsidRPr="00154F1D">
        <w:t>‘</w:t>
      </w:r>
      <w:r w:rsidRPr="00154F1D">
        <w:t xml:space="preserve">the measure of a person’s decision-making capability, or their legal capacity, </w:t>
      </w:r>
      <w:r w:rsidR="00666AC1" w:rsidRPr="00154F1D">
        <w:t xml:space="preserve">[should] </w:t>
      </w:r>
      <w:r w:rsidRPr="00154F1D">
        <w:t xml:space="preserve">no longer </w:t>
      </w:r>
      <w:r w:rsidR="00666AC1" w:rsidRPr="00154F1D">
        <w:t xml:space="preserve">[be] </w:t>
      </w:r>
      <w:r w:rsidRPr="00154F1D">
        <w:t>their inherent abilities, but rather the range and quality of supports and accommodations around them</w:t>
      </w:r>
      <w:r w:rsidR="00666AC1" w:rsidRPr="00154F1D">
        <w:t>’</w:t>
      </w:r>
      <w:r w:rsidRPr="00154F1D">
        <w:t>.</w:t>
      </w:r>
      <w:r w:rsidRPr="00154F1D">
        <w:rPr>
          <w:rStyle w:val="FootnoteReference"/>
        </w:rPr>
        <w:footnoteReference w:id="135"/>
      </w:r>
      <w:r w:rsidR="0084508A" w:rsidRPr="00154F1D">
        <w:t xml:space="preserve"> The focus of this approach is on supports and accommodations that may be available ‘in making the </w:t>
      </w:r>
      <w:r w:rsidR="0084508A" w:rsidRPr="00154F1D">
        <w:rPr>
          <w:i/>
        </w:rPr>
        <w:t>mainstream</w:t>
      </w:r>
      <w:r w:rsidR="0084508A" w:rsidRPr="00154F1D">
        <w:t xml:space="preserve"> legal processes acc</w:t>
      </w:r>
      <w:r w:rsidR="00EE42A7" w:rsidRPr="00154F1D">
        <w:t>essible rather than creating a “special”</w:t>
      </w:r>
      <w:r w:rsidR="0084508A" w:rsidRPr="00154F1D">
        <w:t xml:space="preserve"> alternative measure’</w:t>
      </w:r>
      <w:r w:rsidR="00253E8A" w:rsidRPr="00154F1D">
        <w:t xml:space="preserve"> for people with cognitive difficulties.</w:t>
      </w:r>
      <w:r w:rsidR="0084508A" w:rsidRPr="00154F1D">
        <w:rPr>
          <w:rStyle w:val="FootnoteReference"/>
        </w:rPr>
        <w:footnoteReference w:id="136"/>
      </w:r>
    </w:p>
    <w:p w14:paraId="0623264D" w14:textId="72FC5D79" w:rsidR="00253E8A" w:rsidRPr="00154F1D" w:rsidRDefault="00253E8A" w:rsidP="00B750C6">
      <w:pPr>
        <w:pStyle w:val="NormalNumberedTextTLRI"/>
        <w:spacing w:after="120"/>
      </w:pPr>
      <w:r w:rsidRPr="00154F1D">
        <w:t xml:space="preserve">While the </w:t>
      </w:r>
      <w:r w:rsidR="00507ECB" w:rsidRPr="00154F1D">
        <w:t>need to identify supports and accommodation</w:t>
      </w:r>
      <w:r w:rsidR="00F85BBC" w:rsidRPr="00154F1D">
        <w:t>s</w:t>
      </w:r>
      <w:r w:rsidR="00507ECB" w:rsidRPr="00154F1D">
        <w:t xml:space="preserve"> that may facilitate participation in the trial process </w:t>
      </w:r>
      <w:r w:rsidR="00666AC1" w:rsidRPr="00154F1D">
        <w:t xml:space="preserve">for as many people as possible </w:t>
      </w:r>
      <w:r w:rsidR="00507ECB" w:rsidRPr="00154F1D">
        <w:t xml:space="preserve">has been </w:t>
      </w:r>
      <w:r w:rsidRPr="00154F1D">
        <w:t>recognised</w:t>
      </w:r>
      <w:r w:rsidR="00507ECB" w:rsidRPr="00154F1D">
        <w:t xml:space="preserve"> by various law reform bodies</w:t>
      </w:r>
      <w:r w:rsidRPr="00154F1D">
        <w:t xml:space="preserve"> (as discussed at </w:t>
      </w:r>
      <w:r w:rsidR="00404D75" w:rsidRPr="00154F1D">
        <w:t>[4.4]</w:t>
      </w:r>
      <w:r w:rsidRPr="00154F1D">
        <w:t>),</w:t>
      </w:r>
      <w:r w:rsidR="00666AC1" w:rsidRPr="00154F1D">
        <w:t xml:space="preserve"> </w:t>
      </w:r>
      <w:r w:rsidRPr="00154F1D">
        <w:t xml:space="preserve">there is less agreement in relation to </w:t>
      </w:r>
      <w:r w:rsidR="007231A3" w:rsidRPr="00154F1D">
        <w:t xml:space="preserve">the </w:t>
      </w:r>
      <w:r w:rsidRPr="00154F1D">
        <w:t xml:space="preserve">approach that should be taken in the ‘hard’ cases </w:t>
      </w:r>
      <w:r w:rsidR="00924DE9" w:rsidRPr="00154F1D">
        <w:t>—</w:t>
      </w:r>
      <w:r w:rsidRPr="00154F1D">
        <w:t xml:space="preserve"> that is, the cases where people are not able to participate in the proceedings even with supports.</w:t>
      </w:r>
      <w:r w:rsidRPr="00154F1D">
        <w:rPr>
          <w:rStyle w:val="FootnoteReference"/>
        </w:rPr>
        <w:footnoteReference w:id="137"/>
      </w:r>
      <w:r w:rsidR="0024546A">
        <w:t xml:space="preserve"> </w:t>
      </w:r>
      <w:r w:rsidRPr="00154F1D">
        <w:t xml:space="preserve">In </w:t>
      </w:r>
      <w:r w:rsidR="0024546A">
        <w:t xml:space="preserve">relation to </w:t>
      </w:r>
      <w:r w:rsidRPr="00154F1D">
        <w:t>these cases, Arstein-Kerslake et al write that:</w:t>
      </w:r>
    </w:p>
    <w:p w14:paraId="2AA6CC31" w14:textId="01B7A307" w:rsidR="00253E8A" w:rsidRPr="00154F1D" w:rsidRDefault="00253E8A" w:rsidP="0074267A">
      <w:pPr>
        <w:pStyle w:val="QuoteTLRI"/>
      </w:pPr>
      <w:r w:rsidRPr="00154F1D">
        <w:t xml:space="preserve">A system should exist where the individual is not denied his or her legal capacity to participate in the trial, but is instead provided with an advocate who has responsibility of interpreting the will and preference of the individual to the best of that person’s ability and to convey that to the court and the relevant professionals involved in the trial process. Any such system must be non-discriminatory in order to encompass all individuals </w:t>
      </w:r>
      <w:r w:rsidR="00924DE9" w:rsidRPr="00154F1D">
        <w:t>—</w:t>
      </w:r>
      <w:r w:rsidRPr="00154F1D">
        <w:t xml:space="preserve"> those with disabilities and those without disabilities </w:t>
      </w:r>
      <w:r w:rsidR="00924DE9" w:rsidRPr="00154F1D">
        <w:t>—</w:t>
      </w:r>
      <w:r w:rsidRPr="00154F1D">
        <w:t xml:space="preserve"> who are unable to participate in the trial process and also to protect the rights of persons with disabilities to be free from discriminatory treatment.</w:t>
      </w:r>
      <w:r w:rsidRPr="00154F1D">
        <w:rPr>
          <w:rStyle w:val="FootnoteReference"/>
        </w:rPr>
        <w:footnoteReference w:id="138"/>
      </w:r>
    </w:p>
    <w:p w14:paraId="34DC8FF7" w14:textId="57373502" w:rsidR="00507ECB" w:rsidRPr="00154F1D" w:rsidRDefault="00610CCE" w:rsidP="00744FAA">
      <w:pPr>
        <w:pStyle w:val="NormalNumberedTextTLRI"/>
        <w:numPr>
          <w:ilvl w:val="0"/>
          <w:numId w:val="0"/>
        </w:numPr>
      </w:pPr>
      <w:r w:rsidRPr="00154F1D">
        <w:t>The authors argue that the r</w:t>
      </w:r>
      <w:r w:rsidR="00253E8A" w:rsidRPr="00154F1D">
        <w:t xml:space="preserve">eforms </w:t>
      </w:r>
      <w:r w:rsidRPr="00154F1D">
        <w:t xml:space="preserve">to the law </w:t>
      </w:r>
      <w:r w:rsidR="00253E8A" w:rsidRPr="00154F1D">
        <w:t>should ensure that ‘[w]here there is a question of whether the accused can stand trial, the ensuing procedure must not take place on the basis of disability alone and must not serve to create a segre</w:t>
      </w:r>
      <w:r w:rsidR="00696D8E" w:rsidRPr="00154F1D">
        <w:t>ga</w:t>
      </w:r>
      <w:r w:rsidR="00253E8A" w:rsidRPr="00154F1D">
        <w:t xml:space="preserve">ted </w:t>
      </w:r>
      <w:r w:rsidR="00696D8E" w:rsidRPr="00154F1D">
        <w:t>criminal</w:t>
      </w:r>
      <w:r w:rsidR="00253E8A" w:rsidRPr="00154F1D">
        <w:t xml:space="preserve"> justice </w:t>
      </w:r>
      <w:r w:rsidR="007231A3" w:rsidRPr="00154F1D">
        <w:t xml:space="preserve">process </w:t>
      </w:r>
      <w:r w:rsidR="00253E8A" w:rsidRPr="00154F1D">
        <w:t>that only applies to persons</w:t>
      </w:r>
      <w:r w:rsidR="00696D8E" w:rsidRPr="00154F1D">
        <w:t xml:space="preserve"> with</w:t>
      </w:r>
      <w:r w:rsidR="00253E8A" w:rsidRPr="00154F1D">
        <w:t xml:space="preserve"> </w:t>
      </w:r>
      <w:r w:rsidR="00696D8E" w:rsidRPr="00154F1D">
        <w:t>cognitive</w:t>
      </w:r>
      <w:r w:rsidR="00253E8A" w:rsidRPr="00154F1D">
        <w:t xml:space="preserve"> </w:t>
      </w:r>
      <w:r w:rsidR="00696D8E" w:rsidRPr="00154F1D">
        <w:t>disabilities</w:t>
      </w:r>
      <w:r w:rsidR="00253E8A" w:rsidRPr="00154F1D">
        <w:t>’.</w:t>
      </w:r>
      <w:r w:rsidR="00253E8A" w:rsidRPr="00154F1D">
        <w:rPr>
          <w:rStyle w:val="FootnoteReference"/>
        </w:rPr>
        <w:footnoteReference w:id="139"/>
      </w:r>
      <w:r w:rsidR="007231A3" w:rsidRPr="00154F1D">
        <w:t xml:space="preserve"> </w:t>
      </w:r>
      <w:r w:rsidR="00696D8E" w:rsidRPr="00154F1D">
        <w:t>In contrast, law reform</w:t>
      </w:r>
      <w:r w:rsidRPr="00154F1D">
        <w:t xml:space="preserve"> bodies have</w:t>
      </w:r>
      <w:r w:rsidR="00696D8E" w:rsidRPr="00154F1D">
        <w:t xml:space="preserve"> </w:t>
      </w:r>
      <w:r w:rsidR="00666AC1" w:rsidRPr="00154F1D">
        <w:t xml:space="preserve">taken a different approach to the </w:t>
      </w:r>
      <w:r w:rsidR="00C13FB8" w:rsidRPr="00154F1D">
        <w:t xml:space="preserve">interpretation of the </w:t>
      </w:r>
      <w:r w:rsidR="00666AC1" w:rsidRPr="00154F1D">
        <w:rPr>
          <w:i/>
        </w:rPr>
        <w:t>CRPD</w:t>
      </w:r>
      <w:r w:rsidR="00666AC1" w:rsidRPr="00154F1D">
        <w:t xml:space="preserve"> and have </w:t>
      </w:r>
      <w:r w:rsidR="00C13FB8" w:rsidRPr="00154F1D">
        <w:t>understood</w:t>
      </w:r>
      <w:r w:rsidR="00666AC1" w:rsidRPr="00154F1D">
        <w:t xml:space="preserve"> it as only requiring that the test for unfitness should incorporate the use of supports and accommodation.</w:t>
      </w:r>
      <w:r w:rsidR="00666AC1" w:rsidRPr="00154F1D">
        <w:rPr>
          <w:rStyle w:val="FootnoteReference"/>
        </w:rPr>
        <w:footnoteReference w:id="140"/>
      </w:r>
      <w:r w:rsidR="00666AC1" w:rsidRPr="00154F1D">
        <w:t xml:space="preserve"> </w:t>
      </w:r>
      <w:r w:rsidR="00EE42A7" w:rsidRPr="00154F1D">
        <w:t>This approach still</w:t>
      </w:r>
      <w:r w:rsidRPr="00154F1D">
        <w:t xml:space="preserve"> retain</w:t>
      </w:r>
      <w:r w:rsidR="00EE42A7" w:rsidRPr="00154F1D">
        <w:t>s</w:t>
      </w:r>
      <w:r w:rsidRPr="00154F1D">
        <w:t xml:space="preserve"> a threshold functional test to determine whether </w:t>
      </w:r>
      <w:r w:rsidR="00EB02C1" w:rsidRPr="00154F1D">
        <w:t>a person</w:t>
      </w:r>
      <w:r w:rsidRPr="00154F1D">
        <w:t xml:space="preserve"> is able to participate in the trial process and </w:t>
      </w:r>
      <w:r w:rsidR="00EE42A7" w:rsidRPr="00154F1D">
        <w:t xml:space="preserve">operates </w:t>
      </w:r>
      <w:r w:rsidRPr="00154F1D">
        <w:t xml:space="preserve">to divert </w:t>
      </w:r>
      <w:r w:rsidR="00EE42A7" w:rsidRPr="00154F1D">
        <w:t xml:space="preserve">some </w:t>
      </w:r>
      <w:r w:rsidR="0065769D">
        <w:t>individual</w:t>
      </w:r>
      <w:r w:rsidR="0065769D" w:rsidRPr="00154F1D">
        <w:t xml:space="preserve">s </w:t>
      </w:r>
      <w:r w:rsidRPr="00154F1D">
        <w:t>into a special procedure.</w:t>
      </w:r>
      <w:r w:rsidRPr="00154F1D">
        <w:rPr>
          <w:rStyle w:val="FootnoteReference"/>
        </w:rPr>
        <w:footnoteReference w:id="141"/>
      </w:r>
      <w:r w:rsidRPr="00154F1D">
        <w:t xml:space="preserve"> </w:t>
      </w:r>
    </w:p>
    <w:p w14:paraId="7660FF1B" w14:textId="77777777" w:rsidR="00CA6742" w:rsidRPr="00154F1D" w:rsidRDefault="00CA6742" w:rsidP="00924DE9">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57" w:right="57"/>
        <w:rPr>
          <w:b/>
        </w:rPr>
      </w:pPr>
      <w:bookmarkStart w:id="89" w:name="Q2"/>
      <w:r w:rsidRPr="00154F1D">
        <w:rPr>
          <w:b/>
        </w:rPr>
        <w:t>Questions</w:t>
      </w:r>
    </w:p>
    <w:bookmarkEnd w:id="89"/>
    <w:p w14:paraId="21BBFD95" w14:textId="5AB66790" w:rsidR="00610CCE" w:rsidRPr="00154F1D" w:rsidRDefault="00547923" w:rsidP="00924DE9">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tabs>
          <w:tab w:val="clear" w:pos="851"/>
        </w:tabs>
        <w:ind w:left="341" w:right="57" w:hanging="284"/>
      </w:pPr>
      <w:r w:rsidRPr="00154F1D">
        <w:t>2</w:t>
      </w:r>
      <w:r w:rsidR="00CA6742" w:rsidRPr="00154F1D">
        <w:t>.</w:t>
      </w:r>
      <w:r w:rsidR="00924DE9" w:rsidRPr="00154F1D">
        <w:tab/>
      </w:r>
      <w:r w:rsidR="007D6F7A" w:rsidRPr="00154F1D">
        <w:t xml:space="preserve">Should </w:t>
      </w:r>
      <w:r w:rsidR="0084508A" w:rsidRPr="00154F1D">
        <w:t xml:space="preserve">the doctrine of </w:t>
      </w:r>
      <w:r w:rsidR="007D6F7A" w:rsidRPr="00154F1D">
        <w:t>fitness to stand trial be abolished in Tasmania?</w:t>
      </w:r>
      <w:r w:rsidR="00610CCE" w:rsidRPr="00154F1D">
        <w:t xml:space="preserve"> </w:t>
      </w:r>
    </w:p>
    <w:p w14:paraId="2A0B3E86" w14:textId="00443682" w:rsidR="0084508A" w:rsidRPr="00154F1D" w:rsidRDefault="00547923" w:rsidP="00924DE9">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tabs>
          <w:tab w:val="clear" w:pos="851"/>
        </w:tabs>
        <w:ind w:left="341" w:right="57" w:hanging="284"/>
      </w:pPr>
      <w:r w:rsidRPr="00154F1D">
        <w:t>3</w:t>
      </w:r>
      <w:r w:rsidR="00CA6742" w:rsidRPr="00154F1D">
        <w:t>.</w:t>
      </w:r>
      <w:r w:rsidR="00924DE9" w:rsidRPr="00154F1D">
        <w:tab/>
      </w:r>
      <w:r w:rsidR="00610CCE" w:rsidRPr="00154F1D">
        <w:t xml:space="preserve">If so, how should the law be changed to ensure that </w:t>
      </w:r>
      <w:r w:rsidR="008F0CC0">
        <w:t>individuals</w:t>
      </w:r>
      <w:r w:rsidR="008F0CC0" w:rsidRPr="00154F1D">
        <w:t xml:space="preserve"> </w:t>
      </w:r>
      <w:r w:rsidR="00610CCE" w:rsidRPr="00154F1D">
        <w:t>who are not able to participate in the trial process (even with the provision of supports) receive a fair trial?</w:t>
      </w:r>
    </w:p>
    <w:p w14:paraId="38F71881" w14:textId="69323ACB" w:rsidR="002D0688" w:rsidRPr="00154F1D" w:rsidRDefault="00420E13" w:rsidP="00601522">
      <w:pPr>
        <w:pStyle w:val="Sub-HeadingTLRI"/>
      </w:pPr>
      <w:bookmarkStart w:id="90" w:name="_Toc535868932"/>
      <w:r w:rsidRPr="00154F1D">
        <w:t>Reforming</w:t>
      </w:r>
      <w:r w:rsidR="00300735" w:rsidRPr="00154F1D">
        <w:t xml:space="preserve"> the </w:t>
      </w:r>
      <w:r w:rsidR="002D0688" w:rsidRPr="00154F1D">
        <w:t>test for fitness to stand trial</w:t>
      </w:r>
      <w:bookmarkEnd w:id="90"/>
    </w:p>
    <w:p w14:paraId="41188D33" w14:textId="00CE5820" w:rsidR="00B144EC" w:rsidRPr="00154F1D" w:rsidRDefault="00F7722B" w:rsidP="00744FAA">
      <w:pPr>
        <w:pStyle w:val="NormalNumberedTextTLRI"/>
      </w:pPr>
      <w:r w:rsidRPr="00154F1D">
        <w:t xml:space="preserve">In many jurisdictions, consideration has been given </w:t>
      </w:r>
      <w:r w:rsidR="00507ECB" w:rsidRPr="00154F1D">
        <w:t xml:space="preserve">by law reform bodies to concerns about </w:t>
      </w:r>
      <w:r w:rsidRPr="00154F1D">
        <w:t xml:space="preserve">the legal criteria </w:t>
      </w:r>
      <w:r w:rsidR="00B144EC" w:rsidRPr="00154F1D">
        <w:t xml:space="preserve">used </w:t>
      </w:r>
      <w:r w:rsidRPr="00154F1D">
        <w:t xml:space="preserve">for assessing an </w:t>
      </w:r>
      <w:r w:rsidR="0065769D">
        <w:t>accused</w:t>
      </w:r>
      <w:r w:rsidR="0065769D" w:rsidRPr="00154F1D">
        <w:t xml:space="preserve">’s </w:t>
      </w:r>
      <w:r w:rsidRPr="00154F1D">
        <w:t xml:space="preserve">fitness to stand trial. </w:t>
      </w:r>
      <w:r w:rsidR="00B144EC" w:rsidRPr="00154F1D">
        <w:t xml:space="preserve">The </w:t>
      </w:r>
      <w:r w:rsidR="00924DE9" w:rsidRPr="00154F1D">
        <w:t>ALRC</w:t>
      </w:r>
      <w:r w:rsidR="00B144EC" w:rsidRPr="00154F1D">
        <w:t xml:space="preserve"> has summarised the key criticisms of the test </w:t>
      </w:r>
      <w:r w:rsidR="007231A3" w:rsidRPr="00154F1D">
        <w:t>as follows</w:t>
      </w:r>
      <w:r w:rsidR="00B144EC" w:rsidRPr="00154F1D">
        <w:t>:</w:t>
      </w:r>
    </w:p>
    <w:p w14:paraId="5D660E5D" w14:textId="505F20FA" w:rsidR="002A3D4C" w:rsidRPr="00154F1D" w:rsidRDefault="002A3D4C" w:rsidP="009C503C">
      <w:pPr>
        <w:pStyle w:val="NormalNumberedTextTLRI"/>
        <w:numPr>
          <w:ilvl w:val="0"/>
          <w:numId w:val="13"/>
        </w:numPr>
        <w:tabs>
          <w:tab w:val="clear" w:pos="851"/>
        </w:tabs>
        <w:ind w:left="851" w:hanging="425"/>
      </w:pPr>
      <w:r w:rsidRPr="00154F1D">
        <w:t>The test, by focusing on intellectual ability, generally sets too high a threshold for unfitness and is inconsistent with the modern trial process. There is undue emphasis on a person’s intellectual ability and too little focus on a person’s decision-making ability.</w:t>
      </w:r>
      <w:bookmarkStart w:id="91" w:name="_Ref535064644"/>
      <w:r w:rsidRPr="00154F1D">
        <w:rPr>
          <w:rStyle w:val="FootnoteReference"/>
        </w:rPr>
        <w:footnoteReference w:id="142"/>
      </w:r>
      <w:bookmarkEnd w:id="91"/>
    </w:p>
    <w:p w14:paraId="6D60CEA5" w14:textId="40B4A9EF" w:rsidR="00B144EC" w:rsidRPr="00154F1D" w:rsidRDefault="002A3D4C" w:rsidP="009C503C">
      <w:pPr>
        <w:pStyle w:val="NormalNumberedTextTLRI"/>
        <w:numPr>
          <w:ilvl w:val="0"/>
          <w:numId w:val="13"/>
        </w:numPr>
        <w:tabs>
          <w:tab w:val="clear" w:pos="851"/>
        </w:tabs>
        <w:ind w:left="851" w:hanging="425"/>
      </w:pPr>
      <w:r w:rsidRPr="00154F1D">
        <w:t xml:space="preserve">The test is difficult to apply to </w:t>
      </w:r>
      <w:r w:rsidR="0065769D">
        <w:t>individual</w:t>
      </w:r>
      <w:r w:rsidR="0065769D" w:rsidRPr="00154F1D">
        <w:t xml:space="preserve">s </w:t>
      </w:r>
      <w:r w:rsidRPr="00154F1D">
        <w:t>with mental illness because the criteria were not designed for them.</w:t>
      </w:r>
      <w:r w:rsidRPr="00154F1D">
        <w:rPr>
          <w:rStyle w:val="FootnoteReference"/>
        </w:rPr>
        <w:footnoteReference w:id="143"/>
      </w:r>
    </w:p>
    <w:p w14:paraId="15E0BC3B" w14:textId="7BE422A1" w:rsidR="00E06E47" w:rsidRPr="00154F1D" w:rsidRDefault="00E06E47" w:rsidP="009C503C">
      <w:pPr>
        <w:pStyle w:val="NormalNumberedTextTLRI"/>
        <w:numPr>
          <w:ilvl w:val="0"/>
          <w:numId w:val="13"/>
        </w:numPr>
        <w:tabs>
          <w:tab w:val="clear" w:pos="851"/>
        </w:tabs>
        <w:ind w:left="851" w:hanging="425"/>
      </w:pPr>
      <w:r w:rsidRPr="00154F1D">
        <w:t>A defendant may not be unfit to stand trial even where the court take</w:t>
      </w:r>
      <w:r w:rsidR="00602F4C" w:rsidRPr="00154F1D">
        <w:t>s</w:t>
      </w:r>
      <w:r w:rsidRPr="00154F1D">
        <w:t xml:space="preserve"> the view that he or </w:t>
      </w:r>
      <w:r w:rsidR="00B536EE" w:rsidRPr="00154F1D">
        <w:t>she is incapable of making decisions in his or her own interest</w:t>
      </w:r>
      <w:r w:rsidR="004B0A87">
        <w:t>s</w:t>
      </w:r>
      <w:r w:rsidR="00B536EE" w:rsidRPr="00154F1D">
        <w:t>.</w:t>
      </w:r>
      <w:r w:rsidR="00B536EE" w:rsidRPr="00154F1D">
        <w:rPr>
          <w:rStyle w:val="FootnoteReference"/>
        </w:rPr>
        <w:footnoteReference w:id="144"/>
      </w:r>
    </w:p>
    <w:p w14:paraId="5139EA95" w14:textId="574E33B0" w:rsidR="00D17D79" w:rsidRPr="00154F1D" w:rsidRDefault="00D51C83" w:rsidP="00744FAA">
      <w:pPr>
        <w:pStyle w:val="NormalNumberedTextTLRI"/>
        <w:numPr>
          <w:ilvl w:val="0"/>
          <w:numId w:val="0"/>
        </w:numPr>
      </w:pPr>
      <w:r w:rsidRPr="00154F1D">
        <w:t>In this context, t</w:t>
      </w:r>
      <w:r w:rsidR="00D17D79" w:rsidRPr="00154F1D">
        <w:t>he following illustration is provided by the Law Commission</w:t>
      </w:r>
      <w:r w:rsidR="00DA1E67" w:rsidRPr="00154F1D">
        <w:t xml:space="preserve"> of England and Wales</w:t>
      </w:r>
      <w:r w:rsidR="00D17D79" w:rsidRPr="00154F1D">
        <w:t>:</w:t>
      </w:r>
    </w:p>
    <w:p w14:paraId="3BE8500F" w14:textId="7110D986" w:rsidR="00C404CE" w:rsidRPr="00154F1D" w:rsidRDefault="00D17D79" w:rsidP="0074267A">
      <w:pPr>
        <w:pStyle w:val="QuoteTLRI"/>
      </w:pPr>
      <w:r w:rsidRPr="00154F1D">
        <w:t>A defendant, A (who has paranoid schizophrenia), has a good understanding of the trial process and understands the purpose of the proceedings and roles played by the different parties. A is also able to instruct his representative and could give evidence. However, as a result of his highly delusional state he is convi</w:t>
      </w:r>
      <w:r w:rsidR="00DA1E67" w:rsidRPr="00154F1D">
        <w:t>nc</w:t>
      </w:r>
      <w:r w:rsidRPr="00154F1D">
        <w:t>ed that if he pleads not guilty he will be destroyed by the devil. He has no insight into his condition and insists on pleading guilty to an assault charge even though the evidence suggests that he may have acted in lawful self-defence. Under the current test the defendant would be likely to be found fit to plead.</w:t>
      </w:r>
      <w:r w:rsidRPr="00154F1D">
        <w:rPr>
          <w:rStyle w:val="FootnoteReference"/>
        </w:rPr>
        <w:footnoteReference w:id="145"/>
      </w:r>
      <w:r w:rsidRPr="00154F1D">
        <w:t xml:space="preserve"> </w:t>
      </w:r>
    </w:p>
    <w:p w14:paraId="5760D086" w14:textId="49DAA467" w:rsidR="002E28BB" w:rsidRPr="00154F1D" w:rsidRDefault="00926CF3" w:rsidP="00744FAA">
      <w:pPr>
        <w:pStyle w:val="NormalNumberedTextTLRI"/>
        <w:numPr>
          <w:ilvl w:val="0"/>
          <w:numId w:val="0"/>
        </w:numPr>
      </w:pPr>
      <w:r w:rsidRPr="00154F1D">
        <w:t xml:space="preserve">This </w:t>
      </w:r>
      <w:r w:rsidR="00955DDA" w:rsidRPr="00154F1D">
        <w:t>example echoes</w:t>
      </w:r>
      <w:r w:rsidRPr="00154F1D">
        <w:t xml:space="preserve"> the concerns </w:t>
      </w:r>
      <w:r w:rsidR="00DA1E67" w:rsidRPr="00154F1D">
        <w:t>raised by the</w:t>
      </w:r>
      <w:r w:rsidRPr="00154F1D">
        <w:t xml:space="preserve"> VLRC that a person with a mental illness ‘may have </w:t>
      </w:r>
      <w:r w:rsidR="00D90C93" w:rsidRPr="00154F1D">
        <w:t>a</w:t>
      </w:r>
      <w:r w:rsidRPr="00154F1D">
        <w:t xml:space="preserve"> factual understanding of </w:t>
      </w:r>
      <w:r w:rsidR="00D90C93" w:rsidRPr="00154F1D">
        <w:t xml:space="preserve">the nature of </w:t>
      </w:r>
      <w:r w:rsidR="007231A3" w:rsidRPr="00154F1D">
        <w:t xml:space="preserve">the </w:t>
      </w:r>
      <w:r w:rsidR="00D90C93" w:rsidRPr="00154F1D">
        <w:t xml:space="preserve">trial. However, their delusional beliefs may </w:t>
      </w:r>
      <w:r w:rsidRPr="00154F1D">
        <w:t xml:space="preserve">hinder </w:t>
      </w:r>
      <w:r w:rsidR="00D90C93" w:rsidRPr="00154F1D">
        <w:t>their capacity to make decisions concerning their trial, or to make such decisions in an appropriate manner’</w:t>
      </w:r>
      <w:r w:rsidRPr="00154F1D">
        <w:t>.</w:t>
      </w:r>
      <w:r w:rsidRPr="00154F1D">
        <w:rPr>
          <w:rStyle w:val="FootnoteReference"/>
        </w:rPr>
        <w:footnoteReference w:id="146"/>
      </w:r>
      <w:r w:rsidR="00967EDB" w:rsidRPr="00154F1D">
        <w:t xml:space="preserve"> </w:t>
      </w:r>
    </w:p>
    <w:p w14:paraId="05909F84" w14:textId="1237E610" w:rsidR="00926CF3" w:rsidRPr="00154F1D" w:rsidRDefault="00856442" w:rsidP="00744FAA">
      <w:pPr>
        <w:pStyle w:val="NormalNumberedTextTLRI"/>
      </w:pPr>
      <w:r w:rsidRPr="00154F1D">
        <w:t xml:space="preserve">Other </w:t>
      </w:r>
      <w:r w:rsidR="00DA1E67" w:rsidRPr="00154F1D">
        <w:t xml:space="preserve">criticisms of fitness to stand trial </w:t>
      </w:r>
      <w:r w:rsidRPr="00154F1D">
        <w:t xml:space="preserve">relate to the practical application of the current test with concerns being expressed </w:t>
      </w:r>
      <w:r w:rsidR="00DA1E67" w:rsidRPr="00154F1D">
        <w:t>about</w:t>
      </w:r>
      <w:r w:rsidRPr="00154F1D">
        <w:t xml:space="preserve"> the arbitrary and subjective application of the test.</w:t>
      </w:r>
      <w:bookmarkStart w:id="92" w:name="_Ref535063810"/>
      <w:r w:rsidRPr="00154F1D">
        <w:rPr>
          <w:rStyle w:val="FootnoteReference"/>
        </w:rPr>
        <w:footnoteReference w:id="147"/>
      </w:r>
      <w:bookmarkEnd w:id="92"/>
      <w:r w:rsidR="00420E13" w:rsidRPr="00154F1D">
        <w:t xml:space="preserve"> </w:t>
      </w:r>
      <w:r w:rsidRPr="00154F1D">
        <w:t>C</w:t>
      </w:r>
      <w:r w:rsidR="002E28BB" w:rsidRPr="00154F1D">
        <w:t xml:space="preserve">riticisms </w:t>
      </w:r>
      <w:r w:rsidRPr="00154F1D">
        <w:t xml:space="preserve">of the fitness to stand trial test </w:t>
      </w:r>
      <w:r w:rsidR="002E28BB" w:rsidRPr="00154F1D">
        <w:t xml:space="preserve">have focused on the </w:t>
      </w:r>
      <w:r w:rsidR="005B432C" w:rsidRPr="00154F1D">
        <w:t>difficulties</w:t>
      </w:r>
      <w:r w:rsidR="002E28BB" w:rsidRPr="00154F1D">
        <w:t xml:space="preserve"> c</w:t>
      </w:r>
      <w:r w:rsidR="005B432C" w:rsidRPr="00154F1D">
        <w:t>reat</w:t>
      </w:r>
      <w:r w:rsidR="002E28BB" w:rsidRPr="00154F1D">
        <w:t xml:space="preserve">ed for experts in providing an assessment </w:t>
      </w:r>
      <w:r w:rsidR="009C503C" w:rsidRPr="00154F1D">
        <w:t xml:space="preserve">to the court </w:t>
      </w:r>
      <w:r w:rsidR="002E28BB" w:rsidRPr="00154F1D">
        <w:t xml:space="preserve">of an </w:t>
      </w:r>
      <w:r w:rsidR="0065769D">
        <w:t>accused</w:t>
      </w:r>
      <w:r w:rsidR="0065769D" w:rsidRPr="00154F1D">
        <w:t xml:space="preserve">’s </w:t>
      </w:r>
      <w:r w:rsidR="002E28BB" w:rsidRPr="00154F1D">
        <w:t xml:space="preserve">fitness to stand trial </w:t>
      </w:r>
      <w:r w:rsidRPr="00154F1D">
        <w:t>as a result</w:t>
      </w:r>
      <w:r w:rsidR="002E28BB" w:rsidRPr="00154F1D">
        <w:t xml:space="preserve"> of the vagueness of most legal </w:t>
      </w:r>
      <w:r w:rsidR="005B432C" w:rsidRPr="00154F1D">
        <w:t>formulations</w:t>
      </w:r>
      <w:r w:rsidR="002E28BB" w:rsidRPr="00154F1D">
        <w:t xml:space="preserve"> of the test</w:t>
      </w:r>
      <w:r w:rsidR="005B432C" w:rsidRPr="00154F1D">
        <w:t xml:space="preserve"> and the opaque nature of the assessment process</w:t>
      </w:r>
      <w:r w:rsidR="002E28BB" w:rsidRPr="00154F1D">
        <w:t>.</w:t>
      </w:r>
      <w:r w:rsidR="002E28BB" w:rsidRPr="00154F1D">
        <w:rPr>
          <w:rStyle w:val="FootnoteReference"/>
        </w:rPr>
        <w:footnoteReference w:id="148"/>
      </w:r>
      <w:r w:rsidRPr="00154F1D">
        <w:t xml:space="preserve"> </w:t>
      </w:r>
      <w:r w:rsidR="005B432C" w:rsidRPr="00154F1D">
        <w:t>Freckelton writes that ‘decision</w:t>
      </w:r>
      <w:r w:rsidR="00420E13" w:rsidRPr="00154F1D">
        <w:t>-</w:t>
      </w:r>
      <w:r w:rsidR="005B432C" w:rsidRPr="00154F1D">
        <w:t>making in this area is effectively delegated to clinical evaluators making low visibility and essential unreviewed decisions pursuant to a vague open-textured standard’.</w:t>
      </w:r>
      <w:r w:rsidR="005B432C" w:rsidRPr="00154F1D">
        <w:rPr>
          <w:rStyle w:val="FootnoteReference"/>
        </w:rPr>
        <w:footnoteReference w:id="149"/>
      </w:r>
      <w:r w:rsidR="005B432C" w:rsidRPr="00154F1D">
        <w:t xml:space="preserve"> Research conducted in other jurisdictions</w:t>
      </w:r>
      <w:r w:rsidR="00403A46" w:rsidRPr="00154F1D">
        <w:t xml:space="preserve"> has identified concerns </w:t>
      </w:r>
      <w:r w:rsidR="00DA1E67" w:rsidRPr="00154F1D">
        <w:t>about</w:t>
      </w:r>
      <w:r w:rsidR="00403A46" w:rsidRPr="00154F1D">
        <w:t xml:space="preserve"> the assessment process </w:t>
      </w:r>
      <w:r w:rsidR="00DA1E67" w:rsidRPr="00154F1D">
        <w:t xml:space="preserve">undertaken </w:t>
      </w:r>
      <w:r w:rsidR="00403A46" w:rsidRPr="00154F1D">
        <w:t>by experts. In England and Wales, empirical research found that there was considerable variab</w:t>
      </w:r>
      <w:r w:rsidR="00F141DF" w:rsidRPr="00154F1D">
        <w:t>ility</w:t>
      </w:r>
      <w:r w:rsidR="00403A46" w:rsidRPr="00154F1D">
        <w:t xml:space="preserve"> in the application of the assessment by other clinicians and a failure by some clinicians to address all the criteria for unfitness to stand trial.</w:t>
      </w:r>
      <w:r w:rsidR="00403A46" w:rsidRPr="00154F1D">
        <w:rPr>
          <w:rStyle w:val="FootnoteReference"/>
        </w:rPr>
        <w:footnoteReference w:id="150"/>
      </w:r>
      <w:r w:rsidR="00403A46" w:rsidRPr="00154F1D">
        <w:t xml:space="preserve"> Similar findings were made in the Australian context, where White</w:t>
      </w:r>
      <w:r w:rsidR="00B75BCC" w:rsidRPr="00154F1D">
        <w:t xml:space="preserve"> et al </w:t>
      </w:r>
      <w:r w:rsidR="00403A46" w:rsidRPr="00154F1D">
        <w:t xml:space="preserve">found, in </w:t>
      </w:r>
      <w:r w:rsidR="00F141DF" w:rsidRPr="00154F1D">
        <w:t xml:space="preserve">a </w:t>
      </w:r>
      <w:r w:rsidR="00403A46" w:rsidRPr="00154F1D">
        <w:t xml:space="preserve">study of assessment reports in New South Wales, that </w:t>
      </w:r>
      <w:r w:rsidR="00B75BCC" w:rsidRPr="00154F1D">
        <w:t>‘there was significant variability in the practices and assessment methods of assessors’</w:t>
      </w:r>
      <w:r w:rsidR="00B75BCC" w:rsidRPr="00154F1D">
        <w:rPr>
          <w:rStyle w:val="FootnoteReference"/>
        </w:rPr>
        <w:footnoteReference w:id="151"/>
      </w:r>
      <w:r w:rsidR="00B75BCC" w:rsidRPr="00154F1D">
        <w:t xml:space="preserve"> with </w:t>
      </w:r>
      <w:r w:rsidR="00403A46" w:rsidRPr="00154F1D">
        <w:t>a ‘large number of experts (67.6%) fail</w:t>
      </w:r>
      <w:r w:rsidR="00F141DF" w:rsidRPr="00154F1D">
        <w:t>ing</w:t>
      </w:r>
      <w:r w:rsidR="00403A46" w:rsidRPr="00154F1D">
        <w:t xml:space="preserve"> to address all six elements of</w:t>
      </w:r>
      <w:r w:rsidR="00F141DF" w:rsidRPr="00154F1D">
        <w:t xml:space="preserve"> the</w:t>
      </w:r>
      <w:r w:rsidR="00403A46" w:rsidRPr="00154F1D">
        <w:t xml:space="preserve"> </w:t>
      </w:r>
      <w:r w:rsidR="00403A46" w:rsidRPr="00154F1D">
        <w:rPr>
          <w:i/>
        </w:rPr>
        <w:t>Presser</w:t>
      </w:r>
      <w:r w:rsidR="00F141DF" w:rsidRPr="00154F1D">
        <w:t xml:space="preserve"> criteria, </w:t>
      </w:r>
      <w:r w:rsidR="00B75BCC" w:rsidRPr="00154F1D">
        <w:t>with some experts failing to address any of the</w:t>
      </w:r>
      <w:r w:rsidR="00F141DF" w:rsidRPr="00154F1D">
        <w:t>m.</w:t>
      </w:r>
      <w:r w:rsidR="001F0249">
        <w:t>’</w:t>
      </w:r>
      <w:r w:rsidR="00B75BCC" w:rsidRPr="00154F1D">
        <w:rPr>
          <w:rStyle w:val="FootnoteReference"/>
        </w:rPr>
        <w:footnoteReference w:id="152"/>
      </w:r>
      <w:r w:rsidR="00403A46" w:rsidRPr="00154F1D">
        <w:t xml:space="preserve"> </w:t>
      </w:r>
    </w:p>
    <w:p w14:paraId="6BBBDD5C" w14:textId="14C30407" w:rsidR="00644D01" w:rsidRPr="00154F1D" w:rsidRDefault="00B31D6A" w:rsidP="00744FAA">
      <w:pPr>
        <w:pStyle w:val="NormalNumberedTextTLRI"/>
      </w:pPr>
      <w:r w:rsidRPr="00154F1D">
        <w:t xml:space="preserve">In response to these concerns, there has been consideration </w:t>
      </w:r>
      <w:r w:rsidR="00D51C83" w:rsidRPr="00154F1D">
        <w:t>of</w:t>
      </w:r>
      <w:r w:rsidR="005A1828" w:rsidRPr="00154F1D">
        <w:t xml:space="preserve"> whether there should be a re-evalua</w:t>
      </w:r>
      <w:r w:rsidR="00645F9A" w:rsidRPr="00154F1D">
        <w:t xml:space="preserve">tion of the basis of the test to incorporate a requirement for </w:t>
      </w:r>
      <w:r w:rsidR="005A1828" w:rsidRPr="00154F1D">
        <w:t>decisio</w:t>
      </w:r>
      <w:r w:rsidR="00645F9A" w:rsidRPr="00154F1D">
        <w:t>n</w:t>
      </w:r>
      <w:r w:rsidR="00B91F24" w:rsidRPr="00154F1D">
        <w:t>-</w:t>
      </w:r>
      <w:r w:rsidR="00645F9A" w:rsidRPr="00154F1D">
        <w:t>making capacity or effective participation or rational decision</w:t>
      </w:r>
      <w:r w:rsidR="00B91F24" w:rsidRPr="00154F1D">
        <w:t>-</w:t>
      </w:r>
      <w:r w:rsidR="00645F9A" w:rsidRPr="00154F1D">
        <w:t>making</w:t>
      </w:r>
      <w:r w:rsidR="005A1828" w:rsidRPr="00154F1D">
        <w:t>.</w:t>
      </w:r>
      <w:r w:rsidR="00697097" w:rsidRPr="00154F1D">
        <w:t xml:space="preserve"> </w:t>
      </w:r>
      <w:r w:rsidR="008F2927" w:rsidRPr="00154F1D">
        <w:t xml:space="preserve">In addition, there has been consideration of whether the current criteria reflect the crucial decisions that an accused makes relevant to </w:t>
      </w:r>
      <w:r w:rsidR="000F7382" w:rsidRPr="00154F1D">
        <w:t xml:space="preserve">his or her </w:t>
      </w:r>
      <w:r w:rsidR="008F2927" w:rsidRPr="00154F1D">
        <w:t>trial.</w:t>
      </w:r>
      <w:r w:rsidR="007E6B2B" w:rsidRPr="00154F1D">
        <w:t xml:space="preserve"> </w:t>
      </w:r>
    </w:p>
    <w:p w14:paraId="0E8AA103" w14:textId="774FA4C3" w:rsidR="00601522" w:rsidRPr="00154F1D" w:rsidRDefault="00601522" w:rsidP="00601522">
      <w:pPr>
        <w:pStyle w:val="furhtersub-heading2"/>
      </w:pPr>
      <w:r w:rsidRPr="00154F1D">
        <w:t>Decision making capacity/effective participation</w:t>
      </w:r>
    </w:p>
    <w:p w14:paraId="38B4D253" w14:textId="287CD7B3" w:rsidR="008B6798" w:rsidRPr="00154F1D" w:rsidRDefault="00096E8B" w:rsidP="00744FAA">
      <w:pPr>
        <w:pStyle w:val="NormalNumberedTextTLRI"/>
      </w:pPr>
      <w:r w:rsidRPr="00154F1D">
        <w:t xml:space="preserve">The </w:t>
      </w:r>
      <w:r w:rsidR="00D575F5" w:rsidRPr="00154F1D">
        <w:t xml:space="preserve">Law Commission of England and Wales </w:t>
      </w:r>
      <w:r w:rsidR="009B036B" w:rsidRPr="00154F1D">
        <w:t>ha</w:t>
      </w:r>
      <w:r w:rsidR="000F7382" w:rsidRPr="00154F1D">
        <w:t>s</w:t>
      </w:r>
      <w:r w:rsidR="009B036B" w:rsidRPr="00154F1D">
        <w:t xml:space="preserve"> recommended replacing the </w:t>
      </w:r>
      <w:r w:rsidR="009B036B" w:rsidRPr="00154F1D">
        <w:rPr>
          <w:i/>
        </w:rPr>
        <w:t>Pritchard</w:t>
      </w:r>
      <w:r w:rsidR="009B036B" w:rsidRPr="00154F1D">
        <w:t xml:space="preserve"> test </w:t>
      </w:r>
      <w:r w:rsidR="00955DDA" w:rsidRPr="00154F1D">
        <w:t xml:space="preserve">(the English equivalent of the </w:t>
      </w:r>
      <w:r w:rsidR="00955DDA" w:rsidRPr="00154F1D">
        <w:rPr>
          <w:i/>
        </w:rPr>
        <w:t xml:space="preserve">Presser </w:t>
      </w:r>
      <w:r w:rsidR="00955DDA" w:rsidRPr="00154F1D">
        <w:t xml:space="preserve">test) </w:t>
      </w:r>
      <w:r w:rsidR="009B036B" w:rsidRPr="00154F1D">
        <w:t>with a test of decision</w:t>
      </w:r>
      <w:r w:rsidR="00B91F24" w:rsidRPr="00154F1D">
        <w:t>-</w:t>
      </w:r>
      <w:r w:rsidR="009B036B" w:rsidRPr="00154F1D">
        <w:t>ma</w:t>
      </w:r>
      <w:r w:rsidR="00115B79" w:rsidRPr="00154F1D">
        <w:t>k</w:t>
      </w:r>
      <w:r w:rsidR="009B036B" w:rsidRPr="00154F1D">
        <w:t>ing capacity</w:t>
      </w:r>
      <w:r w:rsidR="00115B79" w:rsidRPr="00154F1D">
        <w:t xml:space="preserve"> that focuses on an assessment of the </w:t>
      </w:r>
      <w:r w:rsidR="008649FB" w:rsidRPr="00154F1D">
        <w:t>defendant’s</w:t>
      </w:r>
      <w:r w:rsidR="00115B79" w:rsidRPr="00154F1D">
        <w:t xml:space="preserve"> capacity to participate effectively in a trial</w:t>
      </w:r>
      <w:r w:rsidR="001174A6" w:rsidRPr="00154F1D">
        <w:t>.</w:t>
      </w:r>
      <w:r w:rsidR="005365E7" w:rsidRPr="00154F1D">
        <w:rPr>
          <w:rStyle w:val="FootnoteReference"/>
        </w:rPr>
        <w:footnoteReference w:id="153"/>
      </w:r>
      <w:r w:rsidR="001174A6" w:rsidRPr="00154F1D">
        <w:t xml:space="preserve"> </w:t>
      </w:r>
      <w:r w:rsidR="009C647B" w:rsidRPr="00154F1D">
        <w:t xml:space="preserve">Its view was that the </w:t>
      </w:r>
      <w:r w:rsidR="00686407" w:rsidRPr="00154F1D">
        <w:t>lack of emphasis on decision</w:t>
      </w:r>
      <w:r w:rsidR="00B91F24" w:rsidRPr="00154F1D">
        <w:t>-</w:t>
      </w:r>
      <w:r w:rsidR="00686407" w:rsidRPr="00154F1D">
        <w:t xml:space="preserve">making capacity </w:t>
      </w:r>
      <w:r w:rsidR="00427FE8" w:rsidRPr="00154F1D">
        <w:t xml:space="preserve">in the test for fitness </w:t>
      </w:r>
      <w:r w:rsidR="00686407" w:rsidRPr="00154F1D">
        <w:t xml:space="preserve">was </w:t>
      </w:r>
      <w:r w:rsidR="00427FE8" w:rsidRPr="00154F1D">
        <w:t>difficult to reconcile</w:t>
      </w:r>
      <w:r w:rsidR="00686407" w:rsidRPr="00154F1D">
        <w:t xml:space="preserve"> with the </w:t>
      </w:r>
      <w:r w:rsidR="00427FE8" w:rsidRPr="00154F1D">
        <w:t>requirements</w:t>
      </w:r>
      <w:r w:rsidR="00686407" w:rsidRPr="00154F1D">
        <w:t xml:space="preserve"> of </w:t>
      </w:r>
      <w:r w:rsidR="00427FE8" w:rsidRPr="00154F1D">
        <w:t xml:space="preserve">art 6 of </w:t>
      </w:r>
      <w:r w:rsidR="00686407" w:rsidRPr="00154F1D">
        <w:t xml:space="preserve">the </w:t>
      </w:r>
      <w:r w:rsidR="00427FE8" w:rsidRPr="00154F1D">
        <w:rPr>
          <w:i/>
        </w:rPr>
        <w:t>European</w:t>
      </w:r>
      <w:r w:rsidR="00686407" w:rsidRPr="00154F1D">
        <w:rPr>
          <w:i/>
        </w:rPr>
        <w:t xml:space="preserve"> Conv</w:t>
      </w:r>
      <w:r w:rsidR="00427FE8" w:rsidRPr="00154F1D">
        <w:rPr>
          <w:i/>
        </w:rPr>
        <w:t>e</w:t>
      </w:r>
      <w:r w:rsidR="00686407" w:rsidRPr="00154F1D">
        <w:rPr>
          <w:i/>
        </w:rPr>
        <w:t>ntion on Human Rights</w:t>
      </w:r>
      <w:r w:rsidR="00955DDA" w:rsidRPr="00154F1D">
        <w:t xml:space="preserve">, which </w:t>
      </w:r>
      <w:r w:rsidR="00427FE8" w:rsidRPr="00154F1D">
        <w:t xml:space="preserve">require </w:t>
      </w:r>
      <w:r w:rsidR="00B91F24" w:rsidRPr="00154F1D">
        <w:t xml:space="preserve">that </w:t>
      </w:r>
      <w:r w:rsidR="00427FE8" w:rsidRPr="00154F1D">
        <w:t xml:space="preserve">an accused be </w:t>
      </w:r>
      <w:r w:rsidR="000F7382" w:rsidRPr="00154F1D">
        <w:t xml:space="preserve">able </w:t>
      </w:r>
      <w:r w:rsidR="00427FE8" w:rsidRPr="00154F1D">
        <w:t>to participate effectively in his or</w:t>
      </w:r>
      <w:r w:rsidR="00B91F24" w:rsidRPr="00154F1D">
        <w:t xml:space="preserve"> her</w:t>
      </w:r>
      <w:r w:rsidR="00427FE8" w:rsidRPr="00154F1D">
        <w:t xml:space="preserve"> trial.</w:t>
      </w:r>
      <w:r w:rsidR="00427FE8" w:rsidRPr="00154F1D">
        <w:rPr>
          <w:rStyle w:val="FootnoteReference"/>
        </w:rPr>
        <w:footnoteReference w:id="154"/>
      </w:r>
      <w:r w:rsidR="00427FE8" w:rsidRPr="00154F1D">
        <w:t xml:space="preserve"> </w:t>
      </w:r>
      <w:r w:rsidR="00955DDA" w:rsidRPr="00154F1D">
        <w:t>The Law Commission also considered that a test of decision</w:t>
      </w:r>
      <w:r w:rsidR="001F0249">
        <w:t>-</w:t>
      </w:r>
      <w:r w:rsidR="00955DDA" w:rsidRPr="00154F1D">
        <w:t>making capacity and effective participati</w:t>
      </w:r>
      <w:r w:rsidR="000F7382" w:rsidRPr="00154F1D">
        <w:t>on</w:t>
      </w:r>
      <w:r w:rsidR="00955DDA" w:rsidRPr="00154F1D">
        <w:t xml:space="preserve"> </w:t>
      </w:r>
      <w:r w:rsidR="00A50086" w:rsidRPr="00154F1D">
        <w:t>would provide for a modernised approach that better reflect</w:t>
      </w:r>
      <w:r w:rsidR="000F7382" w:rsidRPr="00154F1D">
        <w:t>s</w:t>
      </w:r>
      <w:r w:rsidR="00A50086" w:rsidRPr="00154F1D">
        <w:t xml:space="preserve"> ‘current medical understanding and legal practice in the field of incapacity</w:t>
      </w:r>
      <w:r w:rsidR="001F0249" w:rsidRPr="00154F1D">
        <w:t>.</w:t>
      </w:r>
      <w:r w:rsidR="00A50086" w:rsidRPr="00154F1D">
        <w:t>’</w:t>
      </w:r>
      <w:r w:rsidR="00A50086" w:rsidRPr="00154F1D">
        <w:rPr>
          <w:rStyle w:val="FootnoteReference"/>
        </w:rPr>
        <w:footnoteReference w:id="155"/>
      </w:r>
      <w:r w:rsidR="00A50086" w:rsidRPr="00154F1D">
        <w:t xml:space="preserve"> </w:t>
      </w:r>
      <w:r w:rsidR="00955DDA" w:rsidRPr="00154F1D">
        <w:t xml:space="preserve">This revised test was also said to be </w:t>
      </w:r>
      <w:r w:rsidR="005615CA" w:rsidRPr="00154F1D">
        <w:t xml:space="preserve">consistent with the </w:t>
      </w:r>
      <w:r w:rsidR="00BA180A" w:rsidRPr="00154F1D">
        <w:t xml:space="preserve">test of capacity as defined in the </w:t>
      </w:r>
      <w:r w:rsidR="00BA180A" w:rsidRPr="00154F1D">
        <w:rPr>
          <w:i/>
        </w:rPr>
        <w:t xml:space="preserve">Mental Capacity Act 2005 </w:t>
      </w:r>
      <w:r w:rsidR="00BA180A" w:rsidRPr="00154F1D">
        <w:t>(UK) that focuse</w:t>
      </w:r>
      <w:r w:rsidR="000F7382" w:rsidRPr="00154F1D">
        <w:t>s</w:t>
      </w:r>
      <w:r w:rsidR="00BA180A" w:rsidRPr="00154F1D">
        <w:t xml:space="preserve"> on ability to make decisions.</w:t>
      </w:r>
      <w:r w:rsidR="00BA180A" w:rsidRPr="00154F1D">
        <w:rPr>
          <w:rStyle w:val="FootnoteReference"/>
        </w:rPr>
        <w:footnoteReference w:id="156"/>
      </w:r>
      <w:r w:rsidR="00BA3CB8" w:rsidRPr="00154F1D">
        <w:t xml:space="preserve"> </w:t>
      </w:r>
    </w:p>
    <w:p w14:paraId="2B8710A2" w14:textId="0C2C3064" w:rsidR="00DA1E67" w:rsidRPr="00154F1D" w:rsidRDefault="00D56E76" w:rsidP="00744FAA">
      <w:pPr>
        <w:pStyle w:val="NormalNumberedTextTLRI"/>
      </w:pPr>
      <w:r w:rsidRPr="00154F1D">
        <w:t xml:space="preserve">In making an assessment of an </w:t>
      </w:r>
      <w:r w:rsidR="0065769D">
        <w:t>accused</w:t>
      </w:r>
      <w:r w:rsidR="0065769D" w:rsidRPr="00154F1D">
        <w:t xml:space="preserve">’s </w:t>
      </w:r>
      <w:r w:rsidRPr="00154F1D">
        <w:t>capacity, the Law Commission adopted a ‘process</w:t>
      </w:r>
      <w:r w:rsidR="004B53E7" w:rsidRPr="00154F1D">
        <w:t>’ or ‘functional’</w:t>
      </w:r>
      <w:r w:rsidRPr="00154F1D">
        <w:t xml:space="preserve"> approach </w:t>
      </w:r>
      <w:r w:rsidR="00DA1E67" w:rsidRPr="00154F1D">
        <w:t>(</w:t>
      </w:r>
      <w:r w:rsidRPr="00154F1D">
        <w:t xml:space="preserve">focusing on the </w:t>
      </w:r>
      <w:r w:rsidR="004B53E7" w:rsidRPr="00154F1D">
        <w:t>decision-making processes of the accused</w:t>
      </w:r>
      <w:r w:rsidR="00DA1E67" w:rsidRPr="00154F1D">
        <w:t>)</w:t>
      </w:r>
      <w:r w:rsidRPr="00154F1D">
        <w:t xml:space="preserve"> rather </w:t>
      </w:r>
      <w:r w:rsidR="000F7382" w:rsidRPr="00154F1D">
        <w:t xml:space="preserve">than </w:t>
      </w:r>
      <w:r w:rsidRPr="00154F1D">
        <w:t>an ‘outcome</w:t>
      </w:r>
      <w:r w:rsidR="004B53E7" w:rsidRPr="00154F1D">
        <w:t>’ or ‘status’</w:t>
      </w:r>
      <w:r w:rsidRPr="00154F1D">
        <w:t xml:space="preserve"> approach</w:t>
      </w:r>
      <w:r w:rsidR="004B53E7" w:rsidRPr="00154F1D">
        <w:t xml:space="preserve"> </w:t>
      </w:r>
      <w:r w:rsidR="00DA1E67" w:rsidRPr="00154F1D">
        <w:t>(</w:t>
      </w:r>
      <w:r w:rsidR="004B53E7" w:rsidRPr="00154F1D">
        <w:t>focusing on the rationality of the decision</w:t>
      </w:r>
      <w:r w:rsidR="00DA1E67" w:rsidRPr="00154F1D">
        <w:t>)</w:t>
      </w:r>
      <w:r w:rsidR="004B53E7" w:rsidRPr="00154F1D">
        <w:t>.</w:t>
      </w:r>
      <w:r w:rsidR="004B53E7" w:rsidRPr="00154F1D">
        <w:rPr>
          <w:rStyle w:val="FootnoteReference"/>
        </w:rPr>
        <w:footnoteReference w:id="157"/>
      </w:r>
      <w:r w:rsidR="004B53E7" w:rsidRPr="00154F1D">
        <w:t xml:space="preserve"> It considered that (relying on the approach in</w:t>
      </w:r>
      <w:r w:rsidR="000F7382" w:rsidRPr="00154F1D">
        <w:t xml:space="preserve"> the</w:t>
      </w:r>
      <w:r w:rsidR="004B53E7" w:rsidRPr="00154F1D">
        <w:t xml:space="preserve"> </w:t>
      </w:r>
      <w:r w:rsidR="004B53E7" w:rsidRPr="00154F1D">
        <w:rPr>
          <w:i/>
        </w:rPr>
        <w:t>Mental Capacity Act 2005</w:t>
      </w:r>
      <w:r w:rsidR="004B53E7" w:rsidRPr="00154F1D">
        <w:t xml:space="preserve"> (UK) s 3) an accused </w:t>
      </w:r>
      <w:r w:rsidR="002031D7" w:rsidRPr="00154F1D">
        <w:t>should</w:t>
      </w:r>
      <w:r w:rsidR="004B53E7" w:rsidRPr="00154F1D">
        <w:t xml:space="preserve"> </w:t>
      </w:r>
      <w:r w:rsidR="002031D7" w:rsidRPr="00154F1D">
        <w:t>be</w:t>
      </w:r>
      <w:r w:rsidR="004B53E7" w:rsidRPr="00154F1D">
        <w:t xml:space="preserve"> fo</w:t>
      </w:r>
      <w:r w:rsidR="002031D7" w:rsidRPr="00154F1D">
        <w:t>und</w:t>
      </w:r>
      <w:r w:rsidR="004B53E7" w:rsidRPr="00154F1D">
        <w:t xml:space="preserve"> to lack capacity if he or she is unable: </w:t>
      </w:r>
    </w:p>
    <w:p w14:paraId="6651CDBA" w14:textId="77777777" w:rsidR="00DA1E67" w:rsidRPr="00154F1D" w:rsidRDefault="004B53E7" w:rsidP="00B91F24">
      <w:pPr>
        <w:pStyle w:val="DotPointTLRI"/>
        <w:ind w:left="851" w:hanging="425"/>
      </w:pPr>
      <w:r w:rsidRPr="00154F1D">
        <w:t xml:space="preserve">to </w:t>
      </w:r>
      <w:r w:rsidR="002031D7" w:rsidRPr="00154F1D">
        <w:t>understand</w:t>
      </w:r>
      <w:r w:rsidRPr="00154F1D">
        <w:t xml:space="preserve"> the information relevant to the decisions that he or she will have to make in the </w:t>
      </w:r>
      <w:r w:rsidR="002031D7" w:rsidRPr="00154F1D">
        <w:t>course</w:t>
      </w:r>
      <w:r w:rsidRPr="00154F1D">
        <w:t xml:space="preserve"> of his or her </w:t>
      </w:r>
      <w:r w:rsidR="002031D7" w:rsidRPr="00154F1D">
        <w:t>trial</w:t>
      </w:r>
      <w:r w:rsidRPr="00154F1D">
        <w:t xml:space="preserve">; </w:t>
      </w:r>
    </w:p>
    <w:p w14:paraId="36DBBF2C" w14:textId="351C9828" w:rsidR="00DA1E67" w:rsidRPr="00154F1D" w:rsidRDefault="004B53E7" w:rsidP="00B91F24">
      <w:pPr>
        <w:pStyle w:val="DotPointTLRI"/>
        <w:ind w:left="851" w:hanging="425"/>
      </w:pPr>
      <w:r w:rsidRPr="00154F1D">
        <w:t>to ret</w:t>
      </w:r>
      <w:r w:rsidR="002031D7" w:rsidRPr="00154F1D">
        <w:t>ain</w:t>
      </w:r>
      <w:r w:rsidRPr="00154F1D">
        <w:t xml:space="preserve"> that information; to use or weigh that information</w:t>
      </w:r>
      <w:r w:rsidR="002031D7" w:rsidRPr="00154F1D">
        <w:t xml:space="preserve"> </w:t>
      </w:r>
      <w:r w:rsidRPr="00154F1D">
        <w:t>as part of t</w:t>
      </w:r>
      <w:r w:rsidR="002031D7" w:rsidRPr="00154F1D">
        <w:t xml:space="preserve">he </w:t>
      </w:r>
      <w:r w:rsidRPr="00154F1D">
        <w:t>decision</w:t>
      </w:r>
      <w:r w:rsidR="001F0249">
        <w:t>-</w:t>
      </w:r>
      <w:r w:rsidRPr="00154F1D">
        <w:t>making pr</w:t>
      </w:r>
      <w:r w:rsidR="002031D7" w:rsidRPr="00154F1D">
        <w:t>o</w:t>
      </w:r>
      <w:r w:rsidRPr="00154F1D">
        <w:t xml:space="preserve">cess; </w:t>
      </w:r>
      <w:r w:rsidR="00D5694B" w:rsidRPr="00154F1D">
        <w:t>or</w:t>
      </w:r>
    </w:p>
    <w:p w14:paraId="4DBB4DEC" w14:textId="0BD32B36" w:rsidR="00DA1E67" w:rsidRPr="00154F1D" w:rsidRDefault="000F7382" w:rsidP="00B91F24">
      <w:pPr>
        <w:pStyle w:val="DotPointTLRI"/>
        <w:ind w:left="851" w:hanging="425"/>
      </w:pPr>
      <w:r w:rsidRPr="00154F1D">
        <w:t xml:space="preserve">to </w:t>
      </w:r>
      <w:r w:rsidR="004B53E7" w:rsidRPr="00154F1D">
        <w:t xml:space="preserve">communicate </w:t>
      </w:r>
      <w:r w:rsidR="002031D7" w:rsidRPr="00154F1D">
        <w:t>his or her decision</w:t>
      </w:r>
      <w:r w:rsidR="004B53E7" w:rsidRPr="00154F1D">
        <w:t>s.</w:t>
      </w:r>
      <w:r w:rsidR="004B53E7" w:rsidRPr="00154F1D">
        <w:rPr>
          <w:rStyle w:val="FootnoteReference"/>
        </w:rPr>
        <w:footnoteReference w:id="158"/>
      </w:r>
      <w:r w:rsidR="008B6798" w:rsidRPr="00154F1D">
        <w:t xml:space="preserve"> </w:t>
      </w:r>
    </w:p>
    <w:p w14:paraId="45A60C18" w14:textId="400089B2" w:rsidR="00E71204" w:rsidRPr="00154F1D" w:rsidRDefault="004E1F1B" w:rsidP="00744FAA">
      <w:pPr>
        <w:pStyle w:val="NormalNumberedTextTLRI"/>
      </w:pPr>
      <w:r w:rsidRPr="00154F1D">
        <w:t>This was also the approach of the ALRC</w:t>
      </w:r>
      <w:r w:rsidR="00E71204" w:rsidRPr="00154F1D">
        <w:t xml:space="preserve">, </w:t>
      </w:r>
      <w:r w:rsidR="009E51C2" w:rsidRPr="00154F1D">
        <w:t xml:space="preserve">which </w:t>
      </w:r>
      <w:r w:rsidR="00E71204" w:rsidRPr="00154F1D">
        <w:t xml:space="preserve">recommended that the </w:t>
      </w:r>
      <w:r w:rsidR="00E71204" w:rsidRPr="00154F1D">
        <w:rPr>
          <w:i/>
        </w:rPr>
        <w:t>Crimes Act 1914</w:t>
      </w:r>
      <w:r w:rsidR="00E71204" w:rsidRPr="00154F1D">
        <w:t xml:space="preserve"> (Cth) be amended to provide that a person is unfit to stand trial if the person cannot be supported to:</w:t>
      </w:r>
    </w:p>
    <w:p w14:paraId="0E2AC652" w14:textId="74C3EEB0" w:rsidR="00E71204" w:rsidRPr="00154F1D" w:rsidRDefault="00E71204" w:rsidP="00D97283">
      <w:pPr>
        <w:pStyle w:val="QuoteTLRI"/>
        <w:spacing w:after="120"/>
        <w:ind w:left="1276" w:right="788" w:hanging="425"/>
      </w:pPr>
      <w:r w:rsidRPr="00154F1D">
        <w:t>(a)</w:t>
      </w:r>
      <w:r w:rsidR="002F7EA6" w:rsidRPr="00154F1D">
        <w:tab/>
      </w:r>
      <w:r w:rsidRPr="00154F1D">
        <w:t>understand the information relevant to the decisions that they will have to make in the course of the proceedings; </w:t>
      </w:r>
    </w:p>
    <w:p w14:paraId="1A06E3D9" w14:textId="5B6F50F8" w:rsidR="00E71204" w:rsidRPr="00154F1D" w:rsidRDefault="00E71204" w:rsidP="00D97283">
      <w:pPr>
        <w:pStyle w:val="QuoteTLRI"/>
        <w:spacing w:after="120"/>
        <w:ind w:left="1276" w:right="788" w:hanging="425"/>
      </w:pPr>
      <w:r w:rsidRPr="00154F1D">
        <w:t>(b)</w:t>
      </w:r>
      <w:r w:rsidR="002F7EA6" w:rsidRPr="00154F1D">
        <w:tab/>
      </w:r>
      <w:r w:rsidRPr="00154F1D">
        <w:t>retain that information to the extent necessary to make decisions in the course of the proceedings; </w:t>
      </w:r>
    </w:p>
    <w:p w14:paraId="155FCE2E" w14:textId="22AD5CDF" w:rsidR="00E71204" w:rsidRPr="00154F1D" w:rsidRDefault="00E71204" w:rsidP="00D97283">
      <w:pPr>
        <w:pStyle w:val="QuoteTLRI"/>
        <w:spacing w:after="120"/>
        <w:ind w:left="1276" w:right="788" w:hanging="425"/>
      </w:pPr>
      <w:r w:rsidRPr="00154F1D">
        <w:t>(c)</w:t>
      </w:r>
      <w:r w:rsidR="002F7EA6" w:rsidRPr="00154F1D">
        <w:tab/>
      </w:r>
      <w:r w:rsidRPr="00154F1D">
        <w:t>use or weigh that information as part of the process of making decisions; or</w:t>
      </w:r>
    </w:p>
    <w:p w14:paraId="17758617" w14:textId="3C6D1F47" w:rsidR="00E71204" w:rsidRPr="00154F1D" w:rsidRDefault="00E71204" w:rsidP="00D97283">
      <w:pPr>
        <w:pStyle w:val="QuoteTLRI"/>
        <w:ind w:left="1276" w:hanging="425"/>
      </w:pPr>
      <w:r w:rsidRPr="00154F1D">
        <w:t>(d)</w:t>
      </w:r>
      <w:r w:rsidR="002F7EA6" w:rsidRPr="00154F1D">
        <w:tab/>
      </w:r>
      <w:r w:rsidRPr="00154F1D">
        <w:t>communicate the decisions in some way.</w:t>
      </w:r>
      <w:r w:rsidRPr="00154F1D">
        <w:rPr>
          <w:rStyle w:val="FootnoteReference"/>
          <w:rFonts w:eastAsiaTheme="minorEastAsia"/>
          <w:szCs w:val="16"/>
          <w:lang w:val="en-US"/>
        </w:rPr>
        <w:footnoteReference w:id="159"/>
      </w:r>
    </w:p>
    <w:p w14:paraId="4DCB597C" w14:textId="49413585" w:rsidR="00955DDA" w:rsidRPr="00154F1D" w:rsidRDefault="00E71204" w:rsidP="00261BC9">
      <w:pPr>
        <w:pStyle w:val="NormalNumberedTextTLRI"/>
        <w:numPr>
          <w:ilvl w:val="0"/>
          <w:numId w:val="0"/>
        </w:numPr>
      </w:pPr>
      <w:r w:rsidRPr="00154F1D">
        <w:t>This approach reflected the ALRC’s view that decision</w:t>
      </w:r>
      <w:r w:rsidR="00261BC9" w:rsidRPr="00154F1D">
        <w:t>-</w:t>
      </w:r>
      <w:r w:rsidRPr="00154F1D">
        <w:t xml:space="preserve">making ability in the context of the particular criminal proceedings should be central to the inquiry in relation to fitness. This approach was informed by the </w:t>
      </w:r>
      <w:r w:rsidRPr="00154F1D">
        <w:rPr>
          <w:i/>
        </w:rPr>
        <w:t>CRPD</w:t>
      </w:r>
      <w:r w:rsidRPr="00154F1D">
        <w:t>.</w:t>
      </w:r>
      <w:r w:rsidRPr="00154F1D">
        <w:rPr>
          <w:rStyle w:val="FootnoteReference"/>
        </w:rPr>
        <w:footnoteReference w:id="160"/>
      </w:r>
    </w:p>
    <w:p w14:paraId="6244310A" w14:textId="0D34B700" w:rsidR="00DA1E67" w:rsidRPr="00154F1D" w:rsidRDefault="00137ACB" w:rsidP="00744FAA">
      <w:pPr>
        <w:pStyle w:val="NormalNumberedTextTLRI"/>
      </w:pPr>
      <w:r w:rsidRPr="00154F1D">
        <w:t xml:space="preserve">The </w:t>
      </w:r>
      <w:r w:rsidR="00DA1E67" w:rsidRPr="00154F1D">
        <w:t xml:space="preserve">Law </w:t>
      </w:r>
      <w:r w:rsidRPr="00154F1D">
        <w:t>Commission also recommended</w:t>
      </w:r>
      <w:r w:rsidR="002E27CC" w:rsidRPr="00154F1D">
        <w:t xml:space="preserve"> </w:t>
      </w:r>
      <w:r w:rsidR="004676DF" w:rsidRPr="00154F1D">
        <w:t xml:space="preserve">that the following </w:t>
      </w:r>
      <w:r w:rsidR="00335584" w:rsidRPr="00154F1D">
        <w:t xml:space="preserve">abilities be specified as relevant to the assessment of the defendant’s capacity for effective participation: </w:t>
      </w:r>
    </w:p>
    <w:p w14:paraId="21790827" w14:textId="77777777" w:rsidR="00DA1E67" w:rsidRPr="00154F1D" w:rsidRDefault="00335584" w:rsidP="00261BC9">
      <w:pPr>
        <w:pStyle w:val="DotPointTLRI"/>
        <w:ind w:left="851" w:hanging="425"/>
      </w:pPr>
      <w:r w:rsidRPr="00154F1D">
        <w:t xml:space="preserve">to understand the </w:t>
      </w:r>
      <w:r w:rsidR="00BB7991" w:rsidRPr="00154F1D">
        <w:t xml:space="preserve">charges (what the charge means, its nature and the evidence on which the prosecution rely to establish the charge); </w:t>
      </w:r>
    </w:p>
    <w:p w14:paraId="51361BC7" w14:textId="77777777" w:rsidR="00DA1E67" w:rsidRPr="00154F1D" w:rsidRDefault="00BB7991" w:rsidP="00261BC9">
      <w:pPr>
        <w:pStyle w:val="DotPointTLRI"/>
        <w:ind w:left="851" w:hanging="425"/>
      </w:pPr>
      <w:r w:rsidRPr="00154F1D">
        <w:t xml:space="preserve">to understand the trial process and the consequences of being convicted; </w:t>
      </w:r>
    </w:p>
    <w:p w14:paraId="3CE93AF6" w14:textId="77777777" w:rsidR="00D23D36" w:rsidRDefault="00BB7991" w:rsidP="00261BC9">
      <w:pPr>
        <w:pStyle w:val="DotPointTLRI"/>
        <w:ind w:left="851" w:hanging="425"/>
      </w:pPr>
      <w:r w:rsidRPr="00154F1D">
        <w:t xml:space="preserve">to give instructions to a legal representative; </w:t>
      </w:r>
    </w:p>
    <w:p w14:paraId="2C0E3BCC" w14:textId="044096E3" w:rsidR="00DA1E67" w:rsidRPr="00154F1D" w:rsidRDefault="00BB7991" w:rsidP="00261BC9">
      <w:pPr>
        <w:pStyle w:val="DotPointTLRI"/>
        <w:ind w:left="851" w:hanging="425"/>
      </w:pPr>
      <w:r w:rsidRPr="00154F1D">
        <w:t>to follow proceed</w:t>
      </w:r>
      <w:r w:rsidR="001873CC" w:rsidRPr="00154F1D">
        <w:t>ing</w:t>
      </w:r>
      <w:r w:rsidRPr="00154F1D">
        <w:t>s</w:t>
      </w:r>
      <w:r w:rsidR="001873CC" w:rsidRPr="00154F1D">
        <w:t xml:space="preserve"> </w:t>
      </w:r>
      <w:r w:rsidRPr="00154F1D">
        <w:t xml:space="preserve">in courts; </w:t>
      </w:r>
    </w:p>
    <w:p w14:paraId="52522D72" w14:textId="77777777" w:rsidR="00D23D36" w:rsidRDefault="00BB7991" w:rsidP="00261BC9">
      <w:pPr>
        <w:pStyle w:val="DotPointTLRI"/>
        <w:ind w:left="851" w:hanging="425"/>
      </w:pPr>
      <w:r w:rsidRPr="00154F1D">
        <w:t>to give evidence</w:t>
      </w:r>
      <w:r w:rsidR="001873CC" w:rsidRPr="00154F1D">
        <w:t xml:space="preserve">; </w:t>
      </w:r>
    </w:p>
    <w:p w14:paraId="5D95A4D9" w14:textId="07513B07" w:rsidR="00DA1E67" w:rsidRPr="00154F1D" w:rsidRDefault="00A70562" w:rsidP="00261BC9">
      <w:pPr>
        <w:pStyle w:val="DotPointTLRI"/>
        <w:ind w:left="851" w:hanging="425"/>
      </w:pPr>
      <w:r w:rsidRPr="00154F1D">
        <w:t>to make a decision about whether to p</w:t>
      </w:r>
      <w:r w:rsidR="001873CC" w:rsidRPr="00154F1D">
        <w:t>lea</w:t>
      </w:r>
      <w:r w:rsidRPr="00154F1D">
        <w:t xml:space="preserve">d guilty or not </w:t>
      </w:r>
      <w:r w:rsidR="001873CC" w:rsidRPr="00154F1D">
        <w:t>guilty;</w:t>
      </w:r>
    </w:p>
    <w:p w14:paraId="089A517A" w14:textId="77777777" w:rsidR="00DA1E67" w:rsidRPr="00154F1D" w:rsidRDefault="00A70562" w:rsidP="00261BC9">
      <w:pPr>
        <w:pStyle w:val="DotPointTLRI"/>
        <w:ind w:left="851" w:hanging="425"/>
      </w:pPr>
      <w:r w:rsidRPr="00154F1D">
        <w:t xml:space="preserve">to make a decision about whether </w:t>
      </w:r>
      <w:r w:rsidR="001873CC" w:rsidRPr="00154F1D">
        <w:t xml:space="preserve">to give evidence; </w:t>
      </w:r>
    </w:p>
    <w:p w14:paraId="2D65C31E" w14:textId="77777777" w:rsidR="00DA1E67" w:rsidRPr="00154F1D" w:rsidRDefault="00A70562" w:rsidP="00261BC9">
      <w:pPr>
        <w:pStyle w:val="DotPointTLRI"/>
        <w:ind w:left="851" w:hanging="425"/>
      </w:pPr>
      <w:r w:rsidRPr="00154F1D">
        <w:t>to make a decision about whether to elect Crown Court trial</w:t>
      </w:r>
      <w:r w:rsidR="001873CC" w:rsidRPr="00154F1D">
        <w:t>;</w:t>
      </w:r>
      <w:r w:rsidRPr="00154F1D">
        <w:t xml:space="preserve"> </w:t>
      </w:r>
    </w:p>
    <w:p w14:paraId="452FA52B" w14:textId="77777777" w:rsidR="00DA1E67" w:rsidRPr="00154F1D" w:rsidRDefault="00A70562" w:rsidP="00261BC9">
      <w:pPr>
        <w:pStyle w:val="DotPointTLRI"/>
        <w:ind w:left="851" w:hanging="425"/>
      </w:pPr>
      <w:r w:rsidRPr="00154F1D">
        <w:t xml:space="preserve">and any other </w:t>
      </w:r>
      <w:r w:rsidR="001873CC" w:rsidRPr="00154F1D">
        <w:t>decision</w:t>
      </w:r>
      <w:r w:rsidRPr="00154F1D">
        <w:t xml:space="preserve"> that might need to be made by the </w:t>
      </w:r>
      <w:r w:rsidR="001873CC" w:rsidRPr="00154F1D">
        <w:t>defendant</w:t>
      </w:r>
      <w:r w:rsidRPr="00154F1D">
        <w:t xml:space="preserve"> in connection with the trial.</w:t>
      </w:r>
      <w:r w:rsidR="001873CC" w:rsidRPr="00154F1D">
        <w:rPr>
          <w:rStyle w:val="FootnoteReference"/>
        </w:rPr>
        <w:footnoteReference w:id="161"/>
      </w:r>
      <w:r w:rsidR="001873CC" w:rsidRPr="00154F1D">
        <w:t xml:space="preserve"> </w:t>
      </w:r>
    </w:p>
    <w:p w14:paraId="2EBCF345" w14:textId="4FE04EF7" w:rsidR="007071E2" w:rsidRPr="00154F1D" w:rsidRDefault="008B6798" w:rsidP="00744FAA">
      <w:pPr>
        <w:pStyle w:val="NormalNumberedTextTLRI"/>
        <w:numPr>
          <w:ilvl w:val="0"/>
          <w:numId w:val="0"/>
        </w:numPr>
      </w:pPr>
      <w:r w:rsidRPr="00154F1D">
        <w:t xml:space="preserve">This approach was also </w:t>
      </w:r>
      <w:r w:rsidR="00384C83" w:rsidRPr="00154F1D">
        <w:t>endors</w:t>
      </w:r>
      <w:r w:rsidR="00833675" w:rsidRPr="00154F1D">
        <w:t>ed</w:t>
      </w:r>
      <w:r w:rsidRPr="00154F1D">
        <w:t xml:space="preserve"> by the </w:t>
      </w:r>
      <w:r w:rsidR="00833675" w:rsidRPr="00154F1D">
        <w:t>Northern</w:t>
      </w:r>
      <w:r w:rsidRPr="00154F1D">
        <w:t xml:space="preserve"> Ireland Law Commission.</w:t>
      </w:r>
      <w:r w:rsidRPr="00154F1D">
        <w:rPr>
          <w:rStyle w:val="FootnoteReference"/>
        </w:rPr>
        <w:footnoteReference w:id="162"/>
      </w:r>
    </w:p>
    <w:p w14:paraId="271D6518" w14:textId="18FD3DE9" w:rsidR="00DA1E67" w:rsidRPr="00154F1D" w:rsidRDefault="00DA1E67" w:rsidP="00744FAA">
      <w:pPr>
        <w:pStyle w:val="NormalNumberedTextTLRI"/>
      </w:pPr>
      <w:r w:rsidRPr="00154F1D">
        <w:t>The requirement</w:t>
      </w:r>
      <w:r w:rsidR="00DF7294" w:rsidRPr="00154F1D">
        <w:t>s</w:t>
      </w:r>
      <w:r w:rsidRPr="00154F1D">
        <w:t xml:space="preserve"> for e</w:t>
      </w:r>
      <w:r w:rsidR="00931148" w:rsidRPr="00154F1D">
        <w:t xml:space="preserve">ffective participation </w:t>
      </w:r>
      <w:r w:rsidR="00DF7294" w:rsidRPr="00154F1D">
        <w:t>are</w:t>
      </w:r>
      <w:r w:rsidR="00931148" w:rsidRPr="00154F1D">
        <w:t xml:space="preserve"> set out in legislation in Scotland.</w:t>
      </w:r>
      <w:r w:rsidR="008A5805" w:rsidRPr="00154F1D">
        <w:t xml:space="preserve"> </w:t>
      </w:r>
      <w:r w:rsidR="00931148" w:rsidRPr="00154F1D">
        <w:t>F</w:t>
      </w:r>
      <w:r w:rsidR="00435ECD" w:rsidRPr="00154F1D">
        <w:t>ollowing recommendations of the Sco</w:t>
      </w:r>
      <w:r w:rsidR="00B465DC" w:rsidRPr="00154F1D">
        <w:t>t</w:t>
      </w:r>
      <w:r w:rsidR="00435ECD" w:rsidRPr="00154F1D">
        <w:t>tish Law Commission</w:t>
      </w:r>
      <w:r w:rsidR="002E27CC" w:rsidRPr="00154F1D">
        <w:t>,</w:t>
      </w:r>
      <w:bookmarkStart w:id="93" w:name="_Ref535409289"/>
      <w:r w:rsidR="002E27CC" w:rsidRPr="00154F1D">
        <w:rPr>
          <w:rStyle w:val="FootnoteReference"/>
        </w:rPr>
        <w:footnoteReference w:id="163"/>
      </w:r>
      <w:bookmarkEnd w:id="93"/>
      <w:r w:rsidR="002E27CC" w:rsidRPr="00154F1D">
        <w:t xml:space="preserve"> </w:t>
      </w:r>
      <w:r w:rsidR="00137ACB" w:rsidRPr="00154F1D">
        <w:t xml:space="preserve">the </w:t>
      </w:r>
      <w:r w:rsidR="00137ACB" w:rsidRPr="00154F1D">
        <w:rPr>
          <w:i/>
        </w:rPr>
        <w:t xml:space="preserve">Criminal Procedure (Scotland) Act 1995 </w:t>
      </w:r>
      <w:r w:rsidR="00137ACB" w:rsidRPr="00154F1D">
        <w:t xml:space="preserve">was amended to </w:t>
      </w:r>
      <w:r w:rsidR="00B87258" w:rsidRPr="00154F1D">
        <w:t xml:space="preserve">provide that ‘a </w:t>
      </w:r>
      <w:r w:rsidR="00137ACB" w:rsidRPr="00154F1D">
        <w:t xml:space="preserve">person is unfit for trial if it is established </w:t>
      </w:r>
      <w:r w:rsidR="00B87258" w:rsidRPr="00154F1D">
        <w:t>…</w:t>
      </w:r>
      <w:r w:rsidR="00137ACB" w:rsidRPr="00154F1D">
        <w:t xml:space="preserve"> that the person is incapable, by reason of a mental or physical condition, of parti</w:t>
      </w:r>
      <w:r w:rsidR="00B87258" w:rsidRPr="00154F1D">
        <w:t>cipating effectively in a trial.</w:t>
      </w:r>
      <w:r w:rsidR="001429CC" w:rsidRPr="00154F1D">
        <w:t>’</w:t>
      </w:r>
      <w:r w:rsidR="00B87258" w:rsidRPr="00154F1D">
        <w:rPr>
          <w:rStyle w:val="FootnoteReference"/>
        </w:rPr>
        <w:footnoteReference w:id="164"/>
      </w:r>
      <w:r w:rsidR="004676DF" w:rsidRPr="00154F1D">
        <w:t xml:space="preserve"> In making the deter</w:t>
      </w:r>
      <w:r w:rsidR="00B87258" w:rsidRPr="00154F1D">
        <w:t>m</w:t>
      </w:r>
      <w:r w:rsidR="004676DF" w:rsidRPr="00154F1D">
        <w:t>in</w:t>
      </w:r>
      <w:r w:rsidR="00B87258" w:rsidRPr="00154F1D">
        <w:t xml:space="preserve">ation of fitness, the court is to have regard to the following factors: </w:t>
      </w:r>
    </w:p>
    <w:p w14:paraId="536C27C5" w14:textId="1F9B8A24" w:rsidR="00DA1E67" w:rsidRPr="00154F1D" w:rsidRDefault="00B87258" w:rsidP="00BF6D8A">
      <w:pPr>
        <w:pStyle w:val="QuoteTLRI"/>
        <w:spacing w:after="120"/>
        <w:ind w:left="1276" w:right="788" w:hanging="425"/>
      </w:pPr>
      <w:r w:rsidRPr="00154F1D">
        <w:t>(a)</w:t>
      </w:r>
      <w:r w:rsidR="00C67929" w:rsidRPr="00154F1D">
        <w:tab/>
      </w:r>
      <w:r w:rsidR="00137ACB" w:rsidRPr="00154F1D">
        <w:t>the ability of the person to</w:t>
      </w:r>
      <w:r w:rsidRPr="00154F1D">
        <w:t xml:space="preserve"> </w:t>
      </w:r>
      <w:r w:rsidR="00137ACB" w:rsidRPr="00154F1D">
        <w:t>—</w:t>
      </w:r>
      <w:r w:rsidRPr="00154F1D">
        <w:t xml:space="preserve"> </w:t>
      </w:r>
      <w:r w:rsidR="00137ACB" w:rsidRPr="00154F1D">
        <w:t>unde</w:t>
      </w:r>
      <w:r w:rsidRPr="00154F1D">
        <w:t>rs</w:t>
      </w:r>
      <w:r w:rsidR="00DA1E67" w:rsidRPr="00154F1D">
        <w:t xml:space="preserve">tand the nature of the charge; </w:t>
      </w:r>
      <w:r w:rsidR="00137ACB" w:rsidRPr="00154F1D">
        <w:t>understand the requirement to tender a plea to the charg</w:t>
      </w:r>
      <w:r w:rsidRPr="00154F1D">
        <w:t xml:space="preserve">e and the effect of such a plea; </w:t>
      </w:r>
      <w:r w:rsidR="00137ACB" w:rsidRPr="00154F1D">
        <w:t xml:space="preserve">understand the purpose of, and </w:t>
      </w:r>
      <w:r w:rsidRPr="00154F1D">
        <w:t xml:space="preserve">follow the course of, the trial; </w:t>
      </w:r>
      <w:r w:rsidR="00137ACB" w:rsidRPr="00154F1D">
        <w:t xml:space="preserve">understand the evidence that </w:t>
      </w:r>
      <w:r w:rsidRPr="00154F1D">
        <w:t xml:space="preserve">may be given against the person; </w:t>
      </w:r>
      <w:r w:rsidR="00137ACB" w:rsidRPr="00154F1D">
        <w:t>instruct and otherwise communicate with th</w:t>
      </w:r>
      <w:r w:rsidR="004676DF" w:rsidRPr="00154F1D">
        <w:t>e person</w:t>
      </w:r>
      <w:r w:rsidR="00C67929" w:rsidRPr="00154F1D">
        <w:t>’</w:t>
      </w:r>
      <w:r w:rsidR="004676DF" w:rsidRPr="00154F1D">
        <w:t>s legal representative;</w:t>
      </w:r>
      <w:r w:rsidR="00137ACB" w:rsidRPr="00154F1D">
        <w:t xml:space="preserve"> and</w:t>
      </w:r>
      <w:r w:rsidR="004676DF" w:rsidRPr="00154F1D">
        <w:t xml:space="preserve"> </w:t>
      </w:r>
    </w:p>
    <w:p w14:paraId="6B77FC03" w14:textId="6815680B" w:rsidR="00137ACB" w:rsidRPr="00154F1D" w:rsidRDefault="004676DF" w:rsidP="00BF6D8A">
      <w:pPr>
        <w:pStyle w:val="QuoteTLRI"/>
        <w:ind w:left="1276" w:hanging="425"/>
      </w:pPr>
      <w:r w:rsidRPr="00154F1D">
        <w:t>(b)</w:t>
      </w:r>
      <w:r w:rsidR="00C67929" w:rsidRPr="00154F1D">
        <w:tab/>
      </w:r>
      <w:r w:rsidRPr="00154F1D">
        <w:t>any other factor which the court considers relevant.</w:t>
      </w:r>
      <w:r w:rsidRPr="00154F1D">
        <w:rPr>
          <w:rStyle w:val="FootnoteReference"/>
        </w:rPr>
        <w:footnoteReference w:id="165"/>
      </w:r>
    </w:p>
    <w:p w14:paraId="1F1F9D11" w14:textId="05AE211D" w:rsidR="00544FFF" w:rsidRPr="00154F1D" w:rsidRDefault="00547923" w:rsidP="00744FAA">
      <w:pPr>
        <w:pStyle w:val="NormalNumberedTextTLRI"/>
      </w:pPr>
      <w:r w:rsidRPr="00154F1D">
        <w:t>Concerns have been</w:t>
      </w:r>
      <w:r w:rsidR="00DF7294" w:rsidRPr="00154F1D">
        <w:t xml:space="preserve"> expressed about an approach that focuses on decision</w:t>
      </w:r>
      <w:r w:rsidR="00C67929" w:rsidRPr="00154F1D">
        <w:t>-</w:t>
      </w:r>
      <w:r w:rsidR="00DF7294" w:rsidRPr="00154F1D">
        <w:t xml:space="preserve">making capacity and effective participation. </w:t>
      </w:r>
      <w:r w:rsidR="005F6A1A" w:rsidRPr="00154F1D">
        <w:t>The VLRC considered that a test based on ‘decision-making capacity’ or ‘effective participation’ could introduce too much subjectivity into the assessment process and this would be problematic for expert assessment.</w:t>
      </w:r>
      <w:r w:rsidR="005F6A1A" w:rsidRPr="00154F1D">
        <w:rPr>
          <w:rStyle w:val="FootnoteReference"/>
        </w:rPr>
        <w:footnoteReference w:id="166"/>
      </w:r>
      <w:r w:rsidR="005F6A1A" w:rsidRPr="00154F1D">
        <w:t xml:space="preserve"> </w:t>
      </w:r>
      <w:r w:rsidR="00534881" w:rsidRPr="00154F1D">
        <w:t xml:space="preserve">This view was endorsed </w:t>
      </w:r>
      <w:r w:rsidR="00DF7294" w:rsidRPr="00154F1D">
        <w:t>in</w:t>
      </w:r>
      <w:r w:rsidR="00534881" w:rsidRPr="00154F1D">
        <w:t xml:space="preserve"> the review</w:t>
      </w:r>
      <w:r w:rsidR="00DF7294" w:rsidRPr="00154F1D">
        <w:t xml:space="preserve"> conducted by the Attorney General’s Department in Western Australia</w:t>
      </w:r>
      <w:r w:rsidR="00534881" w:rsidRPr="00154F1D">
        <w:t>.</w:t>
      </w:r>
      <w:r w:rsidR="00534881" w:rsidRPr="00154F1D">
        <w:rPr>
          <w:rStyle w:val="FootnoteReference"/>
        </w:rPr>
        <w:footnoteReference w:id="167"/>
      </w:r>
      <w:r w:rsidR="00534881" w:rsidRPr="00154F1D">
        <w:t xml:space="preserve"> </w:t>
      </w:r>
      <w:r w:rsidR="00B12B6F" w:rsidRPr="00154F1D">
        <w:t xml:space="preserve">The NSWLRC </w:t>
      </w:r>
      <w:r w:rsidR="00DA1E67" w:rsidRPr="00154F1D">
        <w:t xml:space="preserve">was </w:t>
      </w:r>
      <w:r w:rsidR="00DF7294" w:rsidRPr="00154F1D">
        <w:t>concerned</w:t>
      </w:r>
      <w:r w:rsidR="007703A7" w:rsidRPr="00154F1D">
        <w:t xml:space="preserve"> that</w:t>
      </w:r>
      <w:r w:rsidR="00B12B6F" w:rsidRPr="00154F1D">
        <w:t xml:space="preserve"> </w:t>
      </w:r>
      <w:r w:rsidR="007703A7" w:rsidRPr="00154F1D">
        <w:t>an</w:t>
      </w:r>
      <w:r w:rsidR="00DF7294" w:rsidRPr="00154F1D">
        <w:t xml:space="preserve"> </w:t>
      </w:r>
      <w:r w:rsidR="00F90F49" w:rsidRPr="00154F1D">
        <w:t>‘</w:t>
      </w:r>
      <w:r w:rsidR="00B12B6F" w:rsidRPr="00154F1D">
        <w:t xml:space="preserve">effective </w:t>
      </w:r>
      <w:r w:rsidR="00F90F49" w:rsidRPr="00154F1D">
        <w:t xml:space="preserve">participation’ approach </w:t>
      </w:r>
      <w:r w:rsidR="00B12B6F" w:rsidRPr="00154F1D">
        <w:t xml:space="preserve">may be </w:t>
      </w:r>
      <w:r w:rsidR="007703A7" w:rsidRPr="00154F1D">
        <w:t>over-inclusive and create uncertainty.</w:t>
      </w:r>
      <w:r w:rsidR="007703A7" w:rsidRPr="00154F1D">
        <w:rPr>
          <w:rStyle w:val="FootnoteReference"/>
        </w:rPr>
        <w:footnoteReference w:id="168"/>
      </w:r>
      <w:r w:rsidR="007703A7" w:rsidRPr="00154F1D">
        <w:t xml:space="preserve"> Instead, the NSWLRC recommended that the requirement for a fair trial should be prescribed as an over</w:t>
      </w:r>
      <w:r w:rsidR="007920E6" w:rsidRPr="00154F1D">
        <w:t>arch</w:t>
      </w:r>
      <w:r w:rsidR="007703A7" w:rsidRPr="00154F1D">
        <w:t xml:space="preserve">ing principle for the </w:t>
      </w:r>
      <w:r w:rsidR="007920E6" w:rsidRPr="00154F1D">
        <w:t xml:space="preserve">application </w:t>
      </w:r>
      <w:r w:rsidR="00544FFF" w:rsidRPr="00154F1D">
        <w:t>of</w:t>
      </w:r>
      <w:r w:rsidR="007920E6" w:rsidRPr="00154F1D">
        <w:t xml:space="preserve"> the </w:t>
      </w:r>
      <w:r w:rsidR="007920E6" w:rsidRPr="00154F1D">
        <w:rPr>
          <w:i/>
        </w:rPr>
        <w:t xml:space="preserve">Presser </w:t>
      </w:r>
      <w:r w:rsidR="007920E6" w:rsidRPr="00154F1D">
        <w:t>criteria</w:t>
      </w:r>
      <w:r w:rsidR="00544FFF" w:rsidRPr="00154F1D">
        <w:t xml:space="preserve"> by the judge</w:t>
      </w:r>
      <w:r w:rsidR="007920E6" w:rsidRPr="00154F1D">
        <w:t>.</w:t>
      </w:r>
      <w:r w:rsidR="007920E6" w:rsidRPr="00154F1D">
        <w:rPr>
          <w:rStyle w:val="FootnoteReference"/>
        </w:rPr>
        <w:footnoteReference w:id="169"/>
      </w:r>
      <w:r w:rsidR="00D76007" w:rsidRPr="00154F1D">
        <w:t xml:space="preserve"> </w:t>
      </w:r>
      <w:r w:rsidR="00D248FE" w:rsidRPr="00154F1D">
        <w:t xml:space="preserve">A fair trial requirement could be incorporated into the </w:t>
      </w:r>
      <w:r w:rsidR="00D248FE" w:rsidRPr="00154F1D">
        <w:rPr>
          <w:i/>
        </w:rPr>
        <w:t>Criminal Justice Mental Impairment Act 1999</w:t>
      </w:r>
      <w:r w:rsidR="00D248FE" w:rsidRPr="00154F1D">
        <w:t xml:space="preserve"> (Tas). However, a difficulty would be that the ‘fair trial’ requirement would need to be applied by the jury in Tasmania rather than a judge as occurs in New South Wales.</w:t>
      </w:r>
    </w:p>
    <w:p w14:paraId="59E13F0F" w14:textId="738EF115" w:rsidR="003C127C" w:rsidRPr="00154F1D" w:rsidRDefault="00B65A8A" w:rsidP="00744FAA">
      <w:pPr>
        <w:pStyle w:val="NormalNumberedTextTLRI"/>
      </w:pPr>
      <w:r w:rsidRPr="00154F1D">
        <w:t xml:space="preserve">Further concerns have been raised about the requirements of an </w:t>
      </w:r>
      <w:r w:rsidR="0065769D">
        <w:t>accused</w:t>
      </w:r>
      <w:r w:rsidR="0065769D" w:rsidRPr="00154F1D">
        <w:t>’s</w:t>
      </w:r>
      <w:r w:rsidRPr="00154F1D">
        <w:t xml:space="preserve"> fitness to stand trial based on an assessment of the person’s mental capacity. It has been argued that the assessment of an accused’s capacity based on a ‘functional’ approach is problematic under the </w:t>
      </w:r>
      <w:r w:rsidRPr="00154F1D">
        <w:rPr>
          <w:i/>
        </w:rPr>
        <w:t>CRPD</w:t>
      </w:r>
      <w:r w:rsidRPr="00154F1D">
        <w:t xml:space="preserve"> because it violates the right to equal recognition before the law for people with disabilities.</w:t>
      </w:r>
      <w:r w:rsidRPr="00154F1D">
        <w:rPr>
          <w:rStyle w:val="FootnoteReference"/>
        </w:rPr>
        <w:footnoteReference w:id="170"/>
      </w:r>
      <w:r w:rsidR="003C127C" w:rsidRPr="00154F1D">
        <w:t xml:space="preserve"> </w:t>
      </w:r>
      <w:r w:rsidR="00DF7294" w:rsidRPr="00154F1D">
        <w:t>Despite these concerns</w:t>
      </w:r>
      <w:r w:rsidR="003C127C" w:rsidRPr="00154F1D">
        <w:t>, the ALRC has expressed the view that ‘it is not practicable to completely do away with some functional tests of ability that have consequences for participation in legal processes’.</w:t>
      </w:r>
      <w:r w:rsidR="003C127C" w:rsidRPr="00154F1D">
        <w:rPr>
          <w:rStyle w:val="FootnoteReference"/>
        </w:rPr>
        <w:footnoteReference w:id="171"/>
      </w:r>
      <w:r w:rsidR="00DF7294" w:rsidRPr="00154F1D">
        <w:t xml:space="preserve"> </w:t>
      </w:r>
      <w:r w:rsidR="00D248FE" w:rsidRPr="00154F1D">
        <w:t xml:space="preserve">Further, the ALRC has stated </w:t>
      </w:r>
      <w:r w:rsidR="003C127C" w:rsidRPr="00154F1D">
        <w:t>that:</w:t>
      </w:r>
    </w:p>
    <w:p w14:paraId="0CEF622B" w14:textId="3B1DDB0E" w:rsidR="00B65A8A" w:rsidRPr="00154F1D" w:rsidRDefault="003C127C" w:rsidP="0074267A">
      <w:pPr>
        <w:pStyle w:val="QuoteTLRI"/>
      </w:pPr>
      <w:r w:rsidRPr="00154F1D">
        <w:t>The integrity of a criminal trial (and, arguabl</w:t>
      </w:r>
      <w:r w:rsidR="00555A58" w:rsidRPr="00154F1D">
        <w:t>y</w:t>
      </w:r>
      <w:r w:rsidRPr="00154F1D">
        <w:t>, the criminal law itself) would be prejudiced if the defendant does not have the ability to understand and participate in a meaningful way. It may also breach the person’s human rights by denying them a fair trial, implicating arts 12 and 13 of the CRPD.</w:t>
      </w:r>
      <w:r w:rsidRPr="00154F1D">
        <w:rPr>
          <w:rStyle w:val="FootnoteReference"/>
        </w:rPr>
        <w:footnoteReference w:id="172"/>
      </w:r>
    </w:p>
    <w:p w14:paraId="10ACC732" w14:textId="7CC963BD" w:rsidR="003C127C" w:rsidRPr="00154F1D" w:rsidRDefault="00E057DB" w:rsidP="00744FAA">
      <w:pPr>
        <w:pStyle w:val="NormalNumberedTextTLRI"/>
        <w:numPr>
          <w:ilvl w:val="0"/>
          <w:numId w:val="0"/>
        </w:numPr>
      </w:pPr>
      <w:r w:rsidRPr="00154F1D">
        <w:t xml:space="preserve">Instead, as discussed at </w:t>
      </w:r>
      <w:r w:rsidR="00163525" w:rsidRPr="00154F1D">
        <w:t>[4.4.24]</w:t>
      </w:r>
      <w:r w:rsidRPr="00154F1D">
        <w:t xml:space="preserve">, the ALRC </w:t>
      </w:r>
      <w:r w:rsidR="005A793A" w:rsidRPr="00154F1D">
        <w:t xml:space="preserve">has </w:t>
      </w:r>
      <w:r w:rsidRPr="00154F1D">
        <w:t xml:space="preserve">recommended </w:t>
      </w:r>
      <w:r w:rsidR="000B07B3" w:rsidRPr="00154F1D">
        <w:t xml:space="preserve">a test that takes into </w:t>
      </w:r>
      <w:r w:rsidR="005A793A" w:rsidRPr="00154F1D">
        <w:t xml:space="preserve">account an </w:t>
      </w:r>
      <w:r w:rsidR="0065769D">
        <w:t>accused</w:t>
      </w:r>
      <w:r w:rsidR="0065769D" w:rsidRPr="00154F1D">
        <w:t xml:space="preserve">’s </w:t>
      </w:r>
      <w:r w:rsidR="005A793A" w:rsidRPr="00154F1D">
        <w:t xml:space="preserve">fitness to stand trial in the context of the </w:t>
      </w:r>
      <w:r w:rsidR="00A25236" w:rsidRPr="00154F1D">
        <w:t xml:space="preserve">supports </w:t>
      </w:r>
      <w:r w:rsidR="00862383" w:rsidRPr="00154F1D">
        <w:t>and accommodations that may be made available.</w:t>
      </w:r>
    </w:p>
    <w:p w14:paraId="4DA93BAF" w14:textId="34B44C80" w:rsidR="00601522" w:rsidRPr="00154F1D" w:rsidRDefault="00601522" w:rsidP="00601522">
      <w:pPr>
        <w:pStyle w:val="furhtersub-heading2"/>
      </w:pPr>
      <w:r w:rsidRPr="00154F1D">
        <w:t>Rationality</w:t>
      </w:r>
    </w:p>
    <w:p w14:paraId="51EBB011" w14:textId="04801B84" w:rsidR="00A047B9" w:rsidRPr="00154F1D" w:rsidRDefault="00F97E12" w:rsidP="00744FAA">
      <w:pPr>
        <w:pStyle w:val="NormalNumberedTextTLRI"/>
      </w:pPr>
      <w:r w:rsidRPr="00154F1D">
        <w:t>Although there is some suggestion that the law already requires a court to take account of whether the relevant criteria are exercised rationally, this is not expressly stated.</w:t>
      </w:r>
      <w:r w:rsidRPr="00154F1D">
        <w:rPr>
          <w:rStyle w:val="FootnoteReference"/>
        </w:rPr>
        <w:footnoteReference w:id="173"/>
      </w:r>
      <w:r w:rsidRPr="00154F1D">
        <w:t xml:space="preserve"> For this reason, a</w:t>
      </w:r>
      <w:r w:rsidR="005C76E7" w:rsidRPr="00154F1D">
        <w:t xml:space="preserve">nother approach </w:t>
      </w:r>
      <w:r w:rsidRPr="00154F1D">
        <w:t xml:space="preserve">taken </w:t>
      </w:r>
      <w:r w:rsidR="005C76E7" w:rsidRPr="00154F1D">
        <w:t xml:space="preserve">to address the deficiencies of the current test has been to </w:t>
      </w:r>
      <w:r w:rsidR="00A07B7C" w:rsidRPr="00154F1D">
        <w:t xml:space="preserve">specifically </w:t>
      </w:r>
      <w:r w:rsidR="005C76E7" w:rsidRPr="00154F1D">
        <w:t xml:space="preserve">incorporate a requirement </w:t>
      </w:r>
      <w:r w:rsidR="00A07B7C" w:rsidRPr="00154F1D">
        <w:t xml:space="preserve">for rationality. </w:t>
      </w:r>
      <w:r w:rsidR="00A047B9" w:rsidRPr="00154F1D">
        <w:t xml:space="preserve">This approach </w:t>
      </w:r>
      <w:r w:rsidR="00E6783C">
        <w:t>was implemented</w:t>
      </w:r>
      <w:r w:rsidR="00A047B9" w:rsidRPr="00154F1D">
        <w:t xml:space="preserve"> in South Australia, where the test explicitly refers to rationality (as noted at </w:t>
      </w:r>
      <w:r w:rsidR="00646218" w:rsidRPr="00154F1D">
        <w:t>[4.3.1]</w:t>
      </w:r>
      <w:r w:rsidR="00A047B9" w:rsidRPr="00154F1D">
        <w:t>). The NSWLRC has incorporated a requirement for using information relevant to the decisions that a person will have to make before and during the trial as part of a rational decision</w:t>
      </w:r>
      <w:r w:rsidR="00C16A28" w:rsidRPr="00154F1D">
        <w:t>-</w:t>
      </w:r>
      <w:r w:rsidR="00A047B9" w:rsidRPr="00154F1D">
        <w:t xml:space="preserve">making process </w:t>
      </w:r>
      <w:r w:rsidR="00E6783C">
        <w:t>in</w:t>
      </w:r>
      <w:r w:rsidR="00A047B9" w:rsidRPr="00154F1D">
        <w:t xml:space="preserve"> its recommendations to reform the statutory fitness test.</w:t>
      </w:r>
      <w:r w:rsidR="00A047B9" w:rsidRPr="00154F1D">
        <w:rPr>
          <w:rStyle w:val="FootnoteReference"/>
        </w:rPr>
        <w:footnoteReference w:id="174"/>
      </w:r>
      <w:r w:rsidR="00A047B9" w:rsidRPr="00154F1D">
        <w:t xml:space="preserve"> In Victoria, the Law Reform Committee recommended that the test be amended to consider the ability to understand, or respond rationally to, the charge or the ability to exercise or give rational instructions about the exercise of procedural rights.</w:t>
      </w:r>
      <w:r w:rsidR="00A047B9" w:rsidRPr="00154F1D">
        <w:rPr>
          <w:rStyle w:val="FootnoteReference"/>
        </w:rPr>
        <w:footnoteReference w:id="175"/>
      </w:r>
    </w:p>
    <w:p w14:paraId="40E4D992" w14:textId="1B53A011" w:rsidR="00D248FE" w:rsidRPr="00154F1D" w:rsidRDefault="00553BF8" w:rsidP="00744FAA">
      <w:pPr>
        <w:pStyle w:val="NormalNumberedTextTLRI"/>
      </w:pPr>
      <w:r w:rsidRPr="00154F1D">
        <w:t xml:space="preserve">This </w:t>
      </w:r>
      <w:r w:rsidR="00A047B9" w:rsidRPr="00154F1D">
        <w:t xml:space="preserve">approach can be supported on the basis that it </w:t>
      </w:r>
      <w:r w:rsidRPr="00154F1D">
        <w:t xml:space="preserve">would address concerns that have been raised about people with mental illness who may be able to understand the trial process but </w:t>
      </w:r>
      <w:r w:rsidR="00547923" w:rsidRPr="00154F1D">
        <w:t>whose</w:t>
      </w:r>
      <w:r w:rsidRPr="00154F1D">
        <w:t xml:space="preserve"> capacity to make decisions </w:t>
      </w:r>
      <w:r w:rsidR="00CD5793">
        <w:t xml:space="preserve">is </w:t>
      </w:r>
      <w:r w:rsidRPr="00154F1D">
        <w:t>impaired by delusional beliefs.</w:t>
      </w:r>
      <w:r w:rsidRPr="00154F1D">
        <w:rPr>
          <w:rStyle w:val="FootnoteReference"/>
        </w:rPr>
        <w:footnoteReference w:id="176"/>
      </w:r>
      <w:r w:rsidRPr="00154F1D">
        <w:t xml:space="preserve"> </w:t>
      </w:r>
    </w:p>
    <w:p w14:paraId="503DBBB6" w14:textId="1BBA1878" w:rsidR="00F97E12" w:rsidRPr="00154F1D" w:rsidRDefault="00946801" w:rsidP="00744FAA">
      <w:pPr>
        <w:pStyle w:val="NormalNumberedTextTLRI"/>
      </w:pPr>
      <w:r w:rsidRPr="00154F1D">
        <w:t xml:space="preserve">The VLRC also </w:t>
      </w:r>
      <w:r w:rsidR="00547923" w:rsidRPr="00154F1D">
        <w:t>examined</w:t>
      </w:r>
      <w:r w:rsidRPr="00154F1D">
        <w:t xml:space="preserve"> whether the test should consider the accused’s ability to make rational decisions or to exercise the criteria rationally. Arguments in favour included that </w:t>
      </w:r>
      <w:r w:rsidR="00694033" w:rsidRPr="00154F1D">
        <w:t xml:space="preserve">this would provide more clarity in situations where an </w:t>
      </w:r>
      <w:r w:rsidR="0065769D">
        <w:t>accused</w:t>
      </w:r>
      <w:r w:rsidR="0065769D" w:rsidRPr="00154F1D">
        <w:t xml:space="preserve"> </w:t>
      </w:r>
      <w:r w:rsidR="00694033" w:rsidRPr="00154F1D">
        <w:t>has a delusional disorder that affects his or her understanding and that the current test sets the threshold too high.</w:t>
      </w:r>
      <w:r w:rsidR="00694033" w:rsidRPr="00154F1D">
        <w:rPr>
          <w:rStyle w:val="FootnoteReference"/>
        </w:rPr>
        <w:footnoteReference w:id="177"/>
      </w:r>
      <w:r w:rsidR="00694033" w:rsidRPr="00154F1D">
        <w:t xml:space="preserve"> </w:t>
      </w:r>
      <w:r w:rsidR="00F97E12" w:rsidRPr="00154F1D">
        <w:t xml:space="preserve">However, </w:t>
      </w:r>
      <w:r w:rsidR="00547923" w:rsidRPr="00154F1D">
        <w:t>several concerns were identified, including that</w:t>
      </w:r>
      <w:r w:rsidR="00F97E12" w:rsidRPr="00154F1D">
        <w:t>:</w:t>
      </w:r>
    </w:p>
    <w:p w14:paraId="0B8E1084" w14:textId="1D79ED22" w:rsidR="00F97E12" w:rsidRPr="00154F1D" w:rsidRDefault="00C733E3" w:rsidP="008C52C4">
      <w:pPr>
        <w:pStyle w:val="DotPointTLRI"/>
        <w:ind w:left="851" w:hanging="425"/>
      </w:pPr>
      <w:r w:rsidRPr="00154F1D">
        <w:t>the current criteria already im</w:t>
      </w:r>
      <w:r w:rsidR="00F97E12" w:rsidRPr="00154F1D">
        <w:t>plicitly considered rationality;</w:t>
      </w:r>
      <w:r w:rsidRPr="00154F1D">
        <w:t xml:space="preserve"> </w:t>
      </w:r>
    </w:p>
    <w:p w14:paraId="10F22542" w14:textId="77777777" w:rsidR="00F97E12" w:rsidRPr="00154F1D" w:rsidRDefault="00C733E3" w:rsidP="008C52C4">
      <w:pPr>
        <w:pStyle w:val="DotPointTLRI"/>
        <w:ind w:left="851" w:hanging="425"/>
      </w:pPr>
      <w:r w:rsidRPr="00154F1D">
        <w:t>that rationality was difficult to define, assess cl</w:t>
      </w:r>
      <w:r w:rsidR="00F97E12" w:rsidRPr="00154F1D">
        <w:t>inically and apply in practice;</w:t>
      </w:r>
    </w:p>
    <w:p w14:paraId="27ADC147" w14:textId="77777777" w:rsidR="00F97E12" w:rsidRPr="00154F1D" w:rsidRDefault="00C733E3" w:rsidP="008C52C4">
      <w:pPr>
        <w:pStyle w:val="DotPointTLRI"/>
        <w:ind w:left="851" w:hanging="425"/>
      </w:pPr>
      <w:r w:rsidRPr="00154F1D">
        <w:t>that it would introduce too much subjectivity</w:t>
      </w:r>
      <w:r w:rsidR="00F97E12" w:rsidRPr="00154F1D">
        <w:t>;</w:t>
      </w:r>
      <w:r w:rsidRPr="00154F1D">
        <w:t xml:space="preserve"> and </w:t>
      </w:r>
    </w:p>
    <w:p w14:paraId="57DE074E" w14:textId="6255331F" w:rsidR="00F97E12" w:rsidRPr="00154F1D" w:rsidRDefault="00C733E3" w:rsidP="008C52C4">
      <w:pPr>
        <w:pStyle w:val="DotPointTLRI"/>
        <w:ind w:left="851" w:hanging="425"/>
      </w:pPr>
      <w:r w:rsidRPr="00154F1D">
        <w:t xml:space="preserve">that it would inappropriately widen the number of people who could be found unfit to </w:t>
      </w:r>
      <w:r w:rsidR="00555A58" w:rsidRPr="00154F1D">
        <w:t xml:space="preserve">stand </w:t>
      </w:r>
      <w:r w:rsidRPr="00154F1D">
        <w:t>trial.</w:t>
      </w:r>
      <w:r w:rsidRPr="00154F1D">
        <w:rPr>
          <w:rStyle w:val="FootnoteReference"/>
        </w:rPr>
        <w:footnoteReference w:id="178"/>
      </w:r>
      <w:r w:rsidRPr="00154F1D">
        <w:t xml:space="preserve"> </w:t>
      </w:r>
    </w:p>
    <w:p w14:paraId="6D1698D7" w14:textId="1E88FEB3" w:rsidR="00637FB8" w:rsidRPr="00154F1D" w:rsidRDefault="00C733E3" w:rsidP="00744FAA">
      <w:pPr>
        <w:pStyle w:val="NormalNumberedTextTLRI"/>
        <w:numPr>
          <w:ilvl w:val="0"/>
          <w:numId w:val="0"/>
        </w:numPr>
      </w:pPr>
      <w:r w:rsidRPr="00154F1D">
        <w:t>Concerns were also expressed that incorporating rationality may ‘unjustifiably limit an accused’s autonomy and their cho</w:t>
      </w:r>
      <w:r w:rsidR="00F97E12" w:rsidRPr="00154F1D">
        <w:t>ic</w:t>
      </w:r>
      <w:r w:rsidRPr="00154F1D">
        <w:t>e to make decisions, including “unwise” choices’.</w:t>
      </w:r>
      <w:r w:rsidRPr="00154F1D">
        <w:rPr>
          <w:rStyle w:val="FootnoteReference"/>
        </w:rPr>
        <w:footnoteReference w:id="179"/>
      </w:r>
      <w:r w:rsidR="006830FC" w:rsidRPr="00154F1D">
        <w:t xml:space="preserve"> On balance, the VLRC’s view was that there was a risk that introducing ‘rationality’ would add to the complexity of the test and introduce too much subjectivity.</w:t>
      </w:r>
      <w:r w:rsidR="006830FC" w:rsidRPr="00154F1D">
        <w:rPr>
          <w:rStyle w:val="FootnoteReference"/>
        </w:rPr>
        <w:footnoteReference w:id="180"/>
      </w:r>
    </w:p>
    <w:p w14:paraId="1810530B" w14:textId="61C411FC" w:rsidR="00E057DB" w:rsidRPr="00154F1D" w:rsidRDefault="00AA0D75" w:rsidP="00744FAA">
      <w:pPr>
        <w:pStyle w:val="NormalNumberedTextTLRI"/>
      </w:pPr>
      <w:r w:rsidRPr="00154F1D">
        <w:t xml:space="preserve">In addition, the introduction of a requirement for rationality is difficult to reconcile with the </w:t>
      </w:r>
      <w:r w:rsidR="00E057DB" w:rsidRPr="00154F1D">
        <w:rPr>
          <w:i/>
        </w:rPr>
        <w:t>CRPD</w:t>
      </w:r>
      <w:r w:rsidR="00E057DB" w:rsidRPr="00154F1D">
        <w:t xml:space="preserve"> </w:t>
      </w:r>
      <w:r w:rsidR="00B75DF6">
        <w:t>which</w:t>
      </w:r>
      <w:r w:rsidR="00B75DF6" w:rsidRPr="00154F1D">
        <w:t xml:space="preserve"> </w:t>
      </w:r>
      <w:r w:rsidR="009E56E5" w:rsidRPr="00154F1D">
        <w:t>recognises the right of people with disabilities to make choices for themselves</w:t>
      </w:r>
      <w:r w:rsidR="00255910" w:rsidRPr="00154F1D">
        <w:t xml:space="preserve"> even if the decision is not in </w:t>
      </w:r>
      <w:r w:rsidR="00B75DF6">
        <w:t>their</w:t>
      </w:r>
      <w:r w:rsidR="00B75DF6" w:rsidRPr="00154F1D">
        <w:t xml:space="preserve"> </w:t>
      </w:r>
      <w:r w:rsidR="00255910" w:rsidRPr="00154F1D">
        <w:t>‘best interests’</w:t>
      </w:r>
      <w:r w:rsidR="009E56E5" w:rsidRPr="00154F1D">
        <w:t>.</w:t>
      </w:r>
      <w:r w:rsidR="009E56E5" w:rsidRPr="00154F1D">
        <w:rPr>
          <w:rStyle w:val="FootnoteReference"/>
        </w:rPr>
        <w:footnoteReference w:id="181"/>
      </w:r>
      <w:r w:rsidR="00255910" w:rsidRPr="00154F1D">
        <w:t xml:space="preserve"> The ALRC expressed concerns about a focus on rationality which ‘may lead to a person’s decision-making ability being assessed on its likely outcome’.</w:t>
      </w:r>
      <w:r w:rsidR="00255910" w:rsidRPr="00154F1D">
        <w:rPr>
          <w:rStyle w:val="FootnoteReference"/>
        </w:rPr>
        <w:footnoteReference w:id="182"/>
      </w:r>
      <w:r w:rsidR="00255910" w:rsidRPr="00154F1D">
        <w:t xml:space="preserve"> This would be inconsistent with the </w:t>
      </w:r>
      <w:r w:rsidR="009B70E2" w:rsidRPr="00154F1D">
        <w:t>National Decision</w:t>
      </w:r>
      <w:r w:rsidR="00FA52B8" w:rsidRPr="00154F1D">
        <w:t>-</w:t>
      </w:r>
      <w:r w:rsidR="009B70E2" w:rsidRPr="00154F1D">
        <w:t xml:space="preserve">Making Principles </w:t>
      </w:r>
      <w:r w:rsidR="00F97E12" w:rsidRPr="00154F1D">
        <w:t>(recommended by the ALRC),</w:t>
      </w:r>
      <w:r w:rsidR="00255910" w:rsidRPr="00154F1D">
        <w:t xml:space="preserve"> </w:t>
      </w:r>
      <w:r w:rsidR="00F97E12" w:rsidRPr="00154F1D">
        <w:t>a</w:t>
      </w:r>
      <w:r w:rsidR="00255910" w:rsidRPr="00154F1D">
        <w:t xml:space="preserve">s well as the </w:t>
      </w:r>
      <w:r w:rsidR="00255910" w:rsidRPr="00154F1D">
        <w:rPr>
          <w:i/>
        </w:rPr>
        <w:t>CRPD</w:t>
      </w:r>
      <w:r w:rsidR="00255910" w:rsidRPr="00154F1D">
        <w:t xml:space="preserve">, </w:t>
      </w:r>
      <w:r w:rsidR="00F97E12" w:rsidRPr="00154F1D">
        <w:t>which</w:t>
      </w:r>
      <w:r w:rsidR="009B70E2" w:rsidRPr="00154F1D">
        <w:t xml:space="preserve"> focus on the ‘rights, will and preferences’ of the </w:t>
      </w:r>
      <w:r w:rsidR="00EB02C1" w:rsidRPr="00154F1D">
        <w:t>person</w:t>
      </w:r>
      <w:r w:rsidR="009B70E2" w:rsidRPr="00154F1D">
        <w:t xml:space="preserve"> instead of an approach based on the ‘best interests’ of the </w:t>
      </w:r>
      <w:r w:rsidR="00EB02C1" w:rsidRPr="00154F1D">
        <w:t>person</w:t>
      </w:r>
      <w:r w:rsidR="009B70E2" w:rsidRPr="00154F1D">
        <w:t>.</w:t>
      </w:r>
      <w:r w:rsidR="009B70E2" w:rsidRPr="00154F1D">
        <w:rPr>
          <w:rStyle w:val="FootnoteReference"/>
        </w:rPr>
        <w:footnoteReference w:id="183"/>
      </w:r>
      <w:r w:rsidR="00255910" w:rsidRPr="00154F1D">
        <w:t xml:space="preserve"> </w:t>
      </w:r>
    </w:p>
    <w:p w14:paraId="6BA0F36A" w14:textId="771D1026" w:rsidR="006D57E6" w:rsidRPr="00154F1D" w:rsidRDefault="006D57E6" w:rsidP="00744FAA">
      <w:pPr>
        <w:pStyle w:val="NormalNumberedTextTLRI"/>
      </w:pPr>
      <w:r w:rsidRPr="00154F1D">
        <w:t xml:space="preserve">In Tasmania, an approach that incorporates an assessment of an </w:t>
      </w:r>
      <w:r w:rsidR="0065769D">
        <w:t>accused</w:t>
      </w:r>
      <w:r w:rsidR="0065769D" w:rsidRPr="00154F1D">
        <w:t xml:space="preserve">’s </w:t>
      </w:r>
      <w:r w:rsidRPr="00154F1D">
        <w:t>capacity to ma</w:t>
      </w:r>
      <w:r w:rsidR="005970BC">
        <w:t>k</w:t>
      </w:r>
      <w:r w:rsidRPr="00154F1D">
        <w:t xml:space="preserve">e rational decisions or exercise the criteria rationally would reflect the current approach in the </w:t>
      </w:r>
      <w:r w:rsidRPr="00154F1D">
        <w:rPr>
          <w:i/>
        </w:rPr>
        <w:t>Guardianship and Administration Act 1995</w:t>
      </w:r>
      <w:r w:rsidRPr="00154F1D">
        <w:t xml:space="preserve"> (Tas), which allows the Guardianship and Administration Board to appoint a guardian or administrator where a person with a disability is unable by reason of </w:t>
      </w:r>
      <w:r w:rsidR="00547923" w:rsidRPr="00154F1D">
        <w:t xml:space="preserve">that </w:t>
      </w:r>
      <w:r w:rsidRPr="00154F1D">
        <w:t xml:space="preserve">disability to make </w:t>
      </w:r>
      <w:r w:rsidRPr="00154F1D">
        <w:rPr>
          <w:i/>
        </w:rPr>
        <w:t>reasonable</w:t>
      </w:r>
      <w:r w:rsidRPr="00154F1D">
        <w:t xml:space="preserve"> judgements in respect of all or any matters relating to his or her person or circumstances and is in need of a guardian.</w:t>
      </w:r>
      <w:r w:rsidRPr="00154F1D">
        <w:rPr>
          <w:rStyle w:val="FootnoteReference"/>
        </w:rPr>
        <w:footnoteReference w:id="184"/>
      </w:r>
      <w:r w:rsidRPr="00154F1D">
        <w:t xml:space="preserve"> However, as noted, the requirements of the </w:t>
      </w:r>
      <w:r w:rsidRPr="00154F1D">
        <w:rPr>
          <w:i/>
        </w:rPr>
        <w:t>Guardianship and Administration Act 1995</w:t>
      </w:r>
      <w:r w:rsidRPr="00154F1D">
        <w:t xml:space="preserve"> (Tas), including the basis on which assessments are made in relation to </w:t>
      </w:r>
      <w:r w:rsidR="00EB02C1" w:rsidRPr="00154F1D">
        <w:t>a person’s</w:t>
      </w:r>
      <w:r w:rsidRPr="00154F1D">
        <w:t xml:space="preserve"> decision-making capacity</w:t>
      </w:r>
      <w:r w:rsidR="005970BC">
        <w:t>,</w:t>
      </w:r>
      <w:r w:rsidRPr="00154F1D">
        <w:t xml:space="preserve"> </w:t>
      </w:r>
      <w:r w:rsidR="00524841" w:rsidRPr="00154F1D">
        <w:t>have been</w:t>
      </w:r>
      <w:r w:rsidRPr="00154F1D">
        <w:t xml:space="preserve"> review</w:t>
      </w:r>
      <w:r w:rsidR="00524841" w:rsidRPr="00154F1D">
        <w:t>ed by the TLRI and its views were that the focus should not be on rationality but on the ability to make a decision</w:t>
      </w:r>
      <w:r w:rsidRPr="00154F1D">
        <w:t>.</w:t>
      </w:r>
      <w:r w:rsidR="00524841" w:rsidRPr="00154F1D">
        <w:rPr>
          <w:rStyle w:val="FootnoteReference"/>
        </w:rPr>
        <w:footnoteReference w:id="185"/>
      </w:r>
    </w:p>
    <w:p w14:paraId="1067AC16" w14:textId="4570C147" w:rsidR="00601522" w:rsidRPr="00154F1D" w:rsidRDefault="00601522" w:rsidP="00601522">
      <w:pPr>
        <w:pStyle w:val="furhtersub-heading2"/>
      </w:pPr>
      <w:r w:rsidRPr="00154F1D">
        <w:t>Additional criteria</w:t>
      </w:r>
    </w:p>
    <w:p w14:paraId="277A1C5F" w14:textId="5E3CA297" w:rsidR="006830FC" w:rsidRPr="00154F1D" w:rsidRDefault="006830FC" w:rsidP="00744FAA">
      <w:pPr>
        <w:pStyle w:val="NormalNumberedTextTLRI"/>
      </w:pPr>
      <w:r w:rsidRPr="00154F1D">
        <w:t xml:space="preserve">At the core of the recent reviews </w:t>
      </w:r>
      <w:r w:rsidR="00274428" w:rsidRPr="00154F1D">
        <w:t xml:space="preserve">of the test of fitness to stand trial </w:t>
      </w:r>
      <w:r w:rsidRPr="00154F1D">
        <w:t xml:space="preserve">is </w:t>
      </w:r>
      <w:r w:rsidR="00547923" w:rsidRPr="00154F1D">
        <w:t>a desire</w:t>
      </w:r>
      <w:r w:rsidR="00716C1D" w:rsidRPr="00154F1D">
        <w:t xml:space="preserve"> to</w:t>
      </w:r>
      <w:r w:rsidRPr="00154F1D">
        <w:t xml:space="preserve"> </w:t>
      </w:r>
      <w:r w:rsidR="00B83BEB" w:rsidRPr="00154F1D">
        <w:t xml:space="preserve">ensure </w:t>
      </w:r>
      <w:r w:rsidRPr="00154F1D">
        <w:t>that the criteria govern</w:t>
      </w:r>
      <w:r w:rsidR="00D1729A" w:rsidRPr="00154F1D">
        <w:t>ing</w:t>
      </w:r>
      <w:r w:rsidRPr="00154F1D">
        <w:t xml:space="preserve"> the assessment </w:t>
      </w:r>
      <w:r w:rsidR="00B83BEB" w:rsidRPr="00154F1D">
        <w:t>reflect</w:t>
      </w:r>
      <w:r w:rsidR="00274428" w:rsidRPr="00154F1D">
        <w:t xml:space="preserve"> </w:t>
      </w:r>
      <w:r w:rsidR="00716C1D" w:rsidRPr="00154F1D">
        <w:t>a</w:t>
      </w:r>
      <w:r w:rsidR="00274428" w:rsidRPr="00154F1D">
        <w:t xml:space="preserve"> need for an</w:t>
      </w:r>
      <w:r w:rsidR="001643EA" w:rsidRPr="00154F1D">
        <w:t xml:space="preserve"> accused </w:t>
      </w:r>
      <w:r w:rsidR="00274428" w:rsidRPr="00154F1D">
        <w:t>to be</w:t>
      </w:r>
      <w:r w:rsidR="001643EA" w:rsidRPr="00154F1D">
        <w:t xml:space="preserve"> </w:t>
      </w:r>
      <w:r w:rsidR="00274428" w:rsidRPr="00154F1D">
        <w:t>‘</w:t>
      </w:r>
      <w:r w:rsidR="001643EA" w:rsidRPr="00154F1D">
        <w:t xml:space="preserve">able to make “true choices” concerning the </w:t>
      </w:r>
      <w:r w:rsidR="005E1CB3" w:rsidRPr="00154F1D">
        <w:t>crucial</w:t>
      </w:r>
      <w:r w:rsidR="001643EA" w:rsidRPr="00154F1D">
        <w:t xml:space="preserve"> decisions in the tr</w:t>
      </w:r>
      <w:r w:rsidR="005E1CB3" w:rsidRPr="00154F1D">
        <w:t>ia</w:t>
      </w:r>
      <w:r w:rsidR="001643EA" w:rsidRPr="00154F1D">
        <w:t xml:space="preserve">l that are not substantially </w:t>
      </w:r>
      <w:r w:rsidR="005E1CB3" w:rsidRPr="00154F1D">
        <w:t>prejudiced</w:t>
      </w:r>
      <w:r w:rsidR="001643EA" w:rsidRPr="00154F1D">
        <w:t xml:space="preserve"> by their mental </w:t>
      </w:r>
      <w:r w:rsidR="005E1CB3" w:rsidRPr="00154F1D">
        <w:t>condition</w:t>
      </w:r>
      <w:r w:rsidR="001643EA" w:rsidRPr="00154F1D">
        <w:t>’.</w:t>
      </w:r>
      <w:r w:rsidR="001643EA" w:rsidRPr="00154F1D">
        <w:rPr>
          <w:rStyle w:val="FootnoteReference"/>
        </w:rPr>
        <w:footnoteReference w:id="186"/>
      </w:r>
      <w:r w:rsidR="00BF2649" w:rsidRPr="00154F1D">
        <w:t xml:space="preserve"> </w:t>
      </w:r>
      <w:r w:rsidR="00B83BEB" w:rsidRPr="00154F1D">
        <w:t>The</w:t>
      </w:r>
      <w:r w:rsidR="002B74B0" w:rsidRPr="00154F1D">
        <w:t xml:space="preserve"> Law Commission </w:t>
      </w:r>
      <w:r w:rsidR="00B83BEB" w:rsidRPr="00154F1D">
        <w:t xml:space="preserve">of England and Wales </w:t>
      </w:r>
      <w:r w:rsidR="00716C1D" w:rsidRPr="00154F1D">
        <w:t>identified</w:t>
      </w:r>
      <w:r w:rsidR="002B74B0" w:rsidRPr="00154F1D">
        <w:t xml:space="preserve"> </w:t>
      </w:r>
      <w:r w:rsidR="00B83BEB" w:rsidRPr="00154F1D">
        <w:t xml:space="preserve">the need to ensure </w:t>
      </w:r>
      <w:r w:rsidR="00716C1D" w:rsidRPr="00154F1D">
        <w:t xml:space="preserve">that there was </w:t>
      </w:r>
      <w:r w:rsidR="002B74B0" w:rsidRPr="00154F1D">
        <w:t xml:space="preserve">meaningful participation in the </w:t>
      </w:r>
      <w:r w:rsidR="00CF6EC4" w:rsidRPr="00154F1D">
        <w:t>trial</w:t>
      </w:r>
      <w:r w:rsidR="002B74B0" w:rsidRPr="00154F1D">
        <w:t xml:space="preserve"> process</w:t>
      </w:r>
      <w:r w:rsidR="00CF6EC4" w:rsidRPr="00154F1D">
        <w:t xml:space="preserve">: </w:t>
      </w:r>
      <w:r w:rsidR="00CF6EC4" w:rsidRPr="00154F1D">
        <w:rPr>
          <w:lang w:val="en-US"/>
        </w:rPr>
        <w:t>it would be ‘an abuse of the process of the law to subject someone to a trial when he or she is unable to play any real part in that trial’.</w:t>
      </w:r>
      <w:r w:rsidR="00CF6EC4" w:rsidRPr="00154F1D">
        <w:rPr>
          <w:rStyle w:val="FootnoteReference"/>
          <w:lang w:val="en-US"/>
        </w:rPr>
        <w:footnoteReference w:id="187"/>
      </w:r>
      <w:r w:rsidR="00CF6EC4" w:rsidRPr="00154F1D">
        <w:t xml:space="preserve"> </w:t>
      </w:r>
      <w:r w:rsidR="00B83BEB" w:rsidRPr="00154F1D">
        <w:t>Similarly, t</w:t>
      </w:r>
      <w:r w:rsidR="00BF2649" w:rsidRPr="00154F1D">
        <w:t xml:space="preserve">he VLRC’s view was that fairness required that an accused </w:t>
      </w:r>
      <w:r w:rsidR="00555A58" w:rsidRPr="00154F1D">
        <w:t xml:space="preserve">is </w:t>
      </w:r>
      <w:r w:rsidR="00BF2649" w:rsidRPr="00154F1D">
        <w:t xml:space="preserve">only subject to the trial process where they </w:t>
      </w:r>
      <w:r w:rsidR="00555A58" w:rsidRPr="00154F1D">
        <w:t xml:space="preserve">are </w:t>
      </w:r>
      <w:r w:rsidR="00BF2649" w:rsidRPr="00154F1D">
        <w:t>able to make crucial decisions relevant to their trial.</w:t>
      </w:r>
      <w:r w:rsidR="00BF2649" w:rsidRPr="00154F1D">
        <w:rPr>
          <w:rStyle w:val="FootnoteReference"/>
        </w:rPr>
        <w:footnoteReference w:id="188"/>
      </w:r>
      <w:r w:rsidR="00BF2649" w:rsidRPr="00154F1D">
        <w:t xml:space="preserve"> Accordingly, </w:t>
      </w:r>
      <w:r w:rsidR="00716C1D" w:rsidRPr="00154F1D">
        <w:t>the VLRC</w:t>
      </w:r>
      <w:r w:rsidR="00BF2649" w:rsidRPr="00154F1D">
        <w:t xml:space="preserve"> considered that the most appropriate way to </w:t>
      </w:r>
      <w:r w:rsidR="00716C1D" w:rsidRPr="00154F1D">
        <w:t>ensure</w:t>
      </w:r>
      <w:r w:rsidR="00BF2649" w:rsidRPr="00154F1D">
        <w:t xml:space="preserve"> that the test takes </w:t>
      </w:r>
      <w:r w:rsidR="00716C1D" w:rsidRPr="00154F1D">
        <w:t xml:space="preserve">this </w:t>
      </w:r>
      <w:r w:rsidR="00BF2649" w:rsidRPr="00154F1D">
        <w:t xml:space="preserve">into account </w:t>
      </w:r>
      <w:r w:rsidR="00555A58" w:rsidRPr="00154F1D">
        <w:t xml:space="preserve">is </w:t>
      </w:r>
      <w:r w:rsidR="00BF2649" w:rsidRPr="00154F1D">
        <w:t>to:</w:t>
      </w:r>
    </w:p>
    <w:p w14:paraId="54D5B267" w14:textId="314E6312" w:rsidR="00BF2649" w:rsidRPr="00154F1D" w:rsidRDefault="002931FB" w:rsidP="00BF6D8A">
      <w:pPr>
        <w:pStyle w:val="QuoteTLRI"/>
        <w:numPr>
          <w:ilvl w:val="0"/>
          <w:numId w:val="14"/>
        </w:numPr>
        <w:spacing w:after="120"/>
        <w:ind w:left="1208" w:right="788" w:hanging="357"/>
      </w:pPr>
      <w:r w:rsidRPr="00154F1D">
        <w:t>e</w:t>
      </w:r>
      <w:r w:rsidR="00BF2649" w:rsidRPr="00154F1D">
        <w:t>valuate the current criteria for unfitness to stand trial against the crucial decisions an accused should be expec</w:t>
      </w:r>
      <w:r w:rsidR="00637FB8" w:rsidRPr="00154F1D">
        <w:t>t</w:t>
      </w:r>
      <w:r w:rsidR="00BF2649" w:rsidRPr="00154F1D">
        <w:t>ed to make</w:t>
      </w:r>
    </w:p>
    <w:p w14:paraId="418CCA45" w14:textId="042A54F8" w:rsidR="00BF2649" w:rsidRPr="00154F1D" w:rsidRDefault="002931FB" w:rsidP="0074267A">
      <w:pPr>
        <w:pStyle w:val="QuoteTLRI"/>
        <w:numPr>
          <w:ilvl w:val="0"/>
          <w:numId w:val="14"/>
        </w:numPr>
      </w:pPr>
      <w:r w:rsidRPr="00154F1D">
        <w:t>s</w:t>
      </w:r>
      <w:r w:rsidR="00BF2649" w:rsidRPr="00154F1D">
        <w:t>upplement the criteria with a requirement that the accused be able to make t</w:t>
      </w:r>
      <w:r w:rsidR="00637FB8" w:rsidRPr="00154F1D">
        <w:t>h</w:t>
      </w:r>
      <w:r w:rsidR="00BF2649" w:rsidRPr="00154F1D">
        <w:t xml:space="preserve">ese specific </w:t>
      </w:r>
      <w:r w:rsidR="00637FB8" w:rsidRPr="00154F1D">
        <w:t>decisions</w:t>
      </w:r>
      <w:r w:rsidR="00BF2649" w:rsidRPr="00154F1D">
        <w:t xml:space="preserve">, </w:t>
      </w:r>
      <w:r w:rsidR="00637FB8" w:rsidRPr="00154F1D">
        <w:t xml:space="preserve">where the </w:t>
      </w:r>
      <w:r w:rsidR="00BF2649" w:rsidRPr="00154F1D">
        <w:t xml:space="preserve">current </w:t>
      </w:r>
      <w:r w:rsidR="00637FB8" w:rsidRPr="00154F1D">
        <w:t>criteria</w:t>
      </w:r>
      <w:r w:rsidR="00BF2649" w:rsidRPr="00154F1D">
        <w:t xml:space="preserve"> do not cover them.</w:t>
      </w:r>
      <w:r w:rsidR="00BF2649" w:rsidRPr="00154F1D">
        <w:rPr>
          <w:rStyle w:val="FootnoteReference"/>
        </w:rPr>
        <w:footnoteReference w:id="189"/>
      </w:r>
    </w:p>
    <w:p w14:paraId="5215F69C" w14:textId="34BC28AE" w:rsidR="00F73A82" w:rsidRPr="00154F1D" w:rsidRDefault="00BF2649" w:rsidP="003423B5">
      <w:pPr>
        <w:pStyle w:val="NormalNumberedTextTLRI"/>
        <w:numPr>
          <w:ilvl w:val="0"/>
          <w:numId w:val="0"/>
        </w:numPr>
        <w:tabs>
          <w:tab w:val="clear" w:pos="851"/>
        </w:tabs>
      </w:pPr>
      <w:r w:rsidRPr="00154F1D">
        <w:t xml:space="preserve">Other jurisdictions have also </w:t>
      </w:r>
      <w:r w:rsidR="00134664" w:rsidRPr="00154F1D">
        <w:t>examined the</w:t>
      </w:r>
      <w:r w:rsidRPr="00154F1D">
        <w:t xml:space="preserve"> criteria used to assess fitness to stand trial and considered whether they are appropriate in the modern trial context.</w:t>
      </w:r>
      <w:r w:rsidR="00637FB8" w:rsidRPr="00154F1D">
        <w:rPr>
          <w:rStyle w:val="FootnoteReference"/>
        </w:rPr>
        <w:footnoteReference w:id="190"/>
      </w:r>
    </w:p>
    <w:p w14:paraId="3545B02E" w14:textId="56F49990" w:rsidR="00716C1D" w:rsidRPr="00154F1D" w:rsidRDefault="00646218" w:rsidP="00744FAA">
      <w:pPr>
        <w:pStyle w:val="NormalNumberedTextTLRI"/>
      </w:pPr>
      <w:r w:rsidRPr="00154F1D">
        <w:t>Appendix 4</w:t>
      </w:r>
      <w:r w:rsidR="009B3C5A" w:rsidRPr="00154F1D">
        <w:t xml:space="preserve"> contains a comparison of the criteria that are used in other jurisdictions, as well as new criteria that have been </w:t>
      </w:r>
      <w:r w:rsidR="004E1F1B" w:rsidRPr="00154F1D">
        <w:t xml:space="preserve">recommended </w:t>
      </w:r>
      <w:r w:rsidR="009B3C5A" w:rsidRPr="00154F1D">
        <w:t xml:space="preserve">by law reform bodies. </w:t>
      </w:r>
    </w:p>
    <w:p w14:paraId="489E64F9" w14:textId="2C6D38CC" w:rsidR="009B3C5A" w:rsidRPr="00154F1D" w:rsidRDefault="009B3C5A" w:rsidP="00744FAA">
      <w:pPr>
        <w:pStyle w:val="NormalNumberedTextTLRI"/>
      </w:pPr>
      <w:r w:rsidRPr="00154F1D">
        <w:t xml:space="preserve">Criteria that have been identified as essential that are not explicitly contained in </w:t>
      </w:r>
      <w:r w:rsidR="00D5694B" w:rsidRPr="00154F1D">
        <w:t xml:space="preserve">the </w:t>
      </w:r>
      <w:r w:rsidRPr="00154F1D">
        <w:t>Tasmania</w:t>
      </w:r>
      <w:r w:rsidR="00E758F5" w:rsidRPr="00154F1D">
        <w:t>n</w:t>
      </w:r>
      <w:r w:rsidRPr="00154F1D">
        <w:t xml:space="preserve"> </w:t>
      </w:r>
      <w:r w:rsidR="00D5694B" w:rsidRPr="00154F1D">
        <w:t xml:space="preserve">legislation </w:t>
      </w:r>
      <w:r w:rsidR="004E1F1B" w:rsidRPr="00154F1D">
        <w:t>are</w:t>
      </w:r>
      <w:r w:rsidRPr="00154F1D">
        <w:t>:</w:t>
      </w:r>
    </w:p>
    <w:p w14:paraId="08B2F478" w14:textId="4BBC64EA" w:rsidR="009B3C5A" w:rsidRPr="00154F1D" w:rsidRDefault="00E758F5" w:rsidP="00E758F5">
      <w:pPr>
        <w:pStyle w:val="DotPointTLRI"/>
        <w:ind w:left="851" w:hanging="425"/>
      </w:pPr>
      <w:r w:rsidRPr="00154F1D">
        <w:t>T</w:t>
      </w:r>
      <w:r w:rsidR="00274428" w:rsidRPr="00154F1D">
        <w:t xml:space="preserve">he accused’s ability to understand the actual </w:t>
      </w:r>
      <w:r w:rsidR="00471932" w:rsidRPr="00154F1D">
        <w:t>significance</w:t>
      </w:r>
      <w:r w:rsidR="009B3C5A" w:rsidRPr="00154F1D">
        <w:t xml:space="preserve"> of entering a plea.</w:t>
      </w:r>
    </w:p>
    <w:p w14:paraId="0D8C3914" w14:textId="28B08231" w:rsidR="009B3C5A" w:rsidRPr="00154F1D" w:rsidRDefault="00E758F5" w:rsidP="00E758F5">
      <w:pPr>
        <w:pStyle w:val="DotPointTLRI"/>
        <w:ind w:left="851" w:hanging="425"/>
      </w:pPr>
      <w:r w:rsidRPr="00154F1D">
        <w:t>T</w:t>
      </w:r>
      <w:r w:rsidR="00471932" w:rsidRPr="00154F1D">
        <w:t>he accuse</w:t>
      </w:r>
      <w:r w:rsidR="00274428" w:rsidRPr="00154F1D">
        <w:t>d</w:t>
      </w:r>
      <w:r w:rsidR="00471932" w:rsidRPr="00154F1D">
        <w:t>’s</w:t>
      </w:r>
      <w:r w:rsidR="00274428" w:rsidRPr="00154F1D">
        <w:t xml:space="preserve"> ability to communicate </w:t>
      </w:r>
      <w:r w:rsidR="00274428" w:rsidRPr="00154F1D">
        <w:rPr>
          <w:i/>
        </w:rPr>
        <w:t>meaningful</w:t>
      </w:r>
      <w:r w:rsidR="00274428" w:rsidRPr="00154F1D">
        <w:t xml:space="preserve"> </w:t>
      </w:r>
      <w:r w:rsidR="00471932" w:rsidRPr="00154F1D">
        <w:t>instructions</w:t>
      </w:r>
      <w:r w:rsidR="00274428" w:rsidRPr="00154F1D">
        <w:t xml:space="preserve"> to </w:t>
      </w:r>
      <w:r w:rsidR="00555A58" w:rsidRPr="00154F1D">
        <w:t xml:space="preserve">his or her </w:t>
      </w:r>
      <w:r w:rsidR="00A313B9">
        <w:t xml:space="preserve">legal </w:t>
      </w:r>
      <w:r w:rsidR="00274428" w:rsidRPr="00154F1D">
        <w:t>practitioner</w:t>
      </w:r>
      <w:r w:rsidR="009B3C5A" w:rsidRPr="00154F1D">
        <w:t>.</w:t>
      </w:r>
    </w:p>
    <w:p w14:paraId="52D64759" w14:textId="440A84FC" w:rsidR="00471932" w:rsidRPr="00154F1D" w:rsidRDefault="00E758F5" w:rsidP="00E758F5">
      <w:pPr>
        <w:pStyle w:val="DotPointTLRI"/>
        <w:ind w:left="851" w:hanging="425"/>
      </w:pPr>
      <w:r w:rsidRPr="00154F1D">
        <w:t>T</w:t>
      </w:r>
      <w:r w:rsidR="00274428" w:rsidRPr="00154F1D">
        <w:t xml:space="preserve">he accused’s ability to decide whether to give evidence to support </w:t>
      </w:r>
      <w:r w:rsidR="00555A58" w:rsidRPr="00154F1D">
        <w:t xml:space="preserve">his/her </w:t>
      </w:r>
      <w:r w:rsidR="00274428" w:rsidRPr="00154F1D">
        <w:t>case,</w:t>
      </w:r>
      <w:r w:rsidR="00471932" w:rsidRPr="00154F1D">
        <w:t xml:space="preserve"> a</w:t>
      </w:r>
      <w:r w:rsidR="00274428" w:rsidRPr="00154F1D">
        <w:t xml:space="preserve">nd if </w:t>
      </w:r>
      <w:r w:rsidR="00555A58" w:rsidRPr="00154F1D">
        <w:t xml:space="preserve">he or she </w:t>
      </w:r>
      <w:r w:rsidR="00274428" w:rsidRPr="00154F1D">
        <w:t>wish</w:t>
      </w:r>
      <w:r w:rsidR="00555A58" w:rsidRPr="00154F1D">
        <w:t>es</w:t>
      </w:r>
      <w:r w:rsidR="00274428" w:rsidRPr="00154F1D">
        <w:t xml:space="preserve"> to give evidence, </w:t>
      </w:r>
      <w:r w:rsidR="00555A58" w:rsidRPr="00154F1D">
        <w:t xml:space="preserve">his/her </w:t>
      </w:r>
      <w:r w:rsidR="00274428" w:rsidRPr="00154F1D">
        <w:t xml:space="preserve">ability to do so. </w:t>
      </w:r>
    </w:p>
    <w:p w14:paraId="1A1FB293" w14:textId="0A6D2307" w:rsidR="00E71204" w:rsidRPr="00154F1D" w:rsidRDefault="00862383" w:rsidP="00744FAA">
      <w:pPr>
        <w:pStyle w:val="NormalNumberedTextTLRI"/>
      </w:pPr>
      <w:r w:rsidRPr="00154F1D">
        <w:t xml:space="preserve">In contrast to the approach of jurisdictions that have sought to identify the specific decisions that an </w:t>
      </w:r>
      <w:r w:rsidR="0065769D">
        <w:t>individual</w:t>
      </w:r>
      <w:r w:rsidR="0065769D" w:rsidRPr="00154F1D">
        <w:t xml:space="preserve"> </w:t>
      </w:r>
      <w:r w:rsidRPr="00154F1D">
        <w:t>would need to make in the course of a trial</w:t>
      </w:r>
      <w:r w:rsidR="004E1F1B" w:rsidRPr="00154F1D">
        <w:t xml:space="preserve"> as a means to ensure a fair trial</w:t>
      </w:r>
      <w:r w:rsidRPr="00154F1D">
        <w:t xml:space="preserve">, </w:t>
      </w:r>
      <w:r w:rsidR="00E057DB" w:rsidRPr="00154F1D">
        <w:t xml:space="preserve">the ALRC </w:t>
      </w:r>
      <w:r w:rsidR="00255910" w:rsidRPr="00154F1D">
        <w:t>has</w:t>
      </w:r>
      <w:r w:rsidR="00E057DB" w:rsidRPr="00154F1D">
        <w:t xml:space="preserve"> set out the</w:t>
      </w:r>
      <w:r w:rsidRPr="00154F1D">
        <w:t xml:space="preserve"> criteria </w:t>
      </w:r>
      <w:r w:rsidR="00D5694B" w:rsidRPr="00154F1D">
        <w:t xml:space="preserve">relevant to the assessment of fitness to stand trial </w:t>
      </w:r>
      <w:r w:rsidR="004E1F1B" w:rsidRPr="00154F1D">
        <w:t>in a more general way</w:t>
      </w:r>
      <w:r w:rsidR="00E71204" w:rsidRPr="00154F1D">
        <w:t xml:space="preserve"> by focusing on an </w:t>
      </w:r>
      <w:r w:rsidR="0065769D">
        <w:t>accused</w:t>
      </w:r>
      <w:r w:rsidR="0065769D" w:rsidRPr="00154F1D">
        <w:t xml:space="preserve">’s </w:t>
      </w:r>
      <w:r w:rsidR="00E71204" w:rsidRPr="00154F1D">
        <w:t>decision</w:t>
      </w:r>
      <w:r w:rsidR="00E758F5" w:rsidRPr="00154F1D">
        <w:t>-</w:t>
      </w:r>
      <w:r w:rsidR="00E71204" w:rsidRPr="00154F1D">
        <w:t xml:space="preserve">making capacity (see </w:t>
      </w:r>
      <w:r w:rsidR="00646218" w:rsidRPr="00154F1D">
        <w:t>[4.4.9]</w:t>
      </w:r>
      <w:r w:rsidR="00E71204" w:rsidRPr="00154F1D">
        <w:t>)</w:t>
      </w:r>
      <w:r w:rsidR="004E1F1B" w:rsidRPr="00154F1D">
        <w:t xml:space="preserve">. </w:t>
      </w:r>
    </w:p>
    <w:p w14:paraId="71CE95EF" w14:textId="11B3A520" w:rsidR="00601522" w:rsidRPr="00154F1D" w:rsidRDefault="00601522" w:rsidP="00601522">
      <w:pPr>
        <w:pStyle w:val="furhtersub-heading2"/>
      </w:pPr>
      <w:r w:rsidRPr="00154F1D">
        <w:t>Supports and accommodations</w:t>
      </w:r>
    </w:p>
    <w:p w14:paraId="2FADCB28" w14:textId="1C51A872" w:rsidR="000B0663" w:rsidRPr="00154F1D" w:rsidRDefault="00134664" w:rsidP="00744FAA">
      <w:pPr>
        <w:pStyle w:val="NormalNumberedTextTLRI"/>
        <w:rPr>
          <w:lang w:val="en-US"/>
        </w:rPr>
      </w:pPr>
      <w:r w:rsidRPr="00154F1D">
        <w:t xml:space="preserve">In contrast to criticisms that the test of unfitness to stand trial is under-inclusive, other criticisms assert that the test is over-inclusive and therefore sets the bar too low for some </w:t>
      </w:r>
      <w:r w:rsidR="000F6038">
        <w:t>defendant</w:t>
      </w:r>
      <w:r w:rsidR="0065769D">
        <w:t>s</w:t>
      </w:r>
      <w:r w:rsidRPr="00154F1D">
        <w:t>. For example, Gooding et al argue that the test fails to ‘incorporate a requirement to consider whether support or assistance could help the accused to optimise fitness to stand trial’</w:t>
      </w:r>
      <w:r w:rsidR="000B0663" w:rsidRPr="00154F1D">
        <w:t>.</w:t>
      </w:r>
      <w:r w:rsidR="000B0663" w:rsidRPr="00154F1D">
        <w:rPr>
          <w:rStyle w:val="FootnoteReference"/>
        </w:rPr>
        <w:footnoteReference w:id="191"/>
      </w:r>
      <w:r w:rsidR="000B0663" w:rsidRPr="00154F1D">
        <w:t xml:space="preserve"> Although case law recognises the relevance of accommodations and supports, </w:t>
      </w:r>
      <w:r w:rsidR="00E06BBF">
        <w:t>the authors</w:t>
      </w:r>
      <w:r w:rsidRPr="00154F1D">
        <w:t xml:space="preserve"> conten</w:t>
      </w:r>
      <w:r w:rsidR="00E06BBF">
        <w:t>d</w:t>
      </w:r>
      <w:r w:rsidR="000B0663" w:rsidRPr="00154F1D">
        <w:t xml:space="preserve"> that ‘the application of such accommodations is arguabl</w:t>
      </w:r>
      <w:r w:rsidR="00555A58" w:rsidRPr="00154F1D">
        <w:t>y</w:t>
      </w:r>
      <w:r w:rsidR="000B0663" w:rsidRPr="00154F1D">
        <w:t xml:space="preserve"> ad hoc’ and that a ‘more formalised, systematic application of procedural accommodations … could be achieved through the training of judicial officers and greater statutory protections for support person</w:t>
      </w:r>
      <w:r w:rsidR="002877B3" w:rsidRPr="00154F1D">
        <w:t>s</w:t>
      </w:r>
      <w:r w:rsidR="000B0663" w:rsidRPr="00154F1D">
        <w:t xml:space="preserve"> to assist accused persons at risk of being deemed unfit to plead’.</w:t>
      </w:r>
      <w:r w:rsidR="000B0663" w:rsidRPr="00154F1D">
        <w:rPr>
          <w:rStyle w:val="FootnoteReference"/>
        </w:rPr>
        <w:footnoteReference w:id="192"/>
      </w:r>
      <w:r w:rsidR="000B0663" w:rsidRPr="00154F1D">
        <w:t xml:space="preserve"> </w:t>
      </w:r>
    </w:p>
    <w:p w14:paraId="395792E0" w14:textId="4D772B5D" w:rsidR="000B0663" w:rsidRPr="00154F1D" w:rsidRDefault="00D54422" w:rsidP="00744FAA">
      <w:pPr>
        <w:pStyle w:val="NormalNumberedTextTLRI"/>
        <w:rPr>
          <w:lang w:val="en-US"/>
        </w:rPr>
      </w:pPr>
      <w:r w:rsidRPr="00154F1D">
        <w:t>The need for</w:t>
      </w:r>
      <w:r w:rsidR="000B0663" w:rsidRPr="00154F1D">
        <w:t xml:space="preserve"> greater emphasis on the supports and accommodations that could be made available to an </w:t>
      </w:r>
      <w:r w:rsidR="0065769D">
        <w:t>accused</w:t>
      </w:r>
      <w:r w:rsidR="0065769D" w:rsidRPr="00154F1D">
        <w:t xml:space="preserve"> </w:t>
      </w:r>
      <w:r w:rsidR="000B0663" w:rsidRPr="00154F1D">
        <w:t xml:space="preserve">to facilitate fitness for trial has also been </w:t>
      </w:r>
      <w:r w:rsidRPr="00154F1D">
        <w:t>recognised</w:t>
      </w:r>
      <w:r w:rsidR="000B0663" w:rsidRPr="00154F1D">
        <w:t xml:space="preserve"> by various law reform bodies. For example, the Law Reform Committee stated that the test ‘sets a low threshold for determining the fitness of an accused with an intellectual disability or cognitive impairment’.</w:t>
      </w:r>
      <w:r w:rsidR="00E20E7A" w:rsidRPr="00154F1D">
        <w:rPr>
          <w:rStyle w:val="FootnoteReference"/>
        </w:rPr>
        <w:footnoteReference w:id="193"/>
      </w:r>
      <w:r w:rsidR="000B0663" w:rsidRPr="00154F1D">
        <w:t xml:space="preserve"> It indicated that it had received evidence to suggest that ‘the provision of court support services could provide a mechanism for overcoming barriers that [such] a person … may experience when interacting with the courts and may therefore minimise the potential for findings of unfitness to be made against them’.</w:t>
      </w:r>
      <w:r w:rsidR="000B0663" w:rsidRPr="00154F1D">
        <w:rPr>
          <w:rStyle w:val="FootnoteReference"/>
        </w:rPr>
        <w:footnoteReference w:id="194"/>
      </w:r>
      <w:r w:rsidR="000B0663" w:rsidRPr="00154F1D">
        <w:t xml:space="preserve"> The ALRC recommended that there be a reformulation of the test ‘to focus on whether, and to what extent, a person can be supported to play their role in the justice system, rather than on whether they have capacity to play such a role at all</w:t>
      </w:r>
      <w:r w:rsidR="00A71945" w:rsidRPr="00154F1D">
        <w:t>.</w:t>
      </w:r>
      <w:r w:rsidR="000B0663" w:rsidRPr="00154F1D">
        <w:t>’</w:t>
      </w:r>
      <w:r w:rsidR="000B0663" w:rsidRPr="00154F1D">
        <w:rPr>
          <w:rStyle w:val="FootnoteReference"/>
        </w:rPr>
        <w:footnoteReference w:id="195"/>
      </w:r>
      <w:r w:rsidR="000B0663" w:rsidRPr="00154F1D">
        <w:t xml:space="preserve"> Similarly, the VLRC indicated that ‘the importance of support measures in the unfitness to stand trial process was one of the strongest themes to come out of the Commission’s review’.</w:t>
      </w:r>
      <w:r w:rsidR="000B0663" w:rsidRPr="00154F1D">
        <w:rPr>
          <w:rStyle w:val="FootnoteReference"/>
        </w:rPr>
        <w:footnoteReference w:id="196"/>
      </w:r>
      <w:r w:rsidR="000B0663" w:rsidRPr="00154F1D">
        <w:t xml:space="preserve"> In England and Wales, the Law Commission expressed the view that the test should take </w:t>
      </w:r>
      <w:r w:rsidR="00644F25" w:rsidRPr="00154F1D">
        <w:t>‘</w:t>
      </w:r>
      <w:r w:rsidR="000B0663" w:rsidRPr="00154F1D">
        <w:t>into account assistance available to the defendant</w:t>
      </w:r>
      <w:r w:rsidR="00644F25" w:rsidRPr="00154F1D">
        <w:t>’</w:t>
      </w:r>
      <w:r w:rsidR="000B0663" w:rsidRPr="00154F1D">
        <w:t xml:space="preserve"> and that </w:t>
      </w:r>
      <w:r w:rsidR="00644F25" w:rsidRPr="00154F1D">
        <w:t xml:space="preserve">‘a finding of lack of </w:t>
      </w:r>
      <w:r w:rsidR="000B0663" w:rsidRPr="00154F1D">
        <w:t>capacity should only be made as a last resort’.</w:t>
      </w:r>
      <w:r w:rsidR="000B0663" w:rsidRPr="00154F1D">
        <w:rPr>
          <w:rStyle w:val="FootnoteReference"/>
        </w:rPr>
        <w:footnoteReference w:id="197"/>
      </w:r>
      <w:r w:rsidR="000B0663" w:rsidRPr="00154F1D">
        <w:t xml:space="preserve"> It also noted that this reflected the current law as applied by the courts but considered that support should be explicitly recognised in the test.</w:t>
      </w:r>
      <w:r w:rsidR="000B0663" w:rsidRPr="00154F1D">
        <w:rPr>
          <w:rStyle w:val="FootnoteReference"/>
        </w:rPr>
        <w:footnoteReference w:id="198"/>
      </w:r>
      <w:r w:rsidR="000B0663" w:rsidRPr="00154F1D">
        <w:t xml:space="preserve"> The NSWLRC also recommended that in determining whether a person is unfit for trial, the court must consider where modifications to the trial process can be made or assistance provided to facilitate the person’s understanding and effective participation.</w:t>
      </w:r>
      <w:r w:rsidR="000B0663" w:rsidRPr="00154F1D">
        <w:rPr>
          <w:rStyle w:val="FootnoteReference"/>
        </w:rPr>
        <w:footnoteReference w:id="199"/>
      </w:r>
      <w:r w:rsidR="000B0663" w:rsidRPr="00154F1D">
        <w:t xml:space="preserve"> The Western Australian review conducted by the Department of the Attorney General recommended that the concept of ‘fitness with support’ should be specifically included as a factor in the determination of an accused’s fitness to stand trial.</w:t>
      </w:r>
      <w:r w:rsidR="000B0663" w:rsidRPr="00154F1D">
        <w:rPr>
          <w:rStyle w:val="FootnoteReference"/>
        </w:rPr>
        <w:footnoteReference w:id="200"/>
      </w:r>
      <w:r w:rsidR="000B0663" w:rsidRPr="00154F1D">
        <w:t xml:space="preserve"> ‘Fitness with support’ refers to ‘modifications to court processes that are made to assist an individual to participate in court processes’.</w:t>
      </w:r>
      <w:r w:rsidR="000B0663" w:rsidRPr="00154F1D">
        <w:rPr>
          <w:rStyle w:val="FootnoteReference"/>
        </w:rPr>
        <w:footnoteReference w:id="201"/>
      </w:r>
    </w:p>
    <w:p w14:paraId="6FAA70F1" w14:textId="0859180A" w:rsidR="000B0663" w:rsidRPr="00154F1D" w:rsidRDefault="00D54422" w:rsidP="00744FAA">
      <w:pPr>
        <w:pStyle w:val="NormalNumberedTextTLRI"/>
        <w:rPr>
          <w:lang w:val="en-US"/>
        </w:rPr>
      </w:pPr>
      <w:r w:rsidRPr="00154F1D">
        <w:rPr>
          <w:lang w:val="en-US"/>
        </w:rPr>
        <w:t>G</w:t>
      </w:r>
      <w:r w:rsidR="000B0663" w:rsidRPr="00154F1D">
        <w:rPr>
          <w:lang w:val="en-US"/>
        </w:rPr>
        <w:t xml:space="preserve">reater use </w:t>
      </w:r>
      <w:r w:rsidRPr="00154F1D">
        <w:rPr>
          <w:lang w:val="en-US"/>
        </w:rPr>
        <w:t xml:space="preserve">of </w:t>
      </w:r>
      <w:r w:rsidR="000B0663" w:rsidRPr="00154F1D">
        <w:rPr>
          <w:lang w:val="en-US"/>
        </w:rPr>
        <w:t xml:space="preserve">special measures to support an </w:t>
      </w:r>
      <w:r w:rsidR="0065769D">
        <w:rPr>
          <w:lang w:val="en-US"/>
        </w:rPr>
        <w:t>accused</w:t>
      </w:r>
      <w:r w:rsidR="0065769D" w:rsidRPr="00154F1D">
        <w:rPr>
          <w:lang w:val="en-US"/>
        </w:rPr>
        <w:t xml:space="preserve">’s </w:t>
      </w:r>
      <w:r w:rsidR="000B0663" w:rsidRPr="00154F1D">
        <w:rPr>
          <w:lang w:val="en-US"/>
        </w:rPr>
        <w:t xml:space="preserve">fitness to stand trial </w:t>
      </w:r>
      <w:r w:rsidR="000B0663" w:rsidRPr="00154F1D">
        <w:t xml:space="preserve">is supported on the basis that the optimum approach </w:t>
      </w:r>
      <w:r w:rsidRPr="00154F1D">
        <w:t xml:space="preserve">is </w:t>
      </w:r>
      <w:r w:rsidR="000B0663" w:rsidRPr="00154F1D">
        <w:t>for a defendant to proceed through the normal trial process</w:t>
      </w:r>
      <w:r w:rsidR="00E20E7A" w:rsidRPr="00154F1D">
        <w:t>,</w:t>
      </w:r>
      <w:r w:rsidR="000B0663" w:rsidRPr="00154F1D">
        <w:t xml:space="preserve"> wherever this can be fairly achieved.</w:t>
      </w:r>
      <w:r w:rsidR="000B0663" w:rsidRPr="00154F1D">
        <w:rPr>
          <w:rStyle w:val="FootnoteReference"/>
        </w:rPr>
        <w:footnoteReference w:id="202"/>
      </w:r>
      <w:r w:rsidR="000B0663" w:rsidRPr="00154F1D">
        <w:t xml:space="preserve"> This is </w:t>
      </w:r>
      <w:r w:rsidRPr="00154F1D">
        <w:t>beneficial</w:t>
      </w:r>
      <w:r w:rsidR="000B0663" w:rsidRPr="00154F1D">
        <w:t xml:space="preserve"> </w:t>
      </w:r>
      <w:r w:rsidRPr="00154F1D">
        <w:t>to</w:t>
      </w:r>
      <w:r w:rsidR="000B0663" w:rsidRPr="00154F1D">
        <w:t xml:space="preserve"> the defendant and </w:t>
      </w:r>
      <w:r w:rsidRPr="00154F1D">
        <w:t>is</w:t>
      </w:r>
      <w:r w:rsidR="000B0663" w:rsidRPr="00154F1D">
        <w:t xml:space="preserve"> also in the public interest.</w:t>
      </w:r>
      <w:r w:rsidR="000B0663" w:rsidRPr="00154F1D">
        <w:rPr>
          <w:rStyle w:val="FootnoteReference"/>
        </w:rPr>
        <w:footnoteReference w:id="203"/>
      </w:r>
      <w:r w:rsidR="000B0663" w:rsidRPr="00154F1D">
        <w:t xml:space="preserve"> Accordingly, the law should </w:t>
      </w:r>
      <w:r w:rsidR="007002EF" w:rsidRPr="00154F1D">
        <w:t xml:space="preserve">aim to reduce the number of people who take part in </w:t>
      </w:r>
      <w:r w:rsidR="001A2BC8" w:rsidRPr="00154F1D">
        <w:t>special hearings</w:t>
      </w:r>
      <w:r w:rsidR="000B0663" w:rsidRPr="00154F1D">
        <w:t xml:space="preserve">. </w:t>
      </w:r>
      <w:r w:rsidRPr="00154F1D">
        <w:t>This approach</w:t>
      </w:r>
      <w:r w:rsidR="000B0663" w:rsidRPr="00154F1D">
        <w:t xml:space="preserve"> is also </w:t>
      </w:r>
      <w:r w:rsidR="00E20E7A" w:rsidRPr="00154F1D">
        <w:t xml:space="preserve">more </w:t>
      </w:r>
      <w:r w:rsidR="000B0663" w:rsidRPr="00154F1D">
        <w:t xml:space="preserve">consistent with the obligations that arise under the </w:t>
      </w:r>
      <w:r w:rsidR="000B0663" w:rsidRPr="00154F1D">
        <w:rPr>
          <w:i/>
        </w:rPr>
        <w:t>CRPD</w:t>
      </w:r>
      <w:r w:rsidR="000B0663" w:rsidRPr="00154F1D">
        <w:t>.</w:t>
      </w:r>
      <w:r w:rsidR="000B0663" w:rsidRPr="00154F1D">
        <w:rPr>
          <w:rStyle w:val="FootnoteReference"/>
        </w:rPr>
        <w:footnoteReference w:id="204"/>
      </w:r>
    </w:p>
    <w:p w14:paraId="78BBB805" w14:textId="30DC26C7" w:rsidR="000B0663" w:rsidRPr="00154F1D" w:rsidRDefault="00E20E7A" w:rsidP="00744FAA">
      <w:pPr>
        <w:pStyle w:val="NormalNumberedTextTLRI"/>
        <w:rPr>
          <w:lang w:val="en-US"/>
        </w:rPr>
      </w:pPr>
      <w:r w:rsidRPr="00154F1D">
        <w:rPr>
          <w:lang w:val="en-US"/>
        </w:rPr>
        <w:t>Despite widespread support for this approach,</w:t>
      </w:r>
      <w:r w:rsidR="000B0663" w:rsidRPr="00154F1D">
        <w:rPr>
          <w:lang w:val="en-US"/>
        </w:rPr>
        <w:t xml:space="preserve"> concerns have been </w:t>
      </w:r>
      <w:r w:rsidR="002877B3" w:rsidRPr="00154F1D">
        <w:rPr>
          <w:lang w:val="en-US"/>
        </w:rPr>
        <w:t xml:space="preserve">expressed </w:t>
      </w:r>
      <w:r w:rsidRPr="00154F1D">
        <w:rPr>
          <w:lang w:val="en-US"/>
        </w:rPr>
        <w:t>that to</w:t>
      </w:r>
      <w:r w:rsidR="000B0663" w:rsidRPr="00154F1D">
        <w:rPr>
          <w:lang w:val="en-US"/>
        </w:rPr>
        <w:t xml:space="preserve"> use special measures to allow an </w:t>
      </w:r>
      <w:r w:rsidR="0065769D">
        <w:rPr>
          <w:lang w:val="en-US"/>
        </w:rPr>
        <w:t>accused</w:t>
      </w:r>
      <w:r w:rsidR="0065769D" w:rsidRPr="00154F1D">
        <w:rPr>
          <w:lang w:val="en-US"/>
        </w:rPr>
        <w:t xml:space="preserve"> </w:t>
      </w:r>
      <w:r w:rsidR="000B0663" w:rsidRPr="00154F1D">
        <w:rPr>
          <w:lang w:val="en-US"/>
        </w:rPr>
        <w:t xml:space="preserve">to become fit for trial </w:t>
      </w:r>
      <w:r w:rsidRPr="00154F1D">
        <w:rPr>
          <w:lang w:val="en-US"/>
        </w:rPr>
        <w:t>is</w:t>
      </w:r>
      <w:r w:rsidR="000B0663" w:rsidRPr="00154F1D">
        <w:rPr>
          <w:lang w:val="en-US"/>
        </w:rPr>
        <w:t xml:space="preserve"> not </w:t>
      </w:r>
      <w:r w:rsidR="00D54422" w:rsidRPr="00154F1D">
        <w:rPr>
          <w:lang w:val="en-US"/>
        </w:rPr>
        <w:t xml:space="preserve">necessarily </w:t>
      </w:r>
      <w:r w:rsidR="000B0663" w:rsidRPr="00154F1D">
        <w:rPr>
          <w:lang w:val="en-US"/>
        </w:rPr>
        <w:t xml:space="preserve">in the best interests of the </w:t>
      </w:r>
      <w:r w:rsidR="0065769D">
        <w:rPr>
          <w:lang w:val="en-US"/>
        </w:rPr>
        <w:t>person</w:t>
      </w:r>
      <w:r w:rsidR="000B0663" w:rsidRPr="00154F1D">
        <w:rPr>
          <w:lang w:val="en-US"/>
        </w:rPr>
        <w:t xml:space="preserve">. </w:t>
      </w:r>
      <w:r w:rsidR="000B0663" w:rsidRPr="00154F1D">
        <w:t xml:space="preserve">In the view of the </w:t>
      </w:r>
      <w:r w:rsidR="000B0663" w:rsidRPr="00154F1D">
        <w:rPr>
          <w:lang w:val="en-US"/>
        </w:rPr>
        <w:t>Northern Ireland Law Reform Commission</w:t>
      </w:r>
      <w:r w:rsidR="000B0663" w:rsidRPr="00154F1D">
        <w:t xml:space="preserve">, it would be inherently unfair for special measures to be used to ‘make’ an </w:t>
      </w:r>
      <w:r w:rsidR="0065769D">
        <w:t>accused</w:t>
      </w:r>
      <w:r w:rsidR="0065769D" w:rsidRPr="00154F1D">
        <w:t xml:space="preserve"> </w:t>
      </w:r>
      <w:r w:rsidR="000B0663" w:rsidRPr="00154F1D">
        <w:t>fit for trial</w:t>
      </w:r>
      <w:r w:rsidR="000B0663" w:rsidRPr="00154F1D">
        <w:rPr>
          <w:lang w:val="en-US"/>
        </w:rPr>
        <w:t>:</w:t>
      </w:r>
      <w:bookmarkStart w:id="94" w:name="_Ref535080919"/>
      <w:r w:rsidR="000B0663" w:rsidRPr="00154F1D">
        <w:rPr>
          <w:rStyle w:val="FootnoteReference"/>
          <w:lang w:val="en-US"/>
        </w:rPr>
        <w:footnoteReference w:id="205"/>
      </w:r>
      <w:bookmarkEnd w:id="94"/>
    </w:p>
    <w:p w14:paraId="548F9C5D" w14:textId="77777777" w:rsidR="000B0663" w:rsidRPr="00154F1D" w:rsidRDefault="000B0663" w:rsidP="0074267A">
      <w:pPr>
        <w:pStyle w:val="QuoteTLRI"/>
        <w:rPr>
          <w:lang w:val="en-US"/>
        </w:rPr>
      </w:pPr>
      <w:r w:rsidRPr="00154F1D">
        <w:t>The individual has not changed and might be better served by the disposals which are available following a determination of unfitness rather than following a criminal trial, where the focus is on sentencing and rehabilitation rather than medical treatment and care.</w:t>
      </w:r>
      <w:r w:rsidRPr="00154F1D">
        <w:rPr>
          <w:rStyle w:val="FootnoteReference"/>
        </w:rPr>
        <w:footnoteReference w:id="206"/>
      </w:r>
    </w:p>
    <w:p w14:paraId="246E8210" w14:textId="1C0A6F70" w:rsidR="000B0663" w:rsidRPr="00154F1D" w:rsidRDefault="000B0663" w:rsidP="00744FAA">
      <w:pPr>
        <w:pStyle w:val="NormalNumberedTextTLRI"/>
        <w:numPr>
          <w:ilvl w:val="0"/>
          <w:numId w:val="0"/>
        </w:numPr>
      </w:pPr>
      <w:r w:rsidRPr="00154F1D">
        <w:t xml:space="preserve">Accordingly, its view was that special measures should only </w:t>
      </w:r>
      <w:r w:rsidR="002877B3" w:rsidRPr="00154F1D">
        <w:t xml:space="preserve">be </w:t>
      </w:r>
      <w:r w:rsidRPr="00154F1D">
        <w:t>considered once the issue of unfitness to plead has been considered and a finding of fitness determined.</w:t>
      </w:r>
      <w:r w:rsidRPr="00154F1D">
        <w:rPr>
          <w:rStyle w:val="FootnoteReference"/>
        </w:rPr>
        <w:footnoteReference w:id="207"/>
      </w:r>
    </w:p>
    <w:p w14:paraId="3E807754" w14:textId="0DA67090" w:rsidR="000B0663" w:rsidRPr="00154F1D" w:rsidRDefault="000B0663" w:rsidP="00744FAA">
      <w:pPr>
        <w:pStyle w:val="NormalNumberedTextTLRI"/>
      </w:pPr>
      <w:r w:rsidRPr="00154F1D">
        <w:t xml:space="preserve">In Tasmania, </w:t>
      </w:r>
      <w:r w:rsidR="00E20E7A" w:rsidRPr="00154F1D">
        <w:t xml:space="preserve">as indicated, </w:t>
      </w:r>
      <w:r w:rsidRPr="00154F1D">
        <w:t xml:space="preserve">the issue of supports and accommodation </w:t>
      </w:r>
      <w:r w:rsidR="007261B0" w:rsidRPr="00154F1D">
        <w:t xml:space="preserve">for people with communication needs involved in the criminal justice system </w:t>
      </w:r>
      <w:r w:rsidR="00E20E7A" w:rsidRPr="00154F1D">
        <w:t xml:space="preserve">was </w:t>
      </w:r>
      <w:r w:rsidRPr="00154F1D">
        <w:t>th</w:t>
      </w:r>
      <w:r w:rsidR="00D54422" w:rsidRPr="00154F1D">
        <w:t xml:space="preserve">e subject of </w:t>
      </w:r>
      <w:r w:rsidR="007261B0" w:rsidRPr="00154F1D">
        <w:t xml:space="preserve">recent </w:t>
      </w:r>
      <w:r w:rsidR="00D54422" w:rsidRPr="00154F1D">
        <w:t>review by the TLRI. The TLRI</w:t>
      </w:r>
      <w:r w:rsidRPr="00154F1D">
        <w:t xml:space="preserve"> </w:t>
      </w:r>
      <w:r w:rsidR="00140DE6" w:rsidRPr="00154F1D">
        <w:t>undertook</w:t>
      </w:r>
      <w:r w:rsidRPr="00154F1D">
        <w:t xml:space="preserve"> a project that examine</w:t>
      </w:r>
      <w:r w:rsidR="00140DE6" w:rsidRPr="00154F1D">
        <w:t>d the</w:t>
      </w:r>
      <w:r w:rsidRPr="00154F1D">
        <w:t xml:space="preserve"> feasibility of instituting a communication assistant/intermediary scheme in Tasmania</w:t>
      </w:r>
      <w:r w:rsidR="007261B0" w:rsidRPr="00154F1D">
        <w:t>, and its principal recommendation was that an expert intermediary/communication scheme should be established in Tasmania with a view to enabling ‘people with communication needs to participate to the best of their ability in the criminal justice process’</w:t>
      </w:r>
      <w:r w:rsidRPr="00154F1D">
        <w:t>.</w:t>
      </w:r>
      <w:r w:rsidR="007261B0" w:rsidRPr="00154F1D">
        <w:rPr>
          <w:rStyle w:val="FootnoteReference"/>
        </w:rPr>
        <w:footnoteReference w:id="208"/>
      </w:r>
      <w:r w:rsidRPr="00154F1D">
        <w:t xml:space="preserve"> </w:t>
      </w:r>
      <w:r w:rsidR="00D75872" w:rsidRPr="00154F1D">
        <w:t xml:space="preserve">The </w:t>
      </w:r>
      <w:r w:rsidR="00252086" w:rsidRPr="00154F1D">
        <w:t xml:space="preserve">proposed </w:t>
      </w:r>
      <w:r w:rsidR="00D75872" w:rsidRPr="00154F1D">
        <w:t xml:space="preserve">scheme would </w:t>
      </w:r>
      <w:r w:rsidR="003A1F7E" w:rsidRPr="00154F1D">
        <w:t>involve</w:t>
      </w:r>
      <w:r w:rsidR="00D75872" w:rsidRPr="00154F1D">
        <w:t xml:space="preserve"> expertly trained intermediaries/communication assistants </w:t>
      </w:r>
      <w:r w:rsidR="003A1F7E" w:rsidRPr="00154F1D">
        <w:t xml:space="preserve">who have a range of </w:t>
      </w:r>
      <w:r w:rsidR="00FC3383" w:rsidRPr="00154F1D">
        <w:t>functions</w:t>
      </w:r>
      <w:r w:rsidR="003A1F7E" w:rsidRPr="00154F1D">
        <w:t xml:space="preserve"> </w:t>
      </w:r>
      <w:r w:rsidR="00FC3383" w:rsidRPr="00154F1D">
        <w:t>including</w:t>
      </w:r>
      <w:r w:rsidR="003A1F7E" w:rsidRPr="00154F1D">
        <w:t xml:space="preserve"> advisory and interpretive roles as well as the power to intervene in inappropriate questioning and to suggest how </w:t>
      </w:r>
      <w:r w:rsidR="00252086" w:rsidRPr="00154F1D">
        <w:t xml:space="preserve">such questioning </w:t>
      </w:r>
      <w:r w:rsidR="003A1F7E" w:rsidRPr="00154F1D">
        <w:t xml:space="preserve">should be altered. The </w:t>
      </w:r>
      <w:r w:rsidR="00252086" w:rsidRPr="00154F1D">
        <w:t>intermediaries/communication assistants</w:t>
      </w:r>
      <w:r w:rsidR="003A1F7E" w:rsidRPr="00154F1D">
        <w:t xml:space="preserve"> </w:t>
      </w:r>
      <w:r w:rsidR="00252086" w:rsidRPr="00154F1D">
        <w:t xml:space="preserve">would </w:t>
      </w:r>
      <w:r w:rsidR="003A1F7E" w:rsidRPr="00154F1D">
        <w:t xml:space="preserve">be able to provide advice to courts, legal practitioners and the police and assistance to people with communication needs who are involved in the criminal justice process. This will facilitate communication with </w:t>
      </w:r>
      <w:r w:rsidR="002877B3" w:rsidRPr="00154F1D">
        <w:t xml:space="preserve">the police and </w:t>
      </w:r>
      <w:r w:rsidR="003A1F7E" w:rsidRPr="00154F1D">
        <w:t>legal practitioners and will support individuals with communication needs during court hearings and trials.</w:t>
      </w:r>
      <w:r w:rsidR="003A1F7E" w:rsidRPr="00154F1D">
        <w:rPr>
          <w:rStyle w:val="FootnoteReference"/>
        </w:rPr>
        <w:footnoteReference w:id="209"/>
      </w:r>
      <w:r w:rsidR="003A1F7E" w:rsidRPr="00154F1D">
        <w:t xml:space="preserve"> Accordingly, t</w:t>
      </w:r>
      <w:r w:rsidR="005A565A" w:rsidRPr="00154F1D">
        <w:t>he creation of such a scheme</w:t>
      </w:r>
      <w:r w:rsidR="009810B9" w:rsidRPr="00154F1D">
        <w:t xml:space="preserve"> is likely to reduce the need to hold fitness hearings</w:t>
      </w:r>
      <w:r w:rsidR="00252086" w:rsidRPr="00154F1D">
        <w:t>,</w:t>
      </w:r>
      <w:r w:rsidR="009810B9" w:rsidRPr="00154F1D">
        <w:t xml:space="preserve"> and/or reduce the number of </w:t>
      </w:r>
      <w:r w:rsidR="0007453E">
        <w:t>people</w:t>
      </w:r>
      <w:r w:rsidR="008B2DA5" w:rsidRPr="00154F1D">
        <w:t xml:space="preserve"> </w:t>
      </w:r>
      <w:r w:rsidR="009810B9" w:rsidRPr="00154F1D">
        <w:t>found unfit to stand trial</w:t>
      </w:r>
      <w:r w:rsidR="00904776" w:rsidRPr="00154F1D">
        <w:t xml:space="preserve"> </w:t>
      </w:r>
      <w:r w:rsidR="002A5810" w:rsidRPr="00154F1D">
        <w:t xml:space="preserve">and enhance the human rights of </w:t>
      </w:r>
      <w:r w:rsidR="008B2DA5">
        <w:t>people</w:t>
      </w:r>
      <w:r w:rsidR="008B2DA5" w:rsidRPr="00154F1D">
        <w:t xml:space="preserve"> </w:t>
      </w:r>
      <w:r w:rsidR="002A5810" w:rsidRPr="00154F1D">
        <w:t>with communication needs in their interaction</w:t>
      </w:r>
      <w:r w:rsidR="002877B3" w:rsidRPr="00154F1D">
        <w:t>s</w:t>
      </w:r>
      <w:r w:rsidR="002A5810" w:rsidRPr="00154F1D">
        <w:t xml:space="preserve"> with the criminal justice system</w:t>
      </w:r>
      <w:r w:rsidR="003A1F7E" w:rsidRPr="00154F1D">
        <w:t xml:space="preserve">. </w:t>
      </w:r>
      <w:r w:rsidR="00524841" w:rsidRPr="00154F1D">
        <w:t>The TLRI has also made recommendations in relation to the importance of appropriate decision</w:t>
      </w:r>
      <w:r w:rsidR="00252086" w:rsidRPr="00154F1D">
        <w:t>-</w:t>
      </w:r>
      <w:r w:rsidR="00524841" w:rsidRPr="00154F1D">
        <w:t>making supports as a means to facilitate decision</w:t>
      </w:r>
      <w:r w:rsidR="00252086" w:rsidRPr="00154F1D">
        <w:t>-</w:t>
      </w:r>
      <w:r w:rsidR="00524841" w:rsidRPr="00154F1D">
        <w:t>making to maximise a person’s autotomy and promote a will, preference and rights approach to decision-making for people requiring support.</w:t>
      </w:r>
      <w:r w:rsidR="00524841" w:rsidRPr="00154F1D">
        <w:rPr>
          <w:rStyle w:val="FootnoteReference"/>
        </w:rPr>
        <w:footnoteReference w:id="210"/>
      </w:r>
    </w:p>
    <w:p w14:paraId="6E968962" w14:textId="52A47473" w:rsidR="000B0663" w:rsidRPr="00154F1D" w:rsidRDefault="005A565A" w:rsidP="00744FAA">
      <w:pPr>
        <w:pStyle w:val="NormalNumberedTextTLRI"/>
      </w:pPr>
      <w:r w:rsidRPr="00154F1D">
        <w:t>In addition to the benefits offered by an intermediary scheme</w:t>
      </w:r>
      <w:r w:rsidR="002A5810" w:rsidRPr="00154F1D">
        <w:t xml:space="preserve"> </w:t>
      </w:r>
      <w:r w:rsidR="002877B3" w:rsidRPr="00154F1D">
        <w:t>in facilitating</w:t>
      </w:r>
      <w:r w:rsidR="002A5810" w:rsidRPr="00154F1D">
        <w:t xml:space="preserve"> participation in the criminal process</w:t>
      </w:r>
      <w:r w:rsidRPr="00154F1D">
        <w:t>, o</w:t>
      </w:r>
      <w:r w:rsidR="007261B0" w:rsidRPr="00154F1D">
        <w:t xml:space="preserve">ther </w:t>
      </w:r>
      <w:r w:rsidR="000B0663" w:rsidRPr="00154F1D">
        <w:t xml:space="preserve">means </w:t>
      </w:r>
      <w:r w:rsidRPr="00154F1D">
        <w:t xml:space="preserve">available </w:t>
      </w:r>
      <w:r w:rsidR="000B0663" w:rsidRPr="00154F1D">
        <w:t xml:space="preserve">to increase the level of support </w:t>
      </w:r>
      <w:r w:rsidRPr="00154F1D">
        <w:t xml:space="preserve">for people with </w:t>
      </w:r>
      <w:r w:rsidR="00D5008F" w:rsidRPr="00154F1D">
        <w:t>intellectual</w:t>
      </w:r>
      <w:r w:rsidRPr="00154F1D">
        <w:t xml:space="preserve"> </w:t>
      </w:r>
      <w:r w:rsidR="00134664" w:rsidRPr="00154F1D">
        <w:t>disabilit</w:t>
      </w:r>
      <w:r w:rsidR="00D5008F">
        <w:t>ies</w:t>
      </w:r>
      <w:r w:rsidR="00134664" w:rsidRPr="00154F1D">
        <w:t xml:space="preserve"> and/or </w:t>
      </w:r>
      <w:r w:rsidRPr="00154F1D">
        <w:t xml:space="preserve">and cognitive impairments </w:t>
      </w:r>
      <w:r w:rsidR="000B0663" w:rsidRPr="00154F1D">
        <w:t xml:space="preserve">have been identified </w:t>
      </w:r>
      <w:r w:rsidRPr="00154F1D">
        <w:t>as follows:</w:t>
      </w:r>
      <w:r w:rsidR="000B0663" w:rsidRPr="00154F1D">
        <w:rPr>
          <w:rStyle w:val="FootnoteReference"/>
        </w:rPr>
        <w:footnoteReference w:id="211"/>
      </w:r>
      <w:r w:rsidR="000B0663" w:rsidRPr="00154F1D">
        <w:t xml:space="preserve"> </w:t>
      </w:r>
    </w:p>
    <w:p w14:paraId="20215D94" w14:textId="79C5B929" w:rsidR="000B0663" w:rsidRPr="00154F1D" w:rsidRDefault="005A565A" w:rsidP="00252086">
      <w:pPr>
        <w:pStyle w:val="DotPointTLRI"/>
        <w:ind w:left="851" w:hanging="425"/>
      </w:pPr>
      <w:r w:rsidRPr="00154F1D">
        <w:t xml:space="preserve">the </w:t>
      </w:r>
      <w:r w:rsidR="000B0663" w:rsidRPr="00154F1D">
        <w:t xml:space="preserve">provision of a formal education program; </w:t>
      </w:r>
    </w:p>
    <w:p w14:paraId="3B0FBCAD" w14:textId="146F68E9" w:rsidR="000B0663" w:rsidRPr="00154F1D" w:rsidRDefault="000B0663" w:rsidP="00252086">
      <w:pPr>
        <w:pStyle w:val="DotPointTLRI"/>
        <w:ind w:left="851" w:hanging="425"/>
      </w:pPr>
      <w:r w:rsidRPr="00154F1D">
        <w:t>court familiarisation</w:t>
      </w:r>
      <w:r w:rsidR="002877B3" w:rsidRPr="00154F1D">
        <w:t xml:space="preserve"> processes</w:t>
      </w:r>
      <w:r w:rsidRPr="00154F1D">
        <w:t>;</w:t>
      </w:r>
    </w:p>
    <w:p w14:paraId="65C5FE61" w14:textId="3C06076C" w:rsidR="000B0663" w:rsidRPr="00154F1D" w:rsidRDefault="005A565A" w:rsidP="00252086">
      <w:pPr>
        <w:pStyle w:val="DotPointTLRI"/>
        <w:ind w:left="851" w:hanging="425"/>
      </w:pPr>
      <w:r w:rsidRPr="00154F1D">
        <w:t xml:space="preserve">the </w:t>
      </w:r>
      <w:r w:rsidR="000B0663" w:rsidRPr="00154F1D">
        <w:t>modification of court procedures to suit people with intellectual disabilit</w:t>
      </w:r>
      <w:r w:rsidR="002877B3" w:rsidRPr="00154F1D">
        <w:t>ies</w:t>
      </w:r>
      <w:r w:rsidR="000B0663" w:rsidRPr="00154F1D">
        <w:t xml:space="preserve"> or cognitive impairment</w:t>
      </w:r>
      <w:r w:rsidR="002877B3" w:rsidRPr="00154F1D">
        <w:t>s</w:t>
      </w:r>
      <w:r w:rsidR="000B0663" w:rsidRPr="00154F1D">
        <w:t>, such as shorter sessions, reduce</w:t>
      </w:r>
      <w:r w:rsidR="002877B3" w:rsidRPr="00154F1D">
        <w:t>d</w:t>
      </w:r>
      <w:r w:rsidR="000B0663" w:rsidRPr="00154F1D">
        <w:t xml:space="preserve"> formalities, allowing the giving of evidence via videolink;</w:t>
      </w:r>
    </w:p>
    <w:p w14:paraId="77BCBEA7" w14:textId="0A59BCD6" w:rsidR="000B0663" w:rsidRPr="00154F1D" w:rsidRDefault="000B0663" w:rsidP="00252086">
      <w:pPr>
        <w:pStyle w:val="DotPointTLRI"/>
        <w:ind w:left="851" w:hanging="425"/>
        <w:outlineLvl w:val="0"/>
      </w:pPr>
      <w:r w:rsidRPr="00154F1D">
        <w:t xml:space="preserve">improved communications methods, such as visual aids, </w:t>
      </w:r>
      <w:r w:rsidR="005A565A" w:rsidRPr="00154F1D">
        <w:t xml:space="preserve">and the </w:t>
      </w:r>
      <w:r w:rsidRPr="00154F1D">
        <w:t>use of clear language</w:t>
      </w:r>
      <w:r w:rsidR="005A565A" w:rsidRPr="00154F1D">
        <w:t>.</w:t>
      </w:r>
      <w:r w:rsidRPr="00154F1D">
        <w:t xml:space="preserve"> </w:t>
      </w:r>
    </w:p>
    <w:p w14:paraId="15990CED" w14:textId="03145DCD" w:rsidR="004E1F1B" w:rsidRPr="00154F1D" w:rsidRDefault="00AE5625" w:rsidP="00744FAA">
      <w:pPr>
        <w:pStyle w:val="NormalNumberedTextTLRI"/>
        <w:numPr>
          <w:ilvl w:val="0"/>
          <w:numId w:val="0"/>
        </w:numPr>
      </w:pPr>
      <w:r w:rsidRPr="00154F1D">
        <w:t xml:space="preserve">These measures may also allow </w:t>
      </w:r>
      <w:r w:rsidR="008B2DA5">
        <w:t>individual</w:t>
      </w:r>
      <w:r w:rsidR="008B2DA5" w:rsidRPr="00154F1D">
        <w:t xml:space="preserve">s </w:t>
      </w:r>
      <w:r w:rsidRPr="00154F1D">
        <w:t xml:space="preserve">with </w:t>
      </w:r>
      <w:r w:rsidR="00D5008F" w:rsidRPr="00154F1D">
        <w:t>intellectual</w:t>
      </w:r>
      <w:r w:rsidR="00134664" w:rsidRPr="00154F1D">
        <w:t xml:space="preserve"> disabilit</w:t>
      </w:r>
      <w:r w:rsidR="00D5008F">
        <w:t>ies</w:t>
      </w:r>
      <w:r w:rsidRPr="00154F1D">
        <w:t xml:space="preserve"> and/or cognitive impairment</w:t>
      </w:r>
      <w:r w:rsidR="002877B3" w:rsidRPr="00154F1D">
        <w:t>s</w:t>
      </w:r>
      <w:r w:rsidRPr="00154F1D">
        <w:t xml:space="preserve"> to participate </w:t>
      </w:r>
      <w:r w:rsidR="002A5810" w:rsidRPr="00154F1D">
        <w:t xml:space="preserve">more effectively </w:t>
      </w:r>
      <w:r w:rsidRPr="00154F1D">
        <w:t xml:space="preserve">in an ordinary trial </w:t>
      </w:r>
      <w:r w:rsidR="002A5810" w:rsidRPr="00154F1D">
        <w:t>and support their fitness to stand trial</w:t>
      </w:r>
      <w:r w:rsidR="00C64140" w:rsidRPr="00154F1D">
        <w:t xml:space="preserve">. </w:t>
      </w:r>
      <w:r w:rsidR="000B0663" w:rsidRPr="00154F1D">
        <w:t xml:space="preserve">The provision of procedural accommodations to facilitate a person’s access to justice accords with the requirements of the </w:t>
      </w:r>
      <w:r w:rsidR="000B0663" w:rsidRPr="00154F1D">
        <w:rPr>
          <w:i/>
        </w:rPr>
        <w:t>CRPD</w:t>
      </w:r>
      <w:r w:rsidR="000B0663" w:rsidRPr="00154F1D">
        <w:t>,</w:t>
      </w:r>
      <w:r w:rsidR="000B0663" w:rsidRPr="00154F1D">
        <w:rPr>
          <w:rStyle w:val="FootnoteReference"/>
        </w:rPr>
        <w:footnoteReference w:id="212"/>
      </w:r>
      <w:r w:rsidR="000B0663" w:rsidRPr="00154F1D">
        <w:t xml:space="preserve"> and may, according to Gooding and O’Mahoney, ‘circumvent the need for any assessment of fitness for trial in the first place’.</w:t>
      </w:r>
      <w:r w:rsidR="000B0663" w:rsidRPr="00154F1D">
        <w:rPr>
          <w:rStyle w:val="FootnoteReference"/>
        </w:rPr>
        <w:footnoteReference w:id="213"/>
      </w:r>
    </w:p>
    <w:p w14:paraId="5C94AC73" w14:textId="6C526CC9" w:rsidR="00601522" w:rsidRPr="00154F1D" w:rsidRDefault="00601522" w:rsidP="00B8627B">
      <w:pPr>
        <w:pStyle w:val="furhtersub-heading2"/>
        <w:keepNext/>
      </w:pPr>
      <w:r w:rsidRPr="00154F1D">
        <w:t>Summary</w:t>
      </w:r>
    </w:p>
    <w:p w14:paraId="1ECCFFD5" w14:textId="43C63BBF" w:rsidR="00E20E7A" w:rsidRPr="00154F1D" w:rsidRDefault="00F73A82" w:rsidP="00744FAA">
      <w:pPr>
        <w:pStyle w:val="NormalNumberedTextTLRI"/>
      </w:pPr>
      <w:r w:rsidRPr="00154F1D">
        <w:t>The TLRI seeks feedback</w:t>
      </w:r>
      <w:r w:rsidR="00E20E7A" w:rsidRPr="00154F1D">
        <w:t xml:space="preserve"> from stakeholders</w:t>
      </w:r>
      <w:r w:rsidRPr="00154F1D">
        <w:t xml:space="preserve"> </w:t>
      </w:r>
      <w:r w:rsidR="002877B3" w:rsidRPr="00154F1D">
        <w:t xml:space="preserve">and members of the Tasmanian community </w:t>
      </w:r>
      <w:r w:rsidRPr="00154F1D">
        <w:t xml:space="preserve">on the need for reform </w:t>
      </w:r>
      <w:r w:rsidR="002877B3" w:rsidRPr="00154F1D">
        <w:t xml:space="preserve">of </w:t>
      </w:r>
      <w:r w:rsidRPr="00154F1D">
        <w:t xml:space="preserve">the test for fitness to stand trial contained in </w:t>
      </w:r>
      <w:r w:rsidR="00134664" w:rsidRPr="00154F1D">
        <w:t xml:space="preserve">s 8 of </w:t>
      </w:r>
      <w:r w:rsidRPr="00154F1D">
        <w:t xml:space="preserve">the </w:t>
      </w:r>
      <w:r w:rsidR="00D54422" w:rsidRPr="00154F1D">
        <w:rPr>
          <w:i/>
        </w:rPr>
        <w:t>Criminal Justice Mental Impairment Act 1999</w:t>
      </w:r>
      <w:r w:rsidR="00D54422" w:rsidRPr="00154F1D">
        <w:t xml:space="preserve"> (Tas)</w:t>
      </w:r>
      <w:r w:rsidRPr="00154F1D">
        <w:t xml:space="preserve">. </w:t>
      </w:r>
    </w:p>
    <w:p w14:paraId="37C2BC47" w14:textId="124BA141" w:rsidR="00F73A82" w:rsidRPr="00154F1D" w:rsidRDefault="00F73A82" w:rsidP="00744FAA">
      <w:pPr>
        <w:pStyle w:val="NormalNumberedTextTLRI"/>
      </w:pPr>
      <w:r w:rsidRPr="00154F1D">
        <w:t xml:space="preserve">In the Tasmanian context, there is a need to ensure that the test governing fitness to stand trial and </w:t>
      </w:r>
      <w:r w:rsidR="002877B3" w:rsidRPr="00154F1D">
        <w:t xml:space="preserve">its </w:t>
      </w:r>
      <w:r w:rsidRPr="00154F1D">
        <w:t xml:space="preserve">criteria reflect the principles underpinning the </w:t>
      </w:r>
      <w:r w:rsidR="00D54422" w:rsidRPr="00154F1D">
        <w:rPr>
          <w:i/>
        </w:rPr>
        <w:t>Criminal Justice Mental Impairment Act 1999</w:t>
      </w:r>
      <w:r w:rsidR="00D54422" w:rsidRPr="00154F1D">
        <w:t xml:space="preserve"> (Tas)</w:t>
      </w:r>
      <w:r w:rsidR="00E20E7A" w:rsidRPr="00154F1D">
        <w:t xml:space="preserve">. These principles are </w:t>
      </w:r>
      <w:r w:rsidRPr="00154F1D">
        <w:t>fairness to the ac</w:t>
      </w:r>
      <w:r w:rsidR="00E20E7A" w:rsidRPr="00154F1D">
        <w:t xml:space="preserve">cused and </w:t>
      </w:r>
      <w:r w:rsidR="002877B3" w:rsidRPr="00154F1D">
        <w:t xml:space="preserve">the </w:t>
      </w:r>
      <w:r w:rsidR="00E20E7A" w:rsidRPr="00154F1D">
        <w:t>right to a fair trial.</w:t>
      </w:r>
      <w:r w:rsidRPr="00154F1D">
        <w:t xml:space="preserve"> </w:t>
      </w:r>
      <w:r w:rsidR="00E20E7A" w:rsidRPr="00154F1D">
        <w:t>In addition, it is important that</w:t>
      </w:r>
      <w:r w:rsidRPr="00154F1D">
        <w:t xml:space="preserve"> the criteria reflect the modern trial context and allow for an assessment to be made as to whether the accused is able to participate in </w:t>
      </w:r>
      <w:r w:rsidR="002877B3" w:rsidRPr="00154F1D">
        <w:t xml:space="preserve">his/her </w:t>
      </w:r>
      <w:r w:rsidR="00E20E7A" w:rsidRPr="00154F1D">
        <w:t xml:space="preserve">trial in </w:t>
      </w:r>
      <w:r w:rsidRPr="00154F1D">
        <w:t xml:space="preserve">a meaningful way and </w:t>
      </w:r>
      <w:r w:rsidR="00E20E7A" w:rsidRPr="00154F1D">
        <w:t xml:space="preserve">is able to </w:t>
      </w:r>
      <w:r w:rsidRPr="00154F1D">
        <w:t xml:space="preserve">make choices in relation to the crucial decisions that need to be made in the trial. </w:t>
      </w:r>
      <w:r w:rsidR="00856442" w:rsidRPr="00154F1D">
        <w:t>It may be that</w:t>
      </w:r>
      <w:r w:rsidR="000C0407" w:rsidRPr="00154F1D">
        <w:t>,</w:t>
      </w:r>
      <w:r w:rsidR="00856442" w:rsidRPr="00154F1D">
        <w:t xml:space="preserve"> in Tasmania, the criteria are under</w:t>
      </w:r>
      <w:r w:rsidR="00D54422" w:rsidRPr="00154F1D">
        <w:t>-</w:t>
      </w:r>
      <w:r w:rsidR="00856442" w:rsidRPr="00154F1D">
        <w:t xml:space="preserve">inclusive and do not appropriately reflect the need to ensure that an </w:t>
      </w:r>
      <w:r w:rsidR="008B2DA5">
        <w:t>individual</w:t>
      </w:r>
      <w:r w:rsidR="008B2DA5" w:rsidRPr="00154F1D">
        <w:t xml:space="preserve"> </w:t>
      </w:r>
      <w:r w:rsidR="00856442" w:rsidRPr="00154F1D">
        <w:t>has the capacity to make the crucial decisions in his or her trial and that reform is necessary. However, any move to expand (or potentially expand</w:t>
      </w:r>
      <w:r w:rsidR="00134664" w:rsidRPr="00154F1D">
        <w:t>)</w:t>
      </w:r>
      <w:r w:rsidR="00856442" w:rsidRPr="00154F1D">
        <w:t xml:space="preserve"> the category of </w:t>
      </w:r>
      <w:r w:rsidR="008B2DA5">
        <w:t>people</w:t>
      </w:r>
      <w:r w:rsidR="008B2DA5" w:rsidRPr="00154F1D">
        <w:t xml:space="preserve"> </w:t>
      </w:r>
      <w:r w:rsidR="00856442" w:rsidRPr="00154F1D">
        <w:t xml:space="preserve">who are able to rely on unfitness to stand </w:t>
      </w:r>
      <w:r w:rsidR="000C0407" w:rsidRPr="00154F1D">
        <w:t xml:space="preserve">trial </w:t>
      </w:r>
      <w:r w:rsidR="00A32BA1" w:rsidRPr="00154F1D">
        <w:t xml:space="preserve">may give rise </w:t>
      </w:r>
      <w:r w:rsidR="000C0407" w:rsidRPr="00154F1D">
        <w:t xml:space="preserve">to </w:t>
      </w:r>
      <w:r w:rsidR="00A32BA1" w:rsidRPr="00154F1D">
        <w:t>human right</w:t>
      </w:r>
      <w:r w:rsidR="000C0407" w:rsidRPr="00154F1D">
        <w:t>s</w:t>
      </w:r>
      <w:r w:rsidR="00A32BA1" w:rsidRPr="00154F1D">
        <w:t xml:space="preserve"> concerns</w:t>
      </w:r>
      <w:r w:rsidR="001040F6" w:rsidRPr="00154F1D">
        <w:t xml:space="preserve"> under the </w:t>
      </w:r>
      <w:r w:rsidR="001040F6" w:rsidRPr="00154F1D">
        <w:rPr>
          <w:i/>
        </w:rPr>
        <w:t>CRPD</w:t>
      </w:r>
      <w:r w:rsidR="00E057DB" w:rsidRPr="00154F1D">
        <w:t>, as noted above</w:t>
      </w:r>
      <w:r w:rsidR="001040F6" w:rsidRPr="00154F1D">
        <w:t xml:space="preserve">. Gooding et al have argued that a ‘proposal to include </w:t>
      </w:r>
      <w:r w:rsidR="001040F6" w:rsidRPr="00154F1D">
        <w:rPr>
          <w:i/>
        </w:rPr>
        <w:t xml:space="preserve">more </w:t>
      </w:r>
      <w:r w:rsidR="001040F6" w:rsidRPr="00154F1D">
        <w:t xml:space="preserve">people among those deemed unfit </w:t>
      </w:r>
      <w:r w:rsidR="00856442" w:rsidRPr="00154F1D">
        <w:t>would diverge from the UNCRPD emphasis on moving away from alternative legal processes for people with disabilities</w:t>
      </w:r>
      <w:r w:rsidR="001040F6" w:rsidRPr="00154F1D">
        <w:t>’.</w:t>
      </w:r>
      <w:r w:rsidR="001040F6" w:rsidRPr="00154F1D">
        <w:rPr>
          <w:rStyle w:val="FootnoteReference"/>
        </w:rPr>
        <w:footnoteReference w:id="214"/>
      </w:r>
      <w:r w:rsidR="00856442" w:rsidRPr="00154F1D">
        <w:t xml:space="preserve"> </w:t>
      </w:r>
      <w:r w:rsidR="000B0663" w:rsidRPr="00154F1D">
        <w:t>On this basis, it may be desirable</w:t>
      </w:r>
      <w:r w:rsidR="0089052D" w:rsidRPr="00154F1D">
        <w:t xml:space="preserve"> </w:t>
      </w:r>
      <w:r w:rsidR="000C0407" w:rsidRPr="00154F1D">
        <w:t xml:space="preserve">to </w:t>
      </w:r>
      <w:r w:rsidR="0089052D" w:rsidRPr="00154F1D">
        <w:t>specifically</w:t>
      </w:r>
      <w:r w:rsidR="000B0663" w:rsidRPr="00154F1D">
        <w:t xml:space="preserve"> </w:t>
      </w:r>
      <w:r w:rsidR="0089052D" w:rsidRPr="00154F1D">
        <w:t>incorporat</w:t>
      </w:r>
      <w:r w:rsidR="000B0663" w:rsidRPr="00154F1D">
        <w:t>e the relevance of supports and accommodations into the statutory test</w:t>
      </w:r>
      <w:r w:rsidR="002A5810" w:rsidRPr="00154F1D">
        <w:t>, including the use of an expert intermediary/communication assistant</w:t>
      </w:r>
      <w:r w:rsidR="000B0663" w:rsidRPr="00154F1D">
        <w:t>.</w:t>
      </w:r>
      <w:r w:rsidR="005A565A" w:rsidRPr="00154F1D">
        <w:t xml:space="preserve"> </w:t>
      </w:r>
      <w:r w:rsidR="002A5810" w:rsidRPr="00154F1D">
        <w:t>Further, i</w:t>
      </w:r>
      <w:r w:rsidR="005A565A" w:rsidRPr="00154F1D">
        <w:t xml:space="preserve">n </w:t>
      </w:r>
      <w:r w:rsidR="000B71EB" w:rsidRPr="00154F1D">
        <w:t xml:space="preserve">assisting </w:t>
      </w:r>
      <w:r w:rsidR="002A5810" w:rsidRPr="00154F1D">
        <w:t>judicial officers to make an assessment about fitness taking into account necessary supports and accommodation</w:t>
      </w:r>
      <w:r w:rsidR="00B8627B">
        <w:t>s</w:t>
      </w:r>
      <w:r w:rsidR="002A5810" w:rsidRPr="00154F1D">
        <w:t xml:space="preserve"> that would support a finding of fitness to stand trial</w:t>
      </w:r>
      <w:r w:rsidR="005A565A" w:rsidRPr="00154F1D">
        <w:t xml:space="preserve">, it may be </w:t>
      </w:r>
      <w:r w:rsidR="00AE5625" w:rsidRPr="00154F1D">
        <w:t xml:space="preserve">necessary to consider the </w:t>
      </w:r>
      <w:r w:rsidR="002A5810" w:rsidRPr="00154F1D">
        <w:t xml:space="preserve">nature of the </w:t>
      </w:r>
      <w:r w:rsidR="001B1287" w:rsidRPr="00154F1D">
        <w:t xml:space="preserve">expert </w:t>
      </w:r>
      <w:r w:rsidR="002A5810" w:rsidRPr="00154F1D">
        <w:t xml:space="preserve">information </w:t>
      </w:r>
      <w:r w:rsidR="00AE5625" w:rsidRPr="00154F1D">
        <w:t xml:space="preserve">that may </w:t>
      </w:r>
      <w:r w:rsidR="002A5810" w:rsidRPr="00154F1D">
        <w:t>made available to</w:t>
      </w:r>
      <w:r w:rsidR="00AE5625" w:rsidRPr="00154F1D">
        <w:t xml:space="preserve"> judicial officers to </w:t>
      </w:r>
      <w:r w:rsidR="002A5810" w:rsidRPr="00154F1D">
        <w:t>provide</w:t>
      </w:r>
      <w:r w:rsidR="00AE5625" w:rsidRPr="00154F1D">
        <w:t xml:space="preserve"> expert guidance in </w:t>
      </w:r>
      <w:r w:rsidR="002A5810" w:rsidRPr="00154F1D">
        <w:t>this regard</w:t>
      </w:r>
      <w:r w:rsidR="00AE5625" w:rsidRPr="00154F1D">
        <w:t>.</w:t>
      </w:r>
    </w:p>
    <w:p w14:paraId="4C8F915C" w14:textId="77777777" w:rsidR="00CA6742" w:rsidRPr="00154F1D" w:rsidRDefault="00CA6742" w:rsidP="000C0407">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57" w:right="57"/>
        <w:rPr>
          <w:b/>
        </w:rPr>
      </w:pPr>
      <w:bookmarkStart w:id="95" w:name="Q4"/>
      <w:r w:rsidRPr="00154F1D">
        <w:rPr>
          <w:b/>
        </w:rPr>
        <w:t>Questions</w:t>
      </w:r>
    </w:p>
    <w:bookmarkEnd w:id="95"/>
    <w:p w14:paraId="45C161C6" w14:textId="6B0BD96F" w:rsidR="001D3EFE" w:rsidRPr="00154F1D" w:rsidRDefault="00134664" w:rsidP="000C0407">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pPr>
      <w:r w:rsidRPr="00154F1D">
        <w:t>4</w:t>
      </w:r>
      <w:r w:rsidR="00CA6742" w:rsidRPr="00154F1D">
        <w:t>.</w:t>
      </w:r>
      <w:r w:rsidR="000C0407" w:rsidRPr="00154F1D">
        <w:tab/>
      </w:r>
      <w:r w:rsidR="001D3EFE" w:rsidRPr="00154F1D">
        <w:t xml:space="preserve">Does the current test for unfitness to stand trial contained in the </w:t>
      </w:r>
      <w:r w:rsidR="001C7F77" w:rsidRPr="00154F1D">
        <w:rPr>
          <w:i/>
        </w:rPr>
        <w:t>Criminal Justice (Mental Impairment) Act 1999</w:t>
      </w:r>
      <w:r w:rsidR="001C7F77" w:rsidRPr="00154F1D">
        <w:t xml:space="preserve"> (Tas)</w:t>
      </w:r>
      <w:r w:rsidR="001D3EFE" w:rsidRPr="00154F1D">
        <w:t xml:space="preserve"> s 8 continue to be a suitable basis for determining unfitness to stand trial? </w:t>
      </w:r>
    </w:p>
    <w:p w14:paraId="7507DB90" w14:textId="40A175E1" w:rsidR="00D248FE" w:rsidRPr="00154F1D" w:rsidRDefault="00134664" w:rsidP="000C0407">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pPr>
      <w:r w:rsidRPr="00154F1D">
        <w:t>5</w:t>
      </w:r>
      <w:r w:rsidR="00CA6742" w:rsidRPr="00154F1D">
        <w:t>.</w:t>
      </w:r>
      <w:r w:rsidR="000C0407" w:rsidRPr="00154F1D">
        <w:tab/>
      </w:r>
      <w:r w:rsidR="00557985" w:rsidRPr="00154F1D">
        <w:t xml:space="preserve">Are there any difficulties that arise from the current application of the criteria contained in the </w:t>
      </w:r>
      <w:r w:rsidR="006F3C6A" w:rsidRPr="00154F1D">
        <w:rPr>
          <w:i/>
        </w:rPr>
        <w:t>Criminal Justice Mental Impairment Act 1999</w:t>
      </w:r>
      <w:r w:rsidR="006F3C6A" w:rsidRPr="00154F1D">
        <w:t xml:space="preserve"> (Tas)</w:t>
      </w:r>
      <w:r w:rsidR="00557985" w:rsidRPr="00154F1D">
        <w:t xml:space="preserve"> s 8? For example, are there difficulties with the test </w:t>
      </w:r>
      <w:r w:rsidR="00E20E7A" w:rsidRPr="00154F1D">
        <w:t>that give</w:t>
      </w:r>
      <w:r w:rsidR="00557985" w:rsidRPr="00154F1D">
        <w:t xml:space="preserve"> rise to </w:t>
      </w:r>
      <w:r w:rsidR="00E20E7A" w:rsidRPr="00154F1D">
        <w:t xml:space="preserve">a </w:t>
      </w:r>
      <w:r w:rsidR="00557985" w:rsidRPr="00154F1D">
        <w:t xml:space="preserve">subjective interpretation of the criteria by medical experts? </w:t>
      </w:r>
    </w:p>
    <w:p w14:paraId="478D4A99" w14:textId="1D61655E" w:rsidR="00557985" w:rsidRPr="00154F1D" w:rsidRDefault="00134664" w:rsidP="000C0407">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pPr>
      <w:r w:rsidRPr="00154F1D">
        <w:t>6</w:t>
      </w:r>
      <w:r w:rsidR="00CA6742" w:rsidRPr="00154F1D">
        <w:t>.</w:t>
      </w:r>
      <w:r w:rsidR="00114AC8" w:rsidRPr="00154F1D">
        <w:tab/>
      </w:r>
      <w:r w:rsidR="00557985" w:rsidRPr="00154F1D">
        <w:t xml:space="preserve">Is the current test under-inclusive and not able to </w:t>
      </w:r>
      <w:r w:rsidR="0089052D" w:rsidRPr="00154F1D">
        <w:t xml:space="preserve">appropriately </w:t>
      </w:r>
      <w:r w:rsidR="009E11A9" w:rsidRPr="00154F1D">
        <w:t xml:space="preserve">reflect </w:t>
      </w:r>
      <w:r w:rsidR="00557985" w:rsidRPr="00154F1D">
        <w:t xml:space="preserve">the issues that arise for </w:t>
      </w:r>
      <w:r w:rsidR="008F0CC0">
        <w:t>individuals</w:t>
      </w:r>
      <w:r w:rsidR="008F0CC0" w:rsidRPr="00154F1D">
        <w:t xml:space="preserve"> </w:t>
      </w:r>
      <w:r w:rsidR="00557985" w:rsidRPr="00154F1D">
        <w:t xml:space="preserve">with mental illness? </w:t>
      </w:r>
    </w:p>
    <w:p w14:paraId="5EFE0E6C" w14:textId="1E44D1AD" w:rsidR="001D3EFE" w:rsidRPr="00154F1D" w:rsidRDefault="00134664" w:rsidP="000C0407">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pPr>
      <w:r w:rsidRPr="00154F1D">
        <w:t>7</w:t>
      </w:r>
      <w:r w:rsidR="00CA6742" w:rsidRPr="00154F1D">
        <w:t>.</w:t>
      </w:r>
      <w:r w:rsidR="004569C9" w:rsidRPr="00154F1D">
        <w:tab/>
      </w:r>
      <w:r w:rsidR="001D3EFE" w:rsidRPr="00154F1D">
        <w:t xml:space="preserve">Should the test of unfitness to stand trial contained in the </w:t>
      </w:r>
      <w:r w:rsidR="00D248FE" w:rsidRPr="00154F1D">
        <w:rPr>
          <w:i/>
        </w:rPr>
        <w:t>Criminal Justice Mental Impairment Act 1999</w:t>
      </w:r>
      <w:r w:rsidR="00D248FE" w:rsidRPr="00154F1D">
        <w:t xml:space="preserve"> (Tas)</w:t>
      </w:r>
      <w:r w:rsidR="001D3EFE" w:rsidRPr="00154F1D">
        <w:t xml:space="preserve"> s 8 include consideration of an accused person</w:t>
      </w:r>
      <w:r w:rsidR="00CA6742" w:rsidRPr="00154F1D">
        <w:t>’s decision</w:t>
      </w:r>
      <w:r w:rsidR="009E11A9">
        <w:t>-</w:t>
      </w:r>
      <w:r w:rsidR="00CA6742" w:rsidRPr="00154F1D">
        <w:t xml:space="preserve"> making capacity and/</w:t>
      </w:r>
      <w:r w:rsidR="001D3EFE" w:rsidRPr="00154F1D">
        <w:t>or ability for effective participation?</w:t>
      </w:r>
    </w:p>
    <w:p w14:paraId="5D10922D" w14:textId="3CB28EAB" w:rsidR="001D3EFE" w:rsidRPr="00154F1D" w:rsidRDefault="00134664" w:rsidP="000C0407">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pPr>
      <w:r w:rsidRPr="00154F1D">
        <w:t>8</w:t>
      </w:r>
      <w:r w:rsidR="00CA6742" w:rsidRPr="00154F1D">
        <w:t xml:space="preserve">. </w:t>
      </w:r>
      <w:r w:rsidR="004569C9" w:rsidRPr="00154F1D">
        <w:tab/>
      </w:r>
      <w:r w:rsidR="001D3EFE" w:rsidRPr="00154F1D">
        <w:t xml:space="preserve">Should the test of unfitness to stand trial contained in the </w:t>
      </w:r>
      <w:r w:rsidR="00D248FE" w:rsidRPr="00154F1D">
        <w:rPr>
          <w:i/>
        </w:rPr>
        <w:t>Criminal Justice Mental Impairment Act 1999</w:t>
      </w:r>
      <w:r w:rsidR="00D248FE" w:rsidRPr="00154F1D">
        <w:t xml:space="preserve"> (Tas)</w:t>
      </w:r>
      <w:r w:rsidR="001D3EFE" w:rsidRPr="00154F1D">
        <w:t xml:space="preserve"> s 8 include an overarching requirement of a fair trial in the application of the criteria?</w:t>
      </w:r>
    </w:p>
    <w:p w14:paraId="6A5E2B39" w14:textId="29180300" w:rsidR="001D3EFE" w:rsidRPr="00154F1D" w:rsidRDefault="00134664" w:rsidP="000C0407">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pPr>
      <w:bookmarkStart w:id="96" w:name="Q9"/>
      <w:r w:rsidRPr="00154F1D">
        <w:t>9</w:t>
      </w:r>
      <w:r w:rsidR="00CA6742" w:rsidRPr="00154F1D">
        <w:t xml:space="preserve">. </w:t>
      </w:r>
      <w:r w:rsidR="004569C9" w:rsidRPr="00154F1D">
        <w:tab/>
      </w:r>
      <w:bookmarkEnd w:id="96"/>
      <w:r w:rsidR="001D3EFE" w:rsidRPr="00154F1D">
        <w:t xml:space="preserve">Should the test of unfitness to stand trial contained in the </w:t>
      </w:r>
      <w:r w:rsidR="00D248FE" w:rsidRPr="00154F1D">
        <w:rPr>
          <w:i/>
        </w:rPr>
        <w:t>Criminal Justice Mental Impairment Act 1999</w:t>
      </w:r>
      <w:r w:rsidR="00D248FE" w:rsidRPr="00154F1D">
        <w:t xml:space="preserve"> (Tas)</w:t>
      </w:r>
      <w:r w:rsidR="001D3EFE" w:rsidRPr="00154F1D">
        <w:t xml:space="preserve"> s 8 include a requirement that the accused person is able to exercise the criteria rationally?</w:t>
      </w:r>
    </w:p>
    <w:p w14:paraId="19AE1EFD" w14:textId="1937D86A" w:rsidR="001D3EFE" w:rsidRPr="00154F1D" w:rsidRDefault="00134664" w:rsidP="000C0407">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pPr>
      <w:r w:rsidRPr="00154F1D">
        <w:t>10</w:t>
      </w:r>
      <w:r w:rsidR="00CA6742" w:rsidRPr="00154F1D">
        <w:t xml:space="preserve">. </w:t>
      </w:r>
      <w:r w:rsidR="004569C9" w:rsidRPr="00154F1D">
        <w:tab/>
      </w:r>
      <w:r w:rsidR="001D3EFE" w:rsidRPr="00154F1D">
        <w:t xml:space="preserve">Are changes required to the criteria contained in the </w:t>
      </w:r>
      <w:r w:rsidR="00D248FE" w:rsidRPr="00154F1D">
        <w:rPr>
          <w:i/>
        </w:rPr>
        <w:t>Criminal Justice Mental Impairment Act 1999</w:t>
      </w:r>
      <w:r w:rsidR="00D248FE" w:rsidRPr="00154F1D">
        <w:t xml:space="preserve"> (Tas)</w:t>
      </w:r>
      <w:r w:rsidR="001D3EFE" w:rsidRPr="00154F1D">
        <w:t xml:space="preserve"> s 8 to allow for an accused to participate </w:t>
      </w:r>
      <w:r w:rsidR="0089052D" w:rsidRPr="00154F1D">
        <w:t xml:space="preserve">meaningfully </w:t>
      </w:r>
      <w:r w:rsidR="001D3EFE" w:rsidRPr="00154F1D">
        <w:t>in the trial process?</w:t>
      </w:r>
    </w:p>
    <w:p w14:paraId="600BA0D8" w14:textId="0E7623F1" w:rsidR="005B0C7B" w:rsidRPr="00154F1D" w:rsidRDefault="00CA6742" w:rsidP="000C0407">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pPr>
      <w:r w:rsidRPr="00154F1D">
        <w:t>1</w:t>
      </w:r>
      <w:r w:rsidR="00134664" w:rsidRPr="00154F1D">
        <w:t>1</w:t>
      </w:r>
      <w:r w:rsidRPr="00154F1D">
        <w:t>.</w:t>
      </w:r>
      <w:r w:rsidR="004569C9" w:rsidRPr="00154F1D">
        <w:tab/>
      </w:r>
      <w:r w:rsidR="005B0C7B" w:rsidRPr="00154F1D">
        <w:t xml:space="preserve">What changes </w:t>
      </w:r>
      <w:r w:rsidR="001B1287" w:rsidRPr="00154F1D">
        <w:t xml:space="preserve">to the criteria contained in the </w:t>
      </w:r>
      <w:r w:rsidR="001B1287" w:rsidRPr="00154F1D">
        <w:rPr>
          <w:i/>
        </w:rPr>
        <w:t>Criminal Justice Mental Impairment Act 1999</w:t>
      </w:r>
      <w:r w:rsidR="001B1287" w:rsidRPr="00154F1D">
        <w:t xml:space="preserve"> (Tas) </w:t>
      </w:r>
      <w:r w:rsidR="005B0C7B" w:rsidRPr="00154F1D">
        <w:t>can be made, if any, to enhance the ability of experts to assess an accused person</w:t>
      </w:r>
      <w:r w:rsidR="0089052D" w:rsidRPr="00154F1D">
        <w:t>’s</w:t>
      </w:r>
      <w:r w:rsidR="005B0C7B" w:rsidRPr="00154F1D">
        <w:t xml:space="preserve"> fitness to stand trial?</w:t>
      </w:r>
    </w:p>
    <w:p w14:paraId="0BFED561" w14:textId="654D8853" w:rsidR="000B0663" w:rsidRPr="00154F1D" w:rsidRDefault="00134664" w:rsidP="000C0407">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pPr>
      <w:r w:rsidRPr="00154F1D">
        <w:t>12</w:t>
      </w:r>
      <w:r w:rsidR="00CA6742" w:rsidRPr="00154F1D">
        <w:t>.</w:t>
      </w:r>
      <w:r w:rsidR="004569C9" w:rsidRPr="00154F1D">
        <w:tab/>
      </w:r>
      <w:r w:rsidR="000B0663" w:rsidRPr="00154F1D">
        <w:t xml:space="preserve">Should the availability of </w:t>
      </w:r>
      <w:r w:rsidR="00856129" w:rsidRPr="00154F1D">
        <w:t xml:space="preserve">accommodations and </w:t>
      </w:r>
      <w:r w:rsidR="000B0663" w:rsidRPr="00154F1D">
        <w:t>support measures</w:t>
      </w:r>
      <w:r w:rsidR="00785D73" w:rsidRPr="00154F1D">
        <w:t xml:space="preserve">, including the potential use of an </w:t>
      </w:r>
      <w:r w:rsidR="00856129" w:rsidRPr="00154F1D">
        <w:t>intermediary</w:t>
      </w:r>
      <w:r w:rsidR="00785D73" w:rsidRPr="00154F1D">
        <w:t>/communication assistant (if the scheme is adopted)</w:t>
      </w:r>
      <w:r w:rsidR="000B0663" w:rsidRPr="00154F1D">
        <w:t xml:space="preserve"> be specified in the </w:t>
      </w:r>
      <w:r w:rsidR="00D248FE" w:rsidRPr="00154F1D">
        <w:rPr>
          <w:i/>
        </w:rPr>
        <w:t>Criminal Justice Mental Impairment Act 1999</w:t>
      </w:r>
      <w:r w:rsidR="00D248FE" w:rsidRPr="00154F1D">
        <w:t xml:space="preserve"> (Tas)</w:t>
      </w:r>
      <w:r w:rsidR="000B0663" w:rsidRPr="00154F1D">
        <w:t xml:space="preserve"> as a factor that needs to be taken into account when determining unfitness to stand trial?</w:t>
      </w:r>
    </w:p>
    <w:p w14:paraId="75952306" w14:textId="33D2786B" w:rsidR="00170C6E" w:rsidRPr="00154F1D" w:rsidRDefault="00170C6E" w:rsidP="00601522">
      <w:pPr>
        <w:pStyle w:val="Sub-HeadingTLRI"/>
      </w:pPr>
      <w:bookmarkStart w:id="97" w:name="_Toc535868933"/>
      <w:r w:rsidRPr="00154F1D">
        <w:t>Pleas of guilty</w:t>
      </w:r>
      <w:bookmarkEnd w:id="97"/>
    </w:p>
    <w:p w14:paraId="118CE4ED" w14:textId="114CFBB2" w:rsidR="008403AE" w:rsidRPr="00154F1D" w:rsidRDefault="00E97EAE" w:rsidP="00744FAA">
      <w:pPr>
        <w:pStyle w:val="NormalNumberedTextTLRI"/>
      </w:pPr>
      <w:r w:rsidRPr="00154F1D">
        <w:t>A related iss</w:t>
      </w:r>
      <w:r w:rsidR="00F91633" w:rsidRPr="00154F1D">
        <w:t>u</w:t>
      </w:r>
      <w:r w:rsidRPr="00154F1D">
        <w:t>e</w:t>
      </w:r>
      <w:r w:rsidR="00F91633" w:rsidRPr="00154F1D">
        <w:t xml:space="preserve"> is whether the test for determining fitness should be adapted in cases where an </w:t>
      </w:r>
      <w:r w:rsidR="008B2DA5">
        <w:t>accused</w:t>
      </w:r>
      <w:r w:rsidR="008B2DA5" w:rsidRPr="00154F1D">
        <w:t xml:space="preserve"> </w:t>
      </w:r>
      <w:r w:rsidR="00F91633" w:rsidRPr="00154F1D">
        <w:t xml:space="preserve">wishes to plead guilty. </w:t>
      </w:r>
      <w:r w:rsidR="001B36C0" w:rsidRPr="00154F1D">
        <w:t xml:space="preserve">This question has been considered in several reviews of the law </w:t>
      </w:r>
      <w:r w:rsidR="009A123A" w:rsidRPr="00154F1D">
        <w:t>on the basis that a person may be able to understand the nature of the charge and may be able to enter a plea to the charge but may not be able to understand more complex aspects of the trial process.</w:t>
      </w:r>
      <w:r w:rsidR="009A123A" w:rsidRPr="00154F1D">
        <w:rPr>
          <w:rStyle w:val="FootnoteReference"/>
        </w:rPr>
        <w:footnoteReference w:id="215"/>
      </w:r>
      <w:r w:rsidR="00E20E7A" w:rsidRPr="00154F1D">
        <w:t xml:space="preserve"> </w:t>
      </w:r>
      <w:r w:rsidR="009A123A" w:rsidRPr="00154F1D">
        <w:t>Under the current law, such a person is unfit to stand trial and is not able to enter a plea of guilty but instead is subject to the special hearing procedures.</w:t>
      </w:r>
      <w:r w:rsidR="009A123A" w:rsidRPr="00154F1D">
        <w:rPr>
          <w:rStyle w:val="FootnoteReference"/>
        </w:rPr>
        <w:footnoteReference w:id="216"/>
      </w:r>
      <w:r w:rsidR="009A123A" w:rsidRPr="00154F1D">
        <w:t xml:space="preserve"> However, anecdotal evidence is that such people do plead</w:t>
      </w:r>
      <w:r w:rsidR="007E72FB" w:rsidRPr="00154F1D">
        <w:t xml:space="preserve"> guilty</w:t>
      </w:r>
      <w:r w:rsidR="0065565B" w:rsidRPr="00154F1D">
        <w:t xml:space="preserve"> rather than rely on the fitness to stand trial provisions, if their legal representative is satisfied o</w:t>
      </w:r>
      <w:r w:rsidR="0089052D" w:rsidRPr="00154F1D">
        <w:t>f</w:t>
      </w:r>
      <w:r w:rsidR="0065565B" w:rsidRPr="00154F1D">
        <w:t xml:space="preserve"> their capacity to plead and participate in the sentencing hearing</w:t>
      </w:r>
      <w:r w:rsidR="008403AE" w:rsidRPr="00154F1D">
        <w:t xml:space="preserve">, </w:t>
      </w:r>
      <w:r w:rsidR="00D54422" w:rsidRPr="00154F1D">
        <w:t xml:space="preserve">in order </w:t>
      </w:r>
      <w:r w:rsidR="008403AE" w:rsidRPr="00154F1D">
        <w:t>to avoid the onerous consequences of a finding of unfitness</w:t>
      </w:r>
      <w:r w:rsidR="007E72FB" w:rsidRPr="00154F1D">
        <w:t>.</w:t>
      </w:r>
      <w:r w:rsidR="007E72FB" w:rsidRPr="00154F1D">
        <w:rPr>
          <w:rStyle w:val="FootnoteReference"/>
        </w:rPr>
        <w:footnoteReference w:id="217"/>
      </w:r>
      <w:r w:rsidR="007E72FB" w:rsidRPr="00154F1D">
        <w:t xml:space="preserve"> </w:t>
      </w:r>
    </w:p>
    <w:p w14:paraId="1E7600A9" w14:textId="0EBCA265" w:rsidR="0065565B" w:rsidRPr="00154F1D" w:rsidRDefault="0065565B" w:rsidP="00744FAA">
      <w:pPr>
        <w:pStyle w:val="NormalNumberedTextTLRI"/>
      </w:pPr>
      <w:r w:rsidRPr="00154F1D">
        <w:t xml:space="preserve">There have been differing views expressed in relation to the appropriateness of adapting the test if an </w:t>
      </w:r>
      <w:r w:rsidR="008B2DA5">
        <w:t>accused</w:t>
      </w:r>
      <w:r w:rsidR="008B2DA5" w:rsidRPr="00154F1D">
        <w:t xml:space="preserve"> </w:t>
      </w:r>
      <w:r w:rsidR="00CA2421" w:rsidRPr="00154F1D">
        <w:t>wishes to plead guilty.</w:t>
      </w:r>
    </w:p>
    <w:p w14:paraId="4A423880" w14:textId="77777777" w:rsidR="00CA6742" w:rsidRPr="00154F1D" w:rsidRDefault="00CA2421" w:rsidP="00CA6742">
      <w:pPr>
        <w:pStyle w:val="furhtersub-heading2"/>
      </w:pPr>
      <w:r w:rsidRPr="00154F1D">
        <w:t>Arguments in favour of a separate test</w:t>
      </w:r>
    </w:p>
    <w:p w14:paraId="14DEB752" w14:textId="697E69DA" w:rsidR="00CA2421" w:rsidRPr="00154F1D" w:rsidRDefault="00CA2421" w:rsidP="00744FAA">
      <w:pPr>
        <w:pStyle w:val="NormalNumberedTextTLRI"/>
      </w:pPr>
      <w:r w:rsidRPr="00154F1D">
        <w:t>The following arguments have been advanced in favour of a separate test:</w:t>
      </w:r>
    </w:p>
    <w:p w14:paraId="38715B31" w14:textId="23941F61" w:rsidR="00CA2421" w:rsidRPr="00154F1D" w:rsidRDefault="00362296" w:rsidP="004569C9">
      <w:pPr>
        <w:pStyle w:val="DotPointTLRI"/>
        <w:ind w:left="851" w:hanging="425"/>
      </w:pPr>
      <w:r w:rsidRPr="00154F1D">
        <w:t>The minimum standards to enter a plea are less onerous than those required to stand trial.</w:t>
      </w:r>
      <w:r w:rsidRPr="00154F1D">
        <w:rPr>
          <w:rStyle w:val="FootnoteReference"/>
        </w:rPr>
        <w:footnoteReference w:id="218"/>
      </w:r>
    </w:p>
    <w:p w14:paraId="35D42BB3" w14:textId="06C2B010" w:rsidR="003F47B4" w:rsidRPr="00154F1D" w:rsidRDefault="00295315" w:rsidP="004569C9">
      <w:pPr>
        <w:pStyle w:val="DotPointTLRI"/>
        <w:ind w:left="851" w:hanging="425"/>
      </w:pPr>
      <w:r w:rsidRPr="00154F1D">
        <w:t xml:space="preserve">It would enable </w:t>
      </w:r>
      <w:r w:rsidR="000F6038">
        <w:t>defendant</w:t>
      </w:r>
      <w:r w:rsidR="008B2DA5" w:rsidRPr="00154F1D">
        <w:t xml:space="preserve">s </w:t>
      </w:r>
      <w:r w:rsidRPr="00154F1D">
        <w:t>who are able to enter a plea to participate in the usual criminal process.</w:t>
      </w:r>
      <w:r w:rsidR="003F47B4" w:rsidRPr="00154F1D">
        <w:rPr>
          <w:rStyle w:val="FootnoteReference"/>
        </w:rPr>
        <w:footnoteReference w:id="219"/>
      </w:r>
      <w:r w:rsidRPr="00154F1D">
        <w:t xml:space="preserve"> </w:t>
      </w:r>
    </w:p>
    <w:p w14:paraId="5B440625" w14:textId="5D0EA842" w:rsidR="00996E11" w:rsidRPr="00154F1D" w:rsidRDefault="003F47B4" w:rsidP="004569C9">
      <w:pPr>
        <w:pStyle w:val="DotPointTLRI"/>
        <w:ind w:left="851" w:hanging="425"/>
      </w:pPr>
      <w:r w:rsidRPr="00154F1D">
        <w:t xml:space="preserve">Where an </w:t>
      </w:r>
      <w:r w:rsidR="008B2DA5">
        <w:t xml:space="preserve">accused </w:t>
      </w:r>
      <w:r w:rsidRPr="00154F1D">
        <w:t>is able to make a particular decision, this should be given effect as far as possible.</w:t>
      </w:r>
      <w:r w:rsidRPr="00154F1D">
        <w:rPr>
          <w:rStyle w:val="FootnoteReference"/>
        </w:rPr>
        <w:footnoteReference w:id="220"/>
      </w:r>
      <w:r w:rsidRPr="00154F1D">
        <w:t xml:space="preserve"> </w:t>
      </w:r>
      <w:r w:rsidR="00892B25" w:rsidRPr="00154F1D">
        <w:t>This accords with human rights considerations.</w:t>
      </w:r>
      <w:r w:rsidR="00892B25" w:rsidRPr="00154F1D">
        <w:rPr>
          <w:rStyle w:val="FootnoteReference"/>
        </w:rPr>
        <w:footnoteReference w:id="221"/>
      </w:r>
    </w:p>
    <w:p w14:paraId="031D3FB6" w14:textId="5D4C3774" w:rsidR="00F63BF6" w:rsidRPr="00154F1D" w:rsidRDefault="0089052D" w:rsidP="004569C9">
      <w:pPr>
        <w:pStyle w:val="DotPointTLRI"/>
        <w:ind w:left="851" w:hanging="425"/>
      </w:pPr>
      <w:r w:rsidRPr="00154F1D">
        <w:t xml:space="preserve">It allows </w:t>
      </w:r>
      <w:r w:rsidR="00F63BF6" w:rsidRPr="00154F1D">
        <w:t xml:space="preserve">an </w:t>
      </w:r>
      <w:r w:rsidR="008B2DA5">
        <w:t>accused</w:t>
      </w:r>
      <w:r w:rsidR="008B2DA5" w:rsidRPr="00154F1D">
        <w:t xml:space="preserve"> </w:t>
      </w:r>
      <w:r w:rsidR="00F63BF6" w:rsidRPr="00154F1D">
        <w:t>to ‘get on with treatment’ without concerns in relation to fitness procedures and the prospect of proceedings being resumed on recovery.</w:t>
      </w:r>
      <w:r w:rsidR="00F63BF6" w:rsidRPr="00154F1D">
        <w:rPr>
          <w:rStyle w:val="FootnoteReference"/>
        </w:rPr>
        <w:footnoteReference w:id="222"/>
      </w:r>
    </w:p>
    <w:p w14:paraId="66A68D3C" w14:textId="70691D62" w:rsidR="00892B25" w:rsidRPr="00154F1D" w:rsidRDefault="00892B25" w:rsidP="004569C9">
      <w:pPr>
        <w:pStyle w:val="DotPointTLRI"/>
        <w:ind w:left="851" w:hanging="425"/>
        <w:outlineLvl w:val="0"/>
      </w:pPr>
      <w:r w:rsidRPr="00154F1D">
        <w:t xml:space="preserve">If an </w:t>
      </w:r>
      <w:r w:rsidR="008B2DA5">
        <w:t>accused</w:t>
      </w:r>
      <w:r w:rsidR="008B2DA5" w:rsidRPr="00154F1D">
        <w:t xml:space="preserve"> </w:t>
      </w:r>
      <w:r w:rsidRPr="00154F1D">
        <w:t>can plead guilty, this is better for victims and witnesses.</w:t>
      </w:r>
      <w:r w:rsidRPr="00154F1D">
        <w:rPr>
          <w:rStyle w:val="FootnoteReference"/>
        </w:rPr>
        <w:footnoteReference w:id="223"/>
      </w:r>
    </w:p>
    <w:p w14:paraId="1D192564" w14:textId="173DFF10" w:rsidR="002614FB" w:rsidRPr="00154F1D" w:rsidRDefault="002614FB" w:rsidP="004569C9">
      <w:pPr>
        <w:pStyle w:val="DotPointTLRI"/>
        <w:ind w:left="851" w:hanging="425"/>
      </w:pPr>
      <w:r w:rsidRPr="00154F1D">
        <w:t>The law requires flexibility to take account of differing levels of capacity.</w:t>
      </w:r>
      <w:r w:rsidRPr="00154F1D">
        <w:rPr>
          <w:rStyle w:val="FootnoteReference"/>
        </w:rPr>
        <w:footnoteReference w:id="224"/>
      </w:r>
    </w:p>
    <w:p w14:paraId="4005F44C" w14:textId="77777777" w:rsidR="00CA6742" w:rsidRPr="00154F1D" w:rsidRDefault="00CA2421" w:rsidP="00CA6742">
      <w:pPr>
        <w:pStyle w:val="furhtersub-heading2"/>
      </w:pPr>
      <w:r w:rsidRPr="00154F1D">
        <w:t>Arguments against a separate test</w:t>
      </w:r>
    </w:p>
    <w:p w14:paraId="3B11F4BD" w14:textId="281E73D5" w:rsidR="00CA2421" w:rsidRPr="00154F1D" w:rsidRDefault="00CA2421" w:rsidP="00744FAA">
      <w:pPr>
        <w:pStyle w:val="NormalNumberedTextTLRI"/>
        <w:rPr>
          <w:b/>
        </w:rPr>
      </w:pPr>
      <w:r w:rsidRPr="00154F1D">
        <w:t xml:space="preserve">The following arguments have been advanced against a separate test: </w:t>
      </w:r>
    </w:p>
    <w:p w14:paraId="317FEAF0" w14:textId="14DC813C" w:rsidR="00CA2421" w:rsidRPr="00154F1D" w:rsidRDefault="00CA2421" w:rsidP="00571E22">
      <w:pPr>
        <w:pStyle w:val="DotPointTLRI"/>
        <w:ind w:left="851" w:hanging="425"/>
      </w:pPr>
      <w:r w:rsidRPr="00154F1D">
        <w:t>The concerns about capacity are the same for both fitness to plea</w:t>
      </w:r>
      <w:r w:rsidR="00571E22" w:rsidRPr="00154F1D">
        <w:t>d</w:t>
      </w:r>
      <w:r w:rsidRPr="00154F1D">
        <w:t xml:space="preserve"> and fitness to stand trial, and so the test should be the same.</w:t>
      </w:r>
      <w:r w:rsidRPr="00154F1D">
        <w:rPr>
          <w:rStyle w:val="FootnoteReference"/>
        </w:rPr>
        <w:footnoteReference w:id="225"/>
      </w:r>
    </w:p>
    <w:p w14:paraId="65291E26" w14:textId="6F19FEA2" w:rsidR="00CA2421" w:rsidRPr="00154F1D" w:rsidRDefault="00CA2421" w:rsidP="00571E22">
      <w:pPr>
        <w:pStyle w:val="DotPointTLRI"/>
        <w:ind w:left="851" w:hanging="425"/>
      </w:pPr>
      <w:r w:rsidRPr="00154F1D">
        <w:t xml:space="preserve">A separate test would be an unnecessary complication and </w:t>
      </w:r>
      <w:r w:rsidR="00571E22" w:rsidRPr="00154F1D">
        <w:t xml:space="preserve">would be </w:t>
      </w:r>
      <w:r w:rsidRPr="00154F1D">
        <w:t>confusing.</w:t>
      </w:r>
      <w:r w:rsidRPr="00154F1D">
        <w:rPr>
          <w:rStyle w:val="FootnoteReference"/>
        </w:rPr>
        <w:footnoteReference w:id="226"/>
      </w:r>
    </w:p>
    <w:p w14:paraId="1CACDA1A" w14:textId="1A281532" w:rsidR="00362296" w:rsidRPr="00154F1D" w:rsidRDefault="00362296" w:rsidP="00571E22">
      <w:pPr>
        <w:pStyle w:val="DotPointTLRI"/>
        <w:ind w:left="851" w:hanging="425"/>
      </w:pPr>
      <w:r w:rsidRPr="00154F1D">
        <w:t>Expert assessment can already take into account the differing demands depending on the nature of the proceedings.</w:t>
      </w:r>
      <w:r w:rsidRPr="00154F1D">
        <w:rPr>
          <w:rStyle w:val="FootnoteReference"/>
        </w:rPr>
        <w:footnoteReference w:id="227"/>
      </w:r>
    </w:p>
    <w:p w14:paraId="2024F435" w14:textId="5B43FA1A" w:rsidR="00E475CE" w:rsidRPr="00154F1D" w:rsidRDefault="00CA23E9" w:rsidP="00571E22">
      <w:pPr>
        <w:pStyle w:val="DotPointTLRI"/>
        <w:ind w:left="851" w:hanging="425"/>
      </w:pPr>
      <w:r w:rsidRPr="00154F1D">
        <w:t xml:space="preserve">Concerns that an </w:t>
      </w:r>
      <w:r w:rsidR="00FB2E8B">
        <w:t>accused</w:t>
      </w:r>
      <w:r w:rsidR="00FB2E8B" w:rsidRPr="00154F1D">
        <w:t xml:space="preserve"> </w:t>
      </w:r>
      <w:r w:rsidRPr="00154F1D">
        <w:t>may not truly understand the nature of the guilty plea and that difficulties with understanding the trial process may mean that they see no option other than to plead guilty.</w:t>
      </w:r>
      <w:r w:rsidRPr="00154F1D">
        <w:rPr>
          <w:rStyle w:val="FootnoteReference"/>
        </w:rPr>
        <w:footnoteReference w:id="228"/>
      </w:r>
    </w:p>
    <w:p w14:paraId="69A948E7" w14:textId="6FF3E048" w:rsidR="00892B25" w:rsidRPr="00154F1D" w:rsidRDefault="00892B25" w:rsidP="00571E22">
      <w:pPr>
        <w:pStyle w:val="DotPointTLRI"/>
        <w:ind w:left="851" w:hanging="425"/>
      </w:pPr>
      <w:r w:rsidRPr="00154F1D">
        <w:t xml:space="preserve">Concerns that </w:t>
      </w:r>
      <w:r w:rsidR="00A13B59" w:rsidRPr="00154F1D">
        <w:t>such a test</w:t>
      </w:r>
      <w:r w:rsidR="00571E22" w:rsidRPr="00154F1D">
        <w:t xml:space="preserve"> </w:t>
      </w:r>
      <w:r w:rsidRPr="00154F1D">
        <w:t xml:space="preserve">may undermine the legitimacy of </w:t>
      </w:r>
      <w:r w:rsidR="0089052D" w:rsidRPr="00154F1D">
        <w:t xml:space="preserve">the </w:t>
      </w:r>
      <w:r w:rsidRPr="00154F1D">
        <w:t>criminal justice system if it allows ‘individuals who are otherwise unable to participate effectively in proceedings to plead guilty, especially to serious matters’.</w:t>
      </w:r>
      <w:r w:rsidRPr="00154F1D">
        <w:rPr>
          <w:rStyle w:val="FootnoteReference"/>
        </w:rPr>
        <w:footnoteReference w:id="229"/>
      </w:r>
    </w:p>
    <w:p w14:paraId="10675393" w14:textId="79F00CAF" w:rsidR="00971F49" w:rsidRPr="00154F1D" w:rsidRDefault="00362296" w:rsidP="00744FAA">
      <w:pPr>
        <w:pStyle w:val="NormalNumberedTextTLRI"/>
      </w:pPr>
      <w:r w:rsidRPr="00154F1D">
        <w:t>The NSWLRC made no recommendation on th</w:t>
      </w:r>
      <w:r w:rsidR="0089052D" w:rsidRPr="00154F1D">
        <w:t>is</w:t>
      </w:r>
      <w:r w:rsidRPr="00154F1D">
        <w:t xml:space="preserve"> issue in view of the </w:t>
      </w:r>
      <w:r w:rsidR="003F47B4" w:rsidRPr="00154F1D">
        <w:t>strength</w:t>
      </w:r>
      <w:r w:rsidRPr="00154F1D">
        <w:t xml:space="preserve"> of opposi</w:t>
      </w:r>
      <w:r w:rsidR="008403AE" w:rsidRPr="00154F1D">
        <w:t>ti</w:t>
      </w:r>
      <w:r w:rsidRPr="00154F1D">
        <w:t xml:space="preserve">on from key </w:t>
      </w:r>
      <w:r w:rsidR="008403AE" w:rsidRPr="00154F1D">
        <w:t>stakeholders</w:t>
      </w:r>
      <w:r w:rsidRPr="00154F1D">
        <w:t>.</w:t>
      </w:r>
      <w:r w:rsidRPr="00154F1D">
        <w:rPr>
          <w:rStyle w:val="FootnoteReference"/>
        </w:rPr>
        <w:footnoteReference w:id="230"/>
      </w:r>
      <w:r w:rsidR="00A13B59" w:rsidRPr="00154F1D">
        <w:t xml:space="preserve"> </w:t>
      </w:r>
      <w:r w:rsidR="009A123A" w:rsidRPr="00154F1D">
        <w:t>The VLRC</w:t>
      </w:r>
      <w:r w:rsidR="00E97EAE" w:rsidRPr="00154F1D">
        <w:t xml:space="preserve"> </w:t>
      </w:r>
      <w:r w:rsidR="008403AE" w:rsidRPr="00154F1D">
        <w:t>and the Law Commission of England and Wales supported varying the test for pleas of guilty</w:t>
      </w:r>
      <w:r w:rsidR="00A13B59" w:rsidRPr="00154F1D">
        <w:t>.</w:t>
      </w:r>
      <w:r w:rsidR="008403AE" w:rsidRPr="00154F1D">
        <w:rPr>
          <w:rStyle w:val="FootnoteReference"/>
        </w:rPr>
        <w:footnoteReference w:id="231"/>
      </w:r>
      <w:r w:rsidR="008403AE" w:rsidRPr="00154F1D">
        <w:t xml:space="preserve"> </w:t>
      </w:r>
      <w:r w:rsidR="00072094" w:rsidRPr="00154F1D">
        <w:t xml:space="preserve">The VLRC expressed the view that </w:t>
      </w:r>
      <w:r w:rsidR="005A61FF" w:rsidRPr="00154F1D">
        <w:t xml:space="preserve">adequate safeguards should be built into the model so </w:t>
      </w:r>
      <w:r w:rsidR="0089052D" w:rsidRPr="00154F1D">
        <w:t xml:space="preserve">that </w:t>
      </w:r>
      <w:r w:rsidR="00072094" w:rsidRPr="00154F1D">
        <w:t xml:space="preserve">the revised test for guilty pleas </w:t>
      </w:r>
      <w:r w:rsidR="005A61FF" w:rsidRPr="00154F1D">
        <w:t>would</w:t>
      </w:r>
      <w:r w:rsidR="00072094" w:rsidRPr="00154F1D">
        <w:t xml:space="preserve"> only apply if a </w:t>
      </w:r>
      <w:r w:rsidR="005A61FF" w:rsidRPr="00154F1D">
        <w:t>defendant</w:t>
      </w:r>
      <w:r w:rsidR="00072094" w:rsidRPr="00154F1D">
        <w:t xml:space="preserve"> was </w:t>
      </w:r>
      <w:r w:rsidR="005A61FF" w:rsidRPr="00154F1D">
        <w:t>legally</w:t>
      </w:r>
      <w:r w:rsidR="00072094" w:rsidRPr="00154F1D">
        <w:t xml:space="preserve"> re</w:t>
      </w:r>
      <w:r w:rsidR="005A61FF" w:rsidRPr="00154F1D">
        <w:t>present</w:t>
      </w:r>
      <w:r w:rsidR="00072094" w:rsidRPr="00154F1D">
        <w:t>ed</w:t>
      </w:r>
      <w:r w:rsidR="005A61FF" w:rsidRPr="00154F1D">
        <w:t>.</w:t>
      </w:r>
      <w:r w:rsidR="005A61FF" w:rsidRPr="00154F1D">
        <w:rPr>
          <w:rStyle w:val="FootnoteReference"/>
        </w:rPr>
        <w:footnoteReference w:id="232"/>
      </w:r>
      <w:r w:rsidR="005A61FF" w:rsidRPr="00154F1D">
        <w:t xml:space="preserve"> </w:t>
      </w:r>
      <w:r w:rsidR="00971F49" w:rsidRPr="00154F1D">
        <w:t xml:space="preserve">The criteria </w:t>
      </w:r>
      <w:r w:rsidR="00AD110E" w:rsidRPr="00154F1D">
        <w:t xml:space="preserve">that were </w:t>
      </w:r>
      <w:r w:rsidR="00971F49" w:rsidRPr="00154F1D">
        <w:t>identified as relevant for fitness to enter a plea were</w:t>
      </w:r>
      <w:r w:rsidR="00AD110E" w:rsidRPr="00154F1D">
        <w:t xml:space="preserve"> that the person</w:t>
      </w:r>
      <w:r w:rsidR="00971F49" w:rsidRPr="00154F1D">
        <w:t>:</w:t>
      </w:r>
    </w:p>
    <w:p w14:paraId="3672F388" w14:textId="394CF0DF" w:rsidR="00971F49" w:rsidRPr="00154F1D" w:rsidRDefault="00AD110E" w:rsidP="00052E55">
      <w:pPr>
        <w:pStyle w:val="DotPointTLRI"/>
        <w:ind w:left="850" w:hanging="425"/>
      </w:pPr>
      <w:r w:rsidRPr="00154F1D">
        <w:t>Understand</w:t>
      </w:r>
      <w:r w:rsidR="0089052D" w:rsidRPr="00154F1D">
        <w:t>s</w:t>
      </w:r>
      <w:r w:rsidRPr="00154F1D">
        <w:t xml:space="preserve"> the nature of the charge.</w:t>
      </w:r>
    </w:p>
    <w:p w14:paraId="226FB6B6" w14:textId="57C16A5C" w:rsidR="00AD110E" w:rsidRPr="00154F1D" w:rsidRDefault="00AD110E" w:rsidP="00A13B59">
      <w:pPr>
        <w:pStyle w:val="DotPointTLRI"/>
        <w:ind w:left="851" w:hanging="425"/>
      </w:pPr>
      <w:r w:rsidRPr="00154F1D">
        <w:t>Understand</w:t>
      </w:r>
      <w:r w:rsidR="0089052D" w:rsidRPr="00154F1D">
        <w:t>s</w:t>
      </w:r>
      <w:r w:rsidRPr="00154F1D">
        <w:t xml:space="preserve"> the nature of the hearing if they pleaded not guilty.</w:t>
      </w:r>
    </w:p>
    <w:p w14:paraId="71AFCEF8" w14:textId="321A32F9" w:rsidR="00AD110E" w:rsidRPr="00154F1D" w:rsidRDefault="00AD110E" w:rsidP="00A13B59">
      <w:pPr>
        <w:pStyle w:val="DotPointTLRI"/>
        <w:ind w:left="851" w:hanging="425"/>
      </w:pPr>
      <w:r w:rsidRPr="00154F1D">
        <w:t>Understand</w:t>
      </w:r>
      <w:r w:rsidR="0089052D" w:rsidRPr="00154F1D">
        <w:t>s</w:t>
      </w:r>
      <w:r w:rsidRPr="00154F1D">
        <w:t xml:space="preserve"> the significance of entering a plea of guilty and its consequences.</w:t>
      </w:r>
    </w:p>
    <w:p w14:paraId="2743D5F5" w14:textId="4D5E2DD8" w:rsidR="00AD110E" w:rsidRPr="00154F1D" w:rsidRDefault="00AD110E" w:rsidP="00A13B59">
      <w:pPr>
        <w:pStyle w:val="DotPointTLRI"/>
        <w:ind w:left="851" w:hanging="425"/>
      </w:pPr>
      <w:r w:rsidRPr="00154F1D">
        <w:t>Meaningfully communicate</w:t>
      </w:r>
      <w:r w:rsidR="0089052D" w:rsidRPr="00154F1D">
        <w:t>s</w:t>
      </w:r>
      <w:r w:rsidRPr="00154F1D">
        <w:t xml:space="preserve"> to </w:t>
      </w:r>
      <w:r w:rsidR="0089052D" w:rsidRPr="00154F1D">
        <w:t xml:space="preserve">his or her </w:t>
      </w:r>
      <w:r w:rsidRPr="00154F1D">
        <w:t xml:space="preserve">legal practitioner </w:t>
      </w:r>
      <w:r w:rsidR="0089052D" w:rsidRPr="00154F1D">
        <w:t xml:space="preserve">his/her </w:t>
      </w:r>
      <w:r w:rsidRPr="00154F1D">
        <w:t>decision to plead guilty.</w:t>
      </w:r>
    </w:p>
    <w:p w14:paraId="3DABDD6D" w14:textId="264B7E89" w:rsidR="00AD110E" w:rsidRPr="00154F1D" w:rsidRDefault="00AD110E" w:rsidP="00A13B59">
      <w:pPr>
        <w:pStyle w:val="DotPointTLRI"/>
        <w:ind w:left="851" w:hanging="425"/>
      </w:pPr>
      <w:r w:rsidRPr="00154F1D">
        <w:t>Follow</w:t>
      </w:r>
      <w:r w:rsidR="0089052D" w:rsidRPr="00154F1D">
        <w:t>s</w:t>
      </w:r>
      <w:r w:rsidRPr="00154F1D">
        <w:t xml:space="preserve"> the course of the plea and sentencing hearing that will follow a plea of guilty.</w:t>
      </w:r>
      <w:r w:rsidRPr="00154F1D">
        <w:rPr>
          <w:rStyle w:val="FootnoteReference"/>
        </w:rPr>
        <w:footnoteReference w:id="233"/>
      </w:r>
    </w:p>
    <w:p w14:paraId="41915F83" w14:textId="331573AD" w:rsidR="00072094" w:rsidRPr="00154F1D" w:rsidRDefault="005A61FF" w:rsidP="00A13B59">
      <w:pPr>
        <w:pStyle w:val="NormalNumberedTextTLRI"/>
        <w:numPr>
          <w:ilvl w:val="0"/>
          <w:numId w:val="0"/>
        </w:numPr>
      </w:pPr>
      <w:r w:rsidRPr="00154F1D">
        <w:t xml:space="preserve">It is noted that the test for capacity recommended by the </w:t>
      </w:r>
      <w:r w:rsidR="00072094" w:rsidRPr="00154F1D">
        <w:t xml:space="preserve">ALRC </w:t>
      </w:r>
      <w:r w:rsidRPr="00154F1D">
        <w:t>does not make a distinction between the test to enter a plea and the test to stand trial but does allow the differing decisions that a defendant will need to make to be taken into account in the assessment of capacity.</w:t>
      </w:r>
      <w:r w:rsidRPr="00154F1D">
        <w:rPr>
          <w:rStyle w:val="FootnoteReference"/>
        </w:rPr>
        <w:footnoteReference w:id="234"/>
      </w:r>
    </w:p>
    <w:p w14:paraId="6A35477F" w14:textId="77777777" w:rsidR="00E20E7A" w:rsidRPr="00154F1D" w:rsidRDefault="00E20E7A" w:rsidP="00CE176B">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rPr>
          <w:b/>
        </w:rPr>
      </w:pPr>
      <w:bookmarkStart w:id="98" w:name="Q13"/>
      <w:r w:rsidRPr="00154F1D">
        <w:rPr>
          <w:b/>
        </w:rPr>
        <w:t>Questions</w:t>
      </w:r>
      <w:bookmarkEnd w:id="98"/>
    </w:p>
    <w:p w14:paraId="017936BF" w14:textId="40EF9A42" w:rsidR="005A61FF" w:rsidRPr="00154F1D" w:rsidRDefault="00134664" w:rsidP="00CE176B">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pPr>
      <w:r w:rsidRPr="00154F1D">
        <w:t>13</w:t>
      </w:r>
      <w:r w:rsidR="00CA6742" w:rsidRPr="00154F1D">
        <w:t>.</w:t>
      </w:r>
      <w:r w:rsidR="00CE176B" w:rsidRPr="00154F1D">
        <w:tab/>
      </w:r>
      <w:r w:rsidR="00971F49" w:rsidRPr="00154F1D">
        <w:t xml:space="preserve">Should there be a separate test </w:t>
      </w:r>
      <w:r w:rsidR="001C7F77" w:rsidRPr="00154F1D">
        <w:t xml:space="preserve">in the </w:t>
      </w:r>
      <w:r w:rsidR="001C7F77" w:rsidRPr="00154F1D">
        <w:rPr>
          <w:i/>
        </w:rPr>
        <w:t>Criminal Justice (Mental Impairment) Act 1999</w:t>
      </w:r>
      <w:r w:rsidR="001C7F77" w:rsidRPr="00154F1D">
        <w:t xml:space="preserve"> (Tas) </w:t>
      </w:r>
      <w:r w:rsidR="009B29FB" w:rsidRPr="00154F1D">
        <w:t xml:space="preserve">to determine whether </w:t>
      </w:r>
      <w:r w:rsidR="00EB02C1" w:rsidRPr="00154F1D">
        <w:t>a person</w:t>
      </w:r>
      <w:r w:rsidR="009B29FB" w:rsidRPr="00154F1D">
        <w:t xml:space="preserve"> is</w:t>
      </w:r>
      <w:r w:rsidR="00971F49" w:rsidRPr="00154F1D">
        <w:t xml:space="preserve"> fit to enter a plea?</w:t>
      </w:r>
    </w:p>
    <w:p w14:paraId="6EC02048" w14:textId="42FDB0DD" w:rsidR="004718B4" w:rsidRPr="00154F1D" w:rsidRDefault="00134664" w:rsidP="00CE176B">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pPr>
      <w:r w:rsidRPr="00154F1D">
        <w:t>14</w:t>
      </w:r>
      <w:r w:rsidR="00CA6742" w:rsidRPr="00154F1D">
        <w:t>.</w:t>
      </w:r>
      <w:r w:rsidR="00CE176B" w:rsidRPr="00154F1D">
        <w:tab/>
      </w:r>
      <w:r w:rsidR="004718B4" w:rsidRPr="00154F1D">
        <w:t xml:space="preserve">If so, what should </w:t>
      </w:r>
      <w:r w:rsidR="009B29FB" w:rsidRPr="00154F1D">
        <w:t>be the requirements of the test</w:t>
      </w:r>
      <w:r w:rsidR="004718B4" w:rsidRPr="00154F1D">
        <w:t>?</w:t>
      </w:r>
    </w:p>
    <w:p w14:paraId="3EE72F5C" w14:textId="77777777" w:rsidR="00CE176B" w:rsidRPr="00154F1D" w:rsidRDefault="00CE176B" w:rsidP="00CE176B">
      <w:pPr>
        <w:pStyle w:val="NumberlessNormalText"/>
      </w:pPr>
    </w:p>
    <w:p w14:paraId="0485A377" w14:textId="77777777" w:rsidR="00CE176B" w:rsidRPr="00154F1D" w:rsidRDefault="00CE176B" w:rsidP="00CE176B">
      <w:pPr>
        <w:pStyle w:val="NumberlessNormalText"/>
      </w:pPr>
    </w:p>
    <w:p w14:paraId="4A73CD13" w14:textId="77777777" w:rsidR="00CE176B" w:rsidRPr="00154F1D" w:rsidRDefault="00CE176B" w:rsidP="00CE176B">
      <w:pPr>
        <w:pStyle w:val="NumberlessNormalText"/>
        <w:sectPr w:rsidR="00CE176B" w:rsidRPr="00154F1D" w:rsidSect="00D44CC5">
          <w:headerReference w:type="default" r:id="rId34"/>
          <w:pgSz w:w="11900" w:h="16840"/>
          <w:pgMar w:top="1440" w:right="1797" w:bottom="1440" w:left="1797" w:header="709" w:footer="709" w:gutter="0"/>
          <w:cols w:space="708"/>
          <w:titlePg/>
          <w:docGrid w:linePitch="360"/>
        </w:sectPr>
      </w:pPr>
    </w:p>
    <w:p w14:paraId="4C62829D" w14:textId="77777777" w:rsidR="00601522" w:rsidRPr="00154F1D" w:rsidRDefault="00601522" w:rsidP="00601522">
      <w:pPr>
        <w:pStyle w:val="PartNoTLRI"/>
      </w:pPr>
      <w:bookmarkStart w:id="99" w:name="_Toc535868934"/>
      <w:bookmarkEnd w:id="99"/>
    </w:p>
    <w:p w14:paraId="09C64265" w14:textId="6A9E1B10" w:rsidR="00617598" w:rsidRPr="00154F1D" w:rsidRDefault="00601522" w:rsidP="00601522">
      <w:pPr>
        <w:pStyle w:val="PartHeadingTLRI"/>
      </w:pPr>
      <w:bookmarkStart w:id="100" w:name="_Toc535868935"/>
      <w:r w:rsidRPr="00154F1D">
        <w:t xml:space="preserve">Unfitness to </w:t>
      </w:r>
      <w:r w:rsidR="00C5067B" w:rsidRPr="00154F1D">
        <w:t>S</w:t>
      </w:r>
      <w:r w:rsidRPr="00154F1D">
        <w:t xml:space="preserve">tand </w:t>
      </w:r>
      <w:r w:rsidR="00C5067B" w:rsidRPr="00154F1D">
        <w:t>T</w:t>
      </w:r>
      <w:r w:rsidRPr="00154F1D">
        <w:t xml:space="preserve">rial: </w:t>
      </w:r>
      <w:r w:rsidR="00C63FE2" w:rsidRPr="00154F1D">
        <w:t>Procedure</w:t>
      </w:r>
      <w:r w:rsidR="00617598" w:rsidRPr="00154F1D">
        <w:t xml:space="preserve"> </w:t>
      </w:r>
      <w:r w:rsidRPr="00154F1D">
        <w:t xml:space="preserve">to </w:t>
      </w:r>
      <w:r w:rsidR="00C5067B" w:rsidRPr="00154F1D">
        <w:t>D</w:t>
      </w:r>
      <w:r w:rsidRPr="00154F1D">
        <w:t xml:space="preserve">etermine </w:t>
      </w:r>
      <w:r w:rsidR="00C5067B" w:rsidRPr="00154F1D">
        <w:t>U</w:t>
      </w:r>
      <w:r w:rsidRPr="00154F1D">
        <w:t xml:space="preserve">nfitness to </w:t>
      </w:r>
      <w:r w:rsidR="00C5067B" w:rsidRPr="00154F1D">
        <w:t>S</w:t>
      </w:r>
      <w:r w:rsidRPr="00154F1D">
        <w:t xml:space="preserve">tand </w:t>
      </w:r>
      <w:r w:rsidR="00C5067B" w:rsidRPr="00154F1D">
        <w:t>T</w:t>
      </w:r>
      <w:r w:rsidRPr="00154F1D">
        <w:t>rial</w:t>
      </w:r>
      <w:bookmarkEnd w:id="100"/>
    </w:p>
    <w:p w14:paraId="17EF745C" w14:textId="0523C378" w:rsidR="00CA6742" w:rsidRPr="00154F1D" w:rsidRDefault="00CA6742" w:rsidP="00D80045">
      <w:pPr>
        <w:pStyle w:val="NumberedHeadingTLRI"/>
      </w:pPr>
      <w:bookmarkStart w:id="101" w:name="_Toc535868936"/>
      <w:r w:rsidRPr="00154F1D">
        <w:t>Introduction</w:t>
      </w:r>
      <w:bookmarkEnd w:id="101"/>
    </w:p>
    <w:p w14:paraId="584FB6C7" w14:textId="3AFC0605" w:rsidR="00CA6742" w:rsidRPr="00154F1D" w:rsidRDefault="00CA6742" w:rsidP="00744FAA">
      <w:pPr>
        <w:pStyle w:val="NormalNumberedTextTLRI"/>
      </w:pPr>
      <w:r w:rsidRPr="00154F1D">
        <w:t xml:space="preserve">This Part sets out the </w:t>
      </w:r>
      <w:r w:rsidR="000B7247" w:rsidRPr="00154F1D">
        <w:t xml:space="preserve">current Tasmanian </w:t>
      </w:r>
      <w:r w:rsidRPr="00154F1D">
        <w:t xml:space="preserve">procedure </w:t>
      </w:r>
      <w:r w:rsidR="000B7247" w:rsidRPr="00154F1D">
        <w:t>to determine unfitness to stand trial, the position in other jurisdictions and options available to reform the current procedure.</w:t>
      </w:r>
    </w:p>
    <w:p w14:paraId="7DCF6687" w14:textId="557598AC" w:rsidR="00E413E2" w:rsidRPr="00154F1D" w:rsidRDefault="00617598" w:rsidP="00D80045">
      <w:pPr>
        <w:pStyle w:val="NumberedHeadingTLRI"/>
      </w:pPr>
      <w:bookmarkStart w:id="102" w:name="_Toc535868937"/>
      <w:r w:rsidRPr="00154F1D">
        <w:t>The Tasmanian position</w:t>
      </w:r>
      <w:bookmarkEnd w:id="102"/>
    </w:p>
    <w:p w14:paraId="655E0E1E" w14:textId="4BC46324" w:rsidR="00E20E7A" w:rsidRPr="00154F1D" w:rsidRDefault="006203D1" w:rsidP="00744FAA">
      <w:pPr>
        <w:pStyle w:val="NormalNumberedTextTLRI"/>
      </w:pPr>
      <w:r w:rsidRPr="00154F1D">
        <w:t xml:space="preserve">In Tasmania, subject to the potential referral of an </w:t>
      </w:r>
      <w:r w:rsidR="008F0CC0">
        <w:t>accused</w:t>
      </w:r>
      <w:r w:rsidR="008F0CC0" w:rsidRPr="00154F1D">
        <w:t xml:space="preserve"> </w:t>
      </w:r>
      <w:r w:rsidRPr="00154F1D">
        <w:t>to the Diversion List,</w:t>
      </w:r>
      <w:r w:rsidRPr="00154F1D">
        <w:rPr>
          <w:rStyle w:val="FootnoteReference"/>
        </w:rPr>
        <w:footnoteReference w:id="235"/>
      </w:r>
      <w:r w:rsidRPr="00154F1D">
        <w:t xml:space="preserve"> the same procedure applies in relation to fitness to stand trial and insanity regardless of whether th</w:t>
      </w:r>
      <w:r w:rsidR="00C5067B" w:rsidRPr="00154F1D">
        <w:t>e</w:t>
      </w:r>
      <w:r w:rsidRPr="00154F1D">
        <w:t xml:space="preserve"> matter is an indictable offence heard in the Supreme Court or a summary offence dealt with in the Magistrates Court. The only difference is that the magistrate makes decisions in relation to fitness and the </w:t>
      </w:r>
      <w:r w:rsidR="000F6038">
        <w:t xml:space="preserve">relevant </w:t>
      </w:r>
      <w:r w:rsidRPr="00154F1D">
        <w:t xml:space="preserve">findings at a special hearing rather than a jury. </w:t>
      </w:r>
    </w:p>
    <w:p w14:paraId="28C93964" w14:textId="64507E3F" w:rsidR="00E413E2" w:rsidRPr="00154F1D" w:rsidRDefault="00E413E2" w:rsidP="00744FAA">
      <w:pPr>
        <w:pStyle w:val="NormalNumberedTextTLRI"/>
      </w:pPr>
      <w:r w:rsidRPr="00154F1D">
        <w:t xml:space="preserve">Figure </w:t>
      </w:r>
      <w:r w:rsidR="000B7247" w:rsidRPr="00154F1D">
        <w:t>5</w:t>
      </w:r>
      <w:r w:rsidRPr="00154F1D">
        <w:t xml:space="preserve">.1 shows </w:t>
      </w:r>
      <w:r w:rsidR="006048F3" w:rsidRPr="00154F1D">
        <w:t xml:space="preserve">the stages of the unfitness to stand trial </w:t>
      </w:r>
      <w:r w:rsidR="00940E08" w:rsidRPr="00154F1D">
        <w:t>process</w:t>
      </w:r>
      <w:r w:rsidR="006048F3" w:rsidRPr="00154F1D">
        <w:t xml:space="preserve"> under the </w:t>
      </w:r>
      <w:r w:rsidR="00D54422" w:rsidRPr="00154F1D">
        <w:rPr>
          <w:i/>
        </w:rPr>
        <w:t>Criminal Justice Mental Impairment Act 1999</w:t>
      </w:r>
      <w:r w:rsidR="00D54422" w:rsidRPr="00154F1D">
        <w:t xml:space="preserve"> (Tas)</w:t>
      </w:r>
      <w:r w:rsidR="00940E08" w:rsidRPr="00154F1D">
        <w:t>.</w:t>
      </w:r>
    </w:p>
    <w:p w14:paraId="38F2D2F6" w14:textId="3C7F16BC" w:rsidR="006048F3" w:rsidRPr="00154F1D" w:rsidRDefault="00A86FEA" w:rsidP="00B866B2">
      <w:pPr>
        <w:pStyle w:val="NumberlessNormalText"/>
        <w:keepNext/>
        <w:spacing w:after="60"/>
        <w:rPr>
          <w:b/>
        </w:rPr>
      </w:pPr>
      <w:r w:rsidRPr="00154F1D">
        <w:rPr>
          <w:noProof/>
          <w:lang w:val="en-US"/>
        </w:rPr>
        <mc:AlternateContent>
          <mc:Choice Requires="wpg">
            <w:drawing>
              <wp:anchor distT="0" distB="0" distL="114300" distR="114300" simplePos="0" relativeHeight="251710464" behindDoc="0" locked="0" layoutInCell="1" allowOverlap="1" wp14:anchorId="2BE538F0" wp14:editId="548F12B4">
                <wp:simplePos x="0" y="0"/>
                <wp:positionH relativeFrom="column">
                  <wp:posOffset>62865</wp:posOffset>
                </wp:positionH>
                <wp:positionV relativeFrom="paragraph">
                  <wp:posOffset>316865</wp:posOffset>
                </wp:positionV>
                <wp:extent cx="5094605" cy="5194935"/>
                <wp:effectExtent l="0" t="0" r="10795" b="12065"/>
                <wp:wrapSquare wrapText="bothSides"/>
                <wp:docPr id="26" name="Group 26"/>
                <wp:cNvGraphicFramePr/>
                <a:graphic xmlns:a="http://schemas.openxmlformats.org/drawingml/2006/main">
                  <a:graphicData uri="http://schemas.microsoft.com/office/word/2010/wordprocessingGroup">
                    <wpg:wgp>
                      <wpg:cNvGrpSpPr/>
                      <wpg:grpSpPr>
                        <a:xfrm>
                          <a:off x="0" y="0"/>
                          <a:ext cx="5094605" cy="5194935"/>
                          <a:chOff x="0" y="0"/>
                          <a:chExt cx="5095150" cy="5195025"/>
                        </a:xfrm>
                      </wpg:grpSpPr>
                      <wps:wsp>
                        <wps:cNvPr id="20" name="Straight Arrow Connector 20"/>
                        <wps:cNvCnPr/>
                        <wps:spPr>
                          <a:xfrm>
                            <a:off x="992415" y="3048000"/>
                            <a:ext cx="0" cy="39600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21" name="Straight Arrow Connector 21"/>
                        <wps:cNvCnPr/>
                        <wps:spPr>
                          <a:xfrm>
                            <a:off x="1620157" y="3808313"/>
                            <a:ext cx="323850" cy="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40" name="Rectangle 40"/>
                        <wps:cNvSpPr/>
                        <wps:spPr>
                          <a:xfrm>
                            <a:off x="1941286" y="0"/>
                            <a:ext cx="1619250" cy="40830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C9D4314" w14:textId="77777777" w:rsidR="00EE78D8" w:rsidRPr="000A00C2" w:rsidRDefault="00EE78D8" w:rsidP="006048F3">
                              <w:pPr>
                                <w:jc w:val="center"/>
                                <w:rPr>
                                  <w:sz w:val="20"/>
                                  <w:szCs w:val="20"/>
                                </w:rPr>
                              </w:pPr>
                              <w:r w:rsidRPr="000A00C2">
                                <w:rPr>
                                  <w:sz w:val="20"/>
                                  <w:szCs w:val="20"/>
                                </w:rPr>
                                <w:t>Issue of unfitness raised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39"/>
                        <wps:cNvSpPr/>
                        <wps:spPr>
                          <a:xfrm>
                            <a:off x="1701800" y="649514"/>
                            <a:ext cx="2105025" cy="70294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9D31603" w14:textId="77777777" w:rsidR="00EE78D8" w:rsidRPr="000A00C2" w:rsidRDefault="00EE78D8" w:rsidP="006048F3">
                              <w:pPr>
                                <w:jc w:val="center"/>
                                <w:rPr>
                                  <w:sz w:val="20"/>
                                  <w:szCs w:val="20"/>
                                </w:rPr>
                              </w:pPr>
                              <w:r w:rsidRPr="000A00C2">
                                <w:rPr>
                                  <w:sz w:val="20"/>
                                  <w:szCs w:val="20"/>
                                </w:rPr>
                                <w:t>Investigation into unfitness by jury (Supreme Court) or magistrates (Magistrates Court) unless prosecution and defence agree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1944915" y="1600200"/>
                            <a:ext cx="1619250" cy="61277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39855F14" w14:textId="20A9EE22" w:rsidR="00EE78D8" w:rsidRPr="000A00C2" w:rsidRDefault="00EE78D8" w:rsidP="006048F3">
                              <w:pPr>
                                <w:jc w:val="center"/>
                                <w:rPr>
                                  <w:sz w:val="20"/>
                                  <w:szCs w:val="20"/>
                                </w:rPr>
                              </w:pPr>
                              <w:r w:rsidRPr="000A00C2">
                                <w:rPr>
                                  <w:sz w:val="20"/>
                                  <w:szCs w:val="20"/>
                                </w:rPr>
                                <w:t>Defendant found unfit?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1944915" y="2438400"/>
                            <a:ext cx="1619250" cy="61277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E1D6A57" w14:textId="410F71E1" w:rsidR="00EE78D8" w:rsidRPr="000A00C2" w:rsidRDefault="00EE78D8" w:rsidP="006048F3">
                              <w:pPr>
                                <w:jc w:val="center"/>
                                <w:rPr>
                                  <w:sz w:val="20"/>
                                  <w:szCs w:val="20"/>
                                </w:rPr>
                              </w:pPr>
                              <w:r w:rsidRPr="000A00C2">
                                <w:rPr>
                                  <w:sz w:val="20"/>
                                  <w:szCs w:val="20"/>
                                </w:rPr>
                                <w:t xml:space="preserve">Will the defendant be likely to become fit within 12 months?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1618342"/>
                            <a:ext cx="1457325" cy="51054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80760E7" w14:textId="77777777" w:rsidR="00EE78D8" w:rsidRPr="000A00C2" w:rsidRDefault="00EE78D8" w:rsidP="006048F3">
                              <w:pPr>
                                <w:jc w:val="center"/>
                                <w:rPr>
                                  <w:sz w:val="20"/>
                                  <w:szCs w:val="20"/>
                                </w:rPr>
                              </w:pPr>
                              <w:r w:rsidRPr="000A00C2">
                                <w:rPr>
                                  <w:sz w:val="20"/>
                                  <w:szCs w:val="20"/>
                                </w:rPr>
                                <w:t xml:space="preserve">Trial before jury (Supreme Court) or magistrate (Magistrates Court)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 name="Rectangle 8"/>
                        <wps:cNvSpPr/>
                        <wps:spPr>
                          <a:xfrm>
                            <a:off x="1963057" y="3421742"/>
                            <a:ext cx="1619250" cy="61277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0E90F94" w14:textId="41282BD0" w:rsidR="00EE78D8" w:rsidRPr="000A00C2" w:rsidRDefault="00EE78D8" w:rsidP="006048F3">
                              <w:pPr>
                                <w:jc w:val="center"/>
                                <w:rPr>
                                  <w:sz w:val="20"/>
                                  <w:szCs w:val="20"/>
                                </w:rPr>
                              </w:pPr>
                              <w:r w:rsidRPr="000A00C2">
                                <w:rPr>
                                  <w:sz w:val="20"/>
                                  <w:szCs w:val="20"/>
                                </w:rPr>
                                <w:t>Special hearing before jury/magistrate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486229" y="4684485"/>
                            <a:ext cx="1376045" cy="51054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2003E1E" w14:textId="77777777" w:rsidR="00EE78D8" w:rsidRPr="000A00C2" w:rsidRDefault="00EE78D8" w:rsidP="006048F3">
                              <w:pPr>
                                <w:jc w:val="center"/>
                                <w:rPr>
                                  <w:sz w:val="20"/>
                                  <w:szCs w:val="20"/>
                                </w:rPr>
                              </w:pPr>
                              <w:r w:rsidRPr="000A00C2">
                                <w:rPr>
                                  <w:sz w:val="20"/>
                                  <w:szCs w:val="20"/>
                                </w:rPr>
                                <w:t>Not guilty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486229" y="3447142"/>
                            <a:ext cx="1133475" cy="59690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FD6A10F" w14:textId="2C298795" w:rsidR="00EE78D8" w:rsidRPr="000A00C2" w:rsidRDefault="00EE78D8" w:rsidP="006048F3">
                              <w:pPr>
                                <w:jc w:val="center"/>
                                <w:rPr>
                                  <w:sz w:val="20"/>
                                  <w:szCs w:val="20"/>
                                </w:rPr>
                              </w:pPr>
                              <w:r w:rsidRPr="000A00C2">
                                <w:rPr>
                                  <w:sz w:val="20"/>
                                  <w:szCs w:val="20"/>
                                </w:rPr>
                                <w:t>Is there still a question of the defendant’s unfitness to stand trial?</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1" name="Rectangle 11"/>
                        <wps:cNvSpPr/>
                        <wps:spPr>
                          <a:xfrm>
                            <a:off x="569686" y="2536371"/>
                            <a:ext cx="890270" cy="51054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0B4062A" w14:textId="77777777" w:rsidR="00EE78D8" w:rsidRPr="000A00C2" w:rsidRDefault="00EE78D8" w:rsidP="006048F3">
                              <w:pPr>
                                <w:jc w:val="center"/>
                                <w:rPr>
                                  <w:sz w:val="20"/>
                                  <w:szCs w:val="20"/>
                                </w:rPr>
                              </w:pPr>
                              <w:r w:rsidRPr="000A00C2">
                                <w:rPr>
                                  <w:sz w:val="20"/>
                                  <w:szCs w:val="20"/>
                                </w:rPr>
                                <w:t>Adjourn for up to 12 months</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wps:wsp>
                        <wps:cNvPr id="12" name="Rectangle 12"/>
                        <wps:cNvSpPr/>
                        <wps:spPr>
                          <a:xfrm>
                            <a:off x="3646715" y="4684485"/>
                            <a:ext cx="1448435" cy="51054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3EA5C70" w14:textId="77777777" w:rsidR="00EE78D8" w:rsidRPr="000A00C2" w:rsidRDefault="00EE78D8" w:rsidP="006048F3">
                              <w:pPr>
                                <w:jc w:val="center"/>
                                <w:rPr>
                                  <w:sz w:val="20"/>
                                  <w:szCs w:val="20"/>
                                </w:rPr>
                              </w:pPr>
                              <w:r w:rsidRPr="000A00C2">
                                <w:rPr>
                                  <w:sz w:val="20"/>
                                  <w:szCs w:val="20"/>
                                </w:rPr>
                                <w:t>Not guilty by reason of insanity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2024743" y="4684485"/>
                            <a:ext cx="1376045" cy="51054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E5BD440" w14:textId="77777777" w:rsidR="00EE78D8" w:rsidRPr="000A00C2" w:rsidRDefault="00EE78D8" w:rsidP="006048F3">
                              <w:pPr>
                                <w:jc w:val="center"/>
                                <w:rPr>
                                  <w:sz w:val="20"/>
                                  <w:szCs w:val="20"/>
                                </w:rPr>
                              </w:pPr>
                              <w:r w:rsidRPr="000A00C2">
                                <w:rPr>
                                  <w:sz w:val="20"/>
                                  <w:szCs w:val="20"/>
                                </w:rPr>
                                <w:t xml:space="preserve">Finding not be made that the defendant is not guilty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14" name="Straight Arrow Connector 14"/>
                        <wps:cNvCnPr/>
                        <wps:spPr>
                          <a:xfrm>
                            <a:off x="2737757" y="417285"/>
                            <a:ext cx="0" cy="21590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5" name="Straight Arrow Connector 15"/>
                        <wps:cNvCnPr/>
                        <wps:spPr>
                          <a:xfrm>
                            <a:off x="2741386" y="1349828"/>
                            <a:ext cx="0" cy="25146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6" name="Straight Arrow Connector 16"/>
                        <wps:cNvCnPr/>
                        <wps:spPr>
                          <a:xfrm>
                            <a:off x="2755900" y="2213428"/>
                            <a:ext cx="0" cy="21590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7" name="Straight Arrow Connector 17"/>
                        <wps:cNvCnPr/>
                        <wps:spPr>
                          <a:xfrm>
                            <a:off x="2755900" y="3058885"/>
                            <a:ext cx="0" cy="35941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8" name="Straight Arrow Connector 18"/>
                        <wps:cNvCnPr/>
                        <wps:spPr>
                          <a:xfrm flipH="1">
                            <a:off x="1460500" y="1825171"/>
                            <a:ext cx="485775" cy="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19" name="Straight Arrow Connector 19"/>
                        <wps:cNvCnPr/>
                        <wps:spPr>
                          <a:xfrm flipH="1">
                            <a:off x="1460500" y="2743200"/>
                            <a:ext cx="485775" cy="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22" name="Straight Arrow Connector 22"/>
                        <wps:cNvCnPr/>
                        <wps:spPr>
                          <a:xfrm>
                            <a:off x="2755900" y="4034971"/>
                            <a:ext cx="0" cy="64770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24" name="Elbow Connector 24"/>
                        <wps:cNvCnPr/>
                        <wps:spPr>
                          <a:xfrm rot="16200000" flipV="1">
                            <a:off x="-544287" y="2837543"/>
                            <a:ext cx="1737360" cy="323850"/>
                          </a:xfrm>
                          <a:prstGeom prst="bentConnector3">
                            <a:avLst>
                              <a:gd name="adj1" fmla="val 1935"/>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29" name="Straight Arrow Connector 29"/>
                        <wps:cNvCnPr/>
                        <wps:spPr>
                          <a:xfrm>
                            <a:off x="4457700" y="4379685"/>
                            <a:ext cx="0" cy="30607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30" name="Straight Arrow Connector 30"/>
                        <wps:cNvCnPr/>
                        <wps:spPr>
                          <a:xfrm>
                            <a:off x="1054100" y="4379685"/>
                            <a:ext cx="0" cy="306070"/>
                          </a:xfrm>
                          <a:prstGeom prst="straightConnector1">
                            <a:avLst/>
                          </a:prstGeom>
                          <a:ln w="9525">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wps:wsp>
                        <wps:cNvPr id="31" name="Text Box 31"/>
                        <wps:cNvSpPr txBox="1"/>
                        <wps:spPr>
                          <a:xfrm flipH="1">
                            <a:off x="1516743" y="1571171"/>
                            <a:ext cx="404495" cy="2038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82D383C" w14:textId="77777777" w:rsidR="00EE78D8" w:rsidRPr="000A00C2" w:rsidRDefault="00EE78D8" w:rsidP="006048F3">
                              <w:pPr>
                                <w:rPr>
                                  <w:sz w:val="20"/>
                                  <w:szCs w:val="20"/>
                                </w:rPr>
                              </w:pPr>
                              <w:r w:rsidRPr="000A00C2">
                                <w:rPr>
                                  <w:sz w:val="20"/>
                                  <w:szCs w:val="20"/>
                                </w:rPr>
                                <w:t>No</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32" name="Text Box 32"/>
                        <wps:cNvSpPr txBox="1"/>
                        <wps:spPr>
                          <a:xfrm flipH="1">
                            <a:off x="2837543" y="2206171"/>
                            <a:ext cx="404495" cy="2038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2E64D37" w14:textId="77777777" w:rsidR="00EE78D8" w:rsidRPr="000A00C2" w:rsidRDefault="00EE78D8" w:rsidP="006048F3">
                              <w:pPr>
                                <w:rPr>
                                  <w:sz w:val="20"/>
                                  <w:szCs w:val="20"/>
                                </w:rPr>
                              </w:pPr>
                              <w:r w:rsidRPr="000A00C2">
                                <w:rPr>
                                  <w:sz w:val="20"/>
                                  <w:szCs w:val="20"/>
                                </w:rPr>
                                <w:t>Yes</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wps:wsp>
                        <wps:cNvPr id="34" name="Text Box 34"/>
                        <wps:cNvSpPr txBox="1"/>
                        <wps:spPr>
                          <a:xfrm flipH="1">
                            <a:off x="1589349" y="3563403"/>
                            <a:ext cx="404495" cy="2038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8A86926" w14:textId="77777777" w:rsidR="00EE78D8" w:rsidRPr="000A00C2" w:rsidRDefault="00EE78D8" w:rsidP="006048F3">
                              <w:pPr>
                                <w:rPr>
                                  <w:sz w:val="20"/>
                                  <w:szCs w:val="20"/>
                                </w:rPr>
                              </w:pPr>
                              <w:r w:rsidRPr="000A00C2">
                                <w:rPr>
                                  <w:sz w:val="20"/>
                                  <w:szCs w:val="20"/>
                                </w:rPr>
                                <w:t>Yes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35" name="Text Box 35"/>
                        <wps:cNvSpPr txBox="1"/>
                        <wps:spPr>
                          <a:xfrm flipH="1">
                            <a:off x="163286" y="3548742"/>
                            <a:ext cx="404495" cy="2038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55D6CA6" w14:textId="77777777" w:rsidR="00EE78D8" w:rsidRPr="000A00C2" w:rsidRDefault="00EE78D8" w:rsidP="006048F3">
                              <w:pPr>
                                <w:rPr>
                                  <w:sz w:val="20"/>
                                  <w:szCs w:val="20"/>
                                </w:rPr>
                              </w:pPr>
                              <w:r w:rsidRPr="000A00C2">
                                <w:rPr>
                                  <w:sz w:val="20"/>
                                  <w:szCs w:val="20"/>
                                </w:rPr>
                                <w:t>No</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g:wgp>
                  </a:graphicData>
                </a:graphic>
              </wp:anchor>
            </w:drawing>
          </mc:Choice>
          <mc:Fallback>
            <w:pict>
              <v:group w14:anchorId="2BE538F0" id="Group 26" o:spid="_x0000_s1026" style="position:absolute;left:0;text-align:left;margin-left:4.95pt;margin-top:24.95pt;width:401.15pt;height:409.05pt;z-index:251710464" coordsize="50951,5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">
                <v:shapetype id="_x0000_t32" coordsize="21600,21600" o:spt="32" o:oned="t" path="m,l21600,21600e" filled="f">
                  <v:path arrowok="t" fillok="f" o:connecttype="none"/>
                  <o:lock v:ext="edit" shapetype="t"/>
                </v:shapetype>
                <v:shape id="Straight Arrow Connector 20" o:spid="_x0000_s1027" type="#_x0000_t32" style="position:absolute;left:9924;top:30480;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" strokecolor="black [3213]">
                  <v:stroke endarrow="open"/>
                  <v:shadow on="t" color="black" opacity="24903f" origin=",.5" offset="0,.55556mm"/>
                </v:shape>
                <v:shape id="Straight Arrow Connector 21" o:spid="_x0000_s1028" type="#_x0000_t32" style="position:absolute;left:16201;top:38083;width:32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" strokecolor="black [3213]">
                  <v:stroke endarrow="open"/>
                  <v:shadow on="t" color="black" opacity="24903f" origin=",.5" offset="0,.55556mm"/>
                </v:shape>
                <v:rect id="Rectangle 40" o:spid="_x0000_s1029" style="position:absolute;left:19412;width:16193;height:40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" fillcolor="white [3201]" strokecolor="black [3200]">
                  <v:textbox>
                    <w:txbxContent>
                      <w:p w14:paraId="4C9D4314" w14:textId="77777777" w:rsidR="00EE78D8" w:rsidRPr="000A00C2" w:rsidRDefault="00EE78D8" w:rsidP="006048F3">
                        <w:pPr>
                          <w:jc w:val="center"/>
                          <w:rPr>
                            <w:sz w:val="20"/>
                            <w:szCs w:val="20"/>
                          </w:rPr>
                        </w:pPr>
                        <w:r w:rsidRPr="000A00C2">
                          <w:rPr>
                            <w:sz w:val="20"/>
                            <w:szCs w:val="20"/>
                          </w:rPr>
                          <w:t>Issue of unfitness raised</w:t>
                        </w:r>
                      </w:p>
                    </w:txbxContent>
                  </v:textbox>
                </v:rect>
                <v:rect id="Rectangle 39" o:spid="_x0000_s1030" style="position:absolute;left:17018;top:6495;width:21050;height:7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" fillcolor="white [3201]" strokecolor="black [3200]">
                  <v:textbox>
                    <w:txbxContent>
                      <w:p w14:paraId="49D31603" w14:textId="77777777" w:rsidR="00EE78D8" w:rsidRPr="000A00C2" w:rsidRDefault="00EE78D8" w:rsidP="006048F3">
                        <w:pPr>
                          <w:jc w:val="center"/>
                          <w:rPr>
                            <w:sz w:val="20"/>
                            <w:szCs w:val="20"/>
                          </w:rPr>
                        </w:pPr>
                        <w:r w:rsidRPr="000A00C2">
                          <w:rPr>
                            <w:sz w:val="20"/>
                            <w:szCs w:val="20"/>
                          </w:rPr>
                          <w:t>Investigation into unfitness by jury (Supreme Court) or magistrates (Magistrates Court) unless prosecution and defence agree</w:t>
                        </w:r>
                      </w:p>
                    </w:txbxContent>
                  </v:textbox>
                </v:rect>
                <v:rect id="Rectangle 5" o:spid="_x0000_s1031" style="position:absolute;left:19449;top:16002;width:16192;height:6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" fillcolor="white [3201]" strokecolor="black [3200]">
                  <v:textbox>
                    <w:txbxContent>
                      <w:p w14:paraId="39855F14" w14:textId="20A9EE22" w:rsidR="00EE78D8" w:rsidRPr="000A00C2" w:rsidRDefault="00EE78D8" w:rsidP="006048F3">
                        <w:pPr>
                          <w:jc w:val="center"/>
                          <w:rPr>
                            <w:sz w:val="20"/>
                            <w:szCs w:val="20"/>
                          </w:rPr>
                        </w:pPr>
                        <w:r w:rsidRPr="000A00C2">
                          <w:rPr>
                            <w:sz w:val="20"/>
                            <w:szCs w:val="20"/>
                          </w:rPr>
                          <w:t>Defendant found unfit?</w:t>
                        </w:r>
                      </w:p>
                    </w:txbxContent>
                  </v:textbox>
                </v:rect>
                <v:rect id="Rectangle 6" o:spid="_x0000_s1032" style="position:absolute;left:19449;top:24384;width:16192;height:6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" fillcolor="white [3201]" strokecolor="black [3200]">
                  <v:textbox>
                    <w:txbxContent>
                      <w:p w14:paraId="2E1D6A57" w14:textId="410F71E1" w:rsidR="00EE78D8" w:rsidRPr="000A00C2" w:rsidRDefault="00EE78D8" w:rsidP="006048F3">
                        <w:pPr>
                          <w:jc w:val="center"/>
                          <w:rPr>
                            <w:sz w:val="20"/>
                            <w:szCs w:val="20"/>
                          </w:rPr>
                        </w:pPr>
                        <w:r w:rsidRPr="000A00C2">
                          <w:rPr>
                            <w:sz w:val="20"/>
                            <w:szCs w:val="20"/>
                          </w:rPr>
                          <w:t xml:space="preserve">Will the defendant be likely to become fit within 12 months? </w:t>
                        </w:r>
                      </w:p>
                    </w:txbxContent>
                  </v:textbox>
                </v:rect>
                <v:rect id="Rectangle 7" o:spid="_x0000_s1033" style="position:absolute;top:16183;width:14573;height:5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" fillcolor="white [3201]" strokecolor="black [3200]">
                  <v:textbox inset="0,0,0,0">
                    <w:txbxContent>
                      <w:p w14:paraId="580760E7" w14:textId="77777777" w:rsidR="00EE78D8" w:rsidRPr="000A00C2" w:rsidRDefault="00EE78D8" w:rsidP="006048F3">
                        <w:pPr>
                          <w:jc w:val="center"/>
                          <w:rPr>
                            <w:sz w:val="20"/>
                            <w:szCs w:val="20"/>
                          </w:rPr>
                        </w:pPr>
                        <w:r w:rsidRPr="000A00C2">
                          <w:rPr>
                            <w:sz w:val="20"/>
                            <w:szCs w:val="20"/>
                          </w:rPr>
                          <w:t xml:space="preserve">Trial before jury (Supreme Court) or magistrate (Magistrates Court) </w:t>
                        </w:r>
                      </w:p>
                    </w:txbxContent>
                  </v:textbox>
                </v:rect>
                <v:rect id="Rectangle 8" o:spid="_x0000_s1034" style="position:absolute;left:19630;top:34217;width:16193;height:6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" fillcolor="white [3201]" strokecolor="black [3200]">
                  <v:textbox>
                    <w:txbxContent>
                      <w:p w14:paraId="10E90F94" w14:textId="41282BD0" w:rsidR="00EE78D8" w:rsidRPr="000A00C2" w:rsidRDefault="00EE78D8" w:rsidP="006048F3">
                        <w:pPr>
                          <w:jc w:val="center"/>
                          <w:rPr>
                            <w:sz w:val="20"/>
                            <w:szCs w:val="20"/>
                          </w:rPr>
                        </w:pPr>
                        <w:r w:rsidRPr="000A00C2">
                          <w:rPr>
                            <w:sz w:val="20"/>
                            <w:szCs w:val="20"/>
                          </w:rPr>
                          <w:t>Special hearing before jury/magistrate</w:t>
                        </w:r>
                      </w:p>
                    </w:txbxContent>
                  </v:textbox>
                </v:rect>
                <v:rect id="Rectangle 9" o:spid="_x0000_s1035" style="position:absolute;left:4862;top:46844;width:13760;height:5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" fillcolor="white [3201]" strokecolor="black [3200]">
                  <v:textbox>
                    <w:txbxContent>
                      <w:p w14:paraId="42003E1E" w14:textId="77777777" w:rsidR="00EE78D8" w:rsidRPr="000A00C2" w:rsidRDefault="00EE78D8" w:rsidP="006048F3">
                        <w:pPr>
                          <w:jc w:val="center"/>
                          <w:rPr>
                            <w:sz w:val="20"/>
                            <w:szCs w:val="20"/>
                          </w:rPr>
                        </w:pPr>
                        <w:r w:rsidRPr="000A00C2">
                          <w:rPr>
                            <w:sz w:val="20"/>
                            <w:szCs w:val="20"/>
                          </w:rPr>
                          <w:t>Not guilty</w:t>
                        </w:r>
                      </w:p>
                    </w:txbxContent>
                  </v:textbox>
                </v:rect>
                <v:rect id="Rectangle 10" o:spid="_x0000_s1036" style="position:absolute;left:4862;top:34471;width:11335;height:5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" fillcolor="white [3201]" strokecolor="black [3200]">
                  <v:textbox inset="0,0,0,0">
                    <w:txbxContent>
                      <w:p w14:paraId="2FD6A10F" w14:textId="2C298795" w:rsidR="00EE78D8" w:rsidRPr="000A00C2" w:rsidRDefault="00EE78D8" w:rsidP="006048F3">
                        <w:pPr>
                          <w:jc w:val="center"/>
                          <w:rPr>
                            <w:sz w:val="20"/>
                            <w:szCs w:val="20"/>
                          </w:rPr>
                        </w:pPr>
                        <w:r w:rsidRPr="000A00C2">
                          <w:rPr>
                            <w:sz w:val="20"/>
                            <w:szCs w:val="20"/>
                          </w:rPr>
                          <w:t>Is there still a question of the defendant’s unfitness to stand trial?</w:t>
                        </w:r>
                      </w:p>
                    </w:txbxContent>
                  </v:textbox>
                </v:rect>
                <v:rect id="Rectangle 11" o:spid="_x0000_s1037" style="position:absolute;left:5696;top:25363;width:8903;height:5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" fillcolor="white [3201]" strokecolor="black [3200]">
                  <v:textbox inset=",1mm,,1mm">
                    <w:txbxContent>
                      <w:p w14:paraId="50B4062A" w14:textId="77777777" w:rsidR="00EE78D8" w:rsidRPr="000A00C2" w:rsidRDefault="00EE78D8" w:rsidP="006048F3">
                        <w:pPr>
                          <w:jc w:val="center"/>
                          <w:rPr>
                            <w:sz w:val="20"/>
                            <w:szCs w:val="20"/>
                          </w:rPr>
                        </w:pPr>
                        <w:r w:rsidRPr="000A00C2">
                          <w:rPr>
                            <w:sz w:val="20"/>
                            <w:szCs w:val="20"/>
                          </w:rPr>
                          <w:t>Adjourn for up to 12 months</w:t>
                        </w:r>
                      </w:p>
                    </w:txbxContent>
                  </v:textbox>
                </v:rect>
                <v:rect id="Rectangle 12" o:spid="_x0000_s1038" style="position:absolute;left:36467;top:46844;width:14484;height:5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" fillcolor="white [3201]" strokecolor="black [3200]">
                  <v:textbox>
                    <w:txbxContent>
                      <w:p w14:paraId="43EA5C70" w14:textId="77777777" w:rsidR="00EE78D8" w:rsidRPr="000A00C2" w:rsidRDefault="00EE78D8" w:rsidP="006048F3">
                        <w:pPr>
                          <w:jc w:val="center"/>
                          <w:rPr>
                            <w:sz w:val="20"/>
                            <w:szCs w:val="20"/>
                          </w:rPr>
                        </w:pPr>
                        <w:r w:rsidRPr="000A00C2">
                          <w:rPr>
                            <w:sz w:val="20"/>
                            <w:szCs w:val="20"/>
                          </w:rPr>
                          <w:t>Not guilty by reason of insanity</w:t>
                        </w:r>
                      </w:p>
                    </w:txbxContent>
                  </v:textbox>
                </v:rect>
                <v:rect id="Rectangle 13" o:spid="_x0000_s1039" style="position:absolute;left:20247;top:46844;width:13760;height:5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" fillcolor="white [3201]" strokecolor="black [3200]">
                  <v:textbox inset=",0,,0">
                    <w:txbxContent>
                      <w:p w14:paraId="1E5BD440" w14:textId="77777777" w:rsidR="00EE78D8" w:rsidRPr="000A00C2" w:rsidRDefault="00EE78D8" w:rsidP="006048F3">
                        <w:pPr>
                          <w:jc w:val="center"/>
                          <w:rPr>
                            <w:sz w:val="20"/>
                            <w:szCs w:val="20"/>
                          </w:rPr>
                        </w:pPr>
                        <w:r w:rsidRPr="000A00C2">
                          <w:rPr>
                            <w:sz w:val="20"/>
                            <w:szCs w:val="20"/>
                          </w:rPr>
                          <w:t xml:space="preserve">Finding not be made that the defendant is not guilty </w:t>
                        </w:r>
                      </w:p>
                    </w:txbxContent>
                  </v:textbox>
                </v:rect>
                <v:shape id="Straight Arrow Connector 14" o:spid="_x0000_s1040" type="#_x0000_t32" style="position:absolute;left:27377;top:4172;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" strokecolor="black [3213]">
                  <v:stroke endarrow="open"/>
                  <v:shadow on="t" color="black" opacity="24903f" origin=",.5" offset="0,.55556mm"/>
                </v:shape>
                <v:shape id="Straight Arrow Connector 15" o:spid="_x0000_s1041" type="#_x0000_t32" style="position:absolute;left:27413;top:13498;width:0;height:25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" strokecolor="black [3213]">
                  <v:stroke endarrow="open"/>
                  <v:shadow on="t" color="black" opacity="24903f" origin=",.5" offset="0,.55556mm"/>
                </v:shape>
                <v:shape id="Straight Arrow Connector 16" o:spid="_x0000_s1042" type="#_x0000_t32" style="position:absolute;left:27559;top:22134;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" strokecolor="black [3213]">
                  <v:stroke endarrow="open"/>
                  <v:shadow on="t" color="black" opacity="24903f" origin=",.5" offset="0,.55556mm"/>
                </v:shape>
                <v:shape id="Straight Arrow Connector 17" o:spid="_x0000_s1043" type="#_x0000_t32" style="position:absolute;left:27559;top:30588;width:0;height:35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" strokecolor="black [3213]">
                  <v:stroke endarrow="open"/>
                  <v:shadow on="t" color="black" opacity="24903f" origin=",.5" offset="0,.55556mm"/>
                </v:shape>
                <v:shape id="Straight Arrow Connector 18" o:spid="_x0000_s1044" type="#_x0000_t32" style="position:absolute;left:14605;top:18251;width:485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" strokecolor="black [3213]">
                  <v:stroke endarrow="open"/>
                  <v:shadow on="t" color="black" opacity="24903f" origin=",.5" offset="0,.55556mm"/>
                </v:shape>
                <v:shape id="Straight Arrow Connector 19" o:spid="_x0000_s1045" type="#_x0000_t32" style="position:absolute;left:14605;top:27432;width:485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" strokecolor="black [3213]">
                  <v:stroke endarrow="open"/>
                  <v:shadow on="t" color="black" opacity="24903f" origin=",.5" offset="0,.55556mm"/>
                </v:shape>
                <v:shape id="Straight Arrow Connector 22" o:spid="_x0000_s1046" type="#_x0000_t32" style="position:absolute;left:27559;top:40349;width:0;height:64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" strokecolor="black [3213]">
                  <v:stroke endarrow="open"/>
                  <v:shadow on="t" color="black" opacity="24903f" origin=",.5" offset="0,.55556mm"/>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4" o:spid="_x0000_s1047" type="#_x0000_t34" style="position:absolute;left:-5443;top:28374;width:17374;height:3239;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" adj="418" strokecolor="black [3213]">
                  <v:stroke endarrow="open"/>
                  <v:shadow on="t" color="black" opacity="24903f" origin=",.5" offset="0,.55556mm"/>
                </v:shape>
                <v:shape id="Straight Arrow Connector 29" o:spid="_x0000_s1048" type="#_x0000_t32" style="position:absolute;left:44577;top:43796;width:0;height:30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" strokecolor="black [3213]">
                  <v:stroke endarrow="open"/>
                  <v:shadow on="t" color="black" opacity="24903f" origin=",.5" offset="0,.55556mm"/>
                </v:shape>
                <v:shape id="Straight Arrow Connector 30" o:spid="_x0000_s1049" type="#_x0000_t32" style="position:absolute;left:10541;top:43796;width:0;height:30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" strokecolor="black [3213]">
                  <v:stroke endarrow="open"/>
                  <v:shadow on="t" color="black" opacity="24903f" origin=",.5" offset="0,.55556mm"/>
                </v:shape>
                <v:shapetype id="_x0000_t202" coordsize="21600,21600" o:spt="202" path="m,l,21600r21600,l21600,xe">
                  <v:stroke joinstyle="miter"/>
                  <v:path gradientshapeok="t" o:connecttype="rect"/>
                </v:shapetype>
                <v:shape id="Text Box 31" o:spid="_x0000_s1050" type="#_x0000_t202" style="position:absolute;left:15167;top:15711;width:4045;height:203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" filled="f" stroked="f">
                  <v:textbox inset=",0,,0">
                    <w:txbxContent>
                      <w:p w14:paraId="082D383C" w14:textId="77777777" w:rsidR="00EE78D8" w:rsidRPr="000A00C2" w:rsidRDefault="00EE78D8" w:rsidP="006048F3">
                        <w:pPr>
                          <w:rPr>
                            <w:sz w:val="20"/>
                            <w:szCs w:val="20"/>
                          </w:rPr>
                        </w:pPr>
                        <w:r w:rsidRPr="000A00C2">
                          <w:rPr>
                            <w:sz w:val="20"/>
                            <w:szCs w:val="20"/>
                          </w:rPr>
                          <w:t>No</w:t>
                        </w:r>
                      </w:p>
                    </w:txbxContent>
                  </v:textbox>
                </v:shape>
                <v:shape id="Text Box 32" o:spid="_x0000_s1051" type="#_x0000_t202" style="position:absolute;left:28375;top:22061;width:4045;height:203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" filled="f" stroked="f">
                  <v:textbox inset=",1mm,,1mm">
                    <w:txbxContent>
                      <w:p w14:paraId="72E64D37" w14:textId="77777777" w:rsidR="00EE78D8" w:rsidRPr="000A00C2" w:rsidRDefault="00EE78D8" w:rsidP="006048F3">
                        <w:pPr>
                          <w:rPr>
                            <w:sz w:val="20"/>
                            <w:szCs w:val="20"/>
                          </w:rPr>
                        </w:pPr>
                        <w:r w:rsidRPr="000A00C2">
                          <w:rPr>
                            <w:sz w:val="20"/>
                            <w:szCs w:val="20"/>
                          </w:rPr>
                          <w:t>Yes</w:t>
                        </w:r>
                      </w:p>
                    </w:txbxContent>
                  </v:textbox>
                </v:shape>
                <v:shape id="Text Box 34" o:spid="_x0000_s1052" type="#_x0000_t202" style="position:absolute;left:15893;top:35634;width:4045;height:203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" filled="f" stroked="f">
                  <v:textbox inset=",0,,0">
                    <w:txbxContent>
                      <w:p w14:paraId="38A86926" w14:textId="77777777" w:rsidR="00EE78D8" w:rsidRPr="000A00C2" w:rsidRDefault="00EE78D8" w:rsidP="006048F3">
                        <w:pPr>
                          <w:rPr>
                            <w:sz w:val="20"/>
                            <w:szCs w:val="20"/>
                          </w:rPr>
                        </w:pPr>
                        <w:r w:rsidRPr="000A00C2">
                          <w:rPr>
                            <w:sz w:val="20"/>
                            <w:szCs w:val="20"/>
                          </w:rPr>
                          <w:t>Yes</w:t>
                        </w:r>
                      </w:p>
                    </w:txbxContent>
                  </v:textbox>
                </v:shape>
                <v:shape id="Text Box 35" o:spid="_x0000_s1053" type="#_x0000_t202" style="position:absolute;left:1632;top:35487;width:4045;height:203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" filled="f" stroked="f">
                  <v:textbox inset=",0,,0">
                    <w:txbxContent>
                      <w:p w14:paraId="255D6CA6" w14:textId="77777777" w:rsidR="00EE78D8" w:rsidRPr="000A00C2" w:rsidRDefault="00EE78D8" w:rsidP="006048F3">
                        <w:pPr>
                          <w:rPr>
                            <w:sz w:val="20"/>
                            <w:szCs w:val="20"/>
                          </w:rPr>
                        </w:pPr>
                        <w:r w:rsidRPr="000A00C2">
                          <w:rPr>
                            <w:sz w:val="20"/>
                            <w:szCs w:val="20"/>
                          </w:rPr>
                          <w:t>No</w:t>
                        </w:r>
                      </w:p>
                    </w:txbxContent>
                  </v:textbox>
                </v:shape>
                <w10:wrap type="square"/>
              </v:group>
            </w:pict>
          </mc:Fallback>
        </mc:AlternateContent>
      </w:r>
      <w:r w:rsidR="006048F3" w:rsidRPr="00154F1D">
        <w:rPr>
          <w:b/>
        </w:rPr>
        <w:t xml:space="preserve">Figure </w:t>
      </w:r>
      <w:r w:rsidR="000B7247" w:rsidRPr="00154F1D">
        <w:rPr>
          <w:b/>
        </w:rPr>
        <w:t>5</w:t>
      </w:r>
      <w:r w:rsidR="006048F3" w:rsidRPr="00154F1D">
        <w:rPr>
          <w:b/>
        </w:rPr>
        <w:t>.1: Unfitness to stand trial in the Supreme Court and Magistrates Court</w:t>
      </w:r>
    </w:p>
    <w:p w14:paraId="241F379C" w14:textId="7373CCA7" w:rsidR="006048F3" w:rsidRPr="00154F1D" w:rsidRDefault="00A400F2" w:rsidP="006048F3">
      <w:pPr>
        <w:rPr>
          <w:rFonts w:eastAsia="Times"/>
          <w:szCs w:val="20"/>
        </w:rPr>
      </w:pPr>
      <w:r w:rsidRPr="00154F1D">
        <w:rPr>
          <w:noProof/>
          <w:lang w:val="en-US"/>
        </w:rPr>
        <mc:AlternateContent>
          <mc:Choice Requires="wps">
            <w:drawing>
              <wp:anchor distT="0" distB="0" distL="114300" distR="114300" simplePos="0" relativeHeight="251702272" behindDoc="0" locked="0" layoutInCell="1" allowOverlap="1" wp14:anchorId="612268F2" wp14:editId="33501DF9">
                <wp:simplePos x="0" y="0"/>
                <wp:positionH relativeFrom="column">
                  <wp:posOffset>1120775</wp:posOffset>
                </wp:positionH>
                <wp:positionV relativeFrom="paragraph">
                  <wp:posOffset>4486275</wp:posOffset>
                </wp:positionV>
                <wp:extent cx="3401060" cy="0"/>
                <wp:effectExtent l="25400" t="25400" r="40640" b="76200"/>
                <wp:wrapTopAndBottom/>
                <wp:docPr id="28" name="Straight Connector 28"/>
                <wp:cNvGraphicFramePr/>
                <a:graphic xmlns:a="http://schemas.openxmlformats.org/drawingml/2006/main">
                  <a:graphicData uri="http://schemas.microsoft.com/office/word/2010/wordprocessingShape">
                    <wps:wsp>
                      <wps:cNvCnPr/>
                      <wps:spPr>
                        <a:xfrm>
                          <a:off x="0" y="0"/>
                          <a:ext cx="3401060" cy="0"/>
                        </a:xfrm>
                        <a:prstGeom prst="line">
                          <a:avLst/>
                        </a:prstGeom>
                        <a:ln w="9525">
                          <a:solidFill>
                            <a:schemeClr val="tx1"/>
                          </a:solidFill>
                          <a:tailEnd type="non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C7DEA7A" id="Straight Connector 28"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88.25pt,353.25pt" to="356.05pt,3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" strokecolor="black [3213]">
                <v:shadow on="t" color="black" opacity="24903f" origin=",.5" offset="0,.55556mm"/>
                <w10:wrap type="topAndBottom"/>
              </v:line>
            </w:pict>
          </mc:Fallback>
        </mc:AlternateContent>
      </w:r>
      <w:r w:rsidRPr="00154F1D">
        <w:rPr>
          <w:noProof/>
          <w:lang w:val="en-US"/>
        </w:rPr>
        <mc:AlternateContent>
          <mc:Choice Requires="wps">
            <w:drawing>
              <wp:anchor distT="0" distB="0" distL="114300" distR="114300" simplePos="0" relativeHeight="251707392" behindDoc="0" locked="0" layoutInCell="1" allowOverlap="1" wp14:anchorId="4B70BD6C" wp14:editId="239AA270">
                <wp:simplePos x="0" y="0"/>
                <wp:positionH relativeFrom="column">
                  <wp:posOffset>2902585</wp:posOffset>
                </wp:positionH>
                <wp:positionV relativeFrom="paragraph">
                  <wp:posOffset>3258185</wp:posOffset>
                </wp:positionV>
                <wp:extent cx="404495" cy="203835"/>
                <wp:effectExtent l="0" t="0" r="0" b="0"/>
                <wp:wrapTopAndBottom/>
                <wp:docPr id="33" name="Text Box 33"/>
                <wp:cNvGraphicFramePr/>
                <a:graphic xmlns:a="http://schemas.openxmlformats.org/drawingml/2006/main">
                  <a:graphicData uri="http://schemas.microsoft.com/office/word/2010/wordprocessingShape">
                    <wps:wsp>
                      <wps:cNvSpPr txBox="1"/>
                      <wps:spPr>
                        <a:xfrm flipH="1">
                          <a:off x="0" y="0"/>
                          <a:ext cx="404495" cy="2038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C1DEBA8" w14:textId="77777777" w:rsidR="00EE78D8" w:rsidRPr="000A00C2" w:rsidRDefault="00EE78D8" w:rsidP="006048F3">
                            <w:pPr>
                              <w:rPr>
                                <w:sz w:val="20"/>
                                <w:szCs w:val="20"/>
                              </w:rPr>
                            </w:pPr>
                            <w:r w:rsidRPr="000A00C2">
                              <w:rPr>
                                <w:sz w:val="20"/>
                                <w:szCs w:val="20"/>
                              </w:rPr>
                              <w:t>No</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anchor>
            </w:drawing>
          </mc:Choice>
          <mc:Fallback>
            <w:pict>
              <v:shape w14:anchorId="4B70BD6C" id="Text Box 33" o:spid="_x0000_s1054" type="#_x0000_t202" style="position:absolute;margin-left:228.55pt;margin-top:256.55pt;width:31.85pt;height:16.05pt;flip:x;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" filled="f" stroked="f">
                <v:textbox inset=",1mm,,1mm">
                  <w:txbxContent>
                    <w:p w14:paraId="0C1DEBA8" w14:textId="77777777" w:rsidR="00EE78D8" w:rsidRPr="000A00C2" w:rsidRDefault="00EE78D8" w:rsidP="006048F3">
                      <w:pPr>
                        <w:rPr>
                          <w:sz w:val="20"/>
                          <w:szCs w:val="20"/>
                        </w:rPr>
                      </w:pPr>
                      <w:r w:rsidRPr="000A00C2">
                        <w:rPr>
                          <w:sz w:val="20"/>
                          <w:szCs w:val="20"/>
                        </w:rPr>
                        <w:t>No</w:t>
                      </w:r>
                    </w:p>
                  </w:txbxContent>
                </v:textbox>
                <w10:wrap type="topAndBottom"/>
              </v:shape>
            </w:pict>
          </mc:Fallback>
        </mc:AlternateContent>
      </w:r>
      <w:r w:rsidRPr="00154F1D">
        <w:rPr>
          <w:noProof/>
          <w:lang w:val="en-US"/>
        </w:rPr>
        <mc:AlternateContent>
          <mc:Choice Requires="wps">
            <w:drawing>
              <wp:anchor distT="0" distB="0" distL="114300" distR="114300" simplePos="0" relativeHeight="251711488" behindDoc="0" locked="0" layoutInCell="1" allowOverlap="1" wp14:anchorId="3CCAEEC6" wp14:editId="7E567960">
                <wp:simplePos x="0" y="0"/>
                <wp:positionH relativeFrom="column">
                  <wp:posOffset>1603375</wp:posOffset>
                </wp:positionH>
                <wp:positionV relativeFrom="paragraph">
                  <wp:posOffset>2644775</wp:posOffset>
                </wp:positionV>
                <wp:extent cx="404495" cy="203835"/>
                <wp:effectExtent l="0" t="0" r="0" b="0"/>
                <wp:wrapTopAndBottom/>
                <wp:docPr id="36" name="Text Box 36"/>
                <wp:cNvGraphicFramePr/>
                <a:graphic xmlns:a="http://schemas.openxmlformats.org/drawingml/2006/main">
                  <a:graphicData uri="http://schemas.microsoft.com/office/word/2010/wordprocessingShape">
                    <wps:wsp>
                      <wps:cNvSpPr txBox="1"/>
                      <wps:spPr>
                        <a:xfrm flipH="1">
                          <a:off x="0" y="0"/>
                          <a:ext cx="404495" cy="203835"/>
                        </a:xfrm>
                        <a:prstGeom prst="rect">
                          <a:avLst/>
                        </a:prstGeom>
                        <a:noFill/>
                        <a:ln w="9525">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7ED9683" w14:textId="77777777" w:rsidR="00EE78D8" w:rsidRPr="000A00C2" w:rsidRDefault="00EE78D8" w:rsidP="006048F3">
                            <w:pPr>
                              <w:rPr>
                                <w:sz w:val="20"/>
                                <w:szCs w:val="20"/>
                              </w:rPr>
                            </w:pPr>
                            <w:r w:rsidRPr="000A00C2">
                              <w:rPr>
                                <w:sz w:val="20"/>
                                <w:szCs w:val="20"/>
                              </w:rPr>
                              <w:t>Yes</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anchor>
            </w:drawing>
          </mc:Choice>
          <mc:Fallback>
            <w:pict>
              <v:shape w14:anchorId="3CCAEEC6" id="Text Box 36" o:spid="_x0000_s1055" type="#_x0000_t202" style="position:absolute;margin-left:126.25pt;margin-top:208.25pt;width:31.85pt;height:16.05pt;flip:x;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" filled="f" stroked="f">
                <v:textbox inset=",1mm,,1mm">
                  <w:txbxContent>
                    <w:p w14:paraId="57ED9683" w14:textId="77777777" w:rsidR="00EE78D8" w:rsidRPr="000A00C2" w:rsidRDefault="00EE78D8" w:rsidP="006048F3">
                      <w:pPr>
                        <w:rPr>
                          <w:sz w:val="20"/>
                          <w:szCs w:val="20"/>
                        </w:rPr>
                      </w:pPr>
                      <w:r w:rsidRPr="000A00C2">
                        <w:rPr>
                          <w:sz w:val="20"/>
                          <w:szCs w:val="20"/>
                        </w:rPr>
                        <w:t>Yes</w:t>
                      </w:r>
                    </w:p>
                  </w:txbxContent>
                </v:textbox>
                <w10:wrap type="topAndBottom"/>
              </v:shape>
            </w:pict>
          </mc:Fallback>
        </mc:AlternateContent>
      </w:r>
    </w:p>
    <w:p w14:paraId="101979B7" w14:textId="34F4E405" w:rsidR="00617598" w:rsidRPr="00154F1D" w:rsidRDefault="00617598" w:rsidP="00A400F2">
      <w:pPr>
        <w:pStyle w:val="NormalNumberedTextTLRI"/>
      </w:pPr>
      <w:r w:rsidRPr="00154F1D">
        <w:t xml:space="preserve">There is a presumption that a person is </w:t>
      </w:r>
      <w:r w:rsidR="006A3070" w:rsidRPr="00154F1D">
        <w:t>fit</w:t>
      </w:r>
      <w:r w:rsidRPr="00154F1D">
        <w:t xml:space="preserve"> to stand trial unless it is established that </w:t>
      </w:r>
      <w:r w:rsidR="006A3070" w:rsidRPr="00154F1D">
        <w:t>the person is unfit to stand tr</w:t>
      </w:r>
      <w:r w:rsidRPr="00154F1D">
        <w:t>i</w:t>
      </w:r>
      <w:r w:rsidR="006A3070" w:rsidRPr="00154F1D">
        <w:t>a</w:t>
      </w:r>
      <w:r w:rsidRPr="00154F1D">
        <w:t xml:space="preserve">l. This is determined on the balance </w:t>
      </w:r>
      <w:r w:rsidR="006A3070" w:rsidRPr="00154F1D">
        <w:t>of probabilities.</w:t>
      </w:r>
      <w:r w:rsidR="006A3070" w:rsidRPr="00154F1D">
        <w:rPr>
          <w:rStyle w:val="FootnoteReference"/>
        </w:rPr>
        <w:footnoteReference w:id="236"/>
      </w:r>
      <w:r w:rsidR="006A3070" w:rsidRPr="00154F1D">
        <w:t xml:space="preserve"> The issue of fitness may be raised by the prosecut</w:t>
      </w:r>
      <w:r w:rsidR="00E20E7A" w:rsidRPr="00154F1D">
        <w:t>ion, the defendant or the court (</w:t>
      </w:r>
      <w:r w:rsidR="00134664" w:rsidRPr="00154F1D">
        <w:t xml:space="preserve">on </w:t>
      </w:r>
      <w:r w:rsidR="006A3070" w:rsidRPr="00154F1D">
        <w:t>its own initiative</w:t>
      </w:r>
      <w:r w:rsidR="00E20E7A" w:rsidRPr="00154F1D">
        <w:t>)</w:t>
      </w:r>
      <w:r w:rsidR="006A3070" w:rsidRPr="00154F1D">
        <w:t xml:space="preserve"> and may be raised at any time after the </w:t>
      </w:r>
      <w:r w:rsidR="008F0CC0">
        <w:t>accused</w:t>
      </w:r>
      <w:r w:rsidR="008F0CC0" w:rsidRPr="00154F1D">
        <w:t xml:space="preserve"> </w:t>
      </w:r>
      <w:r w:rsidR="006A3070" w:rsidRPr="00154F1D">
        <w:t>has been charged, including after the trial has commenced.</w:t>
      </w:r>
      <w:r w:rsidR="006A3070" w:rsidRPr="00154F1D">
        <w:rPr>
          <w:rStyle w:val="FootnoteReference"/>
        </w:rPr>
        <w:footnoteReference w:id="237"/>
      </w:r>
      <w:r w:rsidR="006A3070" w:rsidRPr="00154F1D">
        <w:t xml:space="preserve"> </w:t>
      </w:r>
      <w:r w:rsidR="00D8320E" w:rsidRPr="00154F1D">
        <w:t>In order for a court to conduct an investigation into a defendant’s fitness to stand trial, t</w:t>
      </w:r>
      <w:r w:rsidR="006A3070" w:rsidRPr="00154F1D">
        <w:t>here must be a real and substantial question in relation to a person’s fitness</w:t>
      </w:r>
      <w:r w:rsidR="00D8320E" w:rsidRPr="00154F1D">
        <w:t>.</w:t>
      </w:r>
      <w:r w:rsidR="00D8320E" w:rsidRPr="00154F1D">
        <w:rPr>
          <w:rStyle w:val="FootnoteReference"/>
        </w:rPr>
        <w:footnoteReference w:id="238"/>
      </w:r>
      <w:r w:rsidR="00D8320E" w:rsidRPr="00154F1D">
        <w:t xml:space="preserve"> In circumstances where evidence of a person’s fitness to stand trial is raised, a judge can only accept a plea of guilty if </w:t>
      </w:r>
      <w:r w:rsidR="002628AE" w:rsidRPr="00154F1D">
        <w:t>satisfied</w:t>
      </w:r>
      <w:r w:rsidR="00D8320E" w:rsidRPr="00154F1D">
        <w:t xml:space="preserve"> that no </w:t>
      </w:r>
      <w:r w:rsidR="002628AE" w:rsidRPr="00154F1D">
        <w:t>reasonable</w:t>
      </w:r>
      <w:r w:rsidR="00D8320E" w:rsidRPr="00154F1D">
        <w:t xml:space="preserve"> jury, </w:t>
      </w:r>
      <w:r w:rsidR="002628AE" w:rsidRPr="00154F1D">
        <w:t>properly</w:t>
      </w:r>
      <w:r w:rsidR="00D8320E" w:rsidRPr="00154F1D">
        <w:t xml:space="preserve"> </w:t>
      </w:r>
      <w:r w:rsidR="002628AE" w:rsidRPr="00154F1D">
        <w:t>instructed</w:t>
      </w:r>
      <w:r w:rsidR="00D8320E" w:rsidRPr="00154F1D">
        <w:t>, could find the person unfit to stand trial.</w:t>
      </w:r>
      <w:r w:rsidR="00D8320E" w:rsidRPr="00154F1D">
        <w:rPr>
          <w:rStyle w:val="FootnoteReference"/>
        </w:rPr>
        <w:footnoteReference w:id="239"/>
      </w:r>
    </w:p>
    <w:p w14:paraId="17967EFF" w14:textId="0BA449BF" w:rsidR="0000524C" w:rsidRPr="00154F1D" w:rsidRDefault="0009156C" w:rsidP="00744FAA">
      <w:pPr>
        <w:pStyle w:val="NormalNumberedTextTLRI"/>
      </w:pPr>
      <w:r w:rsidRPr="00154F1D">
        <w:t>The question whether a person is unfit to stand trial is a question of fact.</w:t>
      </w:r>
      <w:r w:rsidRPr="00154F1D">
        <w:rPr>
          <w:rStyle w:val="FootnoteReference"/>
        </w:rPr>
        <w:footnoteReference w:id="240"/>
      </w:r>
      <w:r w:rsidRPr="00154F1D">
        <w:t xml:space="preserve"> It is determined in the Supreme Court by a jury and by a magistrate in the Magistrates Court.</w:t>
      </w:r>
      <w:r w:rsidRPr="00154F1D">
        <w:rPr>
          <w:rStyle w:val="FootnoteReference"/>
        </w:rPr>
        <w:footnoteReference w:id="241"/>
      </w:r>
      <w:r w:rsidRPr="00154F1D">
        <w:t xml:space="preserve"> However, there is no need to conduct an investigation (by a jury or a magistrate) if the prosecutor and defendant agree</w:t>
      </w:r>
      <w:r w:rsidR="002601BE" w:rsidRPr="00154F1D">
        <w:t>,</w:t>
      </w:r>
      <w:r w:rsidR="003B6EAF" w:rsidRPr="00154F1D">
        <w:t xml:space="preserve"> </w:t>
      </w:r>
      <w:r w:rsidR="00134664" w:rsidRPr="00154F1D">
        <w:t xml:space="preserve">in which case </w:t>
      </w:r>
      <w:r w:rsidR="003B6EAF" w:rsidRPr="00154F1D">
        <w:t>the court may record a finding that the defendant is unfit to stand trial</w:t>
      </w:r>
      <w:r w:rsidRPr="00154F1D">
        <w:t>.</w:t>
      </w:r>
      <w:r w:rsidRPr="00154F1D">
        <w:rPr>
          <w:rStyle w:val="FootnoteReference"/>
        </w:rPr>
        <w:footnoteReference w:id="242"/>
      </w:r>
      <w:r w:rsidR="00FC197D" w:rsidRPr="00154F1D">
        <w:t xml:space="preserve"> On an investigation, a court must hear any relevant and probative evidence and representations put to the court by the prosecutor or the defendant, </w:t>
      </w:r>
      <w:r w:rsidR="002601BE" w:rsidRPr="00154F1D">
        <w:t xml:space="preserve">it </w:t>
      </w:r>
      <w:r w:rsidR="00FC197D" w:rsidRPr="00154F1D">
        <w:t>may call evidence on its own initiative and may require the defendant to undergo an examination by a psychiatrist or other appropriate expert and require the results to be reported to the court.</w:t>
      </w:r>
      <w:r w:rsidR="00FC197D" w:rsidRPr="00154F1D">
        <w:rPr>
          <w:rStyle w:val="FootnoteReference"/>
        </w:rPr>
        <w:footnoteReference w:id="243"/>
      </w:r>
    </w:p>
    <w:p w14:paraId="0855D40E" w14:textId="4EAE4AAC" w:rsidR="003B6EAF" w:rsidRPr="00154F1D" w:rsidRDefault="00EC22FC" w:rsidP="00744FAA">
      <w:pPr>
        <w:pStyle w:val="NormalNumberedTextTLRI"/>
      </w:pPr>
      <w:r w:rsidRPr="00154F1D">
        <w:t>If, on an investigation, a defendant is found unfit to stand trial, the court must determine whether or not the defendant is likely to become fit to stand trial during the next 12 months.</w:t>
      </w:r>
      <w:r w:rsidRPr="00154F1D">
        <w:rPr>
          <w:rStyle w:val="FootnoteReference"/>
        </w:rPr>
        <w:footnoteReference w:id="244"/>
      </w:r>
      <w:r w:rsidRPr="00154F1D">
        <w:t xml:space="preserve"> </w:t>
      </w:r>
      <w:r w:rsidR="00D177D7" w:rsidRPr="00154F1D">
        <w:t>If a jury determines that a defendant is un</w:t>
      </w:r>
      <w:r w:rsidR="00E4565C" w:rsidRPr="00154F1D">
        <w:t>f</w:t>
      </w:r>
      <w:r w:rsidR="00D177D7" w:rsidRPr="00154F1D">
        <w:t>it to stand trial, then it determines whether or not the defendant is likely to become fit to stand trial during the next 12 months.</w:t>
      </w:r>
      <w:r w:rsidR="00D177D7" w:rsidRPr="00154F1D">
        <w:rPr>
          <w:rStyle w:val="FootnoteReference"/>
        </w:rPr>
        <w:footnoteReference w:id="245"/>
      </w:r>
      <w:r w:rsidR="00D177D7" w:rsidRPr="00154F1D">
        <w:t xml:space="preserve"> If the defendant and the prosecution agree and a finding that </w:t>
      </w:r>
      <w:r w:rsidR="008F0CC0">
        <w:t>an individual</w:t>
      </w:r>
      <w:r w:rsidR="00D177D7" w:rsidRPr="00154F1D">
        <w:t xml:space="preserve"> is unfit is recorded (under </w:t>
      </w:r>
      <w:r w:rsidR="00D54422" w:rsidRPr="00154F1D">
        <w:rPr>
          <w:i/>
        </w:rPr>
        <w:t>Criminal Justice Mental Impairment Act 1999</w:t>
      </w:r>
      <w:r w:rsidR="00D54422" w:rsidRPr="00154F1D">
        <w:t xml:space="preserve"> (Tas) </w:t>
      </w:r>
      <w:r w:rsidR="00E20E7A" w:rsidRPr="00154F1D">
        <w:t>s</w:t>
      </w:r>
      <w:r w:rsidR="00D177D7" w:rsidRPr="00154F1D">
        <w:t xml:space="preserve"> 19) or the matter is dealt with in the Magistrates Court, then the judicial officer (judge or magistrate) makes the determination about the likelihood of </w:t>
      </w:r>
      <w:r w:rsidR="008F0CC0">
        <w:t>a person</w:t>
      </w:r>
      <w:r w:rsidR="00D177D7" w:rsidRPr="00154F1D">
        <w:t xml:space="preserve"> becoming fit to stand trial.</w:t>
      </w:r>
      <w:r w:rsidR="00EA6CA9" w:rsidRPr="00154F1D">
        <w:rPr>
          <w:rStyle w:val="FootnoteReference"/>
        </w:rPr>
        <w:footnoteReference w:id="246"/>
      </w:r>
      <w:r w:rsidR="00D177D7" w:rsidRPr="00154F1D">
        <w:t xml:space="preserve"> If it is determined that the defendant is likely to become fit to stand trial during the next 12 months, the court must adjourn </w:t>
      </w:r>
      <w:r w:rsidR="002601BE" w:rsidRPr="00154F1D">
        <w:t>t</w:t>
      </w:r>
      <w:r w:rsidR="00D177D7" w:rsidRPr="00154F1D">
        <w:t>he proceedings for a period not exceeding 12 months</w:t>
      </w:r>
      <w:r w:rsidR="00960BDC" w:rsidRPr="00154F1D">
        <w:t>. If, after the adjournment, the court is of the opinion that the grounds on which the investigation was thought to be necessary no longer exist, the court may decide not to proceed with the investigation.</w:t>
      </w:r>
      <w:r w:rsidR="00960BDC" w:rsidRPr="00154F1D">
        <w:rPr>
          <w:rStyle w:val="FootnoteReference"/>
        </w:rPr>
        <w:footnoteReference w:id="247"/>
      </w:r>
      <w:r w:rsidR="00960BDC" w:rsidRPr="00154F1D">
        <w:t xml:space="preserve"> However, if the </w:t>
      </w:r>
      <w:r w:rsidR="005C010B" w:rsidRPr="00154F1D">
        <w:t xml:space="preserve">defendant does </w:t>
      </w:r>
      <w:r w:rsidR="000901C6" w:rsidRPr="00154F1D">
        <w:t>not become fit to stand trial within 12 months</w:t>
      </w:r>
      <w:r w:rsidR="002601BE" w:rsidRPr="00154F1D">
        <w:t>,</w:t>
      </w:r>
      <w:r w:rsidR="000901C6" w:rsidRPr="00154F1D">
        <w:t xml:space="preserve"> then the court must proceed to hold a special hearing.</w:t>
      </w:r>
      <w:r w:rsidR="005C010B" w:rsidRPr="00154F1D">
        <w:rPr>
          <w:rStyle w:val="FootnoteReference"/>
        </w:rPr>
        <w:footnoteReference w:id="248"/>
      </w:r>
    </w:p>
    <w:p w14:paraId="0BE2213E" w14:textId="77777777" w:rsidR="00ED6886" w:rsidRPr="00154F1D" w:rsidRDefault="00ED6886" w:rsidP="00D80045">
      <w:pPr>
        <w:pStyle w:val="NumberedHeadingTLRI"/>
      </w:pPr>
      <w:bookmarkStart w:id="103" w:name="_Toc535868938"/>
      <w:r w:rsidRPr="00154F1D">
        <w:t>The position in other jurisdictions</w:t>
      </w:r>
      <w:bookmarkEnd w:id="103"/>
    </w:p>
    <w:p w14:paraId="39E66455" w14:textId="6B68DC11" w:rsidR="00F43690" w:rsidRPr="00154F1D" w:rsidRDefault="00E20E7A" w:rsidP="00F43690">
      <w:pPr>
        <w:pStyle w:val="Sub-HeadingTLRI"/>
      </w:pPr>
      <w:bookmarkStart w:id="104" w:name="_Toc535868939"/>
      <w:r w:rsidRPr="00154F1D">
        <w:t>Higher courts</w:t>
      </w:r>
      <w:bookmarkEnd w:id="104"/>
    </w:p>
    <w:p w14:paraId="30CF7A67" w14:textId="1F86D738" w:rsidR="00E20E7A" w:rsidRPr="00154F1D" w:rsidRDefault="00730FDC" w:rsidP="00744FAA">
      <w:pPr>
        <w:pStyle w:val="NormalNumberedTextTLRI"/>
      </w:pPr>
      <w:r w:rsidRPr="00154F1D">
        <w:t>As with Tasmania, i</w:t>
      </w:r>
      <w:r w:rsidR="00E761FF" w:rsidRPr="00154F1D">
        <w:t>n</w:t>
      </w:r>
      <w:r w:rsidRPr="00154F1D">
        <w:t xml:space="preserve"> higher courts</w:t>
      </w:r>
      <w:r w:rsidR="001A715E" w:rsidRPr="00154F1D">
        <w:t xml:space="preserve"> in the Northern Territory and Victoria, the jury determines whether or not an accused is fit to stand trial.</w:t>
      </w:r>
      <w:r w:rsidR="001A715E" w:rsidRPr="00154F1D">
        <w:rPr>
          <w:rStyle w:val="FootnoteReference"/>
        </w:rPr>
        <w:footnoteReference w:id="249"/>
      </w:r>
      <w:r w:rsidR="001A715E" w:rsidRPr="00154F1D">
        <w:t xml:space="preserve"> </w:t>
      </w:r>
      <w:r w:rsidR="006B59D1" w:rsidRPr="00154F1D">
        <w:t>In the Northern Territory, and South Australia (as with Tasmania), there is power to dispense with the investigation if the prosecution and defence agree.</w:t>
      </w:r>
      <w:r w:rsidR="006B59D1" w:rsidRPr="00154F1D">
        <w:rPr>
          <w:rStyle w:val="FootnoteReference"/>
        </w:rPr>
        <w:footnoteReference w:id="250"/>
      </w:r>
      <w:r w:rsidR="006B59D1" w:rsidRPr="00154F1D">
        <w:t xml:space="preserve"> In South Australia, a defendant can also elect to have the investigation into fitness to stand trial determined by a judge instead of a jury.</w:t>
      </w:r>
      <w:r w:rsidR="006B59D1" w:rsidRPr="00154F1D">
        <w:rPr>
          <w:rStyle w:val="FootnoteReference"/>
        </w:rPr>
        <w:footnoteReference w:id="251"/>
      </w:r>
    </w:p>
    <w:p w14:paraId="6724A644" w14:textId="76146212" w:rsidR="00D54422" w:rsidRPr="00154F1D" w:rsidRDefault="00454659" w:rsidP="00744FAA">
      <w:pPr>
        <w:pStyle w:val="NormalNumberedTextTLRI"/>
      </w:pPr>
      <w:r w:rsidRPr="00154F1D">
        <w:t xml:space="preserve">In </w:t>
      </w:r>
      <w:r w:rsidR="00E761FF" w:rsidRPr="00154F1D">
        <w:t xml:space="preserve">contrast, in </w:t>
      </w:r>
      <w:r w:rsidRPr="00154F1D">
        <w:t>New South Wales, Western Australia</w:t>
      </w:r>
      <w:r w:rsidR="00E761FF" w:rsidRPr="00154F1D">
        <w:t xml:space="preserve">, the Australian Capital Territory and for federal offences, the judge makes the determination of whether an </w:t>
      </w:r>
      <w:r w:rsidR="008F0CC0">
        <w:t>accused</w:t>
      </w:r>
      <w:r w:rsidR="008F0CC0" w:rsidRPr="00154F1D">
        <w:t xml:space="preserve"> </w:t>
      </w:r>
      <w:r w:rsidR="00E761FF" w:rsidRPr="00154F1D">
        <w:t>is fit to stand trial.</w:t>
      </w:r>
      <w:r w:rsidR="00E761FF" w:rsidRPr="00154F1D">
        <w:rPr>
          <w:rStyle w:val="FootnoteReference"/>
        </w:rPr>
        <w:footnoteReference w:id="252"/>
      </w:r>
      <w:r w:rsidR="00736316" w:rsidRPr="00154F1D">
        <w:t xml:space="preserve"> </w:t>
      </w:r>
      <w:r w:rsidR="00730FDC" w:rsidRPr="00154F1D">
        <w:t>This is also the position in England and Wales.</w:t>
      </w:r>
      <w:r w:rsidR="00730FDC" w:rsidRPr="00154F1D">
        <w:rPr>
          <w:rStyle w:val="FootnoteReference"/>
        </w:rPr>
        <w:footnoteReference w:id="253"/>
      </w:r>
    </w:p>
    <w:p w14:paraId="53C6CA42" w14:textId="7CAF0F96" w:rsidR="005D6538" w:rsidRPr="00154F1D" w:rsidRDefault="0093475B" w:rsidP="00744FAA">
      <w:pPr>
        <w:pStyle w:val="NormalNumberedTextTLRI"/>
      </w:pPr>
      <w:r w:rsidRPr="00154F1D">
        <w:t>In Queens</w:t>
      </w:r>
      <w:r w:rsidR="00FC1268" w:rsidRPr="00154F1D">
        <w:t>la</w:t>
      </w:r>
      <w:r w:rsidRPr="00154F1D">
        <w:t xml:space="preserve">nd, there is a dual track system, with </w:t>
      </w:r>
      <w:r w:rsidR="00FC1268" w:rsidRPr="00154F1D">
        <w:t>decisions</w:t>
      </w:r>
      <w:r w:rsidRPr="00154F1D">
        <w:t xml:space="preserve"> being made by the jury under the </w:t>
      </w:r>
      <w:r w:rsidRPr="00154F1D">
        <w:rPr>
          <w:i/>
        </w:rPr>
        <w:t xml:space="preserve">Criminal Code </w:t>
      </w:r>
      <w:r w:rsidRPr="00154F1D">
        <w:t xml:space="preserve">(Qld) s 613 or the </w:t>
      </w:r>
      <w:r w:rsidR="00FC1268" w:rsidRPr="00154F1D">
        <w:t xml:space="preserve">Mental Health Court under the </w:t>
      </w:r>
      <w:r w:rsidR="00FC1268" w:rsidRPr="00154F1D">
        <w:rPr>
          <w:i/>
        </w:rPr>
        <w:t xml:space="preserve">Mental Health Act 2016 </w:t>
      </w:r>
      <w:r w:rsidR="00FC1268" w:rsidRPr="00154F1D">
        <w:t>(Qld) s 118.</w:t>
      </w:r>
      <w:r w:rsidR="002D6061" w:rsidRPr="00154F1D">
        <w:rPr>
          <w:rStyle w:val="FootnoteReference"/>
        </w:rPr>
        <w:footnoteReference w:id="254"/>
      </w:r>
    </w:p>
    <w:p w14:paraId="664B8ABA" w14:textId="040D1FFB" w:rsidR="00F43690" w:rsidRPr="00154F1D" w:rsidRDefault="00F43690" w:rsidP="00F43690">
      <w:pPr>
        <w:pStyle w:val="Sub-HeadingTLRI"/>
      </w:pPr>
      <w:bookmarkStart w:id="105" w:name="_Toc535868940"/>
      <w:r w:rsidRPr="00154F1D">
        <w:t>The Magistrates Court</w:t>
      </w:r>
      <w:bookmarkEnd w:id="105"/>
    </w:p>
    <w:p w14:paraId="209A8E5A" w14:textId="50C78DCD" w:rsidR="00F43690" w:rsidRPr="00154F1D" w:rsidRDefault="00E56C03" w:rsidP="00744FAA">
      <w:pPr>
        <w:pStyle w:val="NormalNumberedTextTLRI"/>
      </w:pPr>
      <w:r w:rsidRPr="00154F1D">
        <w:t xml:space="preserve">In relation to </w:t>
      </w:r>
      <w:r w:rsidR="006203D1" w:rsidRPr="00154F1D">
        <w:t>magistrates’</w:t>
      </w:r>
      <w:r w:rsidRPr="00154F1D">
        <w:t xml:space="preserve"> courts, </w:t>
      </w:r>
      <w:r w:rsidR="00BE78A5" w:rsidRPr="00154F1D">
        <w:t xml:space="preserve">there are </w:t>
      </w:r>
      <w:r w:rsidR="006203D1" w:rsidRPr="00154F1D">
        <w:t xml:space="preserve">different approaches taken in relation to fitness to stand trial. </w:t>
      </w:r>
    </w:p>
    <w:p w14:paraId="712EC9DD" w14:textId="1C9B96F9" w:rsidR="00672689" w:rsidRPr="00154F1D" w:rsidRDefault="00D37D53" w:rsidP="00744FAA">
      <w:pPr>
        <w:pStyle w:val="NormalNumberedTextTLRI"/>
      </w:pPr>
      <w:r w:rsidRPr="00154F1D">
        <w:t>As with Tasmania, in the Australian Capital Territory, South Australia</w:t>
      </w:r>
      <w:r w:rsidR="00DB0731" w:rsidRPr="00154F1D">
        <w:t xml:space="preserve"> and Western Austral</w:t>
      </w:r>
      <w:r w:rsidRPr="00154F1D">
        <w:t xml:space="preserve">ia, </w:t>
      </w:r>
      <w:r w:rsidR="00DB0731" w:rsidRPr="00154F1D">
        <w:t>magistrates have the power to determine the issue of unfitness to stand trial.</w:t>
      </w:r>
      <w:r w:rsidR="00357F66" w:rsidRPr="00154F1D">
        <w:rPr>
          <w:rStyle w:val="FootnoteReference"/>
        </w:rPr>
        <w:footnoteReference w:id="255"/>
      </w:r>
      <w:r w:rsidR="00357F66" w:rsidRPr="00154F1D">
        <w:t xml:space="preserve"> </w:t>
      </w:r>
      <w:r w:rsidR="00672689" w:rsidRPr="00154F1D">
        <w:t xml:space="preserve">In the ACT, </w:t>
      </w:r>
      <w:r w:rsidR="00384673" w:rsidRPr="00154F1D">
        <w:t xml:space="preserve">greater </w:t>
      </w:r>
      <w:r w:rsidR="00672689" w:rsidRPr="00154F1D">
        <w:t>flexibility exists in relation to the powers that a magistrate may exercise for summary offences where fitness to stand trial is raised as a genuine issue. Instead of carrying out an investigation into fitness to plead</w:t>
      </w:r>
      <w:r w:rsidR="00552AAE" w:rsidRPr="00154F1D">
        <w:t xml:space="preserve"> and </w:t>
      </w:r>
      <w:r w:rsidR="00743ADC" w:rsidRPr="00154F1D">
        <w:t>the</w:t>
      </w:r>
      <w:r w:rsidR="00552AAE" w:rsidRPr="00154F1D">
        <w:t xml:space="preserve"> special hearing</w:t>
      </w:r>
      <w:r w:rsidR="00743ADC" w:rsidRPr="00154F1D">
        <w:t xml:space="preserve"> process (following a finding of unfitness)</w:t>
      </w:r>
      <w:r w:rsidR="00672689" w:rsidRPr="00154F1D">
        <w:t>, the magistrate has a power to dismiss the charge, if:</w:t>
      </w:r>
    </w:p>
    <w:p w14:paraId="2B032943" w14:textId="0531929A" w:rsidR="00672689" w:rsidRPr="00154F1D" w:rsidRDefault="00672689" w:rsidP="00753D67">
      <w:pPr>
        <w:pStyle w:val="NormalNumberedTextTLRI"/>
        <w:numPr>
          <w:ilvl w:val="0"/>
          <w:numId w:val="46"/>
        </w:numPr>
        <w:tabs>
          <w:tab w:val="clear" w:pos="851"/>
        </w:tabs>
        <w:ind w:left="851" w:hanging="425"/>
      </w:pPr>
      <w:r w:rsidRPr="00154F1D">
        <w:t xml:space="preserve">the </w:t>
      </w:r>
      <w:r w:rsidR="001B4A5B">
        <w:t>c</w:t>
      </w:r>
      <w:r w:rsidRPr="00154F1D">
        <w:t>ourt is satisfied that there is real and substantial question about the defendant’s fitness to stand trial and;</w:t>
      </w:r>
    </w:p>
    <w:p w14:paraId="3352B134" w14:textId="77FE54C8" w:rsidR="00672689" w:rsidRPr="00154F1D" w:rsidRDefault="00672689" w:rsidP="00753D67">
      <w:pPr>
        <w:pStyle w:val="NormalNumberedTextTLRI"/>
        <w:numPr>
          <w:ilvl w:val="0"/>
          <w:numId w:val="46"/>
        </w:numPr>
        <w:tabs>
          <w:tab w:val="clear" w:pos="851"/>
        </w:tabs>
        <w:ind w:left="851" w:hanging="425"/>
      </w:pPr>
      <w:r w:rsidRPr="00154F1D">
        <w:t xml:space="preserve"> the court considers that because of the tri</w:t>
      </w:r>
      <w:r w:rsidR="002509B1" w:rsidRPr="00154F1D">
        <w:t>vi</w:t>
      </w:r>
      <w:r w:rsidRPr="00154F1D">
        <w:t>al nature of the charge or the nature of the defendant’s mental impairment, it would be inappropriate to inflict any punishment on the defendant in relation to the offence</w:t>
      </w:r>
      <w:r w:rsidRPr="00154F1D">
        <w:rPr>
          <w:i/>
        </w:rPr>
        <w:t>.</w:t>
      </w:r>
      <w:r w:rsidRPr="00154F1D">
        <w:rPr>
          <w:rStyle w:val="FootnoteReference"/>
        </w:rPr>
        <w:footnoteReference w:id="256"/>
      </w:r>
    </w:p>
    <w:p w14:paraId="1297D116" w14:textId="02CC42C5" w:rsidR="006B59D1" w:rsidRPr="00154F1D" w:rsidRDefault="00F43690" w:rsidP="00744FAA">
      <w:pPr>
        <w:pStyle w:val="NormalNumberedTextTLRI"/>
      </w:pPr>
      <w:r w:rsidRPr="00154F1D">
        <w:t>I</w:t>
      </w:r>
      <w:r w:rsidR="006203D1" w:rsidRPr="00154F1D">
        <w:t xml:space="preserve">n Victoria, the Magistrates’ Court does not have the power to determine unfitness to stand trial. </w:t>
      </w:r>
      <w:r w:rsidR="00DB0731" w:rsidRPr="00154F1D">
        <w:t xml:space="preserve">Similarly, in the Northern Territory, the </w:t>
      </w:r>
      <w:r w:rsidR="00134664" w:rsidRPr="00154F1D">
        <w:t>Local Court</w:t>
      </w:r>
      <w:r w:rsidR="00DB0731" w:rsidRPr="00154F1D">
        <w:t xml:space="preserve"> does not have an express power to determine unfitness to stand trial.</w:t>
      </w:r>
      <w:r w:rsidR="00DB0731" w:rsidRPr="00154F1D">
        <w:rPr>
          <w:rStyle w:val="FootnoteReference"/>
        </w:rPr>
        <w:footnoteReference w:id="257"/>
      </w:r>
      <w:r w:rsidR="00DB0731" w:rsidRPr="00154F1D">
        <w:t xml:space="preserve"> </w:t>
      </w:r>
      <w:r w:rsidR="006203D1" w:rsidRPr="00154F1D">
        <w:t>If the issue of unfitness is raised in relation to a summary offence, the matter is discontinued.</w:t>
      </w:r>
      <w:r w:rsidR="006203D1" w:rsidRPr="00154F1D">
        <w:rPr>
          <w:rStyle w:val="FootnoteReference"/>
        </w:rPr>
        <w:footnoteReference w:id="258"/>
      </w:r>
      <w:r w:rsidR="006203D1" w:rsidRPr="00154F1D">
        <w:t xml:space="preserve"> </w:t>
      </w:r>
    </w:p>
    <w:p w14:paraId="120DECEB" w14:textId="022EDD63" w:rsidR="007B1BA5" w:rsidRPr="00154F1D" w:rsidRDefault="005D4A5F" w:rsidP="00744FAA">
      <w:pPr>
        <w:pStyle w:val="NormalNumberedTextTLRI"/>
      </w:pPr>
      <w:r w:rsidRPr="00154F1D">
        <w:t xml:space="preserve">The </w:t>
      </w:r>
      <w:r w:rsidR="00A65E1E" w:rsidRPr="00154F1D">
        <w:t xml:space="preserve">VLRC </w:t>
      </w:r>
      <w:r w:rsidRPr="00154F1D">
        <w:t xml:space="preserve">has </w:t>
      </w:r>
      <w:r w:rsidR="00134664" w:rsidRPr="00154F1D">
        <w:t>considered</w:t>
      </w:r>
      <w:r w:rsidRPr="00154F1D">
        <w:t xml:space="preserve"> the process that should apply when questions of unfitness to stand trial are raised in </w:t>
      </w:r>
      <w:r w:rsidR="00AE1D25" w:rsidRPr="00154F1D">
        <w:t xml:space="preserve">relation to summary offences in </w:t>
      </w:r>
      <w:r w:rsidRPr="00154F1D">
        <w:t>the Magistrates</w:t>
      </w:r>
      <w:r w:rsidR="001D7C84" w:rsidRPr="00154F1D">
        <w:t>’</w:t>
      </w:r>
      <w:r w:rsidRPr="00154F1D">
        <w:t xml:space="preserve"> Court</w:t>
      </w:r>
      <w:r w:rsidR="006B59D1" w:rsidRPr="00154F1D">
        <w:t>.</w:t>
      </w:r>
      <w:r w:rsidR="002509B1" w:rsidRPr="00154F1D">
        <w:t xml:space="preserve"> </w:t>
      </w:r>
      <w:r w:rsidR="006B59D1" w:rsidRPr="00154F1D">
        <w:t xml:space="preserve">It </w:t>
      </w:r>
      <w:r w:rsidR="002509B1" w:rsidRPr="00154F1D">
        <w:t xml:space="preserve">recommended that </w:t>
      </w:r>
      <w:r w:rsidR="00256701" w:rsidRPr="00154F1D">
        <w:t xml:space="preserve">the </w:t>
      </w:r>
      <w:r w:rsidR="00791D5F" w:rsidRPr="00154F1D">
        <w:t>M</w:t>
      </w:r>
      <w:r w:rsidR="00256701" w:rsidRPr="00154F1D">
        <w:t>agistrates’ Court should have the power to determine whether a person is unfit to st</w:t>
      </w:r>
      <w:r w:rsidR="00791D5F" w:rsidRPr="00154F1D">
        <w:t>a</w:t>
      </w:r>
      <w:r w:rsidR="00256701" w:rsidRPr="00154F1D">
        <w:t xml:space="preserve">nd trial and to </w:t>
      </w:r>
      <w:r w:rsidR="00791D5F" w:rsidRPr="00154F1D">
        <w:t>conduct</w:t>
      </w:r>
      <w:r w:rsidR="00256701" w:rsidRPr="00154F1D">
        <w:t xml:space="preserve"> </w:t>
      </w:r>
      <w:r w:rsidR="00791D5F" w:rsidRPr="00154F1D">
        <w:t>special</w:t>
      </w:r>
      <w:r w:rsidR="00256701" w:rsidRPr="00154F1D">
        <w:t xml:space="preserve"> </w:t>
      </w:r>
      <w:r w:rsidR="00791D5F" w:rsidRPr="00154F1D">
        <w:t>hea</w:t>
      </w:r>
      <w:r w:rsidR="00256701" w:rsidRPr="00154F1D">
        <w:t>rings after a fi</w:t>
      </w:r>
      <w:r w:rsidR="00791D5F" w:rsidRPr="00154F1D">
        <w:t>n</w:t>
      </w:r>
      <w:r w:rsidR="00256701" w:rsidRPr="00154F1D">
        <w:t xml:space="preserve">ding of </w:t>
      </w:r>
      <w:r w:rsidR="00791D5F" w:rsidRPr="00154F1D">
        <w:t>unfitness.</w:t>
      </w:r>
      <w:r w:rsidR="00791D5F" w:rsidRPr="00154F1D">
        <w:rPr>
          <w:rStyle w:val="FootnoteReference"/>
        </w:rPr>
        <w:footnoteReference w:id="259"/>
      </w:r>
      <w:r w:rsidR="00791D5F" w:rsidRPr="00154F1D">
        <w:t xml:space="preserve"> The VLRC also recommended that there be flexibility for a magistrate to discharge an accu</w:t>
      </w:r>
      <w:r w:rsidR="003B215C" w:rsidRPr="00154F1D">
        <w:t>s</w:t>
      </w:r>
      <w:r w:rsidR="00791D5F" w:rsidRPr="00154F1D">
        <w:t xml:space="preserve">ed with or without conditions </w:t>
      </w:r>
      <w:r w:rsidR="003B215C" w:rsidRPr="00154F1D">
        <w:t>for a summary offence if there was a ‘real and substantial question as to the unfit</w:t>
      </w:r>
      <w:r w:rsidR="00A81544" w:rsidRPr="00154F1D">
        <w:t>n</w:t>
      </w:r>
      <w:r w:rsidR="003B215C" w:rsidRPr="00154F1D">
        <w:t xml:space="preserve">ess of the accused’ where the magistrate considered that the accused did not </w:t>
      </w:r>
      <w:r w:rsidR="00A81544" w:rsidRPr="00154F1D">
        <w:t>pose</w:t>
      </w:r>
      <w:r w:rsidR="003B215C" w:rsidRPr="00154F1D">
        <w:t xml:space="preserve"> an unacceptable r</w:t>
      </w:r>
      <w:r w:rsidR="00A81544" w:rsidRPr="00154F1D">
        <w:t>is</w:t>
      </w:r>
      <w:r w:rsidR="003B215C" w:rsidRPr="00154F1D">
        <w:t>k of c</w:t>
      </w:r>
      <w:r w:rsidR="00A81544" w:rsidRPr="00154F1D">
        <w:t>ausin</w:t>
      </w:r>
      <w:r w:rsidR="003B215C" w:rsidRPr="00154F1D">
        <w:t>g p</w:t>
      </w:r>
      <w:r w:rsidR="00A81544" w:rsidRPr="00154F1D">
        <w:t xml:space="preserve">hysical </w:t>
      </w:r>
      <w:r w:rsidR="003B215C" w:rsidRPr="00154F1D">
        <w:t xml:space="preserve">or psychological harm to </w:t>
      </w:r>
      <w:r w:rsidR="00A81544" w:rsidRPr="00154F1D">
        <w:t>another</w:t>
      </w:r>
      <w:r w:rsidR="003B215C" w:rsidRPr="00154F1D">
        <w:t xml:space="preserve"> person</w:t>
      </w:r>
      <w:r w:rsidR="001D7C84" w:rsidRPr="00154F1D">
        <w:t>,</w:t>
      </w:r>
      <w:r w:rsidR="003B215C" w:rsidRPr="00154F1D">
        <w:t xml:space="preserve"> or other people generally</w:t>
      </w:r>
      <w:r w:rsidR="001D7C84" w:rsidRPr="00154F1D">
        <w:t>,</w:t>
      </w:r>
      <w:r w:rsidR="003B215C" w:rsidRPr="00154F1D">
        <w:t xml:space="preserve"> as a result of the dis</w:t>
      </w:r>
      <w:r w:rsidR="00A81544" w:rsidRPr="00154F1D">
        <w:t>ch</w:t>
      </w:r>
      <w:r w:rsidR="003B215C" w:rsidRPr="00154F1D">
        <w:t>a</w:t>
      </w:r>
      <w:r w:rsidR="00A81544" w:rsidRPr="00154F1D">
        <w:t>r</w:t>
      </w:r>
      <w:r w:rsidR="003B215C" w:rsidRPr="00154F1D">
        <w:t>ge and the accused is rec</w:t>
      </w:r>
      <w:r w:rsidR="00AE5892" w:rsidRPr="00154F1D">
        <w:t>eiv</w:t>
      </w:r>
      <w:r w:rsidR="003B215C" w:rsidRPr="00154F1D">
        <w:t>i</w:t>
      </w:r>
      <w:r w:rsidR="00AE5892" w:rsidRPr="00154F1D">
        <w:t>ng</w:t>
      </w:r>
      <w:r w:rsidR="003B215C" w:rsidRPr="00154F1D">
        <w:t xml:space="preserve"> treatm</w:t>
      </w:r>
      <w:r w:rsidR="00AE5892" w:rsidRPr="00154F1D">
        <w:t>e</w:t>
      </w:r>
      <w:r w:rsidR="003B215C" w:rsidRPr="00154F1D">
        <w:t>nt</w:t>
      </w:r>
      <w:r w:rsidR="00AE5892" w:rsidRPr="00154F1D">
        <w:t>, support or services in the community.</w:t>
      </w:r>
      <w:r w:rsidR="00AE5892" w:rsidRPr="00154F1D">
        <w:rPr>
          <w:rStyle w:val="FootnoteReference"/>
        </w:rPr>
        <w:footnoteReference w:id="260"/>
      </w:r>
    </w:p>
    <w:p w14:paraId="52391F60" w14:textId="295D30C9" w:rsidR="00406B48" w:rsidRPr="00154F1D" w:rsidRDefault="00406B48" w:rsidP="00744FAA">
      <w:pPr>
        <w:pStyle w:val="NormalNumberedTextTLRI"/>
      </w:pPr>
      <w:r w:rsidRPr="00154F1D">
        <w:t xml:space="preserve">In Queensland, until recent amendments </w:t>
      </w:r>
      <w:r w:rsidR="00CE4CFA" w:rsidRPr="00154F1D">
        <w:t xml:space="preserve">introduced </w:t>
      </w:r>
      <w:r w:rsidRPr="00154F1D">
        <w:t xml:space="preserve">by the </w:t>
      </w:r>
      <w:r w:rsidRPr="00154F1D">
        <w:rPr>
          <w:i/>
        </w:rPr>
        <w:t xml:space="preserve">Mental Health Act 2016 </w:t>
      </w:r>
      <w:r w:rsidRPr="00154F1D">
        <w:t>(Qld), the Magistrates Court did not have power to determine issues of unfitness to stand trial.</w:t>
      </w:r>
      <w:r w:rsidRPr="00154F1D">
        <w:rPr>
          <w:rStyle w:val="FootnoteReference"/>
        </w:rPr>
        <w:footnoteReference w:id="261"/>
      </w:r>
      <w:r w:rsidRPr="00154F1D">
        <w:rPr>
          <w:i/>
        </w:rPr>
        <w:t xml:space="preserve"> </w:t>
      </w:r>
      <w:r w:rsidRPr="00154F1D">
        <w:t>Now, a magistrate has the power to dismiss a complaint for a simple offence if ‘reasonably satisfied, on the balance of probabilities, that the person charged with the offence was or appears to have been</w:t>
      </w:r>
      <w:r w:rsidR="001B4A5B">
        <w:t>,</w:t>
      </w:r>
      <w:r w:rsidRPr="00154F1D">
        <w:t xml:space="preserve"> of unsound mind when the offence </w:t>
      </w:r>
      <w:r w:rsidR="005B1CB5">
        <w:t>w</w:t>
      </w:r>
      <w:r w:rsidRPr="00154F1D">
        <w:t>as alleged</w:t>
      </w:r>
      <w:r w:rsidR="005B1CB5">
        <w:t>ly</w:t>
      </w:r>
      <w:r w:rsidRPr="00154F1D">
        <w:t xml:space="preserve"> committed</w:t>
      </w:r>
      <w:r w:rsidR="005B1CB5">
        <w:t>;</w:t>
      </w:r>
      <w:r w:rsidRPr="00154F1D">
        <w:t xml:space="preserve"> or </w:t>
      </w:r>
      <w:r w:rsidR="005B1CB5">
        <w:t>i</w:t>
      </w:r>
      <w:r w:rsidRPr="00154F1D">
        <w:t>s unfit for trial’.</w:t>
      </w:r>
      <w:r w:rsidRPr="00154F1D">
        <w:rPr>
          <w:rStyle w:val="FootnoteReference"/>
        </w:rPr>
        <w:footnoteReference w:id="262"/>
      </w:r>
      <w:r w:rsidR="001B3091" w:rsidRPr="00154F1D">
        <w:t xml:space="preserve"> </w:t>
      </w:r>
      <w:r w:rsidR="00B3631F" w:rsidRPr="00154F1D">
        <w:t xml:space="preserve">Magistrates can also dismiss the charge and refer the defendant to an appropriate body for care and/or treatment if certain </w:t>
      </w:r>
      <w:r w:rsidR="000E5DE4" w:rsidRPr="00154F1D">
        <w:t>conditions</w:t>
      </w:r>
      <w:r w:rsidR="00B3631F" w:rsidRPr="00154F1D">
        <w:t xml:space="preserve"> are satisfied.</w:t>
      </w:r>
      <w:r w:rsidR="00B3631F" w:rsidRPr="00154F1D">
        <w:rPr>
          <w:rStyle w:val="FootnoteReference"/>
        </w:rPr>
        <w:footnoteReference w:id="263"/>
      </w:r>
      <w:r w:rsidR="00B3631F" w:rsidRPr="00154F1D">
        <w:t xml:space="preserve"> </w:t>
      </w:r>
      <w:r w:rsidR="000E5DE4" w:rsidRPr="00154F1D">
        <w:t>The</w:t>
      </w:r>
      <w:r w:rsidR="00CE4CFA" w:rsidRPr="00154F1D">
        <w:t>y</w:t>
      </w:r>
      <w:r w:rsidR="000E5DE4" w:rsidRPr="00154F1D">
        <w:t xml:space="preserve"> </w:t>
      </w:r>
      <w:r w:rsidR="001B3091" w:rsidRPr="00154F1D">
        <w:t xml:space="preserve">can </w:t>
      </w:r>
      <w:r w:rsidR="00CE4CFA" w:rsidRPr="00154F1D">
        <w:t xml:space="preserve">also </w:t>
      </w:r>
      <w:r w:rsidR="001B3091" w:rsidRPr="00154F1D">
        <w:t xml:space="preserve">dismiss the matter </w:t>
      </w:r>
      <w:r w:rsidR="00B3631F" w:rsidRPr="00154F1D">
        <w:t>following the receipt of a Mental Health Assessment, which is a report prepared by a Senior Mental Health Clinician with the support of a Consultant Psychiatrist and includes: (i) mental health assessment court liaison service feedback; or (ii) mental health and fitness for trial assessment court liaison service feedback; or (iii) mental health, fitness and soundness assessment court liaison service feedback.</w:t>
      </w:r>
      <w:r w:rsidR="00B3631F" w:rsidRPr="00154F1D">
        <w:rPr>
          <w:rStyle w:val="FootnoteReference"/>
        </w:rPr>
        <w:footnoteReference w:id="264"/>
      </w:r>
    </w:p>
    <w:p w14:paraId="31C6D28D" w14:textId="3C082BF3" w:rsidR="00B40FA7" w:rsidRPr="00154F1D" w:rsidRDefault="006B5AA2" w:rsidP="00744FAA">
      <w:pPr>
        <w:pStyle w:val="NormalNumberedTextTLRI"/>
      </w:pPr>
      <w:r w:rsidRPr="00154F1D">
        <w:t xml:space="preserve">In New South Wales, </w:t>
      </w:r>
      <w:r w:rsidR="00BE78A5" w:rsidRPr="00154F1D">
        <w:t>t</w:t>
      </w:r>
      <w:r w:rsidR="00EB67EB" w:rsidRPr="00154F1D">
        <w:t xml:space="preserve">here are no legislative provisions that apply in relation to fitness to stand trial </w:t>
      </w:r>
      <w:r w:rsidR="00BE78A5" w:rsidRPr="00154F1D">
        <w:t xml:space="preserve">in the Local Court </w:t>
      </w:r>
      <w:r w:rsidR="00743ADC" w:rsidRPr="00154F1D">
        <w:t>and so the common law</w:t>
      </w:r>
      <w:r w:rsidR="00BE78A5" w:rsidRPr="00154F1D">
        <w:t xml:space="preserve"> applies.</w:t>
      </w:r>
      <w:r w:rsidR="00EB67EB" w:rsidRPr="00154F1D">
        <w:t xml:space="preserve"> </w:t>
      </w:r>
      <w:r w:rsidR="00BE78A5" w:rsidRPr="00154F1D">
        <w:t>However,</w:t>
      </w:r>
      <w:r w:rsidR="00EB67EB" w:rsidRPr="00154F1D">
        <w:t xml:space="preserve"> the L</w:t>
      </w:r>
      <w:r w:rsidRPr="00154F1D">
        <w:t>o</w:t>
      </w:r>
      <w:r w:rsidR="00EB67EB" w:rsidRPr="00154F1D">
        <w:t xml:space="preserve">cal Court </w:t>
      </w:r>
      <w:r w:rsidRPr="00154F1D">
        <w:t xml:space="preserve">generally deals with accused people with a mental impairment using its diversionary powers under </w:t>
      </w:r>
      <w:r w:rsidR="00BE78A5" w:rsidRPr="00154F1D">
        <w:t xml:space="preserve">ss 32 and 33 of the </w:t>
      </w:r>
      <w:r w:rsidR="00BE78A5" w:rsidRPr="00154F1D">
        <w:rPr>
          <w:i/>
        </w:rPr>
        <w:t xml:space="preserve">Mental Health (Forensic Provisions) Act 1990 </w:t>
      </w:r>
      <w:r w:rsidR="00BE78A5" w:rsidRPr="00154F1D">
        <w:t>(NSW)</w:t>
      </w:r>
      <w:r w:rsidRPr="00154F1D">
        <w:t>.</w:t>
      </w:r>
      <w:r w:rsidR="000062B9" w:rsidRPr="00154F1D">
        <w:rPr>
          <w:rStyle w:val="FootnoteReference"/>
        </w:rPr>
        <w:footnoteReference w:id="265"/>
      </w:r>
      <w:r w:rsidRPr="00154F1D">
        <w:t xml:space="preserve"> </w:t>
      </w:r>
      <w:r w:rsidR="007C6F2B" w:rsidRPr="00154F1D">
        <w:t>As set out in Table 5.</w:t>
      </w:r>
      <w:r w:rsidR="00B70268" w:rsidRPr="00154F1D">
        <w:t>1</w:t>
      </w:r>
      <w:r w:rsidR="007C6F2B" w:rsidRPr="00154F1D">
        <w:t xml:space="preserve">, </w:t>
      </w:r>
      <w:r w:rsidR="00406B48" w:rsidRPr="00154F1D">
        <w:t xml:space="preserve">this procedure differs from the ACT, Queensland and proposed Victorian approach as </w:t>
      </w:r>
      <w:r w:rsidR="00BE78A5" w:rsidRPr="00154F1D">
        <w:t>the mag</w:t>
      </w:r>
      <w:r w:rsidR="00A65E1E" w:rsidRPr="00154F1D">
        <w:t>istrate</w:t>
      </w:r>
      <w:r w:rsidR="00406B48" w:rsidRPr="00154F1D">
        <w:t>’s power</w:t>
      </w:r>
      <w:r w:rsidR="00A65E1E" w:rsidRPr="00154F1D">
        <w:t xml:space="preserve"> to dismiss the charges conditionally or unconditionally</w:t>
      </w:r>
      <w:r w:rsidR="007C6F2B" w:rsidRPr="00154F1D">
        <w:t xml:space="preserve"> </w:t>
      </w:r>
      <w:r w:rsidR="00406B48" w:rsidRPr="00154F1D">
        <w:t xml:space="preserve">does not rely on </w:t>
      </w:r>
      <w:r w:rsidR="00A65E1E" w:rsidRPr="00154F1D">
        <w:t xml:space="preserve">a finding </w:t>
      </w:r>
      <w:r w:rsidR="00532E7D" w:rsidRPr="00154F1D">
        <w:t>in relation to a person’s unfitness for trial or criminal responsibility.</w:t>
      </w:r>
      <w:r w:rsidR="00406B48" w:rsidRPr="00154F1D">
        <w:t xml:space="preserve"> </w:t>
      </w:r>
      <w:r w:rsidR="00A65E1E" w:rsidRPr="00154F1D">
        <w:t xml:space="preserve">Instead, </w:t>
      </w:r>
      <w:r w:rsidR="007C6F2B" w:rsidRPr="00154F1D">
        <w:t>the procedure</w:t>
      </w:r>
      <w:r w:rsidR="00A65E1E" w:rsidRPr="00154F1D">
        <w:t xml:space="preserve"> relies on a magistrate’s assessment </w:t>
      </w:r>
      <w:r w:rsidR="00C25FD3" w:rsidRPr="00154F1D">
        <w:t xml:space="preserve">that </w:t>
      </w:r>
      <w:r w:rsidR="00A65E1E" w:rsidRPr="00154F1D">
        <w:t>the person ha</w:t>
      </w:r>
      <w:r w:rsidR="007C6F2B" w:rsidRPr="00154F1D">
        <w:t>s</w:t>
      </w:r>
      <w:r w:rsidR="00A65E1E" w:rsidRPr="00154F1D">
        <w:t xml:space="preserve"> the requisite condition, and in relation to s 32, that on an outline of the facts alleged in the proceedings</w:t>
      </w:r>
      <w:r w:rsidR="00750C1B">
        <w:t>,</w:t>
      </w:r>
      <w:r w:rsidR="00A65E1E" w:rsidRPr="00154F1D">
        <w:t xml:space="preserve"> or such other evidence as the magistrate may consider, it is more appropriate to deal with the defendant in accordance with the provisions in s 32.</w:t>
      </w:r>
      <w:r w:rsidR="00E900BF" w:rsidRPr="00154F1D">
        <w:rPr>
          <w:rStyle w:val="FootnoteReference"/>
        </w:rPr>
        <w:footnoteReference w:id="266"/>
      </w:r>
      <w:r w:rsidR="00A65E1E" w:rsidRPr="00154F1D">
        <w:t xml:space="preserve"> </w:t>
      </w:r>
    </w:p>
    <w:p w14:paraId="77E4AAB0" w14:textId="09692E28" w:rsidR="00CF59C6" w:rsidRPr="00154F1D" w:rsidRDefault="00CF59C6" w:rsidP="00744FAA">
      <w:pPr>
        <w:pStyle w:val="NormalNumberedTextTLRI"/>
      </w:pPr>
      <w:r w:rsidRPr="00154F1D">
        <w:t>As shown in Table 5.</w:t>
      </w:r>
      <w:r w:rsidR="00D03074" w:rsidRPr="00154F1D">
        <w:t>1</w:t>
      </w:r>
      <w:r w:rsidRPr="00154F1D">
        <w:t>, the legislation in each jurisdiction sets out a different threshold that allows the magistrate to exercise a discretion to dismiss the charge (and impose assessment and treatment conditions). These range from the lower standard that ‘it appears to the magistrate’ (NSW), to the requirement that ‘there is a real and substantial question’ (ACT) and the higher standard that the magistrate is satisfied on the balance of probabilities (Queensland). The ‘real and substantial question’ test was also recommended in Victoria.</w:t>
      </w:r>
    </w:p>
    <w:p w14:paraId="1C603E07" w14:textId="2BD26D52" w:rsidR="008D6A65" w:rsidRPr="00154F1D" w:rsidRDefault="008D6A65" w:rsidP="00157B21">
      <w:pPr>
        <w:pStyle w:val="NumberlessNormalText"/>
        <w:keepNext/>
        <w:spacing w:line="240" w:lineRule="auto"/>
        <w:rPr>
          <w:b/>
        </w:rPr>
      </w:pPr>
      <w:r w:rsidRPr="00154F1D">
        <w:rPr>
          <w:b/>
        </w:rPr>
        <w:t>Table 5.</w:t>
      </w:r>
      <w:r w:rsidR="00D03074" w:rsidRPr="00154F1D">
        <w:rPr>
          <w:b/>
        </w:rPr>
        <w:t>1</w:t>
      </w:r>
      <w:r w:rsidRPr="00154F1D">
        <w:rPr>
          <w:b/>
        </w:rPr>
        <w:t xml:space="preserve">: Magistrates Court powers, </w:t>
      </w:r>
      <w:r w:rsidR="00734968" w:rsidRPr="00154F1D">
        <w:rPr>
          <w:b/>
        </w:rPr>
        <w:t xml:space="preserve">ACT, </w:t>
      </w:r>
      <w:r w:rsidRPr="00154F1D">
        <w:rPr>
          <w:b/>
        </w:rPr>
        <w:t>New South Wales and Queensland</w:t>
      </w:r>
    </w:p>
    <w:tbl>
      <w:tblPr>
        <w:tblStyle w:val="TableGrid"/>
        <w:tblW w:w="5000" w:type="pct"/>
        <w:tblLook w:val="04A0" w:firstRow="1" w:lastRow="0" w:firstColumn="1" w:lastColumn="0" w:noHBand="0" w:noVBand="1"/>
      </w:tblPr>
      <w:tblGrid>
        <w:gridCol w:w="1239"/>
        <w:gridCol w:w="1453"/>
        <w:gridCol w:w="3325"/>
        <w:gridCol w:w="2283"/>
      </w:tblGrid>
      <w:tr w:rsidR="008D6A65" w:rsidRPr="00154F1D" w14:paraId="60AB6289" w14:textId="77777777" w:rsidTr="00C20379">
        <w:tc>
          <w:tcPr>
            <w:tcW w:w="747" w:type="pct"/>
            <w:tcBorders>
              <w:top w:val="single" w:sz="2" w:space="0" w:color="000000"/>
              <w:left w:val="single" w:sz="2" w:space="0" w:color="000000"/>
            </w:tcBorders>
            <w:vAlign w:val="center"/>
          </w:tcPr>
          <w:p w14:paraId="619C3280" w14:textId="77777777" w:rsidR="008D6A65" w:rsidRPr="00154F1D" w:rsidRDefault="008D6A65" w:rsidP="00157B21">
            <w:pPr>
              <w:pStyle w:val="furhtersub-heading2"/>
              <w:keepNext/>
              <w:spacing w:before="40" w:after="40"/>
              <w:jc w:val="center"/>
              <w:rPr>
                <w:b/>
                <w:i w:val="0"/>
                <w:sz w:val="20"/>
              </w:rPr>
            </w:pPr>
            <w:r w:rsidRPr="00154F1D">
              <w:rPr>
                <w:b/>
                <w:i w:val="0"/>
                <w:sz w:val="20"/>
              </w:rPr>
              <w:t>Jurisdiction</w:t>
            </w:r>
          </w:p>
        </w:tc>
        <w:tc>
          <w:tcPr>
            <w:tcW w:w="875" w:type="pct"/>
            <w:tcBorders>
              <w:top w:val="single" w:sz="2" w:space="0" w:color="000000"/>
            </w:tcBorders>
            <w:vAlign w:val="center"/>
          </w:tcPr>
          <w:p w14:paraId="404A48E5" w14:textId="77777777" w:rsidR="008D6A65" w:rsidRPr="00154F1D" w:rsidRDefault="008D6A65" w:rsidP="00157B21">
            <w:pPr>
              <w:pStyle w:val="furhtersub-heading2"/>
              <w:keepNext/>
              <w:spacing w:before="40" w:after="40"/>
              <w:jc w:val="center"/>
              <w:rPr>
                <w:b/>
                <w:i w:val="0"/>
                <w:sz w:val="20"/>
              </w:rPr>
            </w:pPr>
            <w:r w:rsidRPr="00154F1D">
              <w:rPr>
                <w:b/>
                <w:i w:val="0"/>
                <w:sz w:val="20"/>
              </w:rPr>
              <w:t>Legislation</w:t>
            </w:r>
          </w:p>
        </w:tc>
        <w:tc>
          <w:tcPr>
            <w:tcW w:w="2003" w:type="pct"/>
            <w:tcBorders>
              <w:top w:val="single" w:sz="2" w:space="0" w:color="000000"/>
            </w:tcBorders>
            <w:vAlign w:val="center"/>
          </w:tcPr>
          <w:p w14:paraId="7CDB3E59" w14:textId="77777777" w:rsidR="008D6A65" w:rsidRPr="00154F1D" w:rsidRDefault="008D6A65" w:rsidP="00157B21">
            <w:pPr>
              <w:pStyle w:val="furhtersub-heading2"/>
              <w:keepNext/>
              <w:spacing w:before="40" w:after="40"/>
              <w:jc w:val="center"/>
              <w:rPr>
                <w:b/>
                <w:i w:val="0"/>
                <w:sz w:val="20"/>
              </w:rPr>
            </w:pPr>
            <w:r w:rsidRPr="00154F1D">
              <w:rPr>
                <w:b/>
                <w:i w:val="0"/>
                <w:sz w:val="20"/>
              </w:rPr>
              <w:t>Statutory criteria for exercise</w:t>
            </w:r>
          </w:p>
        </w:tc>
        <w:tc>
          <w:tcPr>
            <w:tcW w:w="1375" w:type="pct"/>
            <w:tcBorders>
              <w:top w:val="single" w:sz="2" w:space="0" w:color="000000"/>
              <w:right w:val="single" w:sz="2" w:space="0" w:color="000000"/>
            </w:tcBorders>
            <w:vAlign w:val="center"/>
          </w:tcPr>
          <w:p w14:paraId="01F3CF47" w14:textId="77777777" w:rsidR="008D6A65" w:rsidRPr="00154F1D" w:rsidRDefault="008D6A65" w:rsidP="00157B21">
            <w:pPr>
              <w:pStyle w:val="furhtersub-heading2"/>
              <w:keepNext/>
              <w:spacing w:before="40" w:after="40"/>
              <w:jc w:val="center"/>
              <w:rPr>
                <w:b/>
                <w:i w:val="0"/>
                <w:sz w:val="20"/>
              </w:rPr>
            </w:pPr>
            <w:r w:rsidRPr="00154F1D">
              <w:rPr>
                <w:b/>
                <w:i w:val="0"/>
                <w:sz w:val="20"/>
              </w:rPr>
              <w:t>Order available</w:t>
            </w:r>
          </w:p>
        </w:tc>
      </w:tr>
      <w:tr w:rsidR="008D6A65" w:rsidRPr="00154F1D" w14:paraId="244ED132" w14:textId="77777777" w:rsidTr="00C20379">
        <w:tc>
          <w:tcPr>
            <w:tcW w:w="747" w:type="pct"/>
            <w:tcBorders>
              <w:left w:val="single" w:sz="2" w:space="0" w:color="000000"/>
              <w:bottom w:val="nil"/>
            </w:tcBorders>
          </w:tcPr>
          <w:p w14:paraId="789C7076" w14:textId="22A08021" w:rsidR="008D6A65" w:rsidRPr="00154F1D" w:rsidRDefault="008D6A65" w:rsidP="00157B21">
            <w:pPr>
              <w:pStyle w:val="furhtersub-heading2"/>
              <w:keepNext/>
              <w:spacing w:before="0" w:after="40"/>
              <w:jc w:val="left"/>
              <w:rPr>
                <w:i w:val="0"/>
                <w:sz w:val="20"/>
              </w:rPr>
            </w:pPr>
            <w:r w:rsidRPr="00154F1D">
              <w:rPr>
                <w:i w:val="0"/>
                <w:sz w:val="20"/>
              </w:rPr>
              <w:t>New South Wales</w:t>
            </w:r>
          </w:p>
        </w:tc>
        <w:tc>
          <w:tcPr>
            <w:tcW w:w="875" w:type="pct"/>
          </w:tcPr>
          <w:p w14:paraId="249367C3" w14:textId="4F8D1E0C" w:rsidR="008D6A65" w:rsidRPr="00154F1D" w:rsidRDefault="008D6A65" w:rsidP="00157B21">
            <w:pPr>
              <w:pStyle w:val="furhtersub-heading2"/>
              <w:keepNext/>
              <w:spacing w:before="0" w:after="40"/>
              <w:jc w:val="left"/>
              <w:rPr>
                <w:i w:val="0"/>
                <w:sz w:val="20"/>
              </w:rPr>
            </w:pPr>
            <w:r w:rsidRPr="00154F1D">
              <w:rPr>
                <w:sz w:val="20"/>
              </w:rPr>
              <w:t xml:space="preserve">Mental Health (Forensic Provisions) Act 1990 </w:t>
            </w:r>
            <w:r w:rsidRPr="00154F1D">
              <w:rPr>
                <w:i w:val="0"/>
                <w:sz w:val="20"/>
              </w:rPr>
              <w:t>(NSW) s 32</w:t>
            </w:r>
          </w:p>
        </w:tc>
        <w:tc>
          <w:tcPr>
            <w:tcW w:w="2003" w:type="pct"/>
          </w:tcPr>
          <w:p w14:paraId="46007849" w14:textId="77777777" w:rsidR="008D6A65" w:rsidRPr="00154F1D" w:rsidRDefault="008D6A65" w:rsidP="00157B21">
            <w:pPr>
              <w:pStyle w:val="furhtersub-heading2"/>
              <w:keepNext/>
              <w:numPr>
                <w:ilvl w:val="0"/>
                <w:numId w:val="43"/>
              </w:numPr>
              <w:spacing w:before="0" w:after="40"/>
              <w:ind w:left="92" w:hanging="178"/>
              <w:jc w:val="left"/>
              <w:rPr>
                <w:i w:val="0"/>
                <w:sz w:val="20"/>
              </w:rPr>
            </w:pPr>
            <w:r w:rsidRPr="00154F1D">
              <w:rPr>
                <w:i w:val="0"/>
                <w:sz w:val="20"/>
              </w:rPr>
              <w:t>It appears to the magistrate that the defendant was cognitively impaired, suffering from mental illness or suffering from a mental condition for which treatment is available in a mental health facility (but is not mentally ill).</w:t>
            </w:r>
            <w:r w:rsidRPr="00154F1D">
              <w:rPr>
                <w:rStyle w:val="FootnoteReference"/>
                <w:i w:val="0"/>
              </w:rPr>
              <w:footnoteReference w:id="267"/>
            </w:r>
            <w:r w:rsidRPr="00154F1D">
              <w:rPr>
                <w:i w:val="0"/>
                <w:sz w:val="20"/>
              </w:rPr>
              <w:t xml:space="preserve"> </w:t>
            </w:r>
          </w:p>
          <w:p w14:paraId="1B135732" w14:textId="77777777" w:rsidR="008D6A65" w:rsidRPr="00154F1D" w:rsidRDefault="008D6A65" w:rsidP="00157B21">
            <w:pPr>
              <w:pStyle w:val="furhtersub-heading2"/>
              <w:keepNext/>
              <w:numPr>
                <w:ilvl w:val="0"/>
                <w:numId w:val="43"/>
              </w:numPr>
              <w:spacing w:before="0" w:after="40"/>
              <w:ind w:left="92" w:hanging="178"/>
              <w:jc w:val="left"/>
              <w:rPr>
                <w:i w:val="0"/>
                <w:sz w:val="20"/>
              </w:rPr>
            </w:pPr>
            <w:r w:rsidRPr="00154F1D">
              <w:rPr>
                <w:i w:val="0"/>
                <w:sz w:val="20"/>
              </w:rPr>
              <w:t>On an outline of the facts alleged in the proceedings or such other evidence as the magistrate may consider, it is more appropriate to deal with the defendant in accordance with the provisions.</w:t>
            </w:r>
            <w:r w:rsidRPr="00154F1D">
              <w:rPr>
                <w:rStyle w:val="FootnoteReference"/>
                <w:i w:val="0"/>
              </w:rPr>
              <w:footnoteReference w:id="268"/>
            </w:r>
          </w:p>
        </w:tc>
        <w:tc>
          <w:tcPr>
            <w:tcW w:w="1375" w:type="pct"/>
            <w:tcBorders>
              <w:right w:val="single" w:sz="2" w:space="0" w:color="000000"/>
            </w:tcBorders>
          </w:tcPr>
          <w:p w14:paraId="5004E85D" w14:textId="3618B5EC" w:rsidR="008D6A65" w:rsidRPr="00154F1D" w:rsidRDefault="008D6A65" w:rsidP="00157B21">
            <w:pPr>
              <w:pStyle w:val="furhtersub-heading2"/>
              <w:keepNext/>
              <w:numPr>
                <w:ilvl w:val="0"/>
                <w:numId w:val="43"/>
              </w:numPr>
              <w:spacing w:before="0" w:after="40"/>
              <w:ind w:left="151" w:hanging="218"/>
              <w:jc w:val="left"/>
              <w:rPr>
                <w:i w:val="0"/>
                <w:sz w:val="20"/>
              </w:rPr>
            </w:pPr>
            <w:r w:rsidRPr="00154F1D">
              <w:rPr>
                <w:i w:val="0"/>
                <w:sz w:val="20"/>
              </w:rPr>
              <w:t>Adjourn the proceedings</w:t>
            </w:r>
          </w:p>
          <w:p w14:paraId="67531166" w14:textId="6D07E0D2" w:rsidR="008D6A65" w:rsidRPr="00154F1D" w:rsidRDefault="008D6A65" w:rsidP="00157B21">
            <w:pPr>
              <w:pStyle w:val="furhtersub-heading2"/>
              <w:keepNext/>
              <w:numPr>
                <w:ilvl w:val="0"/>
                <w:numId w:val="43"/>
              </w:numPr>
              <w:spacing w:before="0" w:after="40"/>
              <w:ind w:left="151" w:hanging="218"/>
              <w:jc w:val="left"/>
              <w:rPr>
                <w:i w:val="0"/>
                <w:sz w:val="20"/>
              </w:rPr>
            </w:pPr>
            <w:r w:rsidRPr="00154F1D">
              <w:rPr>
                <w:i w:val="0"/>
                <w:sz w:val="20"/>
              </w:rPr>
              <w:t>Remand the defendant on bail</w:t>
            </w:r>
          </w:p>
          <w:p w14:paraId="78CF592F" w14:textId="4BDE7FF5" w:rsidR="008D6A65" w:rsidRPr="00154F1D" w:rsidRDefault="008D6A65" w:rsidP="00157B21">
            <w:pPr>
              <w:pStyle w:val="furhtersub-heading2"/>
              <w:keepNext/>
              <w:numPr>
                <w:ilvl w:val="0"/>
                <w:numId w:val="43"/>
              </w:numPr>
              <w:spacing w:before="0" w:after="40"/>
              <w:ind w:left="151" w:hanging="218"/>
              <w:jc w:val="left"/>
              <w:rPr>
                <w:i w:val="0"/>
                <w:sz w:val="20"/>
              </w:rPr>
            </w:pPr>
            <w:r w:rsidRPr="00154F1D">
              <w:rPr>
                <w:i w:val="0"/>
                <w:sz w:val="20"/>
              </w:rPr>
              <w:t xml:space="preserve">Dismiss the charge and discharge the defendant into </w:t>
            </w:r>
            <w:r w:rsidR="00B40FA7" w:rsidRPr="00154F1D">
              <w:rPr>
                <w:i w:val="0"/>
                <w:sz w:val="20"/>
              </w:rPr>
              <w:t xml:space="preserve">the care of a </w:t>
            </w:r>
            <w:r w:rsidRPr="00154F1D">
              <w:rPr>
                <w:i w:val="0"/>
                <w:sz w:val="20"/>
              </w:rPr>
              <w:t>responsible person, either unconditionally or subject to conditions</w:t>
            </w:r>
          </w:p>
          <w:p w14:paraId="459D45D4" w14:textId="31DFA502" w:rsidR="008D6A65" w:rsidRPr="00154F1D" w:rsidRDefault="008D6A65" w:rsidP="00157B21">
            <w:pPr>
              <w:pStyle w:val="furhtersub-heading2"/>
              <w:keepNext/>
              <w:numPr>
                <w:ilvl w:val="0"/>
                <w:numId w:val="43"/>
              </w:numPr>
              <w:spacing w:before="0" w:after="40"/>
              <w:ind w:left="151" w:hanging="218"/>
              <w:jc w:val="left"/>
              <w:rPr>
                <w:i w:val="0"/>
                <w:sz w:val="20"/>
              </w:rPr>
            </w:pPr>
            <w:r w:rsidRPr="00154F1D">
              <w:rPr>
                <w:i w:val="0"/>
                <w:sz w:val="20"/>
              </w:rPr>
              <w:t>Dismiss the charge and discharge the defendant unconditionally</w:t>
            </w:r>
          </w:p>
          <w:p w14:paraId="3D8CA344" w14:textId="4817A156" w:rsidR="008D6A65" w:rsidRPr="00154F1D" w:rsidRDefault="008D6A65" w:rsidP="00157B21">
            <w:pPr>
              <w:pStyle w:val="furhtersub-heading2"/>
              <w:keepNext/>
              <w:numPr>
                <w:ilvl w:val="0"/>
                <w:numId w:val="43"/>
              </w:numPr>
              <w:spacing w:before="0" w:after="40"/>
              <w:ind w:left="151" w:hanging="218"/>
              <w:jc w:val="left"/>
              <w:rPr>
                <w:i w:val="0"/>
                <w:sz w:val="20"/>
              </w:rPr>
            </w:pPr>
            <w:r w:rsidRPr="00154F1D">
              <w:rPr>
                <w:i w:val="0"/>
                <w:sz w:val="20"/>
              </w:rPr>
              <w:t xml:space="preserve">In relation to </w:t>
            </w:r>
            <w:r w:rsidR="008F0CC0">
              <w:rPr>
                <w:i w:val="0"/>
                <w:sz w:val="20"/>
              </w:rPr>
              <w:t>defendant</w:t>
            </w:r>
            <w:r w:rsidR="008F0CC0" w:rsidRPr="00154F1D">
              <w:rPr>
                <w:i w:val="0"/>
                <w:sz w:val="20"/>
              </w:rPr>
              <w:t xml:space="preserve">s </w:t>
            </w:r>
            <w:r w:rsidRPr="00154F1D">
              <w:rPr>
                <w:i w:val="0"/>
                <w:sz w:val="20"/>
              </w:rPr>
              <w:t>who are mentally ill, there is power for the magistrate to grant bail</w:t>
            </w:r>
            <w:r w:rsidR="00A65E1E" w:rsidRPr="00154F1D">
              <w:rPr>
                <w:i w:val="0"/>
                <w:sz w:val="20"/>
              </w:rPr>
              <w:t>.</w:t>
            </w:r>
          </w:p>
        </w:tc>
      </w:tr>
      <w:tr w:rsidR="008D6A65" w:rsidRPr="00154F1D" w14:paraId="2C002689" w14:textId="77777777" w:rsidTr="00C20379">
        <w:tc>
          <w:tcPr>
            <w:tcW w:w="747" w:type="pct"/>
            <w:tcBorders>
              <w:top w:val="nil"/>
              <w:left w:val="single" w:sz="2" w:space="0" w:color="000000"/>
            </w:tcBorders>
          </w:tcPr>
          <w:p w14:paraId="7EBC20CF" w14:textId="77777777" w:rsidR="008D6A65" w:rsidRPr="00154F1D" w:rsidRDefault="008D6A65" w:rsidP="00157B21">
            <w:pPr>
              <w:pStyle w:val="furhtersub-heading2"/>
              <w:spacing w:before="0" w:after="40"/>
              <w:rPr>
                <w:i w:val="0"/>
                <w:sz w:val="20"/>
              </w:rPr>
            </w:pPr>
          </w:p>
        </w:tc>
        <w:tc>
          <w:tcPr>
            <w:tcW w:w="875" w:type="pct"/>
          </w:tcPr>
          <w:p w14:paraId="1243A781" w14:textId="73C6909E" w:rsidR="008D6A65" w:rsidRPr="00154F1D" w:rsidRDefault="008D6A65" w:rsidP="00157B21">
            <w:pPr>
              <w:pStyle w:val="furhtersub-heading2"/>
              <w:spacing w:before="0" w:after="40"/>
              <w:jc w:val="left"/>
              <w:rPr>
                <w:i w:val="0"/>
                <w:sz w:val="20"/>
              </w:rPr>
            </w:pPr>
            <w:r w:rsidRPr="00154F1D">
              <w:rPr>
                <w:sz w:val="20"/>
              </w:rPr>
              <w:t xml:space="preserve">Mental Health (Forensic Provisions) Act 1990 </w:t>
            </w:r>
            <w:r w:rsidRPr="00154F1D">
              <w:rPr>
                <w:i w:val="0"/>
                <w:sz w:val="20"/>
              </w:rPr>
              <w:t>(NSW) s</w:t>
            </w:r>
            <w:r w:rsidR="00157B21" w:rsidRPr="00154F1D">
              <w:rPr>
                <w:i w:val="0"/>
                <w:sz w:val="20"/>
              </w:rPr>
              <w:t> </w:t>
            </w:r>
            <w:r w:rsidRPr="00154F1D">
              <w:rPr>
                <w:i w:val="0"/>
                <w:sz w:val="20"/>
              </w:rPr>
              <w:t>33</w:t>
            </w:r>
          </w:p>
        </w:tc>
        <w:tc>
          <w:tcPr>
            <w:tcW w:w="2003" w:type="pct"/>
          </w:tcPr>
          <w:p w14:paraId="487DAE8B" w14:textId="77777777" w:rsidR="008D6A65" w:rsidRPr="00154F1D" w:rsidRDefault="008D6A65" w:rsidP="00157B21">
            <w:pPr>
              <w:pStyle w:val="furhtersub-heading2"/>
              <w:numPr>
                <w:ilvl w:val="0"/>
                <w:numId w:val="43"/>
              </w:numPr>
              <w:spacing w:before="0" w:after="40"/>
              <w:ind w:left="92" w:hanging="178"/>
              <w:jc w:val="left"/>
              <w:rPr>
                <w:i w:val="0"/>
                <w:sz w:val="20"/>
              </w:rPr>
            </w:pPr>
            <w:r w:rsidRPr="00154F1D">
              <w:rPr>
                <w:i w:val="0"/>
                <w:sz w:val="20"/>
              </w:rPr>
              <w:t>If it appears that a defendant is mentally ill.</w:t>
            </w:r>
          </w:p>
        </w:tc>
        <w:tc>
          <w:tcPr>
            <w:tcW w:w="1375" w:type="pct"/>
            <w:tcBorders>
              <w:right w:val="single" w:sz="2" w:space="0" w:color="000000"/>
            </w:tcBorders>
          </w:tcPr>
          <w:p w14:paraId="189DEA8F" w14:textId="6BCA10BF" w:rsidR="008D6A65" w:rsidRPr="00154F1D" w:rsidRDefault="008D6A65" w:rsidP="00157B21">
            <w:pPr>
              <w:pStyle w:val="furhtersub-heading2"/>
              <w:numPr>
                <w:ilvl w:val="0"/>
                <w:numId w:val="43"/>
              </w:numPr>
              <w:spacing w:before="0" w:after="40"/>
              <w:ind w:left="151" w:hanging="218"/>
              <w:jc w:val="left"/>
              <w:rPr>
                <w:i w:val="0"/>
                <w:sz w:val="20"/>
              </w:rPr>
            </w:pPr>
            <w:r w:rsidRPr="00154F1D">
              <w:rPr>
                <w:i w:val="0"/>
                <w:sz w:val="20"/>
              </w:rPr>
              <w:t>Order that the person be detained in mental health facility for assessment</w:t>
            </w:r>
          </w:p>
          <w:p w14:paraId="7D3C1E2D" w14:textId="77777777" w:rsidR="008D6A65" w:rsidRPr="00154F1D" w:rsidRDefault="008D6A65" w:rsidP="00157B21">
            <w:pPr>
              <w:pStyle w:val="furhtersub-heading2"/>
              <w:numPr>
                <w:ilvl w:val="0"/>
                <w:numId w:val="43"/>
              </w:numPr>
              <w:spacing w:before="0" w:after="40"/>
              <w:ind w:left="151" w:hanging="218"/>
              <w:jc w:val="left"/>
              <w:rPr>
                <w:i w:val="0"/>
                <w:sz w:val="20"/>
              </w:rPr>
            </w:pPr>
            <w:r w:rsidRPr="00154F1D">
              <w:rPr>
                <w:i w:val="0"/>
                <w:sz w:val="20"/>
              </w:rPr>
              <w:t>Discharge the defendant into the care of a responsible person, either unconditionally or subject to conditions</w:t>
            </w:r>
          </w:p>
          <w:p w14:paraId="065EA753" w14:textId="77777777" w:rsidR="008D6A65" w:rsidRPr="00154F1D" w:rsidRDefault="008D6A65" w:rsidP="00157B21">
            <w:pPr>
              <w:pStyle w:val="furhtersub-heading2"/>
              <w:numPr>
                <w:ilvl w:val="0"/>
                <w:numId w:val="43"/>
              </w:numPr>
              <w:spacing w:before="0" w:after="40"/>
              <w:ind w:left="151" w:hanging="218"/>
              <w:jc w:val="left"/>
              <w:rPr>
                <w:i w:val="0"/>
                <w:sz w:val="20"/>
              </w:rPr>
            </w:pPr>
            <w:r w:rsidRPr="00154F1D">
              <w:rPr>
                <w:i w:val="0"/>
                <w:sz w:val="20"/>
              </w:rPr>
              <w:t>Order a community treatment order.</w:t>
            </w:r>
          </w:p>
        </w:tc>
      </w:tr>
      <w:tr w:rsidR="00672689" w:rsidRPr="00154F1D" w14:paraId="4A8EB6A0" w14:textId="77777777" w:rsidTr="00C20379">
        <w:tc>
          <w:tcPr>
            <w:tcW w:w="747" w:type="pct"/>
            <w:tcBorders>
              <w:left w:val="single" w:sz="2" w:space="0" w:color="000000"/>
            </w:tcBorders>
          </w:tcPr>
          <w:p w14:paraId="41C5F036" w14:textId="60010778" w:rsidR="00672689" w:rsidRPr="00154F1D" w:rsidRDefault="00672689" w:rsidP="00157B21">
            <w:pPr>
              <w:pStyle w:val="furhtersub-heading2"/>
              <w:spacing w:before="0" w:after="40"/>
              <w:jc w:val="left"/>
              <w:rPr>
                <w:i w:val="0"/>
                <w:sz w:val="20"/>
              </w:rPr>
            </w:pPr>
            <w:r w:rsidRPr="00154F1D">
              <w:rPr>
                <w:i w:val="0"/>
                <w:sz w:val="20"/>
              </w:rPr>
              <w:t>Australian Capital Territory</w:t>
            </w:r>
          </w:p>
        </w:tc>
        <w:tc>
          <w:tcPr>
            <w:tcW w:w="875" w:type="pct"/>
          </w:tcPr>
          <w:p w14:paraId="619D1FE2" w14:textId="617FF3B7" w:rsidR="00672689" w:rsidRPr="00154F1D" w:rsidRDefault="00672689" w:rsidP="00157B21">
            <w:pPr>
              <w:pStyle w:val="furhtersub-heading2"/>
              <w:spacing w:before="0" w:after="40"/>
              <w:jc w:val="left"/>
              <w:rPr>
                <w:i w:val="0"/>
                <w:sz w:val="20"/>
              </w:rPr>
            </w:pPr>
            <w:r w:rsidRPr="00154F1D">
              <w:rPr>
                <w:sz w:val="20"/>
              </w:rPr>
              <w:t xml:space="preserve">Crimes Act 1900 </w:t>
            </w:r>
            <w:r w:rsidRPr="00154F1D">
              <w:rPr>
                <w:i w:val="0"/>
                <w:sz w:val="20"/>
              </w:rPr>
              <w:t>(ACT) s</w:t>
            </w:r>
            <w:r w:rsidR="00157B21" w:rsidRPr="00154F1D">
              <w:rPr>
                <w:i w:val="0"/>
                <w:sz w:val="20"/>
              </w:rPr>
              <w:t> </w:t>
            </w:r>
            <w:r w:rsidRPr="00154F1D">
              <w:rPr>
                <w:i w:val="0"/>
                <w:sz w:val="20"/>
              </w:rPr>
              <w:t>315</w:t>
            </w:r>
          </w:p>
        </w:tc>
        <w:tc>
          <w:tcPr>
            <w:tcW w:w="2003" w:type="pct"/>
          </w:tcPr>
          <w:p w14:paraId="63DCF9E4" w14:textId="1FF29E52" w:rsidR="00672689" w:rsidRPr="00154F1D" w:rsidRDefault="00672689" w:rsidP="00157B21">
            <w:pPr>
              <w:pStyle w:val="furhtersub-heading2"/>
              <w:numPr>
                <w:ilvl w:val="0"/>
                <w:numId w:val="45"/>
              </w:numPr>
              <w:spacing w:before="0" w:after="40"/>
              <w:ind w:left="92" w:hanging="178"/>
              <w:jc w:val="left"/>
              <w:rPr>
                <w:i w:val="0"/>
                <w:sz w:val="20"/>
              </w:rPr>
            </w:pPr>
            <w:r w:rsidRPr="00154F1D">
              <w:rPr>
                <w:i w:val="0"/>
                <w:sz w:val="20"/>
              </w:rPr>
              <w:t>Court is satisfied that there is real and substantial question about the defendant’s fitness to stand trial and the court considers because of the trial nature of the charge or the nature of the defendant’s mental impairment, it would be inappropriate to inflict any punishment on the defendant in relation to the offence the court may decide not to carry out or continue an investigation into fitness to plead.</w:t>
            </w:r>
          </w:p>
        </w:tc>
        <w:tc>
          <w:tcPr>
            <w:tcW w:w="1375" w:type="pct"/>
            <w:tcBorders>
              <w:right w:val="single" w:sz="2" w:space="0" w:color="000000"/>
            </w:tcBorders>
          </w:tcPr>
          <w:p w14:paraId="2F6B8309" w14:textId="63304B18" w:rsidR="00672689" w:rsidRPr="00154F1D" w:rsidRDefault="00672689" w:rsidP="00157B21">
            <w:pPr>
              <w:pStyle w:val="furhtersub-heading2"/>
              <w:numPr>
                <w:ilvl w:val="0"/>
                <w:numId w:val="44"/>
              </w:numPr>
              <w:spacing w:before="0" w:after="40"/>
              <w:ind w:left="151" w:hanging="218"/>
              <w:jc w:val="left"/>
              <w:rPr>
                <w:i w:val="0"/>
                <w:sz w:val="20"/>
              </w:rPr>
            </w:pPr>
            <w:r w:rsidRPr="00154F1D">
              <w:rPr>
                <w:i w:val="0"/>
                <w:sz w:val="20"/>
              </w:rPr>
              <w:t>Dismiss the charge.</w:t>
            </w:r>
          </w:p>
        </w:tc>
      </w:tr>
      <w:tr w:rsidR="008D6A65" w:rsidRPr="00154F1D" w14:paraId="16EC5F53" w14:textId="77777777" w:rsidTr="00C20379">
        <w:tc>
          <w:tcPr>
            <w:tcW w:w="747" w:type="pct"/>
            <w:tcBorders>
              <w:left w:val="single" w:sz="2" w:space="0" w:color="000000"/>
              <w:bottom w:val="single" w:sz="2" w:space="0" w:color="000000"/>
            </w:tcBorders>
          </w:tcPr>
          <w:p w14:paraId="1CD33202" w14:textId="50ECC6FB" w:rsidR="008D6A65" w:rsidRPr="00154F1D" w:rsidRDefault="008D6A65" w:rsidP="00157B21">
            <w:pPr>
              <w:pStyle w:val="furhtersub-heading2"/>
              <w:spacing w:before="0" w:after="40"/>
              <w:jc w:val="left"/>
              <w:rPr>
                <w:i w:val="0"/>
                <w:sz w:val="20"/>
              </w:rPr>
            </w:pPr>
            <w:r w:rsidRPr="00154F1D">
              <w:rPr>
                <w:i w:val="0"/>
                <w:sz w:val="20"/>
              </w:rPr>
              <w:t>Queensland</w:t>
            </w:r>
          </w:p>
        </w:tc>
        <w:tc>
          <w:tcPr>
            <w:tcW w:w="875" w:type="pct"/>
            <w:tcBorders>
              <w:bottom w:val="single" w:sz="2" w:space="0" w:color="000000"/>
            </w:tcBorders>
          </w:tcPr>
          <w:p w14:paraId="6D324134" w14:textId="2B0B2995" w:rsidR="008D6A65" w:rsidRPr="00154F1D" w:rsidRDefault="008D6A65" w:rsidP="00157B21">
            <w:pPr>
              <w:pStyle w:val="furhtersub-heading2"/>
              <w:spacing w:before="0" w:after="40"/>
              <w:jc w:val="left"/>
              <w:rPr>
                <w:i w:val="0"/>
                <w:sz w:val="20"/>
              </w:rPr>
            </w:pPr>
            <w:r w:rsidRPr="00154F1D">
              <w:rPr>
                <w:sz w:val="20"/>
              </w:rPr>
              <w:t xml:space="preserve">Mental Health Act 2016 </w:t>
            </w:r>
            <w:r w:rsidRPr="00154F1D">
              <w:rPr>
                <w:i w:val="0"/>
                <w:sz w:val="20"/>
              </w:rPr>
              <w:t>(Qld) s</w:t>
            </w:r>
            <w:r w:rsidR="00157B21" w:rsidRPr="00154F1D">
              <w:rPr>
                <w:i w:val="0"/>
                <w:sz w:val="20"/>
              </w:rPr>
              <w:t>s</w:t>
            </w:r>
            <w:r w:rsidRPr="00154F1D">
              <w:rPr>
                <w:i w:val="0"/>
                <w:sz w:val="20"/>
              </w:rPr>
              <w:t xml:space="preserve"> 172</w:t>
            </w:r>
            <w:r w:rsidR="00C67AC2" w:rsidRPr="00154F1D">
              <w:rPr>
                <w:i w:val="0"/>
                <w:sz w:val="20"/>
              </w:rPr>
              <w:t>–177</w:t>
            </w:r>
          </w:p>
        </w:tc>
        <w:tc>
          <w:tcPr>
            <w:tcW w:w="2003" w:type="pct"/>
            <w:tcBorders>
              <w:bottom w:val="single" w:sz="2" w:space="0" w:color="000000"/>
            </w:tcBorders>
          </w:tcPr>
          <w:p w14:paraId="3BFC56DC" w14:textId="39B06597" w:rsidR="008D6A65" w:rsidRPr="00154F1D" w:rsidRDefault="008D6A65" w:rsidP="00157B21">
            <w:pPr>
              <w:pStyle w:val="furhtersub-heading2"/>
              <w:numPr>
                <w:ilvl w:val="0"/>
                <w:numId w:val="45"/>
              </w:numPr>
              <w:spacing w:before="0" w:after="40"/>
              <w:ind w:left="92" w:hanging="178"/>
              <w:jc w:val="left"/>
              <w:rPr>
                <w:sz w:val="20"/>
              </w:rPr>
            </w:pPr>
            <w:r w:rsidRPr="00154F1D">
              <w:rPr>
                <w:i w:val="0"/>
                <w:sz w:val="20"/>
              </w:rPr>
              <w:t>Reasonably satisfied on the balance of probabilities that the person charged with the offence was of unsound mind when the offence was committed or was unfit for trial</w:t>
            </w:r>
            <w:r w:rsidR="00672689" w:rsidRPr="00154F1D">
              <w:rPr>
                <w:i w:val="0"/>
                <w:sz w:val="20"/>
              </w:rPr>
              <w:t>.</w:t>
            </w:r>
          </w:p>
        </w:tc>
        <w:tc>
          <w:tcPr>
            <w:tcW w:w="1375" w:type="pct"/>
            <w:tcBorders>
              <w:bottom w:val="single" w:sz="2" w:space="0" w:color="000000"/>
              <w:right w:val="single" w:sz="2" w:space="0" w:color="000000"/>
            </w:tcBorders>
          </w:tcPr>
          <w:p w14:paraId="7BB09F25" w14:textId="77777777" w:rsidR="008D6A65" w:rsidRPr="00154F1D" w:rsidRDefault="008D6A65" w:rsidP="00157B21">
            <w:pPr>
              <w:pStyle w:val="furhtersub-heading2"/>
              <w:numPr>
                <w:ilvl w:val="0"/>
                <w:numId w:val="44"/>
              </w:numPr>
              <w:spacing w:before="0" w:after="40"/>
              <w:ind w:left="151" w:hanging="218"/>
              <w:jc w:val="left"/>
              <w:rPr>
                <w:i w:val="0"/>
                <w:sz w:val="20"/>
              </w:rPr>
            </w:pPr>
            <w:r w:rsidRPr="00154F1D">
              <w:rPr>
                <w:i w:val="0"/>
                <w:sz w:val="20"/>
              </w:rPr>
              <w:t>Dismiss the complaint</w:t>
            </w:r>
          </w:p>
          <w:p w14:paraId="5A9D1036" w14:textId="41D63F49" w:rsidR="00C67AC2" w:rsidRPr="00154F1D" w:rsidRDefault="00C67AC2" w:rsidP="00157B21">
            <w:pPr>
              <w:pStyle w:val="furhtersub-heading2"/>
              <w:numPr>
                <w:ilvl w:val="0"/>
                <w:numId w:val="44"/>
              </w:numPr>
              <w:spacing w:before="0" w:after="40"/>
              <w:ind w:left="151" w:hanging="218"/>
              <w:jc w:val="left"/>
              <w:outlineLvl w:val="0"/>
              <w:rPr>
                <w:i w:val="0"/>
                <w:sz w:val="20"/>
              </w:rPr>
            </w:pPr>
            <w:r w:rsidRPr="00154F1D">
              <w:rPr>
                <w:i w:val="0"/>
                <w:sz w:val="20"/>
              </w:rPr>
              <w:t>Make an examination order.</w:t>
            </w:r>
          </w:p>
        </w:tc>
      </w:tr>
    </w:tbl>
    <w:p w14:paraId="158E364A" w14:textId="2BDA5A2E" w:rsidR="002F47F4" w:rsidRPr="00154F1D" w:rsidRDefault="0023213C" w:rsidP="00D80045">
      <w:pPr>
        <w:pStyle w:val="NumberedHeadingTLRI"/>
      </w:pPr>
      <w:bookmarkStart w:id="106" w:name="_Toc535868941"/>
      <w:r w:rsidRPr="00154F1D">
        <w:t>Issues for consideration</w:t>
      </w:r>
      <w:bookmarkEnd w:id="106"/>
    </w:p>
    <w:p w14:paraId="22C1081C" w14:textId="794F4BCD" w:rsidR="00BD5906" w:rsidRPr="00154F1D" w:rsidRDefault="00ED0BB5" w:rsidP="00E034AA">
      <w:pPr>
        <w:pStyle w:val="Heading4"/>
      </w:pPr>
      <w:r w:rsidRPr="00154F1D">
        <w:t>Assessment reports</w:t>
      </w:r>
    </w:p>
    <w:p w14:paraId="721BF6EC" w14:textId="180C201A" w:rsidR="00ED0BB5" w:rsidRPr="00154F1D" w:rsidRDefault="00ED0BB5" w:rsidP="00744FAA">
      <w:pPr>
        <w:pStyle w:val="NormalNumberedTextTLRI"/>
      </w:pPr>
      <w:r w:rsidRPr="00154F1D">
        <w:t xml:space="preserve">Reports provided by experts </w:t>
      </w:r>
      <w:r w:rsidR="006D5B4B" w:rsidRPr="00154F1D">
        <w:t xml:space="preserve">provide the evidentiary foundation for findings of unfitness and so </w:t>
      </w:r>
      <w:r w:rsidRPr="00154F1D">
        <w:t>are fundamental to the determination of fitness to stand trial</w:t>
      </w:r>
      <w:r w:rsidR="00E034AA" w:rsidRPr="00154F1D">
        <w:t>.</w:t>
      </w:r>
      <w:r w:rsidR="00E034AA" w:rsidRPr="00154F1D">
        <w:rPr>
          <w:rStyle w:val="FootnoteReference"/>
        </w:rPr>
        <w:footnoteReference w:id="269"/>
      </w:r>
      <w:r w:rsidR="00E034AA" w:rsidRPr="00154F1D">
        <w:t xml:space="preserve"> </w:t>
      </w:r>
      <w:r w:rsidRPr="00154F1D">
        <w:t xml:space="preserve">Under the </w:t>
      </w:r>
      <w:r w:rsidRPr="00154F1D">
        <w:rPr>
          <w:i/>
        </w:rPr>
        <w:t xml:space="preserve">Criminal Justice (Mental Impairment) Act 1999 </w:t>
      </w:r>
      <w:r w:rsidRPr="00154F1D">
        <w:t>(Tas), in addition to requiring the court to hear evidence and representations by defendants or prosecutors as to fitness, there is also provision for the court to call evidence on its own initiative and order an assessment of a defendant by a psychiatrist or other appropriate expert.</w:t>
      </w:r>
      <w:r w:rsidRPr="00154F1D">
        <w:rPr>
          <w:rStyle w:val="FootnoteReference"/>
        </w:rPr>
        <w:footnoteReference w:id="270"/>
      </w:r>
      <w:r w:rsidRPr="00154F1D">
        <w:t xml:space="preserve"> </w:t>
      </w:r>
    </w:p>
    <w:p w14:paraId="580749BB" w14:textId="77777777" w:rsidR="006D5B4B" w:rsidRPr="00154F1D" w:rsidRDefault="00E034AA" w:rsidP="00744FAA">
      <w:pPr>
        <w:pStyle w:val="NormalNumberedTextTLRI"/>
        <w:rPr>
          <w:lang w:val="en-US" w:eastAsia="ja-JP"/>
        </w:rPr>
      </w:pPr>
      <w:r w:rsidRPr="00154F1D">
        <w:t>In its consideration of the procedure in relation to determining unfit</w:t>
      </w:r>
      <w:r w:rsidR="006D5B4B" w:rsidRPr="00154F1D">
        <w:t>n</w:t>
      </w:r>
      <w:r w:rsidRPr="00154F1D">
        <w:t>ess to stand trial, the VLRC observed that ‘</w:t>
      </w:r>
      <w:r w:rsidRPr="00154F1D">
        <w:rPr>
          <w:lang w:val="en-US" w:eastAsia="ja-JP"/>
        </w:rPr>
        <w:t>[p]otential issues may arise in relation to the qualifications of experts, the quality and utility of expert reports and the number of experts relied on in assessments of unfitness to stand trial’.</w:t>
      </w:r>
      <w:r w:rsidRPr="00154F1D">
        <w:rPr>
          <w:rStyle w:val="FootnoteReference"/>
          <w:rFonts w:eastAsiaTheme="minorEastAsia"/>
          <w:sz w:val="22"/>
          <w:szCs w:val="22"/>
          <w:lang w:val="en-US" w:eastAsia="ja-JP"/>
        </w:rPr>
        <w:footnoteReference w:id="271"/>
      </w:r>
      <w:r w:rsidRPr="00154F1D">
        <w:rPr>
          <w:lang w:val="en-US" w:eastAsia="ja-JP"/>
        </w:rPr>
        <w:t xml:space="preserve"> As a result, the VLRC sought feedback in relation to these issues, as well as other issues that may exist in relation to the process for determining unfitness to stand trial</w:t>
      </w:r>
      <w:r w:rsidR="006D5B4B" w:rsidRPr="00154F1D">
        <w:rPr>
          <w:lang w:val="en-US" w:eastAsia="ja-JP"/>
        </w:rPr>
        <w:t>.</w:t>
      </w:r>
    </w:p>
    <w:p w14:paraId="15BA67DB" w14:textId="10E42024" w:rsidR="00E034AA" w:rsidRPr="00154F1D" w:rsidRDefault="00E034AA" w:rsidP="009F77DB">
      <w:pPr>
        <w:pStyle w:val="NormalNumberedTextTLRI"/>
        <w:spacing w:after="120"/>
        <w:rPr>
          <w:lang w:val="en-US" w:eastAsia="ja-JP"/>
        </w:rPr>
      </w:pPr>
      <w:r w:rsidRPr="00154F1D">
        <w:rPr>
          <w:lang w:val="en-US" w:eastAsia="ja-JP"/>
        </w:rPr>
        <w:t xml:space="preserve">In response, </w:t>
      </w:r>
      <w:r w:rsidR="006D5B4B" w:rsidRPr="00154F1D">
        <w:rPr>
          <w:lang w:val="en-US" w:eastAsia="ja-JP"/>
        </w:rPr>
        <w:t>it was</w:t>
      </w:r>
      <w:r w:rsidRPr="00154F1D">
        <w:rPr>
          <w:lang w:val="en-US" w:eastAsia="ja-JP"/>
        </w:rPr>
        <w:t xml:space="preserve"> noted that, despite the general recognition of expertise and objectivity of experts on issues of unfitness and the acknowledgment of the difficult task faced by experts, some problems did arise in this area. These included:</w:t>
      </w:r>
    </w:p>
    <w:p w14:paraId="2B2EED6A" w14:textId="2C2D78B5" w:rsidR="00E034AA" w:rsidRPr="00154F1D" w:rsidRDefault="00E034AA" w:rsidP="00BF6D8A">
      <w:pPr>
        <w:pStyle w:val="QuoteTLRI"/>
        <w:numPr>
          <w:ilvl w:val="0"/>
          <w:numId w:val="108"/>
        </w:numPr>
        <w:spacing w:after="120"/>
        <w:ind w:left="1135" w:right="788" w:hanging="284"/>
      </w:pPr>
      <w:r w:rsidRPr="00154F1D">
        <w:t xml:space="preserve">discrepancies in experts’ training and expertise; </w:t>
      </w:r>
    </w:p>
    <w:p w14:paraId="4256BF78" w14:textId="5FE2B8E9" w:rsidR="00E034AA" w:rsidRPr="00154F1D" w:rsidRDefault="00E034AA" w:rsidP="00BF6D8A">
      <w:pPr>
        <w:pStyle w:val="QuoteTLRI"/>
        <w:numPr>
          <w:ilvl w:val="0"/>
          <w:numId w:val="108"/>
        </w:numPr>
        <w:spacing w:after="120"/>
        <w:ind w:left="1135" w:right="788" w:hanging="284"/>
      </w:pPr>
      <w:r w:rsidRPr="00154F1D">
        <w:t>reports sometimes lacking a forensic direction or familiarity with CMIA legal concepts</w:t>
      </w:r>
      <w:r w:rsidR="006D5B4B" w:rsidRPr="00154F1D">
        <w:t>;</w:t>
      </w:r>
      <w:r w:rsidRPr="00154F1D">
        <w:t xml:space="preserve"> </w:t>
      </w:r>
    </w:p>
    <w:p w14:paraId="14FC2EC5" w14:textId="6C0EC70D" w:rsidR="00E034AA" w:rsidRPr="00154F1D" w:rsidRDefault="00E034AA" w:rsidP="00BF6D8A">
      <w:pPr>
        <w:pStyle w:val="QuoteTLRI"/>
        <w:numPr>
          <w:ilvl w:val="0"/>
          <w:numId w:val="108"/>
        </w:numPr>
        <w:spacing w:after="120"/>
        <w:ind w:left="1135" w:right="788" w:hanging="284"/>
      </w:pPr>
      <w:r w:rsidRPr="00154F1D">
        <w:t xml:space="preserve">assessments conducted inappropriately (for example, questions not communicated effectively to people with an intellectual disability or in a culturally appropriate manner); </w:t>
      </w:r>
    </w:p>
    <w:p w14:paraId="20C2A8B8" w14:textId="5D79956E" w:rsidR="00E034AA" w:rsidRPr="00154F1D" w:rsidRDefault="00E034AA" w:rsidP="00BF6D8A">
      <w:pPr>
        <w:pStyle w:val="QuoteTLRI"/>
        <w:numPr>
          <w:ilvl w:val="0"/>
          <w:numId w:val="108"/>
        </w:numPr>
        <w:ind w:left="1134" w:hanging="283"/>
      </w:pPr>
      <w:r w:rsidRPr="00154F1D">
        <w:t>a small pool of experts, which could compromise objectivity.</w:t>
      </w:r>
      <w:r w:rsidR="006D5B4B" w:rsidRPr="00154F1D">
        <w:rPr>
          <w:rStyle w:val="FootnoteReference"/>
        </w:rPr>
        <w:footnoteReference w:id="272"/>
      </w:r>
      <w:r w:rsidRPr="00154F1D">
        <w:t xml:space="preserve"> </w:t>
      </w:r>
    </w:p>
    <w:p w14:paraId="6A527ADE" w14:textId="39299F3A" w:rsidR="00E034AA" w:rsidRPr="00154F1D" w:rsidRDefault="006D5B4B" w:rsidP="009F77DB">
      <w:pPr>
        <w:pStyle w:val="NormalNumberedTextTLRI"/>
        <w:spacing w:after="120"/>
      </w:pPr>
      <w:r w:rsidRPr="00154F1D">
        <w:t>Suggestions set out by the VLRC to improve expert assessment in relation to unfitness to stand trial included:</w:t>
      </w:r>
    </w:p>
    <w:p w14:paraId="5B8DADA9" w14:textId="1649B71F" w:rsidR="006D5B4B" w:rsidRPr="00154F1D" w:rsidRDefault="006D5B4B" w:rsidP="00BF6D8A">
      <w:pPr>
        <w:pStyle w:val="QuoteTLRI"/>
        <w:numPr>
          <w:ilvl w:val="0"/>
          <w:numId w:val="108"/>
        </w:numPr>
        <w:spacing w:after="120"/>
        <w:ind w:left="1135" w:right="788" w:hanging="284"/>
      </w:pPr>
      <w:r w:rsidRPr="00154F1D">
        <w:t>Unfitness assessments should be conducted by a multi-disciplinary specialised team of psychologists, psychiatrists and speech pathologists. …</w:t>
      </w:r>
    </w:p>
    <w:p w14:paraId="654C076E" w14:textId="2DAF88C5" w:rsidR="006D5B4B" w:rsidRPr="00154F1D" w:rsidRDefault="006D5B4B" w:rsidP="00BF6D8A">
      <w:pPr>
        <w:pStyle w:val="QuoteTLRI"/>
        <w:numPr>
          <w:ilvl w:val="0"/>
          <w:numId w:val="108"/>
        </w:numPr>
        <w:spacing w:after="120"/>
        <w:ind w:left="1135" w:right="788" w:hanging="284"/>
      </w:pPr>
      <w:r w:rsidRPr="00154F1D">
        <w:t>There should be careful regulation of experts who assess unfitness in terms of qualifications and expertise through registration or accreditation of their competency to conduct these assessments. …</w:t>
      </w:r>
    </w:p>
    <w:p w14:paraId="30C5FB67" w14:textId="62631CBB" w:rsidR="006D5B4B" w:rsidRPr="00154F1D" w:rsidRDefault="006D5B4B" w:rsidP="00BF6D8A">
      <w:pPr>
        <w:pStyle w:val="QuoteTLRI"/>
        <w:numPr>
          <w:ilvl w:val="0"/>
          <w:numId w:val="108"/>
        </w:numPr>
        <w:spacing w:after="120"/>
        <w:ind w:left="1135" w:right="788" w:hanging="284"/>
      </w:pPr>
      <w:r w:rsidRPr="00154F1D">
        <w:t xml:space="preserve">There should be clearer guidance to experts about the test for unfitness. This could be achieved through the development of best practice guidelines on what should be included in a report, or through training. </w:t>
      </w:r>
    </w:p>
    <w:p w14:paraId="364A5C3C" w14:textId="37897711" w:rsidR="006D5B4B" w:rsidRPr="00154F1D" w:rsidRDefault="006D5B4B" w:rsidP="009F77DB">
      <w:pPr>
        <w:pStyle w:val="QuoteTLRI"/>
        <w:numPr>
          <w:ilvl w:val="0"/>
          <w:numId w:val="108"/>
        </w:numPr>
        <w:spacing w:after="0"/>
        <w:ind w:left="1135" w:right="788" w:hanging="284"/>
      </w:pPr>
      <w:r w:rsidRPr="00154F1D">
        <w:t xml:space="preserve">A component of every assessment should be standardised. For example, there should be standard information that should be included as part of every report. </w:t>
      </w:r>
      <w:r w:rsidR="009F77DB" w:rsidRPr="00154F1D">
        <w:t>…</w:t>
      </w:r>
    </w:p>
    <w:p w14:paraId="5974FF96" w14:textId="5AEFD403" w:rsidR="006D5B4B" w:rsidRPr="00154F1D" w:rsidRDefault="006D5B4B" w:rsidP="00BF6D8A">
      <w:pPr>
        <w:pStyle w:val="QuoteTLRI"/>
        <w:numPr>
          <w:ilvl w:val="0"/>
          <w:numId w:val="108"/>
        </w:numPr>
        <w:ind w:left="1134" w:hanging="283"/>
      </w:pPr>
      <w:r w:rsidRPr="00154F1D">
        <w:t>Assessments should be conducted using appropriate communication techniques.</w:t>
      </w:r>
      <w:r w:rsidR="00134664" w:rsidRPr="00154F1D">
        <w:rPr>
          <w:rStyle w:val="FootnoteReference"/>
        </w:rPr>
        <w:footnoteReference w:id="273"/>
      </w:r>
      <w:r w:rsidRPr="00154F1D">
        <w:t xml:space="preserve"> </w:t>
      </w:r>
    </w:p>
    <w:p w14:paraId="0CCE52B6" w14:textId="627D3095" w:rsidR="006D5B4B" w:rsidRPr="00154F1D" w:rsidRDefault="006D5B4B" w:rsidP="00744FAA">
      <w:pPr>
        <w:pStyle w:val="NormalNumberedTextTLRI"/>
      </w:pPr>
      <w:r w:rsidRPr="00154F1D">
        <w:t>The VLRC concluded that it was necessary to make changes to ‘address unnecessary variability and to ensure the fairness and accuracy of expert assessments of unfitness to stand trial’.</w:t>
      </w:r>
      <w:r w:rsidRPr="00154F1D">
        <w:rPr>
          <w:rStyle w:val="FootnoteReference"/>
        </w:rPr>
        <w:footnoteReference w:id="274"/>
      </w:r>
      <w:r w:rsidR="00D26BEA" w:rsidRPr="00154F1D">
        <w:t xml:space="preserve"> However, it considered that ‘experts themselves are the best people to determine the changes</w:t>
      </w:r>
      <w:r w:rsidR="008F1D09" w:rsidRPr="00154F1D">
        <w:t>’</w:t>
      </w:r>
      <w:r w:rsidR="00D26BEA" w:rsidRPr="00154F1D">
        <w:t xml:space="preserve"> that would be necessary to address these issues.</w:t>
      </w:r>
      <w:r w:rsidR="00D26BEA" w:rsidRPr="00154F1D">
        <w:rPr>
          <w:rStyle w:val="FootnoteReference"/>
        </w:rPr>
        <w:footnoteReference w:id="275"/>
      </w:r>
    </w:p>
    <w:p w14:paraId="70766930" w14:textId="76492F3B" w:rsidR="006D5B4B" w:rsidRPr="00154F1D" w:rsidRDefault="001B1287" w:rsidP="00744FAA">
      <w:pPr>
        <w:pStyle w:val="NormalNumberedTextTLRI"/>
      </w:pPr>
      <w:r w:rsidRPr="00154F1D">
        <w:t xml:space="preserve">Anecdotally, the TLRI understands that there is a lack of standardisation in assessments provided by experts </w:t>
      </w:r>
      <w:r w:rsidR="00CF59C6" w:rsidRPr="00154F1D">
        <w:t>in Tasmania</w:t>
      </w:r>
      <w:r w:rsidR="00995D70">
        <w:t>,</w:t>
      </w:r>
      <w:r w:rsidR="00CF59C6" w:rsidRPr="00154F1D">
        <w:t xml:space="preserve"> </w:t>
      </w:r>
      <w:r w:rsidRPr="00154F1D">
        <w:t>and consequently there is considerable diversity in the assessment reports. This is a concern given the importance of the expert advice in the court process. Accordingly, t</w:t>
      </w:r>
      <w:r w:rsidR="00D26BEA" w:rsidRPr="00154F1D">
        <w:t xml:space="preserve">he TLRI seeks </w:t>
      </w:r>
      <w:r w:rsidRPr="00154F1D">
        <w:t xml:space="preserve">further </w:t>
      </w:r>
      <w:r w:rsidR="00D26BEA" w:rsidRPr="00154F1D">
        <w:t xml:space="preserve">feedback on whether there are any issues that arise in relation to the role of experts and expert reports in the process of determining unfitness to stand trial. </w:t>
      </w:r>
      <w:r w:rsidRPr="00154F1D">
        <w:t>Further</w:t>
      </w:r>
      <w:r w:rsidR="00D26BEA" w:rsidRPr="00154F1D">
        <w:t xml:space="preserve">, the TLRI seeks feedback in relation to </w:t>
      </w:r>
      <w:r w:rsidRPr="00154F1D">
        <w:t xml:space="preserve">how any difficulties might be resolved, for example </w:t>
      </w:r>
      <w:r w:rsidR="00D26BEA" w:rsidRPr="00154F1D">
        <w:t xml:space="preserve">whether there should be a specified minimum number of expert reports that should be required, whether there is a need for greater control in relation to the </w:t>
      </w:r>
      <w:r w:rsidRPr="00154F1D">
        <w:t>expertise or accreditation of the person conducting the assessment and writing the report for the court, and/or the information that should be contained in the report.</w:t>
      </w:r>
    </w:p>
    <w:p w14:paraId="2F1FDB1A" w14:textId="5CFFA40D" w:rsidR="001B1723" w:rsidRPr="00154F1D" w:rsidRDefault="006972B8" w:rsidP="00FA09CE">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tabs>
          <w:tab w:val="clear" w:pos="851"/>
        </w:tabs>
        <w:ind w:left="426" w:right="57" w:hanging="369"/>
        <w:rPr>
          <w:b/>
        </w:rPr>
      </w:pPr>
      <w:bookmarkStart w:id="107" w:name="Q15"/>
      <w:r w:rsidRPr="00154F1D">
        <w:rPr>
          <w:b/>
        </w:rPr>
        <w:t>Questions</w:t>
      </w:r>
    </w:p>
    <w:bookmarkEnd w:id="107"/>
    <w:p w14:paraId="0156361F" w14:textId="45DABE18" w:rsidR="006972B8" w:rsidRPr="00154F1D" w:rsidRDefault="00D64190" w:rsidP="00FA09CE">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tabs>
          <w:tab w:val="clear" w:pos="851"/>
        </w:tabs>
        <w:ind w:left="426" w:right="57" w:hanging="369"/>
      </w:pPr>
      <w:r w:rsidRPr="00154F1D">
        <w:t>15</w:t>
      </w:r>
      <w:r w:rsidR="006972B8" w:rsidRPr="00154F1D">
        <w:t>.</w:t>
      </w:r>
      <w:r w:rsidR="00FA09CE" w:rsidRPr="00154F1D">
        <w:tab/>
      </w:r>
      <w:r w:rsidR="006972B8" w:rsidRPr="00154F1D">
        <w:t>Are there any issues that arise in relation to the role of experts and expert reports in the process of determining unfitness to stand trial?</w:t>
      </w:r>
    </w:p>
    <w:p w14:paraId="23FD3E87" w14:textId="73BB76D5" w:rsidR="006972B8" w:rsidRPr="00154F1D" w:rsidRDefault="00D64190" w:rsidP="00FA09CE">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tabs>
          <w:tab w:val="clear" w:pos="851"/>
        </w:tabs>
        <w:ind w:left="426" w:right="57" w:hanging="369"/>
      </w:pPr>
      <w:r w:rsidRPr="00154F1D">
        <w:t>16</w:t>
      </w:r>
      <w:r w:rsidR="006972B8" w:rsidRPr="00154F1D">
        <w:t>.</w:t>
      </w:r>
      <w:r w:rsidR="00FA09CE" w:rsidRPr="00154F1D">
        <w:tab/>
      </w:r>
      <w:r w:rsidR="006972B8" w:rsidRPr="00154F1D">
        <w:t>If so, how do you think these problems might be resolved?</w:t>
      </w:r>
    </w:p>
    <w:p w14:paraId="697219FA" w14:textId="05EE51B4" w:rsidR="006203D1" w:rsidRPr="00154F1D" w:rsidRDefault="006203D1" w:rsidP="006203D1">
      <w:pPr>
        <w:pStyle w:val="Sub-HeadingTLRI"/>
      </w:pPr>
      <w:bookmarkStart w:id="108" w:name="_Toc535868942"/>
      <w:r w:rsidRPr="00154F1D">
        <w:t>Determination</w:t>
      </w:r>
      <w:r w:rsidR="00CF2B79" w:rsidRPr="00154F1D">
        <w:t xml:space="preserve"> of the issue of fitness</w:t>
      </w:r>
      <w:r w:rsidRPr="00154F1D">
        <w:t xml:space="preserve"> by</w:t>
      </w:r>
      <w:r w:rsidR="00CF2B79" w:rsidRPr="00154F1D">
        <w:t xml:space="preserve"> a</w:t>
      </w:r>
      <w:r w:rsidRPr="00154F1D">
        <w:t xml:space="preserve"> judge rather than jury</w:t>
      </w:r>
      <w:r w:rsidR="00CF2B79" w:rsidRPr="00154F1D">
        <w:t xml:space="preserve"> in the Supreme Court</w:t>
      </w:r>
      <w:bookmarkEnd w:id="108"/>
    </w:p>
    <w:p w14:paraId="2220D894" w14:textId="3E094C7D" w:rsidR="002F47F4" w:rsidRPr="00154F1D" w:rsidRDefault="00CF2B79" w:rsidP="00744FAA">
      <w:pPr>
        <w:pStyle w:val="NormalNumberedTextTLRI"/>
      </w:pPr>
      <w:r w:rsidRPr="00154F1D">
        <w:t>In</w:t>
      </w:r>
      <w:r w:rsidR="00730FDC" w:rsidRPr="00154F1D">
        <w:t xml:space="preserve"> Victoria</w:t>
      </w:r>
      <w:r w:rsidRPr="00154F1D">
        <w:t>, consideration has been given</w:t>
      </w:r>
      <w:r w:rsidR="00730FDC" w:rsidRPr="00154F1D">
        <w:t xml:space="preserve"> to removing the requirement for investigations into fitness to be determined by a jury. </w:t>
      </w:r>
      <w:r w:rsidR="00924BE1" w:rsidRPr="00154F1D">
        <w:t>The Victorian Law Reform Committee recommended a judge-alone procedure for investigations of fitness to stand trial</w:t>
      </w:r>
      <w:r w:rsidR="002F47F4" w:rsidRPr="00154F1D">
        <w:t xml:space="preserve"> on the grounds that:</w:t>
      </w:r>
    </w:p>
    <w:p w14:paraId="453E892B" w14:textId="395DB514" w:rsidR="002F47F4" w:rsidRPr="00154F1D" w:rsidRDefault="002F47F4" w:rsidP="005F7AFC">
      <w:pPr>
        <w:pStyle w:val="QuoteTLRI"/>
        <w:spacing w:after="120"/>
        <w:ind w:left="1135" w:right="788" w:hanging="284"/>
      </w:pPr>
      <w:r w:rsidRPr="00154F1D">
        <w:sym w:font="Symbol" w:char="F0B7"/>
      </w:r>
      <w:r w:rsidR="006C75D2" w:rsidRPr="00154F1D">
        <w:tab/>
      </w:r>
      <w:r w:rsidRPr="00154F1D">
        <w:t>fitness investigations primarily involve technical matters and therefore it is more suitable for a hearing to be conducted by a judge alone;</w:t>
      </w:r>
    </w:p>
    <w:p w14:paraId="0F50473B" w14:textId="4F627142" w:rsidR="002F47F4" w:rsidRPr="00154F1D" w:rsidRDefault="002F47F4" w:rsidP="005F7AFC">
      <w:pPr>
        <w:pStyle w:val="QuoteTLRI"/>
        <w:spacing w:after="120"/>
        <w:ind w:left="1135" w:right="788" w:hanging="284"/>
      </w:pPr>
      <w:r w:rsidRPr="00154F1D">
        <w:sym w:font="Symbol" w:char="F0B7"/>
      </w:r>
      <w:r w:rsidR="006C75D2" w:rsidRPr="00154F1D">
        <w:tab/>
      </w:r>
      <w:r w:rsidRPr="00154F1D">
        <w:t>a fitness hearing is not designed to be adversarial and no decisions are made about the person’s criminal responsibility;</w:t>
      </w:r>
    </w:p>
    <w:p w14:paraId="7605AB82" w14:textId="2F7E545C" w:rsidR="002F47F4" w:rsidRPr="00154F1D" w:rsidRDefault="002F47F4" w:rsidP="005F7AFC">
      <w:pPr>
        <w:pStyle w:val="QuoteTLRI"/>
        <w:ind w:left="1134" w:hanging="283"/>
      </w:pPr>
      <w:r w:rsidRPr="00154F1D">
        <w:sym w:font="Symbol" w:char="F0B7"/>
      </w:r>
      <w:r w:rsidR="006C75D2" w:rsidRPr="00154F1D">
        <w:tab/>
      </w:r>
      <w:r w:rsidRPr="00154F1D">
        <w:t>a judge hearing evidence alone may be quicker, less formal and less confusing or stressful for the accused with an intellectual disability or cognitive impairment, particularly if experts from both sides agree that the accused is clearly unfit to be tried.</w:t>
      </w:r>
      <w:r w:rsidRPr="00154F1D">
        <w:rPr>
          <w:rStyle w:val="FootnoteReference"/>
        </w:rPr>
        <w:footnoteReference w:id="276"/>
      </w:r>
    </w:p>
    <w:p w14:paraId="47A2E916" w14:textId="494572AF" w:rsidR="00730FDC" w:rsidRPr="00154F1D" w:rsidRDefault="002F47F4" w:rsidP="00744FAA">
      <w:pPr>
        <w:pStyle w:val="NormalNumberedTextTLRI"/>
      </w:pPr>
      <w:r w:rsidRPr="00154F1D">
        <w:t>The VLRC, similarly, recommended that unfitness to stand trial should be determined by a judge or a magistrate on the basis that this was a pre-trial issue that need not be determined by a jury.</w:t>
      </w:r>
      <w:r w:rsidRPr="00154F1D">
        <w:rPr>
          <w:rStyle w:val="FootnoteReference"/>
        </w:rPr>
        <w:footnoteReference w:id="277"/>
      </w:r>
      <w:r w:rsidRPr="00154F1D">
        <w:t xml:space="preserve"> The VLRC observed the narrowing of the role of the jury in relation to pre-trial matters more generally.</w:t>
      </w:r>
      <w:r w:rsidRPr="00154F1D">
        <w:rPr>
          <w:rStyle w:val="FootnoteReference"/>
        </w:rPr>
        <w:footnoteReference w:id="278"/>
      </w:r>
      <w:r w:rsidRPr="00154F1D">
        <w:t xml:space="preserve"> It also noted that changing the criteria for a determination of fitness to stand trial meant that a judge (rather than a jury) was more appropriately able to undertake the nuanced nature of the pre-trial decision</w:t>
      </w:r>
      <w:r w:rsidR="00295425" w:rsidRPr="00154F1D">
        <w:t>-</w:t>
      </w:r>
      <w:r w:rsidRPr="00154F1D">
        <w:t>making.</w:t>
      </w:r>
      <w:r w:rsidRPr="00154F1D">
        <w:rPr>
          <w:rStyle w:val="FootnoteReference"/>
        </w:rPr>
        <w:footnoteReference w:id="279"/>
      </w:r>
      <w:r w:rsidRPr="00154F1D">
        <w:t xml:space="preserve"> </w:t>
      </w:r>
    </w:p>
    <w:p w14:paraId="2A56B53C" w14:textId="42227097" w:rsidR="002F47F4" w:rsidRPr="00154F1D" w:rsidRDefault="002F47F4" w:rsidP="00744FAA">
      <w:pPr>
        <w:pStyle w:val="NormalNumberedTextTLRI"/>
      </w:pPr>
      <w:r w:rsidRPr="00154F1D">
        <w:t xml:space="preserve">In Tasmania, </w:t>
      </w:r>
      <w:r w:rsidR="00C51882" w:rsidRPr="00154F1D">
        <w:t>as noted, there is provision for the investigation into fitness to be determined by a trial judge where the defence and prosecution agree. However, consideration could be given to removing the jury’s role in relation to the determination of the issue of fitness to stand trial in all cases.</w:t>
      </w:r>
    </w:p>
    <w:p w14:paraId="09A91A2A" w14:textId="52F45B08" w:rsidR="000B7247" w:rsidRPr="00154F1D" w:rsidRDefault="000B7247" w:rsidP="00EF0A37">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57" w:right="57"/>
        <w:rPr>
          <w:b/>
        </w:rPr>
      </w:pPr>
      <w:bookmarkStart w:id="109" w:name="Q17"/>
      <w:r w:rsidRPr="00154F1D">
        <w:rPr>
          <w:b/>
        </w:rPr>
        <w:t xml:space="preserve">Question </w:t>
      </w:r>
      <w:r w:rsidR="00D64190" w:rsidRPr="00154F1D">
        <w:rPr>
          <w:b/>
        </w:rPr>
        <w:t>17</w:t>
      </w:r>
    </w:p>
    <w:bookmarkEnd w:id="109"/>
    <w:p w14:paraId="4A100FDD" w14:textId="17CF184C" w:rsidR="002F47F4" w:rsidRPr="00154F1D" w:rsidRDefault="002F47F4" w:rsidP="00EF0A37">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57" w:right="57"/>
      </w:pPr>
      <w:r w:rsidRPr="00154F1D">
        <w:t>Shou</w:t>
      </w:r>
      <w:r w:rsidR="00685820" w:rsidRPr="00154F1D">
        <w:t xml:space="preserve">ld </w:t>
      </w:r>
      <w:r w:rsidR="00E70419" w:rsidRPr="00154F1D">
        <w:t xml:space="preserve">the </w:t>
      </w:r>
      <w:r w:rsidR="001C7F77" w:rsidRPr="00154F1D">
        <w:rPr>
          <w:i/>
        </w:rPr>
        <w:t>Criminal Justice (Mental Impairment) Act 1999</w:t>
      </w:r>
      <w:r w:rsidR="001C7F77" w:rsidRPr="00154F1D">
        <w:t xml:space="preserve"> (Tas)</w:t>
      </w:r>
      <w:r w:rsidR="00E70419" w:rsidRPr="00154F1D">
        <w:t xml:space="preserve"> be amended to provide that unfitness to stand trial is determined by a judge </w:t>
      </w:r>
      <w:r w:rsidR="00F43690" w:rsidRPr="00154F1D">
        <w:t xml:space="preserve">in the Supreme Court </w:t>
      </w:r>
      <w:r w:rsidR="00E70419" w:rsidRPr="00154F1D">
        <w:t>instead of a jury in all cases?</w:t>
      </w:r>
    </w:p>
    <w:p w14:paraId="7290EB3F" w14:textId="4E8952FA" w:rsidR="00CF2B79" w:rsidRPr="00154F1D" w:rsidRDefault="006203D1" w:rsidP="008E480A">
      <w:pPr>
        <w:pStyle w:val="Sub-HeadingTLRI"/>
        <w:rPr>
          <w:rFonts w:ascii="Arial" w:hAnsi="Arial"/>
          <w:sz w:val="32"/>
        </w:rPr>
      </w:pPr>
      <w:bookmarkStart w:id="110" w:name="_Toc535868943"/>
      <w:r w:rsidRPr="00154F1D">
        <w:t>Procedure in the Magistrates Court</w:t>
      </w:r>
      <w:bookmarkEnd w:id="110"/>
    </w:p>
    <w:p w14:paraId="7ED81AC4" w14:textId="1A36A1BD" w:rsidR="008E480A" w:rsidRPr="00154F1D" w:rsidRDefault="008E480A" w:rsidP="00744FAA">
      <w:pPr>
        <w:pStyle w:val="NormalNumberedTextTLRI"/>
        <w:rPr>
          <w:sz w:val="24"/>
        </w:rPr>
      </w:pPr>
      <w:r w:rsidRPr="00154F1D">
        <w:t xml:space="preserve">In Tasmania, if an issue of fitness to stand trial arises, the procedure for determining fitness and the conduct of special hearings applies in both the Supreme Court and in the Magistrates Court (as set out at </w:t>
      </w:r>
      <w:r w:rsidR="00812552" w:rsidRPr="00154F1D">
        <w:t>[5.2]</w:t>
      </w:r>
      <w:r w:rsidRPr="00154F1D">
        <w:t>). This is a complex process (and a potentially costly and time consuming one) and unlike the ACT and Queensland, and as recommended in Victoria, there is no provision in Tasmania for a magistrate to dismiss the charge without conducting a spec</w:t>
      </w:r>
      <w:r w:rsidR="00E32917" w:rsidRPr="00154F1D">
        <w:t>ial hearing. In New South Wales</w:t>
      </w:r>
      <w:r w:rsidRPr="00154F1D">
        <w:t xml:space="preserve">, there is also power for a magistrate to dismiss the charge. Accordingly, it may be argued that it is appropriate to have a simpler and more flexible approach available in the Magistrates Court. An option for reform would be to amend the </w:t>
      </w:r>
      <w:r w:rsidRPr="00154F1D">
        <w:rPr>
          <w:i/>
        </w:rPr>
        <w:t xml:space="preserve">Criminal Justice (Mental Impairment) Act 1999 </w:t>
      </w:r>
      <w:r w:rsidRPr="00154F1D">
        <w:t xml:space="preserve">(Tas) to provide for greater flexibility to allow the magistrate to dispose of a matter in a timelier manner in circumstances where it appears that </w:t>
      </w:r>
      <w:r w:rsidR="008F0CC0">
        <w:t>a defendant</w:t>
      </w:r>
      <w:r w:rsidRPr="00154F1D">
        <w:t xml:space="preserve"> is unfit for trial and this is appropriate in the context of the particular case.</w:t>
      </w:r>
      <w:r w:rsidRPr="00154F1D">
        <w:rPr>
          <w:rStyle w:val="FootnoteReference"/>
        </w:rPr>
        <w:footnoteReference w:id="280"/>
      </w:r>
      <w:r w:rsidRPr="00154F1D">
        <w:t xml:space="preserve"> This reform would mean that the magistrate could make an assessment of whether it appears that an accused is unfit to stand trial (and/or has a defence of insanity) and then discharge the </w:t>
      </w:r>
      <w:r w:rsidR="008F0CC0">
        <w:t>person</w:t>
      </w:r>
      <w:r w:rsidR="008F0CC0" w:rsidRPr="00154F1D">
        <w:t xml:space="preserve"> </w:t>
      </w:r>
      <w:r w:rsidRPr="00154F1D">
        <w:t xml:space="preserve">and divert </w:t>
      </w:r>
      <w:r w:rsidR="008F0CC0">
        <w:t>them</w:t>
      </w:r>
      <w:r w:rsidRPr="00154F1D">
        <w:t xml:space="preserve"> from the </w:t>
      </w:r>
      <w:r w:rsidR="00EF0A37" w:rsidRPr="00154F1D">
        <w:rPr>
          <w:i/>
        </w:rPr>
        <w:t>Criminal Justice (Mental Impairment) Act</w:t>
      </w:r>
      <w:r w:rsidRPr="00154F1D">
        <w:t xml:space="preserve"> pathway, if this was appropriate.</w:t>
      </w:r>
    </w:p>
    <w:p w14:paraId="08B0B6F7" w14:textId="0E8E7B02" w:rsidR="009259E2" w:rsidRPr="00154F1D" w:rsidRDefault="001F16D7" w:rsidP="00744FAA">
      <w:pPr>
        <w:pStyle w:val="NormalNumberedTextTLRI"/>
        <w:rPr>
          <w:sz w:val="24"/>
        </w:rPr>
      </w:pPr>
      <w:r w:rsidRPr="00154F1D">
        <w:t xml:space="preserve">Possible models for reform are found in other jurisdictions. The </w:t>
      </w:r>
      <w:r w:rsidR="009259E2" w:rsidRPr="00154F1D">
        <w:t xml:space="preserve">power to discharge could be made following a determination that the court is satisfied that </w:t>
      </w:r>
      <w:r w:rsidR="00CF59C6" w:rsidRPr="00154F1D">
        <w:t xml:space="preserve">it appears that the </w:t>
      </w:r>
      <w:r w:rsidR="008F0CC0">
        <w:t>accused</w:t>
      </w:r>
      <w:r w:rsidR="008F0CC0" w:rsidRPr="00154F1D">
        <w:t xml:space="preserve"> </w:t>
      </w:r>
      <w:r w:rsidR="008E480A" w:rsidRPr="00154F1D">
        <w:t xml:space="preserve">is cognitively impaired, suffering a mental illness or suffering from a mental condition </w:t>
      </w:r>
      <w:r w:rsidR="008E480A" w:rsidRPr="00AD01BE">
        <w:rPr>
          <w:szCs w:val="22"/>
        </w:rPr>
        <w:t>for which treatment is available in a mental health facility</w:t>
      </w:r>
      <w:r w:rsidR="008E480A" w:rsidRPr="00154F1D">
        <w:rPr>
          <w:sz w:val="24"/>
        </w:rPr>
        <w:t xml:space="preserve">, </w:t>
      </w:r>
      <w:r w:rsidR="008E480A" w:rsidRPr="00154F1D">
        <w:t xml:space="preserve">or that the </w:t>
      </w:r>
      <w:r w:rsidR="008F0CC0">
        <w:t>accused</w:t>
      </w:r>
      <w:r w:rsidR="008F0CC0" w:rsidRPr="00154F1D">
        <w:t xml:space="preserve"> </w:t>
      </w:r>
      <w:r w:rsidR="008E480A" w:rsidRPr="00154F1D">
        <w:t xml:space="preserve">is mentally ill (the New South Wales position) or that </w:t>
      </w:r>
      <w:r w:rsidR="009259E2" w:rsidRPr="00154F1D">
        <w:t>there is real and substantial question about the defendant’s fitness to stand trial (</w:t>
      </w:r>
      <w:r w:rsidRPr="00154F1D">
        <w:t xml:space="preserve">the </w:t>
      </w:r>
      <w:r w:rsidR="009259E2" w:rsidRPr="00154F1D">
        <w:t xml:space="preserve">ACT </w:t>
      </w:r>
      <w:r w:rsidRPr="00154F1D">
        <w:t xml:space="preserve">position </w:t>
      </w:r>
      <w:r w:rsidR="009259E2" w:rsidRPr="00154F1D">
        <w:t xml:space="preserve">and proposed in Victoria) or </w:t>
      </w:r>
      <w:r w:rsidRPr="00154F1D">
        <w:t>following</w:t>
      </w:r>
      <w:r w:rsidR="009259E2" w:rsidRPr="00154F1D">
        <w:t xml:space="preserve"> </w:t>
      </w:r>
      <w:r w:rsidRPr="00154F1D">
        <w:t xml:space="preserve">a finding that on </w:t>
      </w:r>
      <w:r w:rsidR="009259E2" w:rsidRPr="00154F1D">
        <w:t xml:space="preserve">the balance of probabilities </w:t>
      </w:r>
      <w:r w:rsidR="00566E85" w:rsidRPr="00154F1D">
        <w:t xml:space="preserve">that </w:t>
      </w:r>
      <w:r w:rsidR="009259E2" w:rsidRPr="00154F1D">
        <w:t xml:space="preserve">the </w:t>
      </w:r>
      <w:r w:rsidR="008F0CC0">
        <w:t>accused</w:t>
      </w:r>
      <w:r w:rsidR="008F0CC0" w:rsidRPr="00154F1D">
        <w:t xml:space="preserve"> </w:t>
      </w:r>
      <w:r w:rsidR="009259E2" w:rsidRPr="00154F1D">
        <w:t>was unfit to stand trial</w:t>
      </w:r>
      <w:r w:rsidR="00532E7D" w:rsidRPr="00154F1D">
        <w:t xml:space="preserve"> </w:t>
      </w:r>
      <w:r w:rsidR="008E480A" w:rsidRPr="00154F1D">
        <w:t xml:space="preserve">or unsound </w:t>
      </w:r>
      <w:r w:rsidR="00532E7D" w:rsidRPr="00154F1D">
        <w:t>(Queensland approach and current Tasmanian test for unfitness to stand trial). In addition, in the ACT, the power of discharge can be exercised where the matter is trivial or</w:t>
      </w:r>
      <w:r w:rsidR="00566E85" w:rsidRPr="00154F1D">
        <w:t>,</w:t>
      </w:r>
      <w:r w:rsidR="00532E7D" w:rsidRPr="00154F1D">
        <w:t xml:space="preserve"> taking into account the nature of the defendant’s mental impairment, it would be inappropriate to inflict any punishment on the defendant. In Victoria, it was recommended that the magistrate</w:t>
      </w:r>
      <w:r w:rsidRPr="00154F1D">
        <w:t>’s power of</w:t>
      </w:r>
      <w:r w:rsidR="00532E7D" w:rsidRPr="00154F1D">
        <w:t xml:space="preserve"> discharge </w:t>
      </w:r>
      <w:r w:rsidRPr="00154F1D">
        <w:t>would depend</w:t>
      </w:r>
      <w:r w:rsidR="00532E7D" w:rsidRPr="00154F1D">
        <w:t xml:space="preserve"> on an assessment of the risk posed to the community and the treatment, support or services received in the community by the accused. </w:t>
      </w:r>
    </w:p>
    <w:p w14:paraId="3B4E4402" w14:textId="4EDB1FD7" w:rsidR="009259E2" w:rsidRPr="00154F1D" w:rsidRDefault="009B29FB" w:rsidP="00641D0E">
      <w:pPr>
        <w:pStyle w:val="NormalNumberedTextTLRI"/>
        <w:keepNext/>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rPr>
          <w:b/>
        </w:rPr>
      </w:pPr>
      <w:bookmarkStart w:id="111" w:name="Q18"/>
      <w:r w:rsidRPr="00154F1D">
        <w:rPr>
          <w:b/>
        </w:rPr>
        <w:t>Questions</w:t>
      </w:r>
    </w:p>
    <w:bookmarkEnd w:id="111"/>
    <w:p w14:paraId="4493CA4E" w14:textId="2AD2C387" w:rsidR="009259E2" w:rsidRPr="00154F1D" w:rsidRDefault="00D64190" w:rsidP="00641D0E">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pPr>
      <w:r w:rsidRPr="00154F1D">
        <w:t>18</w:t>
      </w:r>
      <w:r w:rsidR="00532E7D" w:rsidRPr="00154F1D">
        <w:t>.</w:t>
      </w:r>
      <w:r w:rsidR="00641D0E" w:rsidRPr="00154F1D">
        <w:tab/>
      </w:r>
      <w:r w:rsidR="009259E2" w:rsidRPr="00154F1D">
        <w:t xml:space="preserve">Should the </w:t>
      </w:r>
      <w:r w:rsidR="009B29FB" w:rsidRPr="00154F1D">
        <w:rPr>
          <w:i/>
        </w:rPr>
        <w:t>Criminal Justice (Mental Impairment) Act 1999</w:t>
      </w:r>
      <w:r w:rsidR="009B29FB" w:rsidRPr="00154F1D">
        <w:t xml:space="preserve"> (Tas)</w:t>
      </w:r>
      <w:r w:rsidR="009259E2" w:rsidRPr="00154F1D">
        <w:t xml:space="preserve"> be amended to allow a magistrate to discharge an </w:t>
      </w:r>
      <w:r w:rsidR="008F0CC0">
        <w:t>individual</w:t>
      </w:r>
      <w:r w:rsidR="008F0CC0" w:rsidRPr="00154F1D">
        <w:t xml:space="preserve"> </w:t>
      </w:r>
      <w:r w:rsidR="009259E2" w:rsidRPr="00154F1D">
        <w:t xml:space="preserve">without making a determination of </w:t>
      </w:r>
      <w:r w:rsidR="008F0CC0">
        <w:t>their</w:t>
      </w:r>
      <w:r w:rsidR="009259E2" w:rsidRPr="00154F1D">
        <w:t xml:space="preserve"> fitness to stand trial or criminal responsibility?</w:t>
      </w:r>
    </w:p>
    <w:p w14:paraId="4A6137C5" w14:textId="088F4F7A" w:rsidR="009259E2" w:rsidRPr="00154F1D" w:rsidRDefault="00D64190" w:rsidP="00641D0E">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pPr>
      <w:r w:rsidRPr="00154F1D">
        <w:t>19</w:t>
      </w:r>
      <w:r w:rsidR="00532E7D" w:rsidRPr="00154F1D">
        <w:t>.</w:t>
      </w:r>
      <w:r w:rsidR="00641D0E" w:rsidRPr="00154F1D">
        <w:tab/>
      </w:r>
      <w:r w:rsidR="009259E2" w:rsidRPr="00154F1D">
        <w:t xml:space="preserve">What </w:t>
      </w:r>
      <w:r w:rsidR="00532E7D" w:rsidRPr="00154F1D">
        <w:t xml:space="preserve">(if any) </w:t>
      </w:r>
      <w:r w:rsidR="009259E2" w:rsidRPr="00154F1D">
        <w:t xml:space="preserve">limitations should </w:t>
      </w:r>
      <w:r w:rsidR="00532E7D" w:rsidRPr="00154F1D">
        <w:t>be set out in relation to the exercise of the power of discharge?</w:t>
      </w:r>
    </w:p>
    <w:p w14:paraId="3ADABE6D" w14:textId="77777777" w:rsidR="00641D0E" w:rsidRPr="00154F1D" w:rsidRDefault="00641D0E" w:rsidP="00641D0E">
      <w:pPr>
        <w:pStyle w:val="NumberlessNormalText"/>
      </w:pPr>
    </w:p>
    <w:p w14:paraId="3C05344B" w14:textId="77777777" w:rsidR="00641D0E" w:rsidRPr="00154F1D" w:rsidRDefault="00641D0E" w:rsidP="00641D0E">
      <w:pPr>
        <w:pStyle w:val="NumberlessNormalText"/>
      </w:pPr>
    </w:p>
    <w:p w14:paraId="1E99825B" w14:textId="77777777" w:rsidR="00641D0E" w:rsidRPr="00154F1D" w:rsidRDefault="00641D0E" w:rsidP="00641D0E">
      <w:pPr>
        <w:pStyle w:val="NumberlessNormalText"/>
        <w:sectPr w:rsidR="00641D0E" w:rsidRPr="00154F1D" w:rsidSect="00D44CC5">
          <w:headerReference w:type="default" r:id="rId35"/>
          <w:pgSz w:w="11900" w:h="16840"/>
          <w:pgMar w:top="1440" w:right="1797" w:bottom="1440" w:left="1797" w:header="709" w:footer="709" w:gutter="0"/>
          <w:cols w:space="708"/>
          <w:titlePg/>
          <w:docGrid w:linePitch="360"/>
        </w:sectPr>
      </w:pPr>
    </w:p>
    <w:p w14:paraId="7446AF8F" w14:textId="77777777" w:rsidR="00601522" w:rsidRPr="00154F1D" w:rsidRDefault="00601522" w:rsidP="00601522">
      <w:pPr>
        <w:pStyle w:val="PartNoTLRI"/>
      </w:pPr>
      <w:bookmarkStart w:id="112" w:name="_Toc535868944"/>
      <w:bookmarkEnd w:id="112"/>
    </w:p>
    <w:p w14:paraId="34A10DC8" w14:textId="54AD08E3" w:rsidR="003B6EAF" w:rsidRPr="00154F1D" w:rsidRDefault="00601522" w:rsidP="00601522">
      <w:pPr>
        <w:pStyle w:val="PartHeadingTLRI"/>
        <w:rPr>
          <w:sz w:val="48"/>
          <w:szCs w:val="48"/>
        </w:rPr>
      </w:pPr>
      <w:bookmarkStart w:id="113" w:name="_Toc535868945"/>
      <w:r w:rsidRPr="00154F1D">
        <w:rPr>
          <w:sz w:val="48"/>
          <w:szCs w:val="48"/>
        </w:rPr>
        <w:t xml:space="preserve">Unfitness to </w:t>
      </w:r>
      <w:r w:rsidR="00641D0E" w:rsidRPr="00154F1D">
        <w:rPr>
          <w:sz w:val="48"/>
          <w:szCs w:val="48"/>
        </w:rPr>
        <w:t>S</w:t>
      </w:r>
      <w:r w:rsidRPr="00154F1D">
        <w:rPr>
          <w:sz w:val="48"/>
          <w:szCs w:val="48"/>
        </w:rPr>
        <w:t xml:space="preserve">tand </w:t>
      </w:r>
      <w:r w:rsidR="00641D0E" w:rsidRPr="00154F1D">
        <w:rPr>
          <w:sz w:val="48"/>
          <w:szCs w:val="48"/>
        </w:rPr>
        <w:t>T</w:t>
      </w:r>
      <w:r w:rsidRPr="00154F1D">
        <w:rPr>
          <w:sz w:val="48"/>
          <w:szCs w:val="48"/>
        </w:rPr>
        <w:t xml:space="preserve">rial: </w:t>
      </w:r>
      <w:r w:rsidR="00617598" w:rsidRPr="00154F1D">
        <w:rPr>
          <w:sz w:val="48"/>
          <w:szCs w:val="48"/>
        </w:rPr>
        <w:t xml:space="preserve">Procedure </w:t>
      </w:r>
      <w:r w:rsidR="00641D0E" w:rsidRPr="00154F1D">
        <w:rPr>
          <w:sz w:val="48"/>
          <w:szCs w:val="48"/>
        </w:rPr>
        <w:t>F</w:t>
      </w:r>
      <w:r w:rsidR="00617598" w:rsidRPr="00154F1D">
        <w:rPr>
          <w:sz w:val="48"/>
          <w:szCs w:val="48"/>
        </w:rPr>
        <w:t xml:space="preserve">ollowing a </w:t>
      </w:r>
      <w:r w:rsidR="00641D0E" w:rsidRPr="00154F1D">
        <w:rPr>
          <w:sz w:val="48"/>
          <w:szCs w:val="48"/>
        </w:rPr>
        <w:t>D</w:t>
      </w:r>
      <w:r w:rsidR="00617598" w:rsidRPr="00154F1D">
        <w:rPr>
          <w:sz w:val="48"/>
          <w:szCs w:val="48"/>
        </w:rPr>
        <w:t xml:space="preserve">etermination of </w:t>
      </w:r>
      <w:r w:rsidR="00641D0E" w:rsidRPr="00154F1D">
        <w:rPr>
          <w:sz w:val="48"/>
          <w:szCs w:val="48"/>
        </w:rPr>
        <w:t>U</w:t>
      </w:r>
      <w:r w:rsidR="00617598" w:rsidRPr="00154F1D">
        <w:rPr>
          <w:sz w:val="48"/>
          <w:szCs w:val="48"/>
        </w:rPr>
        <w:t xml:space="preserve">nfitness to </w:t>
      </w:r>
      <w:r w:rsidR="00641D0E" w:rsidRPr="00154F1D">
        <w:rPr>
          <w:sz w:val="48"/>
          <w:szCs w:val="48"/>
        </w:rPr>
        <w:t>S</w:t>
      </w:r>
      <w:r w:rsidR="00617598" w:rsidRPr="00154F1D">
        <w:rPr>
          <w:sz w:val="48"/>
          <w:szCs w:val="48"/>
        </w:rPr>
        <w:t xml:space="preserve">tand </w:t>
      </w:r>
      <w:r w:rsidR="00641D0E" w:rsidRPr="00154F1D">
        <w:rPr>
          <w:sz w:val="48"/>
          <w:szCs w:val="48"/>
        </w:rPr>
        <w:t>T</w:t>
      </w:r>
      <w:r w:rsidR="00617598" w:rsidRPr="00154F1D">
        <w:rPr>
          <w:sz w:val="48"/>
          <w:szCs w:val="48"/>
        </w:rPr>
        <w:t>rial</w:t>
      </w:r>
      <w:bookmarkEnd w:id="113"/>
    </w:p>
    <w:p w14:paraId="4A4063B0" w14:textId="0022D5D6" w:rsidR="000B7247" w:rsidRPr="00154F1D" w:rsidRDefault="000B7247" w:rsidP="00D80045">
      <w:pPr>
        <w:pStyle w:val="NumberedHeadingTLRI"/>
      </w:pPr>
      <w:bookmarkStart w:id="114" w:name="_Toc535868946"/>
      <w:r w:rsidRPr="00154F1D">
        <w:t>Introduction</w:t>
      </w:r>
      <w:bookmarkEnd w:id="114"/>
    </w:p>
    <w:p w14:paraId="233D423D" w14:textId="5AAD99BF" w:rsidR="000B7247" w:rsidRPr="00154F1D" w:rsidRDefault="000B7247" w:rsidP="00744FAA">
      <w:pPr>
        <w:pStyle w:val="NormalNumberedTextTLRI"/>
      </w:pPr>
      <w:r w:rsidRPr="00154F1D">
        <w:t>This Part sets out the procedure following a determination of unfitness to stand trial in Tasmania and in other comparable jurisdictions. It then examines options for reform of the procedure following a determination of unfitness to stand trial.</w:t>
      </w:r>
    </w:p>
    <w:p w14:paraId="1941B85E" w14:textId="77777777" w:rsidR="003B6EAF" w:rsidRPr="00154F1D" w:rsidRDefault="003B6EAF" w:rsidP="00D80045">
      <w:pPr>
        <w:pStyle w:val="NumberedHeadingTLRI"/>
      </w:pPr>
      <w:bookmarkStart w:id="115" w:name="_Toc535868947"/>
      <w:r w:rsidRPr="00154F1D">
        <w:t>The Tasmanian position</w:t>
      </w:r>
      <w:bookmarkEnd w:id="115"/>
    </w:p>
    <w:p w14:paraId="1E0E10F6" w14:textId="2482F230" w:rsidR="00FC35E9" w:rsidRPr="00154F1D" w:rsidRDefault="00F82AFF" w:rsidP="00744FAA">
      <w:pPr>
        <w:pStyle w:val="NormalNumberedTextTLRI"/>
        <w:rPr>
          <w:sz w:val="20"/>
        </w:rPr>
      </w:pPr>
      <w:r w:rsidRPr="00154F1D">
        <w:t xml:space="preserve">As shown in Figure </w:t>
      </w:r>
      <w:r w:rsidR="000B7247" w:rsidRPr="00154F1D">
        <w:t>5</w:t>
      </w:r>
      <w:r w:rsidRPr="00154F1D">
        <w:t>.1, f</w:t>
      </w:r>
      <w:r w:rsidR="003B6EAF" w:rsidRPr="00154F1D">
        <w:t xml:space="preserve">ollowing a finding that </w:t>
      </w:r>
      <w:r w:rsidR="008F0CC0">
        <w:t>a person</w:t>
      </w:r>
      <w:r w:rsidR="003B6EAF" w:rsidRPr="00154F1D">
        <w:t xml:space="preserve"> is unfit to stand trial, </w:t>
      </w:r>
      <w:r w:rsidR="00EC4908" w:rsidRPr="00154F1D">
        <w:t>the court makes a determination of whether or not the defe</w:t>
      </w:r>
      <w:r w:rsidR="00FC35E9" w:rsidRPr="00154F1D">
        <w:t>nd</w:t>
      </w:r>
      <w:r w:rsidR="00EC4908" w:rsidRPr="00154F1D">
        <w:t>ant is likely to become fit to s</w:t>
      </w:r>
      <w:r w:rsidR="00FC35E9" w:rsidRPr="00154F1D">
        <w:t>tan</w:t>
      </w:r>
      <w:r w:rsidR="00EC4908" w:rsidRPr="00154F1D">
        <w:t>d tr</w:t>
      </w:r>
      <w:r w:rsidRPr="00154F1D">
        <w:t>ia</w:t>
      </w:r>
      <w:r w:rsidR="00EC4908" w:rsidRPr="00154F1D">
        <w:t>l d</w:t>
      </w:r>
      <w:r w:rsidR="00FC35E9" w:rsidRPr="00154F1D">
        <w:t>uring</w:t>
      </w:r>
      <w:r w:rsidR="00EC4908" w:rsidRPr="00154F1D">
        <w:t xml:space="preserve"> the next 12 months.</w:t>
      </w:r>
      <w:r w:rsidR="00EC4908" w:rsidRPr="00154F1D">
        <w:rPr>
          <w:rStyle w:val="FootnoteReference"/>
        </w:rPr>
        <w:footnoteReference w:id="281"/>
      </w:r>
      <w:r w:rsidRPr="00154F1D">
        <w:t xml:space="preserve"> If the court determines that the </w:t>
      </w:r>
      <w:r w:rsidR="008F0CC0">
        <w:t>person</w:t>
      </w:r>
      <w:r w:rsidR="008F0CC0" w:rsidRPr="00154F1D">
        <w:t xml:space="preserve"> </w:t>
      </w:r>
      <w:r w:rsidR="00E03B0A" w:rsidRPr="00154F1D">
        <w:t xml:space="preserve">is likely to become fit to stand trial during the next 12 months, the court adjourns the proceedings. However, if the court determines that the defendant is </w:t>
      </w:r>
      <w:r w:rsidR="00E96759">
        <w:t>un</w:t>
      </w:r>
      <w:r w:rsidR="00E03B0A" w:rsidRPr="00154F1D">
        <w:t>likely to become fit to stand trial within 12 months or the defendant does not become fit to stand trial within 12 months, then the court holds a special hearing</w:t>
      </w:r>
      <w:r w:rsidR="003B6EAF" w:rsidRPr="00154F1D">
        <w:t>.</w:t>
      </w:r>
      <w:r w:rsidR="00E03B0A" w:rsidRPr="00154F1D">
        <w:rPr>
          <w:rStyle w:val="FootnoteReference"/>
        </w:rPr>
        <w:footnoteReference w:id="282"/>
      </w:r>
      <w:r w:rsidR="003B6EAF" w:rsidRPr="00154F1D">
        <w:t xml:space="preserve"> </w:t>
      </w:r>
    </w:p>
    <w:p w14:paraId="525B617F" w14:textId="22A4EC63" w:rsidR="003E057D" w:rsidRPr="00154F1D" w:rsidRDefault="00E03B0A" w:rsidP="00744FAA">
      <w:pPr>
        <w:pStyle w:val="NormalNumberedTextTLRI"/>
        <w:rPr>
          <w:sz w:val="20"/>
        </w:rPr>
      </w:pPr>
      <w:r w:rsidRPr="00154F1D">
        <w:t xml:space="preserve">As noted at </w:t>
      </w:r>
      <w:r w:rsidR="00200E00" w:rsidRPr="00154F1D">
        <w:t>[2.4.1]</w:t>
      </w:r>
      <w:r w:rsidRPr="00154F1D">
        <w:t>, p</w:t>
      </w:r>
      <w:r w:rsidR="00770ABD" w:rsidRPr="00154F1D">
        <w:t xml:space="preserve">rior to the introduction of the </w:t>
      </w:r>
      <w:r w:rsidR="00E57E9F" w:rsidRPr="00154F1D">
        <w:rPr>
          <w:i/>
        </w:rPr>
        <w:t>Criminal Justice Mental Impairment Act 1999</w:t>
      </w:r>
      <w:r w:rsidR="00E57E9F" w:rsidRPr="00154F1D">
        <w:t xml:space="preserve"> (Tas)</w:t>
      </w:r>
      <w:r w:rsidR="00770ABD" w:rsidRPr="00154F1D">
        <w:t xml:space="preserve">, if </w:t>
      </w:r>
      <w:r w:rsidRPr="00154F1D">
        <w:t xml:space="preserve">a </w:t>
      </w:r>
      <w:r w:rsidR="00770ABD" w:rsidRPr="00154F1D">
        <w:t>person was found to be unfit to stand trial, then they would be detained under a restriction order, notwithstanding that the prosecution case had not been tested.</w:t>
      </w:r>
      <w:bookmarkStart w:id="116" w:name="_Ref535149801"/>
      <w:r w:rsidR="00770ABD" w:rsidRPr="00154F1D">
        <w:rPr>
          <w:rStyle w:val="FootnoteReference"/>
        </w:rPr>
        <w:footnoteReference w:id="283"/>
      </w:r>
      <w:bookmarkEnd w:id="116"/>
      <w:r w:rsidR="00770ABD" w:rsidRPr="00154F1D">
        <w:t xml:space="preserve"> Under the </w:t>
      </w:r>
      <w:r w:rsidR="00E57E9F" w:rsidRPr="00154F1D">
        <w:rPr>
          <w:i/>
        </w:rPr>
        <w:t>Criminal Justice Mental Impairment Act 1999</w:t>
      </w:r>
      <w:r w:rsidR="00E57E9F" w:rsidRPr="00154F1D">
        <w:t xml:space="preserve"> (Tas)</w:t>
      </w:r>
      <w:r w:rsidR="00770ABD" w:rsidRPr="00154F1D">
        <w:t xml:space="preserve">, a process is set out for a special hearing to determine </w:t>
      </w:r>
      <w:r w:rsidRPr="00154F1D">
        <w:t>‘</w:t>
      </w:r>
      <w:r w:rsidR="003E057D" w:rsidRPr="00154F1D">
        <w:t>whether, despite the unfitness of the defendant to stand trial, on the limited evidence available the defendant is not guilty of an offence’.</w:t>
      </w:r>
      <w:r w:rsidR="003E057D" w:rsidRPr="00154F1D">
        <w:rPr>
          <w:rStyle w:val="FootnoteReference"/>
        </w:rPr>
        <w:footnoteReference w:id="284"/>
      </w:r>
      <w:r w:rsidR="003B7AE4" w:rsidRPr="00154F1D">
        <w:t xml:space="preserve"> In the Supreme Court this question is determined by jury</w:t>
      </w:r>
      <w:r w:rsidR="00C95D70">
        <w:t>,</w:t>
      </w:r>
      <w:r w:rsidR="003B7AE4" w:rsidRPr="00154F1D">
        <w:rPr>
          <w:rStyle w:val="FootnoteReference"/>
        </w:rPr>
        <w:footnoteReference w:id="285"/>
      </w:r>
      <w:r w:rsidR="003B7AE4" w:rsidRPr="00154F1D">
        <w:t xml:space="preserve"> and in the Magistrates Court it is determined by the magistrate. </w:t>
      </w:r>
    </w:p>
    <w:p w14:paraId="2E856B2D" w14:textId="5FDFB6C0" w:rsidR="003B7AE4" w:rsidRPr="00154F1D" w:rsidRDefault="003E057D" w:rsidP="00744FAA">
      <w:pPr>
        <w:pStyle w:val="NormalNumberedTextTLRI"/>
        <w:rPr>
          <w:sz w:val="20"/>
        </w:rPr>
      </w:pPr>
      <w:r w:rsidRPr="00154F1D">
        <w:t xml:space="preserve">The </w:t>
      </w:r>
      <w:r w:rsidR="00E57E9F" w:rsidRPr="00154F1D">
        <w:rPr>
          <w:i/>
        </w:rPr>
        <w:t>Criminal Justice Mental Impairment Act 1999</w:t>
      </w:r>
      <w:r w:rsidR="00E57E9F" w:rsidRPr="00154F1D">
        <w:t xml:space="preserve"> (Tas)</w:t>
      </w:r>
      <w:r w:rsidRPr="00154F1D">
        <w:t xml:space="preserve"> provides that the special hearing ‘is to be conducted so that the onus of proof and standard of proof are the same as in a trial of criminal proceeding and in other respects as nearly as possible as if it were a trial of criminal proceedings’.</w:t>
      </w:r>
      <w:r w:rsidRPr="00154F1D">
        <w:rPr>
          <w:rStyle w:val="FootnoteReference"/>
        </w:rPr>
        <w:footnoteReference w:id="286"/>
      </w:r>
      <w:r w:rsidR="003B7AE4" w:rsidRPr="00154F1D">
        <w:t xml:space="preserve"> At a special hearing:</w:t>
      </w:r>
    </w:p>
    <w:p w14:paraId="4AFC34E8" w14:textId="0B6351B4" w:rsidR="003B7AE4" w:rsidRPr="00154F1D" w:rsidRDefault="003E057D" w:rsidP="00237FA7">
      <w:pPr>
        <w:pStyle w:val="DotPointTLRI"/>
        <w:ind w:left="851" w:hanging="425"/>
        <w:rPr>
          <w:sz w:val="20"/>
        </w:rPr>
      </w:pPr>
      <w:r w:rsidRPr="00154F1D">
        <w:t xml:space="preserve">the defendant is </w:t>
      </w:r>
      <w:r w:rsidR="003B7AE4" w:rsidRPr="00154F1D">
        <w:t>taken</w:t>
      </w:r>
      <w:r w:rsidRPr="00154F1D">
        <w:t xml:space="preserve"> to have </w:t>
      </w:r>
      <w:r w:rsidR="003B7AE4" w:rsidRPr="00154F1D">
        <w:t>pleaded</w:t>
      </w:r>
      <w:r w:rsidRPr="00154F1D">
        <w:t xml:space="preserve"> not guilty to </w:t>
      </w:r>
      <w:r w:rsidR="003B7AE4" w:rsidRPr="00154F1D">
        <w:t xml:space="preserve">the offence; and </w:t>
      </w:r>
    </w:p>
    <w:p w14:paraId="6D696388" w14:textId="77777777" w:rsidR="003B7AE4" w:rsidRPr="00154F1D" w:rsidRDefault="003B7AE4" w:rsidP="00237FA7">
      <w:pPr>
        <w:pStyle w:val="DotPointTLRI"/>
        <w:ind w:left="851" w:hanging="425"/>
        <w:rPr>
          <w:sz w:val="20"/>
        </w:rPr>
      </w:pPr>
      <w:r w:rsidRPr="00154F1D">
        <w:t xml:space="preserve">the defendant’s legal representatives may exercise the defendant’s rights to challenge jurors or the jury; and </w:t>
      </w:r>
    </w:p>
    <w:p w14:paraId="0285C0EC" w14:textId="77777777" w:rsidR="003B7AE4" w:rsidRPr="00154F1D" w:rsidRDefault="003B7AE4" w:rsidP="00237FA7">
      <w:pPr>
        <w:pStyle w:val="DotPointTLRI"/>
        <w:ind w:left="851" w:hanging="425"/>
        <w:rPr>
          <w:sz w:val="20"/>
        </w:rPr>
      </w:pPr>
      <w:r w:rsidRPr="00154F1D">
        <w:t>the defendant may raise any defence that could be properly raised if the special hearing were an ordinary trial of criminal proceedings; and</w:t>
      </w:r>
    </w:p>
    <w:p w14:paraId="1449468C" w14:textId="77777777" w:rsidR="003B7AE4" w:rsidRPr="00154F1D" w:rsidRDefault="003B7AE4" w:rsidP="00237FA7">
      <w:pPr>
        <w:pStyle w:val="DotPointTLRI"/>
        <w:ind w:left="851" w:hanging="425"/>
        <w:rPr>
          <w:sz w:val="20"/>
        </w:rPr>
      </w:pPr>
      <w:r w:rsidRPr="00154F1D">
        <w:t>the defendant is entitled to give evidence.</w:t>
      </w:r>
      <w:r w:rsidRPr="00154F1D">
        <w:rPr>
          <w:rStyle w:val="FootnoteReference"/>
        </w:rPr>
        <w:footnoteReference w:id="287"/>
      </w:r>
      <w:r w:rsidRPr="00154F1D">
        <w:t xml:space="preserve"> </w:t>
      </w:r>
    </w:p>
    <w:p w14:paraId="5EA9D9B6" w14:textId="7D6AC95A" w:rsidR="00FE0FAC" w:rsidRPr="00154F1D" w:rsidRDefault="00424F53" w:rsidP="00237FA7">
      <w:pPr>
        <w:pStyle w:val="NormalNumberedTextTLRI"/>
        <w:numPr>
          <w:ilvl w:val="0"/>
          <w:numId w:val="0"/>
        </w:numPr>
      </w:pPr>
      <w:r w:rsidRPr="00154F1D">
        <w:t xml:space="preserve">In </w:t>
      </w:r>
      <w:r w:rsidR="00DD4586" w:rsidRPr="00154F1D">
        <w:rPr>
          <w:i/>
        </w:rPr>
        <w:t>Tasmania v Bosworth</w:t>
      </w:r>
      <w:r w:rsidR="00DD4586" w:rsidRPr="00154F1D">
        <w:t>,</w:t>
      </w:r>
      <w:r w:rsidR="00DD4586" w:rsidRPr="00154F1D">
        <w:rPr>
          <w:rStyle w:val="FootnoteReference"/>
        </w:rPr>
        <w:footnoteReference w:id="288"/>
      </w:r>
      <w:r w:rsidR="00150950" w:rsidRPr="00154F1D">
        <w:t xml:space="preserve"> </w:t>
      </w:r>
      <w:r w:rsidR="00AA005C" w:rsidRPr="00154F1D">
        <w:t>Crawford J explained that the hearing ‘is an opportunity for the State and the accused to call evidence, in the usual way, relevant to the question whether the accused is guilty of the offence or offences charged.</w:t>
      </w:r>
      <w:r w:rsidR="00237FA7" w:rsidRPr="00154F1D">
        <w:t>’</w:t>
      </w:r>
      <w:r w:rsidR="00AA005C" w:rsidRPr="00154F1D">
        <w:rPr>
          <w:rStyle w:val="FootnoteReference"/>
        </w:rPr>
        <w:footnoteReference w:id="289"/>
      </w:r>
      <w:r w:rsidR="00150950" w:rsidRPr="00154F1D">
        <w:t xml:space="preserve"> If the accused is unable to </w:t>
      </w:r>
      <w:r w:rsidR="00FA1032" w:rsidRPr="00154F1D">
        <w:t xml:space="preserve">give </w:t>
      </w:r>
      <w:r w:rsidR="00150950" w:rsidRPr="00154F1D">
        <w:t xml:space="preserve">instruction </w:t>
      </w:r>
      <w:r w:rsidR="00FA1032" w:rsidRPr="00154F1D">
        <w:t xml:space="preserve">to </w:t>
      </w:r>
      <w:r w:rsidR="00150950" w:rsidRPr="00154F1D">
        <w:t>h</w:t>
      </w:r>
      <w:r w:rsidR="00FA1032" w:rsidRPr="00154F1D">
        <w:t>i</w:t>
      </w:r>
      <w:r w:rsidR="00150950" w:rsidRPr="00154F1D">
        <w:t xml:space="preserve">s or her legal </w:t>
      </w:r>
      <w:r w:rsidR="00FA1032" w:rsidRPr="00154F1D">
        <w:t>representative, the legal representative may act, in the exercise of an independent discretion, in what he or she genuinely believes to be the defendant’s best interests.</w:t>
      </w:r>
      <w:r w:rsidR="00FA1032" w:rsidRPr="00154F1D">
        <w:rPr>
          <w:rStyle w:val="FootnoteReference"/>
        </w:rPr>
        <w:footnoteReference w:id="290"/>
      </w:r>
      <w:r w:rsidR="00FA1032" w:rsidRPr="00154F1D">
        <w:t xml:space="preserve"> </w:t>
      </w:r>
      <w:r w:rsidR="00C7215F" w:rsidRPr="00154F1D">
        <w:t>In addition, t</w:t>
      </w:r>
      <w:r w:rsidR="00FD122F" w:rsidRPr="00154F1D">
        <w:t>he</w:t>
      </w:r>
      <w:r w:rsidR="00980470" w:rsidRPr="00154F1D">
        <w:t xml:space="preserve"> court has a discretion to permit an accused to be absent from a special hearing.</w:t>
      </w:r>
      <w:r w:rsidR="00980470" w:rsidRPr="00154F1D">
        <w:rPr>
          <w:rStyle w:val="FootnoteReference"/>
        </w:rPr>
        <w:footnoteReference w:id="291"/>
      </w:r>
    </w:p>
    <w:p w14:paraId="32023F2A" w14:textId="0EF336FA" w:rsidR="00C7215F" w:rsidRPr="00154F1D" w:rsidRDefault="00C7215F" w:rsidP="00744FAA">
      <w:pPr>
        <w:pStyle w:val="NormalNumberedTextTLRI"/>
      </w:pPr>
      <w:r w:rsidRPr="00154F1D">
        <w:rPr>
          <w:lang w:val="en-US"/>
        </w:rPr>
        <w:t xml:space="preserve">Although the original intention was for ‘the special hearing … to determine the external facts of the case </w:t>
      </w:r>
      <w:r w:rsidR="00237FA7" w:rsidRPr="00154F1D">
        <w:rPr>
          <w:lang w:val="en-US"/>
        </w:rPr>
        <w:t>—</w:t>
      </w:r>
      <w:r w:rsidRPr="00154F1D">
        <w:rPr>
          <w:lang w:val="en-US"/>
        </w:rPr>
        <w:t xml:space="preserve"> excluding the question of intent </w:t>
      </w:r>
      <w:r w:rsidR="00237FA7" w:rsidRPr="00154F1D">
        <w:rPr>
          <w:lang w:val="en-US"/>
        </w:rPr>
        <w:t>—</w:t>
      </w:r>
      <w:r w:rsidRPr="00154F1D">
        <w:rPr>
          <w:lang w:val="en-US"/>
        </w:rPr>
        <w:t xml:space="preserve"> to ascertain whether the basic prosecution case can be proved beyond reasonable doubt’,</w:t>
      </w:r>
      <w:r w:rsidRPr="00154F1D">
        <w:rPr>
          <w:rStyle w:val="FootnoteReference"/>
          <w:lang w:val="en-US"/>
        </w:rPr>
        <w:footnoteReference w:id="292"/>
      </w:r>
      <w:r w:rsidRPr="00154F1D">
        <w:rPr>
          <w:lang w:val="en-US"/>
        </w:rPr>
        <w:t xml:space="preserve"> it appears that </w:t>
      </w:r>
      <w:r w:rsidR="008926CB" w:rsidRPr="00154F1D">
        <w:rPr>
          <w:lang w:val="en-US"/>
        </w:rPr>
        <w:t xml:space="preserve">an accused’s intention is relevant to the jury’s assessment in special hearings. In </w:t>
      </w:r>
      <w:r w:rsidR="008926CB" w:rsidRPr="00154F1D">
        <w:rPr>
          <w:i/>
          <w:lang w:val="en-US"/>
        </w:rPr>
        <w:t>Tasmania v W</w:t>
      </w:r>
      <w:r w:rsidR="008926CB" w:rsidRPr="00154F1D">
        <w:rPr>
          <w:lang w:val="en-US"/>
        </w:rPr>
        <w:t>,</w:t>
      </w:r>
      <w:r w:rsidR="008926CB" w:rsidRPr="00154F1D">
        <w:rPr>
          <w:rStyle w:val="FootnoteReference"/>
          <w:lang w:val="en-US"/>
        </w:rPr>
        <w:footnoteReference w:id="293"/>
      </w:r>
      <w:r w:rsidR="008926CB" w:rsidRPr="00154F1D">
        <w:rPr>
          <w:lang w:val="en-US"/>
        </w:rPr>
        <w:t xml:space="preserve"> the</w:t>
      </w:r>
      <w:r w:rsidR="00FD721A" w:rsidRPr="00154F1D">
        <w:rPr>
          <w:lang w:val="en-US"/>
        </w:rPr>
        <w:t xml:space="preserve"> defendant faced a special hearing in relation to one count of committing an unlawful act intended to cause bodily harm and, in the alternative, causing grievous bodily harm. The defendant was found not guilty of the first count, but the jury was not able to find that he was not guilty of the alternative crime of causing grievous bodily harm</w:t>
      </w:r>
      <w:r w:rsidRPr="00154F1D">
        <w:rPr>
          <w:lang w:val="en-US"/>
        </w:rPr>
        <w:t>.</w:t>
      </w:r>
      <w:r w:rsidR="00FD721A" w:rsidRPr="00154F1D">
        <w:rPr>
          <w:lang w:val="en-US"/>
        </w:rPr>
        <w:t xml:space="preserve"> In making orders under the </w:t>
      </w:r>
      <w:r w:rsidR="00E57E9F" w:rsidRPr="00154F1D">
        <w:rPr>
          <w:i/>
        </w:rPr>
        <w:t>Criminal Justice Mental Impairment Act 1999</w:t>
      </w:r>
      <w:r w:rsidR="00E57E9F" w:rsidRPr="00154F1D">
        <w:t xml:space="preserve"> (Tas)</w:t>
      </w:r>
      <w:r w:rsidR="00FD721A" w:rsidRPr="00154F1D">
        <w:rPr>
          <w:lang w:val="en-US"/>
        </w:rPr>
        <w:t>, Wood J stated that</w:t>
      </w:r>
      <w:r w:rsidR="00164AD7" w:rsidRPr="00154F1D">
        <w:rPr>
          <w:lang w:val="en-US"/>
        </w:rPr>
        <w:t>:</w:t>
      </w:r>
    </w:p>
    <w:p w14:paraId="6078473F" w14:textId="4C87BAF2" w:rsidR="00164AD7" w:rsidRPr="00154F1D" w:rsidRDefault="00164AD7" w:rsidP="0074267A">
      <w:pPr>
        <w:pStyle w:val="QuoteTLRI"/>
      </w:pPr>
      <w:r w:rsidRPr="00154F1D">
        <w:t>Clearly, the jury was not satisfied beyond reasonable doubt that the defendant had held the necessary intention required for the charge of committing an unlawful act intended to cause bodily harm. The jury was not satisfied beyond reasonable doubt that … W had intended to cause Mr S grievous bodily harm. The jury must have been satisfied that he realised that striking Mr S and causing him grievous bodily harm was a likely consequence of driving at him, and that he went ahead disregarding that risk.</w:t>
      </w:r>
      <w:r w:rsidRPr="00154F1D">
        <w:rPr>
          <w:rStyle w:val="FootnoteReference"/>
        </w:rPr>
        <w:footnoteReference w:id="294"/>
      </w:r>
    </w:p>
    <w:p w14:paraId="19BC2FD4" w14:textId="5BF732CA" w:rsidR="00FC2055" w:rsidRPr="00154F1D" w:rsidRDefault="005912B8" w:rsidP="003D2909">
      <w:pPr>
        <w:pStyle w:val="NormalNumberedTextTLRI"/>
        <w:numPr>
          <w:ilvl w:val="0"/>
          <w:numId w:val="0"/>
        </w:numPr>
      </w:pPr>
      <w:r w:rsidRPr="00154F1D">
        <w:t xml:space="preserve">Accordingly, in order for a jury to be unable to find that an accused is not guilty, the prosecution must prove the external facts and mental element for the offence, as well as disprove any relevant defence (such as self-defence) beyond reasonable doubt. If the defence of insanity is raised, </w:t>
      </w:r>
      <w:r w:rsidR="00C716C3" w:rsidRPr="00154F1D">
        <w:t>this must be proved</w:t>
      </w:r>
      <w:r w:rsidR="000C1DAF" w:rsidRPr="00154F1D">
        <w:t xml:space="preserve"> </w:t>
      </w:r>
      <w:r w:rsidR="009945DB" w:rsidRPr="00154F1D">
        <w:t xml:space="preserve">by the accused </w:t>
      </w:r>
      <w:r w:rsidR="000C1DAF" w:rsidRPr="00154F1D">
        <w:t>on the balance of probabilities</w:t>
      </w:r>
      <w:r w:rsidR="00C504F7" w:rsidRPr="00154F1D">
        <w:t>.</w:t>
      </w:r>
      <w:r w:rsidR="00C504F7" w:rsidRPr="00154F1D">
        <w:rPr>
          <w:rStyle w:val="FootnoteReference"/>
        </w:rPr>
        <w:footnoteReference w:id="295"/>
      </w:r>
    </w:p>
    <w:p w14:paraId="76878EC3" w14:textId="1CDDF00F" w:rsidR="00AF2A67" w:rsidRPr="00154F1D" w:rsidRDefault="00AF2A67" w:rsidP="00744FAA">
      <w:pPr>
        <w:pStyle w:val="NormalNumberedTextTLRI"/>
      </w:pPr>
      <w:r w:rsidRPr="00154F1D">
        <w:t>At a special hearing, there are three findings available to the court.</w:t>
      </w:r>
      <w:r w:rsidRPr="00154F1D">
        <w:rPr>
          <w:rStyle w:val="FootnoteReference"/>
        </w:rPr>
        <w:footnoteReference w:id="296"/>
      </w:r>
      <w:r w:rsidRPr="00154F1D">
        <w:t xml:space="preserve"> The court may:</w:t>
      </w:r>
    </w:p>
    <w:p w14:paraId="01F91B42" w14:textId="12C98D79" w:rsidR="00AF2A67" w:rsidRPr="00154F1D" w:rsidRDefault="00AF2A67" w:rsidP="003D2909">
      <w:pPr>
        <w:pStyle w:val="NormalNumberedTextTLRI"/>
        <w:numPr>
          <w:ilvl w:val="0"/>
          <w:numId w:val="11"/>
        </w:numPr>
        <w:tabs>
          <w:tab w:val="clear" w:pos="851"/>
        </w:tabs>
        <w:ind w:left="851" w:hanging="425"/>
      </w:pPr>
      <w:r w:rsidRPr="00154F1D">
        <w:t>find the defendant not guilty of the offence. This has the same effect as a</w:t>
      </w:r>
      <w:r w:rsidR="00670147" w:rsidRPr="00154F1D">
        <w:t xml:space="preserve"> finding of not guilty </w:t>
      </w:r>
      <w:r w:rsidRPr="00154F1D">
        <w:t>following a trial of criminal proceedings;</w:t>
      </w:r>
      <w:r w:rsidR="00670147" w:rsidRPr="00154F1D">
        <w:rPr>
          <w:rStyle w:val="FootnoteReference"/>
        </w:rPr>
        <w:footnoteReference w:id="297"/>
      </w:r>
      <w:r w:rsidRPr="00154F1D">
        <w:t xml:space="preserve"> </w:t>
      </w:r>
    </w:p>
    <w:p w14:paraId="4AD84142" w14:textId="0634FDE2" w:rsidR="00670147" w:rsidRPr="00154F1D" w:rsidRDefault="009945DB" w:rsidP="003D2909">
      <w:pPr>
        <w:pStyle w:val="NormalNumberedTextTLRI"/>
        <w:numPr>
          <w:ilvl w:val="0"/>
          <w:numId w:val="11"/>
        </w:numPr>
        <w:tabs>
          <w:tab w:val="clear" w:pos="851"/>
        </w:tabs>
        <w:ind w:left="851" w:hanging="425"/>
      </w:pPr>
      <w:r w:rsidRPr="00154F1D">
        <w:t xml:space="preserve">find the defendant </w:t>
      </w:r>
      <w:r w:rsidR="00AF2A67" w:rsidRPr="00154F1D">
        <w:t>not g</w:t>
      </w:r>
      <w:r w:rsidR="00670147" w:rsidRPr="00154F1D">
        <w:t>uilty on the ground of insanity; or</w:t>
      </w:r>
    </w:p>
    <w:p w14:paraId="7ED76518" w14:textId="2D968815" w:rsidR="00AF2A67" w:rsidRPr="00154F1D" w:rsidRDefault="009945DB" w:rsidP="003D2909">
      <w:pPr>
        <w:pStyle w:val="NormalNumberedTextTLRI"/>
        <w:numPr>
          <w:ilvl w:val="0"/>
          <w:numId w:val="11"/>
        </w:numPr>
        <w:tabs>
          <w:tab w:val="clear" w:pos="851"/>
        </w:tabs>
        <w:ind w:left="851" w:hanging="425"/>
      </w:pPr>
      <w:r w:rsidRPr="00154F1D">
        <w:t xml:space="preserve">indicate that </w:t>
      </w:r>
      <w:r w:rsidR="00670147" w:rsidRPr="00154F1D">
        <w:t>a finding cannot be made the defendant is not guilty of the offence charged</w:t>
      </w:r>
      <w:r w:rsidR="000714A6" w:rsidRPr="00154F1D">
        <w:t>.</w:t>
      </w:r>
      <w:r w:rsidR="00AA005C" w:rsidRPr="00154F1D">
        <w:t xml:space="preserve"> This finding is made if the jury ‘concluded beyond reasonable doubt, on the evidence before it, that the accused appeared to be guilty’.</w:t>
      </w:r>
      <w:r w:rsidR="00AA005C" w:rsidRPr="00154F1D">
        <w:rPr>
          <w:rStyle w:val="FootnoteReference"/>
        </w:rPr>
        <w:footnoteReference w:id="298"/>
      </w:r>
    </w:p>
    <w:p w14:paraId="2E0D94EB" w14:textId="448D5D95" w:rsidR="004E2849" w:rsidRPr="00154F1D" w:rsidRDefault="00670147" w:rsidP="00744FAA">
      <w:pPr>
        <w:pStyle w:val="NormalNumberedTextTLRI"/>
      </w:pPr>
      <w:r w:rsidRPr="00154F1D">
        <w:t xml:space="preserve">It is not possible for the prosecution and defence to dispense with the need for a special hearing by agreeing that the </w:t>
      </w:r>
      <w:r w:rsidR="008F0CC0">
        <w:t>accused</w:t>
      </w:r>
      <w:r w:rsidR="008F0CC0" w:rsidRPr="00154F1D">
        <w:t xml:space="preserve"> </w:t>
      </w:r>
      <w:r w:rsidRPr="00154F1D">
        <w:t xml:space="preserve">should be found not guilty on the grounds of insanity. </w:t>
      </w:r>
      <w:r w:rsidR="007B6EFC" w:rsidRPr="00154F1D">
        <w:t>Similarly</w:t>
      </w:r>
      <w:r w:rsidR="00FD721A" w:rsidRPr="00154F1D">
        <w:t>, it is not possible for the defendant</w:t>
      </w:r>
      <w:r w:rsidR="007B6EFC" w:rsidRPr="00154F1D">
        <w:t xml:space="preserve"> who is found unfit to stand t</w:t>
      </w:r>
      <w:r w:rsidR="00164AD7" w:rsidRPr="00154F1D">
        <w:t>rial to enter a plea of guilty</w:t>
      </w:r>
      <w:r w:rsidR="00AF2A67" w:rsidRPr="00154F1D">
        <w:t>.</w:t>
      </w:r>
      <w:r w:rsidR="00164AD7" w:rsidRPr="00154F1D">
        <w:rPr>
          <w:rStyle w:val="FootnoteReference"/>
        </w:rPr>
        <w:footnoteReference w:id="299"/>
      </w:r>
      <w:r w:rsidR="00AF2A67" w:rsidRPr="00154F1D">
        <w:t xml:space="preserve"> </w:t>
      </w:r>
    </w:p>
    <w:p w14:paraId="4F3C6A8D" w14:textId="77777777" w:rsidR="004E2849" w:rsidRPr="00154F1D" w:rsidRDefault="004E2849" w:rsidP="00D80045">
      <w:pPr>
        <w:pStyle w:val="NumberedHeadingTLRI"/>
      </w:pPr>
      <w:bookmarkStart w:id="117" w:name="_Toc535868948"/>
      <w:r w:rsidRPr="00154F1D">
        <w:t>Other jurisdictions</w:t>
      </w:r>
      <w:bookmarkEnd w:id="117"/>
    </w:p>
    <w:p w14:paraId="0A9F6978" w14:textId="6BA6DC07" w:rsidR="00A12DC1" w:rsidRPr="00154F1D" w:rsidRDefault="004A7C3D" w:rsidP="00744FAA">
      <w:pPr>
        <w:pStyle w:val="NormalNumberedTextTLRI"/>
      </w:pPr>
      <w:r w:rsidRPr="00154F1D">
        <w:t>In Australia, while</w:t>
      </w:r>
      <w:r w:rsidR="00E40934" w:rsidRPr="00154F1D">
        <w:t xml:space="preserve"> th</w:t>
      </w:r>
      <w:r w:rsidRPr="00154F1D">
        <w:t>ere</w:t>
      </w:r>
      <w:r w:rsidR="00E40934" w:rsidRPr="00154F1D">
        <w:t xml:space="preserve"> is </w:t>
      </w:r>
      <w:r w:rsidRPr="00154F1D">
        <w:t>broad similarity</w:t>
      </w:r>
      <w:r w:rsidR="00E40934" w:rsidRPr="00154F1D">
        <w:t xml:space="preserve"> in the </w:t>
      </w:r>
      <w:r w:rsidRPr="00154F1D">
        <w:t xml:space="preserve">criteria used to </w:t>
      </w:r>
      <w:r w:rsidR="003D2909" w:rsidRPr="00154F1D">
        <w:t xml:space="preserve">assess </w:t>
      </w:r>
      <w:r w:rsidRPr="00154F1D">
        <w:t xml:space="preserve">fitness to stand trial, </w:t>
      </w:r>
      <w:r w:rsidR="009945DB" w:rsidRPr="00154F1D">
        <w:t>different</w:t>
      </w:r>
      <w:r w:rsidRPr="00154F1D">
        <w:t xml:space="preserve"> procedure</w:t>
      </w:r>
      <w:r w:rsidR="003D2909" w:rsidRPr="00154F1D">
        <w:t>s</w:t>
      </w:r>
      <w:r w:rsidRPr="00154F1D">
        <w:t xml:space="preserve"> </w:t>
      </w:r>
      <w:r w:rsidR="009945DB" w:rsidRPr="00154F1D">
        <w:t xml:space="preserve">are </w:t>
      </w:r>
      <w:r w:rsidRPr="00154F1D">
        <w:t xml:space="preserve">followed if an </w:t>
      </w:r>
      <w:r w:rsidR="008F0CC0">
        <w:t>accused</w:t>
      </w:r>
      <w:r w:rsidR="008F0CC0" w:rsidRPr="00154F1D">
        <w:t xml:space="preserve"> </w:t>
      </w:r>
      <w:r w:rsidRPr="00154F1D">
        <w:t xml:space="preserve">is found to be unfit to stand trial. </w:t>
      </w:r>
    </w:p>
    <w:p w14:paraId="1356D754" w14:textId="4127B0E4" w:rsidR="00002124" w:rsidRPr="00154F1D" w:rsidRDefault="00002124" w:rsidP="00744FAA">
      <w:pPr>
        <w:pStyle w:val="NormalNumberedTextTLRI"/>
      </w:pPr>
      <w:r w:rsidRPr="00154F1D">
        <w:t>In</w:t>
      </w:r>
      <w:r w:rsidR="004A7C3D" w:rsidRPr="00154F1D">
        <w:t xml:space="preserve"> </w:t>
      </w:r>
      <w:r w:rsidR="004E2849" w:rsidRPr="00154F1D">
        <w:t>W</w:t>
      </w:r>
      <w:r w:rsidR="004A7C3D" w:rsidRPr="00154F1D">
        <w:t xml:space="preserve">estern </w:t>
      </w:r>
      <w:r w:rsidR="004E2849" w:rsidRPr="00154F1D">
        <w:t>A</w:t>
      </w:r>
      <w:r w:rsidR="004A7C3D" w:rsidRPr="00154F1D">
        <w:t>ustralia and Queensland</w:t>
      </w:r>
      <w:r w:rsidRPr="00154F1D">
        <w:t xml:space="preserve"> (as set out in Appendix </w:t>
      </w:r>
      <w:r w:rsidR="00EF5BE9" w:rsidRPr="00154F1D">
        <w:t>5</w:t>
      </w:r>
      <w:r w:rsidRPr="00154F1D">
        <w:t>)</w:t>
      </w:r>
      <w:r w:rsidR="004A7C3D" w:rsidRPr="00154F1D">
        <w:t>, there is</w:t>
      </w:r>
      <w:r w:rsidR="004E2849" w:rsidRPr="00154F1D">
        <w:t xml:space="preserve"> no provision for </w:t>
      </w:r>
      <w:r w:rsidR="004A7C3D" w:rsidRPr="00154F1D">
        <w:t xml:space="preserve">a </w:t>
      </w:r>
      <w:r w:rsidR="004E2849" w:rsidRPr="00154F1D">
        <w:t>special hearing</w:t>
      </w:r>
      <w:r w:rsidR="004A7C3D" w:rsidRPr="00154F1D">
        <w:t xml:space="preserve"> to be held</w:t>
      </w:r>
      <w:r w:rsidR="004E2849" w:rsidRPr="00154F1D">
        <w:t>.</w:t>
      </w:r>
      <w:r w:rsidR="001D6605" w:rsidRPr="00154F1D">
        <w:rPr>
          <w:rStyle w:val="FootnoteReference"/>
        </w:rPr>
        <w:footnoteReference w:id="300"/>
      </w:r>
      <w:r w:rsidR="004E2849" w:rsidRPr="00154F1D">
        <w:t xml:space="preserve"> </w:t>
      </w:r>
      <w:r w:rsidR="00950725" w:rsidRPr="00154F1D">
        <w:t xml:space="preserve">This means that </w:t>
      </w:r>
      <w:r w:rsidR="00262C7A" w:rsidRPr="00154F1D">
        <w:t xml:space="preserve">the prosecution </w:t>
      </w:r>
      <w:r w:rsidR="008847D8" w:rsidRPr="00154F1D">
        <w:t>case is not tested</w:t>
      </w:r>
      <w:r w:rsidR="00262C7A" w:rsidRPr="00154F1D">
        <w:t xml:space="preserve"> and </w:t>
      </w:r>
      <w:r w:rsidR="00950725" w:rsidRPr="00154F1D">
        <w:t xml:space="preserve">a determination is not made as to </w:t>
      </w:r>
      <w:r w:rsidR="00262C7A" w:rsidRPr="00154F1D">
        <w:t xml:space="preserve">whether the </w:t>
      </w:r>
      <w:r w:rsidR="008F0CC0">
        <w:t>accused</w:t>
      </w:r>
      <w:r w:rsidR="008F0CC0" w:rsidRPr="00154F1D">
        <w:t xml:space="preserve"> </w:t>
      </w:r>
      <w:r w:rsidR="00262C7A" w:rsidRPr="00154F1D">
        <w:t>is entitled to an acquittal.</w:t>
      </w:r>
      <w:r w:rsidR="00262C7A" w:rsidRPr="00154F1D">
        <w:rPr>
          <w:rStyle w:val="FootnoteReference"/>
        </w:rPr>
        <w:footnoteReference w:id="301"/>
      </w:r>
      <w:r w:rsidR="00262C7A" w:rsidRPr="00154F1D">
        <w:t xml:space="preserve"> </w:t>
      </w:r>
      <w:r w:rsidRPr="00154F1D">
        <w:t xml:space="preserve">In contrast, in other jurisdictions, there are provisions for special hearings following a finding that the </w:t>
      </w:r>
      <w:r w:rsidR="008F0CC0">
        <w:t>accused</w:t>
      </w:r>
      <w:r w:rsidR="008F0CC0" w:rsidRPr="00154F1D">
        <w:t xml:space="preserve"> </w:t>
      </w:r>
      <w:r w:rsidRPr="00154F1D">
        <w:t>is unfit to stand trial. However, there are differences in regard to the conduct of the hearing</w:t>
      </w:r>
      <w:r w:rsidR="00E37F8E" w:rsidRPr="00154F1D">
        <w:t>.</w:t>
      </w:r>
      <w:r w:rsidRPr="00154F1D">
        <w:t xml:space="preserve"> For example, in several jurisdictions, the prosecution is only required to prove the physical elements of the offence (South Australia, ACT, England and Wales, New Zealand).</w:t>
      </w:r>
      <w:r w:rsidRPr="00154F1D">
        <w:rPr>
          <w:rStyle w:val="FootnoteReference"/>
        </w:rPr>
        <w:footnoteReference w:id="302"/>
      </w:r>
      <w:r w:rsidRPr="00154F1D">
        <w:t xml:space="preserve"> In other jurisdictions, the standard of proof differs from a regular trial (Commonwealth and New Zealand).</w:t>
      </w:r>
      <w:r w:rsidRPr="00154F1D">
        <w:rPr>
          <w:rStyle w:val="FootnoteReference"/>
        </w:rPr>
        <w:footnoteReference w:id="303"/>
      </w:r>
    </w:p>
    <w:p w14:paraId="4B44B297" w14:textId="7FA76C5C" w:rsidR="0030437E" w:rsidRPr="00154F1D" w:rsidRDefault="0023213C" w:rsidP="00D80045">
      <w:pPr>
        <w:pStyle w:val="NumberedHeadingTLRI"/>
      </w:pPr>
      <w:bookmarkStart w:id="118" w:name="_Toc535868949"/>
      <w:r w:rsidRPr="00154F1D">
        <w:t>Issues for consideration</w:t>
      </w:r>
      <w:bookmarkEnd w:id="118"/>
    </w:p>
    <w:p w14:paraId="10298EC4" w14:textId="2D320E28" w:rsidR="00A85A81" w:rsidRPr="00154F1D" w:rsidRDefault="00A85A81" w:rsidP="00601522">
      <w:pPr>
        <w:pStyle w:val="Sub-HeadingTLRI"/>
      </w:pPr>
      <w:bookmarkStart w:id="119" w:name="_Toc535868950"/>
      <w:r w:rsidRPr="00154F1D">
        <w:t>CRPD obligations</w:t>
      </w:r>
      <w:bookmarkEnd w:id="119"/>
    </w:p>
    <w:p w14:paraId="6CDA856F" w14:textId="6D73E810" w:rsidR="00C12363" w:rsidRPr="00154F1D" w:rsidRDefault="00002124" w:rsidP="00744FAA">
      <w:pPr>
        <w:pStyle w:val="NormalNumberedTextTLRI"/>
      </w:pPr>
      <w:r w:rsidRPr="00154F1D">
        <w:t>S</w:t>
      </w:r>
      <w:r w:rsidR="0030437E" w:rsidRPr="00154F1D">
        <w:t>pecial hearing provi</w:t>
      </w:r>
      <w:r w:rsidRPr="00154F1D">
        <w:t>sions in Australia (and comparable jurisdictions)</w:t>
      </w:r>
      <w:r w:rsidR="0030437E" w:rsidRPr="00154F1D">
        <w:t xml:space="preserve"> </w:t>
      </w:r>
      <w:r w:rsidRPr="00154F1D">
        <w:t xml:space="preserve">have been criticised </w:t>
      </w:r>
      <w:r w:rsidR="0030437E" w:rsidRPr="00154F1D">
        <w:t xml:space="preserve">by those concerned </w:t>
      </w:r>
      <w:r w:rsidRPr="00154F1D">
        <w:t>with</w:t>
      </w:r>
      <w:r w:rsidR="0030437E" w:rsidRPr="00154F1D">
        <w:t xml:space="preserve"> the human rights obligations arising under the </w:t>
      </w:r>
      <w:r w:rsidR="0030437E" w:rsidRPr="00154F1D">
        <w:rPr>
          <w:i/>
        </w:rPr>
        <w:t>CRPD</w:t>
      </w:r>
      <w:r w:rsidR="0030437E" w:rsidRPr="00154F1D">
        <w:t xml:space="preserve">. These criticisms </w:t>
      </w:r>
      <w:r w:rsidRPr="00154F1D">
        <w:t xml:space="preserve">have </w:t>
      </w:r>
      <w:r w:rsidR="0030437E" w:rsidRPr="00154F1D">
        <w:t>focus</w:t>
      </w:r>
      <w:r w:rsidRPr="00154F1D">
        <w:t>ed</w:t>
      </w:r>
      <w:r w:rsidR="0030437E" w:rsidRPr="00154F1D">
        <w:t xml:space="preserve"> on the removal of the accused from the mainstream criminal justice system and the extent to which the </w:t>
      </w:r>
      <w:r w:rsidR="00A85A81" w:rsidRPr="00154F1D">
        <w:t xml:space="preserve">modified </w:t>
      </w:r>
      <w:r w:rsidR="0030437E" w:rsidRPr="00154F1D">
        <w:t xml:space="preserve">process </w:t>
      </w:r>
      <w:r w:rsidRPr="00154F1D">
        <w:t xml:space="preserve">of the special hearing </w:t>
      </w:r>
      <w:r w:rsidR="0030437E" w:rsidRPr="00154F1D">
        <w:t>differs from a criminal trial.</w:t>
      </w:r>
      <w:r w:rsidR="0030437E" w:rsidRPr="00154F1D">
        <w:rPr>
          <w:rStyle w:val="FootnoteReference"/>
        </w:rPr>
        <w:footnoteReference w:id="304"/>
      </w:r>
      <w:r w:rsidR="00D01CE7" w:rsidRPr="00154F1D">
        <w:t xml:space="preserve"> </w:t>
      </w:r>
      <w:r w:rsidR="00C12363" w:rsidRPr="00154F1D">
        <w:t>Gooding et al have suggested that</w:t>
      </w:r>
      <w:r w:rsidR="007C79CE" w:rsidRPr="00154F1D">
        <w:t>,</w:t>
      </w:r>
      <w:r w:rsidR="00C12363" w:rsidRPr="00154F1D">
        <w:t xml:space="preserve"> in order to meet </w:t>
      </w:r>
      <w:r w:rsidR="00C12363" w:rsidRPr="00154F1D">
        <w:rPr>
          <w:i/>
        </w:rPr>
        <w:t>CRPD</w:t>
      </w:r>
      <w:r w:rsidR="00496316">
        <w:t xml:space="preserve"> obligations</w:t>
      </w:r>
      <w:r w:rsidR="00C12363" w:rsidRPr="00154F1D">
        <w:t>, the minimum requirements that should apply to any alternative procedure are that:</w:t>
      </w:r>
    </w:p>
    <w:p w14:paraId="612BC4C2" w14:textId="45106494" w:rsidR="00595239" w:rsidRPr="00154F1D" w:rsidRDefault="00595239" w:rsidP="005F7AFC">
      <w:pPr>
        <w:pStyle w:val="QuoteTLRI"/>
        <w:numPr>
          <w:ilvl w:val="0"/>
          <w:numId w:val="17"/>
        </w:numPr>
        <w:spacing w:after="120"/>
        <w:ind w:left="1276" w:right="788" w:hanging="425"/>
      </w:pPr>
      <w:r w:rsidRPr="00154F1D">
        <w:t>The same standard of proof and probative value of prosecution evidence as typical trial;</w:t>
      </w:r>
    </w:p>
    <w:p w14:paraId="661EC249" w14:textId="7BCBCA05" w:rsidR="00595239" w:rsidRPr="00154F1D" w:rsidRDefault="00595239" w:rsidP="005F7AFC">
      <w:pPr>
        <w:pStyle w:val="QuoteTLRI"/>
        <w:numPr>
          <w:ilvl w:val="0"/>
          <w:numId w:val="16"/>
        </w:numPr>
        <w:spacing w:after="120"/>
        <w:ind w:left="1276" w:right="788" w:hanging="425"/>
      </w:pPr>
      <w:r w:rsidRPr="00154F1D">
        <w:t>The same presumption of innocence, with the associated requirement for proof of all elements;</w:t>
      </w:r>
    </w:p>
    <w:p w14:paraId="6AF95F59" w14:textId="498F2B68" w:rsidR="00595239" w:rsidRPr="00154F1D" w:rsidRDefault="00595239" w:rsidP="005F7AFC">
      <w:pPr>
        <w:pStyle w:val="QuoteTLRI"/>
        <w:numPr>
          <w:ilvl w:val="0"/>
          <w:numId w:val="16"/>
        </w:numPr>
        <w:spacing w:after="120"/>
        <w:ind w:left="1276" w:right="788" w:hanging="425"/>
      </w:pPr>
      <w:r w:rsidRPr="00154F1D">
        <w:t>Availability to the accused of all defences; and</w:t>
      </w:r>
    </w:p>
    <w:p w14:paraId="161F4B0F" w14:textId="7B6BB619" w:rsidR="00595239" w:rsidRPr="00154F1D" w:rsidRDefault="00595239" w:rsidP="005F7AFC">
      <w:pPr>
        <w:pStyle w:val="QuoteTLRI"/>
        <w:numPr>
          <w:ilvl w:val="0"/>
          <w:numId w:val="16"/>
        </w:numPr>
        <w:ind w:left="1276" w:hanging="425"/>
      </w:pPr>
      <w:r w:rsidRPr="00154F1D">
        <w:t>Proceedings against the accused to be based on his or her ‘rights, wishes and preferences’ (and not his or her ‘best interests’).</w:t>
      </w:r>
      <w:r w:rsidRPr="00154F1D">
        <w:rPr>
          <w:rStyle w:val="FootnoteReference"/>
        </w:rPr>
        <w:footnoteReference w:id="305"/>
      </w:r>
    </w:p>
    <w:p w14:paraId="7D76A525" w14:textId="15F155D3" w:rsidR="00002124" w:rsidRPr="00154F1D" w:rsidRDefault="00002124" w:rsidP="00744FAA">
      <w:pPr>
        <w:pStyle w:val="NormalNumberedTextTLRI"/>
      </w:pPr>
      <w:r w:rsidRPr="00154F1D">
        <w:t>T</w:t>
      </w:r>
      <w:r w:rsidR="00C12363" w:rsidRPr="00154F1D">
        <w:t xml:space="preserve">he </w:t>
      </w:r>
      <w:r w:rsidR="00E57E9F" w:rsidRPr="00154F1D">
        <w:rPr>
          <w:i/>
        </w:rPr>
        <w:t>Criminal Justice Mental Impairment Act 1999</w:t>
      </w:r>
      <w:r w:rsidR="00E57E9F" w:rsidRPr="00154F1D">
        <w:t xml:space="preserve"> (Tas)</w:t>
      </w:r>
      <w:r w:rsidR="00C12363" w:rsidRPr="00154F1D">
        <w:t xml:space="preserve"> </w:t>
      </w:r>
      <w:r w:rsidRPr="00154F1D">
        <w:t xml:space="preserve">does appear to substantially comply with the minimum requirements </w:t>
      </w:r>
      <w:r w:rsidR="009739B0" w:rsidRPr="00154F1D">
        <w:t>under</w:t>
      </w:r>
      <w:r w:rsidRPr="00154F1D">
        <w:t xml:space="preserve"> the </w:t>
      </w:r>
      <w:r w:rsidRPr="00154F1D">
        <w:rPr>
          <w:i/>
        </w:rPr>
        <w:t>CRPD</w:t>
      </w:r>
      <w:r w:rsidRPr="00154F1D">
        <w:t xml:space="preserve"> as identified by Gooding et al. The provisions require</w:t>
      </w:r>
      <w:r w:rsidR="00C12363" w:rsidRPr="00154F1D">
        <w:t xml:space="preserve"> that the same standard of proof apply and that the special hearing is to be conducted as </w:t>
      </w:r>
      <w:r w:rsidR="00C12363" w:rsidRPr="00154F1D">
        <w:rPr>
          <w:lang w:val="en-US"/>
        </w:rPr>
        <w:t>‘as nearly as possible’ to normal criminal trials. The prosecution must prove the external and fault elements of the offence beyond reasonable doubt</w:t>
      </w:r>
      <w:r w:rsidR="00C12363" w:rsidRPr="00154F1D">
        <w:t xml:space="preserve"> and the defendant can rely on any defences that would have been available in a</w:t>
      </w:r>
      <w:r w:rsidRPr="00154F1D">
        <w:t xml:space="preserve"> mainstream</w:t>
      </w:r>
      <w:r w:rsidR="00C12363" w:rsidRPr="00154F1D">
        <w:t xml:space="preserve"> criminal trial. </w:t>
      </w:r>
    </w:p>
    <w:p w14:paraId="18CAB6FC" w14:textId="6255623C" w:rsidR="00C12363" w:rsidRPr="00154F1D" w:rsidRDefault="00002124" w:rsidP="00744FAA">
      <w:pPr>
        <w:pStyle w:val="NormalNumberedTextTLRI"/>
      </w:pPr>
      <w:r w:rsidRPr="00154F1D">
        <w:t>Nevertheless</w:t>
      </w:r>
      <w:r w:rsidR="00EE55F8" w:rsidRPr="00154F1D">
        <w:t>,</w:t>
      </w:r>
      <w:r w:rsidR="00C12363" w:rsidRPr="00154F1D">
        <w:t xml:space="preserve"> specific criticism has been directed at the Tasmanian provision </w:t>
      </w:r>
      <w:r w:rsidRPr="00154F1D">
        <w:t xml:space="preserve">on the ground </w:t>
      </w:r>
      <w:r w:rsidR="00C12363" w:rsidRPr="00154F1D">
        <w:t xml:space="preserve">that </w:t>
      </w:r>
      <w:r w:rsidR="000A4B11" w:rsidRPr="00154F1D">
        <w:t xml:space="preserve">it </w:t>
      </w:r>
      <w:r w:rsidR="00C12363" w:rsidRPr="00154F1D">
        <w:t xml:space="preserve">allows the </w:t>
      </w:r>
      <w:r w:rsidR="00A43DBE" w:rsidRPr="00154F1D">
        <w:t xml:space="preserve">jury to </w:t>
      </w:r>
      <w:r w:rsidRPr="00154F1D">
        <w:t>determine</w:t>
      </w:r>
      <w:r w:rsidR="00A43DBE" w:rsidRPr="00154F1D">
        <w:t xml:space="preserve"> that ‘a finding cannot be made that the defendant is not guilty of the offence charged or any offence available as an alternative’.</w:t>
      </w:r>
      <w:r w:rsidR="00A43DBE" w:rsidRPr="00154F1D">
        <w:rPr>
          <w:rStyle w:val="FootnoteReference"/>
        </w:rPr>
        <w:footnoteReference w:id="306"/>
      </w:r>
      <w:r w:rsidR="00C12363" w:rsidRPr="00154F1D">
        <w:t xml:space="preserve"> </w:t>
      </w:r>
      <w:r w:rsidR="00A43DBE" w:rsidRPr="00154F1D">
        <w:t>Gooding et al, write that:</w:t>
      </w:r>
    </w:p>
    <w:p w14:paraId="33DA9DCA" w14:textId="3BBAB84D" w:rsidR="00C12363" w:rsidRPr="00154F1D" w:rsidRDefault="00C12363" w:rsidP="0074267A">
      <w:pPr>
        <w:pStyle w:val="QuoteTLRI"/>
        <w:rPr>
          <w:lang w:val="en-US"/>
        </w:rPr>
      </w:pPr>
      <w:r w:rsidRPr="00154F1D">
        <w:rPr>
          <w:lang w:val="en-US"/>
        </w:rPr>
        <w:t>A literal reading of this provision suggests that in order for the accused to secure an unconditional acquittal, the special hearing jury must make a positive finding that the accused is not guilty. The Tasmanian Supreme Court has suggested that a qualified fi</w:t>
      </w:r>
      <w:r w:rsidR="00002124" w:rsidRPr="00154F1D">
        <w:rPr>
          <w:lang w:val="en-US"/>
        </w:rPr>
        <w:t>nding is accordingly available “</w:t>
      </w:r>
      <w:r w:rsidRPr="00154F1D">
        <w:rPr>
          <w:lang w:val="en-US"/>
        </w:rPr>
        <w:t>if the jury concluded beyond reasonable doubt, on the evidence before it, that the accused appeared to be guilty</w:t>
      </w:r>
      <w:r w:rsidR="00002124" w:rsidRPr="00154F1D">
        <w:rPr>
          <w:lang w:val="en-US"/>
        </w:rPr>
        <w:t>”</w:t>
      </w:r>
      <w:r w:rsidRPr="00154F1D">
        <w:rPr>
          <w:lang w:val="en-US"/>
        </w:rPr>
        <w:t>.</w:t>
      </w:r>
      <w:r w:rsidR="000A4B11" w:rsidRPr="00154F1D">
        <w:rPr>
          <w:lang w:val="en-US"/>
        </w:rPr>
        <w:t xml:space="preserve"> </w:t>
      </w:r>
      <w:r w:rsidRPr="00154F1D">
        <w:rPr>
          <w:lang w:val="en-US"/>
        </w:rPr>
        <w:t xml:space="preserve">It is not clear what it means for an accused to ‘appear to be guilty’, </w:t>
      </w:r>
      <w:r w:rsidR="00002124" w:rsidRPr="00154F1D">
        <w:rPr>
          <w:lang w:val="en-US"/>
        </w:rPr>
        <w:t>but this ruling</w:t>
      </w:r>
      <w:r w:rsidR="00EE55F8" w:rsidRPr="00154F1D">
        <w:rPr>
          <w:lang w:val="en-US"/>
        </w:rPr>
        <w:t xml:space="preserve"> </w:t>
      </w:r>
      <w:r w:rsidR="00002124" w:rsidRPr="00154F1D">
        <w:rPr>
          <w:lang w:val="en-US"/>
        </w:rPr>
        <w:t>raises concern</w:t>
      </w:r>
      <w:r w:rsidRPr="00154F1D">
        <w:rPr>
          <w:lang w:val="en-US"/>
        </w:rPr>
        <w:t xml:space="preserve"> about the integrity of the presumption of innocence. </w:t>
      </w:r>
    </w:p>
    <w:p w14:paraId="2D126454" w14:textId="134292F9" w:rsidR="00EE55F8" w:rsidRPr="00154F1D" w:rsidRDefault="009739B0" w:rsidP="00744FAA">
      <w:pPr>
        <w:pStyle w:val="NormalNumberedTextTLRI"/>
        <w:rPr>
          <w:lang w:val="en-US"/>
        </w:rPr>
      </w:pPr>
      <w:r w:rsidRPr="00154F1D">
        <w:rPr>
          <w:lang w:val="en-US"/>
        </w:rPr>
        <w:t xml:space="preserve">However, a contrary view is that </w:t>
      </w:r>
      <w:r w:rsidR="00A219A6" w:rsidRPr="00154F1D">
        <w:rPr>
          <w:lang w:val="en-US"/>
        </w:rPr>
        <w:t xml:space="preserve">Gooding et al’s interpretation </w:t>
      </w:r>
      <w:r w:rsidRPr="00154F1D">
        <w:rPr>
          <w:lang w:val="en-US"/>
        </w:rPr>
        <w:t xml:space="preserve">of the legislation </w:t>
      </w:r>
      <w:r w:rsidR="00A219A6" w:rsidRPr="00154F1D">
        <w:rPr>
          <w:lang w:val="en-US"/>
        </w:rPr>
        <w:t xml:space="preserve">does not accord with the </w:t>
      </w:r>
      <w:r w:rsidRPr="00154F1D">
        <w:rPr>
          <w:lang w:val="en-US"/>
        </w:rPr>
        <w:t xml:space="preserve">interpretation of the provision or the </w:t>
      </w:r>
      <w:r w:rsidR="00A219A6" w:rsidRPr="00154F1D">
        <w:rPr>
          <w:lang w:val="en-US"/>
        </w:rPr>
        <w:t xml:space="preserve">approach adopted </w:t>
      </w:r>
      <w:r w:rsidRPr="00154F1D">
        <w:rPr>
          <w:lang w:val="en-US"/>
        </w:rPr>
        <w:t xml:space="preserve">by the court </w:t>
      </w:r>
      <w:r w:rsidR="00A219A6" w:rsidRPr="00154F1D">
        <w:rPr>
          <w:lang w:val="en-US"/>
        </w:rPr>
        <w:t xml:space="preserve">at </w:t>
      </w:r>
      <w:r w:rsidRPr="00154F1D">
        <w:rPr>
          <w:lang w:val="en-US"/>
        </w:rPr>
        <w:t>a special hearing</w:t>
      </w:r>
      <w:r w:rsidR="007278F6" w:rsidRPr="00154F1D">
        <w:rPr>
          <w:lang w:val="en-US"/>
        </w:rPr>
        <w:t xml:space="preserve">. </w:t>
      </w:r>
      <w:r w:rsidR="00EE55F8" w:rsidRPr="00154F1D">
        <w:rPr>
          <w:lang w:val="en-US"/>
        </w:rPr>
        <w:t>In the Tasmanian context, it is clear that the special hearing does not result in a reversal of the onus of proof as the jury is directed that an accused is deemed to be innocent unless and until the jury is satisfied beyond reasonable doubt that the accused committed the particular offence and that Crown has the burden of proving this.</w:t>
      </w:r>
    </w:p>
    <w:p w14:paraId="6C1FF1BF" w14:textId="67828409" w:rsidR="00A219A6" w:rsidRPr="00154F1D" w:rsidRDefault="00EE55F8" w:rsidP="00744FAA">
      <w:pPr>
        <w:pStyle w:val="NormalNumberedTextTLRI"/>
        <w:rPr>
          <w:lang w:val="en-US"/>
        </w:rPr>
      </w:pPr>
      <w:r w:rsidRPr="00154F1D">
        <w:rPr>
          <w:lang w:val="en-US"/>
        </w:rPr>
        <w:t>Further, a</w:t>
      </w:r>
      <w:r w:rsidR="004F211D" w:rsidRPr="00154F1D">
        <w:rPr>
          <w:lang w:val="en-US"/>
        </w:rPr>
        <w:t>s the Law Commission of England an</w:t>
      </w:r>
      <w:r w:rsidR="009739B0" w:rsidRPr="00154F1D">
        <w:rPr>
          <w:lang w:val="en-US"/>
        </w:rPr>
        <w:t>d Wales have</w:t>
      </w:r>
      <w:r w:rsidR="004F211D" w:rsidRPr="00154F1D">
        <w:rPr>
          <w:lang w:val="en-US"/>
        </w:rPr>
        <w:t xml:space="preserve"> argued</w:t>
      </w:r>
      <w:r w:rsidR="00E57E9F" w:rsidRPr="00154F1D">
        <w:rPr>
          <w:lang w:val="en-US"/>
        </w:rPr>
        <w:t xml:space="preserve">, the purpose of the special hearing is to allow an </w:t>
      </w:r>
      <w:r w:rsidR="008F0CC0">
        <w:rPr>
          <w:lang w:val="en-US"/>
        </w:rPr>
        <w:t>accused</w:t>
      </w:r>
      <w:r w:rsidR="008F0CC0" w:rsidRPr="00154F1D">
        <w:rPr>
          <w:lang w:val="en-US"/>
        </w:rPr>
        <w:t xml:space="preserve"> </w:t>
      </w:r>
      <w:r w:rsidR="00E57E9F" w:rsidRPr="00154F1D">
        <w:rPr>
          <w:lang w:val="en-US"/>
        </w:rPr>
        <w:t>a chance of an equal opportunity for an acquittal and not to make a finding of guilt.</w:t>
      </w:r>
      <w:r w:rsidR="00E57E9F" w:rsidRPr="00154F1D">
        <w:rPr>
          <w:rStyle w:val="FootnoteReference"/>
          <w:lang w:val="en-US"/>
        </w:rPr>
        <w:footnoteReference w:id="307"/>
      </w:r>
      <w:r w:rsidR="00E57E9F" w:rsidRPr="00154F1D">
        <w:rPr>
          <w:lang w:val="en-US"/>
        </w:rPr>
        <w:t xml:space="preserve"> </w:t>
      </w:r>
      <w:r w:rsidR="00A219A6" w:rsidRPr="00154F1D">
        <w:rPr>
          <w:lang w:val="en-US"/>
        </w:rPr>
        <w:t xml:space="preserve">This means that at a special hearing the jury makes a determination (as with the usual criminal trial process) as to whether the prosecution has established the case beyond reasonable doubt. If the prosecution has not established </w:t>
      </w:r>
      <w:r w:rsidR="00F90BDF">
        <w:rPr>
          <w:lang w:val="en-US"/>
        </w:rPr>
        <w:t>its</w:t>
      </w:r>
      <w:r w:rsidR="00A219A6" w:rsidRPr="00154F1D">
        <w:rPr>
          <w:lang w:val="en-US"/>
        </w:rPr>
        <w:t xml:space="preserve"> case, then the accused </w:t>
      </w:r>
      <w:r w:rsidR="009739B0" w:rsidRPr="00154F1D">
        <w:rPr>
          <w:lang w:val="en-US"/>
        </w:rPr>
        <w:t xml:space="preserve">at a special hearing (as with an accused in the mainstream criminal process) </w:t>
      </w:r>
      <w:r w:rsidR="00A219A6" w:rsidRPr="00154F1D">
        <w:rPr>
          <w:lang w:val="en-US"/>
        </w:rPr>
        <w:t xml:space="preserve">is entitled to an acquittal. </w:t>
      </w:r>
      <w:r w:rsidR="009739B0" w:rsidRPr="00154F1D">
        <w:rPr>
          <w:lang w:val="en-US"/>
        </w:rPr>
        <w:t xml:space="preserve">In a mainstream trial, if the jury is satisfied that the prosecution has established its case beyond reasonable doubt, then it will find the accused guilty. </w:t>
      </w:r>
      <w:r w:rsidR="00A219A6" w:rsidRPr="00154F1D">
        <w:rPr>
          <w:lang w:val="en-US"/>
        </w:rPr>
        <w:t xml:space="preserve">However, </w:t>
      </w:r>
      <w:r w:rsidR="009739B0" w:rsidRPr="00154F1D">
        <w:rPr>
          <w:lang w:val="en-US"/>
        </w:rPr>
        <w:t xml:space="preserve">at a special hearing, </w:t>
      </w:r>
      <w:r w:rsidR="00A219A6" w:rsidRPr="00154F1D">
        <w:rPr>
          <w:lang w:val="en-US"/>
        </w:rPr>
        <w:t xml:space="preserve">given the limitations </w:t>
      </w:r>
      <w:r w:rsidR="00973E93">
        <w:rPr>
          <w:lang w:val="en-US"/>
        </w:rPr>
        <w:t>of</w:t>
      </w:r>
      <w:r w:rsidR="00A219A6" w:rsidRPr="00154F1D">
        <w:rPr>
          <w:lang w:val="en-US"/>
        </w:rPr>
        <w:t xml:space="preserve"> the accused’s capacity to participate in </w:t>
      </w:r>
      <w:r w:rsidR="000A4B11" w:rsidRPr="00154F1D">
        <w:rPr>
          <w:lang w:val="en-US"/>
        </w:rPr>
        <w:t xml:space="preserve">a </w:t>
      </w:r>
      <w:r w:rsidR="00A219A6" w:rsidRPr="00154F1D">
        <w:rPr>
          <w:lang w:val="en-US"/>
        </w:rPr>
        <w:t xml:space="preserve">trial, </w:t>
      </w:r>
      <w:r w:rsidR="009739B0" w:rsidRPr="00154F1D">
        <w:rPr>
          <w:lang w:val="en-US"/>
        </w:rPr>
        <w:t xml:space="preserve">it is not considered appropriate to find the </w:t>
      </w:r>
      <w:r w:rsidR="008F0CC0">
        <w:rPr>
          <w:lang w:val="en-US"/>
        </w:rPr>
        <w:t>accused</w:t>
      </w:r>
      <w:r w:rsidR="008F0CC0" w:rsidRPr="00154F1D">
        <w:rPr>
          <w:lang w:val="en-US"/>
        </w:rPr>
        <w:t xml:space="preserve"> </w:t>
      </w:r>
      <w:r w:rsidR="009739B0" w:rsidRPr="00154F1D">
        <w:rPr>
          <w:lang w:val="en-US"/>
        </w:rPr>
        <w:t xml:space="preserve">guilty of the offence </w:t>
      </w:r>
      <w:r w:rsidR="00A219A6" w:rsidRPr="00154F1D">
        <w:rPr>
          <w:lang w:val="en-US"/>
        </w:rPr>
        <w:t xml:space="preserve">(and hence the wording of </w:t>
      </w:r>
      <w:r w:rsidR="008B399E" w:rsidRPr="00154F1D">
        <w:rPr>
          <w:i/>
        </w:rPr>
        <w:t>Criminal Justice Mental Impairment Act 1999</w:t>
      </w:r>
      <w:r w:rsidR="008B399E" w:rsidRPr="00154F1D">
        <w:t xml:space="preserve"> (Tas) </w:t>
      </w:r>
      <w:r w:rsidR="00A219A6" w:rsidRPr="00154F1D">
        <w:rPr>
          <w:lang w:val="en-US"/>
        </w:rPr>
        <w:t>s 17(d)</w:t>
      </w:r>
      <w:r w:rsidR="009739B0" w:rsidRPr="00154F1D">
        <w:rPr>
          <w:lang w:val="en-US"/>
        </w:rPr>
        <w:t xml:space="preserve"> that </w:t>
      </w:r>
      <w:r w:rsidR="009739B0" w:rsidRPr="00154F1D">
        <w:rPr>
          <w:rFonts w:eastAsia="Times New Roman"/>
        </w:rPr>
        <w:t>a finding cannot be made that the defendant is not guilty of the offence charged or any offence available as an alternative</w:t>
      </w:r>
      <w:r w:rsidR="00A219A6" w:rsidRPr="00154F1D">
        <w:rPr>
          <w:lang w:val="en-US"/>
        </w:rPr>
        <w:t xml:space="preserve">). </w:t>
      </w:r>
    </w:p>
    <w:p w14:paraId="391819AD" w14:textId="37D0ACFE" w:rsidR="00BA1BDF" w:rsidRPr="00154F1D" w:rsidRDefault="009739B0" w:rsidP="00744FAA">
      <w:pPr>
        <w:pStyle w:val="NormalNumberedTextTLRI"/>
        <w:rPr>
          <w:lang w:val="en-US"/>
        </w:rPr>
      </w:pPr>
      <w:r w:rsidRPr="00154F1D">
        <w:rPr>
          <w:lang w:val="en-US"/>
        </w:rPr>
        <w:t>Further c</w:t>
      </w:r>
      <w:r w:rsidR="00BA1BDF" w:rsidRPr="00154F1D">
        <w:rPr>
          <w:lang w:val="en-US"/>
        </w:rPr>
        <w:t xml:space="preserve">oncerns have been raised that the special hearing process removes the benefits of entering an early guilty plea in sentence mitigation as it </w:t>
      </w:r>
      <w:r w:rsidR="00255829" w:rsidRPr="00154F1D">
        <w:rPr>
          <w:lang w:val="en-US"/>
        </w:rPr>
        <w:t xml:space="preserve">assumes </w:t>
      </w:r>
      <w:r w:rsidR="00BA1BDF" w:rsidRPr="00154F1D">
        <w:rPr>
          <w:lang w:val="en-US"/>
        </w:rPr>
        <w:t>that the person has pleaded not guilty.</w:t>
      </w:r>
      <w:r w:rsidR="00BA1BDF" w:rsidRPr="00154F1D">
        <w:rPr>
          <w:rStyle w:val="FootnoteReference"/>
          <w:lang w:val="en-US"/>
        </w:rPr>
        <w:footnoteReference w:id="308"/>
      </w:r>
      <w:r w:rsidR="007C1C52" w:rsidRPr="00154F1D">
        <w:rPr>
          <w:lang w:val="en-US"/>
        </w:rPr>
        <w:t xml:space="preserve"> However, it </w:t>
      </w:r>
      <w:r w:rsidR="000F6038">
        <w:rPr>
          <w:lang w:val="en-US"/>
        </w:rPr>
        <w:t>should</w:t>
      </w:r>
      <w:r w:rsidR="007C1C52" w:rsidRPr="00154F1D">
        <w:rPr>
          <w:lang w:val="en-US"/>
        </w:rPr>
        <w:t xml:space="preserve"> be remembered that a person dealt with under the </w:t>
      </w:r>
      <w:r w:rsidR="007C1C52" w:rsidRPr="00154F1D">
        <w:rPr>
          <w:i/>
        </w:rPr>
        <w:t>Criminal Justice Mental Impairment Act 1999</w:t>
      </w:r>
      <w:r w:rsidR="007C1C52" w:rsidRPr="00154F1D">
        <w:t xml:space="preserve"> (Tas) is not ‘sentenced’ and the usual sentencing principles (including a discount for a guilty plea) do not apply to the determination of the appropriate order of </w:t>
      </w:r>
      <w:r w:rsidR="00255829" w:rsidRPr="00154F1D">
        <w:t xml:space="preserve">the </w:t>
      </w:r>
      <w:r w:rsidR="007C1C52" w:rsidRPr="00154F1D">
        <w:t xml:space="preserve">court. Instead, the court applies the principles under the </w:t>
      </w:r>
      <w:r w:rsidR="007C1C52" w:rsidRPr="00154F1D">
        <w:rPr>
          <w:i/>
        </w:rPr>
        <w:t>Criminal Justice Mental Impairment Act 1999</w:t>
      </w:r>
      <w:r w:rsidR="007C1C52" w:rsidRPr="00154F1D">
        <w:t xml:space="preserve"> (Tas) that focus on the nature of the </w:t>
      </w:r>
      <w:r w:rsidR="002B0FFB" w:rsidRPr="00154F1D">
        <w:t>defendant’s</w:t>
      </w:r>
      <w:r w:rsidR="007C1C52" w:rsidRPr="00154F1D">
        <w:t xml:space="preserve"> mental impairment and the likely danger that the </w:t>
      </w:r>
      <w:r w:rsidR="00EB02C1" w:rsidRPr="00154F1D">
        <w:t>person</w:t>
      </w:r>
      <w:r w:rsidR="007C1C52" w:rsidRPr="00154F1D">
        <w:t xml:space="preserve"> poses to </w:t>
      </w:r>
      <w:r w:rsidR="002B0FFB" w:rsidRPr="00154F1D">
        <w:t>other people, as well as the need to ensure that restrictions on the defendant’s freedom and personal autonomy should be kept to the minimum consistent with the safety of the community.</w:t>
      </w:r>
      <w:r w:rsidR="002B0FFB" w:rsidRPr="00154F1D">
        <w:rPr>
          <w:rStyle w:val="FootnoteReference"/>
        </w:rPr>
        <w:footnoteReference w:id="309"/>
      </w:r>
      <w:r w:rsidR="00EE55F8" w:rsidRPr="00154F1D">
        <w:t xml:space="preserve"> However, a comparison of the potential outcomes arising from the imposition of sentence (taking into account a plea of guilty and the </w:t>
      </w:r>
      <w:r w:rsidR="008F0CC0">
        <w:t>person</w:t>
      </w:r>
      <w:r w:rsidR="008F0CC0" w:rsidRPr="00154F1D">
        <w:t xml:space="preserve">’s </w:t>
      </w:r>
      <w:r w:rsidR="00EE55F8" w:rsidRPr="00154F1D">
        <w:t xml:space="preserve">mental or cognitive impairment as mitigating factors) and a finding of unfitness and the dispositions that may follow a special hearing may influence an </w:t>
      </w:r>
      <w:r w:rsidR="008F0CC0">
        <w:t>accused</w:t>
      </w:r>
      <w:r w:rsidR="008F0CC0" w:rsidRPr="00154F1D">
        <w:t xml:space="preserve">’s </w:t>
      </w:r>
      <w:r w:rsidR="00EE55F8" w:rsidRPr="00154F1D">
        <w:t>decision to proceed with a plea of guilty.</w:t>
      </w:r>
      <w:r w:rsidR="00EE55F8" w:rsidRPr="00154F1D">
        <w:rPr>
          <w:rStyle w:val="FootnoteReference"/>
        </w:rPr>
        <w:footnoteReference w:id="310"/>
      </w:r>
    </w:p>
    <w:p w14:paraId="43872FE2" w14:textId="40D10E4C" w:rsidR="0030437E" w:rsidRPr="00154F1D" w:rsidRDefault="00A43DBE" w:rsidP="00744FAA">
      <w:pPr>
        <w:pStyle w:val="NormalNumberedTextTLRI"/>
      </w:pPr>
      <w:r w:rsidRPr="00154F1D">
        <w:t xml:space="preserve">An additional criticism </w:t>
      </w:r>
      <w:r w:rsidR="009739B0" w:rsidRPr="00154F1D">
        <w:t xml:space="preserve">that </w:t>
      </w:r>
      <w:r w:rsidRPr="00154F1D">
        <w:t xml:space="preserve">could be made </w:t>
      </w:r>
      <w:r w:rsidR="009739B0" w:rsidRPr="00154F1D">
        <w:t xml:space="preserve">is </w:t>
      </w:r>
      <w:r w:rsidRPr="00154F1D">
        <w:t xml:space="preserve">in relation to the requirement for the accused’s legal representative to exercise </w:t>
      </w:r>
      <w:r w:rsidR="007C6BA7" w:rsidRPr="00154F1D">
        <w:t>his or her independent decision-</w:t>
      </w:r>
      <w:r w:rsidRPr="00154F1D">
        <w:t xml:space="preserve">making discretion in the best interests of the </w:t>
      </w:r>
      <w:r w:rsidR="0041716E">
        <w:t>accused</w:t>
      </w:r>
      <w:r w:rsidRPr="00154F1D">
        <w:t xml:space="preserve">. </w:t>
      </w:r>
      <w:r w:rsidR="00AE1BB7" w:rsidRPr="00154F1D">
        <w:t xml:space="preserve">This is </w:t>
      </w:r>
      <w:r w:rsidR="007C6BA7" w:rsidRPr="00154F1D">
        <w:t>i</w:t>
      </w:r>
      <w:r w:rsidR="00AE1BB7" w:rsidRPr="00154F1D">
        <w:t xml:space="preserve">n conflict with the </w:t>
      </w:r>
      <w:r w:rsidR="00EC5DC7" w:rsidRPr="00154F1D">
        <w:rPr>
          <w:i/>
        </w:rPr>
        <w:t>CRPD</w:t>
      </w:r>
      <w:r w:rsidR="00EC5DC7" w:rsidRPr="00154F1D">
        <w:t xml:space="preserve"> </w:t>
      </w:r>
      <w:r w:rsidR="00AE1BB7" w:rsidRPr="00154F1D">
        <w:t>requirement that proceedings against an accused should be based on his or her ‘rights, wishes and preferences’</w:t>
      </w:r>
      <w:r w:rsidR="00A607D8" w:rsidRPr="00154F1D">
        <w:t xml:space="preserve"> rather than their best interests</w:t>
      </w:r>
      <w:r w:rsidR="00810695" w:rsidRPr="00154F1D">
        <w:t>.</w:t>
      </w:r>
      <w:r w:rsidR="00311BAD" w:rsidRPr="00154F1D">
        <w:t xml:space="preserve"> </w:t>
      </w:r>
      <w:r w:rsidR="002B0FFB" w:rsidRPr="00154F1D">
        <w:t>It is also inconsistent with the National Decision</w:t>
      </w:r>
      <w:r w:rsidR="00255829" w:rsidRPr="00154F1D">
        <w:t>-</w:t>
      </w:r>
      <w:r w:rsidR="002B0FFB" w:rsidRPr="00154F1D">
        <w:t>Making Principles.</w:t>
      </w:r>
      <w:r w:rsidR="002B0FFB" w:rsidRPr="00154F1D">
        <w:rPr>
          <w:rStyle w:val="FootnoteReference"/>
        </w:rPr>
        <w:footnoteReference w:id="311"/>
      </w:r>
    </w:p>
    <w:p w14:paraId="49D61D7F" w14:textId="77777777" w:rsidR="00152FD1" w:rsidRPr="00154F1D" w:rsidRDefault="00152FD1" w:rsidP="000A4702">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rPr>
          <w:b/>
          <w:lang w:val="en-US"/>
        </w:rPr>
      </w:pPr>
      <w:bookmarkStart w:id="120" w:name="Q20"/>
      <w:r w:rsidRPr="00154F1D">
        <w:rPr>
          <w:b/>
          <w:lang w:val="en-US"/>
        </w:rPr>
        <w:t>Questions</w:t>
      </w:r>
    </w:p>
    <w:bookmarkEnd w:id="120"/>
    <w:p w14:paraId="3D6276B2" w14:textId="588FC080" w:rsidR="00311BAD" w:rsidRPr="00154F1D" w:rsidRDefault="00D64190" w:rsidP="000A4702">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rPr>
          <w:lang w:val="en-US"/>
        </w:rPr>
      </w:pPr>
      <w:r w:rsidRPr="00154F1D">
        <w:rPr>
          <w:lang w:val="en-US"/>
        </w:rPr>
        <w:t>20</w:t>
      </w:r>
      <w:r w:rsidR="00755B62" w:rsidRPr="00154F1D">
        <w:rPr>
          <w:lang w:val="en-US"/>
        </w:rPr>
        <w:t>.</w:t>
      </w:r>
      <w:r w:rsidR="00A84EAE" w:rsidRPr="00154F1D">
        <w:rPr>
          <w:lang w:val="en-US"/>
        </w:rPr>
        <w:tab/>
      </w:r>
      <w:r w:rsidR="00311BAD" w:rsidRPr="00154F1D">
        <w:rPr>
          <w:lang w:val="en-US"/>
        </w:rPr>
        <w:t>Do you consider that the conduct of a special hearing differs from an ordinary trial in terms of the evidence adduced or the conduct of the hearing? If so, in what ways?</w:t>
      </w:r>
    </w:p>
    <w:p w14:paraId="7C8A7017" w14:textId="1DD8D920" w:rsidR="00311BAD" w:rsidRPr="00154F1D" w:rsidRDefault="00E32917" w:rsidP="000A4702">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rPr>
          <w:lang w:val="en-US"/>
        </w:rPr>
      </w:pPr>
      <w:r w:rsidRPr="00154F1D">
        <w:rPr>
          <w:lang w:val="en-US"/>
        </w:rPr>
        <w:t>2</w:t>
      </w:r>
      <w:r w:rsidR="00D64190" w:rsidRPr="00154F1D">
        <w:rPr>
          <w:lang w:val="en-US"/>
        </w:rPr>
        <w:t>1</w:t>
      </w:r>
      <w:r w:rsidR="00755B62" w:rsidRPr="00154F1D">
        <w:rPr>
          <w:lang w:val="en-US"/>
        </w:rPr>
        <w:t>.</w:t>
      </w:r>
      <w:r w:rsidR="00A84EAE" w:rsidRPr="00154F1D">
        <w:rPr>
          <w:lang w:val="en-US"/>
        </w:rPr>
        <w:tab/>
      </w:r>
      <w:r w:rsidR="00311BAD" w:rsidRPr="00154F1D">
        <w:rPr>
          <w:lang w:val="en-US"/>
        </w:rPr>
        <w:t>Do you consider that the conduct of the special hearing is consistent with the presumption of innocence?</w:t>
      </w:r>
    </w:p>
    <w:p w14:paraId="0A867F01" w14:textId="230E664F" w:rsidR="00311BAD" w:rsidRPr="00154F1D" w:rsidRDefault="00E32917" w:rsidP="000A4702">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pPr>
      <w:r w:rsidRPr="00154F1D">
        <w:rPr>
          <w:lang w:val="en-US"/>
        </w:rPr>
        <w:t>2</w:t>
      </w:r>
      <w:r w:rsidR="00D64190" w:rsidRPr="00154F1D">
        <w:rPr>
          <w:lang w:val="en-US"/>
        </w:rPr>
        <w:t>2</w:t>
      </w:r>
      <w:r w:rsidR="00755B62" w:rsidRPr="00154F1D">
        <w:rPr>
          <w:lang w:val="en-US"/>
        </w:rPr>
        <w:t>.</w:t>
      </w:r>
      <w:r w:rsidR="00A84EAE" w:rsidRPr="00154F1D">
        <w:rPr>
          <w:lang w:val="en-US"/>
        </w:rPr>
        <w:tab/>
      </w:r>
      <w:r w:rsidR="00311BAD" w:rsidRPr="00154F1D">
        <w:rPr>
          <w:lang w:val="en-US"/>
        </w:rPr>
        <w:t xml:space="preserve">Do </w:t>
      </w:r>
      <w:r w:rsidR="002E0644" w:rsidRPr="00154F1D">
        <w:rPr>
          <w:lang w:val="en-US"/>
        </w:rPr>
        <w:t xml:space="preserve">issues arise in relation to the conduct of legal </w:t>
      </w:r>
      <w:r w:rsidR="002B0FFB" w:rsidRPr="00154F1D">
        <w:rPr>
          <w:lang w:val="en-US"/>
        </w:rPr>
        <w:t>practitioner</w:t>
      </w:r>
      <w:r w:rsidR="001737BA" w:rsidRPr="00154F1D">
        <w:rPr>
          <w:lang w:val="en-US"/>
        </w:rPr>
        <w:t>s</w:t>
      </w:r>
      <w:r w:rsidR="002E0644" w:rsidRPr="00154F1D">
        <w:rPr>
          <w:lang w:val="en-US"/>
        </w:rPr>
        <w:t xml:space="preserve"> in acting </w:t>
      </w:r>
      <w:r w:rsidR="00A84EAE" w:rsidRPr="00154F1D">
        <w:rPr>
          <w:lang w:val="en-US"/>
        </w:rPr>
        <w:t xml:space="preserve">in </w:t>
      </w:r>
      <w:r w:rsidR="002E0644" w:rsidRPr="00154F1D">
        <w:rPr>
          <w:lang w:val="en-US"/>
        </w:rPr>
        <w:t xml:space="preserve">the ‘best interests’ of </w:t>
      </w:r>
      <w:r w:rsidR="001737BA" w:rsidRPr="00154F1D">
        <w:rPr>
          <w:lang w:val="en-US"/>
        </w:rPr>
        <w:t xml:space="preserve">a </w:t>
      </w:r>
      <w:r w:rsidR="002E0644" w:rsidRPr="00154F1D">
        <w:rPr>
          <w:lang w:val="en-US"/>
        </w:rPr>
        <w:t xml:space="preserve">person rather than based </w:t>
      </w:r>
      <w:r w:rsidR="001737BA" w:rsidRPr="00154F1D">
        <w:rPr>
          <w:lang w:val="en-US"/>
        </w:rPr>
        <w:t xml:space="preserve">that person’s </w:t>
      </w:r>
      <w:r w:rsidR="002B0FFB" w:rsidRPr="00154F1D">
        <w:rPr>
          <w:lang w:val="en-US"/>
        </w:rPr>
        <w:t>‘</w:t>
      </w:r>
      <w:r w:rsidR="002E0644" w:rsidRPr="00154F1D">
        <w:rPr>
          <w:lang w:val="en-US"/>
        </w:rPr>
        <w:t>rights, wishes and preferences</w:t>
      </w:r>
      <w:r w:rsidR="002B0FFB" w:rsidRPr="00154F1D">
        <w:rPr>
          <w:lang w:val="en-US"/>
        </w:rPr>
        <w:t>’</w:t>
      </w:r>
      <w:r w:rsidR="002E0644" w:rsidRPr="00154F1D">
        <w:rPr>
          <w:lang w:val="en-US"/>
        </w:rPr>
        <w:t>?</w:t>
      </w:r>
    </w:p>
    <w:p w14:paraId="2EEE08DB" w14:textId="1E66AB17" w:rsidR="0027751B" w:rsidRPr="00154F1D" w:rsidRDefault="0027751B" w:rsidP="00601522">
      <w:pPr>
        <w:pStyle w:val="Sub-HeadingTLRI"/>
      </w:pPr>
      <w:bookmarkStart w:id="121" w:name="_Toc535868951"/>
      <w:r w:rsidRPr="00154F1D">
        <w:t>Judge only proceedings</w:t>
      </w:r>
      <w:bookmarkEnd w:id="121"/>
      <w:r w:rsidRPr="00154F1D">
        <w:t xml:space="preserve"> </w:t>
      </w:r>
    </w:p>
    <w:p w14:paraId="6EB30406" w14:textId="4CFCA303" w:rsidR="0027751B" w:rsidRPr="00154F1D" w:rsidRDefault="0027751B" w:rsidP="00744FAA">
      <w:pPr>
        <w:pStyle w:val="NormalNumberedTextTLRI"/>
      </w:pPr>
      <w:r w:rsidRPr="00154F1D">
        <w:t xml:space="preserve">Law reform </w:t>
      </w:r>
      <w:r w:rsidR="00C8436E" w:rsidRPr="00154F1D">
        <w:t>enquiries</w:t>
      </w:r>
      <w:r w:rsidR="00C8436E" w:rsidRPr="00154F1D" w:rsidDel="00C8436E">
        <w:t xml:space="preserve"> </w:t>
      </w:r>
      <w:r w:rsidRPr="00154F1D">
        <w:t xml:space="preserve">in England and Wales and Victoria </w:t>
      </w:r>
      <w:r w:rsidR="00C8436E" w:rsidRPr="00154F1D">
        <w:t xml:space="preserve">have </w:t>
      </w:r>
      <w:r w:rsidR="00EC5DC7">
        <w:t>considered</w:t>
      </w:r>
      <w:r w:rsidRPr="00154F1D">
        <w:t xml:space="preserve"> whether or not there s</w:t>
      </w:r>
      <w:r w:rsidR="000D177A" w:rsidRPr="00154F1D">
        <w:t xml:space="preserve">hould be </w:t>
      </w:r>
      <w:r w:rsidRPr="00154F1D">
        <w:t xml:space="preserve">a </w:t>
      </w:r>
      <w:r w:rsidR="000D177A" w:rsidRPr="00154F1D">
        <w:t>judge-only alternative procedure</w:t>
      </w:r>
      <w:r w:rsidR="00D02682" w:rsidRPr="00154F1D">
        <w:t xml:space="preserve"> </w:t>
      </w:r>
      <w:r w:rsidR="003624B3" w:rsidRPr="00154F1D">
        <w:t>—</w:t>
      </w:r>
      <w:r w:rsidR="00D02682" w:rsidRPr="00154F1D">
        <w:t xml:space="preserve"> either </w:t>
      </w:r>
      <w:r w:rsidR="004271C7" w:rsidRPr="00154F1D">
        <w:t xml:space="preserve">in all cases </w:t>
      </w:r>
      <w:r w:rsidR="006A25E5" w:rsidRPr="00154F1D">
        <w:t xml:space="preserve">(England and Wales) </w:t>
      </w:r>
      <w:r w:rsidR="004271C7" w:rsidRPr="00154F1D">
        <w:t>or</w:t>
      </w:r>
      <w:r w:rsidR="00B13AAC" w:rsidRPr="00154F1D">
        <w:t xml:space="preserve"> in cases where the prosecution and defence agree that the evidence establishes t</w:t>
      </w:r>
      <w:r w:rsidR="00D02682" w:rsidRPr="00154F1D">
        <w:t>he defence of mental impairment/</w:t>
      </w:r>
      <w:r w:rsidR="00B13AAC" w:rsidRPr="00154F1D">
        <w:t>insanity</w:t>
      </w:r>
      <w:r w:rsidR="006A25E5" w:rsidRPr="00154F1D">
        <w:t xml:space="preserve"> (Victoria)</w:t>
      </w:r>
      <w:r w:rsidRPr="00154F1D">
        <w:t>.</w:t>
      </w:r>
      <w:r w:rsidR="00E745C8" w:rsidRPr="00154F1D">
        <w:t xml:space="preserve"> </w:t>
      </w:r>
      <w:r w:rsidR="008B399E" w:rsidRPr="00154F1D">
        <w:t>It is also noted that</w:t>
      </w:r>
      <w:r w:rsidR="00E745C8" w:rsidRPr="00154F1D">
        <w:t xml:space="preserve"> </w:t>
      </w:r>
      <w:r w:rsidR="008B399E" w:rsidRPr="00154F1D">
        <w:t xml:space="preserve">in </w:t>
      </w:r>
      <w:r w:rsidR="00E745C8" w:rsidRPr="00154F1D">
        <w:t>South Australia, the defendant may elect to have the matter dealt with by a judge sitting alone rather than have the investigation conducted by a jury.</w:t>
      </w:r>
      <w:r w:rsidR="00E745C8" w:rsidRPr="00154F1D">
        <w:rPr>
          <w:rStyle w:val="FootnoteReference"/>
        </w:rPr>
        <w:footnoteReference w:id="312"/>
      </w:r>
      <w:r w:rsidR="009D57DA" w:rsidRPr="00154F1D">
        <w:t xml:space="preserve"> Recent amendments in the Northern Territory allow for the special hearing to be dispense</w:t>
      </w:r>
      <w:r w:rsidR="00D764A1" w:rsidRPr="00154F1D">
        <w:t>d</w:t>
      </w:r>
      <w:r w:rsidR="009D57DA" w:rsidRPr="00154F1D">
        <w:t xml:space="preserve"> with if the parties to the prosecution of the offence agree that the evidence establishes the defence of mental impairment.</w:t>
      </w:r>
      <w:r w:rsidR="009D57DA" w:rsidRPr="00154F1D">
        <w:rPr>
          <w:rStyle w:val="FootnoteReference"/>
        </w:rPr>
        <w:footnoteReference w:id="313"/>
      </w:r>
    </w:p>
    <w:p w14:paraId="7A9E755C" w14:textId="77777777" w:rsidR="00D02682" w:rsidRPr="00154F1D" w:rsidRDefault="00C55452" w:rsidP="00744FAA">
      <w:pPr>
        <w:pStyle w:val="NormalNumberedTextTLRI"/>
      </w:pPr>
      <w:r w:rsidRPr="00154F1D">
        <w:t xml:space="preserve">In Victoria, </w:t>
      </w:r>
      <w:r w:rsidR="00005878" w:rsidRPr="00154F1D">
        <w:t xml:space="preserve">there is </w:t>
      </w:r>
      <w:r w:rsidR="00D02682" w:rsidRPr="00154F1D">
        <w:t>provision</w:t>
      </w:r>
      <w:r w:rsidR="00005878" w:rsidRPr="00154F1D">
        <w:t xml:space="preserve"> for a ‘consent mental impairment’ hearing if the prosecution and defence agree that the evidence establishes the defence of mental impairment</w:t>
      </w:r>
      <w:r w:rsidR="008B399E" w:rsidRPr="00154F1D">
        <w:t xml:space="preserve"> </w:t>
      </w:r>
      <w:r w:rsidR="00D02682" w:rsidRPr="00154F1D">
        <w:t>for a</w:t>
      </w:r>
      <w:r w:rsidR="008B399E" w:rsidRPr="00154F1D">
        <w:t xml:space="preserve"> trial </w:t>
      </w:r>
      <w:r w:rsidR="00D02682" w:rsidRPr="00154F1D">
        <w:t xml:space="preserve">conducted in the mainstream trial </w:t>
      </w:r>
      <w:r w:rsidR="008B399E" w:rsidRPr="00154F1D">
        <w:t>process</w:t>
      </w:r>
      <w:r w:rsidR="00005878" w:rsidRPr="00154F1D">
        <w:t>.</w:t>
      </w:r>
      <w:r w:rsidR="00005878" w:rsidRPr="00154F1D">
        <w:rPr>
          <w:rStyle w:val="FootnoteReference"/>
        </w:rPr>
        <w:footnoteReference w:id="314"/>
      </w:r>
      <w:r w:rsidR="00005878" w:rsidRPr="00154F1D">
        <w:t xml:space="preserve"> However, this </w:t>
      </w:r>
      <w:r w:rsidR="00D02682" w:rsidRPr="00154F1D">
        <w:t xml:space="preserve">option </w:t>
      </w:r>
      <w:r w:rsidR="00005878" w:rsidRPr="00154F1D">
        <w:t>is not available for a person who has been found unfit to stand trial</w:t>
      </w:r>
      <w:r w:rsidR="00D02682" w:rsidRPr="00154F1D">
        <w:t xml:space="preserve"> and the determination of mental impairment needs to be made by a jury</w:t>
      </w:r>
      <w:r w:rsidR="00005878" w:rsidRPr="00154F1D">
        <w:t>.</w:t>
      </w:r>
      <w:r w:rsidR="00692357" w:rsidRPr="00154F1D">
        <w:rPr>
          <w:rStyle w:val="FootnoteReference"/>
        </w:rPr>
        <w:footnoteReference w:id="315"/>
      </w:r>
      <w:r w:rsidR="00005878" w:rsidRPr="00154F1D">
        <w:t xml:space="preserve"> </w:t>
      </w:r>
      <w:r w:rsidR="0027751B" w:rsidRPr="00154F1D">
        <w:t xml:space="preserve">Accordingly, the VLRC gave consideration to </w:t>
      </w:r>
      <w:r w:rsidR="00692357" w:rsidRPr="00154F1D">
        <w:t xml:space="preserve">whether a judge-alone </w:t>
      </w:r>
      <w:r w:rsidR="00905BD6" w:rsidRPr="00154F1D">
        <w:t>procedure</w:t>
      </w:r>
      <w:r w:rsidR="00692357" w:rsidRPr="00154F1D">
        <w:t xml:space="preserve"> </w:t>
      </w:r>
      <w:r w:rsidR="00905BD6" w:rsidRPr="00154F1D">
        <w:t>should b</w:t>
      </w:r>
      <w:r w:rsidR="00692357" w:rsidRPr="00154F1D">
        <w:t>e available in place of a special hearing (</w:t>
      </w:r>
      <w:r w:rsidR="00905BD6" w:rsidRPr="00154F1D">
        <w:t>where</w:t>
      </w:r>
      <w:r w:rsidR="00692357" w:rsidRPr="00154F1D">
        <w:t xml:space="preserve"> the </w:t>
      </w:r>
      <w:r w:rsidR="00905BD6" w:rsidRPr="00154F1D">
        <w:t>prosecution</w:t>
      </w:r>
      <w:r w:rsidR="00692357" w:rsidRPr="00154F1D">
        <w:t xml:space="preserve"> </w:t>
      </w:r>
      <w:r w:rsidR="00905BD6" w:rsidRPr="00154F1D">
        <w:t>a</w:t>
      </w:r>
      <w:r w:rsidR="00692357" w:rsidRPr="00154F1D">
        <w:t>nd defence agree that the evidence establishes the defence of menta</w:t>
      </w:r>
      <w:r w:rsidR="00B13AAC" w:rsidRPr="00154F1D">
        <w:t xml:space="preserve">l impairment). </w:t>
      </w:r>
    </w:p>
    <w:p w14:paraId="297068F8" w14:textId="2C0943BB" w:rsidR="00905BD6" w:rsidRPr="00154F1D" w:rsidRDefault="00905BD6" w:rsidP="00744FAA">
      <w:pPr>
        <w:pStyle w:val="NormalNumberedTextTLRI"/>
      </w:pPr>
      <w:r w:rsidRPr="00154F1D">
        <w:t>In submissions received by the VLRC, the following reasons were advanced in support of a consent process:</w:t>
      </w:r>
    </w:p>
    <w:p w14:paraId="76FEF64A" w14:textId="69506717" w:rsidR="00905BD6" w:rsidRPr="00154F1D" w:rsidRDefault="00905BD6" w:rsidP="005F7AFC">
      <w:pPr>
        <w:pStyle w:val="QuoteTLRI"/>
        <w:numPr>
          <w:ilvl w:val="0"/>
          <w:numId w:val="15"/>
        </w:numPr>
        <w:spacing w:after="120"/>
        <w:ind w:left="1208" w:right="788" w:hanging="357"/>
      </w:pPr>
      <w:r w:rsidRPr="00154F1D">
        <w:t>There is l</w:t>
      </w:r>
      <w:r w:rsidR="00692357" w:rsidRPr="00154F1D">
        <w:t xml:space="preserve">ittle </w:t>
      </w:r>
      <w:r w:rsidRPr="00154F1D">
        <w:t>utility</w:t>
      </w:r>
      <w:r w:rsidR="00BF4656" w:rsidRPr="00154F1D">
        <w:t xml:space="preserve"> or</w:t>
      </w:r>
      <w:r w:rsidR="00692357" w:rsidRPr="00154F1D">
        <w:t xml:space="preserve"> benefit in court and jury </w:t>
      </w:r>
      <w:r w:rsidRPr="00154F1D">
        <w:t>resources</w:t>
      </w:r>
      <w:r w:rsidR="00692357" w:rsidRPr="00154F1D">
        <w:t xml:space="preserve"> b</w:t>
      </w:r>
      <w:r w:rsidRPr="00154F1D">
        <w:t>e</w:t>
      </w:r>
      <w:r w:rsidR="00692357" w:rsidRPr="00154F1D">
        <w:t>ing allocated to</w:t>
      </w:r>
      <w:r w:rsidRPr="00154F1D">
        <w:t xml:space="preserve"> a </w:t>
      </w:r>
      <w:r w:rsidR="00692357" w:rsidRPr="00154F1D">
        <w:t xml:space="preserve">special hearing in these </w:t>
      </w:r>
      <w:r w:rsidRPr="00154F1D">
        <w:t>circumstances</w:t>
      </w:r>
      <w:r w:rsidR="00692357" w:rsidRPr="00154F1D">
        <w:t xml:space="preserve">. A judge-alone </w:t>
      </w:r>
      <w:r w:rsidRPr="00154F1D">
        <w:t>procedure</w:t>
      </w:r>
      <w:r w:rsidR="00692357" w:rsidRPr="00154F1D">
        <w:t xml:space="preserve"> would avoid the </w:t>
      </w:r>
      <w:r w:rsidRPr="00154F1D">
        <w:t>delay</w:t>
      </w:r>
      <w:r w:rsidR="00692357" w:rsidRPr="00154F1D">
        <w:t xml:space="preserve">, </w:t>
      </w:r>
      <w:r w:rsidRPr="00154F1D">
        <w:t>inconvenience</w:t>
      </w:r>
      <w:r w:rsidR="00692357" w:rsidRPr="00154F1D">
        <w:t xml:space="preserve"> and expense of a special hearing.</w:t>
      </w:r>
    </w:p>
    <w:p w14:paraId="3409A48F" w14:textId="77777777" w:rsidR="00905BD6" w:rsidRPr="00154F1D" w:rsidRDefault="00905BD6" w:rsidP="005F7AFC">
      <w:pPr>
        <w:pStyle w:val="QuoteTLRI"/>
        <w:numPr>
          <w:ilvl w:val="0"/>
          <w:numId w:val="15"/>
        </w:numPr>
        <w:spacing w:after="120"/>
        <w:ind w:left="1208" w:right="788" w:hanging="357"/>
      </w:pPr>
      <w:r w:rsidRPr="00154F1D">
        <w:t>The court is able to determine the accused’s criminal responsibility in a robust manner.</w:t>
      </w:r>
    </w:p>
    <w:p w14:paraId="05160773" w14:textId="54C3B53E" w:rsidR="00C3102F" w:rsidRPr="00154F1D" w:rsidRDefault="00905BD6" w:rsidP="0074267A">
      <w:pPr>
        <w:pStyle w:val="QuoteTLRI"/>
        <w:numPr>
          <w:ilvl w:val="0"/>
          <w:numId w:val="15"/>
        </w:numPr>
      </w:pPr>
      <w:r w:rsidRPr="00154F1D">
        <w:t>A judge-alone process would avoid putting the parties through the stress of a special hearing.</w:t>
      </w:r>
      <w:r w:rsidR="00A05E38" w:rsidRPr="00154F1D">
        <w:rPr>
          <w:rStyle w:val="FootnoteReference"/>
        </w:rPr>
        <w:footnoteReference w:id="316"/>
      </w:r>
      <w:r w:rsidR="00005878" w:rsidRPr="00154F1D">
        <w:t xml:space="preserve"> </w:t>
      </w:r>
    </w:p>
    <w:p w14:paraId="388BFC89" w14:textId="22C4909F" w:rsidR="00B13AAC" w:rsidRPr="00154F1D" w:rsidRDefault="00B13AAC" w:rsidP="00744FAA">
      <w:pPr>
        <w:pStyle w:val="NormalNumberedTextTLRI"/>
        <w:numPr>
          <w:ilvl w:val="0"/>
          <w:numId w:val="0"/>
        </w:numPr>
      </w:pPr>
      <w:r w:rsidRPr="00154F1D">
        <w:t xml:space="preserve">The Law Commission of </w:t>
      </w:r>
      <w:r w:rsidR="00A219A6" w:rsidRPr="00154F1D">
        <w:t>England</w:t>
      </w:r>
      <w:r w:rsidRPr="00154F1D">
        <w:t xml:space="preserve"> and Wales</w:t>
      </w:r>
      <w:r w:rsidR="004271C7" w:rsidRPr="00154F1D">
        <w:t xml:space="preserve"> also outlined the following factors in support of a judge-only process</w:t>
      </w:r>
      <w:r w:rsidR="006A25E5" w:rsidRPr="00154F1D">
        <w:t>:</w:t>
      </w:r>
    </w:p>
    <w:p w14:paraId="48954D55" w14:textId="5AB630CB" w:rsidR="006A25E5" w:rsidRPr="00154F1D" w:rsidRDefault="00E5312D" w:rsidP="005F7AFC">
      <w:pPr>
        <w:pStyle w:val="QuoteTLRI"/>
        <w:numPr>
          <w:ilvl w:val="0"/>
          <w:numId w:val="18"/>
        </w:numPr>
        <w:spacing w:after="120"/>
        <w:ind w:left="1208" w:right="788" w:hanging="357"/>
      </w:pPr>
      <w:r w:rsidRPr="00154F1D">
        <w:t>[This would] be less formal, less time-consu</w:t>
      </w:r>
      <w:r w:rsidR="0025639D" w:rsidRPr="00154F1D">
        <w:t>ming</w:t>
      </w:r>
      <w:r w:rsidRPr="00154F1D">
        <w:t xml:space="preserve"> and may lead to fewer delays in concluding the proceedings.</w:t>
      </w:r>
    </w:p>
    <w:p w14:paraId="3FBAFBF7" w14:textId="18F85381" w:rsidR="00E5312D" w:rsidRPr="00154F1D" w:rsidRDefault="00E5312D" w:rsidP="005F7AFC">
      <w:pPr>
        <w:pStyle w:val="QuoteTLRI"/>
        <w:numPr>
          <w:ilvl w:val="0"/>
          <w:numId w:val="18"/>
        </w:numPr>
        <w:spacing w:after="120"/>
        <w:ind w:left="1208" w:right="788" w:hanging="357"/>
      </w:pPr>
      <w:r w:rsidRPr="00154F1D">
        <w:t xml:space="preserve">A judge may be better </w:t>
      </w:r>
      <w:r w:rsidR="008B399E" w:rsidRPr="00154F1D">
        <w:t>positioned</w:t>
      </w:r>
      <w:r w:rsidRPr="00154F1D">
        <w:t xml:space="preserve"> than </w:t>
      </w:r>
      <w:r w:rsidR="0025639D" w:rsidRPr="00154F1D">
        <w:t xml:space="preserve">a </w:t>
      </w:r>
      <w:r w:rsidRPr="00154F1D">
        <w:t>jury to analyse the expert evidence adduced</w:t>
      </w:r>
      <w:r w:rsidR="0025639D" w:rsidRPr="00154F1D">
        <w:t>.</w:t>
      </w:r>
    </w:p>
    <w:p w14:paraId="3E7C5F95" w14:textId="39A59B0D" w:rsidR="00E5312D" w:rsidRPr="00154F1D" w:rsidRDefault="00E5312D" w:rsidP="005F7AFC">
      <w:pPr>
        <w:pStyle w:val="QuoteTLRI"/>
        <w:numPr>
          <w:ilvl w:val="0"/>
          <w:numId w:val="18"/>
        </w:numPr>
        <w:spacing w:after="120"/>
        <w:ind w:left="1208" w:right="788" w:hanging="357"/>
      </w:pPr>
      <w:r w:rsidRPr="00154F1D">
        <w:t>Empirical research suggest</w:t>
      </w:r>
      <w:r w:rsidR="0025639D" w:rsidRPr="00154F1D">
        <w:t>s</w:t>
      </w:r>
      <w:r w:rsidRPr="00154F1D">
        <w:t xml:space="preserve"> that in the majority of cases the [special] hearing is not contested.</w:t>
      </w:r>
      <w:r w:rsidRPr="00154F1D">
        <w:rPr>
          <w:rStyle w:val="FootnoteReference"/>
        </w:rPr>
        <w:footnoteReference w:id="317"/>
      </w:r>
    </w:p>
    <w:p w14:paraId="37DF5656" w14:textId="0468432B" w:rsidR="00E5312D" w:rsidRPr="00154F1D" w:rsidRDefault="00E5312D" w:rsidP="005F7AFC">
      <w:pPr>
        <w:pStyle w:val="QuoteTLRI"/>
        <w:numPr>
          <w:ilvl w:val="0"/>
          <w:numId w:val="18"/>
        </w:numPr>
        <w:spacing w:after="120"/>
        <w:ind w:left="1208" w:right="788" w:hanging="357"/>
      </w:pPr>
      <w:r w:rsidRPr="00154F1D">
        <w:t>Judges have to give reasons for their decisions which in this context would be valuable.</w:t>
      </w:r>
    </w:p>
    <w:p w14:paraId="44AE46F4" w14:textId="7C52999F" w:rsidR="00E5312D" w:rsidRPr="00154F1D" w:rsidRDefault="00E5312D" w:rsidP="0074267A">
      <w:pPr>
        <w:pStyle w:val="QuoteTLRI"/>
        <w:numPr>
          <w:ilvl w:val="0"/>
          <w:numId w:val="18"/>
        </w:numPr>
      </w:pPr>
      <w:r w:rsidRPr="00154F1D">
        <w:t xml:space="preserve">The objection based upon the apparent loss of </w:t>
      </w:r>
      <w:r w:rsidR="00134664" w:rsidRPr="00154F1D">
        <w:t xml:space="preserve">a </w:t>
      </w:r>
      <w:r w:rsidRPr="00154F1D">
        <w:t xml:space="preserve">trial </w:t>
      </w:r>
      <w:r w:rsidR="00134664" w:rsidRPr="00154F1D">
        <w:t xml:space="preserve">by jury </w:t>
      </w:r>
      <w:r w:rsidRPr="00154F1D">
        <w:t xml:space="preserve">is properly met by the fact that </w:t>
      </w:r>
      <w:r w:rsidR="008B399E" w:rsidRPr="00154F1D">
        <w:t>t</w:t>
      </w:r>
      <w:r w:rsidRPr="00154F1D">
        <w:t>his is not a decision which attribute</w:t>
      </w:r>
      <w:r w:rsidR="0025639D" w:rsidRPr="00154F1D">
        <w:t>s</w:t>
      </w:r>
      <w:r w:rsidRPr="00154F1D">
        <w:t xml:space="preserve"> criminal liability.</w:t>
      </w:r>
      <w:r w:rsidRPr="00154F1D">
        <w:rPr>
          <w:rStyle w:val="FootnoteReference"/>
        </w:rPr>
        <w:footnoteReference w:id="318"/>
      </w:r>
    </w:p>
    <w:p w14:paraId="43CDD187" w14:textId="382DC757" w:rsidR="003270C9" w:rsidRPr="00154F1D" w:rsidRDefault="00350161" w:rsidP="00744FAA">
      <w:pPr>
        <w:pStyle w:val="NormalNumberedTextTLRI"/>
      </w:pPr>
      <w:r w:rsidRPr="00154F1D">
        <w:t xml:space="preserve">Opponents </w:t>
      </w:r>
      <w:r w:rsidR="007E73A3">
        <w:t>of</w:t>
      </w:r>
      <w:r w:rsidRPr="00154F1D">
        <w:t xml:space="preserve"> a judge-alone process observed that a person who is unfit to stand trial will not be able to instruct their lawyer to agree to the process.</w:t>
      </w:r>
      <w:r w:rsidR="003270C9" w:rsidRPr="00154F1D">
        <w:rPr>
          <w:rStyle w:val="FootnoteReference"/>
        </w:rPr>
        <w:footnoteReference w:id="319"/>
      </w:r>
      <w:r w:rsidRPr="00154F1D">
        <w:t xml:space="preserve"> </w:t>
      </w:r>
      <w:r w:rsidR="003270C9" w:rsidRPr="00154F1D">
        <w:t xml:space="preserve">This concern was </w:t>
      </w:r>
      <w:r w:rsidR="00D02682" w:rsidRPr="00154F1D">
        <w:t xml:space="preserve">also </w:t>
      </w:r>
      <w:r w:rsidR="003270C9" w:rsidRPr="00154F1D">
        <w:t>shared by the VLRC.</w:t>
      </w:r>
      <w:r w:rsidR="003270C9" w:rsidRPr="00154F1D">
        <w:rPr>
          <w:rStyle w:val="FootnoteReference"/>
        </w:rPr>
        <w:footnoteReference w:id="320"/>
      </w:r>
      <w:r w:rsidR="003270C9" w:rsidRPr="00154F1D">
        <w:t xml:space="preserve"> </w:t>
      </w:r>
      <w:r w:rsidR="005660E4" w:rsidRPr="00154F1D">
        <w:t xml:space="preserve">In addition, the VLRC expressed the view that </w:t>
      </w:r>
      <w:r w:rsidR="007E73A3">
        <w:t xml:space="preserve">the </w:t>
      </w:r>
      <w:r w:rsidR="005660E4" w:rsidRPr="00154F1D">
        <w:t>jury</w:t>
      </w:r>
      <w:r w:rsidR="003270C9" w:rsidRPr="00154F1D">
        <w:t xml:space="preserve"> (as community representative)</w:t>
      </w:r>
      <w:r w:rsidR="005660E4" w:rsidRPr="00154F1D">
        <w:t xml:space="preserve"> should be involved in determining </w:t>
      </w:r>
      <w:r w:rsidR="00A05E38" w:rsidRPr="00154F1D">
        <w:t xml:space="preserve">the </w:t>
      </w:r>
      <w:r w:rsidR="002C545D" w:rsidRPr="00154F1D">
        <w:t xml:space="preserve">issues at a special hearing </w:t>
      </w:r>
      <w:r w:rsidR="003270C9" w:rsidRPr="00154F1D">
        <w:t>in the interests of the community and the victims and as a means to protect the rights of the accused</w:t>
      </w:r>
      <w:r w:rsidR="00642AE0" w:rsidRPr="00154F1D">
        <w:t>.</w:t>
      </w:r>
      <w:r w:rsidR="003270C9" w:rsidRPr="00154F1D">
        <w:rPr>
          <w:rStyle w:val="FootnoteReference"/>
        </w:rPr>
        <w:footnoteReference w:id="321"/>
      </w:r>
      <w:r w:rsidR="00642AE0" w:rsidRPr="00154F1D">
        <w:t xml:space="preserve"> </w:t>
      </w:r>
      <w:r w:rsidR="009909FB" w:rsidRPr="00154F1D">
        <w:t>It observed that:</w:t>
      </w:r>
    </w:p>
    <w:p w14:paraId="03600C32" w14:textId="128C6DE2" w:rsidR="009909FB" w:rsidRPr="00154F1D" w:rsidRDefault="00FE7E07" w:rsidP="0074267A">
      <w:pPr>
        <w:pStyle w:val="QuoteTLRI"/>
      </w:pPr>
      <w:r w:rsidRPr="00154F1D">
        <w:t>t</w:t>
      </w:r>
      <w:r w:rsidR="009909FB" w:rsidRPr="00154F1D">
        <w:t>he determination of criminal responsibility by a jury provides a greater level of acknowledgement to victims and their families of the harm they have experienced. The importance of acknowledgment of victims and their family members is not diminished in cases where an accused has been under law not to be criminally responsible due to a finding of not guilty because of mental impairment. The Commission recognises the importance of victims and their families witnessing the process of the hearing, and listening to the psychiatric or psychological evidence and the reasons for dealing with accused within the forensic mental health or disability system rather than the prison system. In the Commission’s view, this will promote the acceptance and understanding of the finding of not guilty because of mental impairment and its underlying causes, such as a mental illness, intellectual disability or other cognitive impairment.</w:t>
      </w:r>
      <w:r w:rsidR="009909FB" w:rsidRPr="00154F1D">
        <w:rPr>
          <w:rStyle w:val="FootnoteReference"/>
        </w:rPr>
        <w:footnoteReference w:id="322"/>
      </w:r>
    </w:p>
    <w:p w14:paraId="060C9042" w14:textId="17AC26D8" w:rsidR="009909FB" w:rsidRPr="00154F1D" w:rsidRDefault="00581A5E" w:rsidP="00EE23E0">
      <w:pPr>
        <w:pStyle w:val="NormalNumberedTextTLRI"/>
        <w:numPr>
          <w:ilvl w:val="0"/>
          <w:numId w:val="0"/>
        </w:numPr>
      </w:pPr>
      <w:r w:rsidRPr="00154F1D">
        <w:t xml:space="preserve">Opposition to a judge-alone process received by the Law Commission of England and Wales </w:t>
      </w:r>
      <w:r w:rsidR="00B62084" w:rsidRPr="00154F1D">
        <w:t xml:space="preserve">also focused on the erosion of the jury trial and the role of the jury as the </w:t>
      </w:r>
      <w:r w:rsidR="008B399E" w:rsidRPr="00154F1D">
        <w:t>fact-finder</w:t>
      </w:r>
      <w:r w:rsidR="00B62084" w:rsidRPr="00154F1D">
        <w:t xml:space="preserve"> as a vital component of the criminal justice system. It was thought </w:t>
      </w:r>
      <w:r w:rsidR="004B00EB" w:rsidRPr="00154F1D">
        <w:t xml:space="preserve">that </w:t>
      </w:r>
      <w:r w:rsidR="00B62084" w:rsidRPr="00154F1D">
        <w:t xml:space="preserve">to </w:t>
      </w:r>
      <w:r w:rsidR="008B399E" w:rsidRPr="00154F1D">
        <w:t xml:space="preserve">remove the jury may </w:t>
      </w:r>
      <w:r w:rsidR="00B62084" w:rsidRPr="00154F1D">
        <w:t xml:space="preserve">reduce public willingness to accept the findings </w:t>
      </w:r>
      <w:r w:rsidR="008B399E" w:rsidRPr="00154F1D">
        <w:t xml:space="preserve">following a special hearing </w:t>
      </w:r>
      <w:r w:rsidR="00B62084" w:rsidRPr="00154F1D">
        <w:t xml:space="preserve">and </w:t>
      </w:r>
      <w:r w:rsidR="008B399E" w:rsidRPr="00154F1D">
        <w:t>may</w:t>
      </w:r>
      <w:r w:rsidR="00B62084" w:rsidRPr="00154F1D">
        <w:t xml:space="preserve"> undermine the legitimacy of the criminal justice system.</w:t>
      </w:r>
      <w:r w:rsidR="00B62084" w:rsidRPr="00154F1D">
        <w:rPr>
          <w:rStyle w:val="FootnoteReference"/>
        </w:rPr>
        <w:footnoteReference w:id="323"/>
      </w:r>
      <w:r w:rsidR="00B62084" w:rsidRPr="00154F1D">
        <w:t xml:space="preserve"> </w:t>
      </w:r>
      <w:r w:rsidR="009909FB" w:rsidRPr="00154F1D">
        <w:t xml:space="preserve">In addition, </w:t>
      </w:r>
      <w:r w:rsidR="0027751B" w:rsidRPr="00154F1D">
        <w:t xml:space="preserve">a judge-alone process would be in conflict with the requirements </w:t>
      </w:r>
      <w:r w:rsidR="008B399E" w:rsidRPr="00154F1D">
        <w:t xml:space="preserve">for equality </w:t>
      </w:r>
      <w:r w:rsidR="0027751B" w:rsidRPr="00154F1D">
        <w:t>under the</w:t>
      </w:r>
      <w:r w:rsidR="009909FB" w:rsidRPr="00154F1D">
        <w:t xml:space="preserve"> </w:t>
      </w:r>
      <w:r w:rsidR="009909FB" w:rsidRPr="00154F1D">
        <w:rPr>
          <w:i/>
        </w:rPr>
        <w:t>CRPD</w:t>
      </w:r>
      <w:r w:rsidR="00B62084" w:rsidRPr="00154F1D">
        <w:t xml:space="preserve"> given that this </w:t>
      </w:r>
      <w:r w:rsidR="008B399E" w:rsidRPr="00154F1D">
        <w:t>process would differ</w:t>
      </w:r>
      <w:r w:rsidR="00B62084" w:rsidRPr="00154F1D">
        <w:t xml:space="preserve"> from fact-finding in the usual trial process</w:t>
      </w:r>
      <w:r w:rsidR="009909FB" w:rsidRPr="00154F1D">
        <w:t>.</w:t>
      </w:r>
      <w:r w:rsidR="0027751B" w:rsidRPr="00154F1D">
        <w:rPr>
          <w:rStyle w:val="FootnoteReference"/>
        </w:rPr>
        <w:footnoteReference w:id="324"/>
      </w:r>
      <w:r w:rsidR="00B13AAC" w:rsidRPr="00154F1D">
        <w:t xml:space="preserve"> </w:t>
      </w:r>
    </w:p>
    <w:p w14:paraId="28A58C83" w14:textId="6BC7A6B7" w:rsidR="00513943" w:rsidRPr="00154F1D" w:rsidRDefault="00513943" w:rsidP="00744FAA">
      <w:pPr>
        <w:pStyle w:val="NormalNumberedTextTLRI"/>
      </w:pPr>
      <w:r w:rsidRPr="00154F1D">
        <w:t xml:space="preserve">Responses received by the VLRC and the Law Commission of England and Wales showed divided views on this issue. </w:t>
      </w:r>
      <w:r w:rsidR="00D02682" w:rsidRPr="00154F1D">
        <w:t xml:space="preserve">Similarly, the approaches taken by the law reform bodies </w:t>
      </w:r>
      <w:r w:rsidR="00134664" w:rsidRPr="00154F1D">
        <w:t xml:space="preserve">were </w:t>
      </w:r>
      <w:r w:rsidR="00D02682" w:rsidRPr="00154F1D">
        <w:t xml:space="preserve">different. </w:t>
      </w:r>
      <w:r w:rsidRPr="00154F1D">
        <w:t>Ultimately, the VLRC recommended against allowing a judge-alone process and the Law Commission of England and Wales considered that a judge-alone process should be available at the election of defendant.</w:t>
      </w:r>
      <w:r w:rsidRPr="00154F1D">
        <w:rPr>
          <w:rStyle w:val="FootnoteReference"/>
        </w:rPr>
        <w:footnoteReference w:id="325"/>
      </w:r>
    </w:p>
    <w:p w14:paraId="512589BE" w14:textId="77777777" w:rsidR="00755B62" w:rsidRPr="00154F1D" w:rsidRDefault="00755B62" w:rsidP="00666640">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rPr>
          <w:b/>
        </w:rPr>
      </w:pPr>
      <w:bookmarkStart w:id="122" w:name="Q23"/>
      <w:r w:rsidRPr="00154F1D">
        <w:rPr>
          <w:b/>
        </w:rPr>
        <w:t>Questions</w:t>
      </w:r>
    </w:p>
    <w:bookmarkEnd w:id="122"/>
    <w:p w14:paraId="319BC2B3" w14:textId="1C5AC131" w:rsidR="00B13AAC" w:rsidRPr="00154F1D" w:rsidRDefault="00D64190" w:rsidP="00666640">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pPr>
      <w:r w:rsidRPr="00154F1D">
        <w:t>23</w:t>
      </w:r>
      <w:r w:rsidR="00755B62" w:rsidRPr="00154F1D">
        <w:t>.</w:t>
      </w:r>
      <w:r w:rsidR="00666640" w:rsidRPr="00154F1D">
        <w:tab/>
      </w:r>
      <w:r w:rsidR="00B13AAC" w:rsidRPr="00154F1D">
        <w:t xml:space="preserve">Should any changes be made </w:t>
      </w:r>
      <w:r w:rsidR="001737BA" w:rsidRPr="00154F1D">
        <w:t xml:space="preserve">to </w:t>
      </w:r>
      <w:r w:rsidR="00B13AAC" w:rsidRPr="00154F1D">
        <w:t>the procedure for a special hearing?</w:t>
      </w:r>
    </w:p>
    <w:p w14:paraId="1C384F08" w14:textId="00710D2B" w:rsidR="00513943" w:rsidRPr="00154F1D" w:rsidRDefault="00D64190" w:rsidP="00666640">
      <w:pPr>
        <w:pStyle w:val="NormalNumberedTextTLRI"/>
        <w:numPr>
          <w:ilvl w:val="0"/>
          <w:numId w:val="0"/>
        </w:numPr>
        <w:pBdr>
          <w:top w:val="single" w:sz="2" w:space="1" w:color="auto"/>
          <w:left w:val="single" w:sz="2" w:space="1" w:color="auto"/>
          <w:bottom w:val="single" w:sz="2" w:space="1" w:color="auto"/>
          <w:right w:val="single" w:sz="2" w:space="1" w:color="auto"/>
        </w:pBdr>
        <w:shd w:val="clear" w:color="auto" w:fill="D9D9D9" w:themeFill="background1" w:themeFillShade="D9"/>
        <w:ind w:left="426" w:right="57" w:hanging="369"/>
      </w:pPr>
      <w:r w:rsidRPr="00154F1D">
        <w:t>24.</w:t>
      </w:r>
      <w:r w:rsidR="00666640" w:rsidRPr="00154F1D">
        <w:tab/>
      </w:r>
      <w:r w:rsidR="00B13AAC" w:rsidRPr="00154F1D">
        <w:t>S</w:t>
      </w:r>
      <w:r w:rsidR="005A61AC" w:rsidRPr="00154F1D">
        <w:t xml:space="preserve">hould there be </w:t>
      </w:r>
      <w:r w:rsidR="00B13AAC" w:rsidRPr="00154F1D">
        <w:t>a judge-alone process available instead of a special hearing</w:t>
      </w:r>
      <w:r w:rsidR="008B399E" w:rsidRPr="00154F1D">
        <w:t xml:space="preserve">? </w:t>
      </w:r>
      <w:r w:rsidR="00AA4C63" w:rsidRPr="00154F1D">
        <w:t>If so, s</w:t>
      </w:r>
      <w:r w:rsidR="008B399E" w:rsidRPr="00154F1D">
        <w:t>hould this be available</w:t>
      </w:r>
      <w:r w:rsidR="00B13AAC" w:rsidRPr="00154F1D">
        <w:t xml:space="preserve"> in circumstances where the prosecution and defence agree that the evidence establishes the defence of </w:t>
      </w:r>
      <w:r w:rsidR="005A61AC" w:rsidRPr="00154F1D">
        <w:t xml:space="preserve">insanity at </w:t>
      </w:r>
      <w:r w:rsidR="001737BA" w:rsidRPr="00154F1D">
        <w:t xml:space="preserve">a </w:t>
      </w:r>
      <w:r w:rsidR="005A61AC" w:rsidRPr="00154F1D">
        <w:t xml:space="preserve">special hearing? </w:t>
      </w:r>
      <w:r w:rsidR="008B399E" w:rsidRPr="00154F1D">
        <w:t>Or s</w:t>
      </w:r>
      <w:r w:rsidR="00513943" w:rsidRPr="00154F1D">
        <w:t>hould there be a judge-alone process available instead of a special hearing in all cases?</w:t>
      </w:r>
    </w:p>
    <w:p w14:paraId="6C99A354" w14:textId="77777777" w:rsidR="00666640" w:rsidRPr="00154F1D" w:rsidRDefault="00666640" w:rsidP="00744FAA">
      <w:pPr>
        <w:pStyle w:val="NormalNumberedTextTLRI"/>
        <w:numPr>
          <w:ilvl w:val="0"/>
          <w:numId w:val="0"/>
        </w:numPr>
        <w:sectPr w:rsidR="00666640" w:rsidRPr="00154F1D" w:rsidSect="00D44CC5">
          <w:headerReference w:type="default" r:id="rId36"/>
          <w:pgSz w:w="11900" w:h="16840"/>
          <w:pgMar w:top="1440" w:right="1797" w:bottom="1440" w:left="1797" w:header="709" w:footer="709" w:gutter="0"/>
          <w:cols w:space="708"/>
          <w:titlePg/>
          <w:docGrid w:linePitch="360"/>
        </w:sectPr>
      </w:pPr>
    </w:p>
    <w:p w14:paraId="16F414B3" w14:textId="77777777" w:rsidR="001D795B" w:rsidRPr="00154F1D" w:rsidRDefault="001D795B" w:rsidP="005B04CF">
      <w:pPr>
        <w:pStyle w:val="PartNoTLRI"/>
        <w:ind w:left="0" w:firstLine="0"/>
      </w:pPr>
      <w:bookmarkStart w:id="123" w:name="_Toc535868952"/>
      <w:bookmarkEnd w:id="123"/>
    </w:p>
    <w:p w14:paraId="253B5ECC" w14:textId="4FD77017" w:rsidR="00BD4A60" w:rsidRPr="00154F1D" w:rsidRDefault="001D795B" w:rsidP="00C20379">
      <w:pPr>
        <w:pStyle w:val="PartHeadingTLRI"/>
        <w:spacing w:before="360" w:after="480"/>
      </w:pPr>
      <w:bookmarkStart w:id="124" w:name="_Toc535868953"/>
      <w:r w:rsidRPr="00154F1D">
        <w:t>Insanity</w:t>
      </w:r>
      <w:bookmarkEnd w:id="124"/>
    </w:p>
    <w:p w14:paraId="7F469F75" w14:textId="53605A04" w:rsidR="00190368" w:rsidRPr="00154F1D" w:rsidRDefault="00190368" w:rsidP="00A47716">
      <w:pPr>
        <w:pStyle w:val="NumberedHeadingTLRI"/>
        <w:spacing w:after="240"/>
      </w:pPr>
      <w:bookmarkStart w:id="125" w:name="_Toc535868954"/>
      <w:r w:rsidRPr="00154F1D">
        <w:t>Introduction</w:t>
      </w:r>
      <w:bookmarkEnd w:id="125"/>
    </w:p>
    <w:p w14:paraId="468E5718" w14:textId="31119641" w:rsidR="00BA11CF" w:rsidRPr="00154F1D" w:rsidRDefault="006A3920" w:rsidP="00744FAA">
      <w:pPr>
        <w:pStyle w:val="NormalNumberedTextTLRI"/>
      </w:pPr>
      <w:r w:rsidRPr="00154F1D">
        <w:t>T</w:t>
      </w:r>
      <w:r w:rsidR="00BA11CF" w:rsidRPr="00154F1D">
        <w:t>he Terms of Reference request that the TLRI consider the operation of the law of insanity in Tasmania with particular reference to</w:t>
      </w:r>
      <w:r w:rsidRPr="00154F1D">
        <w:t>:</w:t>
      </w:r>
      <w:r w:rsidR="00BA11CF" w:rsidRPr="00154F1D">
        <w:t xml:space="preserve"> </w:t>
      </w:r>
    </w:p>
    <w:p w14:paraId="5DB01AAB" w14:textId="77777777" w:rsidR="00BA11CF" w:rsidRPr="00154F1D" w:rsidRDefault="00BA11CF" w:rsidP="005B04CF">
      <w:pPr>
        <w:pStyle w:val="DotPointTLRI"/>
        <w:ind w:left="851" w:hanging="425"/>
      </w:pPr>
      <w:r w:rsidRPr="00154F1D">
        <w:t xml:space="preserve">the operation of s 16(3) of the </w:t>
      </w:r>
      <w:r w:rsidRPr="00154F1D">
        <w:rPr>
          <w:i/>
          <w:iCs/>
        </w:rPr>
        <w:t>Criminal Code</w:t>
      </w:r>
      <w:r w:rsidRPr="00154F1D">
        <w:t>;</w:t>
      </w:r>
    </w:p>
    <w:p w14:paraId="47FC01FD" w14:textId="77777777" w:rsidR="00BA11CF" w:rsidRPr="00154F1D" w:rsidRDefault="00BA11CF" w:rsidP="005B04CF">
      <w:pPr>
        <w:pStyle w:val="DotPointTLRI"/>
        <w:ind w:left="851" w:hanging="425"/>
        <w:rPr>
          <w:szCs w:val="22"/>
        </w:rPr>
      </w:pPr>
      <w:r w:rsidRPr="00154F1D">
        <w:rPr>
          <w:szCs w:val="22"/>
        </w:rPr>
        <w:t>whether evidence of insane delusions arising from mental illness should form the basis of self-defence;</w:t>
      </w:r>
    </w:p>
    <w:p w14:paraId="5D7DE6B9" w14:textId="77777777" w:rsidR="00BA11CF" w:rsidRPr="00154F1D" w:rsidRDefault="00BA11CF" w:rsidP="005B04CF">
      <w:pPr>
        <w:pStyle w:val="DotPointTLRI"/>
        <w:ind w:left="851" w:hanging="425"/>
        <w:outlineLvl w:val="0"/>
        <w:rPr>
          <w:szCs w:val="22"/>
        </w:rPr>
      </w:pPr>
      <w:r w:rsidRPr="00154F1D">
        <w:rPr>
          <w:szCs w:val="22"/>
        </w:rPr>
        <w:t xml:space="preserve">if insane delusions arising from mental illness form the basis of self-defence, whether defendants relying on insane delusions should be liable to supervision under the </w:t>
      </w:r>
      <w:r w:rsidRPr="00154F1D">
        <w:rPr>
          <w:i/>
          <w:iCs/>
          <w:szCs w:val="22"/>
        </w:rPr>
        <w:t>Criminal Justice (Mental Impairment) Act 1999</w:t>
      </w:r>
      <w:r w:rsidRPr="00154F1D">
        <w:rPr>
          <w:szCs w:val="22"/>
        </w:rPr>
        <w:t>; and</w:t>
      </w:r>
    </w:p>
    <w:p w14:paraId="7F82E63D" w14:textId="420924CB" w:rsidR="00BA11CF" w:rsidRPr="00154F1D" w:rsidRDefault="00BA11CF" w:rsidP="005B04CF">
      <w:pPr>
        <w:pStyle w:val="DotPointTLRI"/>
        <w:ind w:left="851" w:hanging="425"/>
        <w:rPr>
          <w:szCs w:val="22"/>
        </w:rPr>
      </w:pPr>
      <w:r w:rsidRPr="00154F1D">
        <w:rPr>
          <w:szCs w:val="22"/>
        </w:rPr>
        <w:t xml:space="preserve">if insane delusions arising from mental illness form the basis of self-defence, whether the </w:t>
      </w:r>
      <w:r w:rsidRPr="00154F1D">
        <w:rPr>
          <w:i/>
          <w:iCs/>
          <w:szCs w:val="22"/>
        </w:rPr>
        <w:t xml:space="preserve">Criminal Justice (Mental Impairment) Act 1999 </w:t>
      </w:r>
      <w:r w:rsidRPr="00154F1D">
        <w:rPr>
          <w:szCs w:val="22"/>
        </w:rPr>
        <w:t>requires amendment in relation to treatment options for such defendants.</w:t>
      </w:r>
    </w:p>
    <w:p w14:paraId="3E7A8661" w14:textId="28CFCD5E" w:rsidR="00621668" w:rsidRPr="00154F1D" w:rsidRDefault="00BA11CF" w:rsidP="00274F14">
      <w:pPr>
        <w:pStyle w:val="NormalNumberedTextTLRI"/>
        <w:numPr>
          <w:ilvl w:val="0"/>
          <w:numId w:val="0"/>
        </w:numPr>
      </w:pPr>
      <w:r w:rsidRPr="00154F1D">
        <w:t xml:space="preserve">Aspects of this reference have already been considered by the TLRI in its review of the law of self-defence, where </w:t>
      </w:r>
      <w:r w:rsidR="00295020" w:rsidRPr="00154F1D">
        <w:t xml:space="preserve">the TLRI’s view was that the </w:t>
      </w:r>
      <w:r w:rsidR="00295020" w:rsidRPr="00154F1D">
        <w:rPr>
          <w:i/>
        </w:rPr>
        <w:t>Criminal Code</w:t>
      </w:r>
      <w:r w:rsidR="00295020" w:rsidRPr="00154F1D">
        <w:t xml:space="preserve"> (Tas) s 16(3) should be repealed and that a provision be included in s 46 of the </w:t>
      </w:r>
      <w:r w:rsidR="00295020" w:rsidRPr="00154F1D">
        <w:rPr>
          <w:i/>
        </w:rPr>
        <w:t xml:space="preserve">Criminal Code </w:t>
      </w:r>
      <w:r w:rsidR="00295020" w:rsidRPr="00154F1D">
        <w:t xml:space="preserve">(Tas) to the effect that evidence of delusions arising from a mental illness cannot be relied on for the purposes of self-defence. </w:t>
      </w:r>
      <w:r w:rsidR="00B01BC2" w:rsidRPr="00154F1D">
        <w:t xml:space="preserve">In this review, the Institute </w:t>
      </w:r>
      <w:r w:rsidR="005704A2" w:rsidRPr="00154F1D">
        <w:t>also stated t</w:t>
      </w:r>
      <w:r w:rsidR="00B01BC2" w:rsidRPr="00154F1D">
        <w:t xml:space="preserve">hat a </w:t>
      </w:r>
      <w:r w:rsidR="005704A2" w:rsidRPr="00154F1D">
        <w:t>review of the insanity defence wa</w:t>
      </w:r>
      <w:r w:rsidR="00B01BC2" w:rsidRPr="00154F1D">
        <w:t>s warranted given that the law of insanity ‘pre-dates the inception of modern psychiatry and psychology as professional disciplines.’</w:t>
      </w:r>
      <w:bookmarkStart w:id="126" w:name="_Ref535179768"/>
      <w:r w:rsidR="00B01BC2" w:rsidRPr="00154F1D">
        <w:rPr>
          <w:rStyle w:val="FootnoteReference"/>
        </w:rPr>
        <w:footnoteReference w:id="326"/>
      </w:r>
      <w:bookmarkEnd w:id="126"/>
      <w:r w:rsidR="00B01BC2" w:rsidRPr="00154F1D">
        <w:t xml:space="preserve"> Particular concerns </w:t>
      </w:r>
      <w:r w:rsidR="005704A2" w:rsidRPr="00154F1D">
        <w:t>identified we</w:t>
      </w:r>
      <w:r w:rsidR="00B01BC2" w:rsidRPr="00154F1D">
        <w:t>re the scope of the legal concept of mental disease (compared to the medical understanding of mental illness) and the focus on an accused’s incapacity rather than his or her actual awareness or understanding.</w:t>
      </w:r>
      <w:bookmarkStart w:id="127" w:name="_Ref535171610"/>
      <w:r w:rsidR="00B01BC2" w:rsidRPr="00154F1D">
        <w:rPr>
          <w:rStyle w:val="FootnoteReference"/>
        </w:rPr>
        <w:footnoteReference w:id="327"/>
      </w:r>
      <w:bookmarkEnd w:id="127"/>
    </w:p>
    <w:p w14:paraId="2561D1C5" w14:textId="30602961" w:rsidR="00BA11CF" w:rsidRPr="00154F1D" w:rsidRDefault="00BA11CF" w:rsidP="00744FAA">
      <w:pPr>
        <w:pStyle w:val="NormalNumberedTextTLRI"/>
      </w:pPr>
      <w:r w:rsidRPr="00154F1D">
        <w:t xml:space="preserve">This </w:t>
      </w:r>
      <w:r w:rsidR="00190368" w:rsidRPr="00154F1D">
        <w:t>P</w:t>
      </w:r>
      <w:r w:rsidRPr="00154F1D">
        <w:t xml:space="preserve">art </w:t>
      </w:r>
      <w:r w:rsidR="00755B62" w:rsidRPr="00154F1D">
        <w:t>provides an overview of the law of insanity in Tasmania</w:t>
      </w:r>
      <w:r w:rsidR="000F6F22" w:rsidRPr="00154F1D">
        <w:t>,</w:t>
      </w:r>
      <w:r w:rsidR="00755B62" w:rsidRPr="00154F1D">
        <w:t xml:space="preserve"> identifies concerns in relation to the existing law and considers options for reform. </w:t>
      </w:r>
    </w:p>
    <w:p w14:paraId="5E212869" w14:textId="7C575D97" w:rsidR="00BA1BDF" w:rsidRPr="00154F1D" w:rsidRDefault="00190368" w:rsidP="00C20379">
      <w:pPr>
        <w:pStyle w:val="NumberedHeadingTLRI"/>
        <w:spacing w:before="240" w:after="120"/>
      </w:pPr>
      <w:bookmarkStart w:id="128" w:name="_Toc535868955"/>
      <w:r w:rsidRPr="00154F1D">
        <w:t>Overview of the law of insanity in Tasmania</w:t>
      </w:r>
      <w:bookmarkEnd w:id="128"/>
    </w:p>
    <w:p w14:paraId="6416904B" w14:textId="380FFCD3" w:rsidR="00C022D6" w:rsidRPr="00154F1D" w:rsidRDefault="00C022D6" w:rsidP="00A47716">
      <w:pPr>
        <w:pStyle w:val="Sub-HeadingTLRI"/>
        <w:spacing w:before="240" w:after="240"/>
      </w:pPr>
      <w:bookmarkStart w:id="129" w:name="_Toc535868956"/>
      <w:r w:rsidRPr="00154F1D">
        <w:t>History</w:t>
      </w:r>
      <w:bookmarkEnd w:id="129"/>
    </w:p>
    <w:p w14:paraId="28784108" w14:textId="309A8F07" w:rsidR="00D02682" w:rsidRPr="00154F1D" w:rsidRDefault="00C022D6" w:rsidP="00A47716">
      <w:pPr>
        <w:pStyle w:val="NormalNumberedTextTLRI"/>
        <w:widowControl w:val="0"/>
      </w:pPr>
      <w:r w:rsidRPr="00154F1D">
        <w:t xml:space="preserve">The law of insanity in Tasmania has its origins in the rules laid down in 1843 by the House of Lords’ decision in </w:t>
      </w:r>
      <w:r w:rsidRPr="00154F1D">
        <w:rPr>
          <w:i/>
        </w:rPr>
        <w:t>M’Naghten</w:t>
      </w:r>
      <w:r w:rsidRPr="00154F1D">
        <w:t>.</w:t>
      </w:r>
      <w:bookmarkStart w:id="130" w:name="_Ref303943521"/>
      <w:r w:rsidRPr="00154F1D">
        <w:rPr>
          <w:rStyle w:val="TLRIFootnoteRef"/>
        </w:rPr>
        <w:footnoteReference w:id="328"/>
      </w:r>
      <w:bookmarkEnd w:id="130"/>
      <w:r w:rsidRPr="00154F1D">
        <w:t xml:space="preserve"> In this case, medical evidence was presented that the accused held a delusional belief that he was being persecuted by the police, on instruction from the Tory party. At his trial, evidence was presented that the accused, acting under that delusion, killed a man believing him to be the Home Secretary, Sir Robert Peel.</w:t>
      </w:r>
      <w:r w:rsidRPr="00154F1D">
        <w:rPr>
          <w:rStyle w:val="TLRIFootnoteRef"/>
        </w:rPr>
        <w:footnoteReference w:id="329"/>
      </w:r>
      <w:r w:rsidRPr="00154F1D">
        <w:t xml:space="preserve"> M’Naghten was acquitted on the grounds of insanity and, as a result of the considerable public uproar that followed, the Queen asked the House of Lords to review the matter. In response, the House of Lords set out the rules of insanity. These rules first create a presumption of sanity </w:t>
      </w:r>
      <w:r w:rsidR="00D02682" w:rsidRPr="00154F1D">
        <w:t>by stating that ‘in all cases that every man [or woman] is presumed to be sane, and to possess a sufficient degree of reason to be responsible for his [or her] crimes, unless the contrary be proved’.</w:t>
      </w:r>
      <w:r w:rsidR="00D02682" w:rsidRPr="00154F1D">
        <w:rPr>
          <w:rStyle w:val="FootnoteReference"/>
        </w:rPr>
        <w:footnoteReference w:id="330"/>
      </w:r>
      <w:r w:rsidR="00D02682" w:rsidRPr="00154F1D">
        <w:t xml:space="preserve"> </w:t>
      </w:r>
    </w:p>
    <w:p w14:paraId="2AC27DFD" w14:textId="0B7431DB" w:rsidR="00D02682" w:rsidRPr="00154F1D" w:rsidRDefault="00D02682" w:rsidP="00744FAA">
      <w:pPr>
        <w:pStyle w:val="NormalNumberedTextTLRI"/>
        <w:rPr>
          <w:b/>
          <w:bCs/>
        </w:rPr>
      </w:pPr>
      <w:r w:rsidRPr="00154F1D">
        <w:t xml:space="preserve">The </w:t>
      </w:r>
      <w:r w:rsidRPr="00154F1D">
        <w:rPr>
          <w:i/>
        </w:rPr>
        <w:t>M’Naghten</w:t>
      </w:r>
      <w:r w:rsidRPr="00154F1D">
        <w:t xml:space="preserve"> Rules then define the circumstances in which a person may rely on the defence of insanity. The substance of the defence of insanity is contained in the statement by the House of Lords that: </w:t>
      </w:r>
    </w:p>
    <w:p w14:paraId="02680A96" w14:textId="1B093C71" w:rsidR="00D02682" w:rsidRPr="00154F1D" w:rsidRDefault="00D02682" w:rsidP="0074267A">
      <w:pPr>
        <w:pStyle w:val="QuoteTLRI"/>
      </w:pPr>
      <w:r w:rsidRPr="00154F1D">
        <w:t>To establish a defence on the ground of insanity, it must be clearly proved that, at the time of the committing of the act, the party accused was labouring under such defect of reason, from disease of mind, as not to know the nature and quality of the act he was doing; or, if he did know it, that he did not know what he was doing was wrong.</w:t>
      </w:r>
      <w:r w:rsidRPr="00154F1D">
        <w:rPr>
          <w:rStyle w:val="FootnoteReference"/>
        </w:rPr>
        <w:footnoteReference w:id="331"/>
      </w:r>
      <w:r w:rsidRPr="00154F1D">
        <w:t xml:space="preserve"> </w:t>
      </w:r>
    </w:p>
    <w:p w14:paraId="6C6ACE64" w14:textId="77777777" w:rsidR="00D02682" w:rsidRPr="00154F1D" w:rsidRDefault="00D02682" w:rsidP="00744FAA">
      <w:pPr>
        <w:pStyle w:val="NormalNumberedTextTLRI"/>
        <w:numPr>
          <w:ilvl w:val="0"/>
          <w:numId w:val="0"/>
        </w:numPr>
      </w:pPr>
      <w:r w:rsidRPr="00154F1D">
        <w:t xml:space="preserve">The House of Lords also considered the situation where a person was acting under a delusion: </w:t>
      </w:r>
    </w:p>
    <w:p w14:paraId="587CD17C" w14:textId="458B9008" w:rsidR="00D02682" w:rsidRPr="00154F1D" w:rsidRDefault="00D02682" w:rsidP="0074267A">
      <w:pPr>
        <w:pStyle w:val="QuoteTLRI"/>
      </w:pPr>
      <w:r w:rsidRPr="00154F1D">
        <w:t>Making the assumption … that he labours under such partial delusion only, and is not in other respects insane, we think he must be considered in the same situation as to responsibility as if the facts with respect to which the delusion exists were real. For example, if under the influence of his delusion he supposes another man to be in the act of attempting to take away his life, and he kills that man, as he supposes, in self-defence, he would be exempt from punishment. If his delusion was that the deceased had inflicted a serious injury to his character and fortune, and he killed him in revenge for such supposed injury, he would be liable to punishment.</w:t>
      </w:r>
    </w:p>
    <w:p w14:paraId="52BBC7B0" w14:textId="7D6D2026" w:rsidR="00C022D6" w:rsidRPr="00154F1D" w:rsidRDefault="00D02682" w:rsidP="00744FAA">
      <w:pPr>
        <w:pStyle w:val="NormalNumberedTextTLRI"/>
        <w:numPr>
          <w:ilvl w:val="0"/>
          <w:numId w:val="0"/>
        </w:numPr>
      </w:pPr>
      <w:r w:rsidRPr="00154F1D">
        <w:t xml:space="preserve">These aspects of the </w:t>
      </w:r>
      <w:r w:rsidRPr="00154F1D">
        <w:rPr>
          <w:i/>
        </w:rPr>
        <w:t xml:space="preserve">M’Naghten </w:t>
      </w:r>
      <w:r w:rsidRPr="00154F1D">
        <w:t>R</w:t>
      </w:r>
      <w:r w:rsidR="003F1B95" w:rsidRPr="00154F1D">
        <w:t xml:space="preserve">ules find expression in ss 15 and </w:t>
      </w:r>
      <w:r w:rsidRPr="00154F1D">
        <w:t xml:space="preserve">16 of the </w:t>
      </w:r>
      <w:r w:rsidRPr="00154F1D">
        <w:rPr>
          <w:i/>
        </w:rPr>
        <w:t>Criminal Code</w:t>
      </w:r>
      <w:r w:rsidR="00DA362B">
        <w:t>,</w:t>
      </w:r>
      <w:r w:rsidR="003B2F93" w:rsidRPr="00154F1D">
        <w:t xml:space="preserve"> </w:t>
      </w:r>
      <w:r w:rsidR="00DA362B">
        <w:t>which</w:t>
      </w:r>
      <w:r w:rsidR="003F1B95" w:rsidRPr="00154F1D">
        <w:t xml:space="preserve"> are</w:t>
      </w:r>
      <w:r w:rsidR="003B2F93" w:rsidRPr="00154F1D">
        <w:t xml:space="preserve"> set out at </w:t>
      </w:r>
      <w:r w:rsidR="00180290" w:rsidRPr="00154F1D">
        <w:t>[7.3]</w:t>
      </w:r>
      <w:r w:rsidR="003B2F93" w:rsidRPr="00154F1D">
        <w:t>.</w:t>
      </w:r>
    </w:p>
    <w:p w14:paraId="128B7052" w14:textId="3442B151" w:rsidR="00C022D6" w:rsidRPr="00154F1D" w:rsidRDefault="00C022D6" w:rsidP="00190368">
      <w:pPr>
        <w:pStyle w:val="Sub-HeadingTLRI"/>
      </w:pPr>
      <w:bookmarkStart w:id="131" w:name="_Toc535868957"/>
      <w:r w:rsidRPr="00154F1D">
        <w:t>Rationale</w:t>
      </w:r>
      <w:bookmarkEnd w:id="131"/>
    </w:p>
    <w:p w14:paraId="0CEE7FA4" w14:textId="716D5C3A" w:rsidR="00EB1D88" w:rsidRPr="00154F1D" w:rsidRDefault="00C022D6" w:rsidP="00744FAA">
      <w:pPr>
        <w:pStyle w:val="NormalNumberedTextTLRI"/>
        <w:rPr>
          <w:b/>
          <w:bCs/>
        </w:rPr>
      </w:pPr>
      <w:r w:rsidRPr="00154F1D">
        <w:t>The theoretical basis of the defence of insanity rests on a fundamental principle of modern criminal law — the idea of individual responsibility: ‘the idea of the subject as a rational agent with capacities of both cognition and self-control, and hence the idea of criminal liability is rooted in individual agency’.</w:t>
      </w:r>
      <w:bookmarkStart w:id="132" w:name="_Ref303942913"/>
      <w:r w:rsidRPr="00154F1D">
        <w:rPr>
          <w:rStyle w:val="FootnoteReference"/>
        </w:rPr>
        <w:footnoteReference w:id="332"/>
      </w:r>
      <w:bookmarkEnd w:id="132"/>
      <w:r w:rsidRPr="00154F1D">
        <w:t xml:space="preserve"> Individual responsibility is seen to be dependent on ‘the principle of capacity and a fair opportunity to act otherwise</w:t>
      </w:r>
      <w:r w:rsidR="00F656F5" w:rsidRPr="00154F1D">
        <w:t>’</w:t>
      </w:r>
      <w:r w:rsidRPr="00154F1D">
        <w:t>.</w:t>
      </w:r>
      <w:bookmarkStart w:id="133" w:name="_Ref303942891"/>
      <w:r w:rsidRPr="00154F1D">
        <w:rPr>
          <w:rStyle w:val="FootnoteReference"/>
        </w:rPr>
        <w:footnoteReference w:id="333"/>
      </w:r>
      <w:bookmarkEnd w:id="133"/>
      <w:r w:rsidRPr="00154F1D">
        <w:t xml:space="preserve"> </w:t>
      </w:r>
      <w:r w:rsidR="00EB1D88" w:rsidRPr="00154F1D">
        <w:t>It is for this reason that the criminal law has long recognised ‘the notion that … the insane lack the ability to reason’ and this is reflected in ‘laws excusing them from responsibility for criminal acts’.</w:t>
      </w:r>
      <w:r w:rsidR="00EB1D88" w:rsidRPr="00154F1D">
        <w:rPr>
          <w:rStyle w:val="FootnoteReference"/>
        </w:rPr>
        <w:footnoteReference w:id="334"/>
      </w:r>
      <w:r w:rsidR="00EB1D88" w:rsidRPr="00154F1D">
        <w:t xml:space="preserve"> As noted by Lacey, Wells and Quick:</w:t>
      </w:r>
    </w:p>
    <w:p w14:paraId="34A35FF1" w14:textId="77777777" w:rsidR="00EB1D88" w:rsidRPr="00154F1D" w:rsidRDefault="00EB1D88" w:rsidP="0074267A">
      <w:pPr>
        <w:pStyle w:val="QuoteTLRI"/>
        <w:rPr>
          <w:b/>
          <w:bCs/>
        </w:rPr>
      </w:pPr>
      <w:r w:rsidRPr="00154F1D">
        <w:t>A plea of exemption such as insanity goes to the defendant’s capacity to be addressed as a normal subject of criminal law: if a defendant’s mental capacity is such that fundamental questions can be raised about her cognitive or, perhaps, volitional capacities, it might be argued that they are not even the kind of subject whom criminal law aspires to address.</w:t>
      </w:r>
      <w:r w:rsidRPr="00154F1D">
        <w:rPr>
          <w:rStyle w:val="FootnoteReference"/>
        </w:rPr>
        <w:footnoteReference w:id="335"/>
      </w:r>
      <w:r w:rsidRPr="00154F1D">
        <w:t xml:space="preserve"> </w:t>
      </w:r>
    </w:p>
    <w:p w14:paraId="1138139E" w14:textId="77777777" w:rsidR="00B26DBD" w:rsidRPr="00154F1D" w:rsidRDefault="00EB1D88" w:rsidP="00F656F5">
      <w:pPr>
        <w:pStyle w:val="NormalNumberedTextTLRI"/>
        <w:numPr>
          <w:ilvl w:val="0"/>
          <w:numId w:val="0"/>
        </w:numPr>
      </w:pPr>
      <w:r w:rsidRPr="00154F1D">
        <w:t>Fairall and Yeo recognise that ‘the law would be unduly harsh to punish people who are unable to choose or control their conduct’.</w:t>
      </w:r>
      <w:r w:rsidRPr="00154F1D">
        <w:rPr>
          <w:rStyle w:val="FootnoteReference"/>
        </w:rPr>
        <w:footnoteReference w:id="336"/>
      </w:r>
      <w:r w:rsidRPr="00154F1D">
        <w:t xml:space="preserve"> They also point to the lack of utility in punishing people who are mentally impaired given that they ‘would not have been deterred by a threat of punishment’.</w:t>
      </w:r>
      <w:r w:rsidRPr="00154F1D">
        <w:rPr>
          <w:rStyle w:val="FootnoteReference"/>
        </w:rPr>
        <w:footnoteReference w:id="337"/>
      </w:r>
      <w:r w:rsidRPr="00154F1D">
        <w:t xml:space="preserve"> Accordingly, the function of the law of insanity has been said to ‘define the point at which mental disorder dissolves </w:t>
      </w:r>
      <w:r w:rsidR="003F1B95" w:rsidRPr="00154F1D">
        <w:t xml:space="preserve">[criminal] </w:t>
      </w:r>
      <w:r w:rsidRPr="00154F1D">
        <w:t>responsibility’.</w:t>
      </w:r>
      <w:bookmarkStart w:id="134" w:name="_Ref535173466"/>
      <w:r w:rsidRPr="00154F1D">
        <w:rPr>
          <w:rStyle w:val="FootnoteReference"/>
        </w:rPr>
        <w:footnoteReference w:id="338"/>
      </w:r>
      <w:bookmarkEnd w:id="134"/>
    </w:p>
    <w:p w14:paraId="3EA8D04A" w14:textId="790A0A3F" w:rsidR="00EB1D88" w:rsidRPr="00154F1D" w:rsidRDefault="00EB1D88" w:rsidP="00744FAA">
      <w:pPr>
        <w:pStyle w:val="NormalNumberedTextTLRI"/>
      </w:pPr>
      <w:r w:rsidRPr="00154F1D">
        <w:t>In its consideration of the foundations of criminal responsibility, the Law Commission</w:t>
      </w:r>
      <w:r w:rsidR="003F1B95" w:rsidRPr="00154F1D">
        <w:t xml:space="preserve"> of England and Wales</w:t>
      </w:r>
      <w:r w:rsidRPr="00154F1D">
        <w:t xml:space="preserve"> stated that:</w:t>
      </w:r>
    </w:p>
    <w:p w14:paraId="329437A7" w14:textId="77777777" w:rsidR="00EB1D88" w:rsidRPr="00154F1D" w:rsidRDefault="00EB1D88" w:rsidP="007922D1">
      <w:pPr>
        <w:pStyle w:val="QuoteTLRI"/>
        <w:spacing w:after="120"/>
        <w:ind w:right="788"/>
        <w:rPr>
          <w:sz w:val="24"/>
        </w:rPr>
      </w:pPr>
      <w:r w:rsidRPr="00154F1D">
        <w:t xml:space="preserve">Criminal law is generally thought to be founded on the principle that a person must have been responsible for his or her actions in order to be held culpable and to be punished. </w:t>
      </w:r>
    </w:p>
    <w:p w14:paraId="5FACD154" w14:textId="1C742612" w:rsidR="00EB1D88" w:rsidRPr="00154F1D" w:rsidRDefault="00EB1D88" w:rsidP="0074267A">
      <w:pPr>
        <w:pStyle w:val="QuoteTLRI"/>
        <w:rPr>
          <w:sz w:val="24"/>
        </w:rPr>
      </w:pPr>
      <w:r w:rsidRPr="00154F1D">
        <w:t>It would be unfair for those whose serious disorders caused them to lack criminal responsibility at the time of an alleged offence to be at risk of the same outcome (criminal conviction) as people without that serious condition</w:t>
      </w:r>
      <w:r w:rsidR="00F656F5" w:rsidRPr="00154F1D">
        <w:t xml:space="preserve"> …</w:t>
      </w:r>
      <w:bookmarkStart w:id="135" w:name="_Ref535329182"/>
      <w:r w:rsidRPr="00154F1D">
        <w:rPr>
          <w:rStyle w:val="FootnoteReference"/>
          <w:lang w:eastAsia="en-AU"/>
        </w:rPr>
        <w:footnoteReference w:id="339"/>
      </w:r>
      <w:bookmarkEnd w:id="135"/>
    </w:p>
    <w:p w14:paraId="57E6DCC6" w14:textId="5DDF2807" w:rsidR="00755737" w:rsidRPr="00154F1D" w:rsidRDefault="00EB1D88" w:rsidP="00C20379">
      <w:pPr>
        <w:pStyle w:val="NormalNumberedTextTLRI"/>
        <w:numPr>
          <w:ilvl w:val="0"/>
          <w:numId w:val="0"/>
        </w:numPr>
        <w:rPr>
          <w:lang w:eastAsia="en-AU"/>
        </w:rPr>
      </w:pPr>
      <w:r w:rsidRPr="00154F1D">
        <w:rPr>
          <w:lang w:eastAsia="en-AU"/>
        </w:rPr>
        <w:t>Accordingly, the Law Commission addressed ‘the concept of responsibility as part of the essential inquiry: when does the fact that a person has a particular condition make it unfair to hold him or her responsible for his or her otherwise criminal conduct?’</w:t>
      </w:r>
      <w:r w:rsidRPr="00154F1D">
        <w:rPr>
          <w:rStyle w:val="FootnoteReference"/>
          <w:lang w:eastAsia="en-AU"/>
        </w:rPr>
        <w:footnoteReference w:id="340"/>
      </w:r>
      <w:r w:rsidRPr="00154F1D">
        <w:rPr>
          <w:lang w:eastAsia="en-AU"/>
        </w:rPr>
        <w:t xml:space="preserve"> </w:t>
      </w:r>
      <w:r w:rsidR="009655D2">
        <w:rPr>
          <w:lang w:eastAsia="en-AU"/>
        </w:rPr>
        <w:t>The Law Commission</w:t>
      </w:r>
      <w:r w:rsidR="00E0091A" w:rsidRPr="00154F1D">
        <w:rPr>
          <w:lang w:eastAsia="en-AU"/>
        </w:rPr>
        <w:t xml:space="preserve"> concluded that, ‘people should not be held criminally responsible for their conduct if they lack the capacity to conform their behaviour to meet the demands imposed by the criminal law regulating that conduct’.</w:t>
      </w:r>
      <w:r w:rsidR="00E0091A" w:rsidRPr="00154F1D">
        <w:rPr>
          <w:rStyle w:val="FootnoteReference"/>
          <w:lang w:eastAsia="en-AU"/>
        </w:rPr>
        <w:footnoteReference w:id="341"/>
      </w:r>
    </w:p>
    <w:p w14:paraId="7D1F890A" w14:textId="1E566CD3" w:rsidR="004A1D2A" w:rsidRPr="00154F1D" w:rsidRDefault="00787B9F" w:rsidP="00C20379">
      <w:pPr>
        <w:pStyle w:val="NormalNumberedTextTLRI"/>
        <w:numPr>
          <w:ilvl w:val="2"/>
          <w:numId w:val="47"/>
        </w:numPr>
        <w:ind w:left="0"/>
        <w:rPr>
          <w:b/>
          <w:bCs/>
        </w:rPr>
      </w:pPr>
      <w:r w:rsidRPr="00154F1D">
        <w:t>In addition</w:t>
      </w:r>
      <w:r w:rsidR="003F1B95" w:rsidRPr="00154F1D">
        <w:t xml:space="preserve"> to fairness to the individual</w:t>
      </w:r>
      <w:r w:rsidR="00E40EA3" w:rsidRPr="00154F1D">
        <w:t>, the p</w:t>
      </w:r>
      <w:r w:rsidR="004A1D2A" w:rsidRPr="00154F1D">
        <w:t>rotection of the public</w:t>
      </w:r>
      <w:r w:rsidR="00E40EA3" w:rsidRPr="00154F1D">
        <w:t xml:space="preserve"> is a </w:t>
      </w:r>
      <w:r w:rsidR="003F1B95" w:rsidRPr="00154F1D">
        <w:t>(</w:t>
      </w:r>
      <w:r w:rsidR="00E40EA3" w:rsidRPr="00154F1D">
        <w:t>competing</w:t>
      </w:r>
      <w:r w:rsidR="003F1B95" w:rsidRPr="00154F1D">
        <w:t>)</w:t>
      </w:r>
      <w:r w:rsidR="00E40EA3" w:rsidRPr="00154F1D">
        <w:t xml:space="preserve"> rationale for the defence of insanity with the law </w:t>
      </w:r>
      <w:r w:rsidR="003F1B95" w:rsidRPr="00154F1D">
        <w:t xml:space="preserve">of insanity </w:t>
      </w:r>
      <w:r w:rsidR="00E40EA3" w:rsidRPr="00154F1D">
        <w:t>being concerned to ‘protect society against recurrence of dangerous conduct’.</w:t>
      </w:r>
      <w:r w:rsidR="00E40EA3" w:rsidRPr="00154F1D">
        <w:rPr>
          <w:rStyle w:val="FootnoteReference"/>
        </w:rPr>
        <w:footnoteReference w:id="342"/>
      </w:r>
      <w:r w:rsidR="00E40EA3" w:rsidRPr="00154F1D">
        <w:t xml:space="preserve"> </w:t>
      </w:r>
      <w:r w:rsidR="003B0EEE" w:rsidRPr="00154F1D">
        <w:t>Concerns about p</w:t>
      </w:r>
      <w:r w:rsidRPr="00154F1D">
        <w:t xml:space="preserve">ublic protection </w:t>
      </w:r>
      <w:r w:rsidR="003B0EEE" w:rsidRPr="00154F1D">
        <w:t xml:space="preserve">underpin the scope of ‘mental disease’ within the insanity defence in the </w:t>
      </w:r>
      <w:r w:rsidR="003B0EEE" w:rsidRPr="00154F1D">
        <w:rPr>
          <w:i/>
        </w:rPr>
        <w:t xml:space="preserve">Criminal Code </w:t>
      </w:r>
      <w:r w:rsidR="003B0EEE" w:rsidRPr="00154F1D">
        <w:t xml:space="preserve">s 16 </w:t>
      </w:r>
      <w:r w:rsidR="00E0091A" w:rsidRPr="00154F1D">
        <w:t>(</w:t>
      </w:r>
      <w:r w:rsidR="003F1B95" w:rsidRPr="00154F1D">
        <w:t xml:space="preserve">that operates </w:t>
      </w:r>
      <w:r w:rsidR="00E0091A" w:rsidRPr="00154F1D">
        <w:t xml:space="preserve">to separate sane from insane automatism) </w:t>
      </w:r>
      <w:r w:rsidR="003B0EEE" w:rsidRPr="00154F1D">
        <w:t xml:space="preserve">and the forward focused nature of the assessment made in relation to the dispositions available under the </w:t>
      </w:r>
      <w:r w:rsidR="003B0EEE" w:rsidRPr="00154F1D">
        <w:rPr>
          <w:i/>
        </w:rPr>
        <w:t xml:space="preserve">Criminal Justice (Mental Impairment) Act 1999 </w:t>
      </w:r>
      <w:r w:rsidR="003B0EEE" w:rsidRPr="00154F1D">
        <w:t>(Tas).</w:t>
      </w:r>
      <w:bookmarkStart w:id="136" w:name="_Ref535348062"/>
      <w:r w:rsidR="003B0EEE" w:rsidRPr="00154F1D">
        <w:rPr>
          <w:rStyle w:val="FootnoteReference"/>
        </w:rPr>
        <w:footnoteReference w:id="343"/>
      </w:r>
      <w:bookmarkEnd w:id="136"/>
      <w:r w:rsidR="003B0EEE" w:rsidRPr="00154F1D">
        <w:t xml:space="preserve"> T</w:t>
      </w:r>
      <w:r w:rsidR="00291D4E" w:rsidRPr="00154F1D">
        <w:t xml:space="preserve">he </w:t>
      </w:r>
      <w:r w:rsidRPr="00154F1D">
        <w:t>development</w:t>
      </w:r>
      <w:r w:rsidR="00291D4E" w:rsidRPr="00154F1D">
        <w:t xml:space="preserve"> of the </w:t>
      </w:r>
      <w:r w:rsidR="003B0EEE" w:rsidRPr="00154F1D">
        <w:t>law of insanity has</w:t>
      </w:r>
      <w:r w:rsidR="00291D4E" w:rsidRPr="00154F1D">
        <w:t xml:space="preserve"> been </w:t>
      </w:r>
      <w:r w:rsidR="003F1B95" w:rsidRPr="00154F1D">
        <w:t xml:space="preserve">said to </w:t>
      </w:r>
      <w:r w:rsidR="003B0EEE" w:rsidRPr="00154F1D">
        <w:t>reflect a need</w:t>
      </w:r>
      <w:r w:rsidRPr="00154F1D">
        <w:t xml:space="preserve"> </w:t>
      </w:r>
      <w:r w:rsidR="003B0EEE" w:rsidRPr="00154F1D">
        <w:t>to</w:t>
      </w:r>
      <w:r w:rsidRPr="00154F1D">
        <w:t xml:space="preserve"> </w:t>
      </w:r>
      <w:r w:rsidR="00EA64B7" w:rsidRPr="00154F1D">
        <w:t>identify ‘those defendants who seem more likely to pose a dan</w:t>
      </w:r>
      <w:r w:rsidR="003B0EEE" w:rsidRPr="00154F1D">
        <w:t>ger to others in the future’ and so those who ‘</w:t>
      </w:r>
      <w:r w:rsidR="00EA64B7" w:rsidRPr="00154F1D">
        <w:t>should be subject to supervision and restraint rather than released unconditionally’.</w:t>
      </w:r>
      <w:r w:rsidR="00EA64B7" w:rsidRPr="00154F1D">
        <w:rPr>
          <w:rStyle w:val="FootnoteReference"/>
        </w:rPr>
        <w:footnoteReference w:id="344"/>
      </w:r>
      <w:r w:rsidR="00853082" w:rsidRPr="00154F1D">
        <w:t xml:space="preserve"> </w:t>
      </w:r>
    </w:p>
    <w:p w14:paraId="50AA807C" w14:textId="1AB0891C" w:rsidR="00C022D6" w:rsidRPr="00154F1D" w:rsidRDefault="00B72B03" w:rsidP="007922D1">
      <w:pPr>
        <w:pStyle w:val="NumberedHeadingTLRI"/>
        <w:spacing w:before="240"/>
      </w:pPr>
      <w:bookmarkStart w:id="137" w:name="_Toc535868958"/>
      <w:r w:rsidRPr="00154F1D">
        <w:t>The c</w:t>
      </w:r>
      <w:r w:rsidR="00C022D6" w:rsidRPr="00154F1D">
        <w:t>urrent law</w:t>
      </w:r>
      <w:r w:rsidRPr="00154F1D">
        <w:t xml:space="preserve"> of insanity in Tasmania</w:t>
      </w:r>
      <w:bookmarkEnd w:id="137"/>
    </w:p>
    <w:p w14:paraId="7BD5BC60" w14:textId="01A930A4" w:rsidR="001D795B" w:rsidRPr="00154F1D" w:rsidRDefault="001D795B" w:rsidP="00744FAA">
      <w:pPr>
        <w:pStyle w:val="NormalNumberedTextTLRI"/>
        <w:rPr>
          <w:b/>
          <w:bCs/>
        </w:rPr>
      </w:pPr>
      <w:r w:rsidRPr="00154F1D">
        <w:t xml:space="preserve">In Tasmania, the presumption of sanity is set down in s 15 of the </w:t>
      </w:r>
      <w:r w:rsidRPr="00154F1D">
        <w:rPr>
          <w:i/>
        </w:rPr>
        <w:t xml:space="preserve">Criminal Code, </w:t>
      </w:r>
      <w:r w:rsidRPr="00154F1D">
        <w:t>which provides, ‘[e]very person is presumed to be of sound mind, and to have been of sound mind at any time which comes in question, until the contrary is proved’. This means that the prosecution does not need to prove in every trial that the defendant is sane. It can rely on the presumption of sanity until it is displaced by evidence to the contrary.</w:t>
      </w:r>
      <w:r w:rsidRPr="00154F1D">
        <w:rPr>
          <w:rStyle w:val="FootnoteReference"/>
        </w:rPr>
        <w:footnoteReference w:id="345"/>
      </w:r>
      <w:r w:rsidRPr="00154F1D">
        <w:t xml:space="preserve"> </w:t>
      </w:r>
    </w:p>
    <w:p w14:paraId="51A8AAE1" w14:textId="5D17E2B9" w:rsidR="001D795B" w:rsidRPr="00154F1D" w:rsidRDefault="004A1D2A" w:rsidP="007922D1">
      <w:pPr>
        <w:pStyle w:val="NormalNumberedTextTLRI"/>
        <w:spacing w:after="120"/>
      </w:pPr>
      <w:r w:rsidRPr="00154F1D">
        <w:t>The defence of insanity is set out</w:t>
      </w:r>
      <w:r w:rsidR="001D795B" w:rsidRPr="00154F1D">
        <w:t xml:space="preserve"> in s 16 of the </w:t>
      </w:r>
      <w:r w:rsidR="001D795B" w:rsidRPr="00154F1D">
        <w:rPr>
          <w:i/>
        </w:rPr>
        <w:t>Criminal Code</w:t>
      </w:r>
      <w:r w:rsidR="001D795B" w:rsidRPr="00154F1D">
        <w:t xml:space="preserve"> (Tas), which provides:</w:t>
      </w:r>
    </w:p>
    <w:p w14:paraId="610F7D92" w14:textId="463895A1" w:rsidR="001D795B" w:rsidRPr="00154F1D" w:rsidRDefault="001D795B" w:rsidP="007922D1">
      <w:pPr>
        <w:pStyle w:val="QuoteTLRI"/>
        <w:spacing w:after="120"/>
        <w:ind w:left="1276" w:right="788" w:hanging="425"/>
      </w:pPr>
      <w:r w:rsidRPr="00154F1D">
        <w:rPr>
          <w:bCs/>
        </w:rPr>
        <w:t>(1)</w:t>
      </w:r>
      <w:r w:rsidRPr="00154F1D">
        <w:tab/>
        <w:t>A person is not criminally responsible for an act done or an omission made by him —</w:t>
      </w:r>
    </w:p>
    <w:p w14:paraId="75D885C4" w14:textId="77777777" w:rsidR="007922D1" w:rsidRPr="00154F1D" w:rsidRDefault="001D795B" w:rsidP="007922D1">
      <w:pPr>
        <w:pStyle w:val="QuoteTLRI"/>
        <w:spacing w:after="120"/>
        <w:ind w:left="1701" w:right="788" w:hanging="425"/>
      </w:pPr>
      <w:r w:rsidRPr="00154F1D">
        <w:rPr>
          <w:bCs/>
        </w:rPr>
        <w:t>(a)</w:t>
      </w:r>
      <w:r w:rsidRPr="00154F1D">
        <w:tab/>
        <w:t xml:space="preserve">when afflicted with mental disease to such an extent as to render him incapable of </w:t>
      </w:r>
      <w:r w:rsidR="007922D1" w:rsidRPr="00154F1D">
        <w:t>—</w:t>
      </w:r>
    </w:p>
    <w:p w14:paraId="1AF2EF22" w14:textId="77777777" w:rsidR="001D795B" w:rsidRPr="00154F1D" w:rsidRDefault="001D795B" w:rsidP="007922D1">
      <w:pPr>
        <w:pStyle w:val="QuoteTLRI"/>
        <w:spacing w:after="120"/>
        <w:ind w:left="2127" w:right="788" w:hanging="426"/>
      </w:pPr>
      <w:r w:rsidRPr="00154F1D">
        <w:rPr>
          <w:bCs/>
        </w:rPr>
        <w:t>(i)</w:t>
      </w:r>
      <w:r w:rsidRPr="00154F1D">
        <w:tab/>
        <w:t>understanding the physical character of such act or omission; or</w:t>
      </w:r>
    </w:p>
    <w:p w14:paraId="74CC9B74" w14:textId="77777777" w:rsidR="001D795B" w:rsidRPr="00154F1D" w:rsidRDefault="001D795B" w:rsidP="007922D1">
      <w:pPr>
        <w:pStyle w:val="QuoteTLRI"/>
        <w:spacing w:after="120"/>
        <w:ind w:left="2127" w:right="788" w:hanging="426"/>
      </w:pPr>
      <w:r w:rsidRPr="00154F1D">
        <w:rPr>
          <w:bCs/>
        </w:rPr>
        <w:t>(ii)</w:t>
      </w:r>
      <w:r w:rsidRPr="00154F1D">
        <w:tab/>
        <w:t>knowing that such act or omission was one which he ought not to do or make; or</w:t>
      </w:r>
    </w:p>
    <w:p w14:paraId="6874A281" w14:textId="77777777" w:rsidR="001D795B" w:rsidRPr="00154F1D" w:rsidRDefault="001D795B" w:rsidP="007922D1">
      <w:pPr>
        <w:pStyle w:val="QuoteTLRI"/>
        <w:spacing w:after="120"/>
        <w:ind w:left="1701" w:right="788" w:hanging="425"/>
      </w:pPr>
      <w:r w:rsidRPr="00154F1D">
        <w:t>(b)</w:t>
      </w:r>
      <w:r w:rsidRPr="00154F1D">
        <w:tab/>
        <w:t>when such act or omission was done or made under an impulse which, by reason of mental disease, he was in substance deprived of any power to resist.</w:t>
      </w:r>
    </w:p>
    <w:p w14:paraId="5D8B2852" w14:textId="77777777" w:rsidR="001D795B" w:rsidRPr="00154F1D" w:rsidRDefault="001D795B" w:rsidP="007922D1">
      <w:pPr>
        <w:pStyle w:val="QuoteTLRI"/>
        <w:spacing w:after="120"/>
        <w:ind w:left="1276" w:right="788" w:hanging="425"/>
      </w:pPr>
      <w:r w:rsidRPr="00154F1D">
        <w:t>(2)</w:t>
      </w:r>
      <w:r w:rsidRPr="00154F1D">
        <w:tab/>
        <w:t>The fact that a person was, at the time at which he is alleged to have done an act or made an omission, incapable of controlling his conduct generally, is relevant to the question whether he did such act or made such omission under an impulse which by reason of mental disease he was in substance deprived of any power to resist.</w:t>
      </w:r>
    </w:p>
    <w:p w14:paraId="3E96BC7D" w14:textId="77777777" w:rsidR="001D795B" w:rsidRPr="00154F1D" w:rsidRDefault="001D795B" w:rsidP="007922D1">
      <w:pPr>
        <w:pStyle w:val="QuoteTLRI"/>
        <w:spacing w:after="120"/>
        <w:ind w:left="1276" w:right="788" w:hanging="425"/>
      </w:pPr>
      <w:r w:rsidRPr="00154F1D">
        <w:t>(3)</w:t>
      </w:r>
      <w:r w:rsidRPr="00154F1D">
        <w:tab/>
        <w:t>A person whose mind at the time of his doing an act or making an omission is affected by a delusion on some specific matter, but who is not otherwise exempted from criminal responsibility under the foregoing provisions of this section, is criminally responsible for the act or omission to the same extent as if the fact which he was induced by such delusion to believe to exist really existed.</w:t>
      </w:r>
    </w:p>
    <w:p w14:paraId="37C9D410" w14:textId="4106C02C" w:rsidR="001D795B" w:rsidRPr="00154F1D" w:rsidRDefault="001D795B" w:rsidP="007922D1">
      <w:pPr>
        <w:pStyle w:val="QuoteTLRI"/>
        <w:spacing w:after="0"/>
        <w:ind w:left="1276" w:right="788" w:hanging="425"/>
      </w:pPr>
      <w:r w:rsidRPr="00154F1D">
        <w:t>(4)</w:t>
      </w:r>
      <w:r w:rsidRPr="00154F1D">
        <w:tab/>
        <w:t>For the purpose of this section the term mental disease includes natural imbecility</w:t>
      </w:r>
      <w:r w:rsidR="00162A39" w:rsidRPr="00154F1D">
        <w:t>.</w:t>
      </w:r>
    </w:p>
    <w:p w14:paraId="181261C8" w14:textId="78CA9409" w:rsidR="008F7566" w:rsidRPr="00154F1D" w:rsidRDefault="008F7566" w:rsidP="00426BAF">
      <w:pPr>
        <w:pStyle w:val="Sub-HeadingTLRI"/>
        <w:keepNext/>
      </w:pPr>
      <w:bookmarkStart w:id="138" w:name="_Toc535868959"/>
      <w:r w:rsidRPr="00154F1D">
        <w:t>Key components of the defence</w:t>
      </w:r>
      <w:bookmarkEnd w:id="138"/>
    </w:p>
    <w:p w14:paraId="2A475F6F" w14:textId="30B5BC65" w:rsidR="008F7566" w:rsidRPr="00154F1D" w:rsidRDefault="008F7566" w:rsidP="008F7566">
      <w:pPr>
        <w:pStyle w:val="furhtersub-heading2"/>
      </w:pPr>
      <w:r w:rsidRPr="00154F1D">
        <w:t>Mental disease</w:t>
      </w:r>
    </w:p>
    <w:p w14:paraId="696DA5A8" w14:textId="3F342CC8" w:rsidR="003F1B95" w:rsidRPr="00154F1D" w:rsidRDefault="003F1B95" w:rsidP="00744FAA">
      <w:pPr>
        <w:pStyle w:val="NormalNumberedTextTLRI"/>
      </w:pPr>
      <w:r w:rsidRPr="00154F1D">
        <w:t>Central to the operation of the insanity defence is the scope of the concept of ‘mental disease’. In order to rely on the defence of insanity under s</w:t>
      </w:r>
      <w:r w:rsidR="00DF154A" w:rsidRPr="00154F1D">
        <w:t>s</w:t>
      </w:r>
      <w:r w:rsidRPr="00154F1D">
        <w:t xml:space="preserve"> 16(1) and (2), it must be established on the balance of probabilities that the defendant was suffering a mental disease. Significantly, the definition of a mental disease is a legal rather than a medical construct.</w:t>
      </w:r>
      <w:r w:rsidRPr="00154F1D">
        <w:rPr>
          <w:rStyle w:val="FootnoteReference"/>
        </w:rPr>
        <w:footnoteReference w:id="346"/>
      </w:r>
      <w:r w:rsidRPr="00154F1D">
        <w:t xml:space="preserve"> It is a legal question rather than a medical question as to whether any particular condition is a ‘mental disease’ for the purposes of the insanity defence. Further, it is for the jury to determine whether the accused was suffering from a condition that answers the description of a ‘mental disease’.</w:t>
      </w:r>
      <w:bookmarkStart w:id="139" w:name="_Ref535179556"/>
      <w:r w:rsidRPr="00154F1D">
        <w:rPr>
          <w:rStyle w:val="FootnoteReference"/>
        </w:rPr>
        <w:footnoteReference w:id="347"/>
      </w:r>
      <w:bookmarkEnd w:id="139"/>
      <w:r w:rsidRPr="00154F1D">
        <w:t xml:space="preserve"> In other words, the jury must determine whether a condition is a mental disease according to the legal definition of the term and whether the accused actually has that condition. However, expert medical evidence is </w:t>
      </w:r>
      <w:r w:rsidR="008B50A2" w:rsidRPr="00154F1D">
        <w:t xml:space="preserve">clearly </w:t>
      </w:r>
      <w:r w:rsidRPr="00154F1D">
        <w:t>likely to be crucial to the jury’s determination of these issues.</w:t>
      </w:r>
    </w:p>
    <w:p w14:paraId="2B7D8754" w14:textId="16952CC8" w:rsidR="004147CB" w:rsidRPr="00154F1D" w:rsidRDefault="004147CB" w:rsidP="00744FAA">
      <w:pPr>
        <w:pStyle w:val="NormalNumberedTextTLRI"/>
      </w:pPr>
      <w:r w:rsidRPr="00154F1D">
        <w:t xml:space="preserve">Mental disease is not defined in the </w:t>
      </w:r>
      <w:r w:rsidRPr="00154F1D">
        <w:rPr>
          <w:i/>
        </w:rPr>
        <w:t xml:space="preserve">Criminal Code </w:t>
      </w:r>
      <w:r w:rsidRPr="00154F1D">
        <w:t>(Tas) other than to specify that it includes natural imbecility,</w:t>
      </w:r>
      <w:r w:rsidRPr="00154F1D">
        <w:rPr>
          <w:rStyle w:val="FootnoteReference"/>
        </w:rPr>
        <w:footnoteReference w:id="348"/>
      </w:r>
      <w:r w:rsidRPr="00154F1D">
        <w:t xml:space="preserve"> and so its meaning is found in the common law term ‘disease of the mind’.</w:t>
      </w:r>
      <w:r w:rsidRPr="00154F1D">
        <w:rPr>
          <w:rStyle w:val="FootnoteReference"/>
        </w:rPr>
        <w:footnoteReference w:id="349"/>
      </w:r>
      <w:r w:rsidRPr="00154F1D">
        <w:t xml:space="preserve"> A ‘disease of the mind’ is ‘a state of disease or disorder or mental disturbance arising from infirmity, temporary or longstanding’</w:t>
      </w:r>
      <w:r w:rsidRPr="00154F1D">
        <w:rPr>
          <w:rStyle w:val="FootnoteReference"/>
        </w:rPr>
        <w:footnoteReference w:id="350"/>
      </w:r>
      <w:r w:rsidRPr="00154F1D">
        <w:t xml:space="preserve"> but does not include transient conditions caused by external factors unconnected with disease.</w:t>
      </w:r>
      <w:r w:rsidRPr="00154F1D">
        <w:rPr>
          <w:rStyle w:val="FootnoteReference"/>
        </w:rPr>
        <w:footnoteReference w:id="351"/>
      </w:r>
      <w:r w:rsidRPr="00154F1D">
        <w:t xml:space="preserve"> An accepted definition is found in the judgment of King CJ in </w:t>
      </w:r>
      <w:r w:rsidRPr="00154F1D">
        <w:rPr>
          <w:i/>
        </w:rPr>
        <w:t>R v Radford</w:t>
      </w:r>
      <w:r w:rsidRPr="00154F1D">
        <w:t>, where his Honour stated that:</w:t>
      </w:r>
    </w:p>
    <w:p w14:paraId="09BD701E" w14:textId="77777777" w:rsidR="004147CB" w:rsidRPr="00154F1D" w:rsidRDefault="004147CB" w:rsidP="0074267A">
      <w:pPr>
        <w:pStyle w:val="QuoteTLRI"/>
      </w:pPr>
      <w:r w:rsidRPr="00154F1D">
        <w:t>The expression ‘disease of the mind’ is synonymous, in my view, with ‘mental illness’ … The essential notion appears to be that in order to constitute insanity in the eyes of the law, the malfunction of mental faculties called ‘defence of reason’ in the M’Naghten rules, must result from an underlying pathological infirmity of mind, be it of long or short duration and be it permanent or temporary, which can be properly termed mental illness, as distinct from the reaction of a healthy mind to extraordinary external stimuli.</w:t>
      </w:r>
      <w:r w:rsidRPr="00154F1D">
        <w:rPr>
          <w:rStyle w:val="FootnoteReference"/>
        </w:rPr>
        <w:footnoteReference w:id="352"/>
      </w:r>
    </w:p>
    <w:p w14:paraId="4DA9F4D0" w14:textId="74CAEC16" w:rsidR="004147CB" w:rsidRPr="00154F1D" w:rsidRDefault="004147CB" w:rsidP="00DF154A">
      <w:pPr>
        <w:pStyle w:val="NormalNumberedTextTLRI"/>
        <w:numPr>
          <w:ilvl w:val="0"/>
          <w:numId w:val="0"/>
        </w:numPr>
      </w:pPr>
      <w:r w:rsidRPr="00154F1D">
        <w:t>This statement focuses on the distinction to be drawn between the reaction of a sound mind to external stimulus and the reactions of an unsound mind (sound/unsound mind distinction) as a basis for determining whether a condition was a ‘disease of the mind’. The key is whether the mental state is caused by an external influence compared to an internal condition of the defendant. This approach reflects the explicit policy of the law, which is concerned ‘that certain persons likely to be involved in repeated episodes of dangerous behaviour should be subject to restraint rather than be given an unqualified acquittal on the basis of automatism or lack of mens rea’.</w:t>
      </w:r>
      <w:bookmarkStart w:id="140" w:name="_Ref535329003"/>
      <w:r w:rsidRPr="00154F1D">
        <w:rPr>
          <w:rStyle w:val="FootnoteReference"/>
        </w:rPr>
        <w:footnoteReference w:id="353"/>
      </w:r>
      <w:bookmarkEnd w:id="140"/>
    </w:p>
    <w:p w14:paraId="4DEA25DC" w14:textId="4FA6D131" w:rsidR="00900193" w:rsidRPr="00154F1D" w:rsidRDefault="00A3323B" w:rsidP="00744FAA">
      <w:pPr>
        <w:pStyle w:val="NormalNumberedTextTLRI"/>
      </w:pPr>
      <w:r w:rsidRPr="00154F1D">
        <w:t xml:space="preserve">The </w:t>
      </w:r>
      <w:r w:rsidR="00900193" w:rsidRPr="00154F1D">
        <w:t xml:space="preserve">legal </w:t>
      </w:r>
      <w:r w:rsidRPr="00154F1D">
        <w:t>tests to determine whether or not a condition come</w:t>
      </w:r>
      <w:r w:rsidR="00900193" w:rsidRPr="00154F1D">
        <w:t>s</w:t>
      </w:r>
      <w:r w:rsidRPr="00154F1D">
        <w:t xml:space="preserve"> within the definition of a ‘</w:t>
      </w:r>
      <w:r w:rsidR="00900193" w:rsidRPr="00154F1D">
        <w:t>disease of the mind</w:t>
      </w:r>
      <w:r w:rsidRPr="00154F1D">
        <w:t xml:space="preserve">’ have largely </w:t>
      </w:r>
      <w:r w:rsidR="00900193" w:rsidRPr="00154F1D">
        <w:t xml:space="preserve">been </w:t>
      </w:r>
      <w:r w:rsidRPr="00154F1D">
        <w:t xml:space="preserve">developed </w:t>
      </w:r>
      <w:r w:rsidR="00863BB1" w:rsidRPr="00154F1D">
        <w:t xml:space="preserve">to distinguish </w:t>
      </w:r>
      <w:r w:rsidR="00900193" w:rsidRPr="00154F1D">
        <w:t>‘</w:t>
      </w:r>
      <w:r w:rsidR="00863BB1" w:rsidRPr="00154F1D">
        <w:t>sane</w:t>
      </w:r>
      <w:r w:rsidR="00900193" w:rsidRPr="00154F1D">
        <w:t>’</w:t>
      </w:r>
      <w:r w:rsidR="00863BB1" w:rsidRPr="00154F1D">
        <w:t xml:space="preserve"> and </w:t>
      </w:r>
      <w:r w:rsidR="00900193" w:rsidRPr="00154F1D">
        <w:t>‘</w:t>
      </w:r>
      <w:r w:rsidR="00863BB1" w:rsidRPr="00154F1D">
        <w:t>insane</w:t>
      </w:r>
      <w:r w:rsidR="00900193" w:rsidRPr="00154F1D">
        <w:t>’</w:t>
      </w:r>
      <w:r w:rsidR="00863BB1" w:rsidRPr="00154F1D">
        <w:t xml:space="preserve"> automatism</w:t>
      </w:r>
      <w:r w:rsidR="00900193" w:rsidRPr="00154F1D">
        <w:t>. Sane automatism</w:t>
      </w:r>
      <w:r w:rsidRPr="00154F1D">
        <w:t xml:space="preserve"> </w:t>
      </w:r>
      <w:r w:rsidR="00900193" w:rsidRPr="00154F1D">
        <w:t>results in</w:t>
      </w:r>
      <w:r w:rsidRPr="00154F1D">
        <w:t xml:space="preserve"> a</w:t>
      </w:r>
      <w:r w:rsidR="00863BB1" w:rsidRPr="00154F1D">
        <w:t xml:space="preserve"> complete acquittal </w:t>
      </w:r>
      <w:r w:rsidR="00900193" w:rsidRPr="00154F1D">
        <w:t xml:space="preserve">on the basis that the </w:t>
      </w:r>
      <w:r w:rsidR="00863BB1" w:rsidRPr="00154F1D">
        <w:t xml:space="preserve">prosecution </w:t>
      </w:r>
      <w:r w:rsidR="00900193" w:rsidRPr="00154F1D">
        <w:t xml:space="preserve">has not proved beyond reasonable doubt that </w:t>
      </w:r>
      <w:r w:rsidR="00863BB1" w:rsidRPr="00154F1D">
        <w:t>the act was voluntary and intentional</w:t>
      </w:r>
      <w:r w:rsidRPr="00154F1D">
        <w:t xml:space="preserve"> as required by the </w:t>
      </w:r>
      <w:r w:rsidRPr="00154F1D">
        <w:rPr>
          <w:i/>
        </w:rPr>
        <w:t xml:space="preserve">Criminal Code </w:t>
      </w:r>
      <w:r w:rsidRPr="00154F1D">
        <w:t>s 13(1)</w:t>
      </w:r>
      <w:r w:rsidR="00900193" w:rsidRPr="00154F1D">
        <w:t>. In contrast, ‘insane’ automatism</w:t>
      </w:r>
      <w:r w:rsidR="00863BB1" w:rsidRPr="00154F1D">
        <w:t xml:space="preserve"> </w:t>
      </w:r>
      <w:r w:rsidR="00900193" w:rsidRPr="00154F1D">
        <w:t>results in a</w:t>
      </w:r>
      <w:r w:rsidRPr="00154F1D">
        <w:t xml:space="preserve"> </w:t>
      </w:r>
      <w:r w:rsidR="00863BB1" w:rsidRPr="00154F1D">
        <w:t xml:space="preserve">qualified acquittal </w:t>
      </w:r>
      <w:r w:rsidR="00900193" w:rsidRPr="00154F1D">
        <w:t xml:space="preserve">(not guilty by reason of insanity) </w:t>
      </w:r>
      <w:r w:rsidRPr="00154F1D">
        <w:t>according to the</w:t>
      </w:r>
      <w:r w:rsidR="00863BB1" w:rsidRPr="00154F1D">
        <w:t xml:space="preserve"> insanity defence</w:t>
      </w:r>
      <w:r w:rsidRPr="00154F1D">
        <w:t xml:space="preserve"> by virtue of the </w:t>
      </w:r>
      <w:r w:rsidRPr="00154F1D">
        <w:rPr>
          <w:i/>
        </w:rPr>
        <w:t>Criminal Code</w:t>
      </w:r>
      <w:r w:rsidRPr="00154F1D">
        <w:t xml:space="preserve"> s 16</w:t>
      </w:r>
      <w:r w:rsidR="001B2491" w:rsidRPr="00154F1D">
        <w:t>.</w:t>
      </w:r>
      <w:r w:rsidRPr="00154F1D">
        <w:rPr>
          <w:rStyle w:val="FootnoteReference"/>
        </w:rPr>
        <w:footnoteReference w:id="354"/>
      </w:r>
      <w:r w:rsidR="001B2491" w:rsidRPr="00154F1D">
        <w:t xml:space="preserve"> </w:t>
      </w:r>
      <w:r w:rsidR="00900193" w:rsidRPr="00154F1D">
        <w:t>The law provides that a</w:t>
      </w:r>
      <w:r w:rsidR="00FD29DC" w:rsidRPr="00154F1D">
        <w:t xml:space="preserve">n </w:t>
      </w:r>
      <w:r w:rsidR="0041716E">
        <w:t>accused</w:t>
      </w:r>
      <w:r w:rsidR="0041716E" w:rsidRPr="00154F1D">
        <w:t xml:space="preserve"> </w:t>
      </w:r>
      <w:r w:rsidR="00FD29DC" w:rsidRPr="00154F1D">
        <w:t xml:space="preserve">cannot rely on automatism if the involuntary conduct is attributable to a condition </w:t>
      </w:r>
      <w:r w:rsidR="00900193" w:rsidRPr="00154F1D">
        <w:t>falling</w:t>
      </w:r>
      <w:r w:rsidR="00FD29DC" w:rsidRPr="00154F1D">
        <w:t xml:space="preserve"> within the legal definition of a mental disease</w:t>
      </w:r>
      <w:r w:rsidR="00900193" w:rsidRPr="00154F1D">
        <w:t>/disease of the mind</w:t>
      </w:r>
      <w:r w:rsidR="00FD29DC" w:rsidRPr="00154F1D">
        <w:t xml:space="preserve"> </w:t>
      </w:r>
      <w:r w:rsidR="00E13598" w:rsidRPr="00154F1D">
        <w:t>—</w:t>
      </w:r>
      <w:r w:rsidR="00FD29DC" w:rsidRPr="00154F1D">
        <w:t xml:space="preserve"> </w:t>
      </w:r>
      <w:r w:rsidR="00900193" w:rsidRPr="00154F1D">
        <w:t xml:space="preserve">in this case, </w:t>
      </w:r>
      <w:r w:rsidR="00FD29DC" w:rsidRPr="00154F1D">
        <w:t xml:space="preserve">the defendant can only rely on insanity. </w:t>
      </w:r>
    </w:p>
    <w:p w14:paraId="2C4F7747" w14:textId="6515399A" w:rsidR="00863BB1" w:rsidRPr="00154F1D" w:rsidRDefault="00FD29DC" w:rsidP="00744FAA">
      <w:pPr>
        <w:pStyle w:val="NormalNumberedTextTLRI"/>
      </w:pPr>
      <w:r w:rsidRPr="00154F1D">
        <w:t xml:space="preserve">The </w:t>
      </w:r>
      <w:r w:rsidR="00900193" w:rsidRPr="00154F1D">
        <w:t>scope</w:t>
      </w:r>
      <w:r w:rsidRPr="00154F1D">
        <w:t xml:space="preserve"> of </w:t>
      </w:r>
      <w:r w:rsidR="00900193" w:rsidRPr="00154F1D">
        <w:t xml:space="preserve">the concept of a </w:t>
      </w:r>
      <w:r w:rsidRPr="00154F1D">
        <w:t>‘mental disease’</w:t>
      </w:r>
      <w:r w:rsidR="00900193" w:rsidRPr="00154F1D">
        <w:t>/disease of the mind</w:t>
      </w:r>
      <w:r w:rsidRPr="00154F1D">
        <w:t xml:space="preserve"> </w:t>
      </w:r>
      <w:r w:rsidR="00900193" w:rsidRPr="00154F1D">
        <w:t>is</w:t>
      </w:r>
      <w:r w:rsidRPr="00154F1D">
        <w:t xml:space="preserve"> also relevant to the </w:t>
      </w:r>
      <w:r w:rsidR="003B3ABD" w:rsidRPr="00154F1D">
        <w:t>distinction</w:t>
      </w:r>
      <w:r w:rsidRPr="00154F1D">
        <w:t xml:space="preserve"> </w:t>
      </w:r>
      <w:r w:rsidR="00900193" w:rsidRPr="00154F1D">
        <w:t xml:space="preserve">made </w:t>
      </w:r>
      <w:r w:rsidRPr="00154F1D">
        <w:t xml:space="preserve">between the defences of intoxication </w:t>
      </w:r>
      <w:r w:rsidR="00900193" w:rsidRPr="00154F1D">
        <w:t xml:space="preserve">contained in s 17 of the </w:t>
      </w:r>
      <w:r w:rsidR="00900193" w:rsidRPr="00154F1D">
        <w:rPr>
          <w:i/>
        </w:rPr>
        <w:t xml:space="preserve">Criminal Code </w:t>
      </w:r>
      <w:r w:rsidR="00900193" w:rsidRPr="00154F1D">
        <w:t>(Tas)</w:t>
      </w:r>
      <w:r w:rsidR="004147CB" w:rsidRPr="00154F1D">
        <w:t>, insanity</w:t>
      </w:r>
      <w:r w:rsidR="00900193" w:rsidRPr="00154F1D">
        <w:t xml:space="preserve"> </w:t>
      </w:r>
      <w:r w:rsidRPr="00154F1D">
        <w:t>and automatism</w:t>
      </w:r>
      <w:r w:rsidR="00900193" w:rsidRPr="00154F1D">
        <w:t>. The issue in this context is</w:t>
      </w:r>
      <w:r w:rsidRPr="00154F1D">
        <w:t xml:space="preserve"> whether </w:t>
      </w:r>
      <w:r w:rsidR="00900193" w:rsidRPr="00154F1D">
        <w:t>an</w:t>
      </w:r>
      <w:r w:rsidRPr="00154F1D">
        <w:t xml:space="preserve"> </w:t>
      </w:r>
      <w:r w:rsidR="0041716E">
        <w:t>accused</w:t>
      </w:r>
      <w:r w:rsidR="0041716E" w:rsidRPr="00154F1D">
        <w:t xml:space="preserve">’s </w:t>
      </w:r>
      <w:r w:rsidRPr="00154F1D">
        <w:t xml:space="preserve">involuntary state </w:t>
      </w:r>
      <w:r w:rsidR="00900193" w:rsidRPr="00154F1D">
        <w:t xml:space="preserve">at the time of the offence </w:t>
      </w:r>
      <w:r w:rsidRPr="00154F1D">
        <w:t xml:space="preserve">was attributed </w:t>
      </w:r>
      <w:r w:rsidR="00664C0A" w:rsidRPr="00154F1D">
        <w:t>to intoxication</w:t>
      </w:r>
      <w:r w:rsidR="00900193" w:rsidRPr="00154F1D">
        <w:t xml:space="preserve"> or </w:t>
      </w:r>
      <w:r w:rsidR="004147CB" w:rsidRPr="00154F1D">
        <w:t>a ‘mental disease’. There are limits on the relevance of intoxication as a denial of criminal responsibility as e</w:t>
      </w:r>
      <w:r w:rsidRPr="00154F1D">
        <w:t>vidence of intoxication is not relevant in determining whether an a</w:t>
      </w:r>
      <w:r w:rsidR="004147CB" w:rsidRPr="00154F1D">
        <w:t xml:space="preserve">ct is voluntary and intentional. It is also necessary to determine whether the </w:t>
      </w:r>
      <w:r w:rsidR="0041716E">
        <w:t>accused</w:t>
      </w:r>
      <w:r w:rsidR="0041716E" w:rsidRPr="00154F1D">
        <w:t xml:space="preserve">’s </w:t>
      </w:r>
      <w:r w:rsidR="004147CB" w:rsidRPr="00154F1D">
        <w:t>state of mind was attributable to intoxication (a temporary and external factor) or whether it was attribut</w:t>
      </w:r>
      <w:r w:rsidR="00EE14C8" w:rsidRPr="00154F1D">
        <w:t>able</w:t>
      </w:r>
      <w:r w:rsidR="004147CB" w:rsidRPr="00154F1D">
        <w:t xml:space="preserve"> to a ‘mental disease’. E</w:t>
      </w:r>
      <w:r w:rsidR="00664C0A" w:rsidRPr="00154F1D">
        <w:t xml:space="preserve">vidence of intoxication </w:t>
      </w:r>
      <w:r w:rsidR="000F3E5F" w:rsidRPr="00154F1D">
        <w:t xml:space="preserve">is not relevant to </w:t>
      </w:r>
      <w:r w:rsidR="004147CB" w:rsidRPr="00154F1D">
        <w:t xml:space="preserve">the defence of </w:t>
      </w:r>
      <w:r w:rsidR="000F3E5F" w:rsidRPr="00154F1D">
        <w:t>insanity unless the person is suffering from disease of the mind caused by intoxication, such as delirium tremens.</w:t>
      </w:r>
      <w:r w:rsidR="000F3E5F" w:rsidRPr="00154F1D">
        <w:rPr>
          <w:rStyle w:val="FootnoteReference"/>
        </w:rPr>
        <w:footnoteReference w:id="355"/>
      </w:r>
      <w:r w:rsidR="00664C0A" w:rsidRPr="00154F1D">
        <w:t xml:space="preserve"> </w:t>
      </w:r>
    </w:p>
    <w:p w14:paraId="0F914D61" w14:textId="262EC030" w:rsidR="00784BDB" w:rsidRPr="00154F1D" w:rsidRDefault="00632032" w:rsidP="00744FAA">
      <w:pPr>
        <w:pStyle w:val="NormalNumberedTextTLRI"/>
      </w:pPr>
      <w:r w:rsidRPr="00154F1D">
        <w:t>At common law, c</w:t>
      </w:r>
      <w:r w:rsidR="00F477F8" w:rsidRPr="00154F1D">
        <w:t>onditions that have been accepted within the definition of mental disease include: schizophrenia,</w:t>
      </w:r>
      <w:r w:rsidR="00F477F8" w:rsidRPr="00154F1D">
        <w:rPr>
          <w:rStyle w:val="FootnoteReference"/>
        </w:rPr>
        <w:footnoteReference w:id="356"/>
      </w:r>
      <w:r w:rsidR="00F477F8" w:rsidRPr="00154F1D">
        <w:t xml:space="preserve"> reactive depression,</w:t>
      </w:r>
      <w:r w:rsidR="00F477F8" w:rsidRPr="00154F1D">
        <w:rPr>
          <w:rStyle w:val="FootnoteReference"/>
        </w:rPr>
        <w:footnoteReference w:id="357"/>
      </w:r>
      <w:r w:rsidR="00F477F8" w:rsidRPr="00154F1D">
        <w:t xml:space="preserve"> psychomotor epilepsy,</w:t>
      </w:r>
      <w:r w:rsidR="00F477F8" w:rsidRPr="00154F1D">
        <w:rPr>
          <w:rStyle w:val="FootnoteReference"/>
        </w:rPr>
        <w:footnoteReference w:id="358"/>
      </w:r>
      <w:r w:rsidR="00F477F8" w:rsidRPr="00154F1D">
        <w:t xml:space="preserve"> hyperglycaemia,</w:t>
      </w:r>
      <w:r w:rsidR="00F477F8" w:rsidRPr="00154F1D">
        <w:rPr>
          <w:rStyle w:val="FootnoteReference"/>
        </w:rPr>
        <w:footnoteReference w:id="359"/>
      </w:r>
      <w:r w:rsidR="00F477F8" w:rsidRPr="00154F1D">
        <w:t xml:space="preserve"> cerebral arteriosclerosis</w:t>
      </w:r>
      <w:r w:rsidR="00F477F8" w:rsidRPr="00154F1D">
        <w:rPr>
          <w:rStyle w:val="FootnoteReference"/>
        </w:rPr>
        <w:footnoteReference w:id="360"/>
      </w:r>
      <w:r w:rsidR="00F477F8" w:rsidRPr="00154F1D">
        <w:t xml:space="preserve"> and post-traumatic stress disorder.</w:t>
      </w:r>
      <w:r w:rsidR="00F477F8" w:rsidRPr="00154F1D">
        <w:rPr>
          <w:rStyle w:val="FootnoteReference"/>
        </w:rPr>
        <w:footnoteReference w:id="361"/>
      </w:r>
      <w:r w:rsidR="00F477F8" w:rsidRPr="00154F1D">
        <w:t xml:space="preserve"> </w:t>
      </w:r>
      <w:r w:rsidR="000F3E5F" w:rsidRPr="00154F1D">
        <w:t>As explained, t</w:t>
      </w:r>
      <w:r w:rsidR="00AD5CBC" w:rsidRPr="00154F1D">
        <w:t>he common thread i</w:t>
      </w:r>
      <w:r w:rsidR="00C93E1B" w:rsidRPr="00154F1D">
        <w:t>n the application of the concept of ‘mental disease’ in these cases is</w:t>
      </w:r>
      <w:r w:rsidR="00AD5CBC" w:rsidRPr="00154F1D">
        <w:t xml:space="preserve"> </w:t>
      </w:r>
      <w:r w:rsidR="000F3E5F" w:rsidRPr="00154F1D">
        <w:t xml:space="preserve">that the </w:t>
      </w:r>
      <w:r w:rsidR="00AD5CBC" w:rsidRPr="00154F1D">
        <w:t xml:space="preserve">conditions </w:t>
      </w:r>
      <w:r w:rsidR="00C93E1B" w:rsidRPr="00154F1D">
        <w:t>have been held to</w:t>
      </w:r>
      <w:r w:rsidR="00AD5CBC" w:rsidRPr="00154F1D">
        <w:t xml:space="preserve"> arise from an internal rather than an external cause.</w:t>
      </w:r>
      <w:r w:rsidR="00AD5CBC" w:rsidRPr="00154F1D">
        <w:rPr>
          <w:rStyle w:val="FootnoteReference"/>
        </w:rPr>
        <w:footnoteReference w:id="362"/>
      </w:r>
      <w:r w:rsidR="00AD5CBC" w:rsidRPr="00154F1D">
        <w:t xml:space="preserve"> </w:t>
      </w:r>
      <w:r w:rsidR="000F3E5F" w:rsidRPr="00154F1D">
        <w:t>This approach highlights the u</w:t>
      </w:r>
      <w:r w:rsidR="00AD5CBC" w:rsidRPr="00154F1D">
        <w:t xml:space="preserve">nusual results </w:t>
      </w:r>
      <w:r w:rsidR="000F3E5F" w:rsidRPr="00154F1D">
        <w:t>that can be created by the current legal test given that</w:t>
      </w:r>
      <w:r w:rsidR="00E35C64" w:rsidRPr="00154F1D">
        <w:t xml:space="preserve"> </w:t>
      </w:r>
      <w:r w:rsidR="000F3E5F" w:rsidRPr="00154F1D">
        <w:t>‘mental disease’ has been held to extend</w:t>
      </w:r>
      <w:r w:rsidR="00E35C64" w:rsidRPr="00154F1D">
        <w:t xml:space="preserve"> to conditions </w:t>
      </w:r>
      <w:r w:rsidR="000F3E5F" w:rsidRPr="00154F1D">
        <w:t xml:space="preserve">that are </w:t>
      </w:r>
      <w:r w:rsidR="00E35C64" w:rsidRPr="00154F1D">
        <w:t>not normally</w:t>
      </w:r>
      <w:r w:rsidR="000F3E5F" w:rsidRPr="00154F1D">
        <w:t xml:space="preserve"> associated with mental illness, such as </w:t>
      </w:r>
      <w:r w:rsidR="00E35C64" w:rsidRPr="00154F1D">
        <w:t>diabetes</w:t>
      </w:r>
      <w:r w:rsidR="000F3E5F" w:rsidRPr="00154F1D">
        <w:t>,</w:t>
      </w:r>
      <w:r w:rsidR="000F3E5F" w:rsidRPr="00154F1D">
        <w:rPr>
          <w:rStyle w:val="FootnoteReference"/>
        </w:rPr>
        <w:footnoteReference w:id="363"/>
      </w:r>
      <w:r w:rsidR="000F3E5F" w:rsidRPr="00154F1D">
        <w:t xml:space="preserve"> cerebral </w:t>
      </w:r>
      <w:r w:rsidR="00C9331D" w:rsidRPr="00154F1D">
        <w:t>arteriosclerosis</w:t>
      </w:r>
      <w:r w:rsidR="000F3E5F" w:rsidRPr="00154F1D">
        <w:t xml:space="preserve"> (</w:t>
      </w:r>
      <w:r w:rsidR="00AD5CBC" w:rsidRPr="00154F1D">
        <w:t>harde</w:t>
      </w:r>
      <w:r w:rsidR="00664945" w:rsidRPr="00154F1D">
        <w:t>n</w:t>
      </w:r>
      <w:r w:rsidR="00AD5CBC" w:rsidRPr="00154F1D">
        <w:t>ing of art</w:t>
      </w:r>
      <w:r w:rsidR="00664945" w:rsidRPr="00154F1D">
        <w:t>er</w:t>
      </w:r>
      <w:r w:rsidR="00AD5CBC" w:rsidRPr="00154F1D">
        <w:t>ies causing reduce</w:t>
      </w:r>
      <w:r w:rsidR="00EE14C8" w:rsidRPr="00154F1D">
        <w:t>d</w:t>
      </w:r>
      <w:r w:rsidR="00AD5CBC" w:rsidRPr="00154F1D">
        <w:t xml:space="preserve"> flow of blood to </w:t>
      </w:r>
      <w:r w:rsidR="00EE14C8" w:rsidRPr="00154F1D">
        <w:t xml:space="preserve">the </w:t>
      </w:r>
      <w:r w:rsidR="00AD5CBC" w:rsidRPr="00154F1D">
        <w:t>brain</w:t>
      </w:r>
      <w:r w:rsidR="000F3E5F" w:rsidRPr="00154F1D">
        <w:t>)</w:t>
      </w:r>
      <w:r w:rsidR="00AD5CBC" w:rsidRPr="00154F1D">
        <w:t>,</w:t>
      </w:r>
      <w:r w:rsidR="000F3E5F" w:rsidRPr="00154F1D">
        <w:rPr>
          <w:rStyle w:val="FootnoteReference"/>
        </w:rPr>
        <w:footnoteReference w:id="364"/>
      </w:r>
      <w:r w:rsidR="00AD5CBC" w:rsidRPr="00154F1D">
        <w:t xml:space="preserve"> </w:t>
      </w:r>
      <w:r w:rsidR="000F3E5F" w:rsidRPr="00154F1D">
        <w:t xml:space="preserve">and </w:t>
      </w:r>
      <w:r w:rsidR="00664945" w:rsidRPr="00154F1D">
        <w:t>epilepsy</w:t>
      </w:r>
      <w:r w:rsidR="00AD5CBC" w:rsidRPr="00154F1D">
        <w:t>.</w:t>
      </w:r>
      <w:r w:rsidR="000F3E5F" w:rsidRPr="00154F1D">
        <w:rPr>
          <w:rStyle w:val="FootnoteReference"/>
        </w:rPr>
        <w:footnoteReference w:id="365"/>
      </w:r>
      <w:r w:rsidR="00AD5CBC" w:rsidRPr="00154F1D">
        <w:t xml:space="preserve"> </w:t>
      </w:r>
      <w:r w:rsidR="00D64190" w:rsidRPr="00154F1D">
        <w:t xml:space="preserve">There are differing views about </w:t>
      </w:r>
      <w:r w:rsidR="00C93E1B" w:rsidRPr="00154F1D">
        <w:t xml:space="preserve">whether somnambulism </w:t>
      </w:r>
      <w:r w:rsidR="008C5B56" w:rsidRPr="00154F1D">
        <w:t xml:space="preserve">(sleepwalking) </w:t>
      </w:r>
      <w:r w:rsidR="00C93E1B" w:rsidRPr="00154F1D">
        <w:t xml:space="preserve">is a ‘disease of the mind’ </w:t>
      </w:r>
      <w:r w:rsidR="00792634" w:rsidRPr="00154F1D">
        <w:t xml:space="preserve">depending on the evidence, </w:t>
      </w:r>
      <w:r w:rsidR="00C93E1B" w:rsidRPr="00154F1D">
        <w:t xml:space="preserve">with </w:t>
      </w:r>
      <w:r w:rsidR="008C5B56" w:rsidRPr="00154F1D">
        <w:t xml:space="preserve">a Canadian court in </w:t>
      </w:r>
      <w:r w:rsidR="008C5B56" w:rsidRPr="00154F1D">
        <w:rPr>
          <w:i/>
        </w:rPr>
        <w:t xml:space="preserve">Parks </w:t>
      </w:r>
      <w:r w:rsidR="00792634" w:rsidRPr="00154F1D">
        <w:t>fin</w:t>
      </w:r>
      <w:r w:rsidR="008C5B56" w:rsidRPr="00154F1D">
        <w:t>ding that sleepwalking was not a mental disease</w:t>
      </w:r>
      <w:r w:rsidR="00792634" w:rsidRPr="00154F1D">
        <w:rPr>
          <w:rStyle w:val="FootnoteReference"/>
        </w:rPr>
        <w:footnoteReference w:id="366"/>
      </w:r>
      <w:r w:rsidR="008C5B56" w:rsidRPr="00154F1D">
        <w:t xml:space="preserve"> and </w:t>
      </w:r>
      <w:r w:rsidR="00792634" w:rsidRPr="00154F1D">
        <w:t xml:space="preserve">the English Court of Appeal finding that it </w:t>
      </w:r>
      <w:r w:rsidR="00EE14C8" w:rsidRPr="00154F1D">
        <w:t xml:space="preserve">is </w:t>
      </w:r>
      <w:r w:rsidR="00792634" w:rsidRPr="00154F1D">
        <w:t>a disease of the mind.</w:t>
      </w:r>
      <w:r w:rsidR="00792634" w:rsidRPr="00154F1D">
        <w:rPr>
          <w:rStyle w:val="FootnoteReference"/>
        </w:rPr>
        <w:footnoteReference w:id="367"/>
      </w:r>
      <w:r w:rsidR="00792634" w:rsidRPr="00154F1D">
        <w:t xml:space="preserve"> In Australia, it </w:t>
      </w:r>
      <w:r w:rsidR="00410CBA" w:rsidRPr="00154F1D">
        <w:t>appears</w:t>
      </w:r>
      <w:r w:rsidR="00792634" w:rsidRPr="00154F1D">
        <w:t xml:space="preserve"> that sleepwalking </w:t>
      </w:r>
      <w:r w:rsidR="00410CBA" w:rsidRPr="00154F1D">
        <w:t>ha</w:t>
      </w:r>
      <w:r w:rsidR="00792634" w:rsidRPr="00154F1D">
        <w:t>s generally been re</w:t>
      </w:r>
      <w:r w:rsidR="00410CBA" w:rsidRPr="00154F1D">
        <w:t>gard</w:t>
      </w:r>
      <w:r w:rsidR="00792634" w:rsidRPr="00154F1D">
        <w:t>ed as involving non-</w:t>
      </w:r>
      <w:r w:rsidR="00410CBA" w:rsidRPr="00154F1D">
        <w:t>insane</w:t>
      </w:r>
      <w:r w:rsidR="00792634" w:rsidRPr="00154F1D">
        <w:t xml:space="preserve"> </w:t>
      </w:r>
      <w:r w:rsidR="00410CBA" w:rsidRPr="00154F1D">
        <w:t>automatism</w:t>
      </w:r>
      <w:r w:rsidR="00792634" w:rsidRPr="00154F1D">
        <w:t>.</w:t>
      </w:r>
      <w:r w:rsidR="00792634" w:rsidRPr="00154F1D">
        <w:rPr>
          <w:rStyle w:val="FootnoteReference"/>
        </w:rPr>
        <w:footnoteReference w:id="368"/>
      </w:r>
      <w:r w:rsidR="00C93E1B" w:rsidRPr="00154F1D">
        <w:t xml:space="preserve"> </w:t>
      </w:r>
    </w:p>
    <w:p w14:paraId="1F915B81" w14:textId="55A77C58" w:rsidR="00E972D8" w:rsidRPr="00154F1D" w:rsidRDefault="00784BDB" w:rsidP="00744FAA">
      <w:pPr>
        <w:pStyle w:val="NormalNumberedTextTLRI"/>
      </w:pPr>
      <w:r w:rsidRPr="00154F1D">
        <w:t xml:space="preserve">There is uncertainty in relation to the status of personality disorders for the purpose of the </w:t>
      </w:r>
      <w:r w:rsidRPr="00154F1D">
        <w:rPr>
          <w:i/>
        </w:rPr>
        <w:t xml:space="preserve">Criminal Code </w:t>
      </w:r>
      <w:r w:rsidR="00BF5380" w:rsidRPr="00154F1D">
        <w:t xml:space="preserve">s 16, and </w:t>
      </w:r>
      <w:r w:rsidR="00727FCD">
        <w:t>their</w:t>
      </w:r>
      <w:r w:rsidR="00727FCD" w:rsidRPr="00154F1D">
        <w:t xml:space="preserve"> </w:t>
      </w:r>
      <w:r w:rsidR="00BF5380" w:rsidRPr="00154F1D">
        <w:t xml:space="preserve">status as a mental disease </w:t>
      </w:r>
      <w:r w:rsidR="005674BE" w:rsidRPr="00154F1D">
        <w:t>appears to depend</w:t>
      </w:r>
      <w:r w:rsidR="00BF5380" w:rsidRPr="00154F1D">
        <w:t xml:space="preserve"> on the evidence adduced in a particular case.</w:t>
      </w:r>
      <w:r w:rsidR="00BF5380" w:rsidRPr="00154F1D">
        <w:rPr>
          <w:rStyle w:val="FootnoteReference"/>
        </w:rPr>
        <w:footnoteReference w:id="369"/>
      </w:r>
      <w:r w:rsidR="00BF5380" w:rsidRPr="00154F1D">
        <w:t xml:space="preserve"> In some cases, </w:t>
      </w:r>
      <w:r w:rsidR="005674BE" w:rsidRPr="00154F1D">
        <w:t xml:space="preserve">the trial judge has refused to leave </w:t>
      </w:r>
      <w:r w:rsidR="00BF5380" w:rsidRPr="00154F1D">
        <w:t xml:space="preserve">insanity on </w:t>
      </w:r>
      <w:r w:rsidR="00943D7B" w:rsidRPr="00154F1D">
        <w:t xml:space="preserve">the </w:t>
      </w:r>
      <w:r w:rsidR="00BF5380" w:rsidRPr="00154F1D">
        <w:t>basis of a personality disorder,</w:t>
      </w:r>
      <w:r w:rsidR="00BF5380" w:rsidRPr="00154F1D">
        <w:rPr>
          <w:rStyle w:val="FootnoteReference"/>
        </w:rPr>
        <w:footnoteReference w:id="370"/>
      </w:r>
      <w:r w:rsidR="00BF5380" w:rsidRPr="00154F1D">
        <w:t xml:space="preserve"> while in other cases, insanity (although not successful) has been left for the jury</w:t>
      </w:r>
      <w:r w:rsidR="005674BE" w:rsidRPr="00154F1D">
        <w:t xml:space="preserve"> on this basis</w:t>
      </w:r>
      <w:r w:rsidR="004E46A0" w:rsidRPr="00154F1D">
        <w:t>.</w:t>
      </w:r>
      <w:bookmarkStart w:id="141" w:name="_Ref535407951"/>
      <w:r w:rsidR="004E46A0" w:rsidRPr="00154F1D">
        <w:rPr>
          <w:rStyle w:val="FootnoteReference"/>
        </w:rPr>
        <w:footnoteReference w:id="371"/>
      </w:r>
      <w:bookmarkEnd w:id="141"/>
      <w:r w:rsidR="004E46A0" w:rsidRPr="00154F1D">
        <w:t xml:space="preserve"> </w:t>
      </w:r>
    </w:p>
    <w:p w14:paraId="5EE9A15B" w14:textId="43E01878" w:rsidR="004147CB" w:rsidRPr="00154F1D" w:rsidRDefault="004147CB" w:rsidP="004147CB">
      <w:pPr>
        <w:pStyle w:val="furhtersub-heading2"/>
      </w:pPr>
      <w:r w:rsidRPr="00154F1D">
        <w:t>Limbs of the defence</w:t>
      </w:r>
    </w:p>
    <w:p w14:paraId="3FD41254" w14:textId="2006E132" w:rsidR="00F477F8" w:rsidRPr="00154F1D" w:rsidRDefault="00F477F8" w:rsidP="00744FAA">
      <w:pPr>
        <w:pStyle w:val="NormalNumberedTextTLRI"/>
      </w:pPr>
      <w:r w:rsidRPr="00154F1D">
        <w:t>Further, evidence of a mental disease alone will not provide the defendant with a defence. Under s</w:t>
      </w:r>
      <w:r w:rsidR="00C9331D" w:rsidRPr="00154F1D">
        <w:t>s</w:t>
      </w:r>
      <w:r w:rsidRPr="00154F1D">
        <w:t xml:space="preserve"> 16(1) and (2), it must also be established that the effect of the mental disease was either that:</w:t>
      </w:r>
    </w:p>
    <w:p w14:paraId="45D00179" w14:textId="60527130" w:rsidR="00F477F8" w:rsidRPr="00154F1D" w:rsidRDefault="00F477F8" w:rsidP="00BF5D56">
      <w:pPr>
        <w:pStyle w:val="NormalNumberedTextTLRI"/>
        <w:numPr>
          <w:ilvl w:val="0"/>
          <w:numId w:val="48"/>
        </w:numPr>
        <w:tabs>
          <w:tab w:val="clear" w:pos="851"/>
        </w:tabs>
        <w:spacing w:after="120"/>
        <w:ind w:left="850" w:hanging="425"/>
      </w:pPr>
      <w:r w:rsidRPr="00154F1D">
        <w:t xml:space="preserve">the defendant did not have the capacity to </w:t>
      </w:r>
      <w:r w:rsidRPr="00154F1D">
        <w:rPr>
          <w:i/>
        </w:rPr>
        <w:t>understand the physical character of the act</w:t>
      </w:r>
      <w:r w:rsidRPr="00154F1D">
        <w:t xml:space="preserve">; or </w:t>
      </w:r>
    </w:p>
    <w:p w14:paraId="7DDCE286" w14:textId="1F9B8B1D" w:rsidR="00F477F8" w:rsidRPr="00154F1D" w:rsidRDefault="00F477F8" w:rsidP="00BF5D56">
      <w:pPr>
        <w:pStyle w:val="NormalNumberedTextTLRI"/>
        <w:numPr>
          <w:ilvl w:val="0"/>
          <w:numId w:val="48"/>
        </w:numPr>
        <w:tabs>
          <w:tab w:val="clear" w:pos="851"/>
        </w:tabs>
        <w:spacing w:before="120" w:after="120"/>
        <w:ind w:left="850" w:hanging="425"/>
      </w:pPr>
      <w:r w:rsidRPr="00154F1D">
        <w:t xml:space="preserve">the defendant did not have the capacity to know that the </w:t>
      </w:r>
      <w:r w:rsidRPr="00154F1D">
        <w:rPr>
          <w:i/>
        </w:rPr>
        <w:t>act or omission was one which he or she ought not do or make</w:t>
      </w:r>
      <w:r w:rsidR="00AD0D97" w:rsidRPr="00154F1D">
        <w:t xml:space="preserve">; </w:t>
      </w:r>
      <w:r w:rsidRPr="00154F1D">
        <w:t xml:space="preserve">or </w:t>
      </w:r>
    </w:p>
    <w:p w14:paraId="60B5F710" w14:textId="6ED8D3CC" w:rsidR="00F477F8" w:rsidRPr="00154F1D" w:rsidRDefault="00F477F8" w:rsidP="00BF5D56">
      <w:pPr>
        <w:pStyle w:val="NormalNumberedTextTLRI"/>
        <w:numPr>
          <w:ilvl w:val="0"/>
          <w:numId w:val="48"/>
        </w:numPr>
        <w:tabs>
          <w:tab w:val="clear" w:pos="851"/>
        </w:tabs>
        <w:spacing w:before="120"/>
        <w:ind w:left="850" w:hanging="425"/>
      </w:pPr>
      <w:r w:rsidRPr="00154F1D">
        <w:t xml:space="preserve">the defendant acted under an </w:t>
      </w:r>
      <w:r w:rsidRPr="00154F1D">
        <w:rPr>
          <w:i/>
        </w:rPr>
        <w:t>uncontrollable impulse</w:t>
      </w:r>
      <w:r w:rsidR="00DC0DD6" w:rsidRPr="00154F1D">
        <w:t>.</w:t>
      </w:r>
    </w:p>
    <w:p w14:paraId="02233759" w14:textId="797C193B" w:rsidR="006D743E" w:rsidRPr="00154F1D" w:rsidRDefault="00AD0D97" w:rsidP="00744FAA">
      <w:pPr>
        <w:pStyle w:val="NormalNumberedTextTLRI"/>
      </w:pPr>
      <w:r w:rsidRPr="00154F1D">
        <w:rPr>
          <w:u w:val="single"/>
        </w:rPr>
        <w:t>Physical character of act</w:t>
      </w:r>
      <w:r w:rsidR="009214CE" w:rsidRPr="00154F1D">
        <w:t>.</w:t>
      </w:r>
      <w:r w:rsidR="005674BE" w:rsidRPr="00154F1D">
        <w:t xml:space="preserve"> </w:t>
      </w:r>
      <w:r w:rsidR="00DE45C0" w:rsidRPr="00154F1D">
        <w:t xml:space="preserve">This reflects the first limb of </w:t>
      </w:r>
      <w:r w:rsidR="00DE45C0" w:rsidRPr="00154F1D">
        <w:rPr>
          <w:i/>
        </w:rPr>
        <w:t>M’Naghten’s</w:t>
      </w:r>
      <w:r w:rsidR="00DE45C0" w:rsidRPr="00154F1D">
        <w:t xml:space="preserve"> case that D be ‘labouring under such defect of reason, from a disease of the mind as not to know the nature and quality of the act he was doing</w:t>
      </w:r>
      <w:r w:rsidR="00C9331D" w:rsidRPr="00154F1D">
        <w:t>.</w:t>
      </w:r>
      <w:r w:rsidR="00DE45C0" w:rsidRPr="00154F1D">
        <w:t>’</w:t>
      </w:r>
      <w:r w:rsidR="00C92151" w:rsidRPr="00154F1D">
        <w:t xml:space="preserve"> In </w:t>
      </w:r>
      <w:r w:rsidR="00C92151" w:rsidRPr="00154F1D">
        <w:rPr>
          <w:i/>
        </w:rPr>
        <w:t>R v Porter</w:t>
      </w:r>
      <w:r w:rsidR="00C92151" w:rsidRPr="00154F1D">
        <w:t>, Dixon J explained that a person would not know the physical nature of what they were doing if he or she:</w:t>
      </w:r>
    </w:p>
    <w:p w14:paraId="06CA9A6B" w14:textId="475A9BA8" w:rsidR="00ED7CCC" w:rsidRPr="00154F1D" w:rsidRDefault="003E4947" w:rsidP="0074267A">
      <w:pPr>
        <w:pStyle w:val="QuoteTLRI"/>
      </w:pPr>
      <w:r w:rsidRPr="00154F1D">
        <w:t xml:space="preserve">had so little capacity for understanding the nature of life and the destruction of life, that to him </w:t>
      </w:r>
      <w:r w:rsidR="004B4948">
        <w:t xml:space="preserve">[or her] </w:t>
      </w:r>
      <w:r w:rsidRPr="00154F1D">
        <w:t>it is no more than breaking a twig or destroying an inanimate object. He [or she] would not know the implications</w:t>
      </w:r>
      <w:r w:rsidR="00ED7CCC" w:rsidRPr="00154F1D">
        <w:t xml:space="preserve"> and what it really amounted to</w:t>
      </w:r>
      <w:r w:rsidRPr="00154F1D">
        <w:t>.</w:t>
      </w:r>
      <w:r w:rsidRPr="00154F1D">
        <w:rPr>
          <w:rStyle w:val="FootnoteReference"/>
        </w:rPr>
        <w:footnoteReference w:id="372"/>
      </w:r>
      <w:r w:rsidRPr="00154F1D">
        <w:t xml:space="preserve"> </w:t>
      </w:r>
    </w:p>
    <w:p w14:paraId="04520F5F" w14:textId="72191E08" w:rsidR="004147CB" w:rsidRPr="00154F1D" w:rsidRDefault="00ED7CCC" w:rsidP="00C9331D">
      <w:pPr>
        <w:pStyle w:val="NormalNumberedTextTLRI"/>
        <w:numPr>
          <w:ilvl w:val="0"/>
          <w:numId w:val="0"/>
        </w:numPr>
        <w:tabs>
          <w:tab w:val="clear" w:pos="851"/>
        </w:tabs>
      </w:pPr>
      <w:r w:rsidRPr="00154F1D">
        <w:t xml:space="preserve">Illustrations of when a person does not understand the physical character of the act include placing a baby on a fire thinking it is a log of wood or smashing a baby’s head believing it to be </w:t>
      </w:r>
      <w:r w:rsidR="007158D7" w:rsidRPr="00154F1D">
        <w:t xml:space="preserve">a </w:t>
      </w:r>
      <w:r w:rsidRPr="00154F1D">
        <w:t>melon.</w:t>
      </w:r>
      <w:bookmarkStart w:id="142" w:name="_Ref535504433"/>
      <w:r w:rsidRPr="00154F1D">
        <w:rPr>
          <w:rStyle w:val="FootnoteReference"/>
        </w:rPr>
        <w:footnoteReference w:id="373"/>
      </w:r>
      <w:bookmarkEnd w:id="142"/>
      <w:r w:rsidRPr="00154F1D">
        <w:t xml:space="preserve"> </w:t>
      </w:r>
    </w:p>
    <w:p w14:paraId="630D8D0F" w14:textId="07F1B08F" w:rsidR="00DE45C0" w:rsidRPr="00154F1D" w:rsidRDefault="003E4947" w:rsidP="00744FAA">
      <w:pPr>
        <w:pStyle w:val="NormalNumberedTextTLRI"/>
      </w:pPr>
      <w:r w:rsidRPr="00154F1D">
        <w:t xml:space="preserve">However, it is unclear whether </w:t>
      </w:r>
      <w:r w:rsidR="00515D1E" w:rsidRPr="00154F1D">
        <w:t xml:space="preserve">s 16(1)(a)(i) </w:t>
      </w:r>
      <w:r w:rsidRPr="00154F1D">
        <w:t xml:space="preserve">is </w:t>
      </w:r>
      <w:r w:rsidR="00515D1E" w:rsidRPr="00154F1D">
        <w:t xml:space="preserve">limited only to the physical character of the act (eg strangling another under the impression </w:t>
      </w:r>
      <w:r w:rsidR="007158D7" w:rsidRPr="00154F1D">
        <w:t xml:space="preserve">of </w:t>
      </w:r>
      <w:r w:rsidR="00515D1E" w:rsidRPr="00154F1D">
        <w:t xml:space="preserve">squeezing a lemon) or </w:t>
      </w:r>
      <w:r w:rsidRPr="00154F1D">
        <w:t>whether</w:t>
      </w:r>
      <w:r w:rsidR="00515D1E" w:rsidRPr="00154F1D">
        <w:t xml:space="preserve"> it extends also to the significance of the conduct.</w:t>
      </w:r>
      <w:r w:rsidR="00DE45C0" w:rsidRPr="00154F1D">
        <w:rPr>
          <w:rStyle w:val="FootnoteReference"/>
        </w:rPr>
        <w:footnoteReference w:id="374"/>
      </w:r>
      <w:r w:rsidR="00515D1E" w:rsidRPr="00154F1D">
        <w:t xml:space="preserve"> </w:t>
      </w:r>
      <w:r w:rsidR="00DE45C0" w:rsidRPr="00154F1D">
        <w:t>It has been pointed out in academic critique of the insanity defence that d</w:t>
      </w:r>
      <w:r w:rsidR="00515D1E" w:rsidRPr="00154F1D">
        <w:t>ifferent results may occur if a narrow (</w:t>
      </w:r>
      <w:r w:rsidRPr="00154F1D">
        <w:t>physical</w:t>
      </w:r>
      <w:r w:rsidR="00515D1E" w:rsidRPr="00154F1D">
        <w:t xml:space="preserve"> act only) </w:t>
      </w:r>
      <w:r w:rsidRPr="00154F1D">
        <w:t xml:space="preserve">or a broad interpretation (physical act and its consequence) is applied. </w:t>
      </w:r>
      <w:r w:rsidR="00D64190" w:rsidRPr="00154F1D">
        <w:t xml:space="preserve">For example, in a case where an </w:t>
      </w:r>
      <w:r w:rsidR="0041716E">
        <w:t>accused</w:t>
      </w:r>
      <w:r w:rsidR="0041716E" w:rsidRPr="00154F1D">
        <w:t xml:space="preserve"> </w:t>
      </w:r>
      <w:r w:rsidR="00D64190" w:rsidRPr="00154F1D">
        <w:t>hits another person repeatedly with a golf club to try to stop the person from teasing him or her but does not know that act of striking will kill, can this person rely on the defence of insanity?</w:t>
      </w:r>
      <w:r w:rsidRPr="00154F1D">
        <w:t xml:space="preserve"> Applying a narrow interpretation, the </w:t>
      </w:r>
      <w:r w:rsidR="0041716E">
        <w:t>accused</w:t>
      </w:r>
      <w:r w:rsidR="0041716E" w:rsidRPr="00154F1D">
        <w:t xml:space="preserve"> </w:t>
      </w:r>
      <w:r w:rsidRPr="00154F1D">
        <w:t>would not be able to rely on insanity as they understand the physical character of the act (hitting with the club)</w:t>
      </w:r>
      <w:r w:rsidR="007131A3" w:rsidRPr="00154F1D">
        <w:t>. However, applying a broader interpretation they</w:t>
      </w:r>
      <w:r w:rsidRPr="00154F1D">
        <w:t xml:space="preserve"> would be able to rely on insanity, as they did not appreciate that their conduct </w:t>
      </w:r>
      <w:r w:rsidR="00ED7CCC" w:rsidRPr="00154F1D">
        <w:t>could</w:t>
      </w:r>
      <w:r w:rsidRPr="00154F1D">
        <w:t xml:space="preserve"> kill someone.</w:t>
      </w:r>
      <w:r w:rsidRPr="00154F1D">
        <w:rPr>
          <w:rStyle w:val="FootnoteReference"/>
        </w:rPr>
        <w:footnoteReference w:id="375"/>
      </w:r>
      <w:r w:rsidRPr="00154F1D">
        <w:t xml:space="preserve"> </w:t>
      </w:r>
      <w:r w:rsidR="00ED7CCC" w:rsidRPr="00154F1D">
        <w:t>Another</w:t>
      </w:r>
      <w:r w:rsidRPr="00154F1D">
        <w:t xml:space="preserve"> example given in textbooks </w:t>
      </w:r>
      <w:r w:rsidR="00ED7CCC" w:rsidRPr="00154F1D">
        <w:t xml:space="preserve">of </w:t>
      </w:r>
      <w:r w:rsidR="008B6515" w:rsidRPr="00154F1D">
        <w:t xml:space="preserve">the application of </w:t>
      </w:r>
      <w:r w:rsidR="00ED7CCC" w:rsidRPr="00154F1D">
        <w:t xml:space="preserve">a </w:t>
      </w:r>
      <w:r w:rsidR="00DE45C0" w:rsidRPr="00154F1D">
        <w:t>broader</w:t>
      </w:r>
      <w:r w:rsidR="00ED7CCC" w:rsidRPr="00154F1D">
        <w:t xml:space="preserve"> interpretation of the incapacity to understand the physical character of the act </w:t>
      </w:r>
      <w:r w:rsidR="008B6515" w:rsidRPr="00154F1D">
        <w:t>would be where</w:t>
      </w:r>
      <w:r w:rsidRPr="00154F1D">
        <w:t xml:space="preserve"> a person </w:t>
      </w:r>
      <w:r w:rsidR="00ED7CCC" w:rsidRPr="00154F1D">
        <w:t>decapitates someone just to see what that person looks like without a head.</w:t>
      </w:r>
      <w:r w:rsidR="00ED7CCC" w:rsidRPr="00154F1D">
        <w:rPr>
          <w:rStyle w:val="FootnoteReference"/>
        </w:rPr>
        <w:footnoteReference w:id="376"/>
      </w:r>
      <w:r w:rsidR="00DE45C0" w:rsidRPr="00154F1D">
        <w:t xml:space="preserve"> </w:t>
      </w:r>
    </w:p>
    <w:p w14:paraId="455EC16E" w14:textId="43759A05" w:rsidR="00D6081C" w:rsidRPr="00154F1D" w:rsidRDefault="00B01EAF" w:rsidP="00744FAA">
      <w:pPr>
        <w:pStyle w:val="NormalNumberedTextTLRI"/>
      </w:pPr>
      <w:r w:rsidRPr="00154F1D">
        <w:t xml:space="preserve"> </w:t>
      </w:r>
      <w:r w:rsidR="00D6081C" w:rsidRPr="00154F1D">
        <w:t xml:space="preserve">The precise scope of being ‘incapable of understanding the physical character’ of the act is not settled in Tasmania. There is support for the narrow view </w:t>
      </w:r>
      <w:r w:rsidRPr="00154F1D">
        <w:t xml:space="preserve">in </w:t>
      </w:r>
      <w:r w:rsidRPr="00154F1D">
        <w:rPr>
          <w:i/>
        </w:rPr>
        <w:t>Williams v The Queen</w:t>
      </w:r>
      <w:r w:rsidRPr="00154F1D">
        <w:t>,</w:t>
      </w:r>
      <w:r w:rsidRPr="00154F1D">
        <w:rPr>
          <w:rStyle w:val="FootnoteReference"/>
        </w:rPr>
        <w:footnoteReference w:id="377"/>
      </w:r>
      <w:r w:rsidRPr="00154F1D">
        <w:t xml:space="preserve"> where </w:t>
      </w:r>
      <w:r w:rsidR="008B6515" w:rsidRPr="00154F1D">
        <w:t xml:space="preserve">the accused stabbed and killed the </w:t>
      </w:r>
      <w:r w:rsidR="004B38C3">
        <w:t>victim</w:t>
      </w:r>
      <w:r w:rsidR="008B6515" w:rsidRPr="00154F1D">
        <w:t>. Medical evidence was given at trial which ‘amounted … to an opinion that the appellant at the ti</w:t>
      </w:r>
      <w:r w:rsidR="00C2642A" w:rsidRPr="00154F1D">
        <w:t>m</w:t>
      </w:r>
      <w:r w:rsidR="008B6515" w:rsidRPr="00154F1D">
        <w:t>e he did this act … was probably totally unaware that he was so acting or even unaware that he was acting at all’.</w:t>
      </w:r>
      <w:r w:rsidR="008B6515" w:rsidRPr="00154F1D">
        <w:rPr>
          <w:rStyle w:val="FootnoteReference"/>
        </w:rPr>
        <w:footnoteReference w:id="378"/>
      </w:r>
      <w:r w:rsidR="008B6515" w:rsidRPr="00154F1D">
        <w:t xml:space="preserve"> The basis for the insanity defence was that </w:t>
      </w:r>
      <w:r w:rsidR="00AB212E">
        <w:t xml:space="preserve">the </w:t>
      </w:r>
      <w:r w:rsidR="008B6515" w:rsidRPr="00154F1D">
        <w:t xml:space="preserve">accused’s act was not voluntary and intentional because he had a ‘gross personality disorder’. In outlining the scope of the first limb of the </w:t>
      </w:r>
      <w:r w:rsidR="00CD6674" w:rsidRPr="00154F1D">
        <w:t>insanity</w:t>
      </w:r>
      <w:r w:rsidR="008B6515" w:rsidRPr="00154F1D">
        <w:t xml:space="preserve"> defence, </w:t>
      </w:r>
      <w:r w:rsidR="0006214B" w:rsidRPr="00154F1D">
        <w:t>Neasey J</w:t>
      </w:r>
      <w:r w:rsidRPr="00154F1D">
        <w:t xml:space="preserve"> relied on the approach </w:t>
      </w:r>
      <w:r w:rsidR="00D6081C" w:rsidRPr="00154F1D">
        <w:t xml:space="preserve">taken </w:t>
      </w:r>
      <w:r w:rsidRPr="00154F1D">
        <w:t xml:space="preserve">in </w:t>
      </w:r>
      <w:r w:rsidRPr="00154F1D">
        <w:rPr>
          <w:i/>
        </w:rPr>
        <w:t>R v Cottle</w:t>
      </w:r>
      <w:r w:rsidR="00D6081C" w:rsidRPr="00154F1D">
        <w:t>:</w:t>
      </w:r>
      <w:r w:rsidR="00D6081C" w:rsidRPr="00154F1D">
        <w:rPr>
          <w:rStyle w:val="FootnoteReference"/>
        </w:rPr>
        <w:footnoteReference w:id="379"/>
      </w:r>
      <w:r w:rsidR="00D6081C" w:rsidRPr="00154F1D">
        <w:t xml:space="preserve"> </w:t>
      </w:r>
    </w:p>
    <w:p w14:paraId="7F1109F0" w14:textId="53AE9461" w:rsidR="00D6081C" w:rsidRPr="00154F1D" w:rsidRDefault="00D6081C" w:rsidP="0074267A">
      <w:pPr>
        <w:pStyle w:val="QuoteTLRI"/>
      </w:pPr>
      <w:r w:rsidRPr="00154F1D">
        <w:t xml:space="preserve">it has become the practice to regard a person as </w:t>
      </w:r>
      <w:r w:rsidR="00ED470A" w:rsidRPr="00154F1D">
        <w:t>‘</w:t>
      </w:r>
      <w:r w:rsidRPr="00154F1D">
        <w:t>incapable of understanding the nature and quality</w:t>
      </w:r>
      <w:r w:rsidR="00ED470A" w:rsidRPr="00154F1D">
        <w:t>’</w:t>
      </w:r>
      <w:r w:rsidRPr="00154F1D">
        <w:t xml:space="preserve"> of his act when in truth he was not conscious of having acted at all; and so to treat the formula as applicable to cases of automatism.</w:t>
      </w:r>
      <w:r w:rsidRPr="00154F1D">
        <w:rPr>
          <w:rStyle w:val="FootnoteReference"/>
        </w:rPr>
        <w:footnoteReference w:id="380"/>
      </w:r>
    </w:p>
    <w:p w14:paraId="5464DC7E" w14:textId="7A1C0DC3" w:rsidR="00D6081C" w:rsidRPr="00154F1D" w:rsidRDefault="0006214B" w:rsidP="00ED470A">
      <w:pPr>
        <w:pStyle w:val="NormalNumberedTextTLRI"/>
        <w:numPr>
          <w:ilvl w:val="0"/>
          <w:numId w:val="0"/>
        </w:numPr>
      </w:pPr>
      <w:r w:rsidRPr="00154F1D">
        <w:t>Accordingly, Neasey J s</w:t>
      </w:r>
      <w:r w:rsidR="00530D49" w:rsidRPr="00154F1D">
        <w:t>t</w:t>
      </w:r>
      <w:r w:rsidRPr="00154F1D">
        <w:t>ate</w:t>
      </w:r>
      <w:r w:rsidR="00530D49" w:rsidRPr="00154F1D">
        <w:t>d</w:t>
      </w:r>
      <w:r w:rsidRPr="00154F1D">
        <w:t xml:space="preserve"> that if the individual ‘was totally unaware of what he was doing, he was at that time incapable of understanding the physical character of his act, because he was at that time incapable of considering the physical character of it, or anything else about it, at all’.</w:t>
      </w:r>
      <w:r w:rsidRPr="00154F1D">
        <w:rPr>
          <w:rStyle w:val="FootnoteReference"/>
        </w:rPr>
        <w:footnoteReference w:id="381"/>
      </w:r>
      <w:r w:rsidRPr="00154F1D">
        <w:t xml:space="preserve"> This </w:t>
      </w:r>
      <w:r w:rsidR="00530D49" w:rsidRPr="00154F1D">
        <w:t xml:space="preserve">approach </w:t>
      </w:r>
      <w:r w:rsidRPr="00154F1D">
        <w:t xml:space="preserve">would seem to limit </w:t>
      </w:r>
      <w:r w:rsidR="004835D1" w:rsidRPr="00154F1D">
        <w:t xml:space="preserve">the scope of </w:t>
      </w:r>
      <w:r w:rsidRPr="00154F1D">
        <w:t>this limb of the insanity defence</w:t>
      </w:r>
      <w:r w:rsidR="00C2642A" w:rsidRPr="00154F1D">
        <w:t xml:space="preserve"> significantly</w:t>
      </w:r>
      <w:r w:rsidR="004835D1" w:rsidRPr="00154F1D">
        <w:t xml:space="preserve">. </w:t>
      </w:r>
    </w:p>
    <w:p w14:paraId="6E4AD7C8" w14:textId="08E4833B" w:rsidR="004835D1" w:rsidRPr="00154F1D" w:rsidRDefault="00530D49" w:rsidP="00744FAA">
      <w:pPr>
        <w:pStyle w:val="NormalNumberedTextTLRI"/>
      </w:pPr>
      <w:r w:rsidRPr="00154F1D">
        <w:t>In contrast, a</w:t>
      </w:r>
      <w:r w:rsidR="004835D1" w:rsidRPr="00154F1D">
        <w:t xml:space="preserve"> broader approach is evident in the judgment of Crawford J in </w:t>
      </w:r>
      <w:r w:rsidR="004835D1" w:rsidRPr="00154F1D">
        <w:rPr>
          <w:i/>
        </w:rPr>
        <w:t>Hawkins (No 2)</w:t>
      </w:r>
      <w:r w:rsidR="004835D1" w:rsidRPr="00154F1D">
        <w:t>,</w:t>
      </w:r>
      <w:r w:rsidR="004835D1" w:rsidRPr="00154F1D">
        <w:rPr>
          <w:rStyle w:val="FootnoteReference"/>
        </w:rPr>
        <w:footnoteReference w:id="382"/>
      </w:r>
      <w:r w:rsidR="00875257" w:rsidRPr="00154F1D">
        <w:t xml:space="preserve"> where his Honour cited the interpretation of the common law rule ‘as not to know the nature and quality of the act’ found in </w:t>
      </w:r>
      <w:r w:rsidR="00875257" w:rsidRPr="00154F1D">
        <w:rPr>
          <w:i/>
        </w:rPr>
        <w:t>Willgoss v R</w:t>
      </w:r>
      <w:r w:rsidR="00875257" w:rsidRPr="00154F1D">
        <w:rPr>
          <w:rStyle w:val="FootnoteReference"/>
        </w:rPr>
        <w:footnoteReference w:id="383"/>
      </w:r>
      <w:r w:rsidR="00875257" w:rsidRPr="00154F1D">
        <w:rPr>
          <w:i/>
        </w:rPr>
        <w:t xml:space="preserve"> </w:t>
      </w:r>
      <w:r w:rsidR="00875257" w:rsidRPr="00154F1D">
        <w:t>and</w:t>
      </w:r>
      <w:r w:rsidR="00875257" w:rsidRPr="00154F1D">
        <w:rPr>
          <w:i/>
        </w:rPr>
        <w:t xml:space="preserve"> R v Porter</w:t>
      </w:r>
      <w:r w:rsidR="007131A3" w:rsidRPr="00154F1D">
        <w:t>.</w:t>
      </w:r>
      <w:r w:rsidR="00875257" w:rsidRPr="00154F1D">
        <w:rPr>
          <w:rStyle w:val="FootnoteReference"/>
        </w:rPr>
        <w:footnoteReference w:id="384"/>
      </w:r>
      <w:r w:rsidR="00875257" w:rsidRPr="00154F1D">
        <w:rPr>
          <w:i/>
        </w:rPr>
        <w:t xml:space="preserve"> </w:t>
      </w:r>
      <w:r w:rsidR="007131A3" w:rsidRPr="00154F1D">
        <w:t>This interpretation</w:t>
      </w:r>
      <w:r w:rsidR="00F8371D" w:rsidRPr="00154F1D">
        <w:t xml:space="preserve"> encompassed the act and its consequences: ‘whether the accused “was in such a condition that he could not appreciate what death amounted to or that he was bring</w:t>
      </w:r>
      <w:r w:rsidR="007131A3" w:rsidRPr="00154F1D">
        <w:t>ing</w:t>
      </w:r>
      <w:r w:rsidR="00F8371D" w:rsidRPr="00154F1D">
        <w:t xml:space="preserve"> it about or that he was destroying life and all that is involved in the destruction of life</w:t>
      </w:r>
      <w:r w:rsidR="00FF46F5">
        <w:t>”</w:t>
      </w:r>
      <w:r w:rsidR="00F8371D" w:rsidRPr="00154F1D">
        <w:t>’.</w:t>
      </w:r>
      <w:r w:rsidR="00F8371D" w:rsidRPr="00154F1D">
        <w:rPr>
          <w:rStyle w:val="FootnoteReference"/>
        </w:rPr>
        <w:footnoteReference w:id="385"/>
      </w:r>
    </w:p>
    <w:p w14:paraId="79D31896" w14:textId="1E085371" w:rsidR="00DE45C0" w:rsidRPr="00154F1D" w:rsidRDefault="00183231" w:rsidP="00744FAA">
      <w:pPr>
        <w:pStyle w:val="NormalNumberedTextTLRI"/>
      </w:pPr>
      <w:r w:rsidRPr="00154F1D">
        <w:t xml:space="preserve">However, it </w:t>
      </w:r>
      <w:r w:rsidR="008B6515" w:rsidRPr="00154F1D">
        <w:t>is difficult to determine the approach</w:t>
      </w:r>
      <w:r w:rsidR="004147CB" w:rsidRPr="00154F1D">
        <w:t xml:space="preserve"> that</w:t>
      </w:r>
      <w:r w:rsidR="008B6515" w:rsidRPr="00154F1D">
        <w:t xml:space="preserve"> the court is likely to adopt</w:t>
      </w:r>
      <w:r w:rsidR="004A581C" w:rsidRPr="00154F1D">
        <w:t xml:space="preserve"> </w:t>
      </w:r>
      <w:r w:rsidR="008B6515" w:rsidRPr="00154F1D">
        <w:t xml:space="preserve">given that </w:t>
      </w:r>
      <w:r w:rsidRPr="00154F1D">
        <w:t>t</w:t>
      </w:r>
      <w:r w:rsidR="00DE45C0" w:rsidRPr="00154F1D">
        <w:t>his provision is rarely used</w:t>
      </w:r>
      <w:r w:rsidR="008B6515" w:rsidRPr="00154F1D">
        <w:t xml:space="preserve"> in practice</w:t>
      </w:r>
      <w:r w:rsidR="00DE45C0" w:rsidRPr="00154F1D">
        <w:t>.</w:t>
      </w:r>
      <w:r w:rsidR="00DE45C0" w:rsidRPr="00154F1D">
        <w:rPr>
          <w:rStyle w:val="FootnoteReference"/>
        </w:rPr>
        <w:footnoteReference w:id="386"/>
      </w:r>
      <w:r w:rsidR="00F415B4" w:rsidRPr="00154F1D">
        <w:t xml:space="preserve"> </w:t>
      </w:r>
      <w:r w:rsidR="008B6515" w:rsidRPr="00154F1D">
        <w:t xml:space="preserve">Other than the case of </w:t>
      </w:r>
      <w:r w:rsidR="008B6515" w:rsidRPr="00154F1D">
        <w:rPr>
          <w:i/>
        </w:rPr>
        <w:t xml:space="preserve">Williams v The Queen </w:t>
      </w:r>
      <w:r w:rsidR="008B6515" w:rsidRPr="00154F1D">
        <w:t xml:space="preserve">(where insanity was rejected by the jury), the </w:t>
      </w:r>
      <w:r w:rsidR="00F415B4" w:rsidRPr="00154F1D">
        <w:t xml:space="preserve">TLRI </w:t>
      </w:r>
      <w:r w:rsidR="008B6515" w:rsidRPr="00154F1D">
        <w:t>is not aware of any case</w:t>
      </w:r>
      <w:r w:rsidR="00F415B4" w:rsidRPr="00154F1D">
        <w:t xml:space="preserve"> </w:t>
      </w:r>
      <w:r w:rsidR="002A0EED" w:rsidRPr="00154F1D">
        <w:t xml:space="preserve">decided in the Supreme Court </w:t>
      </w:r>
      <w:r w:rsidR="00F415B4" w:rsidRPr="00154F1D">
        <w:t xml:space="preserve">where this </w:t>
      </w:r>
      <w:r w:rsidR="008B6515" w:rsidRPr="00154F1D">
        <w:t xml:space="preserve">ground for establishing insanity </w:t>
      </w:r>
      <w:r w:rsidR="004A581C" w:rsidRPr="00154F1D">
        <w:t>has been</w:t>
      </w:r>
      <w:r w:rsidR="00F415B4" w:rsidRPr="00154F1D">
        <w:t xml:space="preserve"> </w:t>
      </w:r>
      <w:r w:rsidR="00D6081C" w:rsidRPr="00154F1D">
        <w:t xml:space="preserve">successfully </w:t>
      </w:r>
      <w:r w:rsidR="008B6515" w:rsidRPr="00154F1D">
        <w:t>relied on by the defendant.</w:t>
      </w:r>
    </w:p>
    <w:p w14:paraId="0CF68AA6" w14:textId="19990968" w:rsidR="00680528" w:rsidRPr="00154F1D" w:rsidRDefault="00DE45C0" w:rsidP="00744FAA">
      <w:pPr>
        <w:pStyle w:val="NormalNumberedTextTLRI"/>
        <w:rPr>
          <w:rFonts w:eastAsiaTheme="minorEastAsia"/>
          <w:szCs w:val="22"/>
          <w:lang w:eastAsia="ja-JP"/>
        </w:rPr>
      </w:pPr>
      <w:r w:rsidRPr="00154F1D">
        <w:rPr>
          <w:u w:val="single"/>
        </w:rPr>
        <w:t>Act or omission which ought not do or make</w:t>
      </w:r>
      <w:r w:rsidR="009214CE" w:rsidRPr="00154F1D">
        <w:t>.</w:t>
      </w:r>
      <w:r w:rsidRPr="00154F1D">
        <w:t xml:space="preserve"> This reflects the second limb of </w:t>
      </w:r>
      <w:r w:rsidRPr="00154F1D">
        <w:rPr>
          <w:i/>
        </w:rPr>
        <w:t>M’Naghten’s</w:t>
      </w:r>
      <w:r w:rsidRPr="00154F1D">
        <w:t xml:space="preserve"> case that </w:t>
      </w:r>
      <w:r w:rsidR="00183231" w:rsidRPr="00154F1D">
        <w:t>the def</w:t>
      </w:r>
      <w:r w:rsidR="007858CD" w:rsidRPr="00154F1D">
        <w:t>e</w:t>
      </w:r>
      <w:r w:rsidR="00183231" w:rsidRPr="00154F1D">
        <w:t>nda</w:t>
      </w:r>
      <w:r w:rsidR="007858CD" w:rsidRPr="00154F1D">
        <w:t>n</w:t>
      </w:r>
      <w:r w:rsidR="00183231" w:rsidRPr="00154F1D">
        <w:t>t did not know what he was doing was wrong</w:t>
      </w:r>
      <w:r w:rsidRPr="00154F1D">
        <w:t xml:space="preserve">. </w:t>
      </w:r>
      <w:r w:rsidR="00680528" w:rsidRPr="00154F1D">
        <w:t xml:space="preserve">In </w:t>
      </w:r>
      <w:r w:rsidR="00680528" w:rsidRPr="00154F1D">
        <w:rPr>
          <w:i/>
        </w:rPr>
        <w:t>R v</w:t>
      </w:r>
      <w:r w:rsidR="00680528" w:rsidRPr="00154F1D">
        <w:t xml:space="preserve"> </w:t>
      </w:r>
      <w:r w:rsidR="00680528" w:rsidRPr="00154F1D">
        <w:rPr>
          <w:i/>
        </w:rPr>
        <w:t>Porter</w:t>
      </w:r>
      <w:r w:rsidR="00680528" w:rsidRPr="00154F1D">
        <w:t>, Dixon J stated that</w:t>
      </w:r>
      <w:r w:rsidR="00680528" w:rsidRPr="00154F1D">
        <w:rPr>
          <w:rFonts w:eastAsiaTheme="minorEastAsia"/>
          <w:szCs w:val="22"/>
          <w:lang w:eastAsia="ja-JP"/>
        </w:rPr>
        <w:t>:</w:t>
      </w:r>
    </w:p>
    <w:p w14:paraId="580E5BBB" w14:textId="75F51715" w:rsidR="00680528" w:rsidRPr="00154F1D" w:rsidRDefault="00680528" w:rsidP="0074267A">
      <w:pPr>
        <w:pStyle w:val="QuoteTLRI"/>
      </w:pPr>
      <w:r w:rsidRPr="00154F1D">
        <w:t>The question is whether he was able to appreciate the wrongness of the particular act he was doing at the particular time. Could this man be said to know in this sense whether his act was wrong if through a disease or defect or disorder of the mind he could not think rationally of the reasons which to ordinary people make that act right or wrong? If through the disordered condition of the mind he could not reason about the matter with a moderate degree of sense and composure it may be said that he could not know that what he was doing was wrong. What is meant by ‘wrong’? What is meant by wrong is wrong having regard to the everyday standards of reasonable people.</w:t>
      </w:r>
      <w:r w:rsidRPr="00154F1D">
        <w:rPr>
          <w:rStyle w:val="FootnoteReference"/>
          <w:rFonts w:eastAsiaTheme="minorEastAsia"/>
        </w:rPr>
        <w:footnoteReference w:id="387"/>
      </w:r>
    </w:p>
    <w:p w14:paraId="28B92BD5" w14:textId="68B3BE6E" w:rsidR="00680528" w:rsidRPr="00154F1D" w:rsidRDefault="00DE45C0" w:rsidP="009A5B76">
      <w:pPr>
        <w:pStyle w:val="NormalNumberedTextTLRI"/>
        <w:numPr>
          <w:ilvl w:val="0"/>
          <w:numId w:val="0"/>
        </w:numPr>
      </w:pPr>
      <w:r w:rsidRPr="00154F1D">
        <w:t>Accordingly</w:t>
      </w:r>
      <w:r w:rsidR="00680528" w:rsidRPr="00154F1D">
        <w:t xml:space="preserve">, </w:t>
      </w:r>
      <w:r w:rsidR="00E438C9" w:rsidRPr="00154F1D">
        <w:t xml:space="preserve">a </w:t>
      </w:r>
      <w:r w:rsidR="00680528" w:rsidRPr="00154F1D">
        <w:t xml:space="preserve">key feature of the test </w:t>
      </w:r>
      <w:r w:rsidR="00E438C9" w:rsidRPr="00154F1D">
        <w:t>is</w:t>
      </w:r>
      <w:r w:rsidR="00680528" w:rsidRPr="00154F1D">
        <w:t xml:space="preserve"> that the defendant </w:t>
      </w:r>
      <w:r w:rsidR="00E438C9" w:rsidRPr="00154F1D">
        <w:t xml:space="preserve">could not think rationally about whether the matter was right or wrong. Further, the defendant’s understanding of ‘wrong’ </w:t>
      </w:r>
      <w:r w:rsidRPr="00154F1D">
        <w:t xml:space="preserve">is concerned with the </w:t>
      </w:r>
      <w:r w:rsidR="00183231" w:rsidRPr="00154F1D">
        <w:t>defendant’s</w:t>
      </w:r>
      <w:r w:rsidRPr="00154F1D">
        <w:t xml:space="preserve"> failure to understand that the act was morally wrong rather than the defendant’s f</w:t>
      </w:r>
      <w:r w:rsidR="00887E9C" w:rsidRPr="00154F1D">
        <w:t xml:space="preserve">ailure to understand that </w:t>
      </w:r>
      <w:r w:rsidR="00183231" w:rsidRPr="00154F1D">
        <w:t xml:space="preserve">the act was </w:t>
      </w:r>
      <w:r w:rsidR="00AD0D97" w:rsidRPr="00154F1D">
        <w:t>legally wrong</w:t>
      </w:r>
      <w:r w:rsidR="00183231" w:rsidRPr="00154F1D">
        <w:t xml:space="preserve">. </w:t>
      </w:r>
    </w:p>
    <w:p w14:paraId="5FBD7471" w14:textId="2EE1016E" w:rsidR="00A26BF8" w:rsidRPr="00154F1D" w:rsidRDefault="00A26BF8" w:rsidP="00744FAA">
      <w:pPr>
        <w:pStyle w:val="NormalNumberedTextTLRI"/>
        <w:rPr>
          <w:lang w:eastAsia="ja-JP"/>
        </w:rPr>
      </w:pPr>
      <w:r w:rsidRPr="00154F1D">
        <w:rPr>
          <w:lang w:eastAsia="ja-JP"/>
        </w:rPr>
        <w:t>It has been observed that this is the most common basis on which insanity is established.</w:t>
      </w:r>
      <w:bookmarkStart w:id="143" w:name="_Ref535489918"/>
      <w:r w:rsidRPr="00154F1D">
        <w:rPr>
          <w:rStyle w:val="FootnoteReference"/>
          <w:lang w:eastAsia="ja-JP"/>
        </w:rPr>
        <w:footnoteReference w:id="388"/>
      </w:r>
      <w:bookmarkEnd w:id="143"/>
      <w:r w:rsidRPr="00154F1D">
        <w:rPr>
          <w:lang w:eastAsia="ja-JP"/>
        </w:rPr>
        <w:t xml:space="preserve"> </w:t>
      </w:r>
      <w:r w:rsidR="0097093D" w:rsidRPr="00154F1D">
        <w:rPr>
          <w:lang w:eastAsia="ja-JP"/>
        </w:rPr>
        <w:t>In Tasmania, this</w:t>
      </w:r>
      <w:r w:rsidRPr="00154F1D">
        <w:rPr>
          <w:lang w:eastAsia="ja-JP"/>
        </w:rPr>
        <w:t xml:space="preserve"> </w:t>
      </w:r>
      <w:r w:rsidR="0097093D" w:rsidRPr="00154F1D">
        <w:rPr>
          <w:lang w:eastAsia="ja-JP"/>
        </w:rPr>
        <w:t xml:space="preserve">was </w:t>
      </w:r>
      <w:r w:rsidR="00BC61FF" w:rsidRPr="00154F1D">
        <w:rPr>
          <w:lang w:eastAsia="ja-JP"/>
        </w:rPr>
        <w:t xml:space="preserve">the </w:t>
      </w:r>
      <w:r w:rsidRPr="00154F1D">
        <w:rPr>
          <w:lang w:eastAsia="ja-JP"/>
        </w:rPr>
        <w:t xml:space="preserve">ground of insanity </w:t>
      </w:r>
      <w:r w:rsidR="0097093D" w:rsidRPr="00154F1D">
        <w:rPr>
          <w:lang w:eastAsia="ja-JP"/>
        </w:rPr>
        <w:t>used</w:t>
      </w:r>
      <w:r w:rsidRPr="00154F1D">
        <w:rPr>
          <w:lang w:eastAsia="ja-JP"/>
        </w:rPr>
        <w:t xml:space="preserve"> in all of the cases </w:t>
      </w:r>
      <w:r w:rsidR="0097093D" w:rsidRPr="00154F1D">
        <w:rPr>
          <w:lang w:eastAsia="ja-JP"/>
        </w:rPr>
        <w:t xml:space="preserve">where insanity was successfully </w:t>
      </w:r>
      <w:r w:rsidR="00BC61FF" w:rsidRPr="00154F1D">
        <w:rPr>
          <w:lang w:eastAsia="ja-JP"/>
        </w:rPr>
        <w:t>argued</w:t>
      </w:r>
      <w:r w:rsidR="0097093D" w:rsidRPr="00154F1D">
        <w:rPr>
          <w:lang w:eastAsia="ja-JP"/>
        </w:rPr>
        <w:t xml:space="preserve"> </w:t>
      </w:r>
      <w:r w:rsidRPr="00154F1D">
        <w:rPr>
          <w:lang w:eastAsia="ja-JP"/>
        </w:rPr>
        <w:t xml:space="preserve">in Supreme Court cases </w:t>
      </w:r>
      <w:r w:rsidR="00BC61FF" w:rsidRPr="00154F1D">
        <w:rPr>
          <w:lang w:eastAsia="ja-JP"/>
        </w:rPr>
        <w:t xml:space="preserve">identified by the TLRI </w:t>
      </w:r>
      <w:r w:rsidRPr="00154F1D">
        <w:rPr>
          <w:lang w:eastAsia="ja-JP"/>
        </w:rPr>
        <w:t xml:space="preserve">from 2010. Typically, the defence was based on the </w:t>
      </w:r>
      <w:r w:rsidR="0041716E">
        <w:rPr>
          <w:lang w:eastAsia="ja-JP"/>
        </w:rPr>
        <w:t>accused</w:t>
      </w:r>
      <w:r w:rsidR="0041716E" w:rsidRPr="00154F1D">
        <w:rPr>
          <w:lang w:eastAsia="ja-JP"/>
        </w:rPr>
        <w:t xml:space="preserve">’s </w:t>
      </w:r>
      <w:r w:rsidRPr="00154F1D">
        <w:rPr>
          <w:lang w:eastAsia="ja-JP"/>
        </w:rPr>
        <w:t xml:space="preserve">impaired judgement arising from delusions resulting from a pre-existing mental </w:t>
      </w:r>
      <w:r w:rsidR="004147CB" w:rsidRPr="00154F1D">
        <w:rPr>
          <w:lang w:eastAsia="ja-JP"/>
        </w:rPr>
        <w:t>health impairment</w:t>
      </w:r>
      <w:r w:rsidRPr="00154F1D">
        <w:rPr>
          <w:lang w:eastAsia="ja-JP"/>
        </w:rPr>
        <w:t xml:space="preserve">. For example, in </w:t>
      </w:r>
      <w:r w:rsidR="00707A50" w:rsidRPr="00154F1D">
        <w:rPr>
          <w:lang w:eastAsia="ja-JP"/>
        </w:rPr>
        <w:t xml:space="preserve">making orders under the </w:t>
      </w:r>
      <w:r w:rsidR="00707A50" w:rsidRPr="00154F1D">
        <w:rPr>
          <w:i/>
          <w:lang w:eastAsia="ja-JP"/>
        </w:rPr>
        <w:t xml:space="preserve">Criminal Justice (Mental Impairment) Act 1999 </w:t>
      </w:r>
      <w:r w:rsidR="00707A50" w:rsidRPr="00154F1D">
        <w:rPr>
          <w:lang w:eastAsia="ja-JP"/>
        </w:rPr>
        <w:t xml:space="preserve">(Tas) in the case of </w:t>
      </w:r>
      <w:r w:rsidR="0087467A" w:rsidRPr="00154F1D">
        <w:rPr>
          <w:i/>
          <w:lang w:eastAsia="ja-JP"/>
        </w:rPr>
        <w:t xml:space="preserve">Tasmania v </w:t>
      </w:r>
      <w:r w:rsidR="00707A50" w:rsidRPr="00154F1D">
        <w:rPr>
          <w:i/>
          <w:lang w:eastAsia="ja-JP"/>
        </w:rPr>
        <w:t>S</w:t>
      </w:r>
      <w:r w:rsidR="00707A50" w:rsidRPr="00154F1D">
        <w:rPr>
          <w:lang w:eastAsia="ja-JP"/>
        </w:rPr>
        <w:t>,</w:t>
      </w:r>
      <w:r w:rsidR="00707A50" w:rsidRPr="00154F1D">
        <w:rPr>
          <w:rStyle w:val="FootnoteReference"/>
          <w:lang w:eastAsia="ja-JP"/>
        </w:rPr>
        <w:footnoteReference w:id="389"/>
      </w:r>
      <w:r w:rsidR="00707A50" w:rsidRPr="00154F1D">
        <w:rPr>
          <w:lang w:eastAsia="ja-JP"/>
        </w:rPr>
        <w:t xml:space="preserve"> Porter J observed that ‘the mental condition and the delusions from which he suffered were of such intensity in nature that it impaired and reduced his ability to judge the situation in an ordinary manner. The disorder deprived him of the capacity to know the acts were ones which he ought not to do’.</w:t>
      </w:r>
      <w:r w:rsidR="00FF6540" w:rsidRPr="00154F1D">
        <w:rPr>
          <w:lang w:eastAsia="ja-JP"/>
        </w:rPr>
        <w:t xml:space="preserve"> In another case, the medical evidence was that the defendant was mentally ill and experiencing auditory hallucinations and the crimes were committed in response to the voice he heard and a belief that his family would be at risk if he did not commit the crimes.</w:t>
      </w:r>
      <w:r w:rsidR="00FF6540" w:rsidRPr="00154F1D">
        <w:rPr>
          <w:rStyle w:val="FootnoteReference"/>
          <w:lang w:eastAsia="ja-JP"/>
        </w:rPr>
        <w:footnoteReference w:id="390"/>
      </w:r>
      <w:r w:rsidR="00FF6540" w:rsidRPr="00154F1D">
        <w:rPr>
          <w:lang w:eastAsia="ja-JP"/>
        </w:rPr>
        <w:t xml:space="preserve"> In </w:t>
      </w:r>
      <w:r w:rsidR="00FF6540" w:rsidRPr="00154F1D">
        <w:rPr>
          <w:i/>
          <w:lang w:eastAsia="ja-JP"/>
        </w:rPr>
        <w:t>R</w:t>
      </w:r>
      <w:r w:rsidR="00FF6540" w:rsidRPr="00154F1D">
        <w:rPr>
          <w:lang w:eastAsia="ja-JP"/>
        </w:rPr>
        <w:t>, the defendant’s condition caused him to experience ‘acute psychotic symptoms including auditory and visual hallucinations and persecutory and referential delusions’.</w:t>
      </w:r>
      <w:r w:rsidR="00FF6540" w:rsidRPr="00154F1D">
        <w:rPr>
          <w:rStyle w:val="FootnoteReference"/>
          <w:lang w:eastAsia="ja-JP"/>
        </w:rPr>
        <w:footnoteReference w:id="391"/>
      </w:r>
    </w:p>
    <w:p w14:paraId="638431D4" w14:textId="529D6025" w:rsidR="00183231" w:rsidRPr="00154F1D" w:rsidRDefault="004A581C" w:rsidP="00055946">
      <w:pPr>
        <w:pStyle w:val="NormalNumberedTextTLRI"/>
        <w:rPr>
          <w:lang w:eastAsia="ja-JP"/>
        </w:rPr>
      </w:pPr>
      <w:r w:rsidRPr="00154F1D">
        <w:rPr>
          <w:lang w:eastAsia="ja-JP"/>
        </w:rPr>
        <w:t xml:space="preserve">A </w:t>
      </w:r>
      <w:r w:rsidR="00707A50" w:rsidRPr="00154F1D">
        <w:rPr>
          <w:lang w:eastAsia="ja-JP"/>
        </w:rPr>
        <w:t xml:space="preserve">further </w:t>
      </w:r>
      <w:r w:rsidRPr="00154F1D">
        <w:rPr>
          <w:lang w:eastAsia="ja-JP"/>
        </w:rPr>
        <w:t xml:space="preserve">illustration of the operation of this limb of the insanity defence (in the Western Australian context) is the case of </w:t>
      </w:r>
      <w:r w:rsidR="00183231" w:rsidRPr="00154F1D">
        <w:rPr>
          <w:i/>
          <w:lang w:eastAsia="ja-JP"/>
        </w:rPr>
        <w:t>McHenry v Western Australia (No 2)</w:t>
      </w:r>
      <w:r w:rsidR="001F4375" w:rsidRPr="00154F1D">
        <w:rPr>
          <w:lang w:eastAsia="ja-JP"/>
        </w:rPr>
        <w:t>.</w:t>
      </w:r>
      <w:r w:rsidR="00F57B21" w:rsidRPr="00154F1D">
        <w:rPr>
          <w:rStyle w:val="FootnoteReference"/>
        </w:rPr>
        <w:footnoteReference w:id="392"/>
      </w:r>
      <w:r w:rsidR="00055946" w:rsidRPr="00154F1D">
        <w:t xml:space="preserve"> </w:t>
      </w:r>
      <w:r w:rsidR="001F4375" w:rsidRPr="00154F1D">
        <w:t>In</w:t>
      </w:r>
      <w:r w:rsidR="001F4375" w:rsidRPr="00154F1D">
        <w:rPr>
          <w:lang w:eastAsia="ja-JP"/>
        </w:rPr>
        <w:t xml:space="preserve"> this case,</w:t>
      </w:r>
      <w:r w:rsidRPr="00154F1D">
        <w:rPr>
          <w:lang w:eastAsia="ja-JP"/>
        </w:rPr>
        <w:t xml:space="preserve"> </w:t>
      </w:r>
      <w:r w:rsidR="00183231" w:rsidRPr="00154F1D">
        <w:rPr>
          <w:lang w:eastAsia="ja-JP"/>
        </w:rPr>
        <w:t>the accused killed his brother under the</w:t>
      </w:r>
      <w:r w:rsidR="007858CD" w:rsidRPr="00154F1D">
        <w:rPr>
          <w:lang w:eastAsia="ja-JP"/>
        </w:rPr>
        <w:t xml:space="preserve"> </w:t>
      </w:r>
      <w:r w:rsidR="00183231" w:rsidRPr="00154F1D">
        <w:rPr>
          <w:lang w:eastAsia="ja-JP"/>
        </w:rPr>
        <w:t>deluded belief that his brother was a threat to him personally and to the world. He believed that his</w:t>
      </w:r>
      <w:r w:rsidR="007858CD" w:rsidRPr="00154F1D">
        <w:rPr>
          <w:lang w:eastAsia="ja-JP"/>
        </w:rPr>
        <w:t xml:space="preserve"> </w:t>
      </w:r>
      <w:r w:rsidR="00183231" w:rsidRPr="00154F1D">
        <w:rPr>
          <w:lang w:eastAsia="ja-JP"/>
        </w:rPr>
        <w:t>brother was an alien linked to spiders and Satan and that they were planning to blow up the planet. By</w:t>
      </w:r>
      <w:r w:rsidR="007858CD" w:rsidRPr="00154F1D">
        <w:rPr>
          <w:lang w:eastAsia="ja-JP"/>
        </w:rPr>
        <w:t xml:space="preserve"> </w:t>
      </w:r>
      <w:r w:rsidR="00183231" w:rsidRPr="00154F1D">
        <w:rPr>
          <w:lang w:eastAsia="ja-JP"/>
        </w:rPr>
        <w:t>killing his brother</w:t>
      </w:r>
      <w:r w:rsidR="007858CD" w:rsidRPr="00154F1D">
        <w:rPr>
          <w:lang w:eastAsia="ja-JP"/>
        </w:rPr>
        <w:t>,</w:t>
      </w:r>
      <w:r w:rsidR="00183231" w:rsidRPr="00154F1D">
        <w:rPr>
          <w:lang w:eastAsia="ja-JP"/>
        </w:rPr>
        <w:t xml:space="preserve"> he thought he would destroy the spider and save many from Satan. He also believed</w:t>
      </w:r>
      <w:r w:rsidR="007858CD" w:rsidRPr="00154F1D">
        <w:rPr>
          <w:lang w:eastAsia="ja-JP"/>
        </w:rPr>
        <w:t xml:space="preserve"> </w:t>
      </w:r>
      <w:r w:rsidR="00183231" w:rsidRPr="00154F1D">
        <w:rPr>
          <w:lang w:eastAsia="ja-JP"/>
        </w:rPr>
        <w:t>he would protect his brother from Satan. Expert evidence was given that the accused suffered from</w:t>
      </w:r>
      <w:r w:rsidR="007858CD" w:rsidRPr="00154F1D">
        <w:rPr>
          <w:lang w:eastAsia="ja-JP"/>
        </w:rPr>
        <w:t xml:space="preserve"> </w:t>
      </w:r>
      <w:r w:rsidR="00183231" w:rsidRPr="00154F1D">
        <w:rPr>
          <w:lang w:eastAsia="ja-JP"/>
        </w:rPr>
        <w:t>paranoid schizophrenia evidenced by auditory hallucinations (hearing voices) and delusional beliefs</w:t>
      </w:r>
      <w:r w:rsidR="007858CD" w:rsidRPr="00154F1D">
        <w:rPr>
          <w:lang w:eastAsia="ja-JP"/>
        </w:rPr>
        <w:t xml:space="preserve"> </w:t>
      </w:r>
      <w:r w:rsidR="00183231" w:rsidRPr="00154F1D">
        <w:rPr>
          <w:lang w:eastAsia="ja-JP"/>
        </w:rPr>
        <w:t>(religious and in extra-terrestrial aliens), and that this deprived him of the capacity to know that he</w:t>
      </w:r>
      <w:r w:rsidR="007858CD" w:rsidRPr="00154F1D">
        <w:rPr>
          <w:lang w:eastAsia="ja-JP"/>
        </w:rPr>
        <w:t xml:space="preserve"> </w:t>
      </w:r>
      <w:r w:rsidR="00183231" w:rsidRPr="00154F1D">
        <w:rPr>
          <w:lang w:eastAsia="ja-JP"/>
        </w:rPr>
        <w:t>ought not to do the act of killing. The accused was acquitted on account of his unsoundness of mind.</w:t>
      </w:r>
    </w:p>
    <w:p w14:paraId="5C4542B3" w14:textId="6C8D4A9D" w:rsidR="006D5B39" w:rsidRPr="00154F1D" w:rsidRDefault="00E438C9" w:rsidP="00744FAA">
      <w:pPr>
        <w:pStyle w:val="NormalNumberedTextTLRI"/>
      </w:pPr>
      <w:r w:rsidRPr="00154F1D">
        <w:rPr>
          <w:u w:val="single"/>
          <w:lang w:eastAsia="ja-JP"/>
        </w:rPr>
        <w:t>Uncontrollable impulse.</w:t>
      </w:r>
      <w:r w:rsidRPr="00154F1D">
        <w:rPr>
          <w:lang w:eastAsia="ja-JP"/>
        </w:rPr>
        <w:t xml:space="preserve"> This </w:t>
      </w:r>
      <w:r w:rsidR="00AE2ABF" w:rsidRPr="00154F1D">
        <w:rPr>
          <w:lang w:eastAsia="ja-JP"/>
        </w:rPr>
        <w:t xml:space="preserve">is described as the ‘volitional’ limb of the insanity defence and this basis to establish the defence of insanity </w:t>
      </w:r>
      <w:r w:rsidR="0099271A" w:rsidRPr="00154F1D">
        <w:rPr>
          <w:lang w:eastAsia="ja-JP"/>
        </w:rPr>
        <w:t xml:space="preserve">was not contained in </w:t>
      </w:r>
      <w:r w:rsidR="0099271A" w:rsidRPr="00154F1D">
        <w:rPr>
          <w:i/>
          <w:lang w:eastAsia="ja-JP"/>
        </w:rPr>
        <w:t>McNaghten’s</w:t>
      </w:r>
      <w:r w:rsidR="0099271A" w:rsidRPr="00154F1D">
        <w:rPr>
          <w:lang w:eastAsia="ja-JP"/>
        </w:rPr>
        <w:t xml:space="preserve"> rules (and so </w:t>
      </w:r>
      <w:r w:rsidR="00AE2ABF" w:rsidRPr="00154F1D">
        <w:rPr>
          <w:lang w:eastAsia="ja-JP"/>
        </w:rPr>
        <w:t>does not exist at common law</w:t>
      </w:r>
      <w:r w:rsidR="0099271A" w:rsidRPr="00154F1D">
        <w:rPr>
          <w:lang w:eastAsia="ja-JP"/>
        </w:rPr>
        <w:t>)</w:t>
      </w:r>
      <w:r w:rsidR="00AE2ABF" w:rsidRPr="00154F1D">
        <w:rPr>
          <w:lang w:eastAsia="ja-JP"/>
        </w:rPr>
        <w:t>.</w:t>
      </w:r>
      <w:r w:rsidR="00AE2ABF" w:rsidRPr="00154F1D">
        <w:rPr>
          <w:rStyle w:val="FootnoteReference"/>
          <w:rFonts w:eastAsiaTheme="minorEastAsia"/>
          <w:szCs w:val="22"/>
          <w:lang w:eastAsia="ja-JP"/>
        </w:rPr>
        <w:footnoteReference w:id="393"/>
      </w:r>
      <w:r w:rsidR="00AE2ABF" w:rsidRPr="00154F1D">
        <w:rPr>
          <w:lang w:eastAsia="ja-JP"/>
        </w:rPr>
        <w:t xml:space="preserve"> </w:t>
      </w:r>
      <w:r w:rsidR="006D5B39" w:rsidRPr="00154F1D">
        <w:rPr>
          <w:lang w:eastAsia="ja-JP"/>
        </w:rPr>
        <w:t xml:space="preserve">Section 16(1)(b) </w:t>
      </w:r>
      <w:r w:rsidR="00491ACB">
        <w:rPr>
          <w:lang w:eastAsia="ja-JP"/>
        </w:rPr>
        <w:t xml:space="preserve">of the </w:t>
      </w:r>
      <w:r w:rsidR="00DC1696" w:rsidRPr="00154F1D">
        <w:rPr>
          <w:i/>
        </w:rPr>
        <w:t xml:space="preserve">Criminal Code </w:t>
      </w:r>
      <w:r w:rsidR="00DC1696" w:rsidRPr="00154F1D">
        <w:t>(Tas)</w:t>
      </w:r>
      <w:r w:rsidR="00DC1696">
        <w:t xml:space="preserve"> </w:t>
      </w:r>
      <w:r w:rsidR="006C6C52">
        <w:rPr>
          <w:lang w:eastAsia="ja-JP"/>
        </w:rPr>
        <w:t>states</w:t>
      </w:r>
      <w:r w:rsidR="006D5B39" w:rsidRPr="00154F1D">
        <w:rPr>
          <w:lang w:eastAsia="ja-JP"/>
        </w:rPr>
        <w:t xml:space="preserve"> that a person is not criminally responsible for an act or omission ‘</w:t>
      </w:r>
      <w:r w:rsidR="006D5B39" w:rsidRPr="00154F1D">
        <w:rPr>
          <w:rFonts w:eastAsia="Times New Roman"/>
        </w:rPr>
        <w:t xml:space="preserve">when such act or omission was done or made under an impulse which, by reason of mental disease, he [or she] was in substance deprived of any power to resist’. Section 16(2) provides that: </w:t>
      </w:r>
    </w:p>
    <w:p w14:paraId="7489157D" w14:textId="3F3AEB1A" w:rsidR="006D5B39" w:rsidRPr="00154F1D" w:rsidRDefault="006D5B39" w:rsidP="0074267A">
      <w:pPr>
        <w:pStyle w:val="QuoteTLRI"/>
      </w:pPr>
      <w:r w:rsidRPr="00154F1D">
        <w:t xml:space="preserve">the fact that a person was, at the time at which he is alleged to have done an act or made an omission, incapable of controlling his conduct generally, is relevant to the question whether he [or she] did such act or made such omission under an impulse which by reason of mental disease he </w:t>
      </w:r>
      <w:r w:rsidR="006C6C52">
        <w:t xml:space="preserve">[or she] </w:t>
      </w:r>
      <w:r w:rsidRPr="00154F1D">
        <w:t>was in substance deprived of any power to resist.</w:t>
      </w:r>
    </w:p>
    <w:p w14:paraId="57578D13" w14:textId="4A0A647B" w:rsidR="0099271A" w:rsidRPr="00154F1D" w:rsidRDefault="00FF6540" w:rsidP="00E7067D">
      <w:pPr>
        <w:pStyle w:val="NormalNumberedTextTLRI"/>
        <w:spacing w:after="120"/>
      </w:pPr>
      <w:r w:rsidRPr="00154F1D">
        <w:rPr>
          <w:lang w:eastAsia="ja-JP"/>
        </w:rPr>
        <w:t>The operation of this limb of the insanity defence</w:t>
      </w:r>
      <w:r w:rsidR="00AE2ABF" w:rsidRPr="00154F1D">
        <w:rPr>
          <w:lang w:eastAsia="ja-JP"/>
        </w:rPr>
        <w:t xml:space="preserve"> was considered in the case of </w:t>
      </w:r>
      <w:r w:rsidR="00AE2ABF" w:rsidRPr="00154F1D">
        <w:rPr>
          <w:i/>
          <w:lang w:eastAsia="ja-JP"/>
        </w:rPr>
        <w:t>Hitchens</w:t>
      </w:r>
      <w:r w:rsidR="00AE2ABF" w:rsidRPr="00154F1D">
        <w:rPr>
          <w:lang w:eastAsia="ja-JP"/>
        </w:rPr>
        <w:t>, where the Court of Criminal Appeal expressed the view that</w:t>
      </w:r>
      <w:r w:rsidR="0099271A" w:rsidRPr="00154F1D">
        <w:rPr>
          <w:lang w:eastAsia="ja-JP"/>
        </w:rPr>
        <w:t xml:space="preserve"> the issue for the jury was:</w:t>
      </w:r>
    </w:p>
    <w:p w14:paraId="48E6B3FB" w14:textId="77777777" w:rsidR="0099271A" w:rsidRPr="00154F1D" w:rsidRDefault="0099271A" w:rsidP="00F02E67">
      <w:pPr>
        <w:pStyle w:val="QuoteTLRI"/>
        <w:spacing w:after="120"/>
        <w:ind w:right="788"/>
      </w:pPr>
      <w:r w:rsidRPr="00154F1D">
        <w:t>whether the appellant did the acts complained of under an impulse which by reason of mental disease he was in substance deprived of any power to resist it was for the appellant to satisfy the jury upon the balance of probabilities:</w:t>
      </w:r>
    </w:p>
    <w:p w14:paraId="20814DBC" w14:textId="77777777" w:rsidR="006D5B39" w:rsidRPr="00154F1D" w:rsidRDefault="0099271A" w:rsidP="00F02E67">
      <w:pPr>
        <w:pStyle w:val="QuoteTLRI"/>
        <w:numPr>
          <w:ilvl w:val="0"/>
          <w:numId w:val="58"/>
        </w:numPr>
        <w:spacing w:after="120"/>
        <w:ind w:right="788"/>
      </w:pPr>
      <w:r w:rsidRPr="00154F1D">
        <w:t>that the acts were in fact done under an impulse;</w:t>
      </w:r>
    </w:p>
    <w:p w14:paraId="2FE6EC28" w14:textId="1B8FE2BE" w:rsidR="00AE2ABF" w:rsidRPr="00154F1D" w:rsidRDefault="0099271A" w:rsidP="0074267A">
      <w:pPr>
        <w:pStyle w:val="QuoteTLRI"/>
        <w:numPr>
          <w:ilvl w:val="0"/>
          <w:numId w:val="58"/>
        </w:numPr>
      </w:pPr>
      <w:r w:rsidRPr="00154F1D">
        <w:t>that it was an impulse which by reason of mental disease he was in substance deprived of any power to resist.</w:t>
      </w:r>
      <w:r w:rsidRPr="00154F1D">
        <w:rPr>
          <w:rStyle w:val="FootnoteReference"/>
          <w:rFonts w:eastAsiaTheme="minorEastAsia"/>
        </w:rPr>
        <w:footnoteReference w:id="394"/>
      </w:r>
    </w:p>
    <w:p w14:paraId="545B4DEB" w14:textId="2495F2C5" w:rsidR="000E66E4" w:rsidRPr="00154F1D" w:rsidRDefault="000E66E4" w:rsidP="00E41785">
      <w:pPr>
        <w:pStyle w:val="NormalNumberedTextTLRI"/>
        <w:numPr>
          <w:ilvl w:val="0"/>
          <w:numId w:val="0"/>
        </w:numPr>
        <w:rPr>
          <w:lang w:eastAsia="ja-JP"/>
        </w:rPr>
      </w:pPr>
      <w:r w:rsidRPr="00154F1D">
        <w:rPr>
          <w:lang w:eastAsia="ja-JP"/>
        </w:rPr>
        <w:t xml:space="preserve">The degree of impairment of violation was addressed by the High Court in </w:t>
      </w:r>
      <w:r w:rsidRPr="00154F1D">
        <w:rPr>
          <w:i/>
          <w:lang w:eastAsia="ja-JP"/>
        </w:rPr>
        <w:t>O’Neill v The Queen</w:t>
      </w:r>
      <w:r w:rsidRPr="00154F1D">
        <w:rPr>
          <w:lang w:eastAsia="ja-JP"/>
        </w:rPr>
        <w:t xml:space="preserve">, where the court held that to succeed, it must be established on </w:t>
      </w:r>
      <w:r w:rsidR="00F57B21" w:rsidRPr="00154F1D">
        <w:rPr>
          <w:lang w:eastAsia="ja-JP"/>
        </w:rPr>
        <w:t>the</w:t>
      </w:r>
      <w:r w:rsidRPr="00154F1D">
        <w:rPr>
          <w:lang w:eastAsia="ja-JP"/>
        </w:rPr>
        <w:t xml:space="preserve"> balance of probabilities that ‘the accused had lost all power to resist: that mental disease had left him with no power of resistance to the impulses to do the fatal act’.</w:t>
      </w:r>
      <w:r w:rsidRPr="00154F1D">
        <w:rPr>
          <w:rStyle w:val="FootnoteReference"/>
          <w:rFonts w:eastAsiaTheme="minorEastAsia"/>
          <w:szCs w:val="22"/>
          <w:lang w:eastAsia="ja-JP"/>
        </w:rPr>
        <w:footnoteReference w:id="395"/>
      </w:r>
    </w:p>
    <w:p w14:paraId="32F00327" w14:textId="7EC2F2E8" w:rsidR="00AD0D97" w:rsidRPr="00154F1D" w:rsidRDefault="009D1550" w:rsidP="00744FAA">
      <w:pPr>
        <w:pStyle w:val="NormalNumberedTextTLRI"/>
      </w:pPr>
      <w:r w:rsidRPr="00154F1D">
        <w:rPr>
          <w:lang w:eastAsia="ja-JP"/>
        </w:rPr>
        <w:t>As with</w:t>
      </w:r>
      <w:r w:rsidR="000E66E4" w:rsidRPr="00154F1D">
        <w:rPr>
          <w:lang w:eastAsia="ja-JP"/>
        </w:rPr>
        <w:t xml:space="preserve"> the first limb of the insanity defence (</w:t>
      </w:r>
      <w:r w:rsidRPr="00154F1D">
        <w:rPr>
          <w:lang w:eastAsia="ja-JP"/>
        </w:rPr>
        <w:t>the physical character of the act)</w:t>
      </w:r>
      <w:r w:rsidR="0099271A" w:rsidRPr="00154F1D">
        <w:rPr>
          <w:lang w:eastAsia="ja-JP"/>
        </w:rPr>
        <w:t>,</w:t>
      </w:r>
      <w:r w:rsidR="00AE2ABF" w:rsidRPr="00154F1D">
        <w:rPr>
          <w:lang w:eastAsia="ja-JP"/>
        </w:rPr>
        <w:t xml:space="preserve"> this provision </w:t>
      </w:r>
      <w:r w:rsidRPr="00154F1D">
        <w:rPr>
          <w:lang w:eastAsia="ja-JP"/>
        </w:rPr>
        <w:t>appears to be</w:t>
      </w:r>
      <w:r w:rsidR="00AE2ABF" w:rsidRPr="00154F1D">
        <w:rPr>
          <w:lang w:eastAsia="ja-JP"/>
        </w:rPr>
        <w:t xml:space="preserve"> rarely used in practice.</w:t>
      </w:r>
      <w:r w:rsidR="00AE2ABF" w:rsidRPr="00154F1D">
        <w:rPr>
          <w:rStyle w:val="FootnoteReference"/>
          <w:rFonts w:eastAsiaTheme="minorEastAsia"/>
          <w:szCs w:val="22"/>
          <w:lang w:eastAsia="ja-JP"/>
        </w:rPr>
        <w:footnoteReference w:id="396"/>
      </w:r>
      <w:r w:rsidR="000E66E4" w:rsidRPr="00154F1D">
        <w:rPr>
          <w:lang w:eastAsia="ja-JP"/>
        </w:rPr>
        <w:t xml:space="preserve"> </w:t>
      </w:r>
      <w:r w:rsidR="00FF6540" w:rsidRPr="00154F1D">
        <w:rPr>
          <w:lang w:eastAsia="ja-JP"/>
        </w:rPr>
        <w:t xml:space="preserve">There have been three decisions of the Court of Criminal Appeal that have considered the operation of </w:t>
      </w:r>
      <w:r w:rsidR="00E41785" w:rsidRPr="00154F1D">
        <w:rPr>
          <w:lang w:eastAsia="ja-JP"/>
        </w:rPr>
        <w:t>s</w:t>
      </w:r>
      <w:r w:rsidR="00FF6540" w:rsidRPr="00154F1D">
        <w:rPr>
          <w:lang w:eastAsia="ja-JP"/>
        </w:rPr>
        <w:t xml:space="preserve"> 16(1)(b)</w:t>
      </w:r>
      <w:r w:rsidR="001F4375" w:rsidRPr="00154F1D">
        <w:rPr>
          <w:lang w:eastAsia="ja-JP"/>
        </w:rPr>
        <w:t>, all</w:t>
      </w:r>
      <w:r w:rsidR="008B042F" w:rsidRPr="00154F1D">
        <w:rPr>
          <w:lang w:eastAsia="ja-JP"/>
        </w:rPr>
        <w:t xml:space="preserve"> </w:t>
      </w:r>
      <w:r w:rsidR="001F4375" w:rsidRPr="00154F1D">
        <w:rPr>
          <w:lang w:eastAsia="ja-JP"/>
        </w:rPr>
        <w:t>involving</w:t>
      </w:r>
      <w:r w:rsidR="00FF6540" w:rsidRPr="00154F1D">
        <w:rPr>
          <w:lang w:eastAsia="ja-JP"/>
        </w:rPr>
        <w:t xml:space="preserve"> cases where the </w:t>
      </w:r>
      <w:r w:rsidR="0041716E">
        <w:rPr>
          <w:lang w:eastAsia="ja-JP"/>
        </w:rPr>
        <w:t>accused</w:t>
      </w:r>
      <w:r w:rsidR="0041716E" w:rsidRPr="00154F1D">
        <w:rPr>
          <w:lang w:eastAsia="ja-JP"/>
        </w:rPr>
        <w:t xml:space="preserve"> </w:t>
      </w:r>
      <w:r w:rsidR="001F4375" w:rsidRPr="00154F1D">
        <w:rPr>
          <w:lang w:eastAsia="ja-JP"/>
        </w:rPr>
        <w:t>was appealing a conviction of murder</w:t>
      </w:r>
      <w:r w:rsidR="00FF6540" w:rsidRPr="00154F1D">
        <w:rPr>
          <w:lang w:eastAsia="ja-JP"/>
        </w:rPr>
        <w:t>.</w:t>
      </w:r>
      <w:r w:rsidR="00FF6540" w:rsidRPr="00154F1D">
        <w:rPr>
          <w:rStyle w:val="FootnoteReference"/>
          <w:lang w:eastAsia="ja-JP"/>
        </w:rPr>
        <w:footnoteReference w:id="397"/>
      </w:r>
      <w:r w:rsidR="00FF6540" w:rsidRPr="00154F1D">
        <w:rPr>
          <w:i/>
          <w:lang w:eastAsia="ja-JP"/>
        </w:rPr>
        <w:t xml:space="preserve"> </w:t>
      </w:r>
      <w:r w:rsidR="008B042F" w:rsidRPr="00154F1D">
        <w:rPr>
          <w:lang w:eastAsia="ja-JP"/>
        </w:rPr>
        <w:t xml:space="preserve">In these cases, the difficulties </w:t>
      </w:r>
      <w:r w:rsidR="00DC1696">
        <w:rPr>
          <w:lang w:eastAsia="ja-JP"/>
        </w:rPr>
        <w:t>in</w:t>
      </w:r>
      <w:r w:rsidR="008B042F" w:rsidRPr="00154F1D">
        <w:rPr>
          <w:lang w:eastAsia="ja-JP"/>
        </w:rPr>
        <w:t xml:space="preserve"> relying on this limb of the insanity defence were apparent, as it was noted that the medical evidence was not sufficient to establish that the </w:t>
      </w:r>
      <w:r w:rsidR="0041716E">
        <w:rPr>
          <w:lang w:eastAsia="ja-JP"/>
        </w:rPr>
        <w:t>person</w:t>
      </w:r>
      <w:r w:rsidR="0041716E" w:rsidRPr="00154F1D">
        <w:rPr>
          <w:lang w:eastAsia="ja-JP"/>
        </w:rPr>
        <w:t xml:space="preserve"> </w:t>
      </w:r>
      <w:r w:rsidR="008B042F" w:rsidRPr="00154F1D">
        <w:rPr>
          <w:i/>
          <w:lang w:eastAsia="ja-JP"/>
        </w:rPr>
        <w:t>could not</w:t>
      </w:r>
      <w:r w:rsidR="008B042F" w:rsidRPr="00154F1D">
        <w:rPr>
          <w:lang w:eastAsia="ja-JP"/>
        </w:rPr>
        <w:t xml:space="preserve"> resist the impulse (rather than </w:t>
      </w:r>
      <w:r w:rsidR="008B042F" w:rsidRPr="00154F1D">
        <w:rPr>
          <w:i/>
          <w:lang w:eastAsia="ja-JP"/>
        </w:rPr>
        <w:t xml:space="preserve">did not </w:t>
      </w:r>
      <w:r w:rsidR="008B042F" w:rsidRPr="00154F1D">
        <w:rPr>
          <w:lang w:eastAsia="ja-JP"/>
        </w:rPr>
        <w:t xml:space="preserve">resist the impulse). </w:t>
      </w:r>
      <w:r w:rsidR="002A0EED" w:rsidRPr="00154F1D">
        <w:rPr>
          <w:lang w:eastAsia="ja-JP"/>
        </w:rPr>
        <w:t xml:space="preserve">The TLRI has identified one </w:t>
      </w:r>
      <w:r w:rsidR="008B042F" w:rsidRPr="00154F1D">
        <w:rPr>
          <w:lang w:eastAsia="ja-JP"/>
        </w:rPr>
        <w:t xml:space="preserve">further </w:t>
      </w:r>
      <w:r w:rsidR="002A0EED" w:rsidRPr="00154F1D">
        <w:rPr>
          <w:lang w:eastAsia="ja-JP"/>
        </w:rPr>
        <w:t>case where this ground was unsuccessfully relied on in the Supreme Court on the ground that the mental illness ‘greatly diminished’ but did not result in a total loss of power.</w:t>
      </w:r>
      <w:r w:rsidR="002A0EED" w:rsidRPr="00154F1D">
        <w:rPr>
          <w:rStyle w:val="FootnoteReference"/>
          <w:lang w:eastAsia="ja-JP"/>
        </w:rPr>
        <w:footnoteReference w:id="398"/>
      </w:r>
    </w:p>
    <w:p w14:paraId="66C4FEFC" w14:textId="7D9D9777" w:rsidR="00F92AE9" w:rsidRPr="00154F1D" w:rsidRDefault="00B72B03" w:rsidP="00744FAA">
      <w:pPr>
        <w:pStyle w:val="NormalNumberedTextTLRI"/>
        <w:rPr>
          <w:rFonts w:eastAsiaTheme="minorEastAsia"/>
          <w:szCs w:val="22"/>
          <w:lang w:eastAsia="ja-JP"/>
        </w:rPr>
      </w:pPr>
      <w:r w:rsidRPr="00154F1D">
        <w:rPr>
          <w:u w:val="single"/>
        </w:rPr>
        <w:t>Delusions.</w:t>
      </w:r>
      <w:r w:rsidRPr="00154F1D">
        <w:t xml:space="preserve"> Section </w:t>
      </w:r>
      <w:r w:rsidR="004C039D" w:rsidRPr="00154F1D">
        <w:t xml:space="preserve">16(3) </w:t>
      </w:r>
      <w:r w:rsidRPr="00154F1D">
        <w:t xml:space="preserve">of the </w:t>
      </w:r>
      <w:r w:rsidRPr="00154F1D">
        <w:rPr>
          <w:i/>
        </w:rPr>
        <w:t xml:space="preserve">Criminal Code </w:t>
      </w:r>
      <w:r w:rsidRPr="00154F1D">
        <w:t xml:space="preserve">(Tas) substantially reproduces the </w:t>
      </w:r>
      <w:r w:rsidR="0010271D" w:rsidRPr="00154F1D">
        <w:t xml:space="preserve">statement </w:t>
      </w:r>
      <w:r w:rsidRPr="00154F1D">
        <w:t xml:space="preserve">in </w:t>
      </w:r>
      <w:r w:rsidRPr="00154F1D">
        <w:rPr>
          <w:i/>
        </w:rPr>
        <w:t>McNaghten’s</w:t>
      </w:r>
      <w:r w:rsidRPr="00154F1D">
        <w:t xml:space="preserve"> case that a defendant’s responsibility is judged by reference to the facts as he or she suppose</w:t>
      </w:r>
      <w:r w:rsidR="00445AC1" w:rsidRPr="00154F1D">
        <w:t>s</w:t>
      </w:r>
      <w:r w:rsidRPr="00154F1D">
        <w:t xml:space="preserve"> them to be and not by the actual facts.</w:t>
      </w:r>
      <w:r w:rsidRPr="00154F1D">
        <w:rPr>
          <w:rStyle w:val="FootnoteReference"/>
        </w:rPr>
        <w:footnoteReference w:id="399"/>
      </w:r>
      <w:r w:rsidRPr="00154F1D">
        <w:t xml:space="preserve"> </w:t>
      </w:r>
      <w:r w:rsidR="001F4375" w:rsidRPr="00154F1D">
        <w:t>It</w:t>
      </w:r>
      <w:r w:rsidR="006F3647" w:rsidRPr="00154F1D">
        <w:t xml:space="preserve"> specifically refers to the effects of delusions on a defendant’s criminal responsibility. This provision was considered by the Court of Criminal Appeal in </w:t>
      </w:r>
      <w:r w:rsidR="006F3647" w:rsidRPr="00154F1D">
        <w:rPr>
          <w:i/>
        </w:rPr>
        <w:t>Walsh</w:t>
      </w:r>
      <w:r w:rsidR="00F92AE9" w:rsidRPr="00154F1D">
        <w:t>,</w:t>
      </w:r>
      <w:r w:rsidR="00F92AE9" w:rsidRPr="00154F1D">
        <w:rPr>
          <w:rStyle w:val="FootnoteReference"/>
        </w:rPr>
        <w:footnoteReference w:id="400"/>
      </w:r>
      <w:r w:rsidR="00F92AE9" w:rsidRPr="00154F1D">
        <w:t xml:space="preserve"> a case in which </w:t>
      </w:r>
      <w:r w:rsidR="00F92AE9" w:rsidRPr="00154F1D">
        <w:rPr>
          <w:rFonts w:eastAsiaTheme="minorEastAsia"/>
          <w:szCs w:val="22"/>
          <w:lang w:eastAsia="ja-JP"/>
        </w:rPr>
        <w:t>the accused was charged with murder after he shot and killed an acquaintance at close range.</w:t>
      </w:r>
      <w:r w:rsidR="006F3647" w:rsidRPr="00154F1D">
        <w:rPr>
          <w:i/>
        </w:rPr>
        <w:t xml:space="preserve"> </w:t>
      </w:r>
      <w:r w:rsidR="00F92AE9" w:rsidRPr="00154F1D">
        <w:rPr>
          <w:rFonts w:eastAsiaTheme="minorEastAsia"/>
          <w:szCs w:val="22"/>
          <w:lang w:eastAsia="ja-JP"/>
        </w:rPr>
        <w:t>At trial, the defence did not seek to rely on insanity. Instead the accused sought to rely on self-defence on the basis of a hallucinatory belief that at ‘the time of the discharge of the weapon the accused believed that he was in Korea defending himself from an enemy soldier’.</w:t>
      </w:r>
      <w:r w:rsidR="00F92AE9" w:rsidRPr="00154F1D">
        <w:rPr>
          <w:rStyle w:val="FootnoteReference"/>
          <w:rFonts w:eastAsiaTheme="minorEastAsia"/>
          <w:szCs w:val="22"/>
          <w:lang w:eastAsia="ja-JP"/>
        </w:rPr>
        <w:footnoteReference w:id="401"/>
      </w:r>
      <w:r w:rsidR="00F92AE9" w:rsidRPr="00154F1D">
        <w:rPr>
          <w:rFonts w:eastAsiaTheme="minorEastAsia"/>
          <w:sz w:val="12"/>
          <w:szCs w:val="12"/>
          <w:lang w:eastAsia="ja-JP"/>
        </w:rPr>
        <w:t xml:space="preserve"> </w:t>
      </w:r>
      <w:r w:rsidR="00F92AE9" w:rsidRPr="00154F1D">
        <w:rPr>
          <w:rFonts w:eastAsiaTheme="minorEastAsia"/>
          <w:szCs w:val="22"/>
          <w:lang w:eastAsia="ja-JP"/>
        </w:rPr>
        <w:t>The accused had been a soldier in the Korean War where he had been severely wounded by a mortar explosion. Subsequently, he had on-going health problems that required hospital admission and on some occasions shock treatment. The defence sought to adduce the accused’s medical files that ‘showed a history consistent with a longstanding mental disorder caused by war experience.’</w:t>
      </w:r>
      <w:r w:rsidR="00F92AE9" w:rsidRPr="00154F1D">
        <w:rPr>
          <w:rStyle w:val="FootnoteReference"/>
          <w:rFonts w:eastAsiaTheme="minorEastAsia"/>
          <w:szCs w:val="22"/>
          <w:lang w:eastAsia="ja-JP"/>
        </w:rPr>
        <w:footnoteReference w:id="402"/>
      </w:r>
      <w:r w:rsidR="00F92AE9" w:rsidRPr="00154F1D">
        <w:rPr>
          <w:rFonts w:eastAsiaTheme="minorEastAsia"/>
          <w:sz w:val="12"/>
          <w:szCs w:val="12"/>
          <w:lang w:eastAsia="ja-JP"/>
        </w:rPr>
        <w:t xml:space="preserve"> </w:t>
      </w:r>
      <w:r w:rsidR="00F92AE9" w:rsidRPr="00154F1D">
        <w:rPr>
          <w:rFonts w:eastAsiaTheme="minorEastAsia"/>
          <w:szCs w:val="22"/>
          <w:lang w:eastAsia="ja-JP"/>
        </w:rPr>
        <w:t>The defence also sought to lead expert evidence from a psychiatrist that the accused was suffering from post-traumatic stress disorder and, as a manifestation of that disorder, might have believed that he was on active service in Korea.</w:t>
      </w:r>
      <w:r w:rsidR="00F92AE9" w:rsidRPr="00154F1D">
        <w:rPr>
          <w:rStyle w:val="FootnoteReference"/>
          <w:rFonts w:eastAsiaTheme="minorEastAsia"/>
          <w:szCs w:val="22"/>
          <w:lang w:eastAsia="ja-JP"/>
        </w:rPr>
        <w:footnoteReference w:id="403"/>
      </w:r>
    </w:p>
    <w:p w14:paraId="03AF9C4F" w14:textId="16EDF0CC" w:rsidR="00F92AE9" w:rsidRPr="00154F1D" w:rsidRDefault="00F92AE9" w:rsidP="00744FAA">
      <w:pPr>
        <w:pStyle w:val="NormalNumberedTextTLRI"/>
        <w:rPr>
          <w:lang w:eastAsia="ja-JP"/>
        </w:rPr>
      </w:pPr>
      <w:r w:rsidRPr="00154F1D">
        <w:rPr>
          <w:lang w:eastAsia="ja-JP"/>
        </w:rPr>
        <w:t xml:space="preserve">The trial judge, Slicer J, ruled that the accused’s delusions could be relied upon under s 16(3) for the purpose of self-defence in s 46 of the </w:t>
      </w:r>
      <w:r w:rsidRPr="00154F1D">
        <w:rPr>
          <w:i/>
          <w:lang w:eastAsia="ja-JP"/>
        </w:rPr>
        <w:t xml:space="preserve">Criminal Code </w:t>
      </w:r>
      <w:r w:rsidRPr="00154F1D">
        <w:rPr>
          <w:lang w:eastAsia="ja-JP"/>
        </w:rPr>
        <w:t>(Tas). However, his Honour held that self-defence would only be available in this way once the jury rejected the defence of insanity under ss 16(1) and 16(2).</w:t>
      </w:r>
      <w:r w:rsidRPr="00154F1D">
        <w:rPr>
          <w:sz w:val="12"/>
          <w:szCs w:val="12"/>
          <w:lang w:eastAsia="ja-JP"/>
        </w:rPr>
        <w:t xml:space="preserve"> </w:t>
      </w:r>
      <w:r w:rsidRPr="00154F1D">
        <w:rPr>
          <w:lang w:eastAsia="ja-JP"/>
        </w:rPr>
        <w:t xml:space="preserve">This could occur where the jury was not satisfied on the balance of probabilities that the accused’s disorder amounted to a ‘mental disease’ for the purposes of the insanity defence or that the mental disease affected him in one of the ways set out in ss 16(1) and (2). In these circumstances, Slicer J ruled that the jury could consider the accused’s delusion, pursuant to s 16(3), for the purposes of self-defence. </w:t>
      </w:r>
    </w:p>
    <w:p w14:paraId="525FD9A7" w14:textId="77777777" w:rsidR="00F92AE9" w:rsidRPr="00154F1D" w:rsidRDefault="00F92AE9" w:rsidP="00744FAA">
      <w:pPr>
        <w:pStyle w:val="NormalNumberedTextTLRI"/>
        <w:rPr>
          <w:lang w:eastAsia="ja-JP"/>
        </w:rPr>
      </w:pPr>
      <w:r w:rsidRPr="00154F1D">
        <w:rPr>
          <w:lang w:eastAsia="ja-JP"/>
        </w:rPr>
        <w:t>The jury convicted Walsh of murder. The Court of Criminal Appeal rejected his appeal stating that the trial judge’s direction that the accused’s deluded beliefs could be considered for the purposes of self-defence after the defence of insanity had been properly considered was unduly favourable to the accused. Further, the Court considered that the accused’s action in shooting his acquaintance could not be regarded as a reasonable response, if he was sane. However, the Court accepted the expert evidence in relation to the accused’s mental disease and quashed the accused’s conviction for murder and substituted a verdict of not guilty on the grounds of insanity.</w:t>
      </w:r>
    </w:p>
    <w:p w14:paraId="53A304A4" w14:textId="6D607308" w:rsidR="00F92AE9" w:rsidRPr="00154F1D" w:rsidRDefault="00F92AE9" w:rsidP="00744FAA">
      <w:pPr>
        <w:pStyle w:val="NormalNumberedTextTLRI"/>
        <w:rPr>
          <w:lang w:eastAsia="ja-JP"/>
        </w:rPr>
      </w:pPr>
      <w:r w:rsidRPr="00154F1D">
        <w:rPr>
          <w:lang w:eastAsia="ja-JP"/>
        </w:rPr>
        <w:t xml:space="preserve">The Court of Criminal Appeal’s view was that the </w:t>
      </w:r>
      <w:r w:rsidR="00F513F6" w:rsidRPr="00154F1D">
        <w:rPr>
          <w:lang w:eastAsia="ja-JP"/>
        </w:rPr>
        <w:t xml:space="preserve">accused’s </w:t>
      </w:r>
      <w:r w:rsidRPr="00154F1D">
        <w:rPr>
          <w:lang w:eastAsia="ja-JP"/>
        </w:rPr>
        <w:t>insane delusions were not relevant to self-defence and w</w:t>
      </w:r>
      <w:r w:rsidR="00F513F6" w:rsidRPr="00154F1D">
        <w:rPr>
          <w:lang w:eastAsia="ja-JP"/>
        </w:rPr>
        <w:t>ould</w:t>
      </w:r>
      <w:r w:rsidRPr="00154F1D">
        <w:rPr>
          <w:lang w:eastAsia="ja-JP"/>
        </w:rPr>
        <w:t xml:space="preserve"> only be relevant to the defence of insanity. Only the accused’s sane beliefs could provide a basis for the accused’s subjective belief in the need for self-defence. The Court considered that, if accepted by the jury, the evidence of the accused’s deluded belief brought him within s 16(1)(a)(ii) of the </w:t>
      </w:r>
      <w:r w:rsidRPr="00154F1D">
        <w:rPr>
          <w:i/>
          <w:lang w:eastAsia="ja-JP"/>
        </w:rPr>
        <w:t>Criminal Code</w:t>
      </w:r>
      <w:r w:rsidRPr="00154F1D">
        <w:rPr>
          <w:lang w:eastAsia="ja-JP"/>
        </w:rPr>
        <w:t>, and so that limb of the insanity defence governed the accused’s criminal responsibility. In the words of Crawford J:</w:t>
      </w:r>
    </w:p>
    <w:p w14:paraId="19AD563F" w14:textId="69ABB9C3" w:rsidR="00F92AE9" w:rsidRPr="00154F1D" w:rsidRDefault="00F92AE9" w:rsidP="0074267A">
      <w:pPr>
        <w:pStyle w:val="QuoteTLRI"/>
      </w:pPr>
      <w:r w:rsidRPr="00154F1D">
        <w:t>On the evidence, if the appellant believed that he was being attacked or approached by an enemy soldier or by some assailant from Sydney the cause of that belief was his mental disease, that is to say the post traumatic stress disorder. If he acted in defence of himself under the influence of such a belief he was insane within the second limb of the M’Naghten</w:t>
      </w:r>
      <w:r w:rsidR="00F513F6" w:rsidRPr="00154F1D">
        <w:t xml:space="preserve"> </w:t>
      </w:r>
      <w:r w:rsidRPr="00154F1D">
        <w:t>rules because he was affected with mental disease to such an extent as to render him</w:t>
      </w:r>
      <w:r w:rsidR="00F513F6" w:rsidRPr="00154F1D">
        <w:t xml:space="preserve"> </w:t>
      </w:r>
      <w:r w:rsidRPr="00154F1D">
        <w:t>incapable of knowing that his act was one which he ought not to do (s</w:t>
      </w:r>
      <w:r w:rsidR="00F02E67" w:rsidRPr="00154F1D">
        <w:t xml:space="preserve"> </w:t>
      </w:r>
      <w:r w:rsidRPr="00154F1D">
        <w:t>16(1)(a)(ii)).</w:t>
      </w:r>
      <w:r w:rsidR="00F513F6" w:rsidRPr="00154F1D">
        <w:rPr>
          <w:rStyle w:val="FootnoteReference"/>
          <w:rFonts w:eastAsiaTheme="minorEastAsia"/>
        </w:rPr>
        <w:footnoteReference w:id="404"/>
      </w:r>
    </w:p>
    <w:p w14:paraId="66ACC5C2" w14:textId="57CAC050" w:rsidR="00F92AE9" w:rsidRPr="00154F1D" w:rsidRDefault="00F92AE9" w:rsidP="00F02E67">
      <w:pPr>
        <w:pStyle w:val="NormalNumberedTextTLRI"/>
        <w:numPr>
          <w:ilvl w:val="0"/>
          <w:numId w:val="0"/>
        </w:numPr>
        <w:rPr>
          <w:lang w:eastAsia="ja-JP"/>
        </w:rPr>
      </w:pPr>
      <w:r w:rsidRPr="00154F1D">
        <w:rPr>
          <w:lang w:eastAsia="ja-JP"/>
        </w:rPr>
        <w:t xml:space="preserve">The effect of the Court of Criminal Appeal’s decision in </w:t>
      </w:r>
      <w:r w:rsidRPr="00154F1D">
        <w:rPr>
          <w:i/>
          <w:lang w:eastAsia="ja-JP"/>
        </w:rPr>
        <w:t>Walsh</w:t>
      </w:r>
      <w:r w:rsidRPr="00154F1D">
        <w:rPr>
          <w:lang w:eastAsia="ja-JP"/>
        </w:rPr>
        <w:t xml:space="preserve"> is to restrict the relevance of insane</w:t>
      </w:r>
      <w:r w:rsidR="00F513F6" w:rsidRPr="00154F1D">
        <w:rPr>
          <w:lang w:eastAsia="ja-JP"/>
        </w:rPr>
        <w:t xml:space="preserve"> </w:t>
      </w:r>
      <w:r w:rsidRPr="00154F1D">
        <w:rPr>
          <w:lang w:eastAsia="ja-JP"/>
        </w:rPr>
        <w:t>delusions to the defence of insanity. Accordingly, if the jury reject the defence of insanity, they must</w:t>
      </w:r>
      <w:r w:rsidR="00F513F6" w:rsidRPr="00154F1D">
        <w:rPr>
          <w:lang w:eastAsia="ja-JP"/>
        </w:rPr>
        <w:t xml:space="preserve"> </w:t>
      </w:r>
      <w:r w:rsidRPr="00154F1D">
        <w:rPr>
          <w:lang w:eastAsia="ja-JP"/>
        </w:rPr>
        <w:t>judge the reasonableness of the accused’s conduct on the basis that he is sane.</w:t>
      </w:r>
      <w:r w:rsidR="00F513F6" w:rsidRPr="00154F1D">
        <w:rPr>
          <w:rStyle w:val="FootnoteReference"/>
          <w:rFonts w:eastAsiaTheme="minorEastAsia"/>
          <w:szCs w:val="22"/>
          <w:lang w:eastAsia="ja-JP"/>
        </w:rPr>
        <w:footnoteReference w:id="405"/>
      </w:r>
      <w:r w:rsidR="00F02E67" w:rsidRPr="00154F1D">
        <w:t xml:space="preserve"> </w:t>
      </w:r>
      <w:r w:rsidRPr="00154F1D">
        <w:rPr>
          <w:lang w:eastAsia="ja-JP"/>
        </w:rPr>
        <w:t>Section 16(3) cannot</w:t>
      </w:r>
      <w:r w:rsidR="00F513F6" w:rsidRPr="00154F1D">
        <w:rPr>
          <w:lang w:eastAsia="ja-JP"/>
        </w:rPr>
        <w:t xml:space="preserve"> </w:t>
      </w:r>
      <w:r w:rsidRPr="00154F1D">
        <w:rPr>
          <w:lang w:eastAsia="ja-JP"/>
        </w:rPr>
        <w:t>be applied to extend the relevance of an insane delusion to the defence of self-defence.</w:t>
      </w:r>
      <w:r w:rsidR="001F4375" w:rsidRPr="00154F1D">
        <w:rPr>
          <w:lang w:eastAsia="ja-JP"/>
        </w:rPr>
        <w:t xml:space="preserve"> However, as discussed at </w:t>
      </w:r>
      <w:r w:rsidR="00E3337A" w:rsidRPr="00154F1D">
        <w:rPr>
          <w:lang w:eastAsia="ja-JP"/>
        </w:rPr>
        <w:t>[7.5.48]–[7.5.65]</w:t>
      </w:r>
      <w:r w:rsidR="001F4375" w:rsidRPr="00154F1D">
        <w:rPr>
          <w:lang w:eastAsia="ja-JP"/>
        </w:rPr>
        <w:t>, there remains some uncertainty in relation to the scope of s 16(3).</w:t>
      </w:r>
    </w:p>
    <w:p w14:paraId="344E1055" w14:textId="770412F2" w:rsidR="002A0EED" w:rsidRPr="00154F1D" w:rsidRDefault="002A0EED" w:rsidP="00744FAA">
      <w:pPr>
        <w:pStyle w:val="NormalNumberedTextTLRI"/>
        <w:rPr>
          <w:lang w:eastAsia="ja-JP"/>
        </w:rPr>
      </w:pPr>
      <w:r w:rsidRPr="00154F1D">
        <w:rPr>
          <w:lang w:eastAsia="ja-JP"/>
        </w:rPr>
        <w:t xml:space="preserve">The TLRI has not identified any other Tasmanian cases that have relied on s 16(3) of the </w:t>
      </w:r>
      <w:r w:rsidRPr="00154F1D">
        <w:rPr>
          <w:i/>
          <w:lang w:eastAsia="ja-JP"/>
        </w:rPr>
        <w:t xml:space="preserve">Criminal Code </w:t>
      </w:r>
      <w:r w:rsidRPr="00154F1D">
        <w:rPr>
          <w:lang w:eastAsia="ja-JP"/>
        </w:rPr>
        <w:t>(Tas).</w:t>
      </w:r>
    </w:p>
    <w:p w14:paraId="0F4816C7" w14:textId="6F032672" w:rsidR="00B72B03" w:rsidRPr="00154F1D" w:rsidRDefault="00B72B03" w:rsidP="00B72B03">
      <w:pPr>
        <w:pStyle w:val="Sub-HeadingTLRI"/>
      </w:pPr>
      <w:bookmarkStart w:id="144" w:name="_Toc535868960"/>
      <w:r w:rsidRPr="00154F1D">
        <w:t>Procedural matters</w:t>
      </w:r>
      <w:bookmarkEnd w:id="144"/>
    </w:p>
    <w:p w14:paraId="66E6D920" w14:textId="4BD92B12" w:rsidR="00F15C85" w:rsidRPr="00154F1D" w:rsidRDefault="00F15C85" w:rsidP="00F15C85">
      <w:pPr>
        <w:pStyle w:val="furhtersub-heading2"/>
      </w:pPr>
      <w:r w:rsidRPr="00154F1D">
        <w:t>Onus of proof</w:t>
      </w:r>
    </w:p>
    <w:p w14:paraId="695DC99D" w14:textId="42BECD72" w:rsidR="00AB6094" w:rsidRPr="00154F1D" w:rsidRDefault="00F142EC" w:rsidP="00744FAA">
      <w:pPr>
        <w:pStyle w:val="NormalNumberedTextTLRI"/>
      </w:pPr>
      <w:r w:rsidRPr="00154F1D">
        <w:t xml:space="preserve">As indicated at </w:t>
      </w:r>
      <w:r w:rsidR="00E3337A" w:rsidRPr="00154F1D">
        <w:t>[7.3.1]</w:t>
      </w:r>
      <w:r w:rsidRPr="00154F1D">
        <w:t xml:space="preserve">, s 15 of the </w:t>
      </w:r>
      <w:r w:rsidRPr="00154F1D">
        <w:rPr>
          <w:i/>
        </w:rPr>
        <w:t>Cri</w:t>
      </w:r>
      <w:r w:rsidR="00AB6094" w:rsidRPr="00154F1D">
        <w:rPr>
          <w:i/>
        </w:rPr>
        <w:t xml:space="preserve">minal Code </w:t>
      </w:r>
      <w:r w:rsidR="00AB6094" w:rsidRPr="00154F1D">
        <w:t xml:space="preserve">(Tas) contains a presumption of sanity. Thus, the onus is on the defendant to prove that he or she was insane within s 16 on the balance of probabilities. This is reinforced by s 381(3) of the </w:t>
      </w:r>
      <w:r w:rsidR="00AB6094" w:rsidRPr="00154F1D">
        <w:rPr>
          <w:i/>
        </w:rPr>
        <w:t xml:space="preserve">Criminal Code </w:t>
      </w:r>
      <w:r w:rsidR="00AB6094" w:rsidRPr="00154F1D">
        <w:t>(Tas), which provides that ‘</w:t>
      </w:r>
      <w:r w:rsidR="00AB6094" w:rsidRPr="00154F1D">
        <w:rPr>
          <w:lang w:eastAsia="ja-JP"/>
        </w:rPr>
        <w:t>the onus of proving the insanity of any such person shall be upon the defence, but the same may be established upon the evidence of the prosecution’.</w:t>
      </w:r>
    </w:p>
    <w:p w14:paraId="1B287A86" w14:textId="07658DD8" w:rsidR="00A01F01" w:rsidRPr="00154F1D" w:rsidRDefault="00A01F01" w:rsidP="00744FAA">
      <w:pPr>
        <w:pStyle w:val="NormalNumberedTextTLRI"/>
        <w:rPr>
          <w:lang w:eastAsia="ja-JP"/>
        </w:rPr>
      </w:pPr>
      <w:r w:rsidRPr="00154F1D">
        <w:rPr>
          <w:lang w:eastAsia="ja-JP"/>
        </w:rPr>
        <w:t xml:space="preserve">The language used in ss 381(3), 399 and 401 of the </w:t>
      </w:r>
      <w:r w:rsidRPr="00154F1D">
        <w:rPr>
          <w:i/>
          <w:lang w:eastAsia="ja-JP"/>
        </w:rPr>
        <w:t xml:space="preserve">Criminal Code </w:t>
      </w:r>
      <w:r w:rsidRPr="00154F1D">
        <w:rPr>
          <w:lang w:eastAsia="ja-JP"/>
        </w:rPr>
        <w:t xml:space="preserve">(Tas) assume that insanity can be raised by </w:t>
      </w:r>
      <w:r w:rsidR="00D94122" w:rsidRPr="00154F1D">
        <w:rPr>
          <w:lang w:eastAsia="ja-JP"/>
        </w:rPr>
        <w:t xml:space="preserve">someone </w:t>
      </w:r>
      <w:r w:rsidRPr="00154F1D">
        <w:rPr>
          <w:lang w:eastAsia="ja-JP"/>
        </w:rPr>
        <w:t>other than the defence.</w:t>
      </w:r>
      <w:r w:rsidRPr="00154F1D">
        <w:rPr>
          <w:rStyle w:val="FootnoteReference"/>
          <w:lang w:eastAsia="ja-JP"/>
        </w:rPr>
        <w:footnoteReference w:id="406"/>
      </w:r>
      <w:r w:rsidRPr="00154F1D">
        <w:rPr>
          <w:lang w:eastAsia="ja-JP"/>
        </w:rPr>
        <w:t xml:space="preserve"> Section 381(3) provides </w:t>
      </w:r>
      <w:r w:rsidR="00D94122" w:rsidRPr="00154F1D">
        <w:rPr>
          <w:lang w:eastAsia="ja-JP"/>
        </w:rPr>
        <w:t xml:space="preserve">that </w:t>
      </w:r>
      <w:r w:rsidRPr="00154F1D">
        <w:rPr>
          <w:lang w:eastAsia="ja-JP"/>
        </w:rPr>
        <w:t xml:space="preserve">‘the onus of proving the insanity of any such person shall be upon the defence, but the same may be established upon the evidence of the prosecution’. Section 401 of the </w:t>
      </w:r>
      <w:r w:rsidRPr="00154F1D">
        <w:rPr>
          <w:i/>
          <w:lang w:eastAsia="ja-JP"/>
        </w:rPr>
        <w:t>Code</w:t>
      </w:r>
      <w:r w:rsidRPr="00154F1D">
        <w:rPr>
          <w:lang w:eastAsia="ja-JP"/>
        </w:rPr>
        <w:t xml:space="preserve"> provides </w:t>
      </w:r>
      <w:r w:rsidR="00554A1A" w:rsidRPr="00154F1D">
        <w:rPr>
          <w:lang w:eastAsia="ja-JP"/>
        </w:rPr>
        <w:t xml:space="preserve">that </w:t>
      </w:r>
      <w:r w:rsidRPr="00154F1D">
        <w:rPr>
          <w:lang w:eastAsia="ja-JP"/>
        </w:rPr>
        <w:t>a person convicted may appeal. ‘Person convicted’ includes, according to s 399</w:t>
      </w:r>
      <w:r w:rsidR="007D0FDF" w:rsidRPr="00154F1D">
        <w:rPr>
          <w:lang w:eastAsia="ja-JP"/>
        </w:rPr>
        <w:t>,</w:t>
      </w:r>
      <w:r w:rsidRPr="00154F1D">
        <w:rPr>
          <w:lang w:eastAsia="ja-JP"/>
        </w:rPr>
        <w:t xml:space="preserve"> ‘an accused person who, not having set up insanity as a defence, has been acquitted on the ground of insanity.’ </w:t>
      </w:r>
      <w:r w:rsidR="00FE736B" w:rsidRPr="00154F1D">
        <w:rPr>
          <w:lang w:eastAsia="ja-JP"/>
        </w:rPr>
        <w:t xml:space="preserve">Case authority establishes </w:t>
      </w:r>
      <w:r w:rsidR="00D94122" w:rsidRPr="00154F1D">
        <w:rPr>
          <w:lang w:eastAsia="ja-JP"/>
        </w:rPr>
        <w:t xml:space="preserve">that </w:t>
      </w:r>
      <w:r w:rsidR="00FE736B" w:rsidRPr="00154F1D">
        <w:rPr>
          <w:lang w:eastAsia="ja-JP"/>
        </w:rPr>
        <w:t>the prosecution can allege and call evidence to prove insanity if the defendant puts his or her state of mind in issue by alleging non-insane automatism or the absence of intent.</w:t>
      </w:r>
      <w:r w:rsidR="00FE736B" w:rsidRPr="00154F1D">
        <w:rPr>
          <w:rStyle w:val="FootnoteReference"/>
          <w:lang w:eastAsia="ja-JP"/>
        </w:rPr>
        <w:footnoteReference w:id="407"/>
      </w:r>
      <w:r w:rsidR="007D0FDF" w:rsidRPr="00154F1D">
        <w:rPr>
          <w:lang w:eastAsia="ja-JP"/>
        </w:rPr>
        <w:t xml:space="preserve"> </w:t>
      </w:r>
      <w:r w:rsidR="00FE736B" w:rsidRPr="00154F1D">
        <w:rPr>
          <w:lang w:eastAsia="ja-JP"/>
        </w:rPr>
        <w:t>However, the prosecution cannot introduce evidence probative of insanity until the matter is put in issue by the defence.</w:t>
      </w:r>
      <w:r w:rsidR="00FE736B" w:rsidRPr="00154F1D">
        <w:rPr>
          <w:rStyle w:val="FootnoteReference"/>
          <w:lang w:eastAsia="ja-JP"/>
        </w:rPr>
        <w:footnoteReference w:id="408"/>
      </w:r>
    </w:p>
    <w:p w14:paraId="35ED785C" w14:textId="6E1C6C76" w:rsidR="00F15C85" w:rsidRPr="00154F1D" w:rsidRDefault="00F15C85" w:rsidP="00C20379">
      <w:pPr>
        <w:pStyle w:val="furhtersub-heading2"/>
        <w:keepNext/>
      </w:pPr>
      <w:r w:rsidRPr="00154F1D">
        <w:t>Role of judge and jury</w:t>
      </w:r>
    </w:p>
    <w:p w14:paraId="10972FB7" w14:textId="689FE5F0" w:rsidR="003E18F0" w:rsidRPr="00154F1D" w:rsidRDefault="002E482B" w:rsidP="00744FAA">
      <w:pPr>
        <w:pStyle w:val="NormalNumberedTextTLRI"/>
      </w:pPr>
      <w:r w:rsidRPr="00154F1D">
        <w:t>As indicated, the definition of mental illness is a matter of law</w:t>
      </w:r>
      <w:r w:rsidR="007D0FDF" w:rsidRPr="00154F1D">
        <w:t>,</w:t>
      </w:r>
      <w:r w:rsidRPr="00154F1D">
        <w:t xml:space="preserve"> but </w:t>
      </w:r>
      <w:r w:rsidR="007D0FDF" w:rsidRPr="00154F1D">
        <w:t xml:space="preserve">whether </w:t>
      </w:r>
      <w:r w:rsidRPr="00154F1D">
        <w:t xml:space="preserve">the defendant suffered from a </w:t>
      </w:r>
      <w:r w:rsidR="003E18F0" w:rsidRPr="00154F1D">
        <w:t>mental</w:t>
      </w:r>
      <w:r w:rsidRPr="00154F1D">
        <w:t xml:space="preserve"> disease is a question of fact</w:t>
      </w:r>
      <w:r w:rsidR="003E18F0" w:rsidRPr="00154F1D">
        <w:t xml:space="preserve">. This was set out in </w:t>
      </w:r>
      <w:r w:rsidR="003E18F0" w:rsidRPr="00154F1D">
        <w:rPr>
          <w:i/>
        </w:rPr>
        <w:t>Jeffrey v R</w:t>
      </w:r>
      <w:r w:rsidR="003E18F0" w:rsidRPr="00154F1D">
        <w:t>,</w:t>
      </w:r>
      <w:r w:rsidR="003E18F0" w:rsidRPr="00154F1D">
        <w:rPr>
          <w:rStyle w:val="FootnoteReference"/>
        </w:rPr>
        <w:footnoteReference w:id="409"/>
      </w:r>
      <w:r w:rsidR="003E18F0" w:rsidRPr="00154F1D">
        <w:t xml:space="preserve"> where Green CJ stated that:</w:t>
      </w:r>
    </w:p>
    <w:p w14:paraId="25F32E14" w14:textId="18365598" w:rsidR="003E18F0" w:rsidRPr="00154F1D" w:rsidRDefault="003E18F0" w:rsidP="0074267A">
      <w:pPr>
        <w:pStyle w:val="QuoteTLRI"/>
      </w:pPr>
      <w:r w:rsidRPr="00154F1D">
        <w:t>the jury have the sole responsibility for making all necessary findings of fact and for determining the verdict. The functions of the judge and jury are no different in cases in which a defence of insanity has been raised. In such cases it is for the judge to inter alia direct the jury as to the meaning of the expression ‘mental disease’ in s 16 but it is for the jury to decide whether the evidence satisfies them that the accused was at the relevant time suffering from a mental disease.</w:t>
      </w:r>
      <w:r w:rsidRPr="00154F1D">
        <w:rPr>
          <w:rStyle w:val="FootnoteReference"/>
        </w:rPr>
        <w:footnoteReference w:id="410"/>
      </w:r>
    </w:p>
    <w:p w14:paraId="2DD56F3A" w14:textId="2AA0F011" w:rsidR="00AB6094" w:rsidRPr="00154F1D" w:rsidRDefault="003E18F0" w:rsidP="00786272">
      <w:pPr>
        <w:pStyle w:val="NormalNumberedTextTLRI"/>
        <w:numPr>
          <w:ilvl w:val="0"/>
          <w:numId w:val="0"/>
        </w:numPr>
      </w:pPr>
      <w:r w:rsidRPr="00154F1D">
        <w:t>Accordingly, i</w:t>
      </w:r>
      <w:r w:rsidR="00AB6094" w:rsidRPr="00154F1D">
        <w:t>t is a matter for the j</w:t>
      </w:r>
      <w:r w:rsidR="00B72B03" w:rsidRPr="00154F1D">
        <w:t xml:space="preserve">ury </w:t>
      </w:r>
      <w:r w:rsidR="00AB6094" w:rsidRPr="00154F1D">
        <w:t>whether the defendant was affected by a mental disease, and</w:t>
      </w:r>
      <w:r w:rsidRPr="00154F1D">
        <w:t xml:space="preserve"> also</w:t>
      </w:r>
      <w:r w:rsidR="00AB6094" w:rsidRPr="00154F1D">
        <w:t xml:space="preserve"> whether th</w:t>
      </w:r>
      <w:r w:rsidRPr="00154F1D">
        <w:t>e mental disease</w:t>
      </w:r>
      <w:r w:rsidR="00AB6094" w:rsidRPr="00154F1D">
        <w:t xml:space="preserve"> deprived the defendant of one of capacities in s 16</w:t>
      </w:r>
      <w:r w:rsidR="001F4375" w:rsidRPr="00154F1D">
        <w:t xml:space="preserve"> of the </w:t>
      </w:r>
      <w:r w:rsidR="001F4375" w:rsidRPr="00154F1D">
        <w:rPr>
          <w:i/>
        </w:rPr>
        <w:t xml:space="preserve">Criminal Code </w:t>
      </w:r>
      <w:r w:rsidR="001F4375" w:rsidRPr="00154F1D">
        <w:t>(Tas)</w:t>
      </w:r>
      <w:r w:rsidR="00AB6094" w:rsidRPr="00154F1D">
        <w:t xml:space="preserve">. There is no provision for the prosecution and the defence to agree </w:t>
      </w:r>
      <w:r w:rsidRPr="00154F1D">
        <w:t>on</w:t>
      </w:r>
      <w:r w:rsidR="00AB6094" w:rsidRPr="00154F1D">
        <w:t xml:space="preserve"> a verdict of not guilty by reason of insanity.</w:t>
      </w:r>
    </w:p>
    <w:p w14:paraId="0267EE20" w14:textId="7018DF7B" w:rsidR="001D795B" w:rsidRPr="00154F1D" w:rsidRDefault="004A1D2A" w:rsidP="00D80045">
      <w:pPr>
        <w:pStyle w:val="NumberedHeadingTLRI"/>
      </w:pPr>
      <w:bookmarkStart w:id="145" w:name="_Toc535868961"/>
      <w:r w:rsidRPr="00154F1D">
        <w:t>Law in other jurisdictions</w:t>
      </w:r>
      <w:bookmarkEnd w:id="145"/>
    </w:p>
    <w:p w14:paraId="0542629B" w14:textId="36B7B480" w:rsidR="00AB6094" w:rsidRPr="00154F1D" w:rsidRDefault="00AB6094" w:rsidP="00744FAA">
      <w:pPr>
        <w:pStyle w:val="NormalNumberedTextTLRI"/>
      </w:pPr>
      <w:r w:rsidRPr="00154F1D">
        <w:t>Al</w:t>
      </w:r>
      <w:r w:rsidR="00793814" w:rsidRPr="00154F1D">
        <w:t>though not identical, al</w:t>
      </w:r>
      <w:r w:rsidRPr="00154F1D">
        <w:t>l Australian jurisdictions have comparable laws in relation to insanity</w:t>
      </w:r>
      <w:r w:rsidR="00DB114F" w:rsidRPr="00154F1D">
        <w:t xml:space="preserve"> based on the </w:t>
      </w:r>
      <w:r w:rsidR="00DB114F" w:rsidRPr="00154F1D">
        <w:rPr>
          <w:i/>
        </w:rPr>
        <w:t xml:space="preserve">McNaghten </w:t>
      </w:r>
      <w:r w:rsidR="00DB114F" w:rsidRPr="00154F1D">
        <w:t>rules</w:t>
      </w:r>
      <w:r w:rsidRPr="00154F1D">
        <w:t xml:space="preserve">. </w:t>
      </w:r>
      <w:r w:rsidR="0038527C" w:rsidRPr="00154F1D">
        <w:t xml:space="preserve">A summary of the </w:t>
      </w:r>
      <w:r w:rsidR="00DB114F" w:rsidRPr="00154F1D">
        <w:t>defence of insanity (Western Australia</w:t>
      </w:r>
      <w:r w:rsidR="00793814" w:rsidRPr="00154F1D">
        <w:t xml:space="preserve"> and Queensland), mental illness (New South Wales), mental impairment (Victoria, the Northern Territory, the Australian Capital Territory, and in </w:t>
      </w:r>
      <w:r w:rsidR="00C84388">
        <w:t>C</w:t>
      </w:r>
      <w:r w:rsidR="00793814" w:rsidRPr="00154F1D">
        <w:t>ommonwealth legislation) and mental incompetence (South Australia</w:t>
      </w:r>
      <w:r w:rsidR="001F4375" w:rsidRPr="00154F1D">
        <w:t>)</w:t>
      </w:r>
      <w:r w:rsidR="00793814" w:rsidRPr="00154F1D">
        <w:t xml:space="preserve"> are set out in Table 7.</w:t>
      </w:r>
      <w:r w:rsidR="00D03074" w:rsidRPr="00154F1D">
        <w:t>1</w:t>
      </w:r>
      <w:r w:rsidR="00793814" w:rsidRPr="00154F1D">
        <w:t>.</w:t>
      </w:r>
      <w:r w:rsidR="000C34C2" w:rsidRPr="00154F1D">
        <w:t xml:space="preserve"> </w:t>
      </w:r>
    </w:p>
    <w:p w14:paraId="7FD0CF89" w14:textId="77777777" w:rsidR="00793814" w:rsidRPr="00154F1D" w:rsidRDefault="00793814" w:rsidP="00744FAA">
      <w:pPr>
        <w:pStyle w:val="NormalNumberedTextTLRI"/>
        <w:numPr>
          <w:ilvl w:val="0"/>
          <w:numId w:val="0"/>
        </w:numPr>
      </w:pPr>
    </w:p>
    <w:p w14:paraId="35E4A23B" w14:textId="77777777" w:rsidR="00793814" w:rsidRPr="00154F1D" w:rsidRDefault="00793814" w:rsidP="00D80045">
      <w:pPr>
        <w:pStyle w:val="NumberedHeadingTLRI"/>
        <w:sectPr w:rsidR="00793814" w:rsidRPr="00154F1D" w:rsidSect="00D44CC5">
          <w:headerReference w:type="default" r:id="rId37"/>
          <w:pgSz w:w="11900" w:h="16840"/>
          <w:pgMar w:top="1440" w:right="1797" w:bottom="1440" w:left="1797" w:header="709" w:footer="709" w:gutter="0"/>
          <w:cols w:space="708"/>
          <w:titlePg/>
          <w:docGrid w:linePitch="360"/>
        </w:sectPr>
      </w:pPr>
    </w:p>
    <w:p w14:paraId="26FEBF4E" w14:textId="596403C5" w:rsidR="00793814" w:rsidRPr="00154F1D" w:rsidRDefault="00793814" w:rsidP="0058169E">
      <w:pPr>
        <w:spacing w:after="60"/>
        <w:rPr>
          <w:b/>
          <w:sz w:val="20"/>
          <w:szCs w:val="20"/>
        </w:rPr>
      </w:pPr>
      <w:r w:rsidRPr="00154F1D">
        <w:rPr>
          <w:b/>
          <w:sz w:val="20"/>
          <w:szCs w:val="20"/>
        </w:rPr>
        <w:t>Table 7.</w:t>
      </w:r>
      <w:r w:rsidR="00D03074" w:rsidRPr="00154F1D">
        <w:rPr>
          <w:b/>
          <w:sz w:val="20"/>
          <w:szCs w:val="20"/>
        </w:rPr>
        <w:t>1</w:t>
      </w:r>
      <w:r w:rsidRPr="00154F1D">
        <w:rPr>
          <w:b/>
          <w:sz w:val="20"/>
          <w:szCs w:val="20"/>
        </w:rPr>
        <w:t xml:space="preserve"> Elements of the defence of mental impairment in </w:t>
      </w:r>
      <w:r w:rsidR="00FD5AE4" w:rsidRPr="00154F1D">
        <w:rPr>
          <w:b/>
          <w:sz w:val="20"/>
          <w:szCs w:val="20"/>
        </w:rPr>
        <w:t>Australian</w:t>
      </w:r>
      <w:r w:rsidRPr="00154F1D">
        <w:rPr>
          <w:b/>
          <w:sz w:val="20"/>
          <w:szCs w:val="20"/>
        </w:rPr>
        <w:t xml:space="preserve"> jurisdictions</w:t>
      </w:r>
      <w:r w:rsidR="00B26DBD" w:rsidRPr="00154F1D">
        <w:rPr>
          <w:b/>
          <w:sz w:val="20"/>
          <w:szCs w:val="20"/>
        </w:rPr>
        <w:t xml:space="preserve"> </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firstRow="1" w:lastRow="0" w:firstColumn="1" w:lastColumn="0" w:noHBand="0" w:noVBand="1"/>
      </w:tblPr>
      <w:tblGrid>
        <w:gridCol w:w="1699"/>
        <w:gridCol w:w="1133"/>
        <w:gridCol w:w="3405"/>
        <w:gridCol w:w="1845"/>
        <w:gridCol w:w="1817"/>
        <w:gridCol w:w="2068"/>
        <w:gridCol w:w="1987"/>
      </w:tblGrid>
      <w:tr w:rsidR="00793814" w:rsidRPr="00154F1D" w14:paraId="592B729F" w14:textId="77777777" w:rsidTr="00B91449">
        <w:trPr>
          <w:tblHeader/>
        </w:trPr>
        <w:tc>
          <w:tcPr>
            <w:tcW w:w="609" w:type="pct"/>
          </w:tcPr>
          <w:p w14:paraId="15FDCA90" w14:textId="77777777" w:rsidR="00793814" w:rsidRPr="00154F1D" w:rsidRDefault="00793814" w:rsidP="00947EB4">
            <w:pPr>
              <w:rPr>
                <w:b/>
                <w:sz w:val="20"/>
                <w:szCs w:val="20"/>
              </w:rPr>
            </w:pPr>
            <w:r w:rsidRPr="00154F1D">
              <w:rPr>
                <w:b/>
                <w:sz w:val="20"/>
                <w:szCs w:val="20"/>
              </w:rPr>
              <w:t>Jurisdiction and relevant law</w:t>
            </w:r>
          </w:p>
        </w:tc>
        <w:tc>
          <w:tcPr>
            <w:tcW w:w="406" w:type="pct"/>
          </w:tcPr>
          <w:p w14:paraId="4450A4C5" w14:textId="77777777" w:rsidR="00793814" w:rsidRPr="00154F1D" w:rsidRDefault="00793814" w:rsidP="00947EB4">
            <w:pPr>
              <w:rPr>
                <w:b/>
                <w:sz w:val="20"/>
                <w:szCs w:val="20"/>
              </w:rPr>
            </w:pPr>
            <w:r w:rsidRPr="00154F1D">
              <w:rPr>
                <w:b/>
                <w:sz w:val="20"/>
                <w:szCs w:val="20"/>
              </w:rPr>
              <w:t>Name of defence</w:t>
            </w:r>
          </w:p>
        </w:tc>
        <w:tc>
          <w:tcPr>
            <w:tcW w:w="1220" w:type="pct"/>
          </w:tcPr>
          <w:p w14:paraId="64CDE4B8" w14:textId="77777777" w:rsidR="00793814" w:rsidRPr="00154F1D" w:rsidRDefault="00793814" w:rsidP="00947EB4">
            <w:pPr>
              <w:rPr>
                <w:b/>
                <w:sz w:val="20"/>
                <w:szCs w:val="20"/>
              </w:rPr>
            </w:pPr>
            <w:r w:rsidRPr="00154F1D">
              <w:rPr>
                <w:b/>
                <w:sz w:val="20"/>
                <w:szCs w:val="20"/>
              </w:rPr>
              <w:t>Components of mental state</w:t>
            </w:r>
          </w:p>
        </w:tc>
        <w:tc>
          <w:tcPr>
            <w:tcW w:w="661" w:type="pct"/>
          </w:tcPr>
          <w:p w14:paraId="49CC47CD" w14:textId="77777777" w:rsidR="00793814" w:rsidRPr="00154F1D" w:rsidRDefault="00793814" w:rsidP="00947EB4">
            <w:pPr>
              <w:rPr>
                <w:b/>
                <w:sz w:val="20"/>
                <w:szCs w:val="20"/>
              </w:rPr>
            </w:pPr>
            <w:r w:rsidRPr="00154F1D">
              <w:rPr>
                <w:b/>
                <w:sz w:val="20"/>
                <w:szCs w:val="20"/>
              </w:rPr>
              <w:t>Nature and quality of conduct</w:t>
            </w:r>
          </w:p>
        </w:tc>
        <w:tc>
          <w:tcPr>
            <w:tcW w:w="651" w:type="pct"/>
          </w:tcPr>
          <w:p w14:paraId="3CEB5EF6" w14:textId="77777777" w:rsidR="00793814" w:rsidRPr="00154F1D" w:rsidRDefault="00793814" w:rsidP="00947EB4">
            <w:pPr>
              <w:rPr>
                <w:b/>
                <w:sz w:val="20"/>
                <w:szCs w:val="20"/>
              </w:rPr>
            </w:pPr>
            <w:r w:rsidRPr="00154F1D">
              <w:rPr>
                <w:b/>
                <w:sz w:val="20"/>
                <w:szCs w:val="20"/>
              </w:rPr>
              <w:t>Knowledge that conduct is wrong</w:t>
            </w:r>
          </w:p>
        </w:tc>
        <w:tc>
          <w:tcPr>
            <w:tcW w:w="741" w:type="pct"/>
          </w:tcPr>
          <w:p w14:paraId="2CA6D4E4" w14:textId="77777777" w:rsidR="00793814" w:rsidRPr="00154F1D" w:rsidRDefault="00793814" w:rsidP="00947EB4">
            <w:pPr>
              <w:rPr>
                <w:b/>
                <w:sz w:val="20"/>
                <w:szCs w:val="20"/>
              </w:rPr>
            </w:pPr>
            <w:r w:rsidRPr="00154F1D">
              <w:rPr>
                <w:b/>
                <w:sz w:val="20"/>
                <w:szCs w:val="20"/>
              </w:rPr>
              <w:t>Inability to control conduct</w:t>
            </w:r>
          </w:p>
        </w:tc>
        <w:tc>
          <w:tcPr>
            <w:tcW w:w="712" w:type="pct"/>
          </w:tcPr>
          <w:p w14:paraId="1741FA49" w14:textId="77777777" w:rsidR="00793814" w:rsidRPr="00154F1D" w:rsidRDefault="00793814" w:rsidP="00947EB4">
            <w:pPr>
              <w:rPr>
                <w:b/>
                <w:sz w:val="20"/>
                <w:szCs w:val="20"/>
              </w:rPr>
            </w:pPr>
            <w:r w:rsidRPr="00154F1D">
              <w:rPr>
                <w:b/>
                <w:sz w:val="20"/>
                <w:szCs w:val="20"/>
              </w:rPr>
              <w:t>Delusions</w:t>
            </w:r>
          </w:p>
        </w:tc>
      </w:tr>
      <w:tr w:rsidR="00793814" w:rsidRPr="00154F1D" w14:paraId="363B098E" w14:textId="77777777" w:rsidTr="00B91449">
        <w:tc>
          <w:tcPr>
            <w:tcW w:w="609" w:type="pct"/>
          </w:tcPr>
          <w:p w14:paraId="72D92F20" w14:textId="141650D8" w:rsidR="00793814" w:rsidRPr="00154F1D" w:rsidRDefault="00793814" w:rsidP="00947EB4">
            <w:pPr>
              <w:rPr>
                <w:b/>
                <w:sz w:val="20"/>
                <w:szCs w:val="20"/>
              </w:rPr>
            </w:pPr>
            <w:r w:rsidRPr="00154F1D">
              <w:rPr>
                <w:b/>
                <w:sz w:val="20"/>
                <w:szCs w:val="20"/>
              </w:rPr>
              <w:t>C</w:t>
            </w:r>
            <w:r w:rsidR="0058169E" w:rsidRPr="00154F1D">
              <w:rPr>
                <w:b/>
                <w:sz w:val="20"/>
                <w:szCs w:val="20"/>
              </w:rPr>
              <w:t>th</w:t>
            </w:r>
          </w:p>
          <w:p w14:paraId="28F8A875" w14:textId="08E01094" w:rsidR="00793814" w:rsidRPr="00154F1D" w:rsidRDefault="00793814" w:rsidP="00947EB4">
            <w:pPr>
              <w:rPr>
                <w:i/>
                <w:sz w:val="20"/>
                <w:szCs w:val="20"/>
              </w:rPr>
            </w:pPr>
            <w:r w:rsidRPr="00154F1D">
              <w:rPr>
                <w:i/>
                <w:sz w:val="20"/>
                <w:szCs w:val="20"/>
              </w:rPr>
              <w:t>Criminal Code</w:t>
            </w:r>
          </w:p>
        </w:tc>
        <w:tc>
          <w:tcPr>
            <w:tcW w:w="406" w:type="pct"/>
          </w:tcPr>
          <w:p w14:paraId="66636146" w14:textId="77777777" w:rsidR="00793814" w:rsidRPr="00154F1D" w:rsidRDefault="00793814" w:rsidP="00947EB4">
            <w:pPr>
              <w:rPr>
                <w:sz w:val="20"/>
                <w:szCs w:val="20"/>
              </w:rPr>
            </w:pPr>
            <w:r w:rsidRPr="00154F1D">
              <w:rPr>
                <w:sz w:val="20"/>
                <w:szCs w:val="20"/>
              </w:rPr>
              <w:t>Mental Impairment</w:t>
            </w:r>
          </w:p>
          <w:p w14:paraId="0C537142" w14:textId="77777777" w:rsidR="00793814" w:rsidRPr="00154F1D" w:rsidRDefault="00793814" w:rsidP="00947EB4">
            <w:pPr>
              <w:rPr>
                <w:sz w:val="20"/>
                <w:szCs w:val="20"/>
              </w:rPr>
            </w:pPr>
          </w:p>
          <w:p w14:paraId="6D2EEBF0" w14:textId="460DF8F7" w:rsidR="00793814" w:rsidRPr="00154F1D" w:rsidRDefault="00793814" w:rsidP="00947EB4">
            <w:pPr>
              <w:rPr>
                <w:sz w:val="20"/>
                <w:szCs w:val="20"/>
              </w:rPr>
            </w:pPr>
          </w:p>
        </w:tc>
        <w:tc>
          <w:tcPr>
            <w:tcW w:w="1220" w:type="pct"/>
          </w:tcPr>
          <w:p w14:paraId="6F7B3363" w14:textId="09657649" w:rsidR="00793814" w:rsidRPr="00154F1D" w:rsidRDefault="00793814" w:rsidP="00947EB4">
            <w:pPr>
              <w:rPr>
                <w:sz w:val="20"/>
                <w:szCs w:val="20"/>
              </w:rPr>
            </w:pPr>
            <w:r w:rsidRPr="00154F1D">
              <w:rPr>
                <w:sz w:val="20"/>
                <w:szCs w:val="20"/>
              </w:rPr>
              <w:t>Mental impairment includes senility, intellectual disability, mental illness, brain damage and severe personality disorder.</w:t>
            </w:r>
          </w:p>
          <w:p w14:paraId="646F567F" w14:textId="77777777" w:rsidR="00793814" w:rsidRPr="00154F1D" w:rsidRDefault="00793814" w:rsidP="00947EB4">
            <w:pPr>
              <w:rPr>
                <w:sz w:val="20"/>
                <w:szCs w:val="20"/>
              </w:rPr>
            </w:pPr>
            <w:r w:rsidRPr="00154F1D">
              <w:rPr>
                <w:sz w:val="20"/>
                <w:szCs w:val="20"/>
              </w:rPr>
              <w:t>Mental illness is a reference to an underlying pathological infirmity of mind, whether of long or short duration and whether permanent or temporary, but does not include a condition that results from the reaction of a healthy mind to extraordinary external stimuli. However, such a condition may be evidence of a mental illness if it involves some abnormality and is prone to recur.</w:t>
            </w:r>
          </w:p>
        </w:tc>
        <w:tc>
          <w:tcPr>
            <w:tcW w:w="661" w:type="pct"/>
          </w:tcPr>
          <w:p w14:paraId="1E5637F5" w14:textId="77777777" w:rsidR="00793814" w:rsidRPr="00154F1D" w:rsidRDefault="00793814" w:rsidP="00947EB4">
            <w:pPr>
              <w:rPr>
                <w:sz w:val="20"/>
                <w:szCs w:val="20"/>
              </w:rPr>
            </w:pPr>
            <w:r w:rsidRPr="00154F1D">
              <w:rPr>
                <w:sz w:val="20"/>
                <w:szCs w:val="20"/>
              </w:rPr>
              <w:t>Did not know the nature or quality of the conduct.</w:t>
            </w:r>
          </w:p>
          <w:p w14:paraId="56D734CD" w14:textId="211501B6" w:rsidR="00793814" w:rsidRPr="00154F1D" w:rsidRDefault="00793814" w:rsidP="00947EB4">
            <w:pPr>
              <w:rPr>
                <w:sz w:val="20"/>
                <w:szCs w:val="20"/>
              </w:rPr>
            </w:pPr>
          </w:p>
        </w:tc>
        <w:tc>
          <w:tcPr>
            <w:tcW w:w="651" w:type="pct"/>
          </w:tcPr>
          <w:p w14:paraId="12CA1693" w14:textId="610D21F2" w:rsidR="00793814" w:rsidRPr="00154F1D" w:rsidRDefault="00793814" w:rsidP="00947EB4">
            <w:pPr>
              <w:rPr>
                <w:sz w:val="20"/>
                <w:szCs w:val="20"/>
              </w:rPr>
            </w:pPr>
            <w:r w:rsidRPr="00154F1D">
              <w:rPr>
                <w:sz w:val="20"/>
                <w:szCs w:val="20"/>
              </w:rPr>
              <w:t>Did not know that the conduct was wrong (that is, the person could not reason with a moderate degree of sense and composure about whether the conduct, as perceived by reasonable people, was wrong).</w:t>
            </w:r>
          </w:p>
          <w:p w14:paraId="70601572" w14:textId="386FF651" w:rsidR="00793814" w:rsidRPr="00154F1D" w:rsidRDefault="00793814" w:rsidP="00947EB4">
            <w:pPr>
              <w:rPr>
                <w:sz w:val="20"/>
                <w:szCs w:val="20"/>
              </w:rPr>
            </w:pPr>
          </w:p>
        </w:tc>
        <w:tc>
          <w:tcPr>
            <w:tcW w:w="741" w:type="pct"/>
          </w:tcPr>
          <w:p w14:paraId="62B6202C" w14:textId="547E0A06" w:rsidR="00793814" w:rsidRPr="00154F1D" w:rsidRDefault="00793814" w:rsidP="00947EB4">
            <w:pPr>
              <w:rPr>
                <w:sz w:val="20"/>
                <w:szCs w:val="20"/>
              </w:rPr>
            </w:pPr>
            <w:r w:rsidRPr="00154F1D">
              <w:rPr>
                <w:sz w:val="20"/>
                <w:szCs w:val="20"/>
              </w:rPr>
              <w:t>Unable to control conduct.</w:t>
            </w:r>
          </w:p>
        </w:tc>
        <w:tc>
          <w:tcPr>
            <w:tcW w:w="712" w:type="pct"/>
          </w:tcPr>
          <w:p w14:paraId="7FFD2BD2" w14:textId="77777777" w:rsidR="00793814" w:rsidRPr="00154F1D" w:rsidRDefault="00793814" w:rsidP="00947EB4">
            <w:pPr>
              <w:rPr>
                <w:sz w:val="20"/>
                <w:szCs w:val="20"/>
              </w:rPr>
            </w:pPr>
            <w:r w:rsidRPr="00154F1D">
              <w:rPr>
                <w:sz w:val="20"/>
                <w:szCs w:val="20"/>
              </w:rPr>
              <w:t>If carried out conduct as a result of a delusion caused by a mental impairment, the delusion cannot otherwise be relied on as a defence.</w:t>
            </w:r>
          </w:p>
          <w:p w14:paraId="72942697" w14:textId="77777777" w:rsidR="00793814" w:rsidRPr="00154F1D" w:rsidRDefault="00793814" w:rsidP="00947EB4">
            <w:pPr>
              <w:rPr>
                <w:sz w:val="20"/>
                <w:szCs w:val="20"/>
              </w:rPr>
            </w:pPr>
          </w:p>
          <w:p w14:paraId="6C05D14B" w14:textId="5BDCB764" w:rsidR="00793814" w:rsidRPr="00154F1D" w:rsidRDefault="00793814" w:rsidP="00947EB4">
            <w:pPr>
              <w:rPr>
                <w:sz w:val="20"/>
                <w:szCs w:val="20"/>
              </w:rPr>
            </w:pPr>
          </w:p>
        </w:tc>
      </w:tr>
      <w:tr w:rsidR="00793814" w:rsidRPr="00154F1D" w14:paraId="5CC42D3E" w14:textId="77777777" w:rsidTr="00B91449">
        <w:tc>
          <w:tcPr>
            <w:tcW w:w="609" w:type="pct"/>
            <w:tcBorders>
              <w:bottom w:val="single" w:sz="8" w:space="0" w:color="000000"/>
            </w:tcBorders>
          </w:tcPr>
          <w:p w14:paraId="11EA683A" w14:textId="77777777" w:rsidR="00793814" w:rsidRPr="00154F1D" w:rsidRDefault="00793814" w:rsidP="00947EB4">
            <w:pPr>
              <w:rPr>
                <w:sz w:val="20"/>
                <w:szCs w:val="20"/>
              </w:rPr>
            </w:pPr>
          </w:p>
        </w:tc>
        <w:tc>
          <w:tcPr>
            <w:tcW w:w="406" w:type="pct"/>
            <w:tcBorders>
              <w:bottom w:val="single" w:sz="8" w:space="0" w:color="000000"/>
            </w:tcBorders>
          </w:tcPr>
          <w:p w14:paraId="68AD322A" w14:textId="77777777" w:rsidR="00793814" w:rsidRPr="00154F1D" w:rsidRDefault="00793814" w:rsidP="00947EB4">
            <w:pPr>
              <w:rPr>
                <w:sz w:val="20"/>
                <w:szCs w:val="20"/>
              </w:rPr>
            </w:pPr>
            <w:r w:rsidRPr="00154F1D">
              <w:rPr>
                <w:sz w:val="20"/>
                <w:szCs w:val="20"/>
              </w:rPr>
              <w:t>s 7.3</w:t>
            </w:r>
          </w:p>
        </w:tc>
        <w:tc>
          <w:tcPr>
            <w:tcW w:w="1220" w:type="pct"/>
            <w:tcBorders>
              <w:bottom w:val="single" w:sz="8" w:space="0" w:color="000000"/>
            </w:tcBorders>
          </w:tcPr>
          <w:p w14:paraId="576A5ED5" w14:textId="7EDA0CA1" w:rsidR="00793814" w:rsidRPr="00154F1D" w:rsidRDefault="00793814" w:rsidP="00947EB4">
            <w:pPr>
              <w:rPr>
                <w:sz w:val="20"/>
                <w:szCs w:val="20"/>
              </w:rPr>
            </w:pPr>
            <w:r w:rsidRPr="00154F1D">
              <w:rPr>
                <w:sz w:val="20"/>
                <w:szCs w:val="20"/>
              </w:rPr>
              <w:t>s</w:t>
            </w:r>
            <w:r w:rsidR="00C84388">
              <w:rPr>
                <w:sz w:val="20"/>
                <w:szCs w:val="20"/>
              </w:rPr>
              <w:t>s</w:t>
            </w:r>
            <w:r w:rsidRPr="00154F1D">
              <w:rPr>
                <w:sz w:val="20"/>
                <w:szCs w:val="20"/>
              </w:rPr>
              <w:t xml:space="preserve"> 7.3(8), (9)</w:t>
            </w:r>
          </w:p>
        </w:tc>
        <w:tc>
          <w:tcPr>
            <w:tcW w:w="661" w:type="pct"/>
            <w:tcBorders>
              <w:bottom w:val="single" w:sz="8" w:space="0" w:color="000000"/>
            </w:tcBorders>
          </w:tcPr>
          <w:p w14:paraId="26C4E899" w14:textId="77777777" w:rsidR="00793814" w:rsidRPr="00154F1D" w:rsidRDefault="00793814" w:rsidP="00947EB4">
            <w:pPr>
              <w:rPr>
                <w:sz w:val="20"/>
                <w:szCs w:val="20"/>
              </w:rPr>
            </w:pPr>
            <w:r w:rsidRPr="00154F1D">
              <w:rPr>
                <w:sz w:val="20"/>
                <w:szCs w:val="20"/>
              </w:rPr>
              <w:t>s 7.3(1)(a)</w:t>
            </w:r>
          </w:p>
        </w:tc>
        <w:tc>
          <w:tcPr>
            <w:tcW w:w="651" w:type="pct"/>
            <w:tcBorders>
              <w:bottom w:val="single" w:sz="8" w:space="0" w:color="000000"/>
            </w:tcBorders>
          </w:tcPr>
          <w:p w14:paraId="6B1BF98A" w14:textId="77777777" w:rsidR="00793814" w:rsidRPr="00154F1D" w:rsidRDefault="00793814" w:rsidP="00947EB4">
            <w:pPr>
              <w:rPr>
                <w:sz w:val="20"/>
                <w:szCs w:val="20"/>
              </w:rPr>
            </w:pPr>
            <w:r w:rsidRPr="00154F1D">
              <w:rPr>
                <w:sz w:val="20"/>
                <w:szCs w:val="20"/>
              </w:rPr>
              <w:t>s 7.3(1)(b)</w:t>
            </w:r>
          </w:p>
        </w:tc>
        <w:tc>
          <w:tcPr>
            <w:tcW w:w="741" w:type="pct"/>
            <w:tcBorders>
              <w:bottom w:val="single" w:sz="8" w:space="0" w:color="000000"/>
            </w:tcBorders>
          </w:tcPr>
          <w:p w14:paraId="2B4119AC" w14:textId="77777777" w:rsidR="00793814" w:rsidRPr="00154F1D" w:rsidRDefault="00793814" w:rsidP="00947EB4">
            <w:pPr>
              <w:rPr>
                <w:sz w:val="20"/>
                <w:szCs w:val="20"/>
              </w:rPr>
            </w:pPr>
            <w:r w:rsidRPr="00154F1D">
              <w:rPr>
                <w:sz w:val="20"/>
                <w:szCs w:val="20"/>
              </w:rPr>
              <w:t>s 7.3(1)(c)</w:t>
            </w:r>
          </w:p>
        </w:tc>
        <w:tc>
          <w:tcPr>
            <w:tcW w:w="712" w:type="pct"/>
            <w:tcBorders>
              <w:bottom w:val="single" w:sz="8" w:space="0" w:color="000000"/>
            </w:tcBorders>
          </w:tcPr>
          <w:p w14:paraId="7B829CBE" w14:textId="77777777" w:rsidR="00793814" w:rsidRPr="00154F1D" w:rsidRDefault="00793814" w:rsidP="00947EB4">
            <w:pPr>
              <w:rPr>
                <w:sz w:val="20"/>
                <w:szCs w:val="20"/>
              </w:rPr>
            </w:pPr>
            <w:r w:rsidRPr="00154F1D">
              <w:rPr>
                <w:sz w:val="20"/>
                <w:szCs w:val="20"/>
              </w:rPr>
              <w:t>s 7.3(7)</w:t>
            </w:r>
          </w:p>
        </w:tc>
      </w:tr>
      <w:tr w:rsidR="00793814" w:rsidRPr="00154F1D" w14:paraId="485F4A45" w14:textId="77777777" w:rsidTr="00342963">
        <w:tc>
          <w:tcPr>
            <w:tcW w:w="609" w:type="pct"/>
            <w:tcBorders>
              <w:top w:val="single" w:sz="2" w:space="0" w:color="000000"/>
              <w:bottom w:val="single" w:sz="2" w:space="0" w:color="000000"/>
            </w:tcBorders>
          </w:tcPr>
          <w:p w14:paraId="6D08860D" w14:textId="77777777" w:rsidR="00793814" w:rsidRPr="00154F1D" w:rsidRDefault="00793814" w:rsidP="00947EB4">
            <w:pPr>
              <w:rPr>
                <w:b/>
                <w:sz w:val="20"/>
                <w:szCs w:val="20"/>
              </w:rPr>
            </w:pPr>
            <w:r w:rsidRPr="00154F1D">
              <w:rPr>
                <w:b/>
                <w:sz w:val="20"/>
                <w:szCs w:val="20"/>
              </w:rPr>
              <w:t>ACT</w:t>
            </w:r>
          </w:p>
          <w:p w14:paraId="07579F5D" w14:textId="16E8B4EA" w:rsidR="00793814" w:rsidRPr="00154F1D" w:rsidRDefault="00793814" w:rsidP="00947EB4">
            <w:pPr>
              <w:rPr>
                <w:i/>
                <w:sz w:val="20"/>
                <w:szCs w:val="20"/>
              </w:rPr>
            </w:pPr>
            <w:r w:rsidRPr="00154F1D">
              <w:rPr>
                <w:i/>
                <w:sz w:val="20"/>
                <w:szCs w:val="20"/>
              </w:rPr>
              <w:t>Criminal Code</w:t>
            </w:r>
          </w:p>
        </w:tc>
        <w:tc>
          <w:tcPr>
            <w:tcW w:w="406" w:type="pct"/>
            <w:tcBorders>
              <w:top w:val="single" w:sz="2" w:space="0" w:color="000000"/>
              <w:bottom w:val="single" w:sz="2" w:space="0" w:color="000000"/>
            </w:tcBorders>
          </w:tcPr>
          <w:p w14:paraId="045E713D" w14:textId="4A5F4B4D" w:rsidR="00793814" w:rsidRPr="00154F1D" w:rsidRDefault="00793814" w:rsidP="00947EB4">
            <w:pPr>
              <w:rPr>
                <w:sz w:val="20"/>
                <w:szCs w:val="20"/>
              </w:rPr>
            </w:pPr>
            <w:r w:rsidRPr="00154F1D">
              <w:rPr>
                <w:sz w:val="20"/>
                <w:szCs w:val="20"/>
              </w:rPr>
              <w:t>Mental Impairment</w:t>
            </w:r>
          </w:p>
          <w:p w14:paraId="2E571379" w14:textId="2350A32D" w:rsidR="00793814" w:rsidRPr="00154F1D" w:rsidRDefault="00793814" w:rsidP="00947EB4">
            <w:pPr>
              <w:rPr>
                <w:sz w:val="20"/>
                <w:szCs w:val="20"/>
              </w:rPr>
            </w:pPr>
          </w:p>
        </w:tc>
        <w:tc>
          <w:tcPr>
            <w:tcW w:w="1220" w:type="pct"/>
            <w:tcBorders>
              <w:top w:val="single" w:sz="2" w:space="0" w:color="000000"/>
              <w:bottom w:val="single" w:sz="2" w:space="0" w:color="000000"/>
            </w:tcBorders>
          </w:tcPr>
          <w:p w14:paraId="5D92C5A6" w14:textId="77777777" w:rsidR="00793814" w:rsidRPr="00154F1D" w:rsidRDefault="00793814" w:rsidP="00947EB4">
            <w:pPr>
              <w:rPr>
                <w:sz w:val="20"/>
                <w:szCs w:val="20"/>
              </w:rPr>
            </w:pPr>
            <w:r w:rsidRPr="00154F1D">
              <w:rPr>
                <w:sz w:val="20"/>
                <w:szCs w:val="20"/>
              </w:rPr>
              <w:t>Mental impairment includes senility, intellectual disability, mental illness, brain damage and severe personality disorder.</w:t>
            </w:r>
          </w:p>
          <w:p w14:paraId="66692AB5" w14:textId="3DEF5EC3" w:rsidR="00793814" w:rsidRPr="00154F1D" w:rsidRDefault="00793814" w:rsidP="00947EB4">
            <w:pPr>
              <w:rPr>
                <w:sz w:val="20"/>
                <w:szCs w:val="20"/>
              </w:rPr>
            </w:pPr>
            <w:r w:rsidRPr="00154F1D">
              <w:rPr>
                <w:sz w:val="20"/>
                <w:szCs w:val="20"/>
              </w:rPr>
              <w:t>Mental illness is a reference to an underlying pathological infirmity of mind, whether of long or short duration and whether permanent or temporary, but does not include a condition (a reactive condition) that results from the reaction of a healthy mind to extraordinary external stimuli. However, a reactive condition may be evidence of a mental illness if it involves some abnormality and is prone to recur</w:t>
            </w:r>
            <w:r w:rsidR="00FD5AE4" w:rsidRPr="00154F1D">
              <w:rPr>
                <w:sz w:val="20"/>
                <w:szCs w:val="20"/>
              </w:rPr>
              <w:t>.</w:t>
            </w:r>
          </w:p>
        </w:tc>
        <w:tc>
          <w:tcPr>
            <w:tcW w:w="661" w:type="pct"/>
            <w:tcBorders>
              <w:top w:val="single" w:sz="2" w:space="0" w:color="000000"/>
              <w:bottom w:val="single" w:sz="2" w:space="0" w:color="000000"/>
            </w:tcBorders>
          </w:tcPr>
          <w:p w14:paraId="6B9848B4" w14:textId="77777777" w:rsidR="00793814" w:rsidRPr="00154F1D" w:rsidRDefault="00793814" w:rsidP="00947EB4">
            <w:pPr>
              <w:rPr>
                <w:sz w:val="20"/>
                <w:szCs w:val="20"/>
              </w:rPr>
            </w:pPr>
            <w:r w:rsidRPr="00154F1D">
              <w:rPr>
                <w:sz w:val="20"/>
                <w:szCs w:val="20"/>
              </w:rPr>
              <w:t>Did not know the nature or quality of the conduct.</w:t>
            </w:r>
          </w:p>
          <w:p w14:paraId="78F7B6C4" w14:textId="083BC45D" w:rsidR="00793814" w:rsidRPr="00154F1D" w:rsidRDefault="00793814" w:rsidP="00947EB4">
            <w:pPr>
              <w:rPr>
                <w:sz w:val="20"/>
                <w:szCs w:val="20"/>
              </w:rPr>
            </w:pPr>
          </w:p>
        </w:tc>
        <w:tc>
          <w:tcPr>
            <w:tcW w:w="651" w:type="pct"/>
            <w:tcBorders>
              <w:top w:val="single" w:sz="2" w:space="0" w:color="000000"/>
              <w:bottom w:val="single" w:sz="2" w:space="0" w:color="000000"/>
            </w:tcBorders>
          </w:tcPr>
          <w:p w14:paraId="522B6C2C" w14:textId="77777777" w:rsidR="00793814" w:rsidRPr="00154F1D" w:rsidRDefault="00793814" w:rsidP="00947EB4">
            <w:pPr>
              <w:rPr>
                <w:sz w:val="20"/>
                <w:szCs w:val="20"/>
              </w:rPr>
            </w:pPr>
            <w:r w:rsidRPr="00154F1D">
              <w:rPr>
                <w:sz w:val="20"/>
                <w:szCs w:val="20"/>
              </w:rPr>
              <w:t>Did not know that the conduct was wrong (that is, the person could not reason with a moderate degree of sense and composure about whether the conduct, as perceived by reasonable people, was wrong).</w:t>
            </w:r>
          </w:p>
          <w:p w14:paraId="794A272A" w14:textId="03E8F5D0" w:rsidR="00793814" w:rsidRPr="00154F1D" w:rsidRDefault="00793814" w:rsidP="00947EB4">
            <w:pPr>
              <w:rPr>
                <w:sz w:val="20"/>
                <w:szCs w:val="20"/>
              </w:rPr>
            </w:pPr>
          </w:p>
        </w:tc>
        <w:tc>
          <w:tcPr>
            <w:tcW w:w="741" w:type="pct"/>
            <w:tcBorders>
              <w:top w:val="single" w:sz="2" w:space="0" w:color="000000"/>
              <w:bottom w:val="single" w:sz="2" w:space="0" w:color="000000"/>
            </w:tcBorders>
          </w:tcPr>
          <w:p w14:paraId="2CCD775C" w14:textId="77777777" w:rsidR="00793814" w:rsidRPr="00154F1D" w:rsidRDefault="00793814" w:rsidP="00947EB4">
            <w:pPr>
              <w:rPr>
                <w:sz w:val="20"/>
                <w:szCs w:val="20"/>
              </w:rPr>
            </w:pPr>
            <w:r w:rsidRPr="00154F1D">
              <w:rPr>
                <w:sz w:val="20"/>
                <w:szCs w:val="20"/>
              </w:rPr>
              <w:t>Unable to control conduct.</w:t>
            </w:r>
          </w:p>
          <w:p w14:paraId="16FA4D4F" w14:textId="77777777" w:rsidR="00793814" w:rsidRPr="00154F1D" w:rsidRDefault="00793814" w:rsidP="00947EB4">
            <w:pPr>
              <w:rPr>
                <w:sz w:val="20"/>
                <w:szCs w:val="20"/>
              </w:rPr>
            </w:pPr>
          </w:p>
        </w:tc>
        <w:tc>
          <w:tcPr>
            <w:tcW w:w="712" w:type="pct"/>
            <w:tcBorders>
              <w:top w:val="single" w:sz="2" w:space="0" w:color="000000"/>
              <w:bottom w:val="single" w:sz="2" w:space="0" w:color="000000"/>
            </w:tcBorders>
          </w:tcPr>
          <w:p w14:paraId="5BFB8B37" w14:textId="44D8A390" w:rsidR="00793814" w:rsidRPr="00154F1D" w:rsidRDefault="00793814" w:rsidP="00947EB4">
            <w:pPr>
              <w:rPr>
                <w:sz w:val="20"/>
                <w:szCs w:val="20"/>
              </w:rPr>
            </w:pPr>
            <w:r w:rsidRPr="00154F1D">
              <w:rPr>
                <w:sz w:val="20"/>
                <w:szCs w:val="20"/>
              </w:rPr>
              <w:t>If carried out conduct as a result of a delusion caused by a mental impairment, but the person may rely on the mental impairment to deny criminal responsibility.</w:t>
            </w:r>
          </w:p>
          <w:p w14:paraId="467317A7" w14:textId="77777777" w:rsidR="00793814" w:rsidRPr="00154F1D" w:rsidRDefault="00793814" w:rsidP="00947EB4">
            <w:pPr>
              <w:rPr>
                <w:sz w:val="20"/>
                <w:szCs w:val="20"/>
              </w:rPr>
            </w:pPr>
          </w:p>
        </w:tc>
      </w:tr>
      <w:tr w:rsidR="00793814" w:rsidRPr="00154F1D" w14:paraId="7D490F85" w14:textId="77777777" w:rsidTr="00342963">
        <w:trPr>
          <w:trHeight w:val="251"/>
        </w:trPr>
        <w:tc>
          <w:tcPr>
            <w:tcW w:w="609" w:type="pct"/>
            <w:tcBorders>
              <w:top w:val="single" w:sz="2" w:space="0" w:color="000000"/>
              <w:bottom w:val="single" w:sz="2" w:space="0" w:color="000000"/>
            </w:tcBorders>
          </w:tcPr>
          <w:p w14:paraId="0AB1026D" w14:textId="77777777" w:rsidR="00793814" w:rsidRPr="00154F1D" w:rsidRDefault="00793814" w:rsidP="00947EB4">
            <w:pPr>
              <w:rPr>
                <w:sz w:val="20"/>
                <w:szCs w:val="20"/>
              </w:rPr>
            </w:pPr>
          </w:p>
        </w:tc>
        <w:tc>
          <w:tcPr>
            <w:tcW w:w="406" w:type="pct"/>
            <w:tcBorders>
              <w:top w:val="single" w:sz="2" w:space="0" w:color="000000"/>
              <w:bottom w:val="single" w:sz="2" w:space="0" w:color="000000"/>
            </w:tcBorders>
          </w:tcPr>
          <w:p w14:paraId="43B6BC68" w14:textId="77777777" w:rsidR="00793814" w:rsidRPr="00154F1D" w:rsidRDefault="00793814" w:rsidP="00947EB4">
            <w:pPr>
              <w:rPr>
                <w:sz w:val="20"/>
                <w:szCs w:val="20"/>
              </w:rPr>
            </w:pPr>
            <w:r w:rsidRPr="00154F1D">
              <w:rPr>
                <w:sz w:val="20"/>
                <w:szCs w:val="20"/>
              </w:rPr>
              <w:t>s 28</w:t>
            </w:r>
          </w:p>
        </w:tc>
        <w:tc>
          <w:tcPr>
            <w:tcW w:w="1220" w:type="pct"/>
            <w:tcBorders>
              <w:top w:val="single" w:sz="2" w:space="0" w:color="000000"/>
              <w:bottom w:val="single" w:sz="2" w:space="0" w:color="000000"/>
            </w:tcBorders>
          </w:tcPr>
          <w:p w14:paraId="5466AD15" w14:textId="460795F1" w:rsidR="00793814" w:rsidRPr="00154F1D" w:rsidRDefault="00793814" w:rsidP="00947EB4">
            <w:pPr>
              <w:rPr>
                <w:sz w:val="20"/>
                <w:szCs w:val="20"/>
              </w:rPr>
            </w:pPr>
            <w:r w:rsidRPr="00154F1D">
              <w:rPr>
                <w:sz w:val="20"/>
                <w:szCs w:val="20"/>
              </w:rPr>
              <w:t>s</w:t>
            </w:r>
            <w:r w:rsidR="00C84388">
              <w:rPr>
                <w:sz w:val="20"/>
                <w:szCs w:val="20"/>
              </w:rPr>
              <w:t>s</w:t>
            </w:r>
            <w:r w:rsidRPr="00154F1D">
              <w:rPr>
                <w:sz w:val="20"/>
                <w:szCs w:val="20"/>
              </w:rPr>
              <w:t xml:space="preserve"> 27(1), (2), (3)</w:t>
            </w:r>
          </w:p>
        </w:tc>
        <w:tc>
          <w:tcPr>
            <w:tcW w:w="661" w:type="pct"/>
            <w:tcBorders>
              <w:top w:val="single" w:sz="2" w:space="0" w:color="000000"/>
              <w:bottom w:val="single" w:sz="2" w:space="0" w:color="000000"/>
            </w:tcBorders>
          </w:tcPr>
          <w:p w14:paraId="020AED87" w14:textId="00060BB2" w:rsidR="00793814" w:rsidRPr="00154F1D" w:rsidRDefault="00793814" w:rsidP="00947EB4">
            <w:pPr>
              <w:rPr>
                <w:sz w:val="20"/>
                <w:szCs w:val="20"/>
              </w:rPr>
            </w:pPr>
            <w:r w:rsidRPr="00154F1D">
              <w:rPr>
                <w:sz w:val="20"/>
                <w:szCs w:val="20"/>
              </w:rPr>
              <w:t>s 28(1)(a)</w:t>
            </w:r>
          </w:p>
        </w:tc>
        <w:tc>
          <w:tcPr>
            <w:tcW w:w="651" w:type="pct"/>
            <w:tcBorders>
              <w:top w:val="single" w:sz="2" w:space="0" w:color="000000"/>
              <w:bottom w:val="single" w:sz="2" w:space="0" w:color="000000"/>
            </w:tcBorders>
          </w:tcPr>
          <w:p w14:paraId="784700EC" w14:textId="02FB5434" w:rsidR="00793814" w:rsidRPr="00154F1D" w:rsidRDefault="00793814" w:rsidP="00947EB4">
            <w:pPr>
              <w:rPr>
                <w:sz w:val="20"/>
                <w:szCs w:val="20"/>
              </w:rPr>
            </w:pPr>
            <w:r w:rsidRPr="00154F1D">
              <w:rPr>
                <w:sz w:val="20"/>
                <w:szCs w:val="20"/>
              </w:rPr>
              <w:t>s</w:t>
            </w:r>
            <w:r w:rsidR="00C84388">
              <w:rPr>
                <w:sz w:val="20"/>
                <w:szCs w:val="20"/>
              </w:rPr>
              <w:t>s</w:t>
            </w:r>
            <w:r w:rsidRPr="00154F1D">
              <w:rPr>
                <w:sz w:val="20"/>
                <w:szCs w:val="20"/>
              </w:rPr>
              <w:t xml:space="preserve"> 28(1)(b), (2)</w:t>
            </w:r>
          </w:p>
        </w:tc>
        <w:tc>
          <w:tcPr>
            <w:tcW w:w="741" w:type="pct"/>
            <w:tcBorders>
              <w:top w:val="single" w:sz="2" w:space="0" w:color="000000"/>
              <w:bottom w:val="single" w:sz="2" w:space="0" w:color="000000"/>
            </w:tcBorders>
          </w:tcPr>
          <w:p w14:paraId="56FB565F" w14:textId="77777777" w:rsidR="00793814" w:rsidRPr="00154F1D" w:rsidRDefault="00793814" w:rsidP="00947EB4">
            <w:pPr>
              <w:rPr>
                <w:sz w:val="20"/>
                <w:szCs w:val="20"/>
              </w:rPr>
            </w:pPr>
            <w:r w:rsidRPr="00154F1D">
              <w:rPr>
                <w:sz w:val="20"/>
                <w:szCs w:val="20"/>
              </w:rPr>
              <w:t>s 28(1)(c)</w:t>
            </w:r>
          </w:p>
        </w:tc>
        <w:tc>
          <w:tcPr>
            <w:tcW w:w="712" w:type="pct"/>
            <w:tcBorders>
              <w:top w:val="single" w:sz="2" w:space="0" w:color="000000"/>
              <w:bottom w:val="single" w:sz="2" w:space="0" w:color="000000"/>
            </w:tcBorders>
          </w:tcPr>
          <w:p w14:paraId="032D5601" w14:textId="77777777" w:rsidR="00793814" w:rsidRPr="00154F1D" w:rsidRDefault="00793814" w:rsidP="00947EB4">
            <w:pPr>
              <w:rPr>
                <w:sz w:val="20"/>
                <w:szCs w:val="20"/>
              </w:rPr>
            </w:pPr>
            <w:r w:rsidRPr="00154F1D">
              <w:rPr>
                <w:sz w:val="20"/>
                <w:szCs w:val="20"/>
              </w:rPr>
              <w:t>s 29(1)(a)</w:t>
            </w:r>
          </w:p>
        </w:tc>
      </w:tr>
      <w:tr w:rsidR="00793814" w:rsidRPr="00154F1D" w14:paraId="41FA67D1" w14:textId="77777777" w:rsidTr="00342963">
        <w:tc>
          <w:tcPr>
            <w:tcW w:w="609" w:type="pct"/>
            <w:tcBorders>
              <w:top w:val="single" w:sz="2" w:space="0" w:color="000000"/>
              <w:bottom w:val="single" w:sz="2" w:space="0" w:color="auto"/>
            </w:tcBorders>
          </w:tcPr>
          <w:p w14:paraId="76E55322" w14:textId="77777777" w:rsidR="00793814" w:rsidRPr="00154F1D" w:rsidRDefault="00793814" w:rsidP="00947EB4">
            <w:pPr>
              <w:rPr>
                <w:b/>
                <w:sz w:val="20"/>
                <w:szCs w:val="20"/>
              </w:rPr>
            </w:pPr>
            <w:r w:rsidRPr="00154F1D">
              <w:rPr>
                <w:b/>
                <w:sz w:val="20"/>
                <w:szCs w:val="20"/>
              </w:rPr>
              <w:t>NSW</w:t>
            </w:r>
          </w:p>
          <w:p w14:paraId="32CB5CAA" w14:textId="787142DB" w:rsidR="00793814" w:rsidRPr="00154F1D" w:rsidRDefault="00793814" w:rsidP="00947EB4">
            <w:pPr>
              <w:rPr>
                <w:sz w:val="20"/>
                <w:szCs w:val="20"/>
              </w:rPr>
            </w:pPr>
            <w:r w:rsidRPr="00154F1D">
              <w:rPr>
                <w:sz w:val="20"/>
                <w:szCs w:val="20"/>
              </w:rPr>
              <w:t>Common law</w:t>
            </w:r>
          </w:p>
          <w:p w14:paraId="3EAEC092" w14:textId="77777777" w:rsidR="00793814" w:rsidRPr="00154F1D" w:rsidRDefault="00793814" w:rsidP="00947EB4">
            <w:pPr>
              <w:rPr>
                <w:i/>
                <w:sz w:val="20"/>
                <w:szCs w:val="20"/>
              </w:rPr>
            </w:pPr>
            <w:r w:rsidRPr="00154F1D">
              <w:rPr>
                <w:i/>
                <w:sz w:val="20"/>
                <w:szCs w:val="20"/>
              </w:rPr>
              <w:t>M’Naghten Rules</w:t>
            </w:r>
          </w:p>
          <w:p w14:paraId="1A375196" w14:textId="09655733" w:rsidR="00793814" w:rsidRPr="00154F1D" w:rsidRDefault="00793814" w:rsidP="00947EB4">
            <w:pPr>
              <w:rPr>
                <w:i/>
                <w:sz w:val="20"/>
                <w:szCs w:val="20"/>
              </w:rPr>
            </w:pPr>
            <w:r w:rsidRPr="00154F1D">
              <w:rPr>
                <w:i/>
                <w:sz w:val="20"/>
                <w:szCs w:val="20"/>
              </w:rPr>
              <w:t>Mental Health (Forensic Provisions) Act 1990</w:t>
            </w:r>
            <w:bookmarkStart w:id="146" w:name="_Ref535785877"/>
            <w:r w:rsidR="00732059" w:rsidRPr="00154F1D">
              <w:rPr>
                <w:rStyle w:val="FootnoteReference"/>
                <w:szCs w:val="20"/>
              </w:rPr>
              <w:footnoteReference w:id="411"/>
            </w:r>
            <w:bookmarkEnd w:id="146"/>
          </w:p>
        </w:tc>
        <w:tc>
          <w:tcPr>
            <w:tcW w:w="406" w:type="pct"/>
            <w:tcBorders>
              <w:top w:val="single" w:sz="2" w:space="0" w:color="000000"/>
              <w:bottom w:val="single" w:sz="2" w:space="0" w:color="auto"/>
            </w:tcBorders>
          </w:tcPr>
          <w:p w14:paraId="57419439" w14:textId="77777777" w:rsidR="00793814" w:rsidRPr="00154F1D" w:rsidRDefault="00793814" w:rsidP="00947EB4">
            <w:pPr>
              <w:rPr>
                <w:sz w:val="20"/>
                <w:szCs w:val="20"/>
              </w:rPr>
            </w:pPr>
            <w:r w:rsidRPr="00154F1D">
              <w:rPr>
                <w:sz w:val="20"/>
                <w:szCs w:val="20"/>
              </w:rPr>
              <w:t>Mental Illness</w:t>
            </w:r>
          </w:p>
          <w:p w14:paraId="30BBC574" w14:textId="4E83ECB7" w:rsidR="00793814" w:rsidRPr="00154F1D" w:rsidRDefault="00793814" w:rsidP="00947EB4">
            <w:pPr>
              <w:rPr>
                <w:sz w:val="20"/>
                <w:szCs w:val="20"/>
              </w:rPr>
            </w:pPr>
          </w:p>
        </w:tc>
        <w:tc>
          <w:tcPr>
            <w:tcW w:w="1220" w:type="pct"/>
            <w:tcBorders>
              <w:top w:val="single" w:sz="2" w:space="0" w:color="000000"/>
              <w:bottom w:val="single" w:sz="2" w:space="0" w:color="auto"/>
            </w:tcBorders>
          </w:tcPr>
          <w:p w14:paraId="2E92CE1B" w14:textId="77777777" w:rsidR="00793814" w:rsidRPr="00154F1D" w:rsidRDefault="00793814" w:rsidP="00947EB4">
            <w:pPr>
              <w:rPr>
                <w:sz w:val="20"/>
                <w:szCs w:val="20"/>
              </w:rPr>
            </w:pPr>
            <w:r w:rsidRPr="00154F1D">
              <w:rPr>
                <w:sz w:val="20"/>
                <w:szCs w:val="20"/>
              </w:rPr>
              <w:t>Defect of reason caused by a disease of the mind.</w:t>
            </w:r>
          </w:p>
          <w:p w14:paraId="14D20150" w14:textId="231328CC" w:rsidR="00793814" w:rsidRPr="00154F1D" w:rsidRDefault="00793814" w:rsidP="00947EB4">
            <w:pPr>
              <w:rPr>
                <w:sz w:val="20"/>
                <w:szCs w:val="20"/>
              </w:rPr>
            </w:pPr>
            <w:r w:rsidRPr="00154F1D">
              <w:rPr>
                <w:sz w:val="20"/>
                <w:szCs w:val="20"/>
              </w:rPr>
              <w:t>This is contrasted with ‘mere excitability of the normal man, passion, even stupidity, obtuseness, lack of self-control and impulsiveness.</w:t>
            </w:r>
            <w:r w:rsidRPr="00154F1D">
              <w:rPr>
                <w:rStyle w:val="FootnoteReference"/>
                <w:szCs w:val="20"/>
              </w:rPr>
              <w:footnoteReference w:id="412"/>
            </w:r>
          </w:p>
          <w:p w14:paraId="3EF34327" w14:textId="3110D84D" w:rsidR="00793814" w:rsidRPr="00154F1D" w:rsidRDefault="00793814" w:rsidP="00947EB4">
            <w:pPr>
              <w:rPr>
                <w:sz w:val="20"/>
                <w:szCs w:val="20"/>
              </w:rPr>
            </w:pPr>
            <w:r w:rsidRPr="00154F1D">
              <w:rPr>
                <w:sz w:val="20"/>
                <w:szCs w:val="20"/>
              </w:rPr>
              <w:t xml:space="preserve">Any mental disorder which ‘manifests itself in violence and is prone to recur’ may be a </w:t>
            </w:r>
            <w:r w:rsidRPr="00154F1D">
              <w:rPr>
                <w:i/>
                <w:sz w:val="20"/>
                <w:szCs w:val="20"/>
              </w:rPr>
              <w:t>M’Naghten</w:t>
            </w:r>
            <w:r w:rsidRPr="00154F1D">
              <w:rPr>
                <w:sz w:val="20"/>
                <w:szCs w:val="20"/>
              </w:rPr>
              <w:t xml:space="preserve"> disease of the mind.</w:t>
            </w:r>
            <w:r w:rsidRPr="00154F1D">
              <w:rPr>
                <w:rStyle w:val="FootnoteReference"/>
                <w:szCs w:val="20"/>
              </w:rPr>
              <w:footnoteReference w:id="413"/>
            </w:r>
          </w:p>
          <w:p w14:paraId="37533F13" w14:textId="6E46D2AB" w:rsidR="00793814" w:rsidRPr="00154F1D" w:rsidRDefault="00793814" w:rsidP="00947EB4">
            <w:pPr>
              <w:rPr>
                <w:sz w:val="20"/>
                <w:szCs w:val="20"/>
              </w:rPr>
            </w:pPr>
            <w:r w:rsidRPr="00154F1D">
              <w:rPr>
                <w:sz w:val="20"/>
                <w:szCs w:val="20"/>
              </w:rPr>
              <w:t>Mental malfunctioning of a transitory nature caused by some external factor such as violence, drugs, alcohol has been held not be due to disease.</w:t>
            </w:r>
            <w:r w:rsidRPr="00154F1D">
              <w:rPr>
                <w:rStyle w:val="FootnoteReference"/>
                <w:szCs w:val="20"/>
              </w:rPr>
              <w:footnoteReference w:id="414"/>
            </w:r>
          </w:p>
          <w:p w14:paraId="1D6B6E5E" w14:textId="2E0CDC03" w:rsidR="00793814" w:rsidRPr="00154F1D" w:rsidRDefault="00793814" w:rsidP="00947EB4">
            <w:pPr>
              <w:rPr>
                <w:sz w:val="20"/>
                <w:szCs w:val="20"/>
              </w:rPr>
            </w:pPr>
            <w:r w:rsidRPr="00154F1D">
              <w:rPr>
                <w:sz w:val="20"/>
                <w:szCs w:val="20"/>
              </w:rPr>
              <w:t>A ‘gross psychopath’, that is, one who has a gross lack of self-control and emotional feeling is not M’Naghten mentally ill.</w:t>
            </w:r>
            <w:r w:rsidRPr="00154F1D">
              <w:rPr>
                <w:rStyle w:val="FootnoteReference"/>
                <w:szCs w:val="20"/>
              </w:rPr>
              <w:footnoteReference w:id="415"/>
            </w:r>
          </w:p>
          <w:p w14:paraId="3D75D5E1" w14:textId="5C3D3567" w:rsidR="00793814" w:rsidRPr="00154F1D" w:rsidRDefault="00793814" w:rsidP="00947EB4">
            <w:pPr>
              <w:rPr>
                <w:sz w:val="20"/>
                <w:szCs w:val="20"/>
              </w:rPr>
            </w:pPr>
            <w:r w:rsidRPr="00154F1D">
              <w:rPr>
                <w:sz w:val="20"/>
                <w:szCs w:val="20"/>
              </w:rPr>
              <w:t xml:space="preserve">Irresistible impulse does not by itself </w:t>
            </w:r>
            <w:r w:rsidR="00FD5AE4" w:rsidRPr="00154F1D">
              <w:rPr>
                <w:sz w:val="20"/>
                <w:szCs w:val="20"/>
              </w:rPr>
              <w:t>raise a defence of mental illnes</w:t>
            </w:r>
            <w:r w:rsidRPr="00154F1D">
              <w:rPr>
                <w:sz w:val="20"/>
                <w:szCs w:val="20"/>
              </w:rPr>
              <w:t>s.</w:t>
            </w:r>
            <w:r w:rsidRPr="00154F1D">
              <w:rPr>
                <w:rStyle w:val="FootnoteReference"/>
                <w:szCs w:val="20"/>
              </w:rPr>
              <w:footnoteReference w:id="416"/>
            </w:r>
          </w:p>
        </w:tc>
        <w:tc>
          <w:tcPr>
            <w:tcW w:w="661" w:type="pct"/>
            <w:tcBorders>
              <w:top w:val="single" w:sz="2" w:space="0" w:color="000000"/>
              <w:bottom w:val="single" w:sz="2" w:space="0" w:color="auto"/>
            </w:tcBorders>
          </w:tcPr>
          <w:p w14:paraId="6C9AE862" w14:textId="77777777" w:rsidR="00793814" w:rsidRPr="00154F1D" w:rsidRDefault="00793814" w:rsidP="00947EB4">
            <w:pPr>
              <w:rPr>
                <w:sz w:val="20"/>
                <w:szCs w:val="20"/>
              </w:rPr>
            </w:pPr>
            <w:r w:rsidRPr="00154F1D">
              <w:rPr>
                <w:sz w:val="20"/>
                <w:szCs w:val="20"/>
              </w:rPr>
              <w:t>Did not know the nature and quality of the act he or she was doing</w:t>
            </w:r>
          </w:p>
        </w:tc>
        <w:tc>
          <w:tcPr>
            <w:tcW w:w="651" w:type="pct"/>
            <w:tcBorders>
              <w:top w:val="single" w:sz="2" w:space="0" w:color="000000"/>
              <w:bottom w:val="single" w:sz="2" w:space="0" w:color="auto"/>
            </w:tcBorders>
          </w:tcPr>
          <w:p w14:paraId="0DD1FB07" w14:textId="77777777" w:rsidR="00793814" w:rsidRPr="00154F1D" w:rsidRDefault="00793814" w:rsidP="00947EB4">
            <w:pPr>
              <w:rPr>
                <w:sz w:val="20"/>
                <w:szCs w:val="20"/>
              </w:rPr>
            </w:pPr>
            <w:r w:rsidRPr="00154F1D">
              <w:rPr>
                <w:sz w:val="20"/>
                <w:szCs w:val="20"/>
              </w:rPr>
              <w:t>Did not know that what he or she was doing was wrong.</w:t>
            </w:r>
          </w:p>
          <w:p w14:paraId="222EBCA8" w14:textId="77777777" w:rsidR="00793814" w:rsidRPr="00154F1D" w:rsidRDefault="00793814" w:rsidP="00947EB4">
            <w:r w:rsidRPr="00154F1D">
              <w:t>‘</w:t>
            </w:r>
            <w:r w:rsidRPr="00154F1D">
              <w:rPr>
                <w:sz w:val="20"/>
                <w:szCs w:val="20"/>
              </w:rPr>
              <w:t>Wrong’ means ‘wrong’ according to ‘ordinary standards adopted by reasonable men’.</w:t>
            </w:r>
            <w:r w:rsidRPr="00154F1D">
              <w:rPr>
                <w:rStyle w:val="FootnoteReference"/>
                <w:szCs w:val="20"/>
              </w:rPr>
              <w:footnoteReference w:id="417"/>
            </w:r>
          </w:p>
          <w:p w14:paraId="76084F1F" w14:textId="77777777" w:rsidR="00793814" w:rsidRPr="00154F1D" w:rsidRDefault="00793814" w:rsidP="00947EB4">
            <w:pPr>
              <w:rPr>
                <w:sz w:val="20"/>
                <w:szCs w:val="20"/>
              </w:rPr>
            </w:pPr>
          </w:p>
        </w:tc>
        <w:tc>
          <w:tcPr>
            <w:tcW w:w="741" w:type="pct"/>
            <w:tcBorders>
              <w:top w:val="single" w:sz="2" w:space="0" w:color="000000"/>
              <w:bottom w:val="single" w:sz="2" w:space="0" w:color="auto"/>
            </w:tcBorders>
          </w:tcPr>
          <w:p w14:paraId="37D04D27" w14:textId="77777777" w:rsidR="00793814" w:rsidRPr="00154F1D" w:rsidRDefault="00793814" w:rsidP="00947EB4">
            <w:pPr>
              <w:pStyle w:val="ListParagraph"/>
              <w:numPr>
                <w:ilvl w:val="0"/>
                <w:numId w:val="49"/>
              </w:numPr>
              <w:spacing w:after="0"/>
              <w:jc w:val="left"/>
              <w:rPr>
                <w:sz w:val="20"/>
                <w:szCs w:val="20"/>
              </w:rPr>
            </w:pPr>
          </w:p>
        </w:tc>
        <w:tc>
          <w:tcPr>
            <w:tcW w:w="712" w:type="pct"/>
            <w:tcBorders>
              <w:top w:val="single" w:sz="2" w:space="0" w:color="000000"/>
              <w:bottom w:val="single" w:sz="2" w:space="0" w:color="auto"/>
            </w:tcBorders>
          </w:tcPr>
          <w:p w14:paraId="4D2C926E" w14:textId="77777777" w:rsidR="00793814" w:rsidRPr="00154F1D" w:rsidRDefault="00793814" w:rsidP="00947EB4">
            <w:pPr>
              <w:rPr>
                <w:sz w:val="20"/>
                <w:szCs w:val="20"/>
              </w:rPr>
            </w:pPr>
            <w:r w:rsidRPr="00154F1D">
              <w:rPr>
                <w:sz w:val="20"/>
                <w:szCs w:val="20"/>
              </w:rPr>
              <w:t xml:space="preserve">If labours under a partial delusion only, and is not in other respects insane, must be considered in the same situation as to responsibility as if the facts with respect to which the delusion exists were real. </w:t>
            </w:r>
          </w:p>
        </w:tc>
      </w:tr>
      <w:tr w:rsidR="00793814" w:rsidRPr="00154F1D" w14:paraId="7D6F08B7" w14:textId="77777777" w:rsidTr="00342963">
        <w:tc>
          <w:tcPr>
            <w:tcW w:w="609" w:type="pct"/>
            <w:tcBorders>
              <w:bottom w:val="single" w:sz="2" w:space="0" w:color="000000"/>
            </w:tcBorders>
          </w:tcPr>
          <w:p w14:paraId="3E6D9F4F" w14:textId="77777777" w:rsidR="00793814" w:rsidRPr="00154F1D" w:rsidRDefault="00793814" w:rsidP="00947EB4">
            <w:pPr>
              <w:rPr>
                <w:sz w:val="20"/>
                <w:szCs w:val="20"/>
              </w:rPr>
            </w:pPr>
          </w:p>
        </w:tc>
        <w:tc>
          <w:tcPr>
            <w:tcW w:w="406" w:type="pct"/>
            <w:tcBorders>
              <w:bottom w:val="single" w:sz="2" w:space="0" w:color="000000"/>
            </w:tcBorders>
          </w:tcPr>
          <w:p w14:paraId="0E856023" w14:textId="77777777" w:rsidR="00793814" w:rsidRPr="00154F1D" w:rsidRDefault="00793814" w:rsidP="00947EB4">
            <w:pPr>
              <w:rPr>
                <w:sz w:val="20"/>
                <w:szCs w:val="20"/>
              </w:rPr>
            </w:pPr>
            <w:r w:rsidRPr="00154F1D">
              <w:rPr>
                <w:sz w:val="20"/>
                <w:szCs w:val="20"/>
              </w:rPr>
              <w:t>s 38</w:t>
            </w:r>
          </w:p>
        </w:tc>
        <w:tc>
          <w:tcPr>
            <w:tcW w:w="1220" w:type="pct"/>
            <w:tcBorders>
              <w:bottom w:val="single" w:sz="2" w:space="0" w:color="000000"/>
            </w:tcBorders>
          </w:tcPr>
          <w:p w14:paraId="2DC5C84D" w14:textId="77777777" w:rsidR="00793814" w:rsidRPr="00154F1D" w:rsidRDefault="00793814" w:rsidP="00947EB4">
            <w:pPr>
              <w:rPr>
                <w:sz w:val="20"/>
                <w:szCs w:val="20"/>
              </w:rPr>
            </w:pPr>
          </w:p>
        </w:tc>
        <w:tc>
          <w:tcPr>
            <w:tcW w:w="661" w:type="pct"/>
            <w:tcBorders>
              <w:bottom w:val="single" w:sz="2" w:space="0" w:color="000000"/>
            </w:tcBorders>
          </w:tcPr>
          <w:p w14:paraId="17A2048C" w14:textId="77777777" w:rsidR="00793814" w:rsidRPr="00154F1D" w:rsidRDefault="00793814" w:rsidP="00947EB4">
            <w:pPr>
              <w:rPr>
                <w:sz w:val="20"/>
                <w:szCs w:val="20"/>
              </w:rPr>
            </w:pPr>
          </w:p>
        </w:tc>
        <w:tc>
          <w:tcPr>
            <w:tcW w:w="651" w:type="pct"/>
            <w:tcBorders>
              <w:bottom w:val="single" w:sz="2" w:space="0" w:color="000000"/>
            </w:tcBorders>
          </w:tcPr>
          <w:p w14:paraId="3D9528C8" w14:textId="77777777" w:rsidR="00793814" w:rsidRPr="00154F1D" w:rsidRDefault="00793814" w:rsidP="00947EB4">
            <w:pPr>
              <w:rPr>
                <w:sz w:val="20"/>
                <w:szCs w:val="20"/>
              </w:rPr>
            </w:pPr>
          </w:p>
        </w:tc>
        <w:tc>
          <w:tcPr>
            <w:tcW w:w="741" w:type="pct"/>
            <w:tcBorders>
              <w:bottom w:val="single" w:sz="2" w:space="0" w:color="000000"/>
            </w:tcBorders>
          </w:tcPr>
          <w:p w14:paraId="1E4A43CB" w14:textId="77777777" w:rsidR="00793814" w:rsidRPr="00154F1D" w:rsidRDefault="00793814" w:rsidP="00947EB4">
            <w:pPr>
              <w:rPr>
                <w:sz w:val="20"/>
                <w:szCs w:val="20"/>
              </w:rPr>
            </w:pPr>
          </w:p>
        </w:tc>
        <w:tc>
          <w:tcPr>
            <w:tcW w:w="712" w:type="pct"/>
            <w:tcBorders>
              <w:bottom w:val="single" w:sz="2" w:space="0" w:color="000000"/>
            </w:tcBorders>
          </w:tcPr>
          <w:p w14:paraId="221792FF" w14:textId="77777777" w:rsidR="00793814" w:rsidRPr="00154F1D" w:rsidRDefault="00793814" w:rsidP="00947EB4">
            <w:pPr>
              <w:rPr>
                <w:sz w:val="20"/>
                <w:szCs w:val="20"/>
              </w:rPr>
            </w:pPr>
          </w:p>
        </w:tc>
      </w:tr>
      <w:tr w:rsidR="00793814" w:rsidRPr="00154F1D" w14:paraId="1A88035B" w14:textId="77777777" w:rsidTr="00342963">
        <w:tc>
          <w:tcPr>
            <w:tcW w:w="609" w:type="pct"/>
            <w:tcBorders>
              <w:top w:val="single" w:sz="2" w:space="0" w:color="000000"/>
            </w:tcBorders>
          </w:tcPr>
          <w:p w14:paraId="27AE4AA5" w14:textId="77777777" w:rsidR="00793814" w:rsidRPr="00154F1D" w:rsidRDefault="00793814" w:rsidP="00947EB4">
            <w:pPr>
              <w:rPr>
                <w:b/>
                <w:sz w:val="20"/>
                <w:szCs w:val="20"/>
              </w:rPr>
            </w:pPr>
            <w:r w:rsidRPr="00154F1D">
              <w:rPr>
                <w:b/>
                <w:sz w:val="20"/>
                <w:szCs w:val="20"/>
              </w:rPr>
              <w:t>NT</w:t>
            </w:r>
          </w:p>
          <w:p w14:paraId="12F2AFCD" w14:textId="32E67BE6" w:rsidR="00793814" w:rsidRPr="00154F1D" w:rsidRDefault="00793814" w:rsidP="00947EB4">
            <w:pPr>
              <w:rPr>
                <w:i/>
                <w:sz w:val="20"/>
                <w:szCs w:val="20"/>
              </w:rPr>
            </w:pPr>
            <w:r w:rsidRPr="00154F1D">
              <w:rPr>
                <w:i/>
                <w:sz w:val="20"/>
                <w:szCs w:val="20"/>
              </w:rPr>
              <w:t>Criminal Code</w:t>
            </w:r>
          </w:p>
        </w:tc>
        <w:tc>
          <w:tcPr>
            <w:tcW w:w="406" w:type="pct"/>
            <w:tcBorders>
              <w:top w:val="single" w:sz="2" w:space="0" w:color="000000"/>
            </w:tcBorders>
          </w:tcPr>
          <w:p w14:paraId="034F09BE" w14:textId="77777777" w:rsidR="00793814" w:rsidRPr="00154F1D" w:rsidRDefault="00793814" w:rsidP="00947EB4">
            <w:pPr>
              <w:rPr>
                <w:sz w:val="20"/>
                <w:szCs w:val="20"/>
              </w:rPr>
            </w:pPr>
            <w:r w:rsidRPr="00154F1D">
              <w:rPr>
                <w:sz w:val="20"/>
                <w:szCs w:val="20"/>
              </w:rPr>
              <w:t>Mental impairment</w:t>
            </w:r>
          </w:p>
          <w:p w14:paraId="57EEA6E2" w14:textId="462283AD" w:rsidR="00793814" w:rsidRPr="00154F1D" w:rsidRDefault="00793814" w:rsidP="00947EB4">
            <w:pPr>
              <w:rPr>
                <w:sz w:val="20"/>
                <w:szCs w:val="20"/>
              </w:rPr>
            </w:pPr>
          </w:p>
        </w:tc>
        <w:tc>
          <w:tcPr>
            <w:tcW w:w="1220" w:type="pct"/>
            <w:tcBorders>
              <w:top w:val="single" w:sz="2" w:space="0" w:color="000000"/>
            </w:tcBorders>
          </w:tcPr>
          <w:p w14:paraId="7985045D" w14:textId="77777777" w:rsidR="00793814" w:rsidRPr="00154F1D" w:rsidRDefault="00793814" w:rsidP="00947EB4">
            <w:pPr>
              <w:rPr>
                <w:sz w:val="20"/>
                <w:szCs w:val="20"/>
              </w:rPr>
            </w:pPr>
            <w:r w:rsidRPr="00154F1D">
              <w:rPr>
                <w:sz w:val="20"/>
                <w:szCs w:val="20"/>
              </w:rPr>
              <w:t>Mental impairment includes senility, intellectual disability, mental illness, brain damage and involuntary intoxication.</w:t>
            </w:r>
          </w:p>
          <w:p w14:paraId="0ECDECFF" w14:textId="01460810" w:rsidR="00793814" w:rsidRPr="00154F1D" w:rsidRDefault="00793814" w:rsidP="00947EB4">
            <w:pPr>
              <w:rPr>
                <w:sz w:val="20"/>
                <w:szCs w:val="20"/>
              </w:rPr>
            </w:pPr>
            <w:r w:rsidRPr="00154F1D">
              <w:rPr>
                <w:sz w:val="20"/>
                <w:szCs w:val="20"/>
              </w:rPr>
              <w:t>Mental illness is a reference to an underlying pathological infirmity of mind, whether of long or short duration and whether permanent or temporary, but does not include a condition that results from the reaction of a healthy mind to extraordinary external stimuli (although such a condition may be evidence of a mental illness if it involves some abnormality and is prone to recur).</w:t>
            </w:r>
          </w:p>
        </w:tc>
        <w:tc>
          <w:tcPr>
            <w:tcW w:w="661" w:type="pct"/>
            <w:tcBorders>
              <w:top w:val="single" w:sz="2" w:space="0" w:color="000000"/>
            </w:tcBorders>
          </w:tcPr>
          <w:p w14:paraId="7A821F36" w14:textId="47AD599B" w:rsidR="00793814" w:rsidRPr="00154F1D" w:rsidRDefault="00793814" w:rsidP="00947EB4">
            <w:pPr>
              <w:rPr>
                <w:sz w:val="20"/>
                <w:szCs w:val="20"/>
              </w:rPr>
            </w:pPr>
            <w:r w:rsidRPr="00154F1D">
              <w:rPr>
                <w:sz w:val="20"/>
                <w:szCs w:val="20"/>
              </w:rPr>
              <w:t>Did not know the nature and quality of the conduct.</w:t>
            </w:r>
          </w:p>
          <w:p w14:paraId="4DB68E5B" w14:textId="047E3EC1" w:rsidR="00793814" w:rsidRPr="00154F1D" w:rsidRDefault="00793814" w:rsidP="00947EB4">
            <w:pPr>
              <w:rPr>
                <w:sz w:val="20"/>
                <w:szCs w:val="20"/>
              </w:rPr>
            </w:pPr>
          </w:p>
        </w:tc>
        <w:tc>
          <w:tcPr>
            <w:tcW w:w="651" w:type="pct"/>
            <w:tcBorders>
              <w:top w:val="single" w:sz="2" w:space="0" w:color="000000"/>
            </w:tcBorders>
          </w:tcPr>
          <w:p w14:paraId="6F8017C4" w14:textId="77777777" w:rsidR="00793814" w:rsidRPr="00154F1D" w:rsidRDefault="00793814" w:rsidP="00947EB4">
            <w:pPr>
              <w:rPr>
                <w:sz w:val="20"/>
                <w:szCs w:val="20"/>
              </w:rPr>
            </w:pPr>
            <w:r w:rsidRPr="00154F1D">
              <w:rPr>
                <w:sz w:val="20"/>
                <w:szCs w:val="20"/>
              </w:rPr>
              <w:t>Did not know that the conduct was wrong (that is, the person could not reason with a moderate degree of sense and composure about whether the conduct, as perceived by reasonable people, was wrong).</w:t>
            </w:r>
          </w:p>
          <w:p w14:paraId="23D89319" w14:textId="69A870F5" w:rsidR="00793814" w:rsidRPr="00154F1D" w:rsidRDefault="00793814" w:rsidP="00947EB4">
            <w:pPr>
              <w:rPr>
                <w:sz w:val="20"/>
                <w:szCs w:val="20"/>
              </w:rPr>
            </w:pPr>
          </w:p>
        </w:tc>
        <w:tc>
          <w:tcPr>
            <w:tcW w:w="741" w:type="pct"/>
            <w:tcBorders>
              <w:top w:val="single" w:sz="2" w:space="0" w:color="000000"/>
            </w:tcBorders>
          </w:tcPr>
          <w:p w14:paraId="7CD1147E" w14:textId="605359DC" w:rsidR="00793814" w:rsidRPr="00154F1D" w:rsidRDefault="00793814" w:rsidP="00947EB4">
            <w:pPr>
              <w:rPr>
                <w:sz w:val="20"/>
                <w:szCs w:val="20"/>
              </w:rPr>
            </w:pPr>
            <w:r w:rsidRPr="00154F1D">
              <w:rPr>
                <w:sz w:val="20"/>
                <w:szCs w:val="20"/>
              </w:rPr>
              <w:t>Unable to control conduct.</w:t>
            </w:r>
          </w:p>
          <w:p w14:paraId="7C0C18C9" w14:textId="77777777" w:rsidR="00793814" w:rsidRPr="00154F1D" w:rsidRDefault="00793814" w:rsidP="00947EB4">
            <w:pPr>
              <w:rPr>
                <w:sz w:val="20"/>
                <w:szCs w:val="20"/>
              </w:rPr>
            </w:pPr>
          </w:p>
        </w:tc>
        <w:tc>
          <w:tcPr>
            <w:tcW w:w="712" w:type="pct"/>
            <w:tcBorders>
              <w:top w:val="single" w:sz="2" w:space="0" w:color="000000"/>
            </w:tcBorders>
          </w:tcPr>
          <w:p w14:paraId="771FD053" w14:textId="77777777" w:rsidR="00793814" w:rsidRPr="00154F1D" w:rsidRDefault="00793814" w:rsidP="00947EB4">
            <w:pPr>
              <w:pStyle w:val="ListParagraph"/>
              <w:numPr>
                <w:ilvl w:val="0"/>
                <w:numId w:val="49"/>
              </w:numPr>
              <w:spacing w:after="0"/>
              <w:jc w:val="left"/>
              <w:rPr>
                <w:sz w:val="20"/>
                <w:szCs w:val="20"/>
              </w:rPr>
            </w:pPr>
          </w:p>
        </w:tc>
      </w:tr>
      <w:tr w:rsidR="00793814" w:rsidRPr="00154F1D" w14:paraId="2CE2E04E" w14:textId="77777777" w:rsidTr="00777074">
        <w:tc>
          <w:tcPr>
            <w:tcW w:w="609" w:type="pct"/>
            <w:tcBorders>
              <w:bottom w:val="single" w:sz="8" w:space="0" w:color="000000"/>
            </w:tcBorders>
          </w:tcPr>
          <w:p w14:paraId="6EF56FA1" w14:textId="77777777" w:rsidR="00793814" w:rsidRPr="00154F1D" w:rsidRDefault="00793814" w:rsidP="00947EB4">
            <w:pPr>
              <w:rPr>
                <w:sz w:val="20"/>
                <w:szCs w:val="20"/>
              </w:rPr>
            </w:pPr>
          </w:p>
        </w:tc>
        <w:tc>
          <w:tcPr>
            <w:tcW w:w="406" w:type="pct"/>
            <w:tcBorders>
              <w:bottom w:val="single" w:sz="8" w:space="0" w:color="000000"/>
            </w:tcBorders>
          </w:tcPr>
          <w:p w14:paraId="58C86ED2" w14:textId="77777777" w:rsidR="00793814" w:rsidRPr="00154F1D" w:rsidRDefault="00793814" w:rsidP="00947EB4">
            <w:pPr>
              <w:rPr>
                <w:sz w:val="20"/>
                <w:szCs w:val="20"/>
              </w:rPr>
            </w:pPr>
            <w:r w:rsidRPr="00154F1D">
              <w:rPr>
                <w:sz w:val="20"/>
                <w:szCs w:val="20"/>
              </w:rPr>
              <w:t>s 43C</w:t>
            </w:r>
          </w:p>
        </w:tc>
        <w:tc>
          <w:tcPr>
            <w:tcW w:w="1220" w:type="pct"/>
            <w:tcBorders>
              <w:bottom w:val="single" w:sz="8" w:space="0" w:color="000000"/>
            </w:tcBorders>
          </w:tcPr>
          <w:p w14:paraId="1C504788" w14:textId="77777777" w:rsidR="00793814" w:rsidRPr="00154F1D" w:rsidRDefault="00793814" w:rsidP="00947EB4">
            <w:pPr>
              <w:rPr>
                <w:sz w:val="20"/>
                <w:szCs w:val="20"/>
              </w:rPr>
            </w:pPr>
            <w:r w:rsidRPr="00154F1D">
              <w:rPr>
                <w:sz w:val="20"/>
                <w:szCs w:val="20"/>
              </w:rPr>
              <w:t>s 43A</w:t>
            </w:r>
          </w:p>
        </w:tc>
        <w:tc>
          <w:tcPr>
            <w:tcW w:w="661" w:type="pct"/>
            <w:tcBorders>
              <w:bottom w:val="single" w:sz="8" w:space="0" w:color="000000"/>
            </w:tcBorders>
          </w:tcPr>
          <w:p w14:paraId="4ED4ECB2" w14:textId="77777777" w:rsidR="00793814" w:rsidRPr="00154F1D" w:rsidRDefault="00793814" w:rsidP="00947EB4">
            <w:pPr>
              <w:rPr>
                <w:sz w:val="20"/>
                <w:szCs w:val="20"/>
              </w:rPr>
            </w:pPr>
            <w:r w:rsidRPr="00154F1D">
              <w:rPr>
                <w:sz w:val="20"/>
                <w:szCs w:val="20"/>
              </w:rPr>
              <w:t>s 43C(1)(a)</w:t>
            </w:r>
          </w:p>
        </w:tc>
        <w:tc>
          <w:tcPr>
            <w:tcW w:w="651" w:type="pct"/>
            <w:tcBorders>
              <w:bottom w:val="single" w:sz="8" w:space="0" w:color="000000"/>
            </w:tcBorders>
          </w:tcPr>
          <w:p w14:paraId="59893CA8" w14:textId="77777777" w:rsidR="00793814" w:rsidRPr="00154F1D" w:rsidRDefault="00793814" w:rsidP="00947EB4">
            <w:pPr>
              <w:rPr>
                <w:sz w:val="20"/>
                <w:szCs w:val="20"/>
              </w:rPr>
            </w:pPr>
            <w:r w:rsidRPr="00154F1D">
              <w:rPr>
                <w:sz w:val="20"/>
                <w:szCs w:val="20"/>
              </w:rPr>
              <w:t>s 43C(1)(b)</w:t>
            </w:r>
          </w:p>
        </w:tc>
        <w:tc>
          <w:tcPr>
            <w:tcW w:w="741" w:type="pct"/>
            <w:tcBorders>
              <w:bottom w:val="single" w:sz="8" w:space="0" w:color="000000"/>
            </w:tcBorders>
          </w:tcPr>
          <w:p w14:paraId="00E8EAA0" w14:textId="77777777" w:rsidR="00793814" w:rsidRPr="00154F1D" w:rsidRDefault="00793814" w:rsidP="00947EB4">
            <w:pPr>
              <w:rPr>
                <w:sz w:val="20"/>
                <w:szCs w:val="20"/>
              </w:rPr>
            </w:pPr>
            <w:r w:rsidRPr="00154F1D">
              <w:rPr>
                <w:sz w:val="20"/>
                <w:szCs w:val="20"/>
              </w:rPr>
              <w:t>s 43C(1)(c)</w:t>
            </w:r>
          </w:p>
        </w:tc>
        <w:tc>
          <w:tcPr>
            <w:tcW w:w="712" w:type="pct"/>
            <w:tcBorders>
              <w:bottom w:val="single" w:sz="8" w:space="0" w:color="000000"/>
            </w:tcBorders>
          </w:tcPr>
          <w:p w14:paraId="027DBDB1" w14:textId="77777777" w:rsidR="00793814" w:rsidRPr="00154F1D" w:rsidRDefault="00793814" w:rsidP="00947EB4">
            <w:pPr>
              <w:pStyle w:val="ListParagraph"/>
              <w:spacing w:after="0"/>
              <w:rPr>
                <w:sz w:val="20"/>
                <w:szCs w:val="20"/>
              </w:rPr>
            </w:pPr>
          </w:p>
        </w:tc>
      </w:tr>
      <w:tr w:rsidR="00793814" w:rsidRPr="00154F1D" w14:paraId="043C6193" w14:textId="77777777" w:rsidTr="00777074">
        <w:tc>
          <w:tcPr>
            <w:tcW w:w="609" w:type="pct"/>
            <w:tcBorders>
              <w:top w:val="single" w:sz="8" w:space="0" w:color="000000"/>
            </w:tcBorders>
          </w:tcPr>
          <w:p w14:paraId="16C3EDBC" w14:textId="77777777" w:rsidR="00793814" w:rsidRPr="00154F1D" w:rsidRDefault="00793814" w:rsidP="00947EB4">
            <w:pPr>
              <w:keepNext/>
              <w:rPr>
                <w:b/>
                <w:sz w:val="20"/>
                <w:szCs w:val="20"/>
              </w:rPr>
            </w:pPr>
            <w:r w:rsidRPr="00154F1D">
              <w:rPr>
                <w:b/>
                <w:sz w:val="20"/>
                <w:szCs w:val="20"/>
              </w:rPr>
              <w:t>QLD</w:t>
            </w:r>
          </w:p>
          <w:p w14:paraId="64BBD0B7" w14:textId="4F2BED23" w:rsidR="00793814" w:rsidRPr="00154F1D" w:rsidRDefault="00793814" w:rsidP="00947EB4">
            <w:pPr>
              <w:keepNext/>
              <w:rPr>
                <w:i/>
                <w:sz w:val="20"/>
                <w:szCs w:val="20"/>
              </w:rPr>
            </w:pPr>
            <w:r w:rsidRPr="00154F1D">
              <w:rPr>
                <w:i/>
                <w:sz w:val="20"/>
                <w:szCs w:val="20"/>
              </w:rPr>
              <w:t>Criminal Code</w:t>
            </w:r>
          </w:p>
        </w:tc>
        <w:tc>
          <w:tcPr>
            <w:tcW w:w="406" w:type="pct"/>
            <w:tcBorders>
              <w:top w:val="single" w:sz="8" w:space="0" w:color="000000"/>
            </w:tcBorders>
          </w:tcPr>
          <w:p w14:paraId="0F1F6830" w14:textId="78AB42DB" w:rsidR="00793814" w:rsidRPr="00154F1D" w:rsidRDefault="00793814" w:rsidP="00947EB4">
            <w:pPr>
              <w:keepNext/>
              <w:rPr>
                <w:sz w:val="20"/>
                <w:szCs w:val="20"/>
              </w:rPr>
            </w:pPr>
            <w:r w:rsidRPr="00154F1D">
              <w:rPr>
                <w:sz w:val="20"/>
                <w:szCs w:val="20"/>
              </w:rPr>
              <w:t>Insanity</w:t>
            </w:r>
          </w:p>
          <w:p w14:paraId="3855CCF8" w14:textId="6BDB1C2F" w:rsidR="00793814" w:rsidRPr="00154F1D" w:rsidRDefault="00793814" w:rsidP="00947EB4">
            <w:pPr>
              <w:keepNext/>
              <w:rPr>
                <w:sz w:val="20"/>
                <w:szCs w:val="20"/>
              </w:rPr>
            </w:pPr>
          </w:p>
        </w:tc>
        <w:tc>
          <w:tcPr>
            <w:tcW w:w="1220" w:type="pct"/>
            <w:tcBorders>
              <w:top w:val="single" w:sz="8" w:space="0" w:color="000000"/>
            </w:tcBorders>
          </w:tcPr>
          <w:p w14:paraId="189405D0" w14:textId="3376100E" w:rsidR="00793814" w:rsidRPr="00154F1D" w:rsidRDefault="00793814" w:rsidP="00947EB4">
            <w:pPr>
              <w:keepNext/>
              <w:rPr>
                <w:sz w:val="20"/>
                <w:szCs w:val="20"/>
              </w:rPr>
            </w:pPr>
            <w:r w:rsidRPr="00154F1D">
              <w:rPr>
                <w:sz w:val="20"/>
                <w:szCs w:val="20"/>
              </w:rPr>
              <w:t>Mental disease or natural mental infirmity</w:t>
            </w:r>
          </w:p>
          <w:p w14:paraId="4B3DB97C" w14:textId="0F4678B5" w:rsidR="00793814" w:rsidRPr="00154F1D" w:rsidRDefault="00793814" w:rsidP="00947EB4">
            <w:pPr>
              <w:keepNext/>
              <w:rPr>
                <w:sz w:val="20"/>
                <w:szCs w:val="20"/>
              </w:rPr>
            </w:pPr>
          </w:p>
        </w:tc>
        <w:tc>
          <w:tcPr>
            <w:tcW w:w="661" w:type="pct"/>
            <w:tcBorders>
              <w:top w:val="single" w:sz="8" w:space="0" w:color="000000"/>
            </w:tcBorders>
          </w:tcPr>
          <w:p w14:paraId="751309E1" w14:textId="69CD1978" w:rsidR="00793814" w:rsidRPr="00154F1D" w:rsidRDefault="00793814" w:rsidP="00947EB4">
            <w:pPr>
              <w:keepNext/>
              <w:rPr>
                <w:sz w:val="20"/>
                <w:szCs w:val="20"/>
              </w:rPr>
            </w:pPr>
            <w:r w:rsidRPr="00154F1D">
              <w:rPr>
                <w:sz w:val="20"/>
                <w:szCs w:val="20"/>
              </w:rPr>
              <w:t>Capacity to understand what the person is doing.</w:t>
            </w:r>
          </w:p>
          <w:p w14:paraId="643C7B27" w14:textId="51FB65FB" w:rsidR="00793814" w:rsidRPr="00154F1D" w:rsidRDefault="00793814" w:rsidP="00947EB4">
            <w:pPr>
              <w:keepNext/>
              <w:rPr>
                <w:sz w:val="20"/>
                <w:szCs w:val="20"/>
              </w:rPr>
            </w:pPr>
          </w:p>
        </w:tc>
        <w:tc>
          <w:tcPr>
            <w:tcW w:w="651" w:type="pct"/>
            <w:tcBorders>
              <w:top w:val="single" w:sz="8" w:space="0" w:color="000000"/>
            </w:tcBorders>
          </w:tcPr>
          <w:p w14:paraId="6A4F78A7" w14:textId="7C570B66" w:rsidR="00793814" w:rsidRPr="00154F1D" w:rsidRDefault="00793814" w:rsidP="00947EB4">
            <w:pPr>
              <w:keepNext/>
              <w:rPr>
                <w:sz w:val="20"/>
                <w:szCs w:val="20"/>
              </w:rPr>
            </w:pPr>
            <w:r w:rsidRPr="00154F1D">
              <w:rPr>
                <w:sz w:val="20"/>
                <w:szCs w:val="20"/>
              </w:rPr>
              <w:t>Capacity to know that the person ought not to do the act or make the omission.</w:t>
            </w:r>
          </w:p>
          <w:p w14:paraId="56DB5C7E" w14:textId="73056F94" w:rsidR="00793814" w:rsidRPr="00154F1D" w:rsidRDefault="00793814" w:rsidP="00947EB4">
            <w:pPr>
              <w:keepNext/>
              <w:rPr>
                <w:sz w:val="20"/>
                <w:szCs w:val="20"/>
              </w:rPr>
            </w:pPr>
          </w:p>
        </w:tc>
        <w:tc>
          <w:tcPr>
            <w:tcW w:w="741" w:type="pct"/>
            <w:tcBorders>
              <w:top w:val="single" w:sz="8" w:space="0" w:color="000000"/>
            </w:tcBorders>
          </w:tcPr>
          <w:p w14:paraId="483920F5" w14:textId="325D3D18" w:rsidR="00793814" w:rsidRPr="00154F1D" w:rsidRDefault="00793814" w:rsidP="00947EB4">
            <w:pPr>
              <w:keepNext/>
              <w:rPr>
                <w:sz w:val="20"/>
                <w:szCs w:val="20"/>
              </w:rPr>
            </w:pPr>
            <w:r w:rsidRPr="00154F1D">
              <w:rPr>
                <w:sz w:val="20"/>
                <w:szCs w:val="20"/>
              </w:rPr>
              <w:t>Capacity to control the person’s action.</w:t>
            </w:r>
          </w:p>
          <w:p w14:paraId="507BFAF5" w14:textId="121E6F41" w:rsidR="00793814" w:rsidRPr="00154F1D" w:rsidRDefault="00793814" w:rsidP="00947EB4">
            <w:pPr>
              <w:keepNext/>
              <w:rPr>
                <w:sz w:val="20"/>
                <w:szCs w:val="20"/>
              </w:rPr>
            </w:pPr>
          </w:p>
        </w:tc>
        <w:tc>
          <w:tcPr>
            <w:tcW w:w="712" w:type="pct"/>
            <w:tcBorders>
              <w:top w:val="single" w:sz="8" w:space="0" w:color="000000"/>
            </w:tcBorders>
          </w:tcPr>
          <w:p w14:paraId="193AEA54" w14:textId="631909CC" w:rsidR="00793814" w:rsidRPr="00154F1D" w:rsidRDefault="00793814" w:rsidP="00947EB4">
            <w:pPr>
              <w:keepNext/>
              <w:rPr>
                <w:sz w:val="20"/>
                <w:szCs w:val="20"/>
              </w:rPr>
            </w:pPr>
            <w:r w:rsidRPr="00154F1D">
              <w:rPr>
                <w:sz w:val="20"/>
                <w:szCs w:val="20"/>
              </w:rPr>
              <w:t>Affect</w:t>
            </w:r>
            <w:r w:rsidR="00EC09B6" w:rsidRPr="00154F1D">
              <w:rPr>
                <w:sz w:val="20"/>
                <w:szCs w:val="20"/>
              </w:rPr>
              <w:t>ed</w:t>
            </w:r>
            <w:r w:rsidRPr="00154F1D">
              <w:rPr>
                <w:sz w:val="20"/>
                <w:szCs w:val="20"/>
              </w:rPr>
              <w:t xml:space="preserve"> by delusions on some specific matter or matters, but who is not otherwise entitled to the benefit of sub</w:t>
            </w:r>
            <w:r w:rsidR="00EC09B6" w:rsidRPr="00154F1D">
              <w:rPr>
                <w:sz w:val="20"/>
                <w:szCs w:val="20"/>
              </w:rPr>
              <w:t>-</w:t>
            </w:r>
            <w:r w:rsidRPr="00154F1D">
              <w:rPr>
                <w:sz w:val="20"/>
                <w:szCs w:val="20"/>
              </w:rPr>
              <w:t>s (1), is criminally responsible to the same extent as if the real state if things had been such as the person as induced by the delusions to believe to exist.</w:t>
            </w:r>
          </w:p>
        </w:tc>
      </w:tr>
      <w:tr w:rsidR="00793814" w:rsidRPr="00154F1D" w14:paraId="0DE564F2" w14:textId="77777777" w:rsidTr="00B91449">
        <w:tc>
          <w:tcPr>
            <w:tcW w:w="609" w:type="pct"/>
            <w:tcBorders>
              <w:bottom w:val="single" w:sz="8" w:space="0" w:color="000000"/>
            </w:tcBorders>
          </w:tcPr>
          <w:p w14:paraId="1B77FBB4" w14:textId="77777777" w:rsidR="00793814" w:rsidRPr="00154F1D" w:rsidRDefault="00793814" w:rsidP="00947EB4">
            <w:pPr>
              <w:rPr>
                <w:sz w:val="20"/>
                <w:szCs w:val="20"/>
              </w:rPr>
            </w:pPr>
          </w:p>
        </w:tc>
        <w:tc>
          <w:tcPr>
            <w:tcW w:w="406" w:type="pct"/>
            <w:tcBorders>
              <w:bottom w:val="single" w:sz="8" w:space="0" w:color="000000"/>
            </w:tcBorders>
          </w:tcPr>
          <w:p w14:paraId="64FFDDD0" w14:textId="77777777" w:rsidR="00793814" w:rsidRPr="00154F1D" w:rsidRDefault="00793814" w:rsidP="00947EB4">
            <w:pPr>
              <w:rPr>
                <w:sz w:val="20"/>
                <w:szCs w:val="20"/>
              </w:rPr>
            </w:pPr>
            <w:r w:rsidRPr="00154F1D">
              <w:rPr>
                <w:sz w:val="20"/>
                <w:szCs w:val="20"/>
              </w:rPr>
              <w:t>s 27</w:t>
            </w:r>
          </w:p>
        </w:tc>
        <w:tc>
          <w:tcPr>
            <w:tcW w:w="1220" w:type="pct"/>
            <w:tcBorders>
              <w:bottom w:val="single" w:sz="8" w:space="0" w:color="000000"/>
            </w:tcBorders>
          </w:tcPr>
          <w:p w14:paraId="46ED61F5" w14:textId="77777777" w:rsidR="00793814" w:rsidRPr="00154F1D" w:rsidRDefault="00793814" w:rsidP="00947EB4">
            <w:pPr>
              <w:rPr>
                <w:sz w:val="20"/>
                <w:szCs w:val="20"/>
              </w:rPr>
            </w:pPr>
            <w:r w:rsidRPr="00154F1D">
              <w:rPr>
                <w:sz w:val="20"/>
                <w:szCs w:val="20"/>
              </w:rPr>
              <w:t>s 27(1)</w:t>
            </w:r>
          </w:p>
        </w:tc>
        <w:tc>
          <w:tcPr>
            <w:tcW w:w="661" w:type="pct"/>
            <w:tcBorders>
              <w:bottom w:val="single" w:sz="8" w:space="0" w:color="000000"/>
            </w:tcBorders>
          </w:tcPr>
          <w:p w14:paraId="1BD3D557" w14:textId="77777777" w:rsidR="00793814" w:rsidRPr="00154F1D" w:rsidRDefault="00793814" w:rsidP="00947EB4">
            <w:pPr>
              <w:rPr>
                <w:sz w:val="20"/>
                <w:szCs w:val="20"/>
              </w:rPr>
            </w:pPr>
            <w:r w:rsidRPr="00154F1D">
              <w:rPr>
                <w:sz w:val="20"/>
                <w:szCs w:val="20"/>
              </w:rPr>
              <w:t>s 27(1)</w:t>
            </w:r>
          </w:p>
        </w:tc>
        <w:tc>
          <w:tcPr>
            <w:tcW w:w="651" w:type="pct"/>
            <w:tcBorders>
              <w:bottom w:val="single" w:sz="8" w:space="0" w:color="000000"/>
            </w:tcBorders>
          </w:tcPr>
          <w:p w14:paraId="28AC1C36" w14:textId="77777777" w:rsidR="00793814" w:rsidRPr="00154F1D" w:rsidRDefault="00793814" w:rsidP="00947EB4">
            <w:pPr>
              <w:rPr>
                <w:sz w:val="20"/>
                <w:szCs w:val="20"/>
              </w:rPr>
            </w:pPr>
            <w:r w:rsidRPr="00154F1D">
              <w:rPr>
                <w:sz w:val="20"/>
                <w:szCs w:val="20"/>
              </w:rPr>
              <w:t>s 27(1)</w:t>
            </w:r>
          </w:p>
        </w:tc>
        <w:tc>
          <w:tcPr>
            <w:tcW w:w="741" w:type="pct"/>
            <w:tcBorders>
              <w:bottom w:val="single" w:sz="8" w:space="0" w:color="000000"/>
            </w:tcBorders>
          </w:tcPr>
          <w:p w14:paraId="6DC30088" w14:textId="77777777" w:rsidR="00793814" w:rsidRPr="00154F1D" w:rsidRDefault="00793814" w:rsidP="00947EB4">
            <w:pPr>
              <w:rPr>
                <w:sz w:val="20"/>
                <w:szCs w:val="20"/>
              </w:rPr>
            </w:pPr>
            <w:r w:rsidRPr="00154F1D">
              <w:rPr>
                <w:sz w:val="20"/>
                <w:szCs w:val="20"/>
              </w:rPr>
              <w:t>s 27(1)</w:t>
            </w:r>
          </w:p>
        </w:tc>
        <w:tc>
          <w:tcPr>
            <w:tcW w:w="712" w:type="pct"/>
            <w:tcBorders>
              <w:bottom w:val="single" w:sz="8" w:space="0" w:color="000000"/>
            </w:tcBorders>
          </w:tcPr>
          <w:p w14:paraId="6CF85518" w14:textId="77777777" w:rsidR="00793814" w:rsidRPr="00154F1D" w:rsidRDefault="00793814" w:rsidP="00947EB4">
            <w:pPr>
              <w:rPr>
                <w:sz w:val="20"/>
                <w:szCs w:val="20"/>
              </w:rPr>
            </w:pPr>
            <w:r w:rsidRPr="00154F1D">
              <w:rPr>
                <w:sz w:val="20"/>
                <w:szCs w:val="20"/>
              </w:rPr>
              <w:t>s 27(2)</w:t>
            </w:r>
          </w:p>
        </w:tc>
      </w:tr>
      <w:tr w:rsidR="00793814" w:rsidRPr="00154F1D" w14:paraId="6A7BBA24" w14:textId="77777777" w:rsidTr="00803ABF">
        <w:tc>
          <w:tcPr>
            <w:tcW w:w="609" w:type="pct"/>
            <w:tcBorders>
              <w:top w:val="single" w:sz="2" w:space="0" w:color="000000"/>
            </w:tcBorders>
          </w:tcPr>
          <w:p w14:paraId="345E48B2" w14:textId="77777777" w:rsidR="00793814" w:rsidRPr="00154F1D" w:rsidRDefault="00793814" w:rsidP="00947EB4">
            <w:pPr>
              <w:rPr>
                <w:b/>
                <w:sz w:val="20"/>
                <w:szCs w:val="20"/>
              </w:rPr>
            </w:pPr>
            <w:r w:rsidRPr="00154F1D">
              <w:rPr>
                <w:b/>
                <w:sz w:val="20"/>
                <w:szCs w:val="20"/>
              </w:rPr>
              <w:t>SA</w:t>
            </w:r>
          </w:p>
          <w:p w14:paraId="433BAE53" w14:textId="63353599" w:rsidR="00793814" w:rsidRPr="00154F1D" w:rsidRDefault="00793814" w:rsidP="00947EB4">
            <w:pPr>
              <w:rPr>
                <w:i/>
                <w:sz w:val="20"/>
                <w:szCs w:val="20"/>
              </w:rPr>
            </w:pPr>
            <w:r w:rsidRPr="00154F1D">
              <w:rPr>
                <w:i/>
                <w:sz w:val="20"/>
                <w:szCs w:val="20"/>
              </w:rPr>
              <w:t>Criminal Law Consolidation Act 1935</w:t>
            </w:r>
          </w:p>
        </w:tc>
        <w:tc>
          <w:tcPr>
            <w:tcW w:w="406" w:type="pct"/>
            <w:tcBorders>
              <w:top w:val="single" w:sz="2" w:space="0" w:color="000000"/>
            </w:tcBorders>
          </w:tcPr>
          <w:p w14:paraId="639B8D40" w14:textId="43B320BA" w:rsidR="00793814" w:rsidRPr="00154F1D" w:rsidRDefault="00793814" w:rsidP="00947EB4">
            <w:pPr>
              <w:rPr>
                <w:sz w:val="20"/>
                <w:szCs w:val="20"/>
              </w:rPr>
            </w:pPr>
            <w:r w:rsidRPr="00154F1D">
              <w:rPr>
                <w:sz w:val="20"/>
                <w:szCs w:val="20"/>
              </w:rPr>
              <w:t>Mental incompetence</w:t>
            </w:r>
          </w:p>
          <w:p w14:paraId="3963E5C8" w14:textId="77777777" w:rsidR="00793814" w:rsidRPr="00154F1D" w:rsidRDefault="00793814" w:rsidP="00947EB4">
            <w:pPr>
              <w:rPr>
                <w:sz w:val="20"/>
                <w:szCs w:val="20"/>
              </w:rPr>
            </w:pPr>
          </w:p>
        </w:tc>
        <w:tc>
          <w:tcPr>
            <w:tcW w:w="1220" w:type="pct"/>
            <w:tcBorders>
              <w:top w:val="single" w:sz="2" w:space="0" w:color="000000"/>
            </w:tcBorders>
          </w:tcPr>
          <w:p w14:paraId="4872F722" w14:textId="77777777" w:rsidR="00793814" w:rsidRPr="00154F1D" w:rsidRDefault="00793814" w:rsidP="00947EB4">
            <w:pPr>
              <w:rPr>
                <w:sz w:val="20"/>
                <w:szCs w:val="20"/>
              </w:rPr>
            </w:pPr>
            <w:r w:rsidRPr="00154F1D">
              <w:rPr>
                <w:sz w:val="20"/>
                <w:szCs w:val="20"/>
              </w:rPr>
              <w:t>Mental impairment includes mental illness, intellectual disability or a disability or impairment of mind resulting from senility.</w:t>
            </w:r>
          </w:p>
          <w:p w14:paraId="2515CEA2" w14:textId="7B50DD3D" w:rsidR="00793814" w:rsidRPr="00154F1D" w:rsidRDefault="00793814" w:rsidP="00947EB4">
            <w:pPr>
              <w:rPr>
                <w:sz w:val="20"/>
                <w:szCs w:val="20"/>
              </w:rPr>
            </w:pPr>
            <w:r w:rsidRPr="00154F1D">
              <w:rPr>
                <w:sz w:val="20"/>
                <w:szCs w:val="20"/>
              </w:rPr>
              <w:t>Mental illness means a pathological infirmity of the mind (including a temporary one of short duration).</w:t>
            </w:r>
          </w:p>
        </w:tc>
        <w:tc>
          <w:tcPr>
            <w:tcW w:w="661" w:type="pct"/>
            <w:tcBorders>
              <w:top w:val="single" w:sz="2" w:space="0" w:color="000000"/>
            </w:tcBorders>
          </w:tcPr>
          <w:p w14:paraId="50A4D3A0" w14:textId="77777777" w:rsidR="00793814" w:rsidRPr="00154F1D" w:rsidRDefault="00793814" w:rsidP="00947EB4">
            <w:pPr>
              <w:rPr>
                <w:sz w:val="20"/>
                <w:szCs w:val="20"/>
              </w:rPr>
            </w:pPr>
            <w:r w:rsidRPr="00154F1D">
              <w:rPr>
                <w:sz w:val="20"/>
                <w:szCs w:val="20"/>
              </w:rPr>
              <w:t>Does not know nature and quality of conduct.</w:t>
            </w:r>
          </w:p>
          <w:p w14:paraId="5876A8BA" w14:textId="232765EA" w:rsidR="00793814" w:rsidRPr="00154F1D" w:rsidRDefault="00793814" w:rsidP="00947EB4">
            <w:pPr>
              <w:rPr>
                <w:sz w:val="20"/>
                <w:szCs w:val="20"/>
              </w:rPr>
            </w:pPr>
          </w:p>
        </w:tc>
        <w:tc>
          <w:tcPr>
            <w:tcW w:w="651" w:type="pct"/>
            <w:tcBorders>
              <w:top w:val="single" w:sz="2" w:space="0" w:color="000000"/>
            </w:tcBorders>
          </w:tcPr>
          <w:p w14:paraId="5B33DC02" w14:textId="77777777" w:rsidR="00793814" w:rsidRPr="00154F1D" w:rsidRDefault="00793814" w:rsidP="00947EB4">
            <w:pPr>
              <w:rPr>
                <w:sz w:val="20"/>
                <w:szCs w:val="20"/>
              </w:rPr>
            </w:pPr>
            <w:r w:rsidRPr="00154F1D">
              <w:rPr>
                <w:sz w:val="20"/>
                <w:szCs w:val="20"/>
              </w:rPr>
              <w:t>Does not know that the conduct is wrong, that is the person could not reason about whether the conduct, as perceived by reasonable people, was wrong.</w:t>
            </w:r>
            <w:r w:rsidRPr="00154F1D">
              <w:rPr>
                <w:rStyle w:val="FootnoteReference"/>
                <w:szCs w:val="20"/>
              </w:rPr>
              <w:footnoteReference w:id="418"/>
            </w:r>
          </w:p>
        </w:tc>
        <w:tc>
          <w:tcPr>
            <w:tcW w:w="741" w:type="pct"/>
            <w:tcBorders>
              <w:top w:val="single" w:sz="2" w:space="0" w:color="000000"/>
            </w:tcBorders>
          </w:tcPr>
          <w:p w14:paraId="6F8C1CE7" w14:textId="77777777" w:rsidR="00793814" w:rsidRPr="00154F1D" w:rsidRDefault="00793814" w:rsidP="00947EB4">
            <w:pPr>
              <w:rPr>
                <w:sz w:val="20"/>
                <w:szCs w:val="20"/>
              </w:rPr>
            </w:pPr>
            <w:r w:rsidRPr="00154F1D">
              <w:rPr>
                <w:sz w:val="20"/>
                <w:szCs w:val="20"/>
              </w:rPr>
              <w:t>Totally unable to control conduct.</w:t>
            </w:r>
          </w:p>
          <w:p w14:paraId="3C08D143" w14:textId="20A5DE77" w:rsidR="00793814" w:rsidRPr="00154F1D" w:rsidRDefault="00793814" w:rsidP="00947EB4">
            <w:pPr>
              <w:rPr>
                <w:sz w:val="20"/>
                <w:szCs w:val="20"/>
              </w:rPr>
            </w:pPr>
          </w:p>
        </w:tc>
        <w:tc>
          <w:tcPr>
            <w:tcW w:w="712" w:type="pct"/>
            <w:tcBorders>
              <w:top w:val="single" w:sz="2" w:space="0" w:color="000000"/>
            </w:tcBorders>
          </w:tcPr>
          <w:p w14:paraId="3950C3FE" w14:textId="77777777" w:rsidR="00793814" w:rsidRPr="00154F1D" w:rsidRDefault="00793814" w:rsidP="00947EB4">
            <w:pPr>
              <w:pStyle w:val="ListParagraph"/>
              <w:numPr>
                <w:ilvl w:val="0"/>
                <w:numId w:val="49"/>
              </w:numPr>
              <w:spacing w:after="0"/>
              <w:jc w:val="left"/>
              <w:rPr>
                <w:sz w:val="20"/>
                <w:szCs w:val="20"/>
              </w:rPr>
            </w:pPr>
          </w:p>
        </w:tc>
      </w:tr>
      <w:tr w:rsidR="00793814" w:rsidRPr="00154F1D" w14:paraId="23BDD4DF" w14:textId="77777777" w:rsidTr="00B91449">
        <w:tc>
          <w:tcPr>
            <w:tcW w:w="609" w:type="pct"/>
            <w:tcBorders>
              <w:bottom w:val="single" w:sz="8" w:space="0" w:color="000000"/>
            </w:tcBorders>
          </w:tcPr>
          <w:p w14:paraId="27A0F33C" w14:textId="77777777" w:rsidR="00793814" w:rsidRPr="00154F1D" w:rsidRDefault="00793814" w:rsidP="00947EB4">
            <w:pPr>
              <w:rPr>
                <w:sz w:val="20"/>
                <w:szCs w:val="20"/>
              </w:rPr>
            </w:pPr>
          </w:p>
        </w:tc>
        <w:tc>
          <w:tcPr>
            <w:tcW w:w="406" w:type="pct"/>
            <w:tcBorders>
              <w:bottom w:val="single" w:sz="8" w:space="0" w:color="000000"/>
            </w:tcBorders>
          </w:tcPr>
          <w:p w14:paraId="64A01DCF" w14:textId="77777777" w:rsidR="00793814" w:rsidRPr="00154F1D" w:rsidRDefault="00793814" w:rsidP="00947EB4">
            <w:pPr>
              <w:rPr>
                <w:sz w:val="20"/>
                <w:szCs w:val="20"/>
              </w:rPr>
            </w:pPr>
            <w:r w:rsidRPr="00154F1D">
              <w:rPr>
                <w:sz w:val="20"/>
                <w:szCs w:val="20"/>
              </w:rPr>
              <w:t>s 269C</w:t>
            </w:r>
          </w:p>
        </w:tc>
        <w:tc>
          <w:tcPr>
            <w:tcW w:w="1220" w:type="pct"/>
            <w:tcBorders>
              <w:bottom w:val="single" w:sz="8" w:space="0" w:color="000000"/>
            </w:tcBorders>
          </w:tcPr>
          <w:p w14:paraId="6DA4864F" w14:textId="29D4E010" w:rsidR="00793814" w:rsidRPr="00154F1D" w:rsidRDefault="00793814" w:rsidP="00947EB4">
            <w:pPr>
              <w:rPr>
                <w:sz w:val="20"/>
                <w:szCs w:val="20"/>
              </w:rPr>
            </w:pPr>
            <w:r w:rsidRPr="00154F1D">
              <w:rPr>
                <w:sz w:val="20"/>
                <w:szCs w:val="20"/>
              </w:rPr>
              <w:t>s 269A</w:t>
            </w:r>
            <w:r w:rsidR="00B26DBD" w:rsidRPr="00154F1D">
              <w:rPr>
                <w:sz w:val="20"/>
                <w:szCs w:val="20"/>
              </w:rPr>
              <w:t xml:space="preserve"> [intoxication provision]</w:t>
            </w:r>
          </w:p>
        </w:tc>
        <w:tc>
          <w:tcPr>
            <w:tcW w:w="661" w:type="pct"/>
            <w:tcBorders>
              <w:bottom w:val="single" w:sz="8" w:space="0" w:color="000000"/>
            </w:tcBorders>
          </w:tcPr>
          <w:p w14:paraId="5BC1650E" w14:textId="77777777" w:rsidR="00793814" w:rsidRPr="00154F1D" w:rsidRDefault="00793814" w:rsidP="00947EB4">
            <w:pPr>
              <w:rPr>
                <w:sz w:val="20"/>
                <w:szCs w:val="20"/>
              </w:rPr>
            </w:pPr>
            <w:r w:rsidRPr="00154F1D">
              <w:rPr>
                <w:sz w:val="20"/>
                <w:szCs w:val="20"/>
              </w:rPr>
              <w:t>s 269C(1)(a)</w:t>
            </w:r>
          </w:p>
        </w:tc>
        <w:tc>
          <w:tcPr>
            <w:tcW w:w="651" w:type="pct"/>
            <w:tcBorders>
              <w:bottom w:val="single" w:sz="8" w:space="0" w:color="000000"/>
            </w:tcBorders>
          </w:tcPr>
          <w:p w14:paraId="254EBAB5" w14:textId="77777777" w:rsidR="00793814" w:rsidRPr="00154F1D" w:rsidRDefault="00793814" w:rsidP="00947EB4">
            <w:pPr>
              <w:rPr>
                <w:sz w:val="20"/>
                <w:szCs w:val="20"/>
              </w:rPr>
            </w:pPr>
            <w:r w:rsidRPr="00154F1D">
              <w:rPr>
                <w:sz w:val="20"/>
                <w:szCs w:val="20"/>
              </w:rPr>
              <w:t>s 269C(1)(b)</w:t>
            </w:r>
          </w:p>
        </w:tc>
        <w:tc>
          <w:tcPr>
            <w:tcW w:w="741" w:type="pct"/>
            <w:tcBorders>
              <w:bottom w:val="single" w:sz="8" w:space="0" w:color="000000"/>
            </w:tcBorders>
          </w:tcPr>
          <w:p w14:paraId="585D6574" w14:textId="77777777" w:rsidR="00793814" w:rsidRPr="00154F1D" w:rsidRDefault="00793814" w:rsidP="00947EB4">
            <w:pPr>
              <w:rPr>
                <w:sz w:val="20"/>
                <w:szCs w:val="20"/>
              </w:rPr>
            </w:pPr>
            <w:r w:rsidRPr="00154F1D">
              <w:rPr>
                <w:sz w:val="20"/>
                <w:szCs w:val="20"/>
              </w:rPr>
              <w:t>s 269C(1)(c)</w:t>
            </w:r>
          </w:p>
        </w:tc>
        <w:tc>
          <w:tcPr>
            <w:tcW w:w="712" w:type="pct"/>
            <w:tcBorders>
              <w:bottom w:val="single" w:sz="8" w:space="0" w:color="000000"/>
            </w:tcBorders>
          </w:tcPr>
          <w:p w14:paraId="1209F9B8" w14:textId="77777777" w:rsidR="00793814" w:rsidRPr="00154F1D" w:rsidRDefault="00793814" w:rsidP="00947EB4">
            <w:pPr>
              <w:rPr>
                <w:sz w:val="20"/>
                <w:szCs w:val="20"/>
              </w:rPr>
            </w:pPr>
          </w:p>
        </w:tc>
      </w:tr>
      <w:tr w:rsidR="00793814" w:rsidRPr="00154F1D" w14:paraId="533EFFE2" w14:textId="77777777" w:rsidTr="00B91449">
        <w:tc>
          <w:tcPr>
            <w:tcW w:w="609" w:type="pct"/>
            <w:tcBorders>
              <w:top w:val="single" w:sz="2" w:space="0" w:color="000000"/>
            </w:tcBorders>
          </w:tcPr>
          <w:p w14:paraId="449C3E5C" w14:textId="77777777" w:rsidR="00793814" w:rsidRPr="00154F1D" w:rsidRDefault="00793814" w:rsidP="00947EB4">
            <w:pPr>
              <w:rPr>
                <w:b/>
                <w:sz w:val="20"/>
                <w:szCs w:val="20"/>
              </w:rPr>
            </w:pPr>
            <w:r w:rsidRPr="00154F1D">
              <w:rPr>
                <w:b/>
                <w:sz w:val="20"/>
                <w:szCs w:val="20"/>
              </w:rPr>
              <w:t>TAS</w:t>
            </w:r>
          </w:p>
          <w:p w14:paraId="6476C958" w14:textId="0B561F47" w:rsidR="00793814" w:rsidRPr="00154F1D" w:rsidRDefault="00793814" w:rsidP="00947EB4">
            <w:pPr>
              <w:rPr>
                <w:i/>
                <w:sz w:val="20"/>
                <w:szCs w:val="20"/>
              </w:rPr>
            </w:pPr>
            <w:r w:rsidRPr="00154F1D">
              <w:rPr>
                <w:i/>
                <w:sz w:val="20"/>
                <w:szCs w:val="20"/>
              </w:rPr>
              <w:t>Criminal Code</w:t>
            </w:r>
          </w:p>
        </w:tc>
        <w:tc>
          <w:tcPr>
            <w:tcW w:w="406" w:type="pct"/>
            <w:tcBorders>
              <w:top w:val="single" w:sz="2" w:space="0" w:color="000000"/>
            </w:tcBorders>
          </w:tcPr>
          <w:p w14:paraId="5D85B703" w14:textId="2D7078E8" w:rsidR="00793814" w:rsidRPr="00154F1D" w:rsidRDefault="00793814" w:rsidP="00947EB4">
            <w:pPr>
              <w:rPr>
                <w:sz w:val="20"/>
                <w:szCs w:val="20"/>
              </w:rPr>
            </w:pPr>
            <w:r w:rsidRPr="00154F1D">
              <w:rPr>
                <w:sz w:val="20"/>
                <w:szCs w:val="20"/>
              </w:rPr>
              <w:t>Insanity</w:t>
            </w:r>
          </w:p>
          <w:p w14:paraId="6DCAE7EC" w14:textId="77777777" w:rsidR="00793814" w:rsidRPr="00154F1D" w:rsidRDefault="00793814" w:rsidP="00947EB4">
            <w:pPr>
              <w:rPr>
                <w:sz w:val="20"/>
                <w:szCs w:val="20"/>
              </w:rPr>
            </w:pPr>
          </w:p>
        </w:tc>
        <w:tc>
          <w:tcPr>
            <w:tcW w:w="1220" w:type="pct"/>
            <w:tcBorders>
              <w:top w:val="single" w:sz="2" w:space="0" w:color="000000"/>
            </w:tcBorders>
          </w:tcPr>
          <w:p w14:paraId="1C302FEA" w14:textId="77777777" w:rsidR="00793814" w:rsidRPr="00154F1D" w:rsidRDefault="00793814" w:rsidP="00947EB4">
            <w:pPr>
              <w:rPr>
                <w:sz w:val="20"/>
                <w:szCs w:val="20"/>
              </w:rPr>
            </w:pPr>
            <w:r w:rsidRPr="00154F1D">
              <w:rPr>
                <w:sz w:val="20"/>
                <w:szCs w:val="20"/>
              </w:rPr>
              <w:t>Mental disease includes ‘natural imbecility’.</w:t>
            </w:r>
          </w:p>
          <w:p w14:paraId="7FAADC20" w14:textId="77777777" w:rsidR="00793814" w:rsidRPr="00154F1D" w:rsidRDefault="00793814" w:rsidP="00947EB4">
            <w:pPr>
              <w:rPr>
                <w:sz w:val="20"/>
                <w:szCs w:val="20"/>
              </w:rPr>
            </w:pPr>
          </w:p>
        </w:tc>
        <w:tc>
          <w:tcPr>
            <w:tcW w:w="661" w:type="pct"/>
            <w:tcBorders>
              <w:top w:val="single" w:sz="2" w:space="0" w:color="000000"/>
            </w:tcBorders>
          </w:tcPr>
          <w:p w14:paraId="58CBB9B3" w14:textId="77777777" w:rsidR="00793814" w:rsidRPr="00154F1D" w:rsidRDefault="00793814" w:rsidP="00947EB4">
            <w:pPr>
              <w:rPr>
                <w:sz w:val="20"/>
                <w:szCs w:val="20"/>
              </w:rPr>
            </w:pPr>
            <w:r w:rsidRPr="00154F1D">
              <w:rPr>
                <w:sz w:val="20"/>
                <w:szCs w:val="20"/>
              </w:rPr>
              <w:t>Incapable of understand the physical character of the act or omission.</w:t>
            </w:r>
          </w:p>
          <w:p w14:paraId="1A9FEE75" w14:textId="77777777" w:rsidR="00793814" w:rsidRPr="00154F1D" w:rsidRDefault="00793814" w:rsidP="00947EB4">
            <w:pPr>
              <w:rPr>
                <w:sz w:val="20"/>
                <w:szCs w:val="20"/>
              </w:rPr>
            </w:pPr>
          </w:p>
        </w:tc>
        <w:tc>
          <w:tcPr>
            <w:tcW w:w="651" w:type="pct"/>
            <w:tcBorders>
              <w:top w:val="single" w:sz="2" w:space="0" w:color="000000"/>
            </w:tcBorders>
          </w:tcPr>
          <w:p w14:paraId="048BBD99" w14:textId="77777777" w:rsidR="00793814" w:rsidRPr="00154F1D" w:rsidRDefault="00793814" w:rsidP="00947EB4">
            <w:pPr>
              <w:rPr>
                <w:sz w:val="20"/>
                <w:szCs w:val="20"/>
              </w:rPr>
            </w:pPr>
            <w:r w:rsidRPr="00154F1D">
              <w:rPr>
                <w:sz w:val="20"/>
                <w:szCs w:val="20"/>
              </w:rPr>
              <w:t>Incapable of knowing that the act or omission was one that he or she ought not to do or make.</w:t>
            </w:r>
          </w:p>
          <w:p w14:paraId="7FF547CE" w14:textId="77777777" w:rsidR="00793814" w:rsidRPr="00154F1D" w:rsidRDefault="00793814" w:rsidP="00947EB4">
            <w:pPr>
              <w:rPr>
                <w:sz w:val="20"/>
                <w:szCs w:val="20"/>
              </w:rPr>
            </w:pPr>
          </w:p>
        </w:tc>
        <w:tc>
          <w:tcPr>
            <w:tcW w:w="741" w:type="pct"/>
            <w:tcBorders>
              <w:top w:val="single" w:sz="2" w:space="0" w:color="000000"/>
            </w:tcBorders>
          </w:tcPr>
          <w:p w14:paraId="7FD0B6FF" w14:textId="77777777" w:rsidR="00793814" w:rsidRPr="00154F1D" w:rsidRDefault="00793814" w:rsidP="00947EB4">
            <w:pPr>
              <w:rPr>
                <w:sz w:val="20"/>
                <w:szCs w:val="20"/>
              </w:rPr>
            </w:pPr>
            <w:r w:rsidRPr="00154F1D">
              <w:rPr>
                <w:sz w:val="20"/>
                <w:szCs w:val="20"/>
              </w:rPr>
              <w:t>Under an impulse which he or she was in substance deprived of any power to resist.</w:t>
            </w:r>
          </w:p>
        </w:tc>
        <w:tc>
          <w:tcPr>
            <w:tcW w:w="712" w:type="pct"/>
            <w:tcBorders>
              <w:top w:val="single" w:sz="2" w:space="0" w:color="000000"/>
            </w:tcBorders>
          </w:tcPr>
          <w:p w14:paraId="05095CEF" w14:textId="77777777" w:rsidR="00793814" w:rsidRPr="00154F1D" w:rsidRDefault="00793814" w:rsidP="00947EB4">
            <w:pPr>
              <w:rPr>
                <w:sz w:val="20"/>
                <w:szCs w:val="20"/>
              </w:rPr>
            </w:pPr>
            <w:r w:rsidRPr="00154F1D">
              <w:rPr>
                <w:sz w:val="20"/>
                <w:szCs w:val="20"/>
              </w:rPr>
              <w:t>Affected by a delusion on some specific matter, but who is not otherwise exempted from criminal responsibility under the foregoing provisions of this section, is criminally responsible for the act or omission to the same extent as if the fact which he was induced by such delusion to believe to exist really existed.</w:t>
            </w:r>
          </w:p>
        </w:tc>
      </w:tr>
      <w:tr w:rsidR="00793814" w:rsidRPr="00154F1D" w14:paraId="0FECE301" w14:textId="77777777" w:rsidTr="00B91449">
        <w:tc>
          <w:tcPr>
            <w:tcW w:w="609" w:type="pct"/>
            <w:tcBorders>
              <w:bottom w:val="single" w:sz="8" w:space="0" w:color="000000"/>
            </w:tcBorders>
          </w:tcPr>
          <w:p w14:paraId="32EB70BF" w14:textId="77777777" w:rsidR="00793814" w:rsidRPr="00154F1D" w:rsidRDefault="00793814" w:rsidP="00947EB4">
            <w:pPr>
              <w:rPr>
                <w:sz w:val="20"/>
                <w:szCs w:val="20"/>
              </w:rPr>
            </w:pPr>
          </w:p>
        </w:tc>
        <w:tc>
          <w:tcPr>
            <w:tcW w:w="406" w:type="pct"/>
            <w:tcBorders>
              <w:bottom w:val="single" w:sz="8" w:space="0" w:color="000000"/>
            </w:tcBorders>
          </w:tcPr>
          <w:p w14:paraId="0D511B98" w14:textId="77777777" w:rsidR="00793814" w:rsidRPr="00154F1D" w:rsidRDefault="00793814" w:rsidP="00947EB4">
            <w:pPr>
              <w:rPr>
                <w:sz w:val="20"/>
                <w:szCs w:val="20"/>
              </w:rPr>
            </w:pPr>
            <w:r w:rsidRPr="00154F1D">
              <w:rPr>
                <w:sz w:val="20"/>
                <w:szCs w:val="20"/>
              </w:rPr>
              <w:t>s 16</w:t>
            </w:r>
          </w:p>
        </w:tc>
        <w:tc>
          <w:tcPr>
            <w:tcW w:w="1220" w:type="pct"/>
            <w:tcBorders>
              <w:bottom w:val="single" w:sz="8" w:space="0" w:color="000000"/>
            </w:tcBorders>
          </w:tcPr>
          <w:p w14:paraId="7B9C3F47" w14:textId="77777777" w:rsidR="00793814" w:rsidRPr="00154F1D" w:rsidRDefault="00793814" w:rsidP="00947EB4">
            <w:pPr>
              <w:rPr>
                <w:sz w:val="20"/>
                <w:szCs w:val="20"/>
              </w:rPr>
            </w:pPr>
            <w:r w:rsidRPr="00154F1D">
              <w:rPr>
                <w:sz w:val="20"/>
                <w:szCs w:val="20"/>
              </w:rPr>
              <w:t>s 16(1), (4)</w:t>
            </w:r>
          </w:p>
        </w:tc>
        <w:tc>
          <w:tcPr>
            <w:tcW w:w="661" w:type="pct"/>
            <w:tcBorders>
              <w:bottom w:val="single" w:sz="8" w:space="0" w:color="000000"/>
            </w:tcBorders>
          </w:tcPr>
          <w:p w14:paraId="34347550" w14:textId="77777777" w:rsidR="00793814" w:rsidRPr="00154F1D" w:rsidRDefault="00793814" w:rsidP="00947EB4">
            <w:pPr>
              <w:rPr>
                <w:sz w:val="20"/>
                <w:szCs w:val="20"/>
              </w:rPr>
            </w:pPr>
            <w:r w:rsidRPr="00154F1D">
              <w:rPr>
                <w:sz w:val="20"/>
                <w:szCs w:val="20"/>
              </w:rPr>
              <w:t>s 16(1)(a)(i)</w:t>
            </w:r>
          </w:p>
        </w:tc>
        <w:tc>
          <w:tcPr>
            <w:tcW w:w="651" w:type="pct"/>
            <w:tcBorders>
              <w:bottom w:val="single" w:sz="8" w:space="0" w:color="000000"/>
            </w:tcBorders>
          </w:tcPr>
          <w:p w14:paraId="5B8554E7" w14:textId="77777777" w:rsidR="00793814" w:rsidRPr="00154F1D" w:rsidRDefault="00793814" w:rsidP="00947EB4">
            <w:pPr>
              <w:rPr>
                <w:sz w:val="20"/>
                <w:szCs w:val="20"/>
              </w:rPr>
            </w:pPr>
            <w:r w:rsidRPr="00154F1D">
              <w:rPr>
                <w:sz w:val="20"/>
                <w:szCs w:val="20"/>
              </w:rPr>
              <w:t xml:space="preserve">s 16(1)(a)(ii) </w:t>
            </w:r>
          </w:p>
        </w:tc>
        <w:tc>
          <w:tcPr>
            <w:tcW w:w="741" w:type="pct"/>
            <w:tcBorders>
              <w:bottom w:val="single" w:sz="8" w:space="0" w:color="000000"/>
            </w:tcBorders>
          </w:tcPr>
          <w:p w14:paraId="25170FC4" w14:textId="77777777" w:rsidR="00793814" w:rsidRPr="00154F1D" w:rsidRDefault="00793814" w:rsidP="00947EB4">
            <w:pPr>
              <w:rPr>
                <w:sz w:val="20"/>
                <w:szCs w:val="20"/>
              </w:rPr>
            </w:pPr>
            <w:r w:rsidRPr="00154F1D">
              <w:rPr>
                <w:sz w:val="20"/>
                <w:szCs w:val="20"/>
              </w:rPr>
              <w:t>s 16(1)(b)</w:t>
            </w:r>
          </w:p>
        </w:tc>
        <w:tc>
          <w:tcPr>
            <w:tcW w:w="712" w:type="pct"/>
            <w:tcBorders>
              <w:bottom w:val="single" w:sz="8" w:space="0" w:color="000000"/>
            </w:tcBorders>
          </w:tcPr>
          <w:p w14:paraId="00C4909F" w14:textId="77777777" w:rsidR="00793814" w:rsidRPr="00154F1D" w:rsidRDefault="00793814" w:rsidP="00947EB4">
            <w:pPr>
              <w:rPr>
                <w:sz w:val="20"/>
                <w:szCs w:val="20"/>
              </w:rPr>
            </w:pPr>
            <w:r w:rsidRPr="00154F1D">
              <w:rPr>
                <w:sz w:val="20"/>
                <w:szCs w:val="20"/>
              </w:rPr>
              <w:t>s 16(4)</w:t>
            </w:r>
          </w:p>
        </w:tc>
      </w:tr>
      <w:tr w:rsidR="00793814" w:rsidRPr="00154F1D" w14:paraId="08A1CEB8" w14:textId="77777777" w:rsidTr="001731A9">
        <w:tc>
          <w:tcPr>
            <w:tcW w:w="609" w:type="pct"/>
            <w:tcBorders>
              <w:top w:val="single" w:sz="2" w:space="0" w:color="000000"/>
            </w:tcBorders>
          </w:tcPr>
          <w:p w14:paraId="0DCD5C88" w14:textId="77777777" w:rsidR="00793814" w:rsidRPr="00154F1D" w:rsidRDefault="00793814" w:rsidP="00947EB4">
            <w:pPr>
              <w:rPr>
                <w:sz w:val="20"/>
                <w:szCs w:val="20"/>
              </w:rPr>
            </w:pPr>
            <w:r w:rsidRPr="00154F1D">
              <w:rPr>
                <w:sz w:val="20"/>
                <w:szCs w:val="20"/>
              </w:rPr>
              <w:t>VIC</w:t>
            </w:r>
          </w:p>
          <w:p w14:paraId="78C283C5" w14:textId="01FAA177" w:rsidR="00793814" w:rsidRPr="00154F1D" w:rsidRDefault="00793814" w:rsidP="00947EB4">
            <w:pPr>
              <w:rPr>
                <w:i/>
                <w:sz w:val="20"/>
                <w:szCs w:val="20"/>
              </w:rPr>
            </w:pPr>
            <w:r w:rsidRPr="00154F1D">
              <w:rPr>
                <w:i/>
                <w:sz w:val="20"/>
                <w:szCs w:val="20"/>
              </w:rPr>
              <w:t>Crimes (Mental Impairment and Fitness to be Tried) Act 1997</w:t>
            </w:r>
          </w:p>
        </w:tc>
        <w:tc>
          <w:tcPr>
            <w:tcW w:w="406" w:type="pct"/>
            <w:tcBorders>
              <w:top w:val="single" w:sz="2" w:space="0" w:color="000000"/>
            </w:tcBorders>
          </w:tcPr>
          <w:p w14:paraId="594625A6" w14:textId="77777777" w:rsidR="00793814" w:rsidRPr="00154F1D" w:rsidRDefault="00793814" w:rsidP="00947EB4">
            <w:pPr>
              <w:rPr>
                <w:sz w:val="20"/>
                <w:szCs w:val="20"/>
              </w:rPr>
            </w:pPr>
            <w:r w:rsidRPr="00154F1D">
              <w:rPr>
                <w:sz w:val="20"/>
                <w:szCs w:val="20"/>
              </w:rPr>
              <w:t>Mental impairment</w:t>
            </w:r>
          </w:p>
        </w:tc>
        <w:tc>
          <w:tcPr>
            <w:tcW w:w="1220" w:type="pct"/>
            <w:tcBorders>
              <w:top w:val="single" w:sz="2" w:space="0" w:color="000000"/>
            </w:tcBorders>
          </w:tcPr>
          <w:p w14:paraId="731F23F3" w14:textId="12B861FE" w:rsidR="00793814" w:rsidRPr="00154F1D" w:rsidRDefault="00793814" w:rsidP="00947EB4">
            <w:pPr>
              <w:rPr>
                <w:sz w:val="20"/>
                <w:szCs w:val="20"/>
              </w:rPr>
            </w:pPr>
            <w:r w:rsidRPr="00154F1D">
              <w:rPr>
                <w:sz w:val="20"/>
                <w:szCs w:val="20"/>
              </w:rPr>
              <w:t>No definition</w:t>
            </w:r>
            <w:r w:rsidR="00C25BCA" w:rsidRPr="00154F1D">
              <w:rPr>
                <w:rStyle w:val="FootnoteReference"/>
                <w:szCs w:val="20"/>
              </w:rPr>
              <w:footnoteReference w:id="419"/>
            </w:r>
          </w:p>
        </w:tc>
        <w:tc>
          <w:tcPr>
            <w:tcW w:w="661" w:type="pct"/>
            <w:tcBorders>
              <w:top w:val="single" w:sz="2" w:space="0" w:color="000000"/>
            </w:tcBorders>
          </w:tcPr>
          <w:p w14:paraId="0CB30888" w14:textId="4EDB3AD7" w:rsidR="00793814" w:rsidRPr="00154F1D" w:rsidRDefault="00793814" w:rsidP="00947EB4">
            <w:pPr>
              <w:rPr>
                <w:sz w:val="20"/>
                <w:szCs w:val="20"/>
              </w:rPr>
            </w:pPr>
            <w:r w:rsidRPr="00154F1D">
              <w:rPr>
                <w:sz w:val="20"/>
                <w:szCs w:val="20"/>
              </w:rPr>
              <w:t>Did not know the nature and quality of the conduct</w:t>
            </w:r>
            <w:r w:rsidR="00C16B6F">
              <w:rPr>
                <w:sz w:val="20"/>
                <w:szCs w:val="20"/>
              </w:rPr>
              <w:t>.</w:t>
            </w:r>
          </w:p>
        </w:tc>
        <w:tc>
          <w:tcPr>
            <w:tcW w:w="651" w:type="pct"/>
            <w:tcBorders>
              <w:top w:val="single" w:sz="2" w:space="0" w:color="000000"/>
            </w:tcBorders>
          </w:tcPr>
          <w:p w14:paraId="7E64A798" w14:textId="79D4FF3E" w:rsidR="00793814" w:rsidRPr="00154F1D" w:rsidRDefault="00793814" w:rsidP="00947EB4">
            <w:pPr>
              <w:rPr>
                <w:sz w:val="20"/>
                <w:szCs w:val="20"/>
              </w:rPr>
            </w:pPr>
            <w:r w:rsidRPr="00154F1D">
              <w:rPr>
                <w:sz w:val="20"/>
                <w:szCs w:val="20"/>
              </w:rPr>
              <w:t>Did not know that the conduct was wrong (that is, the person could not reason with a moderate degree of sense and composure about whether the conduct, as perceived by reasonable people, was wrong).</w:t>
            </w:r>
          </w:p>
        </w:tc>
        <w:tc>
          <w:tcPr>
            <w:tcW w:w="741" w:type="pct"/>
            <w:tcBorders>
              <w:top w:val="single" w:sz="2" w:space="0" w:color="000000"/>
            </w:tcBorders>
          </w:tcPr>
          <w:p w14:paraId="767E7B42" w14:textId="77777777" w:rsidR="00793814" w:rsidRPr="00154F1D" w:rsidRDefault="00793814" w:rsidP="00947EB4">
            <w:pPr>
              <w:pStyle w:val="ListParagraph"/>
              <w:numPr>
                <w:ilvl w:val="0"/>
                <w:numId w:val="49"/>
              </w:numPr>
              <w:spacing w:after="0"/>
              <w:jc w:val="left"/>
              <w:rPr>
                <w:sz w:val="20"/>
                <w:szCs w:val="20"/>
              </w:rPr>
            </w:pPr>
          </w:p>
        </w:tc>
        <w:tc>
          <w:tcPr>
            <w:tcW w:w="712" w:type="pct"/>
            <w:tcBorders>
              <w:top w:val="single" w:sz="2" w:space="0" w:color="000000"/>
            </w:tcBorders>
          </w:tcPr>
          <w:p w14:paraId="6D4B9BB8" w14:textId="77777777" w:rsidR="00793814" w:rsidRPr="00154F1D" w:rsidRDefault="00793814" w:rsidP="00947EB4">
            <w:pPr>
              <w:pStyle w:val="ListParagraph"/>
              <w:numPr>
                <w:ilvl w:val="0"/>
                <w:numId w:val="49"/>
              </w:numPr>
              <w:spacing w:after="0"/>
              <w:jc w:val="left"/>
              <w:rPr>
                <w:sz w:val="20"/>
                <w:szCs w:val="20"/>
              </w:rPr>
            </w:pPr>
          </w:p>
        </w:tc>
      </w:tr>
      <w:tr w:rsidR="00793814" w:rsidRPr="00154F1D" w14:paraId="40CE8334" w14:textId="77777777" w:rsidTr="001731A9">
        <w:tc>
          <w:tcPr>
            <w:tcW w:w="609" w:type="pct"/>
            <w:tcBorders>
              <w:bottom w:val="single" w:sz="8" w:space="0" w:color="000000"/>
            </w:tcBorders>
          </w:tcPr>
          <w:p w14:paraId="42841979" w14:textId="77777777" w:rsidR="00793814" w:rsidRPr="00154F1D" w:rsidRDefault="00793814" w:rsidP="00947EB4">
            <w:pPr>
              <w:rPr>
                <w:sz w:val="20"/>
                <w:szCs w:val="20"/>
              </w:rPr>
            </w:pPr>
          </w:p>
        </w:tc>
        <w:tc>
          <w:tcPr>
            <w:tcW w:w="406" w:type="pct"/>
            <w:tcBorders>
              <w:bottom w:val="single" w:sz="8" w:space="0" w:color="000000"/>
            </w:tcBorders>
          </w:tcPr>
          <w:p w14:paraId="60D20C60" w14:textId="77777777" w:rsidR="00793814" w:rsidRPr="00154F1D" w:rsidRDefault="00793814" w:rsidP="00947EB4">
            <w:pPr>
              <w:rPr>
                <w:sz w:val="20"/>
                <w:szCs w:val="20"/>
              </w:rPr>
            </w:pPr>
            <w:r w:rsidRPr="00154F1D">
              <w:rPr>
                <w:sz w:val="20"/>
                <w:szCs w:val="20"/>
              </w:rPr>
              <w:t>s 20</w:t>
            </w:r>
          </w:p>
        </w:tc>
        <w:tc>
          <w:tcPr>
            <w:tcW w:w="1220" w:type="pct"/>
            <w:tcBorders>
              <w:bottom w:val="single" w:sz="8" w:space="0" w:color="000000"/>
            </w:tcBorders>
          </w:tcPr>
          <w:p w14:paraId="75319B69" w14:textId="77777777" w:rsidR="00793814" w:rsidRPr="00154F1D" w:rsidRDefault="00793814" w:rsidP="00947EB4">
            <w:pPr>
              <w:rPr>
                <w:sz w:val="20"/>
                <w:szCs w:val="20"/>
              </w:rPr>
            </w:pPr>
          </w:p>
        </w:tc>
        <w:tc>
          <w:tcPr>
            <w:tcW w:w="661" w:type="pct"/>
            <w:tcBorders>
              <w:bottom w:val="single" w:sz="8" w:space="0" w:color="000000"/>
            </w:tcBorders>
          </w:tcPr>
          <w:p w14:paraId="0B23F180" w14:textId="77777777" w:rsidR="00793814" w:rsidRPr="00154F1D" w:rsidRDefault="00793814" w:rsidP="00947EB4">
            <w:pPr>
              <w:rPr>
                <w:sz w:val="20"/>
                <w:szCs w:val="20"/>
              </w:rPr>
            </w:pPr>
            <w:r w:rsidRPr="00154F1D">
              <w:rPr>
                <w:sz w:val="20"/>
                <w:szCs w:val="20"/>
              </w:rPr>
              <w:t>s 20(1)(a)</w:t>
            </w:r>
          </w:p>
        </w:tc>
        <w:tc>
          <w:tcPr>
            <w:tcW w:w="651" w:type="pct"/>
            <w:tcBorders>
              <w:bottom w:val="single" w:sz="8" w:space="0" w:color="000000"/>
            </w:tcBorders>
          </w:tcPr>
          <w:p w14:paraId="7CF473C5" w14:textId="77777777" w:rsidR="00793814" w:rsidRPr="00154F1D" w:rsidRDefault="00793814" w:rsidP="00947EB4">
            <w:pPr>
              <w:rPr>
                <w:sz w:val="20"/>
                <w:szCs w:val="20"/>
              </w:rPr>
            </w:pPr>
            <w:r w:rsidRPr="00154F1D">
              <w:rPr>
                <w:sz w:val="20"/>
                <w:szCs w:val="20"/>
              </w:rPr>
              <w:t>s 20(1)(b)</w:t>
            </w:r>
          </w:p>
        </w:tc>
        <w:tc>
          <w:tcPr>
            <w:tcW w:w="741" w:type="pct"/>
            <w:tcBorders>
              <w:bottom w:val="single" w:sz="8" w:space="0" w:color="000000"/>
            </w:tcBorders>
          </w:tcPr>
          <w:p w14:paraId="490A3637" w14:textId="77777777" w:rsidR="00793814" w:rsidRPr="00154F1D" w:rsidRDefault="00793814" w:rsidP="00947EB4">
            <w:pPr>
              <w:rPr>
                <w:sz w:val="20"/>
                <w:szCs w:val="20"/>
              </w:rPr>
            </w:pPr>
          </w:p>
        </w:tc>
        <w:tc>
          <w:tcPr>
            <w:tcW w:w="712" w:type="pct"/>
            <w:tcBorders>
              <w:bottom w:val="single" w:sz="8" w:space="0" w:color="000000"/>
            </w:tcBorders>
          </w:tcPr>
          <w:p w14:paraId="27CEBA51" w14:textId="77777777" w:rsidR="00793814" w:rsidRPr="00154F1D" w:rsidRDefault="00793814" w:rsidP="00947EB4">
            <w:pPr>
              <w:rPr>
                <w:sz w:val="20"/>
                <w:szCs w:val="20"/>
              </w:rPr>
            </w:pPr>
          </w:p>
        </w:tc>
      </w:tr>
      <w:tr w:rsidR="00793814" w:rsidRPr="00154F1D" w14:paraId="17AD0516" w14:textId="77777777" w:rsidTr="001731A9">
        <w:trPr>
          <w:trHeight w:val="3470"/>
        </w:trPr>
        <w:tc>
          <w:tcPr>
            <w:tcW w:w="609" w:type="pct"/>
            <w:tcBorders>
              <w:top w:val="single" w:sz="8" w:space="0" w:color="000000"/>
            </w:tcBorders>
          </w:tcPr>
          <w:p w14:paraId="4D8C2A32" w14:textId="77777777" w:rsidR="00793814" w:rsidRPr="00154F1D" w:rsidRDefault="00793814" w:rsidP="00947EB4">
            <w:pPr>
              <w:rPr>
                <w:sz w:val="20"/>
                <w:szCs w:val="20"/>
              </w:rPr>
            </w:pPr>
            <w:r w:rsidRPr="00154F1D">
              <w:rPr>
                <w:sz w:val="20"/>
                <w:szCs w:val="20"/>
              </w:rPr>
              <w:t>WA</w:t>
            </w:r>
          </w:p>
          <w:p w14:paraId="2C30B749" w14:textId="07110E54" w:rsidR="00793814" w:rsidRPr="00154F1D" w:rsidRDefault="00793814" w:rsidP="00947EB4">
            <w:pPr>
              <w:rPr>
                <w:i/>
                <w:sz w:val="20"/>
                <w:szCs w:val="20"/>
              </w:rPr>
            </w:pPr>
            <w:r w:rsidRPr="00154F1D">
              <w:rPr>
                <w:i/>
                <w:sz w:val="20"/>
                <w:szCs w:val="20"/>
              </w:rPr>
              <w:t>Criminal Code</w:t>
            </w:r>
          </w:p>
        </w:tc>
        <w:tc>
          <w:tcPr>
            <w:tcW w:w="406" w:type="pct"/>
            <w:tcBorders>
              <w:top w:val="single" w:sz="8" w:space="0" w:color="000000"/>
            </w:tcBorders>
          </w:tcPr>
          <w:p w14:paraId="63F42ECE" w14:textId="77777777" w:rsidR="00793814" w:rsidRPr="00154F1D" w:rsidRDefault="00793814" w:rsidP="00947EB4">
            <w:pPr>
              <w:rPr>
                <w:sz w:val="20"/>
                <w:szCs w:val="20"/>
              </w:rPr>
            </w:pPr>
            <w:r w:rsidRPr="00154F1D">
              <w:rPr>
                <w:sz w:val="20"/>
                <w:szCs w:val="20"/>
              </w:rPr>
              <w:t>Insanity</w:t>
            </w:r>
          </w:p>
        </w:tc>
        <w:tc>
          <w:tcPr>
            <w:tcW w:w="1220" w:type="pct"/>
            <w:tcBorders>
              <w:top w:val="single" w:sz="8" w:space="0" w:color="000000"/>
            </w:tcBorders>
          </w:tcPr>
          <w:p w14:paraId="29B47306" w14:textId="77777777" w:rsidR="00793814" w:rsidRPr="00154F1D" w:rsidRDefault="00793814" w:rsidP="00947EB4">
            <w:pPr>
              <w:rPr>
                <w:sz w:val="20"/>
                <w:szCs w:val="20"/>
              </w:rPr>
            </w:pPr>
            <w:r w:rsidRPr="00154F1D">
              <w:rPr>
                <w:sz w:val="20"/>
                <w:szCs w:val="20"/>
              </w:rPr>
              <w:t xml:space="preserve">Unsoundness of mind; mental impairment means intellectual disability, mental illness, brain damage or senility. </w:t>
            </w:r>
          </w:p>
          <w:p w14:paraId="310BB8BE" w14:textId="715E0EAD" w:rsidR="00793814" w:rsidRPr="00154F1D" w:rsidRDefault="00793814" w:rsidP="00947EB4">
            <w:pPr>
              <w:rPr>
                <w:sz w:val="20"/>
                <w:szCs w:val="20"/>
              </w:rPr>
            </w:pPr>
            <w:r w:rsidRPr="00154F1D">
              <w:rPr>
                <w:sz w:val="20"/>
                <w:szCs w:val="20"/>
              </w:rPr>
              <w:t xml:space="preserve">Mental illness means an underlying pathological infirmity of mind, whether of long or short duration and whether permanent or temporary, but does not include a condition that results from the reaction of a healthy mind to extraordinary stimuli. </w:t>
            </w:r>
          </w:p>
        </w:tc>
        <w:tc>
          <w:tcPr>
            <w:tcW w:w="661" w:type="pct"/>
            <w:tcBorders>
              <w:top w:val="single" w:sz="8" w:space="0" w:color="000000"/>
            </w:tcBorders>
          </w:tcPr>
          <w:p w14:paraId="29BB1057" w14:textId="77777777" w:rsidR="00793814" w:rsidRPr="00154F1D" w:rsidRDefault="00793814" w:rsidP="00947EB4">
            <w:pPr>
              <w:rPr>
                <w:sz w:val="20"/>
                <w:szCs w:val="20"/>
              </w:rPr>
            </w:pPr>
            <w:r w:rsidRPr="00154F1D">
              <w:rPr>
                <w:sz w:val="20"/>
                <w:szCs w:val="20"/>
              </w:rPr>
              <w:t>Capacity to understand what the person is doing.</w:t>
            </w:r>
          </w:p>
          <w:p w14:paraId="16AEF849" w14:textId="28F0A0FE" w:rsidR="00793814" w:rsidRPr="00154F1D" w:rsidRDefault="00793814" w:rsidP="00947EB4">
            <w:pPr>
              <w:rPr>
                <w:sz w:val="20"/>
                <w:szCs w:val="20"/>
              </w:rPr>
            </w:pPr>
          </w:p>
        </w:tc>
        <w:tc>
          <w:tcPr>
            <w:tcW w:w="651" w:type="pct"/>
            <w:tcBorders>
              <w:top w:val="single" w:sz="8" w:space="0" w:color="000000"/>
            </w:tcBorders>
          </w:tcPr>
          <w:p w14:paraId="5177B40D" w14:textId="77777777" w:rsidR="00793814" w:rsidRPr="00154F1D" w:rsidRDefault="00793814" w:rsidP="00947EB4">
            <w:pPr>
              <w:rPr>
                <w:sz w:val="20"/>
                <w:szCs w:val="20"/>
              </w:rPr>
            </w:pPr>
            <w:r w:rsidRPr="00154F1D">
              <w:rPr>
                <w:sz w:val="20"/>
                <w:szCs w:val="20"/>
              </w:rPr>
              <w:t>Capacity to know that the person ought not to do the act or make the omission.</w:t>
            </w:r>
          </w:p>
          <w:p w14:paraId="5DFE4090" w14:textId="325CFDD3" w:rsidR="00793814" w:rsidRPr="00154F1D" w:rsidRDefault="00793814" w:rsidP="00947EB4">
            <w:pPr>
              <w:rPr>
                <w:sz w:val="20"/>
                <w:szCs w:val="20"/>
              </w:rPr>
            </w:pPr>
          </w:p>
        </w:tc>
        <w:tc>
          <w:tcPr>
            <w:tcW w:w="741" w:type="pct"/>
            <w:tcBorders>
              <w:top w:val="single" w:sz="8" w:space="0" w:color="000000"/>
            </w:tcBorders>
          </w:tcPr>
          <w:p w14:paraId="7DFFCC32" w14:textId="77777777" w:rsidR="00793814" w:rsidRPr="00154F1D" w:rsidRDefault="00793814" w:rsidP="00947EB4">
            <w:pPr>
              <w:rPr>
                <w:sz w:val="20"/>
                <w:szCs w:val="20"/>
              </w:rPr>
            </w:pPr>
            <w:r w:rsidRPr="00154F1D">
              <w:rPr>
                <w:sz w:val="20"/>
                <w:szCs w:val="20"/>
              </w:rPr>
              <w:t>Capacity to control the person’s action.</w:t>
            </w:r>
          </w:p>
          <w:p w14:paraId="0E107F0D" w14:textId="3482616B" w:rsidR="00793814" w:rsidRPr="00154F1D" w:rsidRDefault="00793814" w:rsidP="00947EB4">
            <w:pPr>
              <w:rPr>
                <w:sz w:val="20"/>
                <w:szCs w:val="20"/>
              </w:rPr>
            </w:pPr>
          </w:p>
        </w:tc>
        <w:tc>
          <w:tcPr>
            <w:tcW w:w="712" w:type="pct"/>
            <w:tcBorders>
              <w:top w:val="single" w:sz="8" w:space="0" w:color="000000"/>
            </w:tcBorders>
          </w:tcPr>
          <w:p w14:paraId="29E6D603" w14:textId="7A2C2D4D" w:rsidR="00793814" w:rsidRPr="00154F1D" w:rsidRDefault="00793814" w:rsidP="00947EB4">
            <w:pPr>
              <w:rPr>
                <w:sz w:val="20"/>
                <w:szCs w:val="20"/>
              </w:rPr>
            </w:pPr>
            <w:r w:rsidRPr="00154F1D">
              <w:rPr>
                <w:sz w:val="20"/>
                <w:szCs w:val="20"/>
              </w:rPr>
              <w:t>Affect</w:t>
            </w:r>
            <w:r w:rsidR="000E5B9B" w:rsidRPr="00154F1D">
              <w:rPr>
                <w:sz w:val="20"/>
                <w:szCs w:val="20"/>
              </w:rPr>
              <w:t>ed</w:t>
            </w:r>
            <w:r w:rsidRPr="00154F1D">
              <w:rPr>
                <w:sz w:val="20"/>
                <w:szCs w:val="20"/>
              </w:rPr>
              <w:t xml:space="preserve"> by delusions on some specific matter or matters, but who is not otherwise entitled to the benefit of sub</w:t>
            </w:r>
            <w:r w:rsidR="000E5B9B" w:rsidRPr="00154F1D">
              <w:rPr>
                <w:sz w:val="20"/>
                <w:szCs w:val="20"/>
              </w:rPr>
              <w:t>-</w:t>
            </w:r>
            <w:r w:rsidRPr="00154F1D">
              <w:rPr>
                <w:sz w:val="20"/>
                <w:szCs w:val="20"/>
              </w:rPr>
              <w:t>s (1), is criminally responsible to the same extent as if the real state if things had been such as the person as induced by the delusions to believe to exist.</w:t>
            </w:r>
          </w:p>
        </w:tc>
      </w:tr>
      <w:tr w:rsidR="00793814" w:rsidRPr="00154F1D" w14:paraId="05876FE1" w14:textId="77777777" w:rsidTr="00B91449">
        <w:tc>
          <w:tcPr>
            <w:tcW w:w="609" w:type="pct"/>
          </w:tcPr>
          <w:p w14:paraId="63A8E838" w14:textId="77777777" w:rsidR="00793814" w:rsidRPr="00154F1D" w:rsidRDefault="00793814" w:rsidP="00947EB4">
            <w:pPr>
              <w:rPr>
                <w:sz w:val="20"/>
                <w:szCs w:val="20"/>
              </w:rPr>
            </w:pPr>
          </w:p>
        </w:tc>
        <w:tc>
          <w:tcPr>
            <w:tcW w:w="406" w:type="pct"/>
          </w:tcPr>
          <w:p w14:paraId="61E19444" w14:textId="77777777" w:rsidR="00793814" w:rsidRPr="00154F1D" w:rsidRDefault="00793814" w:rsidP="00947EB4">
            <w:pPr>
              <w:rPr>
                <w:sz w:val="20"/>
                <w:szCs w:val="20"/>
              </w:rPr>
            </w:pPr>
            <w:r w:rsidRPr="00154F1D">
              <w:rPr>
                <w:sz w:val="20"/>
                <w:szCs w:val="20"/>
              </w:rPr>
              <w:t>s 27</w:t>
            </w:r>
          </w:p>
        </w:tc>
        <w:tc>
          <w:tcPr>
            <w:tcW w:w="1220" w:type="pct"/>
          </w:tcPr>
          <w:p w14:paraId="2601F26F" w14:textId="550F3C0E" w:rsidR="00793814" w:rsidRPr="00154F1D" w:rsidRDefault="00793814" w:rsidP="00947EB4">
            <w:pPr>
              <w:rPr>
                <w:sz w:val="20"/>
                <w:szCs w:val="20"/>
              </w:rPr>
            </w:pPr>
            <w:r w:rsidRPr="00154F1D">
              <w:rPr>
                <w:sz w:val="20"/>
                <w:szCs w:val="20"/>
              </w:rPr>
              <w:t xml:space="preserve">ss 1, 27(1), </w:t>
            </w:r>
          </w:p>
        </w:tc>
        <w:tc>
          <w:tcPr>
            <w:tcW w:w="661" w:type="pct"/>
          </w:tcPr>
          <w:p w14:paraId="33BE5E39" w14:textId="77777777" w:rsidR="00793814" w:rsidRPr="00154F1D" w:rsidRDefault="00793814" w:rsidP="00947EB4">
            <w:pPr>
              <w:rPr>
                <w:sz w:val="20"/>
                <w:szCs w:val="20"/>
              </w:rPr>
            </w:pPr>
            <w:r w:rsidRPr="00154F1D">
              <w:rPr>
                <w:sz w:val="20"/>
                <w:szCs w:val="20"/>
              </w:rPr>
              <w:t>s 27(1)</w:t>
            </w:r>
          </w:p>
        </w:tc>
        <w:tc>
          <w:tcPr>
            <w:tcW w:w="651" w:type="pct"/>
          </w:tcPr>
          <w:p w14:paraId="293178A4" w14:textId="77777777" w:rsidR="00793814" w:rsidRPr="00154F1D" w:rsidRDefault="00793814" w:rsidP="00947EB4">
            <w:pPr>
              <w:rPr>
                <w:sz w:val="20"/>
                <w:szCs w:val="20"/>
              </w:rPr>
            </w:pPr>
            <w:r w:rsidRPr="00154F1D">
              <w:rPr>
                <w:sz w:val="20"/>
                <w:szCs w:val="20"/>
              </w:rPr>
              <w:t>s 27(1)</w:t>
            </w:r>
          </w:p>
        </w:tc>
        <w:tc>
          <w:tcPr>
            <w:tcW w:w="741" w:type="pct"/>
          </w:tcPr>
          <w:p w14:paraId="69EDED70" w14:textId="77777777" w:rsidR="00793814" w:rsidRPr="00154F1D" w:rsidRDefault="00793814" w:rsidP="00947EB4">
            <w:pPr>
              <w:rPr>
                <w:sz w:val="20"/>
                <w:szCs w:val="20"/>
              </w:rPr>
            </w:pPr>
            <w:r w:rsidRPr="00154F1D">
              <w:rPr>
                <w:sz w:val="20"/>
                <w:szCs w:val="20"/>
              </w:rPr>
              <w:t>s 27(1)</w:t>
            </w:r>
          </w:p>
        </w:tc>
        <w:tc>
          <w:tcPr>
            <w:tcW w:w="712" w:type="pct"/>
          </w:tcPr>
          <w:p w14:paraId="67BAD4ED" w14:textId="77777777" w:rsidR="00793814" w:rsidRPr="00154F1D" w:rsidRDefault="00793814" w:rsidP="00947EB4">
            <w:pPr>
              <w:rPr>
                <w:sz w:val="20"/>
                <w:szCs w:val="20"/>
              </w:rPr>
            </w:pPr>
            <w:r w:rsidRPr="00154F1D">
              <w:rPr>
                <w:sz w:val="20"/>
                <w:szCs w:val="20"/>
              </w:rPr>
              <w:t>s 27(2)</w:t>
            </w:r>
          </w:p>
        </w:tc>
      </w:tr>
    </w:tbl>
    <w:p w14:paraId="37DBADCE" w14:textId="77777777" w:rsidR="00793814" w:rsidRPr="00154F1D" w:rsidRDefault="00793814" w:rsidP="00DF349D">
      <w:pPr>
        <w:outlineLvl w:val="0"/>
        <w:rPr>
          <w:sz w:val="20"/>
          <w:szCs w:val="20"/>
        </w:rPr>
      </w:pPr>
    </w:p>
    <w:p w14:paraId="55A3EC87" w14:textId="0CB5CF76" w:rsidR="00793814" w:rsidRPr="00154F1D" w:rsidRDefault="00793814" w:rsidP="00D80045">
      <w:pPr>
        <w:pStyle w:val="NumberedHeadingTLRI"/>
        <w:sectPr w:rsidR="00793814" w:rsidRPr="00154F1D" w:rsidSect="00947EB4">
          <w:headerReference w:type="first" r:id="rId38"/>
          <w:pgSz w:w="16840" w:h="11900" w:orient="landscape"/>
          <w:pgMar w:top="1797" w:right="1440" w:bottom="1797" w:left="1440" w:header="709" w:footer="709" w:gutter="0"/>
          <w:cols w:space="708"/>
          <w:titlePg/>
          <w:docGrid w:linePitch="360"/>
        </w:sectPr>
      </w:pPr>
    </w:p>
    <w:p w14:paraId="7861A985" w14:textId="63FC51D1" w:rsidR="004A1D2A" w:rsidRPr="00154F1D" w:rsidRDefault="004A1D2A" w:rsidP="00D80045">
      <w:pPr>
        <w:pStyle w:val="NumberedHeadingTLRI"/>
      </w:pPr>
      <w:bookmarkStart w:id="147" w:name="_Toc535868962"/>
      <w:r w:rsidRPr="00154F1D">
        <w:t>Issues for consideration</w:t>
      </w:r>
      <w:bookmarkEnd w:id="147"/>
    </w:p>
    <w:p w14:paraId="4107914D" w14:textId="08AC10C2" w:rsidR="00C837B9" w:rsidRPr="00154F1D" w:rsidRDefault="00E0091A" w:rsidP="00744FAA">
      <w:pPr>
        <w:pStyle w:val="NormalNumberedTextTLRI"/>
        <w:rPr>
          <w:lang w:eastAsia="ja-JP"/>
        </w:rPr>
      </w:pPr>
      <w:r w:rsidRPr="00154F1D">
        <w:t>T</w:t>
      </w:r>
      <w:r w:rsidR="003B0EEE" w:rsidRPr="00154F1D">
        <w:t>he law of insanity has been controversial</w:t>
      </w:r>
      <w:r w:rsidR="00C70270">
        <w:t>,</w:t>
      </w:r>
      <w:r w:rsidR="001C37D6" w:rsidRPr="00154F1D">
        <w:t xml:space="preserve"> and as </w:t>
      </w:r>
      <w:r w:rsidR="00C70270" w:rsidRPr="00154F1D">
        <w:rPr>
          <w:lang w:eastAsia="ja-JP"/>
        </w:rPr>
        <w:t>Norval Morris observed in 1970</w:t>
      </w:r>
      <w:r w:rsidR="00C70270">
        <w:rPr>
          <w:lang w:eastAsia="ja-JP"/>
        </w:rPr>
        <w:t xml:space="preserve"> (</w:t>
      </w:r>
      <w:r w:rsidR="00E3777F" w:rsidRPr="00154F1D">
        <w:t xml:space="preserve">quoted </w:t>
      </w:r>
      <w:r w:rsidR="001C37D6" w:rsidRPr="00154F1D">
        <w:t>in Blackwood and Warner</w:t>
      </w:r>
      <w:r w:rsidR="00C70270">
        <w:t>)</w:t>
      </w:r>
      <w:r w:rsidR="001C37D6" w:rsidRPr="00154F1D">
        <w:rPr>
          <w:lang w:eastAsia="ja-JP"/>
        </w:rPr>
        <w:t xml:space="preserve">: ‘Rivers of ink, mountains of printer’s lead, and forests of paper have been expended’ on the issue </w:t>
      </w:r>
      <w:r w:rsidR="002E3284" w:rsidRPr="00154F1D">
        <w:rPr>
          <w:lang w:eastAsia="ja-JP"/>
        </w:rPr>
        <w:t xml:space="preserve">of </w:t>
      </w:r>
      <w:r w:rsidR="000256D0" w:rsidRPr="00154F1D">
        <w:rPr>
          <w:lang w:eastAsia="ja-JP"/>
        </w:rPr>
        <w:t xml:space="preserve">the </w:t>
      </w:r>
      <w:r w:rsidR="002E3284" w:rsidRPr="00154F1D">
        <w:rPr>
          <w:lang w:eastAsia="ja-JP"/>
        </w:rPr>
        <w:t>defence of insanity</w:t>
      </w:r>
      <w:r w:rsidR="001C37D6" w:rsidRPr="00154F1D">
        <w:rPr>
          <w:i/>
        </w:rPr>
        <w:t>.</w:t>
      </w:r>
      <w:bookmarkStart w:id="148" w:name="_Ref535329274"/>
      <w:r w:rsidR="001C37D6" w:rsidRPr="00154F1D">
        <w:rPr>
          <w:rStyle w:val="FootnoteReference"/>
        </w:rPr>
        <w:footnoteReference w:id="420"/>
      </w:r>
      <w:bookmarkEnd w:id="148"/>
      <w:r w:rsidR="001C37D6" w:rsidRPr="00154F1D">
        <w:t xml:space="preserve"> </w:t>
      </w:r>
      <w:r w:rsidR="002E3284" w:rsidRPr="00154F1D">
        <w:t>Since that time, there have been further reviews of the law of insanity in many jurisdictions and d</w:t>
      </w:r>
      <w:r w:rsidR="001C37D6" w:rsidRPr="00154F1D">
        <w:t>espite concerns and significant criticism</w:t>
      </w:r>
      <w:r w:rsidR="002E3284" w:rsidRPr="00154F1D">
        <w:t>, the</w:t>
      </w:r>
      <w:r w:rsidR="001C37D6" w:rsidRPr="00154F1D">
        <w:t xml:space="preserve"> law of insanity </w:t>
      </w:r>
      <w:r w:rsidR="002E3284" w:rsidRPr="00154F1D">
        <w:t xml:space="preserve">has </w:t>
      </w:r>
      <w:r w:rsidR="001C37D6" w:rsidRPr="00154F1D">
        <w:t>remained essentially unchanged since the mid-nineteenth century</w:t>
      </w:r>
      <w:r w:rsidR="002E3284" w:rsidRPr="00154F1D">
        <w:t>.</w:t>
      </w:r>
      <w:r w:rsidR="002E3284" w:rsidRPr="00154F1D">
        <w:rPr>
          <w:rStyle w:val="FootnoteReference"/>
        </w:rPr>
        <w:footnoteReference w:id="421"/>
      </w:r>
      <w:r w:rsidR="00F15C85" w:rsidRPr="00154F1D">
        <w:t xml:space="preserve"> </w:t>
      </w:r>
      <w:r w:rsidR="00C837B9" w:rsidRPr="00154F1D">
        <w:t>Key difficulties are in relation to the terminology used and the discon</w:t>
      </w:r>
      <w:r w:rsidR="000256D0" w:rsidRPr="00154F1D">
        <w:t>nec</w:t>
      </w:r>
      <w:r w:rsidR="00C837B9" w:rsidRPr="00154F1D">
        <w:t xml:space="preserve">t between the legal concept of insanity and contemporary psychological understanding. </w:t>
      </w:r>
    </w:p>
    <w:p w14:paraId="0EF08FA0" w14:textId="3788DB6C" w:rsidR="00163170" w:rsidRPr="00154F1D" w:rsidRDefault="00424D38" w:rsidP="00744FAA">
      <w:pPr>
        <w:pStyle w:val="NormalNumberedTextTLRI"/>
        <w:rPr>
          <w:lang w:eastAsia="ja-JP"/>
        </w:rPr>
      </w:pPr>
      <w:r w:rsidRPr="00154F1D">
        <w:t xml:space="preserve">In view of the difficulties identified in relation to the insanity defence, several other jurisdictions </w:t>
      </w:r>
      <w:r w:rsidR="00D64190" w:rsidRPr="00154F1D">
        <w:t>have reviewed the defence and have questioned</w:t>
      </w:r>
      <w:r w:rsidR="00D64190" w:rsidRPr="00154F1D" w:rsidDel="00D64190">
        <w:t xml:space="preserve"> </w:t>
      </w:r>
      <w:r w:rsidRPr="00154F1D">
        <w:t xml:space="preserve">whether </w:t>
      </w:r>
      <w:r w:rsidR="00D80132" w:rsidRPr="00154F1D">
        <w:t>insanity</w:t>
      </w:r>
      <w:r w:rsidRPr="00154F1D">
        <w:t xml:space="preserve"> should be retained at all. </w:t>
      </w:r>
      <w:r w:rsidR="00C46652" w:rsidRPr="00154F1D">
        <w:t>Th</w:t>
      </w:r>
      <w:r w:rsidR="00C46652">
        <w:t>e</w:t>
      </w:r>
      <w:r w:rsidR="00C46652" w:rsidRPr="00154F1D">
        <w:t xml:space="preserve"> </w:t>
      </w:r>
      <w:r w:rsidR="00C46652">
        <w:t xml:space="preserve">following </w:t>
      </w:r>
      <w:r w:rsidR="00C70270">
        <w:t>section</w:t>
      </w:r>
      <w:r w:rsidR="00C46652">
        <w:t>s</w:t>
      </w:r>
      <w:r w:rsidR="00C70270" w:rsidRPr="00154F1D">
        <w:t xml:space="preserve"> </w:t>
      </w:r>
      <w:r w:rsidR="00B67316" w:rsidRPr="00154F1D">
        <w:t xml:space="preserve">consider whether an insanity defence is required, </w:t>
      </w:r>
      <w:r w:rsidRPr="00154F1D">
        <w:t xml:space="preserve">and </w:t>
      </w:r>
      <w:r w:rsidR="00B67316" w:rsidRPr="00154F1D">
        <w:t xml:space="preserve">if </w:t>
      </w:r>
      <w:r w:rsidR="00E3777F" w:rsidRPr="00154F1D">
        <w:t>so</w:t>
      </w:r>
      <w:r w:rsidRPr="00154F1D">
        <w:t xml:space="preserve">, </w:t>
      </w:r>
      <w:r w:rsidR="00D80132" w:rsidRPr="00154F1D">
        <w:t>whether</w:t>
      </w:r>
      <w:r w:rsidR="00B67316" w:rsidRPr="00154F1D">
        <w:t xml:space="preserve"> the current defence should be amended</w:t>
      </w:r>
      <w:r w:rsidR="00C837B9" w:rsidRPr="00154F1D">
        <w:t xml:space="preserve"> to ensure that </w:t>
      </w:r>
      <w:r w:rsidR="00D80132" w:rsidRPr="00154F1D">
        <w:t>‘</w:t>
      </w:r>
      <w:r w:rsidR="0022324A" w:rsidRPr="00154F1D">
        <w:t>the law has the right test to distinguish between those who should be held criminally responsible for what they have done, and those who should not because of their condition’.</w:t>
      </w:r>
      <w:r w:rsidR="0022324A" w:rsidRPr="00154F1D">
        <w:rPr>
          <w:rStyle w:val="FootnoteReference"/>
        </w:rPr>
        <w:footnoteReference w:id="422"/>
      </w:r>
    </w:p>
    <w:p w14:paraId="01313F1D" w14:textId="4BD1CED5" w:rsidR="00424D38" w:rsidRPr="00154F1D" w:rsidRDefault="00424D38" w:rsidP="00424D38">
      <w:pPr>
        <w:pStyle w:val="Sub-HeadingTLRI"/>
      </w:pPr>
      <w:bookmarkStart w:id="149" w:name="_Toc535868963"/>
      <w:r w:rsidRPr="00154F1D">
        <w:t>Is it necessary to have an insanity defence?</w:t>
      </w:r>
      <w:bookmarkEnd w:id="149"/>
    </w:p>
    <w:p w14:paraId="631EDEB4" w14:textId="18567F33" w:rsidR="00424D38" w:rsidRPr="00154F1D" w:rsidRDefault="00424D38" w:rsidP="00744FAA">
      <w:pPr>
        <w:pStyle w:val="NormalNumberedTextTLRI"/>
      </w:pPr>
      <w:r w:rsidRPr="00154F1D">
        <w:t>In some states in the United States, the insanity defence has been abolished.</w:t>
      </w:r>
      <w:r w:rsidRPr="00154F1D">
        <w:rPr>
          <w:rStyle w:val="FootnoteReference"/>
        </w:rPr>
        <w:footnoteReference w:id="423"/>
      </w:r>
      <w:r w:rsidRPr="00154F1D">
        <w:t xml:space="preserve"> The Law Reform Commission</w:t>
      </w:r>
      <w:r w:rsidR="005C45C6" w:rsidRPr="00154F1D">
        <w:t>er</w:t>
      </w:r>
      <w:r w:rsidRPr="00154F1D">
        <w:t xml:space="preserve"> of Tasmania has previously recommended that the defence of insanity be abolished and that evidence of mental or psychological disorder be admissible as relevant to deny the mental element for the offence in all cases.</w:t>
      </w:r>
      <w:bookmarkStart w:id="150" w:name="_Ref535335668"/>
      <w:r w:rsidRPr="00154F1D">
        <w:rPr>
          <w:rStyle w:val="FootnoteReference"/>
        </w:rPr>
        <w:footnoteReference w:id="424"/>
      </w:r>
      <w:bookmarkEnd w:id="150"/>
      <w:r w:rsidRPr="00154F1D">
        <w:t xml:space="preserve"> The abolition of the insanity defence has also been advocated by some legal academics</w:t>
      </w:r>
      <w:r w:rsidRPr="00154F1D">
        <w:rPr>
          <w:rStyle w:val="FootnoteReference"/>
        </w:rPr>
        <w:footnoteReference w:id="425"/>
      </w:r>
      <w:r w:rsidRPr="00154F1D">
        <w:t xml:space="preserve"> and disability rights academics.</w:t>
      </w:r>
      <w:bookmarkStart w:id="151" w:name="_Ref535330877"/>
      <w:r w:rsidRPr="00154F1D">
        <w:rPr>
          <w:rStyle w:val="FootnoteReference"/>
        </w:rPr>
        <w:footnoteReference w:id="426"/>
      </w:r>
      <w:bookmarkEnd w:id="151"/>
      <w:r w:rsidRPr="00154F1D">
        <w:t xml:space="preserve"> The </w:t>
      </w:r>
      <w:r w:rsidR="0056009E" w:rsidRPr="00154F1D">
        <w:t>Scottish Law Commission, the Law Commission of England and Wales, the New Zealand Law Reform Commission, the New South Wales Law Reform Commission and the Law Reform Commission of Victoria have also considered the abolition of the defence of insanity</w:t>
      </w:r>
      <w:r w:rsidRPr="00154F1D">
        <w:t>.</w:t>
      </w:r>
      <w:r w:rsidRPr="00154F1D">
        <w:rPr>
          <w:rStyle w:val="FootnoteReference"/>
        </w:rPr>
        <w:footnoteReference w:id="427"/>
      </w:r>
      <w:r w:rsidRPr="00154F1D">
        <w:t xml:space="preserve"> The Law Commission </w:t>
      </w:r>
      <w:r w:rsidR="0056009E" w:rsidRPr="00154F1D">
        <w:t xml:space="preserve">of England and Wales </w:t>
      </w:r>
      <w:r w:rsidRPr="00154F1D">
        <w:t xml:space="preserve">was the only review </w:t>
      </w:r>
      <w:r w:rsidR="00BE4BE7" w:rsidRPr="00154F1D">
        <w:t>to propose a provisional abolition</w:t>
      </w:r>
      <w:r w:rsidRPr="00154F1D">
        <w:t xml:space="preserve"> of </w:t>
      </w:r>
      <w:r w:rsidR="000256D0" w:rsidRPr="00154F1D">
        <w:t xml:space="preserve">the </w:t>
      </w:r>
      <w:r w:rsidRPr="00154F1D">
        <w:t>insanity</w:t>
      </w:r>
      <w:r w:rsidR="000256D0" w:rsidRPr="00154F1D">
        <w:t xml:space="preserve"> defence</w:t>
      </w:r>
      <w:r w:rsidRPr="00154F1D">
        <w:t xml:space="preserve">. However, </w:t>
      </w:r>
      <w:r w:rsidR="00BE4BE7" w:rsidRPr="00154F1D">
        <w:t xml:space="preserve">the Commission </w:t>
      </w:r>
      <w:r w:rsidRPr="00154F1D">
        <w:t xml:space="preserve">still considered that there was a need for a special defence of non-responsibility (and rejected the adequacy of general principles of criminal law to address cases where an </w:t>
      </w:r>
      <w:r w:rsidR="00E14797">
        <w:t>accused</w:t>
      </w:r>
      <w:r w:rsidR="00E14797" w:rsidRPr="00154F1D">
        <w:t xml:space="preserve">’s </w:t>
      </w:r>
      <w:r w:rsidRPr="00154F1D">
        <w:t xml:space="preserve">mental disorder resulted in a total loss of capacity). This is discussed </w:t>
      </w:r>
      <w:r w:rsidR="0056009E" w:rsidRPr="00154F1D">
        <w:t xml:space="preserve">further </w:t>
      </w:r>
      <w:r w:rsidRPr="00154F1D">
        <w:t xml:space="preserve">at </w:t>
      </w:r>
      <w:r w:rsidR="00E3337A" w:rsidRPr="00154F1D">
        <w:t>[7.5.7]–[7.5.14]</w:t>
      </w:r>
      <w:r w:rsidRPr="00154F1D">
        <w:t xml:space="preserve">. </w:t>
      </w:r>
    </w:p>
    <w:p w14:paraId="594EDC34" w14:textId="208E15C6" w:rsidR="00424D38" w:rsidRPr="00154F1D" w:rsidRDefault="00424D38" w:rsidP="00744FAA">
      <w:pPr>
        <w:pStyle w:val="NormalNumberedTextTLRI"/>
      </w:pPr>
      <w:r w:rsidRPr="00154F1D">
        <w:t>The insanity defence (without a comparable replacement) would mean that the criminal liability of a person with a mental illness or intellectual disability would be determined according to the general principles of criminal law. This would allow evidence of mental illness or intellectual disability to be used to deny the elements of the offence (the voluntary and intentional act, intention, knowledge, subjective recklessness etc) or to establish a defence of general application (such as self-defence).</w:t>
      </w:r>
      <w:r w:rsidR="00B11FF7" w:rsidRPr="00154F1D">
        <w:rPr>
          <w:rStyle w:val="FootnoteReference"/>
        </w:rPr>
        <w:footnoteReference w:id="428"/>
      </w:r>
      <w:r w:rsidR="00B11FF7" w:rsidRPr="00154F1D">
        <w:t xml:space="preserve"> </w:t>
      </w:r>
      <w:r w:rsidRPr="00154F1D">
        <w:t xml:space="preserve">According to this approach, concerns in relation to the protection of </w:t>
      </w:r>
      <w:r w:rsidR="000256D0" w:rsidRPr="00154F1D">
        <w:t xml:space="preserve">the </w:t>
      </w:r>
      <w:r w:rsidRPr="00154F1D">
        <w:t xml:space="preserve">public </w:t>
      </w:r>
      <w:r w:rsidR="0056009E" w:rsidRPr="00154F1D">
        <w:t>following</w:t>
      </w:r>
      <w:r w:rsidRPr="00154F1D">
        <w:t xml:space="preserve"> an acquittal could be resolved through civil rather than criminal procedures.</w:t>
      </w:r>
      <w:r w:rsidRPr="00154F1D">
        <w:rPr>
          <w:rStyle w:val="FootnoteReference"/>
        </w:rPr>
        <w:footnoteReference w:id="429"/>
      </w:r>
      <w:r w:rsidRPr="00154F1D">
        <w:t xml:space="preserve"> </w:t>
      </w:r>
    </w:p>
    <w:p w14:paraId="7E76A622" w14:textId="77777777" w:rsidR="00424D38" w:rsidRPr="00154F1D" w:rsidRDefault="00424D38" w:rsidP="00424D38">
      <w:pPr>
        <w:pStyle w:val="furhtersub-heading2"/>
      </w:pPr>
      <w:r w:rsidRPr="00154F1D">
        <w:t>Reasons advanced for the abolition of the defence</w:t>
      </w:r>
    </w:p>
    <w:p w14:paraId="28D067FB" w14:textId="77777777" w:rsidR="00424D38" w:rsidRPr="00154F1D" w:rsidRDefault="00424D38" w:rsidP="00744FAA">
      <w:pPr>
        <w:pStyle w:val="NormalNumberedTextTLRI"/>
      </w:pPr>
      <w:r w:rsidRPr="00154F1D">
        <w:t>The following reasons have been advanced in support of the abolition of the defence:</w:t>
      </w:r>
    </w:p>
    <w:p w14:paraId="5E31C4F3" w14:textId="566E1436" w:rsidR="00424D38" w:rsidRPr="00154F1D" w:rsidRDefault="00424D38" w:rsidP="002371C7">
      <w:pPr>
        <w:pStyle w:val="DotPointTLRI"/>
        <w:ind w:left="851" w:hanging="425"/>
      </w:pPr>
      <w:r w:rsidRPr="00D3536D">
        <w:rPr>
          <w:u w:val="single"/>
        </w:rPr>
        <w:t xml:space="preserve">It is inherently discriminatory based on disability and contrary to the </w:t>
      </w:r>
      <w:r w:rsidRPr="00D3536D">
        <w:rPr>
          <w:i/>
          <w:u w:val="single"/>
        </w:rPr>
        <w:t>CRPD</w:t>
      </w:r>
      <w:r w:rsidRPr="00D3536D">
        <w:rPr>
          <w:u w:val="single"/>
        </w:rPr>
        <w:t xml:space="preserve"> right to equality before the law, including the right to recognition of legal capacity</w:t>
      </w:r>
      <w:r w:rsidRPr="00154F1D">
        <w:t>. The United Nations High Commissioner for Human Rights has stated that:</w:t>
      </w:r>
    </w:p>
    <w:p w14:paraId="365D8408" w14:textId="77777777" w:rsidR="00424D38" w:rsidRPr="00154F1D" w:rsidRDefault="00424D38" w:rsidP="00564865">
      <w:pPr>
        <w:pStyle w:val="QuoteTLRI"/>
        <w:ind w:left="1276"/>
      </w:pPr>
      <w:r w:rsidRPr="00154F1D">
        <w:t>In the area of criminal law, recognition of the legal capacity of persons with disabilities requires abolishing a defence based on the negation of criminal responsibility because of the existence of a mental or intellectual disability. Instead disability-neutral doctrines on the subjective elements of crime should be applied, which take into consideration the situation of the individual defendant.</w:t>
      </w:r>
      <w:r w:rsidRPr="00154F1D">
        <w:rPr>
          <w:rStyle w:val="FootnoteReference"/>
        </w:rPr>
        <w:footnoteReference w:id="430"/>
      </w:r>
    </w:p>
    <w:p w14:paraId="3C9EF402" w14:textId="32FA378F" w:rsidR="00424D38" w:rsidRPr="00154F1D" w:rsidRDefault="00424D38" w:rsidP="002371C7">
      <w:pPr>
        <w:pStyle w:val="DotPointTLRI"/>
        <w:numPr>
          <w:ilvl w:val="0"/>
          <w:numId w:val="0"/>
        </w:numPr>
        <w:ind w:left="851"/>
      </w:pPr>
      <w:r w:rsidRPr="00154F1D">
        <w:t xml:space="preserve">Further, it is argued that ‘[g]ranting people with </w:t>
      </w:r>
      <w:r w:rsidRPr="00154F1D">
        <w:rPr>
          <w:lang w:eastAsia="en-AU"/>
        </w:rPr>
        <w:t xml:space="preserve">mental disability a special defence stigmatises and marginalises them. The category of </w:t>
      </w:r>
      <w:r w:rsidR="00296B0B" w:rsidRPr="00154F1D">
        <w:t>“</w:t>
      </w:r>
      <w:r w:rsidRPr="00154F1D">
        <w:rPr>
          <w:lang w:eastAsia="en-AU"/>
        </w:rPr>
        <w:t>criminal insanity</w:t>
      </w:r>
      <w:r w:rsidRPr="00154F1D">
        <w:t>”</w:t>
      </w:r>
      <w:r w:rsidRPr="00154F1D">
        <w:rPr>
          <w:rFonts w:ascii="AdvTT5235d5a9+20" w:hAnsi="AdvTT5235d5a9+20"/>
          <w:lang w:eastAsia="en-AU"/>
        </w:rPr>
        <w:t xml:space="preserve"> </w:t>
      </w:r>
      <w:r w:rsidRPr="00154F1D">
        <w:rPr>
          <w:lang w:eastAsia="en-AU"/>
        </w:rPr>
        <w:t>perpetuates the extremely damaging myth that people with mental disability are especially dangerous or especially uncontrollable’.</w:t>
      </w:r>
      <w:r w:rsidRPr="00154F1D">
        <w:rPr>
          <w:rStyle w:val="FootnoteReference"/>
          <w:lang w:eastAsia="en-AU"/>
        </w:rPr>
        <w:footnoteReference w:id="431"/>
      </w:r>
      <w:r w:rsidRPr="00154F1D">
        <w:rPr>
          <w:lang w:eastAsia="en-AU"/>
        </w:rPr>
        <w:t xml:space="preserve"> </w:t>
      </w:r>
    </w:p>
    <w:p w14:paraId="3903C70B" w14:textId="77777777" w:rsidR="00424D38" w:rsidRPr="00154F1D" w:rsidRDefault="00424D38" w:rsidP="002371C7">
      <w:pPr>
        <w:pStyle w:val="DotPointTLRI"/>
        <w:ind w:left="851" w:hanging="425"/>
      </w:pPr>
      <w:r w:rsidRPr="00D3536D">
        <w:rPr>
          <w:u w:val="single"/>
        </w:rPr>
        <w:t>It is fundamentally flawed to argue that a person who is mentally ill is less guilty than someone who is not mentally ill but is driven into criminal behaviour by circumstances beyond their control (such as social deprivation)</w:t>
      </w:r>
      <w:r w:rsidRPr="00154F1D">
        <w:t>.</w:t>
      </w:r>
      <w:r w:rsidRPr="00154F1D">
        <w:rPr>
          <w:rStyle w:val="FootnoteReference"/>
        </w:rPr>
        <w:footnoteReference w:id="432"/>
      </w:r>
      <w:r w:rsidRPr="00154F1D">
        <w:t xml:space="preserve"> The argument is that there is no reason for distinguishing between different causes of non-responsibility.</w:t>
      </w:r>
      <w:r w:rsidRPr="00154F1D">
        <w:rPr>
          <w:rStyle w:val="FootnoteReference"/>
        </w:rPr>
        <w:footnoteReference w:id="433"/>
      </w:r>
    </w:p>
    <w:p w14:paraId="60F7D46D" w14:textId="17AB7C35" w:rsidR="00424D38" w:rsidRPr="00154F1D" w:rsidRDefault="00424D38" w:rsidP="002371C7">
      <w:pPr>
        <w:pStyle w:val="DotPointTLRI"/>
        <w:ind w:left="851" w:hanging="425"/>
      </w:pPr>
      <w:r w:rsidRPr="00154F1D">
        <w:rPr>
          <w:u w:val="single"/>
        </w:rPr>
        <w:t>It is wrong in principle</w:t>
      </w:r>
      <w:r w:rsidRPr="00154F1D">
        <w:t>. This argument is based on the concern that the criminal law is being used inappropriately to detain people who ha</w:t>
      </w:r>
      <w:r w:rsidR="000256D0" w:rsidRPr="00154F1D">
        <w:t>ve</w:t>
      </w:r>
      <w:r w:rsidRPr="00154F1D">
        <w:t xml:space="preserve"> been acquitted on the ground that they ‘were perceived to pose a risk of harm’.</w:t>
      </w:r>
      <w:r w:rsidRPr="00154F1D">
        <w:rPr>
          <w:rStyle w:val="FootnoteReference"/>
        </w:rPr>
        <w:footnoteReference w:id="434"/>
      </w:r>
    </w:p>
    <w:p w14:paraId="1E9D34DD" w14:textId="301FD7F0" w:rsidR="00424D38" w:rsidRPr="00154F1D" w:rsidRDefault="00424D38" w:rsidP="002371C7">
      <w:pPr>
        <w:pStyle w:val="DotPointTLRI"/>
        <w:ind w:left="851" w:hanging="425"/>
      </w:pPr>
      <w:r w:rsidRPr="00154F1D">
        <w:rPr>
          <w:u w:val="single"/>
        </w:rPr>
        <w:t>Burden of proof and consistency with general principles of criminal law.</w:t>
      </w:r>
      <w:r w:rsidRPr="00154F1D">
        <w:t xml:space="preserve"> It is argued that it is contrary to ‘notions of justice and fair play’ to require ‘the accused to prove not only that he [or she] did not have </w:t>
      </w:r>
      <w:r w:rsidRPr="00154F1D">
        <w:rPr>
          <w:i/>
        </w:rPr>
        <w:t>mens rea</w:t>
      </w:r>
      <w:r w:rsidRPr="00154F1D">
        <w:t xml:space="preserve"> but that he [or she] suffered from a total incapacity to understand the physical nature of the act’.</w:t>
      </w:r>
      <w:r w:rsidR="005C45C6" w:rsidRPr="00154F1D">
        <w:rPr>
          <w:rStyle w:val="FootnoteReference"/>
        </w:rPr>
        <w:footnoteReference w:id="435"/>
      </w:r>
      <w:r w:rsidRPr="00154F1D">
        <w:t xml:space="preserve"> This represents a shifting of the burden of proof to the accused and also the imposition of a more onerous burden.</w:t>
      </w:r>
      <w:r w:rsidRPr="00154F1D">
        <w:rPr>
          <w:rStyle w:val="FootnoteReference"/>
        </w:rPr>
        <w:footnoteReference w:id="436"/>
      </w:r>
      <w:r w:rsidRPr="00154F1D">
        <w:t xml:space="preserve"> It is argued that the abolition of </w:t>
      </w:r>
      <w:r w:rsidR="000256D0" w:rsidRPr="00154F1D">
        <w:t xml:space="preserve">the </w:t>
      </w:r>
      <w:r w:rsidRPr="00154F1D">
        <w:t>insanity</w:t>
      </w:r>
      <w:r w:rsidR="000256D0" w:rsidRPr="00154F1D">
        <w:t xml:space="preserve"> defence</w:t>
      </w:r>
      <w:r w:rsidRPr="00154F1D">
        <w:t xml:space="preserve"> ‘is more consistent with general principles of criminal law’ on the basis that ‘if the prosecution can prove the elements constituting the offence, the charge is made out, and if it cannot, then the accused must be acquitted’.</w:t>
      </w:r>
      <w:r w:rsidRPr="00154F1D">
        <w:rPr>
          <w:rStyle w:val="FootnoteReference"/>
        </w:rPr>
        <w:footnoteReference w:id="437"/>
      </w:r>
    </w:p>
    <w:p w14:paraId="1001BEE8" w14:textId="77777777" w:rsidR="00424D38" w:rsidRPr="00154F1D" w:rsidRDefault="00424D38" w:rsidP="00744FAA">
      <w:pPr>
        <w:pStyle w:val="NormalNumberedTextTLRI"/>
      </w:pPr>
      <w:r w:rsidRPr="00154F1D">
        <w:t>The following reasons have been advanced to support the retention of the defence:</w:t>
      </w:r>
    </w:p>
    <w:p w14:paraId="2E057BBC" w14:textId="158F1036" w:rsidR="00424D38" w:rsidRPr="00154F1D" w:rsidRDefault="00424D38" w:rsidP="009E3E76">
      <w:pPr>
        <w:pStyle w:val="DotPointTLRI"/>
        <w:ind w:left="851" w:hanging="425"/>
        <w:rPr>
          <w:u w:val="single"/>
        </w:rPr>
      </w:pPr>
      <w:r w:rsidRPr="00154F1D">
        <w:rPr>
          <w:u w:val="single"/>
        </w:rPr>
        <w:t>The insanity verdict reflects the true ground for the verdict.</w:t>
      </w:r>
      <w:r w:rsidRPr="00154F1D">
        <w:rPr>
          <w:rStyle w:val="FootnoteReference"/>
        </w:rPr>
        <w:footnoteReference w:id="438"/>
      </w:r>
      <w:r w:rsidRPr="00154F1D">
        <w:t xml:space="preserve"> Insanity reflects the foundations of the defence as a ‘denial of criminal responsibility due to a person’s lack of capacity’.</w:t>
      </w:r>
      <w:r w:rsidRPr="00154F1D">
        <w:rPr>
          <w:rStyle w:val="FootnoteReference"/>
        </w:rPr>
        <w:footnoteReference w:id="439"/>
      </w:r>
      <w:r w:rsidRPr="00154F1D">
        <w:t xml:space="preserve"> The New Zealand Law Commission </w:t>
      </w:r>
      <w:r w:rsidR="00C95BCB" w:rsidRPr="00154F1D">
        <w:t xml:space="preserve">(NZLC) </w:t>
      </w:r>
      <w:r w:rsidRPr="00154F1D">
        <w:t>observed that:</w:t>
      </w:r>
    </w:p>
    <w:p w14:paraId="2368B0A4" w14:textId="25308846" w:rsidR="00424D38" w:rsidRPr="00154F1D" w:rsidRDefault="00424D38" w:rsidP="00564865">
      <w:pPr>
        <w:pStyle w:val="QuoteTLRI"/>
        <w:spacing w:after="120"/>
        <w:ind w:left="1276" w:right="788"/>
      </w:pPr>
      <w:r w:rsidRPr="00154F1D">
        <w:t>It is not, in fact, true to say, as the abolitionists do, that the insanity defence is ill-founded because criminal liability in general turns on the presence or absence of criminal intent. The criminal law, and society more generally, across all like-minded jurisdictions, does recognise other circumstances in which factual guilt, and criminal actions with intent, are justified or excused, resulting in acquittal, because the offender was placed in a position in which he or she did not have a “real” choice. Self-defence, and duress or necessity</w:t>
      </w:r>
      <w:r w:rsidR="00CA3CC0" w:rsidRPr="00154F1D">
        <w:t>,</w:t>
      </w:r>
      <w:r w:rsidRPr="00154F1D">
        <w:t xml:space="preserve"> are examples.</w:t>
      </w:r>
      <w:bookmarkStart w:id="152" w:name="_Ref535342070"/>
      <w:r w:rsidRPr="00154F1D">
        <w:rPr>
          <w:rStyle w:val="FootnoteReference"/>
        </w:rPr>
        <w:footnoteReference w:id="440"/>
      </w:r>
      <w:bookmarkEnd w:id="152"/>
    </w:p>
    <w:p w14:paraId="024D5926" w14:textId="453F1D99" w:rsidR="00424D38" w:rsidRPr="00154F1D" w:rsidRDefault="00424D38" w:rsidP="009F4E1B">
      <w:pPr>
        <w:pStyle w:val="DotPointTLRI"/>
        <w:numPr>
          <w:ilvl w:val="0"/>
          <w:numId w:val="0"/>
        </w:numPr>
        <w:ind w:left="851"/>
      </w:pPr>
      <w:r w:rsidRPr="00154F1D">
        <w:t xml:space="preserve">Further, there may be some individuals who were proved to have the relevant intent at the time of the offence but where the intent was affected by a delusion. It </w:t>
      </w:r>
      <w:r w:rsidR="0056009E" w:rsidRPr="00154F1D">
        <w:t xml:space="preserve">is argued that it </w:t>
      </w:r>
      <w:r w:rsidRPr="00154F1D">
        <w:t xml:space="preserve">would be unfair to convict such a person where </w:t>
      </w:r>
      <w:r w:rsidR="0056009E" w:rsidRPr="00154F1D">
        <w:t>they were</w:t>
      </w:r>
      <w:r w:rsidRPr="00154F1D">
        <w:t xml:space="preserve"> ‘grossly out of touch with reality at the time of the crime’.</w:t>
      </w:r>
      <w:r w:rsidRPr="00154F1D">
        <w:rPr>
          <w:rStyle w:val="FootnoteReference"/>
        </w:rPr>
        <w:footnoteReference w:id="441"/>
      </w:r>
      <w:r w:rsidRPr="00154F1D">
        <w:t xml:space="preserve"> It also does not account for strict liability offences, where the prosecution does not need to prove any intention beyond a voluntary and intentional act. </w:t>
      </w:r>
    </w:p>
    <w:p w14:paraId="6C61CAEA" w14:textId="2EFFF1C0" w:rsidR="00424D38" w:rsidRPr="00154F1D" w:rsidRDefault="00424D38" w:rsidP="009F4E1B">
      <w:pPr>
        <w:pStyle w:val="NormalNumberedTextTLRI"/>
        <w:numPr>
          <w:ilvl w:val="0"/>
          <w:numId w:val="50"/>
        </w:numPr>
        <w:tabs>
          <w:tab w:val="clear" w:pos="851"/>
        </w:tabs>
        <w:spacing w:after="120"/>
        <w:ind w:left="850" w:hanging="425"/>
      </w:pPr>
      <w:r w:rsidRPr="00154F1D">
        <w:rPr>
          <w:u w:val="single"/>
        </w:rPr>
        <w:t xml:space="preserve">The requirement for legal capacity under the </w:t>
      </w:r>
      <w:r w:rsidRPr="00154F1D">
        <w:rPr>
          <w:i/>
          <w:u w:val="single"/>
        </w:rPr>
        <w:t>CRPD</w:t>
      </w:r>
      <w:r w:rsidRPr="00154F1D">
        <w:rPr>
          <w:u w:val="single"/>
        </w:rPr>
        <w:t xml:space="preserve"> (which refers to one’s power to act within the legal system’)</w:t>
      </w:r>
      <w:bookmarkStart w:id="153" w:name="_Ref535336345"/>
      <w:r w:rsidRPr="00154F1D">
        <w:rPr>
          <w:rStyle w:val="FootnoteReference"/>
          <w:u w:val="single"/>
        </w:rPr>
        <w:footnoteReference w:id="442"/>
      </w:r>
      <w:bookmarkEnd w:id="153"/>
      <w:r w:rsidRPr="00154F1D">
        <w:rPr>
          <w:u w:val="single"/>
        </w:rPr>
        <w:t xml:space="preserve"> is not undermined by the insanity defence</w:t>
      </w:r>
      <w:r w:rsidRPr="00154F1D">
        <w:t xml:space="preserve">. </w:t>
      </w:r>
      <w:r w:rsidR="0056009E" w:rsidRPr="00154F1D">
        <w:t xml:space="preserve">After considering the views expressed by those who would advocate for the abolition of the insanity defence on human rights grounds, </w:t>
      </w:r>
      <w:r w:rsidRPr="00154F1D">
        <w:t>Wondemaghen argues that:</w:t>
      </w:r>
    </w:p>
    <w:p w14:paraId="7EB2511E" w14:textId="365954DE" w:rsidR="00424D38" w:rsidRPr="00154F1D" w:rsidRDefault="00424D38" w:rsidP="00531F98">
      <w:pPr>
        <w:pStyle w:val="QuoteTLRI"/>
        <w:ind w:left="1276"/>
      </w:pPr>
      <w:r w:rsidRPr="00154F1D">
        <w:t>Adherence to Article 12 demands that persons with mental and psychosocial disabilities are recognised as free agents with legal capacity who may or may not choose to employ the defence of insanity to negate reasoning, not as a perpetual and continuous state, but solely at the time of the commission of a criminal act.</w:t>
      </w:r>
      <w:r w:rsidRPr="00154F1D">
        <w:rPr>
          <w:rStyle w:val="FootnoteReference"/>
        </w:rPr>
        <w:footnoteReference w:id="443"/>
      </w:r>
    </w:p>
    <w:p w14:paraId="1C199288" w14:textId="48ECDF52" w:rsidR="00727C70" w:rsidRPr="00154F1D" w:rsidRDefault="00727C70" w:rsidP="009F4E1B">
      <w:pPr>
        <w:pStyle w:val="DotPointTLRI"/>
        <w:numPr>
          <w:ilvl w:val="0"/>
          <w:numId w:val="0"/>
        </w:numPr>
        <w:ind w:left="851"/>
      </w:pPr>
      <w:r w:rsidRPr="00154F1D">
        <w:t xml:space="preserve">This can be contrasted with the position of children where lack of criminal responsibility is a permanent state for children under the age of </w:t>
      </w:r>
      <w:r w:rsidR="009F4E1B" w:rsidRPr="00154F1D">
        <w:t>10</w:t>
      </w:r>
      <w:r w:rsidRPr="00154F1D">
        <w:t xml:space="preserve"> and a rebutta</w:t>
      </w:r>
      <w:r w:rsidR="00502A0B" w:rsidRPr="00154F1D">
        <w:t>b</w:t>
      </w:r>
      <w:r w:rsidRPr="00154F1D">
        <w:t>l</w:t>
      </w:r>
      <w:r w:rsidR="00502A0B" w:rsidRPr="00154F1D">
        <w:t xml:space="preserve">e </w:t>
      </w:r>
      <w:r w:rsidRPr="00154F1D">
        <w:t>presumption for children aged between 10 and 14 years.</w:t>
      </w:r>
      <w:r w:rsidRPr="00154F1D">
        <w:rPr>
          <w:rStyle w:val="FootnoteReference"/>
        </w:rPr>
        <w:footnoteReference w:id="444"/>
      </w:r>
      <w:r w:rsidRPr="00154F1D">
        <w:t xml:space="preserve"> For </w:t>
      </w:r>
      <w:r w:rsidR="00E14797">
        <w:t>individual</w:t>
      </w:r>
      <w:r w:rsidR="00E14797" w:rsidRPr="00154F1D">
        <w:t xml:space="preserve">s </w:t>
      </w:r>
      <w:r w:rsidRPr="00154F1D">
        <w:t xml:space="preserve">who seek to raise insanity, there is a presumption of sanity and it must be established </w:t>
      </w:r>
      <w:r w:rsidR="00384CFC" w:rsidRPr="00154F1D">
        <w:t xml:space="preserve">on the balance of probabilities </w:t>
      </w:r>
      <w:r w:rsidRPr="00154F1D">
        <w:t xml:space="preserve">that the </w:t>
      </w:r>
      <w:r w:rsidR="006F42C0">
        <w:t xml:space="preserve">person </w:t>
      </w:r>
      <w:r w:rsidRPr="00154F1D">
        <w:t>had a mental disease</w:t>
      </w:r>
      <w:r w:rsidR="0056009E" w:rsidRPr="00154F1D">
        <w:t>,</w:t>
      </w:r>
      <w:r w:rsidRPr="00154F1D">
        <w:t xml:space="preserve"> which gave rise to one of the relevant incapacities at the time of the offence. Accordingly, it is not a permanent lack of legal capacity based on disability. Indeed, </w:t>
      </w:r>
      <w:r w:rsidR="00E14797">
        <w:t>a person</w:t>
      </w:r>
      <w:r w:rsidRPr="00154F1D">
        <w:t xml:space="preserve"> may be found guilty of some offences and not guilty by reason of insanity in relation to other offences for offending that occurs in a relatively close time span.</w:t>
      </w:r>
      <w:r w:rsidRPr="00154F1D">
        <w:rPr>
          <w:rStyle w:val="FootnoteReference"/>
        </w:rPr>
        <w:footnoteReference w:id="445"/>
      </w:r>
    </w:p>
    <w:p w14:paraId="78C668E2" w14:textId="310D13A6" w:rsidR="003732FE" w:rsidRPr="00154F1D" w:rsidRDefault="00820C99" w:rsidP="00245284">
      <w:pPr>
        <w:pStyle w:val="DotPointTLRI"/>
        <w:ind w:left="851" w:hanging="425"/>
        <w:outlineLvl w:val="0"/>
      </w:pPr>
      <w:r w:rsidRPr="00154F1D">
        <w:rPr>
          <w:u w:val="single"/>
        </w:rPr>
        <w:t xml:space="preserve">The underlying rationale for the insanity defence </w:t>
      </w:r>
      <w:r w:rsidR="003732FE" w:rsidRPr="00154F1D">
        <w:rPr>
          <w:u w:val="single"/>
        </w:rPr>
        <w:t>is still valid</w:t>
      </w:r>
      <w:r w:rsidR="003732FE" w:rsidRPr="00C251A6">
        <w:t xml:space="preserve">. This was the view expressed by the NSWLRC, </w:t>
      </w:r>
      <w:r w:rsidR="00245284" w:rsidRPr="00C251A6">
        <w:t>which</w:t>
      </w:r>
      <w:r w:rsidR="003732FE" w:rsidRPr="00C251A6">
        <w:t xml:space="preserve"> stated:</w:t>
      </w:r>
    </w:p>
    <w:p w14:paraId="5606DDE8" w14:textId="6CA89E63" w:rsidR="003732FE" w:rsidRPr="00154F1D" w:rsidRDefault="003732FE" w:rsidP="00531F98">
      <w:pPr>
        <w:pStyle w:val="QuoteTLRI"/>
        <w:ind w:left="1276"/>
        <w:rPr>
          <w:sz w:val="24"/>
        </w:rPr>
      </w:pPr>
      <w:r w:rsidRPr="00154F1D">
        <w:t>Is there still a need to provide a legal mechanism for excusing from criminal responsibility those offenders whose mental capacity is significantly impaired, for protecting them from themselves or the community where their impaired mental capacity makes them susceptible to dangerous behaviour, and for providing them with the opportunity for treatment, rather than punishment?</w:t>
      </w:r>
      <w:bookmarkStart w:id="154" w:name="_Ref535692565"/>
      <w:r w:rsidRPr="00154F1D">
        <w:rPr>
          <w:rStyle w:val="FootnoteReference"/>
          <w:lang w:eastAsia="en-AU"/>
        </w:rPr>
        <w:footnoteReference w:id="446"/>
      </w:r>
      <w:bookmarkEnd w:id="154"/>
      <w:r w:rsidRPr="00154F1D">
        <w:t xml:space="preserve"> </w:t>
      </w:r>
    </w:p>
    <w:p w14:paraId="7D1B0F0C" w14:textId="77777777" w:rsidR="003732FE" w:rsidRPr="00154F1D" w:rsidRDefault="003732FE" w:rsidP="00245284">
      <w:pPr>
        <w:pStyle w:val="DotPointTLRI"/>
        <w:numPr>
          <w:ilvl w:val="0"/>
          <w:numId w:val="0"/>
        </w:numPr>
        <w:ind w:left="851"/>
        <w:rPr>
          <w:rFonts w:eastAsia="Times"/>
        </w:rPr>
      </w:pPr>
      <w:r w:rsidRPr="00154F1D">
        <w:rPr>
          <w:rFonts w:eastAsia="Times"/>
        </w:rPr>
        <w:t>The Commission’s view was that ‘the answer to that question is uncontroversial, and the underlying rationale for the defence of mental illness remains as valid today as it did when it first evolved’.</w:t>
      </w:r>
      <w:r w:rsidRPr="00154F1D">
        <w:rPr>
          <w:rStyle w:val="FootnoteReference"/>
          <w:rFonts w:eastAsia="Times"/>
          <w:szCs w:val="20"/>
        </w:rPr>
        <w:footnoteReference w:id="447"/>
      </w:r>
      <w:r w:rsidRPr="00154F1D">
        <w:rPr>
          <w:rFonts w:eastAsia="Times"/>
        </w:rPr>
        <w:t xml:space="preserve"> </w:t>
      </w:r>
    </w:p>
    <w:p w14:paraId="19DEE236" w14:textId="4C589363" w:rsidR="00424D38" w:rsidRPr="00154F1D" w:rsidRDefault="00424D38" w:rsidP="00245284">
      <w:pPr>
        <w:pStyle w:val="DotPointTLRI"/>
        <w:ind w:left="851" w:hanging="425"/>
      </w:pPr>
      <w:r w:rsidRPr="00154F1D">
        <w:rPr>
          <w:u w:val="single"/>
        </w:rPr>
        <w:t>Public protection requires the courts to have special powers</w:t>
      </w:r>
      <w:r w:rsidR="00384CFC" w:rsidRPr="00154F1D">
        <w:rPr>
          <w:u w:val="single"/>
        </w:rPr>
        <w:t xml:space="preserve"> beyond civil powers of detention</w:t>
      </w:r>
      <w:r w:rsidRPr="00154F1D">
        <w:t>.</w:t>
      </w:r>
      <w:r w:rsidRPr="00154F1D">
        <w:rPr>
          <w:rStyle w:val="FootnoteReference"/>
        </w:rPr>
        <w:footnoteReference w:id="448"/>
      </w:r>
      <w:r w:rsidRPr="00154F1D">
        <w:t xml:space="preserve"> The Law Commission stated that:</w:t>
      </w:r>
    </w:p>
    <w:p w14:paraId="16990444" w14:textId="77777777" w:rsidR="00424D38" w:rsidRPr="00154F1D" w:rsidRDefault="00424D38" w:rsidP="00531F98">
      <w:pPr>
        <w:pStyle w:val="QuoteTLRI"/>
        <w:ind w:left="1276"/>
      </w:pPr>
      <w:r w:rsidRPr="00154F1D">
        <w:t>A person with mental disorder who has done what would amount to a criminal offence is not, it seems to us, in the same position as a person who has been acquitted without any reliance on a mental disorder defence. It is justifiable, on the grounds of public protection, to detain a person who has been found to have committed what would have been a criminal offence but for his or her medical condition (whether physical or mental).</w:t>
      </w:r>
      <w:r w:rsidRPr="00154F1D">
        <w:rPr>
          <w:rStyle w:val="FootnoteReference"/>
          <w:lang w:eastAsia="en-AU"/>
        </w:rPr>
        <w:footnoteReference w:id="449"/>
      </w:r>
    </w:p>
    <w:p w14:paraId="07456598" w14:textId="65EFA641" w:rsidR="00424D38" w:rsidRPr="00154F1D" w:rsidRDefault="00424D38" w:rsidP="000676FC">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b/>
        </w:rPr>
      </w:pPr>
      <w:bookmarkStart w:id="155" w:name="Q25"/>
      <w:r w:rsidRPr="00154F1D">
        <w:rPr>
          <w:b/>
        </w:rPr>
        <w:t>Question</w:t>
      </w:r>
      <w:r w:rsidR="00755B62" w:rsidRPr="00154F1D">
        <w:rPr>
          <w:b/>
        </w:rPr>
        <w:t>s</w:t>
      </w:r>
    </w:p>
    <w:bookmarkEnd w:id="155"/>
    <w:p w14:paraId="0C57373D" w14:textId="02F2A2B1" w:rsidR="00424D38" w:rsidRPr="00154F1D" w:rsidRDefault="00BE4BE7" w:rsidP="000676FC">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25</w:t>
      </w:r>
      <w:r w:rsidR="000676FC" w:rsidRPr="00154F1D">
        <w:t>.</w:t>
      </w:r>
      <w:r w:rsidR="000676FC" w:rsidRPr="00154F1D">
        <w:tab/>
      </w:r>
      <w:r w:rsidR="00424D38" w:rsidRPr="00154F1D">
        <w:t xml:space="preserve">Should </w:t>
      </w:r>
      <w:r w:rsidR="00C128F9">
        <w:t>the</w:t>
      </w:r>
      <w:r w:rsidR="00424D38" w:rsidRPr="00154F1D">
        <w:t xml:space="preserve"> defence of insanity </w:t>
      </w:r>
      <w:r w:rsidR="00CC32F9" w:rsidRPr="00154F1D">
        <w:t xml:space="preserve">in s 16 of the </w:t>
      </w:r>
      <w:r w:rsidR="00CC32F9" w:rsidRPr="00154F1D">
        <w:rPr>
          <w:i/>
        </w:rPr>
        <w:t xml:space="preserve">Criminal Code </w:t>
      </w:r>
      <w:r w:rsidR="00CC32F9" w:rsidRPr="00154F1D">
        <w:t xml:space="preserve">(Tas) </w:t>
      </w:r>
      <w:r w:rsidR="00424D38" w:rsidRPr="00154F1D">
        <w:t>be abolished?</w:t>
      </w:r>
    </w:p>
    <w:p w14:paraId="08EEC96C" w14:textId="574E963C" w:rsidR="00424D38" w:rsidRPr="00154F1D" w:rsidRDefault="00BE4BE7" w:rsidP="000676FC">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26</w:t>
      </w:r>
      <w:r w:rsidR="00755B62" w:rsidRPr="00154F1D">
        <w:t>.</w:t>
      </w:r>
      <w:r w:rsidR="000676FC" w:rsidRPr="00154F1D">
        <w:tab/>
      </w:r>
      <w:r w:rsidR="00424D38" w:rsidRPr="00154F1D">
        <w:t>If you consider that the insanity defence should be abolished, do you think that a new defence should be created</w:t>
      </w:r>
      <w:r w:rsidR="000676FC" w:rsidRPr="00154F1D">
        <w:t>,</w:t>
      </w:r>
      <w:r w:rsidR="00424D38" w:rsidRPr="00154F1D">
        <w:t xml:space="preserve"> or should general principles of criminal responsibility apply?</w:t>
      </w:r>
    </w:p>
    <w:p w14:paraId="7E483727" w14:textId="0DFB32AB" w:rsidR="00AD5CA9" w:rsidRPr="00154F1D" w:rsidRDefault="00BE4BE7" w:rsidP="000676FC">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27</w:t>
      </w:r>
      <w:r w:rsidR="00755B62" w:rsidRPr="00154F1D">
        <w:t>.</w:t>
      </w:r>
      <w:r w:rsidR="000676FC" w:rsidRPr="00154F1D">
        <w:tab/>
      </w:r>
      <w:r w:rsidR="00AD5CA9" w:rsidRPr="00154F1D">
        <w:t xml:space="preserve">If </w:t>
      </w:r>
      <w:r w:rsidR="002058F0" w:rsidRPr="00154F1D">
        <w:t xml:space="preserve">the defence of </w:t>
      </w:r>
      <w:r w:rsidR="00AD5CA9" w:rsidRPr="00154F1D">
        <w:t xml:space="preserve">insanity is abolished, do you consider that the powers under the </w:t>
      </w:r>
      <w:r w:rsidR="00AD5CA9" w:rsidRPr="00154F1D">
        <w:rPr>
          <w:i/>
        </w:rPr>
        <w:t xml:space="preserve">Mental Health Act </w:t>
      </w:r>
      <w:r w:rsidR="002058F0" w:rsidRPr="00154F1D">
        <w:rPr>
          <w:i/>
        </w:rPr>
        <w:t>2013</w:t>
      </w:r>
      <w:r w:rsidR="00AD5CA9" w:rsidRPr="00154F1D">
        <w:rPr>
          <w:i/>
        </w:rPr>
        <w:t xml:space="preserve"> </w:t>
      </w:r>
      <w:r w:rsidR="00D05046" w:rsidRPr="00154F1D">
        <w:t xml:space="preserve">(Tas) </w:t>
      </w:r>
      <w:r w:rsidR="002058F0" w:rsidRPr="00154F1D">
        <w:t xml:space="preserve">are sufficient to address community protection concerns following the acquittal of an </w:t>
      </w:r>
      <w:r w:rsidR="00CD7AF9">
        <w:t>individual</w:t>
      </w:r>
      <w:r w:rsidR="00CD7AF9" w:rsidRPr="00154F1D">
        <w:t xml:space="preserve"> </w:t>
      </w:r>
      <w:r w:rsidR="002058F0" w:rsidRPr="00154F1D">
        <w:t>with mental health impairments?</w:t>
      </w:r>
      <w:r w:rsidR="00AD5CA9" w:rsidRPr="00154F1D">
        <w:t xml:space="preserve"> If not, what changes would be necessary?</w:t>
      </w:r>
    </w:p>
    <w:p w14:paraId="4BB1F8CB" w14:textId="77777777" w:rsidR="00424D38" w:rsidRPr="00154F1D" w:rsidRDefault="00424D38" w:rsidP="009D7DCC">
      <w:pPr>
        <w:pStyle w:val="Sub-HeadingTLRI"/>
        <w:keepNext/>
        <w:rPr>
          <w:i w:val="0"/>
        </w:rPr>
      </w:pPr>
      <w:bookmarkStart w:id="156" w:name="_Toc535868964"/>
      <w:r w:rsidRPr="00154F1D">
        <w:t>A new defence (a ‘radical’ change)</w:t>
      </w:r>
      <w:bookmarkEnd w:id="156"/>
      <w:r w:rsidRPr="00154F1D">
        <w:t xml:space="preserve"> </w:t>
      </w:r>
    </w:p>
    <w:p w14:paraId="74B4846C" w14:textId="77002F14" w:rsidR="00C837B9" w:rsidRPr="00154F1D" w:rsidRDefault="00424D38" w:rsidP="00744FAA">
      <w:pPr>
        <w:pStyle w:val="NormalNumberedTextTLRI"/>
      </w:pPr>
      <w:r w:rsidRPr="00154F1D">
        <w:t xml:space="preserve">An alternative to the complete abolition of insanity would be to replace the insanity defence </w:t>
      </w:r>
      <w:r w:rsidR="0056009E" w:rsidRPr="00154F1D">
        <w:t xml:space="preserve">in s 16 of the </w:t>
      </w:r>
      <w:r w:rsidR="0056009E" w:rsidRPr="00154F1D">
        <w:rPr>
          <w:i/>
        </w:rPr>
        <w:t xml:space="preserve">Criminal Code </w:t>
      </w:r>
      <w:r w:rsidR="0056009E" w:rsidRPr="00154F1D">
        <w:t xml:space="preserve">(Tas) </w:t>
      </w:r>
      <w:r w:rsidRPr="00154F1D">
        <w:t xml:space="preserve">with an alternative means of deciding </w:t>
      </w:r>
      <w:r w:rsidR="00C837B9" w:rsidRPr="00154F1D">
        <w:t xml:space="preserve">the circumstances in which </w:t>
      </w:r>
      <w:r w:rsidR="00CD7AF9">
        <w:t>individual</w:t>
      </w:r>
      <w:r w:rsidR="00CD7AF9" w:rsidRPr="00154F1D">
        <w:t xml:space="preserve">s </w:t>
      </w:r>
      <w:r w:rsidRPr="00154F1D">
        <w:t xml:space="preserve">ought not be criminally responsible for their conduct. </w:t>
      </w:r>
    </w:p>
    <w:p w14:paraId="05A2654E" w14:textId="26360311" w:rsidR="00424D38" w:rsidRPr="00154F1D" w:rsidRDefault="00C837B9" w:rsidP="00744FAA">
      <w:pPr>
        <w:pStyle w:val="NormalNumberedTextTLRI"/>
      </w:pPr>
      <w:r w:rsidRPr="00154F1D">
        <w:t>I</w:t>
      </w:r>
      <w:r w:rsidR="00424D38" w:rsidRPr="00154F1D">
        <w:t>n England and Wales, the Law Commission provisionally proposed a ‘radical’ change to the insanity defence.</w:t>
      </w:r>
      <w:r w:rsidR="00424D38" w:rsidRPr="00154F1D">
        <w:rPr>
          <w:rStyle w:val="FootnoteReference"/>
        </w:rPr>
        <w:footnoteReference w:id="450"/>
      </w:r>
      <w:r w:rsidR="00424D38" w:rsidRPr="00154F1D">
        <w:t xml:space="preserve"> Instead of the traditional insanity defence (and the distinction between sane and insane automatism reflecting the internal/external divide), its view was that the insanity defence </w:t>
      </w:r>
      <w:r w:rsidR="0056009E" w:rsidRPr="00154F1D">
        <w:t xml:space="preserve">in its current form </w:t>
      </w:r>
      <w:r w:rsidR="00424D38" w:rsidRPr="00154F1D">
        <w:t xml:space="preserve">should be abolished and </w:t>
      </w:r>
      <w:r w:rsidR="0056009E" w:rsidRPr="00154F1D">
        <w:t xml:space="preserve">that </w:t>
      </w:r>
      <w:r w:rsidR="00424D38" w:rsidRPr="00154F1D">
        <w:t xml:space="preserve">a special defence based on the accused’s lack of capacity at the time of the offence should be created that </w:t>
      </w:r>
      <w:r w:rsidR="0056009E" w:rsidRPr="00154F1D">
        <w:t xml:space="preserve">would apply </w:t>
      </w:r>
      <w:r w:rsidR="00424D38" w:rsidRPr="00154F1D">
        <w:t>to physical as well as mental conditions that led to a relevant loss of capacity.</w:t>
      </w:r>
      <w:r w:rsidR="00424D38" w:rsidRPr="00154F1D">
        <w:rPr>
          <w:rStyle w:val="FootnoteReference"/>
        </w:rPr>
        <w:footnoteReference w:id="451"/>
      </w:r>
      <w:r w:rsidR="00424D38" w:rsidRPr="00154F1D">
        <w:t xml:space="preserve"> It proposed a new defence of ‘not criminally responsible by reason of recognised medical condition’</w:t>
      </w:r>
      <w:r w:rsidR="0056009E" w:rsidRPr="00154F1D">
        <w:t>. This defence</w:t>
      </w:r>
      <w:r w:rsidR="00424D38" w:rsidRPr="00154F1D">
        <w:t xml:space="preserve"> appl</w:t>
      </w:r>
      <w:r w:rsidR="00502A0B" w:rsidRPr="00154F1D">
        <w:t>ies</w:t>
      </w:r>
      <w:r w:rsidR="00424D38" w:rsidRPr="00154F1D">
        <w:t xml:space="preserve"> where the defendant, as a result of a qualifying </w:t>
      </w:r>
      <w:r w:rsidR="0056009E" w:rsidRPr="00154F1D">
        <w:t>‘</w:t>
      </w:r>
      <w:r w:rsidR="00424D38" w:rsidRPr="00154F1D">
        <w:t>recognised medical condition</w:t>
      </w:r>
      <w:r w:rsidR="0056009E" w:rsidRPr="00154F1D">
        <w:t>’</w:t>
      </w:r>
      <w:r w:rsidR="00424D38" w:rsidRPr="00154F1D">
        <w:t>, wholly lacked the capacity to:</w:t>
      </w:r>
    </w:p>
    <w:p w14:paraId="421527D8" w14:textId="77777777" w:rsidR="00424D38" w:rsidRPr="00154F1D" w:rsidRDefault="00424D38" w:rsidP="00421312">
      <w:pPr>
        <w:pStyle w:val="DotPointTLRI"/>
        <w:ind w:left="851" w:hanging="425"/>
      </w:pPr>
      <w:r w:rsidRPr="00154F1D">
        <w:t>Rationally form a judgment about the relevant conduct or circumstances;</w:t>
      </w:r>
    </w:p>
    <w:p w14:paraId="40A66063" w14:textId="77777777" w:rsidR="00424D38" w:rsidRPr="00154F1D" w:rsidRDefault="00424D38" w:rsidP="00421312">
      <w:pPr>
        <w:pStyle w:val="DotPointTLRI"/>
        <w:ind w:left="851" w:hanging="425"/>
      </w:pPr>
      <w:r w:rsidRPr="00154F1D">
        <w:t>Understand the wrongfulness of what he or she is charged with; or</w:t>
      </w:r>
    </w:p>
    <w:p w14:paraId="49CC846A" w14:textId="77777777" w:rsidR="00424D38" w:rsidRPr="00154F1D" w:rsidRDefault="00424D38" w:rsidP="00421312">
      <w:pPr>
        <w:pStyle w:val="DotPointTLRI"/>
        <w:ind w:left="851" w:hanging="425"/>
      </w:pPr>
      <w:r w:rsidRPr="00154F1D">
        <w:t>Control his or her physical acts in relation to the relevant conduct.</w:t>
      </w:r>
      <w:r w:rsidRPr="00154F1D">
        <w:rPr>
          <w:rStyle w:val="FootnoteReference"/>
        </w:rPr>
        <w:footnoteReference w:id="452"/>
      </w:r>
    </w:p>
    <w:p w14:paraId="4600B72A" w14:textId="77777777" w:rsidR="00424D38" w:rsidRPr="00154F1D" w:rsidRDefault="00424D38" w:rsidP="00744FAA">
      <w:pPr>
        <w:pStyle w:val="NormalNumberedTextTLRI"/>
      </w:pPr>
      <w:r w:rsidRPr="00154F1D">
        <w:t>The Commission’s view was that the boundary between ‘sane’ and ‘insane’ automatism should be re-defined, so that a special verdict would be available if a mental or a physical disorder deprived the defendant of a relevant loss of capacity. It outlined the following reasons for this approach:</w:t>
      </w:r>
    </w:p>
    <w:p w14:paraId="247FAC3D" w14:textId="1AEFF6F9" w:rsidR="00424D38" w:rsidRPr="00154F1D" w:rsidRDefault="00424D38" w:rsidP="00421312">
      <w:pPr>
        <w:pStyle w:val="DotPointTLRI"/>
        <w:ind w:left="851" w:hanging="425"/>
      </w:pPr>
      <w:r w:rsidRPr="00154F1D">
        <w:t>This remove</w:t>
      </w:r>
      <w:r w:rsidR="00502A0B" w:rsidRPr="00154F1D">
        <w:t>s</w:t>
      </w:r>
      <w:r w:rsidRPr="00154F1D">
        <w:t xml:space="preserve"> the artificial division between physical and mental disorders and focuse</w:t>
      </w:r>
      <w:r w:rsidR="00502A0B" w:rsidRPr="00154F1D">
        <w:t>s</w:t>
      </w:r>
      <w:r w:rsidRPr="00154F1D">
        <w:t xml:space="preserve"> on the essential point, which </w:t>
      </w:r>
      <w:r w:rsidR="00DC0F85" w:rsidRPr="00154F1D">
        <w:t>i</w:t>
      </w:r>
      <w:r w:rsidRPr="00154F1D">
        <w:t>s ‘to focus on whether the accused had the relevant criminal capacity’.</w:t>
      </w:r>
      <w:r w:rsidRPr="00154F1D">
        <w:rPr>
          <w:rStyle w:val="FootnoteReference"/>
        </w:rPr>
        <w:footnoteReference w:id="453"/>
      </w:r>
      <w:r w:rsidRPr="00154F1D">
        <w:t xml:space="preserve"> There </w:t>
      </w:r>
      <w:r w:rsidR="00DC0F85" w:rsidRPr="00154F1D">
        <w:t>is</w:t>
      </w:r>
      <w:r w:rsidRPr="00154F1D">
        <w:t xml:space="preserve"> no principled reason to treat mental disorders differently from physical disorders when they gave rise to a loss of capacity.</w:t>
      </w:r>
      <w:r w:rsidRPr="00154F1D">
        <w:rPr>
          <w:rStyle w:val="FootnoteReference"/>
        </w:rPr>
        <w:footnoteReference w:id="454"/>
      </w:r>
    </w:p>
    <w:p w14:paraId="50FF5BCD" w14:textId="526C15E6" w:rsidR="00424D38" w:rsidRPr="00154F1D" w:rsidRDefault="00424D38" w:rsidP="00421312">
      <w:pPr>
        <w:pStyle w:val="DotPointTLRI"/>
        <w:ind w:left="851" w:hanging="425"/>
      </w:pPr>
      <w:r w:rsidRPr="00154F1D">
        <w:t xml:space="preserve">It would reduce the stigma attached to mental illness arising from the use of terminology of the nineteenth century by introducing a verdict of ‘not criminally responsible by reason of </w:t>
      </w:r>
      <w:r w:rsidR="00502A0B" w:rsidRPr="00154F1D">
        <w:t xml:space="preserve">a </w:t>
      </w:r>
      <w:r w:rsidRPr="00154F1D">
        <w:t>recognised medical condition’.</w:t>
      </w:r>
      <w:r w:rsidRPr="00154F1D">
        <w:rPr>
          <w:rStyle w:val="FootnoteReference"/>
        </w:rPr>
        <w:footnoteReference w:id="455"/>
      </w:r>
      <w:r w:rsidRPr="00154F1D">
        <w:t xml:space="preserve"> This is ‘crafted in modern terms with flexibility to accommodate developing medical knowledge’.</w:t>
      </w:r>
      <w:r w:rsidRPr="00154F1D">
        <w:rPr>
          <w:rStyle w:val="FootnoteReference"/>
        </w:rPr>
        <w:footnoteReference w:id="456"/>
      </w:r>
    </w:p>
    <w:p w14:paraId="6F71B7CA" w14:textId="0795ABA5" w:rsidR="00424D38" w:rsidRPr="00154F1D" w:rsidRDefault="00424D38" w:rsidP="00421312">
      <w:pPr>
        <w:pStyle w:val="DotPointTLRI"/>
        <w:ind w:left="851" w:hanging="425"/>
      </w:pPr>
      <w:r w:rsidRPr="00154F1D">
        <w:t>It would result in more appropriate labelling.</w:t>
      </w:r>
      <w:r w:rsidRPr="00154F1D">
        <w:rPr>
          <w:rStyle w:val="FootnoteReference"/>
        </w:rPr>
        <w:footnoteReference w:id="457"/>
      </w:r>
      <w:r w:rsidRPr="00154F1D">
        <w:t xml:space="preserve"> The Law Commission provides the example of a person who is charged with causing death by dangerous driving in circumstances where the person fell into a hypoglycaemic coma. Such a person would be acquitted outright but the Law Commission argued that this ‘situation more appropriately fits within a defence of not criminally responsible by reason of </w:t>
      </w:r>
      <w:r w:rsidR="00274BFD" w:rsidRPr="00154F1D">
        <w:t xml:space="preserve">a </w:t>
      </w:r>
      <w:r w:rsidRPr="00154F1D">
        <w:t>medical condition’.</w:t>
      </w:r>
      <w:r w:rsidRPr="00154F1D">
        <w:rPr>
          <w:rStyle w:val="FootnoteReference"/>
        </w:rPr>
        <w:footnoteReference w:id="458"/>
      </w:r>
      <w:r w:rsidRPr="00154F1D">
        <w:t xml:space="preserve"> It would also be more appropriate than labelling</w:t>
      </w:r>
      <w:r w:rsidR="00274BFD" w:rsidRPr="00154F1D">
        <w:t xml:space="preserve"> as</w:t>
      </w:r>
      <w:r w:rsidRPr="00154F1D">
        <w:t xml:space="preserve"> ‘insane’ people with diabetes (hyperglycaemia) and epilepsy.</w:t>
      </w:r>
    </w:p>
    <w:p w14:paraId="78A4A4EF" w14:textId="77777777" w:rsidR="00424D38" w:rsidRPr="00154F1D" w:rsidRDefault="00424D38" w:rsidP="00421312">
      <w:pPr>
        <w:pStyle w:val="DotPointTLRI"/>
        <w:ind w:left="851" w:hanging="425"/>
      </w:pPr>
      <w:r w:rsidRPr="00154F1D">
        <w:t>It would result in more appropriate outcomes by providing the court with powers over cases where there is a risk of reoccurrence arising from a physical disorder (hypoglycaemia).</w:t>
      </w:r>
      <w:r w:rsidRPr="00154F1D">
        <w:rPr>
          <w:rStyle w:val="FootnoteReference"/>
        </w:rPr>
        <w:footnoteReference w:id="459"/>
      </w:r>
      <w:r w:rsidRPr="00154F1D">
        <w:t xml:space="preserve"> The Law Commission provided the example of a person who operates machinery and suffers from sleep apnoea. If such a person harmed someone, they may have a defence of automatism with an acquittal and no power for preventive measures to be imposed by the court. Under the new defence, if the person was found ‘not criminally responsible by reason of recognised medical condition’, ‘the court could require him or her to obtain the necessary medical treatment or supervision’.</w:t>
      </w:r>
      <w:r w:rsidRPr="00154F1D">
        <w:rPr>
          <w:rStyle w:val="FootnoteReference"/>
        </w:rPr>
        <w:footnoteReference w:id="460"/>
      </w:r>
    </w:p>
    <w:p w14:paraId="5F585C09" w14:textId="13E6848D" w:rsidR="00424D38" w:rsidRPr="00154F1D" w:rsidRDefault="00424D38" w:rsidP="00744FAA">
      <w:pPr>
        <w:pStyle w:val="NormalNumberedTextTLRI"/>
      </w:pPr>
      <w:r w:rsidRPr="00154F1D">
        <w:t xml:space="preserve">A further reason that could be advanced for supporting such an approach is that it more readily reflects the requirement for equality under the </w:t>
      </w:r>
      <w:r w:rsidRPr="00154F1D">
        <w:rPr>
          <w:i/>
        </w:rPr>
        <w:t>CRPD</w:t>
      </w:r>
      <w:r w:rsidRPr="00154F1D">
        <w:t xml:space="preserve"> by creating a defence that applies to recognised medical conditions (both physical and mental) that give rise to a relevant incapacity. In this respect, it is disability neutral in form and substance as it will not only apply to individuals with a mental </w:t>
      </w:r>
      <w:r w:rsidR="0056009E" w:rsidRPr="00154F1D">
        <w:t xml:space="preserve">health </w:t>
      </w:r>
      <w:r w:rsidRPr="00154F1D">
        <w:t xml:space="preserve">or </w:t>
      </w:r>
      <w:r w:rsidR="0056009E" w:rsidRPr="00154F1D">
        <w:t>cognitive impairment</w:t>
      </w:r>
      <w:r w:rsidR="00274BFD" w:rsidRPr="00154F1D">
        <w:t>s</w:t>
      </w:r>
      <w:r w:rsidRPr="00154F1D">
        <w:t>.</w:t>
      </w:r>
    </w:p>
    <w:p w14:paraId="5BCF9ECF" w14:textId="06FC0631" w:rsidR="00424D38" w:rsidRPr="00154F1D" w:rsidRDefault="00424D38" w:rsidP="00744FAA">
      <w:pPr>
        <w:pStyle w:val="NormalNumberedTextTLRI"/>
      </w:pPr>
      <w:r w:rsidRPr="00154F1D">
        <w:t>The Law Commission</w:t>
      </w:r>
      <w:r w:rsidR="00274BFD" w:rsidRPr="00154F1D">
        <w:t>’s</w:t>
      </w:r>
      <w:r w:rsidRPr="00154F1D">
        <w:t xml:space="preserve"> provisional proposals were that there be two non-qualifying conditions </w:t>
      </w:r>
      <w:r w:rsidR="00761598" w:rsidRPr="00154F1D">
        <w:t>—</w:t>
      </w:r>
      <w:r w:rsidRPr="00154F1D">
        <w:t xml:space="preserve"> acute intoxication and anti-social personality disorders.</w:t>
      </w:r>
      <w:r w:rsidRPr="00154F1D">
        <w:rPr>
          <w:rStyle w:val="FootnoteReference"/>
        </w:rPr>
        <w:footnoteReference w:id="461"/>
      </w:r>
      <w:r w:rsidRPr="00154F1D">
        <w:t xml:space="preserve"> These were both excluded on policy grounds. In relation to acute intoxication, the Commission’s view was that the existing approach of the law in relation to intoxication based on prior fault should continue to apply.</w:t>
      </w:r>
      <w:r w:rsidRPr="00154F1D">
        <w:rPr>
          <w:rStyle w:val="FootnoteReference"/>
        </w:rPr>
        <w:footnoteReference w:id="462"/>
      </w:r>
      <w:r w:rsidRPr="00154F1D">
        <w:t xml:space="preserve"> However, this did not exclude the possibility that an accused suffering from a recognised mental condition, such as alcohol dependency </w:t>
      </w:r>
      <w:r w:rsidR="00747832" w:rsidRPr="00154F1D">
        <w:t xml:space="preserve">syndrome </w:t>
      </w:r>
      <w:r w:rsidRPr="00154F1D">
        <w:t>(as distinct from drunkenness) may be a qualifying medical condition.</w:t>
      </w:r>
      <w:r w:rsidRPr="00154F1D">
        <w:rPr>
          <w:rStyle w:val="FootnoteReference"/>
        </w:rPr>
        <w:footnoteReference w:id="463"/>
      </w:r>
      <w:r w:rsidRPr="00154F1D">
        <w:t xml:space="preserve"> In addition, the Commission proposed</w:t>
      </w:r>
      <w:r w:rsidR="00761598" w:rsidRPr="00154F1D">
        <w:t>,</w:t>
      </w:r>
      <w:r w:rsidRPr="00154F1D">
        <w:t xml:space="preserve"> </w:t>
      </w:r>
      <w:r w:rsidR="00274BFD" w:rsidRPr="00154F1D">
        <w:t>on policy grounds</w:t>
      </w:r>
      <w:r w:rsidR="00761598" w:rsidRPr="00154F1D">
        <w:t>,</w:t>
      </w:r>
      <w:r w:rsidR="00274BFD" w:rsidRPr="00154F1D">
        <w:t xml:space="preserve"> </w:t>
      </w:r>
      <w:r w:rsidRPr="00154F1D">
        <w:t>that antisocial personality disorder should not be a condition that qualified as a ‘recognised medical condition’.</w:t>
      </w:r>
      <w:r w:rsidRPr="00154F1D">
        <w:rPr>
          <w:rStyle w:val="FootnoteReference"/>
        </w:rPr>
        <w:footnoteReference w:id="464"/>
      </w:r>
      <w:r w:rsidRPr="00154F1D">
        <w:t xml:space="preserve"> </w:t>
      </w:r>
    </w:p>
    <w:p w14:paraId="470C475C" w14:textId="3C8607CC" w:rsidR="00424D38" w:rsidRPr="00154F1D" w:rsidRDefault="00424D38" w:rsidP="00744FAA">
      <w:pPr>
        <w:pStyle w:val="NormalNumberedTextTLRI"/>
      </w:pPr>
      <w:r w:rsidRPr="00154F1D">
        <w:t xml:space="preserve">The Law Commission’s proposed reform </w:t>
      </w:r>
      <w:r w:rsidR="0056009E" w:rsidRPr="00154F1D">
        <w:t xml:space="preserve">to the insanity defence </w:t>
      </w:r>
      <w:r w:rsidRPr="00154F1D">
        <w:t>ha</w:t>
      </w:r>
      <w:r w:rsidR="0056009E" w:rsidRPr="00154F1D">
        <w:t>s</w:t>
      </w:r>
      <w:r w:rsidRPr="00154F1D">
        <w:t xml:space="preserve"> been well received in the academic literature.</w:t>
      </w:r>
      <w:bookmarkStart w:id="157" w:name="_Ref535338541"/>
      <w:r w:rsidRPr="00154F1D">
        <w:rPr>
          <w:rStyle w:val="FootnoteReference"/>
        </w:rPr>
        <w:footnoteReference w:id="465"/>
      </w:r>
      <w:bookmarkEnd w:id="157"/>
      <w:r w:rsidRPr="00154F1D">
        <w:t xml:space="preserve"> For example, Rumbold and Wasik write that ‘[t]he changes proposed in the discussion document provide a logical and consistent framework for mental condition defences that will reflect modern medical science’.</w:t>
      </w:r>
      <w:r w:rsidRPr="00154F1D">
        <w:rPr>
          <w:rStyle w:val="FootnoteReference"/>
        </w:rPr>
        <w:footnoteReference w:id="466"/>
      </w:r>
    </w:p>
    <w:p w14:paraId="3D1A7E4C" w14:textId="761364A0" w:rsidR="00424D38" w:rsidRPr="00154F1D" w:rsidRDefault="00424D38" w:rsidP="00744FAA">
      <w:pPr>
        <w:pStyle w:val="NormalNumberedTextTLRI"/>
      </w:pPr>
      <w:r w:rsidRPr="00154F1D">
        <w:t>However, it has not been implemented by the government. Accordingly, in a practical sense it is not possible to determine whether the new defence would be a more attractive option than the current insanity defence given that if successful it ‘may lead to a medical disposal’.</w:t>
      </w:r>
      <w:r w:rsidRPr="00154F1D">
        <w:rPr>
          <w:rStyle w:val="FootnoteReference"/>
        </w:rPr>
        <w:footnoteReference w:id="467"/>
      </w:r>
      <w:r w:rsidRPr="00154F1D">
        <w:t xml:space="preserve"> Ashworth has observed that </w:t>
      </w:r>
      <w:r w:rsidR="00E41A65" w:rsidRPr="00154F1D">
        <w:t xml:space="preserve">greater use is not guaranteed because </w:t>
      </w:r>
      <w:r w:rsidRPr="00154F1D">
        <w:t>‘[a]s now, some defendants may prefer to take their chances with ordinary sentencing powers’, and further</w:t>
      </w:r>
      <w:r w:rsidR="00E41A65" w:rsidRPr="00154F1D">
        <w:t>,</w:t>
      </w:r>
      <w:r w:rsidRPr="00154F1D">
        <w:t xml:space="preserve"> </w:t>
      </w:r>
      <w:r w:rsidR="00E41A65" w:rsidRPr="00154F1D">
        <w:t xml:space="preserve">the new defence </w:t>
      </w:r>
      <w:r w:rsidRPr="00154F1D">
        <w:t>is narrowly drawn by requiring a total lack of capacity.</w:t>
      </w:r>
      <w:r w:rsidRPr="00154F1D">
        <w:rPr>
          <w:rStyle w:val="FootnoteReference"/>
        </w:rPr>
        <w:footnoteReference w:id="468"/>
      </w:r>
      <w:r w:rsidRPr="00154F1D">
        <w:t xml:space="preserve"> </w:t>
      </w:r>
    </w:p>
    <w:p w14:paraId="3C6BF656" w14:textId="3A0C297F" w:rsidR="00424D38" w:rsidRPr="00154F1D" w:rsidRDefault="00E41A65" w:rsidP="00744FAA">
      <w:pPr>
        <w:pStyle w:val="NormalNumberedTextTLRI"/>
      </w:pPr>
      <w:r w:rsidRPr="00154F1D">
        <w:t>Other d</w:t>
      </w:r>
      <w:r w:rsidR="00424D38" w:rsidRPr="00154F1D">
        <w:t xml:space="preserve">isadvantages arising from adopting a new approach to insanity and automatism </w:t>
      </w:r>
      <w:r w:rsidRPr="00154F1D">
        <w:t>would be</w:t>
      </w:r>
      <w:r w:rsidR="00424D38" w:rsidRPr="00154F1D">
        <w:t xml:space="preserve"> that the long-settled law in this area would be lost.</w:t>
      </w:r>
      <w:r w:rsidR="00424D38" w:rsidRPr="00154F1D">
        <w:rPr>
          <w:rStyle w:val="FootnoteReference"/>
        </w:rPr>
        <w:footnoteReference w:id="469"/>
      </w:r>
      <w:r w:rsidR="00424D38" w:rsidRPr="00154F1D">
        <w:t xml:space="preserve"> </w:t>
      </w:r>
      <w:r w:rsidRPr="00154F1D">
        <w:t>As t</w:t>
      </w:r>
      <w:r w:rsidR="00424D38" w:rsidRPr="00154F1D">
        <w:t>he NSWLRC has observed, despite concerns in relation to the operation of</w:t>
      </w:r>
      <w:r w:rsidR="00424D38" w:rsidRPr="00154F1D">
        <w:rPr>
          <w:i/>
        </w:rPr>
        <w:t xml:space="preserve"> </w:t>
      </w:r>
      <w:r w:rsidR="0097340C" w:rsidRPr="00154F1D">
        <w:t xml:space="preserve">the </w:t>
      </w:r>
      <w:r w:rsidR="00424D38" w:rsidRPr="00154F1D">
        <w:rPr>
          <w:i/>
        </w:rPr>
        <w:t>M’Naghten</w:t>
      </w:r>
      <w:r w:rsidR="00424D38" w:rsidRPr="00154F1D">
        <w:t xml:space="preserve"> rules, there are advantages </w:t>
      </w:r>
      <w:r w:rsidRPr="00154F1D">
        <w:t>in</w:t>
      </w:r>
      <w:r w:rsidR="00424D38" w:rsidRPr="00154F1D">
        <w:t xml:space="preserve"> their retention:</w:t>
      </w:r>
    </w:p>
    <w:p w14:paraId="14D61B16" w14:textId="23C98C97" w:rsidR="00424D38" w:rsidRPr="00154F1D" w:rsidRDefault="00424D38" w:rsidP="0097340C">
      <w:pPr>
        <w:pStyle w:val="NormalNumberedTextTLRI"/>
        <w:numPr>
          <w:ilvl w:val="0"/>
          <w:numId w:val="53"/>
        </w:numPr>
        <w:tabs>
          <w:tab w:val="clear" w:pos="851"/>
        </w:tabs>
        <w:ind w:left="851" w:hanging="425"/>
      </w:pPr>
      <w:r w:rsidRPr="00154F1D">
        <w:t xml:space="preserve">Consistency with other Australian jurisdictions and comparable jurisdictions that have a version of </w:t>
      </w:r>
      <w:r w:rsidR="0097340C" w:rsidRPr="00154F1D">
        <w:t xml:space="preserve">the </w:t>
      </w:r>
      <w:r w:rsidRPr="00154F1D">
        <w:rPr>
          <w:i/>
        </w:rPr>
        <w:t xml:space="preserve">M’Naghten </w:t>
      </w:r>
      <w:r w:rsidRPr="00154F1D">
        <w:t>rules.</w:t>
      </w:r>
    </w:p>
    <w:p w14:paraId="74D9C64C" w14:textId="020702B0" w:rsidR="00424D38" w:rsidRPr="00154F1D" w:rsidRDefault="00424D38" w:rsidP="0097340C">
      <w:pPr>
        <w:pStyle w:val="NormalNumberedTextTLRI"/>
        <w:numPr>
          <w:ilvl w:val="0"/>
          <w:numId w:val="53"/>
        </w:numPr>
        <w:tabs>
          <w:tab w:val="clear" w:pos="851"/>
        </w:tabs>
        <w:ind w:left="851" w:hanging="425"/>
      </w:pPr>
      <w:r w:rsidRPr="00154F1D">
        <w:t>The rules have stood the test of time, and despite numerous reviews ‘most cognate jurisdictions have not taken a fundamentally different route in dealing with this legal issue’.</w:t>
      </w:r>
      <w:r w:rsidRPr="00154F1D">
        <w:rPr>
          <w:rStyle w:val="FootnoteReference"/>
        </w:rPr>
        <w:footnoteReference w:id="470"/>
      </w:r>
    </w:p>
    <w:p w14:paraId="26306910" w14:textId="77777777" w:rsidR="00755B62" w:rsidRPr="00154F1D" w:rsidRDefault="00755B62" w:rsidP="000F51F9">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b/>
        </w:rPr>
      </w:pPr>
      <w:bookmarkStart w:id="158" w:name="Q28"/>
      <w:r w:rsidRPr="00154F1D">
        <w:rPr>
          <w:b/>
        </w:rPr>
        <w:t>Questions</w:t>
      </w:r>
    </w:p>
    <w:bookmarkEnd w:id="158"/>
    <w:p w14:paraId="51D32B16" w14:textId="080F8231" w:rsidR="00424D38" w:rsidRPr="00154F1D" w:rsidRDefault="00BE4BE7" w:rsidP="000F51F9">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28</w:t>
      </w:r>
      <w:r w:rsidR="00755B62" w:rsidRPr="00154F1D">
        <w:t>.</w:t>
      </w:r>
      <w:r w:rsidR="000F51F9" w:rsidRPr="00154F1D">
        <w:tab/>
      </w:r>
      <w:r w:rsidR="00424D38" w:rsidRPr="00154F1D">
        <w:t xml:space="preserve">Should a new defence be introduced to replace the insanity defence that provides for a verdict of </w:t>
      </w:r>
      <w:r w:rsidRPr="00154F1D">
        <w:t>not</w:t>
      </w:r>
      <w:r w:rsidR="00CE164B">
        <w:t xml:space="preserve"> </w:t>
      </w:r>
      <w:r w:rsidR="00424D38" w:rsidRPr="00154F1D">
        <w:t>guilty on the grounds of a recognised medical condition</w:t>
      </w:r>
      <w:r w:rsidR="00C837B9" w:rsidRPr="00154F1D">
        <w:t xml:space="preserve"> (as proposed in England and Wales)</w:t>
      </w:r>
      <w:r w:rsidR="00424D38" w:rsidRPr="00154F1D">
        <w:t xml:space="preserve">? </w:t>
      </w:r>
    </w:p>
    <w:p w14:paraId="2D28BDB7" w14:textId="23939FE4" w:rsidR="00424D38" w:rsidRPr="00154F1D" w:rsidRDefault="00BE4BE7" w:rsidP="000F51F9">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29</w:t>
      </w:r>
      <w:r w:rsidR="00755B62" w:rsidRPr="00154F1D">
        <w:t>.</w:t>
      </w:r>
      <w:r w:rsidR="000F51F9" w:rsidRPr="00154F1D">
        <w:tab/>
      </w:r>
      <w:r w:rsidR="00424D38" w:rsidRPr="00154F1D">
        <w:t>If so, should there be any non-qualifying conditions?</w:t>
      </w:r>
    </w:p>
    <w:p w14:paraId="2A5678A4" w14:textId="37D1BB71" w:rsidR="00F14D63" w:rsidRPr="00154F1D" w:rsidRDefault="00C837B9" w:rsidP="00F14D63">
      <w:pPr>
        <w:pStyle w:val="Sub-HeadingTLRI"/>
      </w:pPr>
      <w:bookmarkStart w:id="159" w:name="_Toc535868965"/>
      <w:r w:rsidRPr="00154F1D">
        <w:t xml:space="preserve">Retain and amend the insanity defence </w:t>
      </w:r>
      <w:r w:rsidR="00897AB2" w:rsidRPr="00154F1D">
        <w:t>in s 16 of the Criminal Code</w:t>
      </w:r>
      <w:bookmarkEnd w:id="159"/>
    </w:p>
    <w:p w14:paraId="15C7C0BE" w14:textId="11598A75" w:rsidR="00C837B9" w:rsidRPr="00154F1D" w:rsidRDefault="00D80132" w:rsidP="00744FAA">
      <w:pPr>
        <w:pStyle w:val="NormalNumberedTextTLRI"/>
      </w:pPr>
      <w:r w:rsidRPr="00154F1D">
        <w:t>Extensive a</w:t>
      </w:r>
      <w:r w:rsidR="00C837B9" w:rsidRPr="00154F1D">
        <w:t xml:space="preserve">cademic literature </w:t>
      </w:r>
      <w:r w:rsidRPr="00154F1D">
        <w:t xml:space="preserve">has </w:t>
      </w:r>
      <w:r w:rsidR="00C837B9" w:rsidRPr="00154F1D">
        <w:t xml:space="preserve">outlined deficiencies with the law of insanity. </w:t>
      </w:r>
      <w:r w:rsidR="00E41A65" w:rsidRPr="00154F1D">
        <w:t xml:space="preserve">An overview of these </w:t>
      </w:r>
      <w:r w:rsidRPr="00154F1D">
        <w:t xml:space="preserve">concerns </w:t>
      </w:r>
      <w:r w:rsidR="00E41A65" w:rsidRPr="00154F1D">
        <w:t>is</w:t>
      </w:r>
      <w:r w:rsidR="00C837B9" w:rsidRPr="00154F1D">
        <w:t xml:space="preserve"> </w:t>
      </w:r>
      <w:r w:rsidRPr="00154F1D">
        <w:t xml:space="preserve">set out </w:t>
      </w:r>
      <w:r w:rsidR="00C837B9" w:rsidRPr="00154F1D">
        <w:t xml:space="preserve">below and feedback is sought as </w:t>
      </w:r>
      <w:r w:rsidR="00F87970" w:rsidRPr="00154F1D">
        <w:t xml:space="preserve">to </w:t>
      </w:r>
      <w:r w:rsidRPr="00154F1D">
        <w:t xml:space="preserve">whether these problems </w:t>
      </w:r>
      <w:r w:rsidR="00C837B9" w:rsidRPr="00154F1D">
        <w:t xml:space="preserve">create </w:t>
      </w:r>
      <w:r w:rsidRPr="00154F1D">
        <w:t>difficulties</w:t>
      </w:r>
      <w:r w:rsidR="00C837B9" w:rsidRPr="00154F1D">
        <w:t xml:space="preserve"> in practice and </w:t>
      </w:r>
      <w:r w:rsidRPr="00154F1D">
        <w:t>if (and how)</w:t>
      </w:r>
      <w:r w:rsidR="00C837B9" w:rsidRPr="00154F1D">
        <w:t xml:space="preserve"> the defence of insanity </w:t>
      </w:r>
      <w:r w:rsidRPr="00154F1D">
        <w:t>should be amended</w:t>
      </w:r>
      <w:r w:rsidR="00C837B9" w:rsidRPr="00154F1D">
        <w:t>.</w:t>
      </w:r>
    </w:p>
    <w:p w14:paraId="596C0EAB" w14:textId="19CDDEBF" w:rsidR="002D7597" w:rsidRPr="00154F1D" w:rsidRDefault="00897AB2" w:rsidP="002D7597">
      <w:pPr>
        <w:pStyle w:val="furhtersub-heading2"/>
      </w:pPr>
      <w:r w:rsidRPr="00154F1D">
        <w:t xml:space="preserve">Inadequacy of the current insanity defence </w:t>
      </w:r>
    </w:p>
    <w:p w14:paraId="4491D6C0" w14:textId="13205252" w:rsidR="00E41A65" w:rsidRPr="00154F1D" w:rsidRDefault="00897AB2" w:rsidP="00744FAA">
      <w:pPr>
        <w:pStyle w:val="NormalNumberedTextTLRI"/>
      </w:pPr>
      <w:r w:rsidRPr="00154F1D">
        <w:rPr>
          <w:u w:val="single"/>
        </w:rPr>
        <w:t>Inappropriate and outdated terminology</w:t>
      </w:r>
      <w:r w:rsidRPr="00154F1D">
        <w:t xml:space="preserve">. </w:t>
      </w:r>
      <w:r w:rsidR="003B0EEE" w:rsidRPr="00154F1D">
        <w:t xml:space="preserve">Problems </w:t>
      </w:r>
      <w:r w:rsidR="00342BA8" w:rsidRPr="00154F1D">
        <w:t xml:space="preserve">with the current defence </w:t>
      </w:r>
      <w:r w:rsidR="003B0EEE" w:rsidRPr="00154F1D">
        <w:t xml:space="preserve">are </w:t>
      </w:r>
      <w:r w:rsidR="00D80132" w:rsidRPr="00154F1D">
        <w:t xml:space="preserve">said to be </w:t>
      </w:r>
      <w:r w:rsidR="003B0EEE" w:rsidRPr="00154F1D">
        <w:t xml:space="preserve">created by the mismatch between the ‘outmoded </w:t>
      </w:r>
      <w:r w:rsidR="003B0EEE" w:rsidRPr="00154F1D">
        <w:rPr>
          <w:i/>
        </w:rPr>
        <w:t>M’Naghten</w:t>
      </w:r>
      <w:r w:rsidR="003B0EEE" w:rsidRPr="00154F1D">
        <w:t xml:space="preserve"> Rules’</w:t>
      </w:r>
      <w:r w:rsidR="003B0EEE" w:rsidRPr="00154F1D">
        <w:rPr>
          <w:rStyle w:val="FootnoteReference"/>
        </w:rPr>
        <w:footnoteReference w:id="471"/>
      </w:r>
      <w:r w:rsidR="003B0EEE" w:rsidRPr="00154F1D">
        <w:t xml:space="preserve"> (legal insanity) and contemporary psychiatric knowledge about mental illness (medical insanity).</w:t>
      </w:r>
      <w:bookmarkStart w:id="160" w:name="_Ref303943198"/>
      <w:r w:rsidR="003B0EEE" w:rsidRPr="00154F1D">
        <w:rPr>
          <w:rStyle w:val="FootnoteReference"/>
        </w:rPr>
        <w:footnoteReference w:id="472"/>
      </w:r>
      <w:bookmarkEnd w:id="160"/>
      <w:r w:rsidR="003B0EEE" w:rsidRPr="00154F1D">
        <w:t xml:space="preserve"> As Ormerod writes, ‘[i]t is surprising that in the twenty-first century the law is based not o</w:t>
      </w:r>
      <w:r w:rsidR="00F661FD" w:rsidRPr="00154F1D">
        <w:t>n</w:t>
      </w:r>
      <w:r w:rsidR="003B0EEE" w:rsidRPr="00154F1D">
        <w:t xml:space="preserve"> any medical understanding of mental illness but on a distinct legal criterion of responsibility’.</w:t>
      </w:r>
      <w:bookmarkStart w:id="161" w:name="_Ref303944478"/>
      <w:r w:rsidR="003B0EEE" w:rsidRPr="00154F1D">
        <w:rPr>
          <w:rStyle w:val="FootnoteReference"/>
        </w:rPr>
        <w:footnoteReference w:id="473"/>
      </w:r>
      <w:bookmarkEnd w:id="161"/>
      <w:r w:rsidR="003B0EEE" w:rsidRPr="00154F1D">
        <w:t xml:space="preserve"> </w:t>
      </w:r>
    </w:p>
    <w:p w14:paraId="7619FAD6" w14:textId="1905F407" w:rsidR="00526FA7" w:rsidRPr="00154F1D" w:rsidRDefault="00526FA7" w:rsidP="00744FAA">
      <w:pPr>
        <w:pStyle w:val="NormalNumberedTextTLRI"/>
      </w:pPr>
      <w:r w:rsidRPr="00154F1D">
        <w:t>A specific criticism directed at the insanity defence is the use of inappropriate and outdate</w:t>
      </w:r>
      <w:r w:rsidR="00CB0D72" w:rsidRPr="00154F1D">
        <w:t>d</w:t>
      </w:r>
      <w:r w:rsidRPr="00154F1D">
        <w:t xml:space="preserve"> terminology such as ‘insanity’, ‘mental disease’ and ‘natural imbecility’</w:t>
      </w:r>
      <w:r w:rsidR="00CB0D72" w:rsidRPr="00154F1D">
        <w:t>, as well as the concept of a ‘disease of the mind’</w:t>
      </w:r>
      <w:r w:rsidRPr="00154F1D">
        <w:t xml:space="preserve">. </w:t>
      </w:r>
      <w:r w:rsidR="00B67316" w:rsidRPr="00154F1D">
        <w:t xml:space="preserve">These terms are considered </w:t>
      </w:r>
      <w:r w:rsidR="007E2F54" w:rsidRPr="00154F1D">
        <w:t xml:space="preserve">to </w:t>
      </w:r>
      <w:r w:rsidR="00B67316" w:rsidRPr="00154F1D">
        <w:t>be inappropriately stigmatising</w:t>
      </w:r>
      <w:r w:rsidR="00450D56">
        <w:t>,</w:t>
      </w:r>
      <w:r w:rsidR="00B67316" w:rsidRPr="00154F1D">
        <w:t xml:space="preserve"> and</w:t>
      </w:r>
      <w:r w:rsidR="00450D56">
        <w:t>,</w:t>
      </w:r>
      <w:r w:rsidR="00B67316" w:rsidRPr="00154F1D">
        <w:t xml:space="preserve"> as recognised by the Law Commission, not medical terms but </w:t>
      </w:r>
      <w:r w:rsidR="00D80132" w:rsidRPr="00154F1D">
        <w:t xml:space="preserve">rather </w:t>
      </w:r>
      <w:r w:rsidR="00B67316" w:rsidRPr="00154F1D">
        <w:t>outdated legal terms.</w:t>
      </w:r>
      <w:r w:rsidR="00B67316" w:rsidRPr="00154F1D">
        <w:rPr>
          <w:rStyle w:val="FootnoteReference"/>
        </w:rPr>
        <w:footnoteReference w:id="474"/>
      </w:r>
    </w:p>
    <w:p w14:paraId="78A44031" w14:textId="4A9CB590" w:rsidR="000F7A8D" w:rsidRPr="00154F1D" w:rsidRDefault="00424D38" w:rsidP="00744FAA">
      <w:pPr>
        <w:pStyle w:val="NormalNumberedTextTLRI"/>
      </w:pPr>
      <w:r w:rsidRPr="00154F1D">
        <w:t xml:space="preserve">In many other jurisdictions, the name of the insanity defence has been changed </w:t>
      </w:r>
      <w:r w:rsidR="00D80132" w:rsidRPr="00154F1D">
        <w:t xml:space="preserve">to reflect the inappropriateness of using </w:t>
      </w:r>
      <w:r w:rsidR="00E41A65" w:rsidRPr="00154F1D">
        <w:t xml:space="preserve">such </w:t>
      </w:r>
      <w:r w:rsidR="002D0217" w:rsidRPr="00154F1D">
        <w:t xml:space="preserve">terminology. In the Northern Territory, the Australian Capital Territory, Victoria, and at the Commonwealth level, the defence is </w:t>
      </w:r>
      <w:r w:rsidR="00E41A65" w:rsidRPr="00154F1D">
        <w:t xml:space="preserve">now </w:t>
      </w:r>
      <w:r w:rsidR="002D0217" w:rsidRPr="00154F1D">
        <w:t>called the defence of mental impairment</w:t>
      </w:r>
      <w:r w:rsidR="00B4760A" w:rsidRPr="00154F1D">
        <w:t>,</w:t>
      </w:r>
      <w:r w:rsidR="00A94279" w:rsidRPr="00154F1D">
        <w:t xml:space="preserve"> and </w:t>
      </w:r>
      <w:r w:rsidR="00B4760A" w:rsidRPr="00154F1D">
        <w:t xml:space="preserve">in South Australia </w:t>
      </w:r>
      <w:r w:rsidR="00A94279" w:rsidRPr="00154F1D">
        <w:t>it is called ‘mental incompetence’.</w:t>
      </w:r>
      <w:r w:rsidR="002D0217" w:rsidRPr="00154F1D">
        <w:rPr>
          <w:rStyle w:val="FootnoteReference"/>
        </w:rPr>
        <w:footnoteReference w:id="475"/>
      </w:r>
      <w:r w:rsidR="002D0217" w:rsidRPr="00154F1D">
        <w:t xml:space="preserve"> In Western </w:t>
      </w:r>
      <w:r w:rsidR="00F52F95" w:rsidRPr="00154F1D">
        <w:t>Australia</w:t>
      </w:r>
      <w:r w:rsidR="002D0217" w:rsidRPr="00154F1D">
        <w:t>, while the defence is still called insanity and refers to ‘unsoundness of mind’, the substance of the defence uses the term ‘mental impairment’</w:t>
      </w:r>
      <w:r w:rsidR="00E41A65" w:rsidRPr="00154F1D">
        <w:t>,</w:t>
      </w:r>
      <w:r w:rsidR="002D0217" w:rsidRPr="00154F1D">
        <w:t xml:space="preserve"> </w:t>
      </w:r>
      <w:r w:rsidR="00F52F95" w:rsidRPr="00154F1D">
        <w:t>which means ‘intellectual disability, mental illness, brain damage or senility’.</w:t>
      </w:r>
      <w:r w:rsidR="00F52F95" w:rsidRPr="00154F1D">
        <w:rPr>
          <w:rStyle w:val="FootnoteReference"/>
        </w:rPr>
        <w:footnoteReference w:id="476"/>
      </w:r>
      <w:r w:rsidR="00F52F95" w:rsidRPr="00154F1D">
        <w:t xml:space="preserve"> The </w:t>
      </w:r>
      <w:r w:rsidR="00640821" w:rsidRPr="00154F1D">
        <w:t xml:space="preserve">Law Reform Commission </w:t>
      </w:r>
      <w:r w:rsidR="002D1A7B" w:rsidRPr="00154F1D">
        <w:t xml:space="preserve">of Western Australia </w:t>
      </w:r>
      <w:r w:rsidR="00640821" w:rsidRPr="00154F1D">
        <w:t>(</w:t>
      </w:r>
      <w:r w:rsidR="00F52F95" w:rsidRPr="00154F1D">
        <w:t>LRC</w:t>
      </w:r>
      <w:r w:rsidR="002D1A7B" w:rsidRPr="00154F1D">
        <w:t>WA</w:t>
      </w:r>
      <w:r w:rsidR="00640821" w:rsidRPr="00154F1D">
        <w:t>)</w:t>
      </w:r>
      <w:r w:rsidR="00F52F95" w:rsidRPr="00154F1D">
        <w:t xml:space="preserve"> has recommended that the defence be renamed ‘defence of mental impairment’ and similarly, the Scottish Law Commission has recommended a name change. In New South Wales, the defence is called ‘mental illness’ and the NSWLRC has recommended that the defence be renamed ‘defence of mental health or cognitive impairment’.</w:t>
      </w:r>
      <w:r w:rsidR="00435204" w:rsidRPr="00154F1D">
        <w:t xml:space="preserve"> </w:t>
      </w:r>
      <w:r w:rsidR="00FB4FE6" w:rsidRPr="00154F1D">
        <w:t>Proposed reforms in NSW will rename the legal terms for the defence to ‘Act proven but not criminally responsible by reason of cognitive or mental health impairment’.</w:t>
      </w:r>
      <w:r w:rsidR="00FB4FE6" w:rsidRPr="00154F1D">
        <w:rPr>
          <w:rStyle w:val="FootnoteReference"/>
        </w:rPr>
        <w:footnoteReference w:id="477"/>
      </w:r>
      <w:r w:rsidR="00FB4FE6" w:rsidRPr="00154F1D">
        <w:t xml:space="preserve"> </w:t>
      </w:r>
      <w:r w:rsidR="00435204" w:rsidRPr="00154F1D">
        <w:t xml:space="preserve">In contrast, the NZLC, despite </w:t>
      </w:r>
      <w:r w:rsidR="002B3F40" w:rsidRPr="00154F1D">
        <w:t>acknowledging</w:t>
      </w:r>
      <w:r w:rsidR="00435204" w:rsidRPr="00154F1D">
        <w:t xml:space="preserve"> that the terminology w</w:t>
      </w:r>
      <w:r w:rsidR="002B3F40" w:rsidRPr="00154F1D">
        <w:t>a</w:t>
      </w:r>
      <w:r w:rsidR="00435204" w:rsidRPr="00154F1D">
        <w:t>s outdated</w:t>
      </w:r>
      <w:r w:rsidR="002B3F40" w:rsidRPr="00154F1D">
        <w:t>,</w:t>
      </w:r>
      <w:r w:rsidR="00435204" w:rsidRPr="00154F1D">
        <w:t xml:space="preserve"> </w:t>
      </w:r>
      <w:r w:rsidR="002B3F40" w:rsidRPr="00154F1D">
        <w:t>considered</w:t>
      </w:r>
      <w:r w:rsidR="00435204" w:rsidRPr="00154F1D">
        <w:t xml:space="preserve"> that the </w:t>
      </w:r>
      <w:r w:rsidR="002B3F40" w:rsidRPr="00154F1D">
        <w:t>terminology not be changed for sematic reasons: ‘the rationale for reforming it really boils down to no more than desire to make the defence “look and feel” more modern, without adding anything of substance or changing anything’.</w:t>
      </w:r>
      <w:r w:rsidR="002B3F40" w:rsidRPr="00154F1D">
        <w:rPr>
          <w:rStyle w:val="FootnoteReference"/>
        </w:rPr>
        <w:footnoteReference w:id="478"/>
      </w:r>
      <w:r w:rsidR="002B3F40" w:rsidRPr="00154F1D">
        <w:t xml:space="preserve"> </w:t>
      </w:r>
    </w:p>
    <w:p w14:paraId="7FFABD15" w14:textId="77777777" w:rsidR="0020562C" w:rsidRPr="00154F1D" w:rsidRDefault="0020562C" w:rsidP="00B4760A">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b/>
        </w:rPr>
      </w:pPr>
      <w:bookmarkStart w:id="162" w:name="Q30"/>
      <w:r w:rsidRPr="00154F1D">
        <w:rPr>
          <w:b/>
        </w:rPr>
        <w:t>Question</w:t>
      </w:r>
    </w:p>
    <w:bookmarkEnd w:id="162"/>
    <w:p w14:paraId="05D21554" w14:textId="4BF06C8B" w:rsidR="000F7A8D" w:rsidRPr="00154F1D" w:rsidRDefault="002D1A7B" w:rsidP="00B4760A">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30</w:t>
      </w:r>
      <w:r w:rsidR="00755B62" w:rsidRPr="00154F1D">
        <w:t>.</w:t>
      </w:r>
      <w:r w:rsidR="00B4760A" w:rsidRPr="00154F1D">
        <w:tab/>
      </w:r>
      <w:r w:rsidR="000F7A8D" w:rsidRPr="00154F1D">
        <w:t xml:space="preserve">Do you consider that the name of the defence of insanity in s 16 of the </w:t>
      </w:r>
      <w:r w:rsidR="000F7A8D" w:rsidRPr="00154F1D">
        <w:rPr>
          <w:i/>
        </w:rPr>
        <w:t>Criminal Code</w:t>
      </w:r>
      <w:r w:rsidR="000F7A8D" w:rsidRPr="00154F1D">
        <w:t xml:space="preserve"> (Tas) should be changed?</w:t>
      </w:r>
      <w:r w:rsidR="000F7A8D" w:rsidRPr="00154F1D">
        <w:rPr>
          <w:i/>
        </w:rPr>
        <w:t xml:space="preserve"> </w:t>
      </w:r>
      <w:r w:rsidR="000F7A8D" w:rsidRPr="00154F1D">
        <w:t xml:space="preserve">If so, what should </w:t>
      </w:r>
      <w:r w:rsidR="00BE4BE7" w:rsidRPr="00154F1D">
        <w:t>the defence be called</w:t>
      </w:r>
      <w:r w:rsidR="000F7A8D" w:rsidRPr="00154F1D">
        <w:t>?</w:t>
      </w:r>
    </w:p>
    <w:p w14:paraId="47E92348" w14:textId="05BDDD41" w:rsidR="00E41A65" w:rsidRPr="00154F1D" w:rsidRDefault="00D34820" w:rsidP="00744FAA">
      <w:pPr>
        <w:pStyle w:val="NormalNumberedTextTLRI"/>
      </w:pPr>
      <w:r w:rsidRPr="00154F1D">
        <w:rPr>
          <w:u w:val="single"/>
        </w:rPr>
        <w:t xml:space="preserve">The qualifying mental state: </w:t>
      </w:r>
      <w:r w:rsidR="00A94279" w:rsidRPr="00154F1D">
        <w:rPr>
          <w:u w:val="single"/>
        </w:rPr>
        <w:t>mental disease</w:t>
      </w:r>
      <w:r w:rsidR="00897AB2" w:rsidRPr="00154F1D">
        <w:t xml:space="preserve">. </w:t>
      </w:r>
      <w:r w:rsidR="00C15A4E" w:rsidRPr="00154F1D">
        <w:t>In addition to the name of the defence, concepts of mental disease and disease of the mind are regarded as ‘limited, outdated and offensive’.</w:t>
      </w:r>
      <w:r w:rsidR="00C15A4E" w:rsidRPr="00154F1D">
        <w:rPr>
          <w:rStyle w:val="FootnoteReference"/>
        </w:rPr>
        <w:footnoteReference w:id="479"/>
      </w:r>
      <w:r w:rsidR="00C15A4E" w:rsidRPr="00154F1D">
        <w:t xml:space="preserve"> </w:t>
      </w:r>
      <w:r w:rsidR="00B4760A" w:rsidRPr="00154F1D">
        <w:t>T</w:t>
      </w:r>
      <w:r w:rsidR="00E41A65" w:rsidRPr="00154F1D">
        <w:t xml:space="preserve">o address </w:t>
      </w:r>
      <w:r w:rsidR="00444510" w:rsidRPr="00154F1D">
        <w:t xml:space="preserve">to </w:t>
      </w:r>
      <w:r w:rsidR="00E41A65" w:rsidRPr="00154F1D">
        <w:t>this concern, other jurisdictions have defined the required mental state with contemporary medical terminology.</w:t>
      </w:r>
      <w:r w:rsidR="00E41A65" w:rsidRPr="00154F1D">
        <w:rPr>
          <w:rStyle w:val="FootnoteReference"/>
        </w:rPr>
        <w:footnoteReference w:id="480"/>
      </w:r>
      <w:r w:rsidR="00E41A65" w:rsidRPr="00154F1D">
        <w:t xml:space="preserve"> However, there are different formulations used in the legislation. For example, in South Australia, the </w:t>
      </w:r>
      <w:r w:rsidR="00E41A65" w:rsidRPr="00154F1D">
        <w:rPr>
          <w:i/>
        </w:rPr>
        <w:t xml:space="preserve">Criminal Law Consolidation Act 1935 </w:t>
      </w:r>
      <w:r w:rsidR="00E41A65" w:rsidRPr="00154F1D">
        <w:t>(SA) uses the</w:t>
      </w:r>
      <w:r w:rsidR="00C31542" w:rsidRPr="00154F1D">
        <w:t xml:space="preserve"> term,</w:t>
      </w:r>
      <w:r w:rsidR="00E41A65" w:rsidRPr="00154F1D">
        <w:t xml:space="preserve"> ‘mental impairment’, which is defined to include ‘mental illness, intellectual disability or a disability or impairment of mind resulting from senility’.</w:t>
      </w:r>
      <w:r w:rsidR="00E41A65" w:rsidRPr="00154F1D">
        <w:rPr>
          <w:rStyle w:val="FootnoteReference"/>
        </w:rPr>
        <w:footnoteReference w:id="481"/>
      </w:r>
      <w:r w:rsidR="00E41A65" w:rsidRPr="00154F1D">
        <w:t xml:space="preserve"> The Commonwealth, the Australian Capital Territory, the Northern Territory and Western Australia, define mental impairment to mean</w:t>
      </w:r>
      <w:r w:rsidR="00C31542" w:rsidRPr="00154F1D">
        <w:t>,</w:t>
      </w:r>
      <w:r w:rsidR="00E41A65" w:rsidRPr="00154F1D">
        <w:t xml:space="preserve"> ‘intellectual disability, mental illness, brain damage or senility’.</w:t>
      </w:r>
      <w:r w:rsidR="00E41A65" w:rsidRPr="00154F1D">
        <w:rPr>
          <w:rStyle w:val="FootnoteReference"/>
        </w:rPr>
        <w:footnoteReference w:id="482"/>
      </w:r>
      <w:r w:rsidR="00E41A65" w:rsidRPr="00154F1D">
        <w:t xml:space="preserve"> There are also differences between the ACT and the Commonwealth legislation (which include ‘severe personality disorder’ in the definition of mental impairment)</w:t>
      </w:r>
      <w:r w:rsidR="00C31542" w:rsidRPr="00154F1D">
        <w:t>.</w:t>
      </w:r>
      <w:r w:rsidR="00E41A65" w:rsidRPr="00154F1D">
        <w:t xml:space="preserve"> </w:t>
      </w:r>
      <w:r w:rsidR="00C31542" w:rsidRPr="00154F1D">
        <w:t>T</w:t>
      </w:r>
      <w:r w:rsidR="00E41A65" w:rsidRPr="00154F1D">
        <w:t>he Northern Territory includes involuntary intoxication in the definition of mental impairment.</w:t>
      </w:r>
    </w:p>
    <w:p w14:paraId="3FE99B39" w14:textId="3347B569" w:rsidR="005455BD" w:rsidRPr="00154F1D" w:rsidRDefault="00B94567" w:rsidP="00744FAA">
      <w:pPr>
        <w:pStyle w:val="NormalNumberedTextTLRI"/>
      </w:pPr>
      <w:r w:rsidRPr="00154F1D">
        <w:t xml:space="preserve">Reviews conducted in </w:t>
      </w:r>
      <w:r w:rsidR="00E41A65" w:rsidRPr="00154F1D">
        <w:t xml:space="preserve">other </w:t>
      </w:r>
      <w:r w:rsidRPr="00154F1D">
        <w:t xml:space="preserve">Australian jurisdictions that do not </w:t>
      </w:r>
      <w:r w:rsidR="00E41A65" w:rsidRPr="00154F1D">
        <w:t xml:space="preserve">currently </w:t>
      </w:r>
      <w:r w:rsidRPr="00154F1D">
        <w:t xml:space="preserve">have a definition of mental impairment have </w:t>
      </w:r>
      <w:r w:rsidR="00E41A65" w:rsidRPr="00154F1D">
        <w:t xml:space="preserve">all </w:t>
      </w:r>
      <w:r w:rsidRPr="00154F1D">
        <w:t xml:space="preserve">recommended legislative change to </w:t>
      </w:r>
      <w:r w:rsidR="00C31542" w:rsidRPr="00154F1D">
        <w:t xml:space="preserve">provide for </w:t>
      </w:r>
      <w:r w:rsidRPr="00154F1D">
        <w:t>such a definition. Again, however, there are variations in</w:t>
      </w:r>
      <w:r w:rsidR="005047F3" w:rsidRPr="00154F1D">
        <w:t xml:space="preserve"> terminology </w:t>
      </w:r>
      <w:r w:rsidRPr="00154F1D">
        <w:t>recommended. T</w:t>
      </w:r>
      <w:r w:rsidR="005047F3" w:rsidRPr="00154F1D">
        <w:t>he VLRC</w:t>
      </w:r>
      <w:r w:rsidR="00483DBF" w:rsidRPr="00154F1D">
        <w:t xml:space="preserve"> </w:t>
      </w:r>
      <w:r w:rsidR="00C31542" w:rsidRPr="00154F1D">
        <w:t xml:space="preserve">has </w:t>
      </w:r>
      <w:r w:rsidR="005047F3" w:rsidRPr="00154F1D">
        <w:t>recommend</w:t>
      </w:r>
      <w:r w:rsidRPr="00154F1D">
        <w:t xml:space="preserve">ed </w:t>
      </w:r>
      <w:r w:rsidR="005047F3" w:rsidRPr="00154F1D">
        <w:t xml:space="preserve">that mental impairment should be defined </w:t>
      </w:r>
      <w:r w:rsidRPr="00154F1D">
        <w:t>to include</w:t>
      </w:r>
      <w:r w:rsidR="005047F3" w:rsidRPr="00154F1D">
        <w:t xml:space="preserve">, but not </w:t>
      </w:r>
      <w:r w:rsidRPr="00154F1D">
        <w:t>be limited to</w:t>
      </w:r>
      <w:r w:rsidR="00C31542" w:rsidRPr="00154F1D">
        <w:t>,</w:t>
      </w:r>
      <w:r w:rsidRPr="00154F1D">
        <w:t xml:space="preserve"> ‘</w:t>
      </w:r>
      <w:r w:rsidR="005047F3" w:rsidRPr="00154F1D">
        <w:t>mental illness, intellectual disability and cognitive impairment’.</w:t>
      </w:r>
      <w:r w:rsidR="005047F3" w:rsidRPr="00154F1D">
        <w:rPr>
          <w:rStyle w:val="FootnoteReference"/>
        </w:rPr>
        <w:footnoteReference w:id="483"/>
      </w:r>
      <w:r w:rsidR="005047F3" w:rsidRPr="00154F1D">
        <w:t xml:space="preserve"> </w:t>
      </w:r>
      <w:r w:rsidRPr="00154F1D">
        <w:t>The Law Reform Committee (Victoria) recommend</w:t>
      </w:r>
      <w:r w:rsidR="00C31542" w:rsidRPr="00154F1D">
        <w:t>s</w:t>
      </w:r>
      <w:r w:rsidRPr="00154F1D">
        <w:t xml:space="preserve"> that the definition of mental impairment should encompass mental illness, intellectual disability, acquired brain injury and severe personality disorders.</w:t>
      </w:r>
      <w:r w:rsidRPr="00154F1D">
        <w:rPr>
          <w:rStyle w:val="FootnoteReference"/>
        </w:rPr>
        <w:footnoteReference w:id="484"/>
      </w:r>
      <w:r w:rsidRPr="00154F1D">
        <w:t xml:space="preserve"> </w:t>
      </w:r>
      <w:r w:rsidR="005047F3" w:rsidRPr="00154F1D">
        <w:t>The NSWLRC recommend</w:t>
      </w:r>
      <w:r w:rsidR="00C31542" w:rsidRPr="00154F1D">
        <w:t>s</w:t>
      </w:r>
      <w:r w:rsidR="005047F3" w:rsidRPr="00154F1D">
        <w:t xml:space="preserve"> that the terms</w:t>
      </w:r>
      <w:r w:rsidR="00C31542" w:rsidRPr="00154F1D">
        <w:t>,</w:t>
      </w:r>
      <w:r w:rsidR="005047F3" w:rsidRPr="00154F1D">
        <w:t xml:space="preserve"> ‘mental health impairment’ and ‘cognitive impairment’ be used</w:t>
      </w:r>
      <w:r w:rsidR="006F3998" w:rsidRPr="00154F1D">
        <w:t xml:space="preserve"> and </w:t>
      </w:r>
      <w:r w:rsidR="00C31542" w:rsidRPr="00154F1D">
        <w:t xml:space="preserve">that </w:t>
      </w:r>
      <w:r w:rsidR="006F3998" w:rsidRPr="00154F1D">
        <w:t xml:space="preserve">detailed definitions </w:t>
      </w:r>
      <w:r w:rsidR="00C31542" w:rsidRPr="00154F1D">
        <w:t xml:space="preserve">be provided </w:t>
      </w:r>
      <w:r w:rsidR="006F3998" w:rsidRPr="00154F1D">
        <w:t>for these terms (this is discussed below).</w:t>
      </w:r>
      <w:r w:rsidR="00961F16" w:rsidRPr="00154F1D">
        <w:rPr>
          <w:rStyle w:val="FootnoteReference"/>
        </w:rPr>
        <w:footnoteReference w:id="485"/>
      </w:r>
      <w:r w:rsidR="006F3998" w:rsidRPr="00154F1D">
        <w:t xml:space="preserve"> </w:t>
      </w:r>
      <w:r w:rsidRPr="00154F1D">
        <w:t xml:space="preserve">It </w:t>
      </w:r>
      <w:r w:rsidR="00DA3754" w:rsidRPr="00154F1D">
        <w:t xml:space="preserve">also </w:t>
      </w:r>
      <w:r w:rsidRPr="00154F1D">
        <w:t>recommend</w:t>
      </w:r>
      <w:r w:rsidR="00C31542" w:rsidRPr="00154F1D">
        <w:t>s</w:t>
      </w:r>
      <w:r w:rsidRPr="00154F1D">
        <w:t xml:space="preserve"> that personality disorders be excluded. </w:t>
      </w:r>
      <w:r w:rsidR="00BE171C" w:rsidRPr="00154F1D">
        <w:t xml:space="preserve">The Scottish Law Commission </w:t>
      </w:r>
      <w:r w:rsidR="00C31542" w:rsidRPr="00154F1D">
        <w:t xml:space="preserve">has </w:t>
      </w:r>
      <w:r w:rsidR="00BE171C" w:rsidRPr="00154F1D">
        <w:t xml:space="preserve">recommended that a brief definition should be introduced </w:t>
      </w:r>
      <w:r w:rsidR="00C31542" w:rsidRPr="00154F1D">
        <w:t>to</w:t>
      </w:r>
      <w:r w:rsidR="00BE171C" w:rsidRPr="00154F1D">
        <w:t xml:space="preserve"> define mental disorder to mean: (a) mental illness, (b) personality disorder or (c) learning disability. However, it should exclude psychopathic personality disorders</w:t>
      </w:r>
      <w:r w:rsidRPr="00154F1D">
        <w:t>.</w:t>
      </w:r>
      <w:r w:rsidR="00BE171C" w:rsidRPr="00154F1D">
        <w:rPr>
          <w:rStyle w:val="FootnoteReference"/>
        </w:rPr>
        <w:footnoteReference w:id="486"/>
      </w:r>
      <w:r w:rsidRPr="00154F1D">
        <w:t xml:space="preserve"> In contrast, the NZLC’s </w:t>
      </w:r>
      <w:r w:rsidR="00C31542" w:rsidRPr="00154F1D">
        <w:t xml:space="preserve">view is </w:t>
      </w:r>
      <w:r w:rsidRPr="00154F1D">
        <w:t xml:space="preserve">that there </w:t>
      </w:r>
      <w:r w:rsidR="00C31542" w:rsidRPr="00154F1D">
        <w:t xml:space="preserve">is </w:t>
      </w:r>
      <w:r w:rsidRPr="00154F1D">
        <w:t>no need to change the terminology used.</w:t>
      </w:r>
      <w:r w:rsidRPr="00154F1D">
        <w:rPr>
          <w:rStyle w:val="FootnoteReference"/>
        </w:rPr>
        <w:footnoteReference w:id="487"/>
      </w:r>
    </w:p>
    <w:p w14:paraId="0818AECE" w14:textId="1B908EB3" w:rsidR="00167D19" w:rsidRPr="00154F1D" w:rsidRDefault="00342BA8" w:rsidP="00744FAA">
      <w:pPr>
        <w:pStyle w:val="NormalNumberedTextTLRI"/>
      </w:pPr>
      <w:r w:rsidRPr="00154F1D">
        <w:t>A</w:t>
      </w:r>
      <w:r w:rsidR="00A94279" w:rsidRPr="00154F1D">
        <w:t>n additional</w:t>
      </w:r>
      <w:r w:rsidRPr="00154F1D">
        <w:t xml:space="preserve"> criticism is that the legal interpretation of ‘disease of the mind’ has created arbitrary and unsatisfactory outcomes. </w:t>
      </w:r>
      <w:r w:rsidR="005455BD" w:rsidRPr="00154F1D">
        <w:t xml:space="preserve">As discussed at </w:t>
      </w:r>
      <w:r w:rsidR="002D1A7B" w:rsidRPr="00154F1D">
        <w:t>[7.3.4]–[7.3.7]</w:t>
      </w:r>
      <w:r w:rsidR="005455BD" w:rsidRPr="00154F1D">
        <w:t xml:space="preserve">, the common law tests for determining if a condition is a disease of the mind focus on the </w:t>
      </w:r>
      <w:r w:rsidR="003C4082" w:rsidRPr="00154F1D">
        <w:t>division between</w:t>
      </w:r>
      <w:r w:rsidR="005455BD" w:rsidRPr="00154F1D">
        <w:t xml:space="preserve"> </w:t>
      </w:r>
      <w:r w:rsidR="003C4082" w:rsidRPr="00154F1D">
        <w:t>internal and external causes and the boundary between a sound and unsound mind. This approach ha</w:t>
      </w:r>
      <w:r w:rsidR="005455BD" w:rsidRPr="00154F1D">
        <w:t>s been adopted in Tasmania</w:t>
      </w:r>
      <w:r w:rsidR="003C4082" w:rsidRPr="00154F1D">
        <w:t xml:space="preserve"> in determining whether </w:t>
      </w:r>
      <w:r w:rsidR="00160DA1">
        <w:t>a</w:t>
      </w:r>
      <w:r w:rsidR="00160DA1" w:rsidRPr="00154F1D">
        <w:t xml:space="preserve"> </w:t>
      </w:r>
      <w:r w:rsidR="00CD7AF9">
        <w:t>person</w:t>
      </w:r>
      <w:r w:rsidR="00CD7AF9" w:rsidRPr="00154F1D">
        <w:t xml:space="preserve"> </w:t>
      </w:r>
      <w:r w:rsidR="003C4082" w:rsidRPr="00154F1D">
        <w:t>has a ‘mental disease’</w:t>
      </w:r>
      <w:r w:rsidR="00946721">
        <w:t>,</w:t>
      </w:r>
      <w:r w:rsidR="003C4082" w:rsidRPr="00154F1D">
        <w:t xml:space="preserve"> and </w:t>
      </w:r>
      <w:r w:rsidR="00167D19" w:rsidRPr="00154F1D">
        <w:t xml:space="preserve">in New South Wales and Victoria (where there is no legislative definition). It </w:t>
      </w:r>
      <w:r w:rsidR="003C4082" w:rsidRPr="00154F1D">
        <w:t xml:space="preserve">is also </w:t>
      </w:r>
      <w:r w:rsidR="00167D19" w:rsidRPr="00154F1D">
        <w:t xml:space="preserve">generally </w:t>
      </w:r>
      <w:r w:rsidR="003C4082" w:rsidRPr="00154F1D">
        <w:t>adopted by jurisdictions that have defined the concept of mental illness in legislation (set out in Table 7.</w:t>
      </w:r>
      <w:r w:rsidR="00D03074" w:rsidRPr="00154F1D">
        <w:t>2</w:t>
      </w:r>
      <w:r w:rsidR="003C4082" w:rsidRPr="00154F1D">
        <w:t>)</w:t>
      </w:r>
      <w:r w:rsidR="005455BD" w:rsidRPr="00154F1D">
        <w:t>.</w:t>
      </w:r>
    </w:p>
    <w:p w14:paraId="1B94BB2B" w14:textId="7252D718" w:rsidR="00201F92" w:rsidRPr="00154F1D" w:rsidRDefault="00201F92" w:rsidP="00841C40">
      <w:pPr>
        <w:pStyle w:val="NumberlessNormalText"/>
        <w:spacing w:after="40"/>
        <w:rPr>
          <w:b/>
        </w:rPr>
      </w:pPr>
      <w:r w:rsidRPr="00154F1D">
        <w:rPr>
          <w:b/>
        </w:rPr>
        <w:t>Table 7.</w:t>
      </w:r>
      <w:r w:rsidR="00D03074" w:rsidRPr="00154F1D">
        <w:rPr>
          <w:b/>
        </w:rPr>
        <w:t>2</w:t>
      </w:r>
      <w:r w:rsidRPr="00154F1D">
        <w:rPr>
          <w:b/>
        </w:rPr>
        <w:t>: Australian legislative definitions of mental illness contained in the defence of mental impairment</w:t>
      </w:r>
    </w:p>
    <w:tbl>
      <w:tblPr>
        <w:tblStyle w:val="TableGrid"/>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949"/>
        <w:gridCol w:w="1351"/>
      </w:tblGrid>
      <w:tr w:rsidR="003C4082" w:rsidRPr="00154F1D" w14:paraId="1CA26EB5" w14:textId="77777777" w:rsidTr="00841C40">
        <w:tc>
          <w:tcPr>
            <w:tcW w:w="4186" w:type="pct"/>
          </w:tcPr>
          <w:p w14:paraId="78BF1A9A" w14:textId="4CAD71B1" w:rsidR="003C4082" w:rsidRPr="00154F1D" w:rsidRDefault="003C4082" w:rsidP="00F52ABB">
            <w:pPr>
              <w:pStyle w:val="NormalNumberedTextTLRI"/>
              <w:numPr>
                <w:ilvl w:val="0"/>
                <w:numId w:val="0"/>
              </w:numPr>
              <w:spacing w:before="20" w:after="20"/>
              <w:rPr>
                <w:b/>
                <w:sz w:val="20"/>
              </w:rPr>
            </w:pPr>
            <w:r w:rsidRPr="00154F1D">
              <w:rPr>
                <w:b/>
                <w:sz w:val="20"/>
              </w:rPr>
              <w:t>Test</w:t>
            </w:r>
          </w:p>
        </w:tc>
        <w:tc>
          <w:tcPr>
            <w:tcW w:w="814" w:type="pct"/>
          </w:tcPr>
          <w:p w14:paraId="566C87CC" w14:textId="358A5FF6" w:rsidR="003C4082" w:rsidRPr="00154F1D" w:rsidRDefault="003C4082" w:rsidP="00F52ABB">
            <w:pPr>
              <w:pStyle w:val="NormalNumberedTextTLRI"/>
              <w:numPr>
                <w:ilvl w:val="0"/>
                <w:numId w:val="0"/>
              </w:numPr>
              <w:spacing w:before="20" w:after="20"/>
              <w:rPr>
                <w:b/>
                <w:sz w:val="20"/>
              </w:rPr>
            </w:pPr>
            <w:r w:rsidRPr="00154F1D">
              <w:rPr>
                <w:b/>
                <w:sz w:val="20"/>
              </w:rPr>
              <w:t>Jurisdictions</w:t>
            </w:r>
          </w:p>
        </w:tc>
      </w:tr>
      <w:tr w:rsidR="003C4082" w:rsidRPr="00154F1D" w14:paraId="55C5F00A" w14:textId="77777777" w:rsidTr="00841C40">
        <w:tc>
          <w:tcPr>
            <w:tcW w:w="4186" w:type="pct"/>
          </w:tcPr>
          <w:p w14:paraId="1E7DE82D" w14:textId="5CED4D31" w:rsidR="003C4082" w:rsidRPr="00154F1D" w:rsidRDefault="00201F92" w:rsidP="00F52ABB">
            <w:pPr>
              <w:pStyle w:val="NormalNumberedTextTLRI"/>
              <w:numPr>
                <w:ilvl w:val="0"/>
                <w:numId w:val="0"/>
              </w:numPr>
              <w:spacing w:before="20" w:after="20"/>
              <w:rPr>
                <w:sz w:val="20"/>
              </w:rPr>
            </w:pPr>
            <w:r w:rsidRPr="00154F1D">
              <w:rPr>
                <w:sz w:val="20"/>
              </w:rPr>
              <w:t>Mental illness is a reference to an underlying pathological infirmity of mind, whether of long or short duration and whether permanent or temporary, but does not include a condition that results from the reaction of a healthy mind to extraordinary external stimuli. However, such a condition may be evidence of a mental illness if it involves some abnormality and is prone to recur.</w:t>
            </w:r>
          </w:p>
        </w:tc>
        <w:tc>
          <w:tcPr>
            <w:tcW w:w="814" w:type="pct"/>
          </w:tcPr>
          <w:p w14:paraId="02302AD0" w14:textId="72B87AFC" w:rsidR="003C4082" w:rsidRPr="00154F1D" w:rsidRDefault="00201F92" w:rsidP="00F52ABB">
            <w:pPr>
              <w:pStyle w:val="NormalNumberedTextTLRI"/>
              <w:numPr>
                <w:ilvl w:val="0"/>
                <w:numId w:val="0"/>
              </w:numPr>
              <w:spacing w:before="20" w:after="20"/>
              <w:rPr>
                <w:sz w:val="20"/>
              </w:rPr>
            </w:pPr>
            <w:r w:rsidRPr="00154F1D">
              <w:rPr>
                <w:sz w:val="20"/>
              </w:rPr>
              <w:t>Cth</w:t>
            </w:r>
          </w:p>
          <w:p w14:paraId="2A530A5D" w14:textId="47B5C090" w:rsidR="00201F92" w:rsidRPr="00154F1D" w:rsidRDefault="00201F92" w:rsidP="00F52ABB">
            <w:pPr>
              <w:pStyle w:val="NormalNumberedTextTLRI"/>
              <w:numPr>
                <w:ilvl w:val="0"/>
                <w:numId w:val="0"/>
              </w:numPr>
              <w:spacing w:before="20" w:after="20"/>
              <w:rPr>
                <w:sz w:val="20"/>
              </w:rPr>
            </w:pPr>
            <w:r w:rsidRPr="00154F1D">
              <w:rPr>
                <w:sz w:val="20"/>
              </w:rPr>
              <w:t>ACT</w:t>
            </w:r>
            <w:r w:rsidRPr="00154F1D">
              <w:rPr>
                <w:rStyle w:val="FootnoteReference"/>
              </w:rPr>
              <w:footnoteReference w:id="488"/>
            </w:r>
          </w:p>
          <w:p w14:paraId="5F40D8B1" w14:textId="16371C36" w:rsidR="00201F92" w:rsidRPr="00154F1D" w:rsidRDefault="00201F92" w:rsidP="00F52ABB">
            <w:pPr>
              <w:pStyle w:val="NormalNumberedTextTLRI"/>
              <w:numPr>
                <w:ilvl w:val="0"/>
                <w:numId w:val="0"/>
              </w:numPr>
              <w:spacing w:before="20" w:after="20"/>
              <w:rPr>
                <w:sz w:val="20"/>
              </w:rPr>
            </w:pPr>
            <w:r w:rsidRPr="00154F1D">
              <w:rPr>
                <w:sz w:val="20"/>
              </w:rPr>
              <w:t>NT</w:t>
            </w:r>
          </w:p>
        </w:tc>
      </w:tr>
      <w:tr w:rsidR="003C4082" w:rsidRPr="00154F1D" w14:paraId="05AA84FD" w14:textId="77777777" w:rsidTr="00841C40">
        <w:tc>
          <w:tcPr>
            <w:tcW w:w="4186" w:type="pct"/>
          </w:tcPr>
          <w:p w14:paraId="2D498FCC" w14:textId="77777777" w:rsidR="000F7A8D" w:rsidRPr="00154F1D" w:rsidRDefault="00201F92" w:rsidP="00F52ABB">
            <w:pPr>
              <w:pStyle w:val="NormalNumberedTextTLRI"/>
              <w:numPr>
                <w:ilvl w:val="0"/>
                <w:numId w:val="0"/>
              </w:numPr>
              <w:spacing w:before="20" w:after="20"/>
              <w:rPr>
                <w:sz w:val="20"/>
              </w:rPr>
            </w:pPr>
            <w:r w:rsidRPr="00154F1D">
              <w:rPr>
                <w:sz w:val="20"/>
              </w:rPr>
              <w:t>Mental illness means a pathological infirmity of the mind (including a temporary one of short duration).</w:t>
            </w:r>
            <w:r w:rsidR="000F7A8D" w:rsidRPr="00154F1D">
              <w:rPr>
                <w:sz w:val="20"/>
              </w:rPr>
              <w:t xml:space="preserve"> </w:t>
            </w:r>
          </w:p>
          <w:p w14:paraId="2596A57F" w14:textId="673D6858" w:rsidR="003C4082" w:rsidRPr="00154F1D" w:rsidRDefault="000F7A8D" w:rsidP="00F52ABB">
            <w:pPr>
              <w:pStyle w:val="NormalNumberedTextTLRI"/>
              <w:numPr>
                <w:ilvl w:val="0"/>
                <w:numId w:val="0"/>
              </w:numPr>
              <w:spacing w:before="20" w:after="20"/>
              <w:rPr>
                <w:sz w:val="20"/>
              </w:rPr>
            </w:pPr>
            <w:r w:rsidRPr="00154F1D">
              <w:rPr>
                <w:sz w:val="20"/>
              </w:rPr>
              <w:t>There is a note to the definition that provides that ‘a condition that results from the reaction of a healthy mind to extraordinary external stimuli</w:t>
            </w:r>
            <w:r w:rsidR="0010271D" w:rsidRPr="00154F1D">
              <w:rPr>
                <w:sz w:val="20"/>
              </w:rPr>
              <w:t xml:space="preserve"> is not a mental disease</w:t>
            </w:r>
            <w:r w:rsidRPr="00154F1D">
              <w:rPr>
                <w:sz w:val="20"/>
              </w:rPr>
              <w:t xml:space="preserve">, although, such a condition may be evidence of a mental illness if it involves some abnormality and is prone to recur (see </w:t>
            </w:r>
            <w:r w:rsidRPr="00154F1D">
              <w:rPr>
                <w:i/>
                <w:sz w:val="20"/>
              </w:rPr>
              <w:t xml:space="preserve">R v Falconer </w:t>
            </w:r>
            <w:r w:rsidRPr="00154F1D">
              <w:rPr>
                <w:sz w:val="20"/>
              </w:rPr>
              <w:t>(1990) 171 CLR 30).</w:t>
            </w:r>
          </w:p>
        </w:tc>
        <w:tc>
          <w:tcPr>
            <w:tcW w:w="814" w:type="pct"/>
          </w:tcPr>
          <w:p w14:paraId="1F57C843" w14:textId="31997978" w:rsidR="003C4082" w:rsidRPr="00154F1D" w:rsidRDefault="00201F92" w:rsidP="00F52ABB">
            <w:pPr>
              <w:pStyle w:val="NormalNumberedTextTLRI"/>
              <w:numPr>
                <w:ilvl w:val="0"/>
                <w:numId w:val="0"/>
              </w:numPr>
              <w:spacing w:before="20" w:after="20"/>
              <w:rPr>
                <w:sz w:val="20"/>
              </w:rPr>
            </w:pPr>
            <w:r w:rsidRPr="00154F1D">
              <w:rPr>
                <w:sz w:val="20"/>
              </w:rPr>
              <w:t>South Australia</w:t>
            </w:r>
          </w:p>
        </w:tc>
      </w:tr>
      <w:tr w:rsidR="003C4082" w:rsidRPr="00154F1D" w14:paraId="2551D51C" w14:textId="77777777" w:rsidTr="00841C40">
        <w:tc>
          <w:tcPr>
            <w:tcW w:w="4186" w:type="pct"/>
          </w:tcPr>
          <w:p w14:paraId="79BC9ECB" w14:textId="097277C8" w:rsidR="003C4082" w:rsidRPr="00154F1D" w:rsidRDefault="00201F92" w:rsidP="00F52ABB">
            <w:pPr>
              <w:pStyle w:val="NormalNumberedTextTLRI"/>
              <w:numPr>
                <w:ilvl w:val="0"/>
                <w:numId w:val="0"/>
              </w:numPr>
              <w:spacing w:before="20" w:after="20"/>
              <w:rPr>
                <w:sz w:val="20"/>
              </w:rPr>
            </w:pPr>
            <w:r w:rsidRPr="00154F1D">
              <w:rPr>
                <w:sz w:val="20"/>
              </w:rPr>
              <w:t>Mental illness is a reference to an underlying pathological infirmity of mind, whether of long or short duration and whether permanent or temporary, but does not include a condition that results from the reaction of a healthy mind to extraordinary stimuli.</w:t>
            </w:r>
          </w:p>
        </w:tc>
        <w:tc>
          <w:tcPr>
            <w:tcW w:w="814" w:type="pct"/>
          </w:tcPr>
          <w:p w14:paraId="5424DD7D" w14:textId="3E458B1A" w:rsidR="003C4082" w:rsidRPr="00154F1D" w:rsidRDefault="00201F92" w:rsidP="00F52ABB">
            <w:pPr>
              <w:pStyle w:val="NormalNumberedTextTLRI"/>
              <w:numPr>
                <w:ilvl w:val="0"/>
                <w:numId w:val="0"/>
              </w:numPr>
              <w:spacing w:before="20" w:after="20"/>
              <w:rPr>
                <w:sz w:val="20"/>
              </w:rPr>
            </w:pPr>
            <w:r w:rsidRPr="00154F1D">
              <w:rPr>
                <w:sz w:val="20"/>
              </w:rPr>
              <w:t xml:space="preserve">Western Australia </w:t>
            </w:r>
          </w:p>
        </w:tc>
      </w:tr>
      <w:tr w:rsidR="00961F16" w:rsidRPr="00154F1D" w14:paraId="251CD16D" w14:textId="77777777" w:rsidTr="00841C40">
        <w:tc>
          <w:tcPr>
            <w:tcW w:w="4186" w:type="pct"/>
          </w:tcPr>
          <w:p w14:paraId="71D8AB26" w14:textId="425C7505" w:rsidR="00961F16" w:rsidRPr="00154F1D" w:rsidRDefault="00961F16" w:rsidP="00F52ABB">
            <w:pPr>
              <w:pStyle w:val="NormalNumberedTextTLRI"/>
              <w:numPr>
                <w:ilvl w:val="0"/>
                <w:numId w:val="0"/>
              </w:numPr>
              <w:spacing w:before="20" w:after="20"/>
              <w:rPr>
                <w:sz w:val="20"/>
              </w:rPr>
            </w:pPr>
            <w:r w:rsidRPr="00154F1D">
              <w:rPr>
                <w:sz w:val="20"/>
              </w:rPr>
              <w:t>Mental health impairment means a temporary or continuing disturbance of thought, mood, volition, perception, or memory that impairs emotional wellbeing, judgment or behaviour, so as to affect functioning in daily life to a material extent. Mental health impairment may arise from mental illness such as psychoses.</w:t>
            </w:r>
          </w:p>
        </w:tc>
        <w:tc>
          <w:tcPr>
            <w:tcW w:w="814" w:type="pct"/>
          </w:tcPr>
          <w:p w14:paraId="202ACD90" w14:textId="19D4E90E" w:rsidR="00961F16" w:rsidRPr="00154F1D" w:rsidRDefault="00961F16" w:rsidP="00F52ABB">
            <w:pPr>
              <w:pStyle w:val="NormalNumberedTextTLRI"/>
              <w:numPr>
                <w:ilvl w:val="0"/>
                <w:numId w:val="0"/>
              </w:numPr>
              <w:spacing w:before="20" w:after="20"/>
              <w:rPr>
                <w:sz w:val="20"/>
              </w:rPr>
            </w:pPr>
            <w:r w:rsidRPr="00154F1D">
              <w:rPr>
                <w:sz w:val="20"/>
              </w:rPr>
              <w:t>Proposed in NSW</w:t>
            </w:r>
            <w:r w:rsidRPr="00154F1D">
              <w:rPr>
                <w:rStyle w:val="FootnoteReference"/>
              </w:rPr>
              <w:footnoteReference w:id="489"/>
            </w:r>
          </w:p>
        </w:tc>
      </w:tr>
    </w:tbl>
    <w:p w14:paraId="2E4EC730" w14:textId="5FE15AD3" w:rsidR="00342BA8" w:rsidRPr="00154F1D" w:rsidRDefault="00342BA8" w:rsidP="00744FAA">
      <w:pPr>
        <w:pStyle w:val="NormalNumberedTextTLRI"/>
      </w:pPr>
      <w:r w:rsidRPr="00154F1D">
        <w:t xml:space="preserve">As noted at </w:t>
      </w:r>
      <w:r w:rsidR="001A3D11" w:rsidRPr="00154F1D">
        <w:t>[7.3.4]</w:t>
      </w:r>
      <w:r w:rsidRPr="00154F1D">
        <w:t xml:space="preserve">, the concept of ‘disease of the mind’ and the legal tests that have developed to distinguish sane and </w:t>
      </w:r>
      <w:r w:rsidR="007D13F8">
        <w:t>in</w:t>
      </w:r>
      <w:r w:rsidRPr="00154F1D">
        <w:t>sane automatism have reflected a</w:t>
      </w:r>
      <w:r w:rsidR="003B0EEE" w:rsidRPr="00154F1D">
        <w:t xml:space="preserve"> need to strike ‘the right balance … between fairness to mentally disordered accused persons and societal prot</w:t>
      </w:r>
      <w:bookmarkStart w:id="163" w:name="_Ref303943458"/>
      <w:r w:rsidR="003B0EEE" w:rsidRPr="00154F1D">
        <w:t>ection against their misconduct</w:t>
      </w:r>
      <w:r w:rsidR="001948C7" w:rsidRPr="00154F1D">
        <w:t>’</w:t>
      </w:r>
      <w:r w:rsidR="003B0EEE" w:rsidRPr="00154F1D">
        <w:t>.</w:t>
      </w:r>
      <w:r w:rsidR="003B0EEE" w:rsidRPr="00154F1D">
        <w:rPr>
          <w:rStyle w:val="FootnoteReference"/>
        </w:rPr>
        <w:footnoteReference w:id="490"/>
      </w:r>
      <w:bookmarkEnd w:id="163"/>
      <w:r w:rsidR="003B0EEE" w:rsidRPr="00154F1D">
        <w:t xml:space="preserve"> </w:t>
      </w:r>
      <w:r w:rsidR="00E840D9" w:rsidRPr="00154F1D">
        <w:t>The conflict between the two rationales has created confusion and a ‘mix up [of] the defendant-focused question of criminal responsibility with a second and different question: who needs to be detained for the protection of the public’.</w:t>
      </w:r>
      <w:r w:rsidR="00E840D9" w:rsidRPr="00154F1D">
        <w:rPr>
          <w:rStyle w:val="FootnoteReference"/>
        </w:rPr>
        <w:footnoteReference w:id="491"/>
      </w:r>
      <w:r w:rsidR="00E840D9" w:rsidRPr="00154F1D">
        <w:rPr>
          <w:i/>
        </w:rPr>
        <w:t xml:space="preserve"> </w:t>
      </w:r>
      <w:r w:rsidR="00E840D9" w:rsidRPr="00154F1D">
        <w:t xml:space="preserve">This has </w:t>
      </w:r>
      <w:r w:rsidR="001948C7" w:rsidRPr="00154F1D">
        <w:t>focused on internal factors that are prone to recur as providing the basis for the classification of a ‘disease of the mind’ and has resulted in</w:t>
      </w:r>
      <w:r w:rsidR="00E840D9" w:rsidRPr="00154F1D">
        <w:t xml:space="preserve"> unusual and inappropriate results. As</w:t>
      </w:r>
      <w:r w:rsidRPr="00154F1D">
        <w:t xml:space="preserve"> observed by Child and Sullivan</w:t>
      </w:r>
      <w:r w:rsidR="006F0B8C" w:rsidRPr="00154F1D">
        <w:t>,</w:t>
      </w:r>
      <w:r w:rsidRPr="00154F1D">
        <w:t xml:space="preserve"> ‘the first thing to strike anyone studying the current defence is that it labels as insane persons who are manifestly not insane within any natural or medical meaning.’</w:t>
      </w:r>
      <w:r w:rsidRPr="00154F1D">
        <w:rPr>
          <w:rStyle w:val="FootnoteReference"/>
        </w:rPr>
        <w:footnoteReference w:id="492"/>
      </w:r>
      <w:r w:rsidRPr="00154F1D">
        <w:t xml:space="preserve"> Individuals with such conditions as diabetes, epilepsy and sleepwalking have been labelled insane. The test for insanity has also created </w:t>
      </w:r>
      <w:r w:rsidR="00A75EF3" w:rsidRPr="00154F1D">
        <w:t>illogical</w:t>
      </w:r>
      <w:r w:rsidRPr="00154F1D">
        <w:t xml:space="preserve"> results </w:t>
      </w:r>
      <w:r w:rsidR="00A75EF3" w:rsidRPr="00154F1D">
        <w:t xml:space="preserve">following the internal/external cause test </w:t>
      </w:r>
      <w:r w:rsidRPr="00154F1D">
        <w:t xml:space="preserve">so that </w:t>
      </w:r>
      <w:r w:rsidR="00EB02C1" w:rsidRPr="00154F1D">
        <w:t>a person</w:t>
      </w:r>
      <w:r w:rsidRPr="00154F1D">
        <w:t xml:space="preserve"> with diabetes may be insane </w:t>
      </w:r>
      <w:r w:rsidR="00A75EF3" w:rsidRPr="00154F1D">
        <w:t xml:space="preserve">(hyperglycemia) </w:t>
      </w:r>
      <w:r w:rsidRPr="00154F1D">
        <w:t>or not insane</w:t>
      </w:r>
      <w:r w:rsidR="00A75EF3" w:rsidRPr="00154F1D">
        <w:t xml:space="preserve"> (hypoglycaemia)</w:t>
      </w:r>
      <w:r w:rsidRPr="00154F1D">
        <w:t xml:space="preserve">. </w:t>
      </w:r>
      <w:r w:rsidR="00A75EF3" w:rsidRPr="00154F1D">
        <w:t>As Ashworth has observed:</w:t>
      </w:r>
    </w:p>
    <w:p w14:paraId="1AAEF598" w14:textId="2FA7EB6E" w:rsidR="00A75EF3" w:rsidRPr="00154F1D" w:rsidRDefault="00A75EF3" w:rsidP="006F0B8C">
      <w:pPr>
        <w:pStyle w:val="QuoteTLRI"/>
      </w:pPr>
      <w:r w:rsidRPr="00154F1D">
        <w:t>There can be no sense in classifying hypoglycaemic states as automatism and hyperglycaemic states as insanity, when both states are so closely associated with such a common condition as diabetes.</w:t>
      </w:r>
      <w:r w:rsidRPr="00154F1D">
        <w:rPr>
          <w:rStyle w:val="FootnoteReference"/>
        </w:rPr>
        <w:footnoteReference w:id="493"/>
      </w:r>
    </w:p>
    <w:p w14:paraId="032D9DDD" w14:textId="057F6C5B" w:rsidR="00483DBF" w:rsidRPr="00154F1D" w:rsidRDefault="001948C7" w:rsidP="006F0B8C">
      <w:pPr>
        <w:pStyle w:val="NormalNumberedTextTLRI"/>
        <w:numPr>
          <w:ilvl w:val="0"/>
          <w:numId w:val="0"/>
        </w:numPr>
      </w:pPr>
      <w:r w:rsidRPr="00154F1D">
        <w:t xml:space="preserve">However, </w:t>
      </w:r>
      <w:r w:rsidR="00F16620" w:rsidRPr="00154F1D">
        <w:t xml:space="preserve">as noted at </w:t>
      </w:r>
      <w:r w:rsidR="001A3D11" w:rsidRPr="00154F1D">
        <w:t>[7.3.16]</w:t>
      </w:r>
      <w:r w:rsidR="00F16620" w:rsidRPr="00154F1D">
        <w:t xml:space="preserve">, </w:t>
      </w:r>
      <w:r w:rsidRPr="00154F1D">
        <w:t xml:space="preserve">in Tasmania a review of cases decided in the Supreme Court </w:t>
      </w:r>
      <w:r w:rsidR="00A462B5" w:rsidRPr="00154F1D">
        <w:t xml:space="preserve">since </w:t>
      </w:r>
      <w:r w:rsidR="00F16620" w:rsidRPr="00154F1D">
        <w:t>2010</w:t>
      </w:r>
      <w:r w:rsidR="00A462B5" w:rsidRPr="00154F1D">
        <w:t xml:space="preserve"> </w:t>
      </w:r>
      <w:r w:rsidRPr="00154F1D">
        <w:t xml:space="preserve">revealed that insanity has </w:t>
      </w:r>
      <w:r w:rsidR="0081199F" w:rsidRPr="00154F1D">
        <w:t xml:space="preserve">most commonly </w:t>
      </w:r>
      <w:r w:rsidRPr="00154F1D">
        <w:t xml:space="preserve">been relied on </w:t>
      </w:r>
      <w:r w:rsidR="0081199F" w:rsidRPr="00154F1D">
        <w:t>in cases where the accused had a condition that would be regarded as a mental illness (</w:t>
      </w:r>
      <w:r w:rsidR="008C4FD0" w:rsidRPr="00154F1D">
        <w:t xml:space="preserve">such as </w:t>
      </w:r>
      <w:r w:rsidR="0081199F" w:rsidRPr="00154F1D">
        <w:t xml:space="preserve">bipolar </w:t>
      </w:r>
      <w:r w:rsidR="008C4FD0" w:rsidRPr="00154F1D">
        <w:t xml:space="preserve">disorder </w:t>
      </w:r>
      <w:r w:rsidR="0081199F" w:rsidRPr="00154F1D">
        <w:t xml:space="preserve">and schizophrenia). </w:t>
      </w:r>
    </w:p>
    <w:p w14:paraId="2BDADA89" w14:textId="4CE7819F" w:rsidR="00855C5E" w:rsidRPr="00154F1D" w:rsidRDefault="00855C5E" w:rsidP="00744FAA">
      <w:pPr>
        <w:pStyle w:val="NormalNumberedTextTLRI"/>
      </w:pPr>
      <w:r w:rsidRPr="00154F1D">
        <w:t>Possible m</w:t>
      </w:r>
      <w:r w:rsidR="00980884" w:rsidRPr="00154F1D">
        <w:t xml:space="preserve">odels for an alternative approach that may </w:t>
      </w:r>
      <w:r w:rsidRPr="00154F1D">
        <w:t xml:space="preserve">resolve the unsatisfactory and arbitrary division between internal and external causes are found in other </w:t>
      </w:r>
      <w:r w:rsidR="00E41A65" w:rsidRPr="00154F1D">
        <w:t>jurisdictions</w:t>
      </w:r>
      <w:r w:rsidRPr="00154F1D">
        <w:t>.</w:t>
      </w:r>
      <w:r w:rsidR="00980884" w:rsidRPr="00154F1D">
        <w:t xml:space="preserve"> </w:t>
      </w:r>
      <w:r w:rsidR="00FA0C12" w:rsidRPr="00154F1D">
        <w:t xml:space="preserve">The solution provisionally proposed by the Law Commission </w:t>
      </w:r>
      <w:r w:rsidR="006F0B8C" w:rsidRPr="00154F1D">
        <w:t xml:space="preserve">of  </w:t>
      </w:r>
      <w:r w:rsidR="00980884" w:rsidRPr="00154F1D">
        <w:t>England</w:t>
      </w:r>
      <w:r w:rsidR="00FA0C12" w:rsidRPr="00154F1D">
        <w:t xml:space="preserve"> and Wales to the problems created by the definition of ‘disease of the mind’ and the arbitrary distinction between medical conditions that </w:t>
      </w:r>
      <w:r w:rsidR="006F0B8C" w:rsidRPr="00154F1D">
        <w:t xml:space="preserve">arise </w:t>
      </w:r>
      <w:r w:rsidR="00FA0C12" w:rsidRPr="00154F1D">
        <w:t xml:space="preserve">from an internal or external cause </w:t>
      </w:r>
      <w:r w:rsidR="006F0B8C" w:rsidRPr="00154F1D">
        <w:t>is</w:t>
      </w:r>
      <w:r w:rsidR="00FA0C12" w:rsidRPr="00154F1D">
        <w:t xml:space="preserve"> a defence that would apply to ‘</w:t>
      </w:r>
      <w:r w:rsidR="00980884" w:rsidRPr="00154F1D">
        <w:t>recognised</w:t>
      </w:r>
      <w:r w:rsidR="00FA0C12" w:rsidRPr="00154F1D">
        <w:t xml:space="preserve"> medical </w:t>
      </w:r>
      <w:r w:rsidR="00980884" w:rsidRPr="00154F1D">
        <w:t>conditions</w:t>
      </w:r>
      <w:r w:rsidR="00FA0C12" w:rsidRPr="00154F1D">
        <w:t>’</w:t>
      </w:r>
      <w:r w:rsidR="00E41A65" w:rsidRPr="00154F1D">
        <w:t>. As noted</w:t>
      </w:r>
      <w:r w:rsidR="004F310D" w:rsidRPr="00154F1D">
        <w:t xml:space="preserve">, </w:t>
      </w:r>
      <w:r w:rsidR="00E41A65" w:rsidRPr="00154F1D">
        <w:t>this</w:t>
      </w:r>
      <w:r w:rsidRPr="00154F1D">
        <w:t xml:space="preserve"> would apply to medical conditions arising from a physical or mental condition and from an internal and external cause </w:t>
      </w:r>
      <w:r w:rsidR="00FA0C12" w:rsidRPr="00154F1D">
        <w:t xml:space="preserve">(subject to </w:t>
      </w:r>
      <w:r w:rsidR="00980884" w:rsidRPr="00154F1D">
        <w:t xml:space="preserve">an </w:t>
      </w:r>
      <w:r w:rsidR="00CD7AF9">
        <w:t>accused</w:t>
      </w:r>
      <w:r w:rsidR="00CD7AF9" w:rsidRPr="00154F1D">
        <w:t xml:space="preserve"> </w:t>
      </w:r>
      <w:r w:rsidR="00980884" w:rsidRPr="00154F1D">
        <w:t>also meeting the relevant incapacities).</w:t>
      </w:r>
      <w:r w:rsidR="00980884" w:rsidRPr="00154F1D">
        <w:rPr>
          <w:rStyle w:val="FootnoteReference"/>
        </w:rPr>
        <w:footnoteReference w:id="494"/>
      </w:r>
      <w:r w:rsidR="00980884" w:rsidRPr="00154F1D">
        <w:t xml:space="preserve"> </w:t>
      </w:r>
      <w:r w:rsidR="00DB4D05" w:rsidRPr="00154F1D">
        <w:t>Applying this approach would mean that issues of automatism arising from a</w:t>
      </w:r>
      <w:r w:rsidR="00E41A65" w:rsidRPr="00154F1D">
        <w:t>ny</w:t>
      </w:r>
      <w:r w:rsidR="00DB4D05" w:rsidRPr="00154F1D">
        <w:t xml:space="preserve"> medical condition (concussion, sleep apnoea, diabetes, mental illness, epilepsy) would </w:t>
      </w:r>
      <w:r w:rsidR="00E41A65" w:rsidRPr="00154F1D">
        <w:t xml:space="preserve">all </w:t>
      </w:r>
      <w:r w:rsidR="00DB4D05" w:rsidRPr="00154F1D">
        <w:t xml:space="preserve">fall within the scope of the special defence. </w:t>
      </w:r>
    </w:p>
    <w:p w14:paraId="0EDF8279" w14:textId="09512175" w:rsidR="00855C5E" w:rsidRPr="00154F1D" w:rsidRDefault="00DF5041" w:rsidP="00744FAA">
      <w:pPr>
        <w:pStyle w:val="NormalNumberedTextTLRI"/>
      </w:pPr>
      <w:r w:rsidRPr="00154F1D">
        <w:t>A different approach is found</w:t>
      </w:r>
      <w:r w:rsidR="00DB4D05" w:rsidRPr="00154F1D">
        <w:t xml:space="preserve"> i</w:t>
      </w:r>
      <w:r w:rsidR="00980884" w:rsidRPr="00154F1D">
        <w:t xml:space="preserve">n </w:t>
      </w:r>
      <w:r w:rsidRPr="00154F1D">
        <w:t>the Western Australian</w:t>
      </w:r>
      <w:r w:rsidR="00980884" w:rsidRPr="00154F1D">
        <w:t xml:space="preserve"> </w:t>
      </w:r>
      <w:r w:rsidR="00DB4D05" w:rsidRPr="00154F1D">
        <w:rPr>
          <w:i/>
        </w:rPr>
        <w:t>Criminal Code</w:t>
      </w:r>
      <w:r w:rsidRPr="00154F1D">
        <w:t>, which</w:t>
      </w:r>
      <w:r w:rsidR="00DB4D05" w:rsidRPr="00154F1D">
        <w:rPr>
          <w:i/>
        </w:rPr>
        <w:t xml:space="preserve"> </w:t>
      </w:r>
      <w:r w:rsidR="00DB4D05" w:rsidRPr="00154F1D">
        <w:t>specifies that mental illness ‘</w:t>
      </w:r>
      <w:r w:rsidR="00980884" w:rsidRPr="00154F1D">
        <w:t xml:space="preserve">does </w:t>
      </w:r>
      <w:r w:rsidR="00963A94" w:rsidRPr="00154F1D">
        <w:t>not</w:t>
      </w:r>
      <w:r w:rsidR="00980884" w:rsidRPr="00154F1D">
        <w:t xml:space="preserve"> </w:t>
      </w:r>
      <w:r w:rsidR="00DB4D05" w:rsidRPr="00154F1D">
        <w:t xml:space="preserve">include a condition that results from the reaction of </w:t>
      </w:r>
      <w:r w:rsidR="000200A7" w:rsidRPr="00154F1D">
        <w:t xml:space="preserve">a </w:t>
      </w:r>
      <w:r w:rsidR="00DB4D05" w:rsidRPr="00154F1D">
        <w:t xml:space="preserve">healthy mind to extraordinary stimuli’. </w:t>
      </w:r>
      <w:r w:rsidRPr="00154F1D">
        <w:t>Unlike the position in other jurisdictions, t</w:t>
      </w:r>
      <w:r w:rsidR="00DB4D05" w:rsidRPr="00154F1D">
        <w:t xml:space="preserve">his </w:t>
      </w:r>
      <w:r w:rsidRPr="00154F1D">
        <w:t xml:space="preserve">provision </w:t>
      </w:r>
      <w:r w:rsidR="00DB4D05" w:rsidRPr="00154F1D">
        <w:t xml:space="preserve">does not specify that the ‘extraordinary stimuli’ must be </w:t>
      </w:r>
      <w:r w:rsidR="00DB4D05" w:rsidRPr="00154F1D">
        <w:rPr>
          <w:i/>
        </w:rPr>
        <w:t>external</w:t>
      </w:r>
      <w:r w:rsidR="00DB4D05" w:rsidRPr="00154F1D">
        <w:t xml:space="preserve">, and so it has been argued that there is greater flexibility to deal with conditions resulting from a healthy mind’s reaction </w:t>
      </w:r>
      <w:r w:rsidR="000200A7" w:rsidRPr="00154F1D">
        <w:t xml:space="preserve">to </w:t>
      </w:r>
      <w:r w:rsidR="00DB4D05" w:rsidRPr="00154F1D">
        <w:rPr>
          <w:i/>
        </w:rPr>
        <w:t>internal</w:t>
      </w:r>
      <w:r w:rsidR="00DB4D05" w:rsidRPr="00154F1D">
        <w:t xml:space="preserve"> </w:t>
      </w:r>
      <w:r w:rsidR="00855C5E" w:rsidRPr="00154F1D">
        <w:t>stimuli</w:t>
      </w:r>
      <w:r w:rsidR="00DB4D05" w:rsidRPr="00154F1D">
        <w:t xml:space="preserve"> within the automatism defence. This would mean that </w:t>
      </w:r>
      <w:r w:rsidR="00855C5E" w:rsidRPr="00154F1D">
        <w:t xml:space="preserve">cases of involuntariness </w:t>
      </w:r>
      <w:r w:rsidRPr="00154F1D">
        <w:t>arising from</w:t>
      </w:r>
      <w:r w:rsidR="00855C5E" w:rsidRPr="00154F1D">
        <w:t xml:space="preserve"> </w:t>
      </w:r>
      <w:r w:rsidR="00DB4D05" w:rsidRPr="00154F1D">
        <w:t xml:space="preserve">hyperglycaemia, </w:t>
      </w:r>
      <w:r w:rsidR="00855C5E" w:rsidRPr="00154F1D">
        <w:t>epilepsy</w:t>
      </w:r>
      <w:r w:rsidR="00DB4D05" w:rsidRPr="00154F1D">
        <w:t xml:space="preserve"> and </w:t>
      </w:r>
      <w:r w:rsidR="00855C5E" w:rsidRPr="00154F1D">
        <w:t>arteriosclerosis</w:t>
      </w:r>
      <w:r w:rsidR="00DB4D05" w:rsidRPr="00154F1D">
        <w:t xml:space="preserve"> </w:t>
      </w:r>
      <w:r w:rsidRPr="00154F1D">
        <w:t>w</w:t>
      </w:r>
      <w:r w:rsidR="00855C5E" w:rsidRPr="00154F1D">
        <w:t xml:space="preserve">ould be considered as automatism rather than </w:t>
      </w:r>
      <w:r w:rsidRPr="00154F1D">
        <w:t xml:space="preserve">giving rise to a mental illness for the purposes of the </w:t>
      </w:r>
      <w:r w:rsidR="00855C5E" w:rsidRPr="00154F1D">
        <w:t>insanity</w:t>
      </w:r>
      <w:r w:rsidRPr="00154F1D">
        <w:t xml:space="preserve"> defence</w:t>
      </w:r>
      <w:r w:rsidR="00855C5E" w:rsidRPr="00154F1D">
        <w:t>.</w:t>
      </w:r>
      <w:r w:rsidR="00855C5E" w:rsidRPr="00154F1D">
        <w:rPr>
          <w:rStyle w:val="FootnoteReference"/>
        </w:rPr>
        <w:footnoteReference w:id="495"/>
      </w:r>
      <w:r w:rsidR="00855C5E" w:rsidRPr="00154F1D">
        <w:t xml:space="preserve"> </w:t>
      </w:r>
    </w:p>
    <w:p w14:paraId="60FAF61C" w14:textId="087D4B91" w:rsidR="00572E5A" w:rsidRPr="00154F1D" w:rsidRDefault="00DF5041" w:rsidP="00744FAA">
      <w:pPr>
        <w:pStyle w:val="NormalNumberedTextTLRI"/>
      </w:pPr>
      <w:r w:rsidRPr="00154F1D">
        <w:t xml:space="preserve">Another approach is found in the review of the law conducted by the </w:t>
      </w:r>
      <w:r w:rsidR="00855C5E" w:rsidRPr="00154F1D">
        <w:t>NSWLRC</w:t>
      </w:r>
      <w:r w:rsidRPr="00154F1D">
        <w:t>, which</w:t>
      </w:r>
      <w:r w:rsidR="00466622" w:rsidRPr="00154F1D">
        <w:t xml:space="preserve"> recommended the introduction of a detailed definition of </w:t>
      </w:r>
      <w:r w:rsidR="000200A7" w:rsidRPr="00154F1D">
        <w:t>‘</w:t>
      </w:r>
      <w:r w:rsidR="00466622" w:rsidRPr="00154F1D">
        <w:t>mental health impairment</w:t>
      </w:r>
      <w:r w:rsidR="000200A7" w:rsidRPr="00154F1D">
        <w:t>’</w:t>
      </w:r>
      <w:r w:rsidR="00466622" w:rsidRPr="00154F1D">
        <w:t xml:space="preserve"> and </w:t>
      </w:r>
      <w:r w:rsidR="000200A7" w:rsidRPr="00154F1D">
        <w:t>‘</w:t>
      </w:r>
      <w:r w:rsidR="00466622" w:rsidRPr="00154F1D">
        <w:t>cognitive impairment</w:t>
      </w:r>
      <w:r w:rsidR="000200A7" w:rsidRPr="00154F1D">
        <w:t>’</w:t>
      </w:r>
      <w:r w:rsidRPr="00154F1D">
        <w:t xml:space="preserve">. It was recommended that mental health impairment </w:t>
      </w:r>
      <w:r w:rsidR="000200A7" w:rsidRPr="00154F1D">
        <w:t xml:space="preserve">be </w:t>
      </w:r>
      <w:r w:rsidRPr="00154F1D">
        <w:t>defined as follows</w:t>
      </w:r>
      <w:r w:rsidR="00466622" w:rsidRPr="00154F1D">
        <w:t>:</w:t>
      </w:r>
    </w:p>
    <w:p w14:paraId="0ABF6C10" w14:textId="5CD06518" w:rsidR="00572E5A" w:rsidRPr="00154F1D" w:rsidRDefault="00572E5A" w:rsidP="00C2303F">
      <w:pPr>
        <w:pStyle w:val="QuoteTLRI"/>
        <w:spacing w:after="120"/>
        <w:ind w:left="1276" w:right="788" w:hanging="425"/>
        <w:rPr>
          <w:sz w:val="24"/>
        </w:rPr>
      </w:pPr>
      <w:r w:rsidRPr="00154F1D">
        <w:t>(a)</w:t>
      </w:r>
      <w:r w:rsidR="00C2303F" w:rsidRPr="00154F1D">
        <w:tab/>
      </w:r>
      <w:r w:rsidRPr="00154F1D">
        <w:t xml:space="preserve">Mental health impairment means a temporary or continuing disturbance of thought, mood, volition, perception, or memory that impairs emotional wellbeing, judgment or behaviour, so as to affect functioning in daily life to a material extent. </w:t>
      </w:r>
    </w:p>
    <w:p w14:paraId="72E2460A" w14:textId="6FD28065" w:rsidR="00572E5A" w:rsidRPr="00154F1D" w:rsidRDefault="00572E5A" w:rsidP="00C2303F">
      <w:pPr>
        <w:pStyle w:val="QuoteTLRI"/>
        <w:spacing w:after="120"/>
        <w:ind w:left="1276" w:right="788" w:hanging="425"/>
      </w:pPr>
      <w:r w:rsidRPr="00154F1D">
        <w:t>(b)</w:t>
      </w:r>
      <w:r w:rsidR="00C2303F" w:rsidRPr="00154F1D">
        <w:tab/>
      </w:r>
      <w:r w:rsidRPr="00154F1D">
        <w:t xml:space="preserve">Such mental health impairment may arise from but is not limited to the following: </w:t>
      </w:r>
    </w:p>
    <w:p w14:paraId="6DA5D747" w14:textId="54012971" w:rsidR="00572E5A" w:rsidRPr="00154F1D" w:rsidRDefault="00572E5A" w:rsidP="00C2303F">
      <w:pPr>
        <w:pStyle w:val="QuoteTLRI"/>
        <w:spacing w:after="120"/>
        <w:ind w:left="1701" w:right="788" w:hanging="425"/>
        <w:rPr>
          <w:sz w:val="24"/>
        </w:rPr>
      </w:pPr>
      <w:r w:rsidRPr="00154F1D">
        <w:t>(i)</w:t>
      </w:r>
      <w:r w:rsidR="00C2303F" w:rsidRPr="00154F1D">
        <w:tab/>
      </w:r>
      <w:r w:rsidRPr="00154F1D">
        <w:t xml:space="preserve">anxiety disorders </w:t>
      </w:r>
    </w:p>
    <w:p w14:paraId="0E40C37F" w14:textId="3CB320FD" w:rsidR="00572E5A" w:rsidRPr="00154F1D" w:rsidRDefault="00572E5A" w:rsidP="00C2303F">
      <w:pPr>
        <w:pStyle w:val="QuoteTLRI"/>
        <w:spacing w:after="120"/>
        <w:ind w:left="1701" w:right="788" w:hanging="425"/>
        <w:rPr>
          <w:sz w:val="24"/>
        </w:rPr>
      </w:pPr>
      <w:r w:rsidRPr="00154F1D">
        <w:t>(ii)</w:t>
      </w:r>
      <w:r w:rsidR="00C2303F" w:rsidRPr="00154F1D">
        <w:tab/>
      </w:r>
      <w:r w:rsidRPr="00154F1D">
        <w:t xml:space="preserve">affective disorders </w:t>
      </w:r>
    </w:p>
    <w:p w14:paraId="6598869F" w14:textId="13BE6C1B" w:rsidR="00572E5A" w:rsidRPr="00154F1D" w:rsidRDefault="00572E5A" w:rsidP="00C2303F">
      <w:pPr>
        <w:pStyle w:val="QuoteTLRI"/>
        <w:spacing w:after="120"/>
        <w:ind w:left="1701" w:right="788" w:hanging="425"/>
        <w:rPr>
          <w:sz w:val="24"/>
        </w:rPr>
      </w:pPr>
      <w:r w:rsidRPr="00154F1D">
        <w:t>(iii)</w:t>
      </w:r>
      <w:r w:rsidR="00C2303F" w:rsidRPr="00154F1D">
        <w:tab/>
      </w:r>
      <w:r w:rsidRPr="00154F1D">
        <w:t xml:space="preserve">psychoses </w:t>
      </w:r>
    </w:p>
    <w:p w14:paraId="27717767" w14:textId="03248FA1" w:rsidR="00572E5A" w:rsidRPr="00154F1D" w:rsidRDefault="00572E5A" w:rsidP="00C2303F">
      <w:pPr>
        <w:pStyle w:val="QuoteTLRI"/>
        <w:spacing w:after="120"/>
        <w:ind w:left="1701" w:right="788" w:hanging="425"/>
        <w:rPr>
          <w:sz w:val="24"/>
        </w:rPr>
      </w:pPr>
      <w:r w:rsidRPr="00154F1D">
        <w:t>(iv)</w:t>
      </w:r>
      <w:r w:rsidR="00C2303F" w:rsidRPr="00154F1D">
        <w:tab/>
      </w:r>
      <w:r w:rsidRPr="00154F1D">
        <w:t xml:space="preserve">substance induced mental disorders. </w:t>
      </w:r>
    </w:p>
    <w:p w14:paraId="46FE64A3" w14:textId="77777777" w:rsidR="00572E5A" w:rsidRPr="00154F1D" w:rsidRDefault="00572E5A" w:rsidP="00C2303F">
      <w:pPr>
        <w:pStyle w:val="QuoteTLRI"/>
        <w:spacing w:after="120"/>
        <w:ind w:right="788"/>
        <w:rPr>
          <w:sz w:val="24"/>
        </w:rPr>
      </w:pPr>
      <w:r w:rsidRPr="00154F1D">
        <w:t xml:space="preserve">“Substance induced mental disorders” include ongoing mental health impairments such as drug-induced psychoses, but do not include substance abuse disorders (addiction to substances) or the temporary effects of ingesting substances. </w:t>
      </w:r>
    </w:p>
    <w:p w14:paraId="0720693A" w14:textId="77777777" w:rsidR="00572E5A" w:rsidRPr="00154F1D" w:rsidRDefault="00572E5A" w:rsidP="0074267A">
      <w:pPr>
        <w:pStyle w:val="QuoteTLRI"/>
      </w:pPr>
      <w:r w:rsidRPr="00154F1D">
        <w:t xml:space="preserve">For the purposes of this section “mental health impairment” does not include a personality disorder. </w:t>
      </w:r>
    </w:p>
    <w:p w14:paraId="2867A03A" w14:textId="46A2DA24" w:rsidR="00572E5A" w:rsidRPr="00154F1D" w:rsidRDefault="000200A7" w:rsidP="00744FAA">
      <w:pPr>
        <w:pStyle w:val="NormalNumberedTextTLRI"/>
        <w:rPr>
          <w:lang w:eastAsia="en-AU"/>
        </w:rPr>
      </w:pPr>
      <w:r w:rsidRPr="00154F1D">
        <w:rPr>
          <w:lang w:eastAsia="en-AU"/>
        </w:rPr>
        <w:t xml:space="preserve">The NSWLRC further </w:t>
      </w:r>
      <w:r w:rsidR="00DF5041" w:rsidRPr="00154F1D">
        <w:rPr>
          <w:lang w:eastAsia="en-AU"/>
        </w:rPr>
        <w:t xml:space="preserve">recommended that cognitive impairment </w:t>
      </w:r>
      <w:r w:rsidRPr="00154F1D">
        <w:rPr>
          <w:lang w:eastAsia="en-AU"/>
        </w:rPr>
        <w:t xml:space="preserve">be </w:t>
      </w:r>
      <w:r w:rsidR="00DF5041" w:rsidRPr="00154F1D">
        <w:rPr>
          <w:lang w:eastAsia="en-AU"/>
        </w:rPr>
        <w:t>defined as:</w:t>
      </w:r>
      <w:r w:rsidR="00572E5A" w:rsidRPr="00154F1D">
        <w:rPr>
          <w:lang w:eastAsia="en-AU"/>
        </w:rPr>
        <w:t xml:space="preserve"> </w:t>
      </w:r>
    </w:p>
    <w:p w14:paraId="2A7A90D6" w14:textId="7860A1F9" w:rsidR="00572E5A" w:rsidRPr="00154F1D" w:rsidRDefault="00572E5A" w:rsidP="00C2303F">
      <w:pPr>
        <w:pStyle w:val="QuoteTLRI"/>
        <w:spacing w:after="120"/>
        <w:ind w:left="1276" w:right="788" w:hanging="425"/>
      </w:pPr>
      <w:r w:rsidRPr="00154F1D">
        <w:t>(a)</w:t>
      </w:r>
      <w:r w:rsidR="00C2303F" w:rsidRPr="00154F1D">
        <w:tab/>
      </w:r>
      <w:r w:rsidRPr="00154F1D">
        <w:t xml:space="preserve">an ongoing impairment in comprehension, reason, adaptive functioning, judgement, learning or memory that is the result of any damage to, dysfunction, developmental delay, or deterioration of the brain or mind. </w:t>
      </w:r>
    </w:p>
    <w:p w14:paraId="3B132B53" w14:textId="0A6041CB" w:rsidR="00572E5A" w:rsidRPr="00154F1D" w:rsidRDefault="00572E5A" w:rsidP="00C2303F">
      <w:pPr>
        <w:pStyle w:val="QuoteTLRI"/>
        <w:spacing w:after="120"/>
        <w:ind w:left="1276" w:right="788" w:hanging="425"/>
      </w:pPr>
      <w:r w:rsidRPr="00154F1D">
        <w:t>(b)</w:t>
      </w:r>
      <w:r w:rsidR="00C2303F" w:rsidRPr="00154F1D">
        <w:tab/>
      </w:r>
      <w:r w:rsidRPr="00154F1D">
        <w:t xml:space="preserve">Such cognitive impairment may arise from, but is not limited to, the following: </w:t>
      </w:r>
    </w:p>
    <w:p w14:paraId="6971D0DD" w14:textId="09C2CFD4" w:rsidR="00572E5A" w:rsidRPr="00154F1D" w:rsidRDefault="00572E5A" w:rsidP="00C2303F">
      <w:pPr>
        <w:pStyle w:val="QuoteTLRI"/>
        <w:ind w:left="1701" w:hanging="425"/>
        <w:rPr>
          <w:sz w:val="24"/>
        </w:rPr>
      </w:pPr>
      <w:r w:rsidRPr="00154F1D">
        <w:t>(i)</w:t>
      </w:r>
      <w:r w:rsidR="00C2303F" w:rsidRPr="00154F1D">
        <w:tab/>
      </w:r>
      <w:r w:rsidRPr="00154F1D">
        <w:t xml:space="preserve">intellectual disability </w:t>
      </w:r>
    </w:p>
    <w:p w14:paraId="4E669396" w14:textId="05CA6C68" w:rsidR="00572E5A" w:rsidRPr="00154F1D" w:rsidRDefault="00572E5A" w:rsidP="00C2303F">
      <w:pPr>
        <w:pStyle w:val="QuoteTLRI"/>
        <w:ind w:left="1701" w:hanging="425"/>
        <w:rPr>
          <w:sz w:val="24"/>
        </w:rPr>
      </w:pPr>
      <w:r w:rsidRPr="00154F1D">
        <w:t>(ii)</w:t>
      </w:r>
      <w:r w:rsidR="00C2303F" w:rsidRPr="00154F1D">
        <w:tab/>
      </w:r>
      <w:r w:rsidRPr="00154F1D">
        <w:t xml:space="preserve">borderline intellectual functioning </w:t>
      </w:r>
    </w:p>
    <w:p w14:paraId="5038D182" w14:textId="3CA47966" w:rsidR="00572E5A" w:rsidRPr="00154F1D" w:rsidRDefault="00572E5A" w:rsidP="00C2303F">
      <w:pPr>
        <w:pStyle w:val="QuoteTLRI"/>
        <w:ind w:left="1701" w:hanging="425"/>
        <w:rPr>
          <w:sz w:val="24"/>
        </w:rPr>
      </w:pPr>
      <w:r w:rsidRPr="00154F1D">
        <w:t>(iii)</w:t>
      </w:r>
      <w:r w:rsidR="00C2303F" w:rsidRPr="00154F1D">
        <w:tab/>
      </w:r>
      <w:r w:rsidRPr="00154F1D">
        <w:t xml:space="preserve">dementias </w:t>
      </w:r>
    </w:p>
    <w:p w14:paraId="2ECA5746" w14:textId="7F9AA1E1" w:rsidR="00572E5A" w:rsidRPr="00154F1D" w:rsidRDefault="00572E5A" w:rsidP="00C2303F">
      <w:pPr>
        <w:pStyle w:val="QuoteTLRI"/>
        <w:ind w:left="1701" w:hanging="425"/>
        <w:rPr>
          <w:sz w:val="24"/>
        </w:rPr>
      </w:pPr>
      <w:r w:rsidRPr="00154F1D">
        <w:t>(iv)</w:t>
      </w:r>
      <w:r w:rsidR="00C2303F" w:rsidRPr="00154F1D">
        <w:tab/>
      </w:r>
      <w:r w:rsidRPr="00154F1D">
        <w:t xml:space="preserve">acquired brain injury </w:t>
      </w:r>
    </w:p>
    <w:p w14:paraId="2382D340" w14:textId="475977E9" w:rsidR="00572E5A" w:rsidRPr="00154F1D" w:rsidRDefault="00572E5A" w:rsidP="00C2303F">
      <w:pPr>
        <w:pStyle w:val="QuoteTLRI"/>
        <w:ind w:left="1701" w:hanging="425"/>
        <w:rPr>
          <w:sz w:val="24"/>
        </w:rPr>
      </w:pPr>
      <w:r w:rsidRPr="00154F1D">
        <w:t>(v)</w:t>
      </w:r>
      <w:r w:rsidR="00C2303F" w:rsidRPr="00154F1D">
        <w:tab/>
      </w:r>
      <w:r w:rsidRPr="00154F1D">
        <w:t xml:space="preserve">drug or alcohol related brain damage </w:t>
      </w:r>
    </w:p>
    <w:p w14:paraId="16C07FE5" w14:textId="58D06FB1" w:rsidR="00572E5A" w:rsidRPr="00154F1D" w:rsidRDefault="00572E5A" w:rsidP="00C2303F">
      <w:pPr>
        <w:pStyle w:val="QuoteTLRI"/>
        <w:ind w:left="1701" w:hanging="425"/>
        <w:rPr>
          <w:sz w:val="24"/>
        </w:rPr>
      </w:pPr>
      <w:r w:rsidRPr="00154F1D">
        <w:t>(vi)</w:t>
      </w:r>
      <w:r w:rsidR="00C2303F" w:rsidRPr="00154F1D">
        <w:tab/>
      </w:r>
      <w:r w:rsidRPr="00154F1D">
        <w:t xml:space="preserve">autism spectrum disorders. </w:t>
      </w:r>
    </w:p>
    <w:p w14:paraId="1F93355B" w14:textId="47AC4418" w:rsidR="00466622" w:rsidRPr="00154F1D" w:rsidRDefault="00466622" w:rsidP="00630314">
      <w:pPr>
        <w:pStyle w:val="NormalNumberedTextTLRI"/>
        <w:numPr>
          <w:ilvl w:val="0"/>
          <w:numId w:val="0"/>
        </w:numPr>
      </w:pPr>
      <w:r w:rsidRPr="00154F1D">
        <w:t>The NSWLRC argued that the definitions were appropriate for the defence of mental illness because they: (1) capture the appropriate people; (2) are consistent with the definitions recommended for diversion and bail; (3) reflect contemporary psychological and psychiatric understandings; (4) are respectful of people with such impairments; and (5) are tighter and more precise than the current outdated terminology.</w:t>
      </w:r>
      <w:r w:rsidRPr="00154F1D">
        <w:rPr>
          <w:rStyle w:val="FootnoteReference"/>
        </w:rPr>
        <w:footnoteReference w:id="496"/>
      </w:r>
      <w:r w:rsidRPr="00154F1D">
        <w:t xml:space="preserve"> The NSWLRC considered that the fit between cognitive impairments and ‘disease of the mind’</w:t>
      </w:r>
      <w:r w:rsidR="00FE4DF1" w:rsidRPr="00154F1D">
        <w:t xml:space="preserve"> </w:t>
      </w:r>
      <w:r w:rsidR="00250A9F" w:rsidRPr="00154F1D">
        <w:t xml:space="preserve">is </w:t>
      </w:r>
      <w:r w:rsidRPr="00154F1D">
        <w:t>not a good one</w:t>
      </w:r>
      <w:r w:rsidR="00FE4DF1" w:rsidRPr="00154F1D">
        <w:t>, and that it should be made clear that the defence applie</w:t>
      </w:r>
      <w:r w:rsidR="00250A9F" w:rsidRPr="00154F1D">
        <w:t>s</w:t>
      </w:r>
      <w:r w:rsidR="00FE4DF1" w:rsidRPr="00154F1D">
        <w:t xml:space="preserve"> to people with cognitive impairments</w:t>
      </w:r>
      <w:r w:rsidRPr="00154F1D">
        <w:t>.</w:t>
      </w:r>
      <w:r w:rsidRPr="00154F1D">
        <w:rPr>
          <w:rStyle w:val="FootnoteReference"/>
        </w:rPr>
        <w:footnoteReference w:id="497"/>
      </w:r>
      <w:r w:rsidR="00FE4DF1" w:rsidRPr="00154F1D">
        <w:t xml:space="preserve"> </w:t>
      </w:r>
    </w:p>
    <w:p w14:paraId="458B0884" w14:textId="51F9FC21" w:rsidR="00FE4DF1" w:rsidRPr="00154F1D" w:rsidRDefault="00416C2F" w:rsidP="00744FAA">
      <w:pPr>
        <w:pStyle w:val="NormalNumberedTextTLRI"/>
      </w:pPr>
      <w:r w:rsidRPr="00154F1D">
        <w:t xml:space="preserve">The NSWLRC </w:t>
      </w:r>
      <w:r w:rsidR="00FE74E0" w:rsidRPr="00154F1D">
        <w:t xml:space="preserve">addressed concerns that such a broad test </w:t>
      </w:r>
      <w:r w:rsidR="00250A9F" w:rsidRPr="00154F1D">
        <w:t xml:space="preserve">is </w:t>
      </w:r>
      <w:r w:rsidR="00FE74E0" w:rsidRPr="00154F1D">
        <w:t xml:space="preserve">inappropriate as the basis for an exculpatory defence. It argued </w:t>
      </w:r>
      <w:r w:rsidR="00250A9F" w:rsidRPr="00154F1D">
        <w:t xml:space="preserve">that </w:t>
      </w:r>
      <w:r w:rsidR="00FE74E0" w:rsidRPr="00154F1D">
        <w:t xml:space="preserve">the broad test </w:t>
      </w:r>
      <w:r w:rsidR="00250A9F" w:rsidRPr="00154F1D">
        <w:t xml:space="preserve">is </w:t>
      </w:r>
      <w:r w:rsidR="00FE74E0" w:rsidRPr="00154F1D">
        <w:t xml:space="preserve">appropriate as it </w:t>
      </w:r>
      <w:r w:rsidR="00250A9F" w:rsidRPr="00154F1D">
        <w:t xml:space="preserve">is </w:t>
      </w:r>
      <w:r w:rsidR="00FE74E0" w:rsidRPr="00154F1D">
        <w:t xml:space="preserve">only the preliminary ‘gate’ </w:t>
      </w:r>
      <w:r w:rsidR="00BE4BE7" w:rsidRPr="00154F1D">
        <w:t>that the defendant must pass</w:t>
      </w:r>
      <w:r w:rsidR="00BE4BE7" w:rsidRPr="00154F1D" w:rsidDel="00BE4BE7">
        <w:t xml:space="preserve"> </w:t>
      </w:r>
      <w:r w:rsidR="00FE74E0" w:rsidRPr="00154F1D">
        <w:t>to succeed in the defence, and that ‘defendants must also pass through a second, and much narrower, “gate” by demonstrating the required nexus between their impairment and the offence’.</w:t>
      </w:r>
      <w:r w:rsidR="00FE74E0" w:rsidRPr="00154F1D">
        <w:rPr>
          <w:rStyle w:val="FootnoteReference"/>
        </w:rPr>
        <w:footnoteReference w:id="498"/>
      </w:r>
    </w:p>
    <w:p w14:paraId="115938AB" w14:textId="4A09A3DB" w:rsidR="0020562C" w:rsidRPr="00154F1D" w:rsidRDefault="00C4252E" w:rsidP="00744FAA">
      <w:pPr>
        <w:pStyle w:val="NormalNumberedTextTLRI"/>
      </w:pPr>
      <w:r w:rsidRPr="00154F1D">
        <w:rPr>
          <w:u w:val="single"/>
        </w:rPr>
        <w:t>Personality disorders.</w:t>
      </w:r>
      <w:r w:rsidRPr="00154F1D">
        <w:t xml:space="preserve"> As set out at </w:t>
      </w:r>
      <w:r w:rsidR="009E3776" w:rsidRPr="00154F1D">
        <w:t>[7.5.20]</w:t>
      </w:r>
      <w:r w:rsidRPr="00154F1D">
        <w:t xml:space="preserve">, the NSWLRC made recommendations to exclude personality disorders from the definition of mental health impairment. The </w:t>
      </w:r>
      <w:r w:rsidR="003825E1" w:rsidRPr="00154F1D">
        <w:t xml:space="preserve">Scottish Law Commission </w:t>
      </w:r>
      <w:r w:rsidR="00250A9F" w:rsidRPr="00154F1D">
        <w:t xml:space="preserve">similarly </w:t>
      </w:r>
      <w:r w:rsidR="001A3DB4" w:rsidRPr="00154F1D">
        <w:t>recommended that the condition of psychopathic personality disorder be excluded from the scope of the defence.</w:t>
      </w:r>
      <w:r w:rsidR="001A3DB4" w:rsidRPr="00154F1D">
        <w:rPr>
          <w:rStyle w:val="FootnoteReference"/>
        </w:rPr>
        <w:footnoteReference w:id="499"/>
      </w:r>
      <w:r w:rsidRPr="00154F1D">
        <w:t xml:space="preserve"> </w:t>
      </w:r>
      <w:r w:rsidR="001A3DB4" w:rsidRPr="00154F1D">
        <w:t xml:space="preserve">The Law Commission </w:t>
      </w:r>
      <w:r w:rsidR="006141C5" w:rsidRPr="00154F1D">
        <w:t xml:space="preserve">of England and Wales </w:t>
      </w:r>
      <w:r w:rsidR="00AB7F7E" w:rsidRPr="00154F1D">
        <w:t>also expressed the view that an antisocial personality disorder should not be a condition which qualifies for a special verdict.</w:t>
      </w:r>
      <w:r w:rsidR="00AB7F7E" w:rsidRPr="00154F1D">
        <w:rPr>
          <w:rStyle w:val="FootnoteReference"/>
        </w:rPr>
        <w:footnoteReference w:id="500"/>
      </w:r>
      <w:r w:rsidR="00AB7F7E" w:rsidRPr="00154F1D">
        <w:t xml:space="preserve"> </w:t>
      </w:r>
      <w:r w:rsidRPr="00154F1D">
        <w:t xml:space="preserve">Most statutory definitions of mental illness or mental impairment do not include personality disorders (exceptions </w:t>
      </w:r>
      <w:r w:rsidR="000622FD" w:rsidRPr="00154F1D">
        <w:t xml:space="preserve">to this </w:t>
      </w:r>
      <w:r w:rsidRPr="00154F1D">
        <w:t xml:space="preserve">are </w:t>
      </w:r>
      <w:r w:rsidR="000622FD" w:rsidRPr="00154F1D">
        <w:t xml:space="preserve">found </w:t>
      </w:r>
      <w:r w:rsidRPr="00154F1D">
        <w:t>in Commonwealth and ACT legislation). However, there is no express exclusion in Western Australia, South Australia and the Northern Territory.</w:t>
      </w:r>
      <w:r w:rsidRPr="00154F1D">
        <w:rPr>
          <w:rStyle w:val="FootnoteReference"/>
        </w:rPr>
        <w:footnoteReference w:id="501"/>
      </w:r>
      <w:r w:rsidRPr="00154F1D">
        <w:t xml:space="preserve"> There is also uncertainty in relation to the status of personality disorders within the scope of the insanity defence that rely on common law definitions.</w:t>
      </w:r>
      <w:r w:rsidRPr="00154F1D">
        <w:rPr>
          <w:rStyle w:val="FootnoteReference"/>
        </w:rPr>
        <w:footnoteReference w:id="502"/>
      </w:r>
      <w:r w:rsidRPr="00154F1D">
        <w:t xml:space="preserve"> </w:t>
      </w:r>
    </w:p>
    <w:p w14:paraId="2A01650E" w14:textId="26DFC05B" w:rsidR="00691690" w:rsidRPr="00154F1D" w:rsidRDefault="00691690" w:rsidP="00744FAA">
      <w:pPr>
        <w:pStyle w:val="NormalNumberedTextTLRI"/>
      </w:pPr>
      <w:r w:rsidRPr="00154F1D">
        <w:t xml:space="preserve">The NSWLRC summarised the arguments in favour of excluding personality disorders from the insanity defence: </w:t>
      </w:r>
    </w:p>
    <w:p w14:paraId="224F80FD" w14:textId="0C37A4A9" w:rsidR="00FE4DF1" w:rsidRPr="00154F1D" w:rsidRDefault="00D318B7" w:rsidP="000622FD">
      <w:pPr>
        <w:pStyle w:val="DotPointTLRI"/>
        <w:numPr>
          <w:ilvl w:val="0"/>
          <w:numId w:val="54"/>
        </w:numPr>
        <w:ind w:left="851" w:hanging="425"/>
      </w:pPr>
      <w:r w:rsidRPr="00154F1D">
        <w:t>The inclusion of personality disorders would open the floodgates as many people who commit crimes have personality disorders.</w:t>
      </w:r>
      <w:r w:rsidR="00E43BFA" w:rsidRPr="00154F1D">
        <w:t xml:space="preserve"> </w:t>
      </w:r>
      <w:r w:rsidR="0033189D" w:rsidRPr="00154F1D">
        <w:t>Its view was that to include personality disorders was to throw ‘the net too wide. In particular, … [it is not] appropriate for those with anti-social personality disorder or psychopathy to be exculpated substantially because of their criminal behaviour</w:t>
      </w:r>
      <w:r w:rsidR="000622FD" w:rsidRPr="00154F1D">
        <w:t>.</w:t>
      </w:r>
      <w:r w:rsidR="0033189D" w:rsidRPr="00154F1D">
        <w:t>’</w:t>
      </w:r>
      <w:r w:rsidR="0033189D" w:rsidRPr="00154F1D">
        <w:rPr>
          <w:rStyle w:val="FootnoteReference"/>
        </w:rPr>
        <w:footnoteReference w:id="503"/>
      </w:r>
    </w:p>
    <w:p w14:paraId="57857893" w14:textId="2321AE7D" w:rsidR="00D318B7" w:rsidRPr="00154F1D" w:rsidRDefault="00D318B7" w:rsidP="000622FD">
      <w:pPr>
        <w:pStyle w:val="DotPointTLRI"/>
        <w:numPr>
          <w:ilvl w:val="0"/>
          <w:numId w:val="54"/>
        </w:numPr>
        <w:ind w:left="851" w:hanging="425"/>
      </w:pPr>
      <w:r w:rsidRPr="00154F1D">
        <w:t xml:space="preserve">It is against the weight </w:t>
      </w:r>
      <w:r w:rsidR="00196B29" w:rsidRPr="00154F1D">
        <w:t>of community opinion</w:t>
      </w:r>
      <w:r w:rsidR="0033189D" w:rsidRPr="00154F1D">
        <w:t>, the approach in the majority of Australian jurisdictions and academic expert opinion.</w:t>
      </w:r>
      <w:r w:rsidR="0033189D" w:rsidRPr="00154F1D">
        <w:rPr>
          <w:rStyle w:val="FootnoteReference"/>
        </w:rPr>
        <w:footnoteReference w:id="504"/>
      </w:r>
    </w:p>
    <w:p w14:paraId="5E2FA5DC" w14:textId="022B3560" w:rsidR="0033189D" w:rsidRPr="00154F1D" w:rsidRDefault="0033189D" w:rsidP="000622FD">
      <w:pPr>
        <w:pStyle w:val="DotPointTLRI"/>
        <w:numPr>
          <w:ilvl w:val="0"/>
          <w:numId w:val="54"/>
        </w:numPr>
        <w:ind w:left="851" w:hanging="425"/>
      </w:pPr>
      <w:r w:rsidRPr="00154F1D">
        <w:t>The evidence base for policy development need</w:t>
      </w:r>
      <w:r w:rsidR="00660268">
        <w:t>s</w:t>
      </w:r>
      <w:r w:rsidRPr="00154F1D">
        <w:t xml:space="preserve"> to </w:t>
      </w:r>
      <w:r w:rsidR="000622FD" w:rsidRPr="00154F1D">
        <w:t xml:space="preserve">be </w:t>
      </w:r>
      <w:r w:rsidRPr="00154F1D">
        <w:t>developed as ‘the psychiatric understandings of personality disorders, and the precision with which they are defined, is not sufficient to allow their inclusion with any degree of confidence at this present time’.</w:t>
      </w:r>
      <w:r w:rsidRPr="00154F1D">
        <w:rPr>
          <w:rStyle w:val="FootnoteReference"/>
        </w:rPr>
        <w:footnoteReference w:id="505"/>
      </w:r>
    </w:p>
    <w:p w14:paraId="316ECA93" w14:textId="20698343" w:rsidR="001B0C2A" w:rsidRPr="00154F1D" w:rsidRDefault="001B0C2A" w:rsidP="00744FAA">
      <w:pPr>
        <w:pStyle w:val="NormalNumberedTextTLRI"/>
      </w:pPr>
      <w:r w:rsidRPr="00154F1D">
        <w:t>The NSWLRC also set out reasons in favour of the inclusion of personality disorders as follows:</w:t>
      </w:r>
    </w:p>
    <w:p w14:paraId="7E08531D" w14:textId="4A4B4884" w:rsidR="001B0C2A" w:rsidRPr="00154F1D" w:rsidRDefault="00790233" w:rsidP="00B575DD">
      <w:pPr>
        <w:pStyle w:val="DotPointTLRI"/>
        <w:numPr>
          <w:ilvl w:val="0"/>
          <w:numId w:val="55"/>
        </w:numPr>
        <w:ind w:left="851" w:hanging="425"/>
      </w:pPr>
      <w:r w:rsidRPr="00154F1D">
        <w:t xml:space="preserve">The gate can be narrowed by the requirement that the personality disorder is severe, and further </w:t>
      </w:r>
      <w:r w:rsidR="00250A9F" w:rsidRPr="00154F1D">
        <w:t xml:space="preserve">that </w:t>
      </w:r>
      <w:r w:rsidRPr="00154F1D">
        <w:t>the ‘</w:t>
      </w:r>
      <w:r w:rsidR="000E57E9" w:rsidRPr="00154F1D">
        <w:t>person</w:t>
      </w:r>
      <w:r w:rsidRPr="00154F1D">
        <w:t xml:space="preserve"> must pass </w:t>
      </w:r>
      <w:r w:rsidR="000E57E9" w:rsidRPr="00154F1D">
        <w:t>through the secon</w:t>
      </w:r>
      <w:r w:rsidRPr="00154F1D">
        <w:t xml:space="preserve">d, and narrower, gate and show that the </w:t>
      </w:r>
      <w:r w:rsidR="000E57E9" w:rsidRPr="00154F1D">
        <w:t>personality</w:t>
      </w:r>
      <w:r w:rsidRPr="00154F1D">
        <w:t xml:space="preserve"> </w:t>
      </w:r>
      <w:r w:rsidR="000E57E9" w:rsidRPr="00154F1D">
        <w:t>disorder</w:t>
      </w:r>
      <w:r w:rsidRPr="00154F1D">
        <w:t xml:space="preserve"> had the effect that he or she did not know what they were doing, or know that it was wrong, or that he or she was unable to control their actions</w:t>
      </w:r>
      <w:r w:rsidR="000E57E9" w:rsidRPr="00154F1D">
        <w:t>’</w:t>
      </w:r>
      <w:r w:rsidRPr="00154F1D">
        <w:t>.</w:t>
      </w:r>
      <w:r w:rsidRPr="00154F1D">
        <w:rPr>
          <w:rStyle w:val="FootnoteReference"/>
        </w:rPr>
        <w:footnoteReference w:id="506"/>
      </w:r>
    </w:p>
    <w:p w14:paraId="6E65AD42" w14:textId="4782D96F" w:rsidR="000E57E9" w:rsidRPr="00154F1D" w:rsidRDefault="000E57E9" w:rsidP="00B575DD">
      <w:pPr>
        <w:pStyle w:val="DotPointTLRI"/>
        <w:numPr>
          <w:ilvl w:val="0"/>
          <w:numId w:val="55"/>
        </w:numPr>
        <w:ind w:left="851" w:hanging="425"/>
      </w:pPr>
      <w:r w:rsidRPr="00154F1D">
        <w:t xml:space="preserve">There is no evidence of </w:t>
      </w:r>
      <w:r w:rsidR="00BE4BE7" w:rsidRPr="00154F1D">
        <w:t xml:space="preserve">over-reliance on the defence </w:t>
      </w:r>
      <w:r w:rsidRPr="00154F1D">
        <w:t xml:space="preserve">in jurisdictions that allow personality disorders to </w:t>
      </w:r>
      <w:r w:rsidR="00B575DD" w:rsidRPr="00154F1D">
        <w:t xml:space="preserve">be </w:t>
      </w:r>
      <w:r w:rsidRPr="00154F1D">
        <w:t>included.</w:t>
      </w:r>
      <w:r w:rsidRPr="00154F1D">
        <w:rPr>
          <w:rStyle w:val="FootnoteReference"/>
        </w:rPr>
        <w:footnoteReference w:id="507"/>
      </w:r>
      <w:r w:rsidRPr="00154F1D">
        <w:t xml:space="preserve"> </w:t>
      </w:r>
    </w:p>
    <w:p w14:paraId="69EE91DE" w14:textId="4442BBD0" w:rsidR="001B0C2A" w:rsidRPr="00154F1D" w:rsidRDefault="001B0C2A" w:rsidP="00B575DD">
      <w:pPr>
        <w:pStyle w:val="NormalNumberedTextTLRI"/>
        <w:numPr>
          <w:ilvl w:val="0"/>
          <w:numId w:val="0"/>
        </w:numPr>
      </w:pPr>
      <w:r w:rsidRPr="00154F1D">
        <w:t xml:space="preserve">Other reasons identified </w:t>
      </w:r>
      <w:r w:rsidR="006621AA" w:rsidRPr="00154F1D">
        <w:t xml:space="preserve">in favour of including (or at the least not excluding) </w:t>
      </w:r>
      <w:r w:rsidR="00B011C5" w:rsidRPr="00154F1D">
        <w:t xml:space="preserve">personality disorders include the </w:t>
      </w:r>
      <w:r w:rsidRPr="00154F1D">
        <w:t>view that particular conditions should not be singled out in legislation for exclusion, and that there should be flexibility to consider whether a particular condition, including a personality disorder, qualifie</w:t>
      </w:r>
      <w:r w:rsidR="00B011C5" w:rsidRPr="00154F1D">
        <w:t xml:space="preserve">s </w:t>
      </w:r>
      <w:r w:rsidRPr="00154F1D">
        <w:t>for the defence.</w:t>
      </w:r>
      <w:r w:rsidRPr="00154F1D">
        <w:rPr>
          <w:rStyle w:val="FootnoteReference"/>
        </w:rPr>
        <w:footnoteReference w:id="508"/>
      </w:r>
      <w:r w:rsidRPr="00154F1D">
        <w:t xml:space="preserve"> The Law Commission </w:t>
      </w:r>
      <w:r w:rsidR="00B575DD" w:rsidRPr="00154F1D">
        <w:t xml:space="preserve">of England and Wales </w:t>
      </w:r>
      <w:r w:rsidRPr="00154F1D">
        <w:t>also noted that it can be difficult to distinguish personality disorders from other mental illness</w:t>
      </w:r>
      <w:r w:rsidR="00250A9F" w:rsidRPr="00154F1D">
        <w:t>es</w:t>
      </w:r>
      <w:r w:rsidR="00196B29" w:rsidRPr="00154F1D">
        <w:t>.</w:t>
      </w:r>
      <w:r w:rsidRPr="00154F1D">
        <w:rPr>
          <w:rStyle w:val="FootnoteReference"/>
        </w:rPr>
        <w:footnoteReference w:id="509"/>
      </w:r>
      <w:r w:rsidRPr="00154F1D">
        <w:t xml:space="preserve"> </w:t>
      </w:r>
    </w:p>
    <w:p w14:paraId="172FE1EA" w14:textId="71ED9E2D" w:rsidR="000E57E9" w:rsidRPr="00154F1D" w:rsidRDefault="00B011C5" w:rsidP="00744FAA">
      <w:pPr>
        <w:pStyle w:val="NormalNumberedTextTLRI"/>
      </w:pPr>
      <w:r w:rsidRPr="00154F1D">
        <w:t xml:space="preserve">Instead of expressly including or excluding personality disorder, </w:t>
      </w:r>
      <w:r w:rsidR="004D54CA" w:rsidRPr="00154F1D">
        <w:t xml:space="preserve">as indicated at </w:t>
      </w:r>
      <w:r w:rsidR="00B65358" w:rsidRPr="00154F1D">
        <w:t>[7.5.28]</w:t>
      </w:r>
      <w:r w:rsidR="004D54CA" w:rsidRPr="00154F1D">
        <w:t xml:space="preserve">, </w:t>
      </w:r>
      <w:r w:rsidR="00BE4BE7" w:rsidRPr="00154F1D">
        <w:t>another approach which has been adopted is to neither expressly exclude or include personality disorders for the purposes of the insanity defence</w:t>
      </w:r>
      <w:r w:rsidR="00BA0E54" w:rsidRPr="00154F1D">
        <w:t xml:space="preserve">. This is also the approach in New Zealand, </w:t>
      </w:r>
      <w:r w:rsidR="00202A01">
        <w:t>where</w:t>
      </w:r>
      <w:r w:rsidR="00202A01" w:rsidRPr="00154F1D">
        <w:t xml:space="preserve"> </w:t>
      </w:r>
      <w:r w:rsidR="00BA0E54" w:rsidRPr="00154F1D">
        <w:t xml:space="preserve">the </w:t>
      </w:r>
      <w:r w:rsidR="00CE1F40" w:rsidRPr="00154F1D">
        <w:t>NZLC</w:t>
      </w:r>
      <w:r w:rsidR="00BA0E54" w:rsidRPr="00154F1D">
        <w:t xml:space="preserve"> </w:t>
      </w:r>
      <w:r w:rsidR="00202A01" w:rsidRPr="00154F1D">
        <w:t>recommend</w:t>
      </w:r>
      <w:r w:rsidR="00202A01">
        <w:t>ed</w:t>
      </w:r>
      <w:r w:rsidR="00202A01" w:rsidRPr="00154F1D">
        <w:t xml:space="preserve"> </w:t>
      </w:r>
      <w:r w:rsidR="00BA0E54" w:rsidRPr="00154F1D">
        <w:t>no change be made</w:t>
      </w:r>
      <w:r w:rsidRPr="00154F1D">
        <w:t xml:space="preserve"> to this position</w:t>
      </w:r>
      <w:r w:rsidR="00BA0E54" w:rsidRPr="00154F1D">
        <w:t>.</w:t>
      </w:r>
      <w:r w:rsidR="00BA0E54" w:rsidRPr="00154F1D">
        <w:rPr>
          <w:rStyle w:val="FootnoteReference"/>
        </w:rPr>
        <w:footnoteReference w:id="510"/>
      </w:r>
      <w:r w:rsidR="00BA0E54" w:rsidRPr="00154F1D">
        <w:t xml:space="preserve"> Similarly in South Australia</w:t>
      </w:r>
      <w:r w:rsidR="00D759FD" w:rsidRPr="00154F1D">
        <w:t>, Victoria</w:t>
      </w:r>
      <w:r w:rsidR="00BA0E54" w:rsidRPr="00154F1D">
        <w:t xml:space="preserve"> and the Western Australia, reviews of the </w:t>
      </w:r>
      <w:r w:rsidR="00D759FD" w:rsidRPr="00154F1D">
        <w:t>relevant</w:t>
      </w:r>
      <w:r w:rsidR="00BA0E54" w:rsidRPr="00154F1D">
        <w:t xml:space="preserve"> legislation recommended no change to </w:t>
      </w:r>
      <w:r w:rsidR="00D759FD" w:rsidRPr="00154F1D">
        <w:t xml:space="preserve">the approach </w:t>
      </w:r>
      <w:r w:rsidR="00250A9F" w:rsidRPr="00154F1D">
        <w:t xml:space="preserve">in those jurisdictions </w:t>
      </w:r>
      <w:r w:rsidR="00D759FD" w:rsidRPr="00154F1D">
        <w:t xml:space="preserve">to personality </w:t>
      </w:r>
      <w:r w:rsidR="00C4252E" w:rsidRPr="00154F1D">
        <w:t>disorders</w:t>
      </w:r>
      <w:r w:rsidR="00BA0E54" w:rsidRPr="00154F1D">
        <w:t>.</w:t>
      </w:r>
      <w:r w:rsidR="00BA0E54" w:rsidRPr="00154F1D">
        <w:rPr>
          <w:rStyle w:val="FootnoteReference"/>
        </w:rPr>
        <w:footnoteReference w:id="511"/>
      </w:r>
    </w:p>
    <w:p w14:paraId="4B3ACEA3" w14:textId="28219604" w:rsidR="00F978EF" w:rsidRPr="00154F1D" w:rsidRDefault="008B3F1F" w:rsidP="00744FAA">
      <w:pPr>
        <w:pStyle w:val="NormalNumberedTextTLRI"/>
        <w:rPr>
          <w:lang w:eastAsia="en-AU"/>
        </w:rPr>
      </w:pPr>
      <w:r w:rsidRPr="00154F1D">
        <w:rPr>
          <w:u w:val="single"/>
        </w:rPr>
        <w:t>Substance use</w:t>
      </w:r>
      <w:r w:rsidRPr="00154F1D">
        <w:t xml:space="preserve">. </w:t>
      </w:r>
      <w:r w:rsidR="0092151F" w:rsidRPr="00154F1D">
        <w:rPr>
          <w:lang w:eastAsia="en-AU"/>
        </w:rPr>
        <w:t xml:space="preserve">Currently, s 17(1) of the </w:t>
      </w:r>
      <w:r w:rsidR="0092151F" w:rsidRPr="00154F1D">
        <w:rPr>
          <w:rFonts w:ascii="TimesNewRomanPS" w:hAnsi="TimesNewRomanPS"/>
          <w:i/>
          <w:iCs/>
          <w:lang w:eastAsia="en-AU"/>
        </w:rPr>
        <w:t xml:space="preserve">Criminal Code </w:t>
      </w:r>
      <w:r w:rsidR="0092151F" w:rsidRPr="00154F1D">
        <w:rPr>
          <w:lang w:eastAsia="en-AU"/>
        </w:rPr>
        <w:t xml:space="preserve">(Tas) recognises that intoxication may bring an </w:t>
      </w:r>
      <w:r w:rsidR="00CD7AF9">
        <w:rPr>
          <w:lang w:eastAsia="en-AU"/>
        </w:rPr>
        <w:t>accused</w:t>
      </w:r>
      <w:r w:rsidR="00CD7AF9" w:rsidRPr="00154F1D">
        <w:rPr>
          <w:lang w:eastAsia="en-AU"/>
        </w:rPr>
        <w:t xml:space="preserve"> </w:t>
      </w:r>
      <w:r w:rsidR="0092151F" w:rsidRPr="00154F1D">
        <w:rPr>
          <w:lang w:eastAsia="en-AU"/>
        </w:rPr>
        <w:t xml:space="preserve">within the insanity rules contained in the </w:t>
      </w:r>
      <w:r w:rsidR="0092151F" w:rsidRPr="00154F1D">
        <w:rPr>
          <w:rFonts w:ascii="TimesNewRomanPS" w:hAnsi="TimesNewRomanPS"/>
          <w:i/>
          <w:iCs/>
          <w:lang w:eastAsia="en-AU"/>
        </w:rPr>
        <w:t xml:space="preserve">Criminal Code </w:t>
      </w:r>
      <w:r w:rsidR="0092151F" w:rsidRPr="00154F1D">
        <w:rPr>
          <w:lang w:eastAsia="en-AU"/>
        </w:rPr>
        <w:t xml:space="preserve">(Tas) s 16 if the accused’s intoxication has caused a disease of the mind. This is relatively uncontroversial. </w:t>
      </w:r>
      <w:r w:rsidR="00FD2681" w:rsidRPr="00154F1D">
        <w:rPr>
          <w:lang w:eastAsia="en-AU"/>
        </w:rPr>
        <w:t xml:space="preserve">It is also uncontroversial that a person who is </w:t>
      </w:r>
      <w:r w:rsidR="004D54CA" w:rsidRPr="00154F1D">
        <w:rPr>
          <w:lang w:eastAsia="en-AU"/>
        </w:rPr>
        <w:t xml:space="preserve">temporarily </w:t>
      </w:r>
      <w:r w:rsidR="00FD2681" w:rsidRPr="00154F1D">
        <w:rPr>
          <w:lang w:eastAsia="en-AU"/>
        </w:rPr>
        <w:t xml:space="preserve">intoxicated as a result of substance use should </w:t>
      </w:r>
      <w:r w:rsidR="004D54CA" w:rsidRPr="00154F1D">
        <w:rPr>
          <w:lang w:eastAsia="en-AU"/>
        </w:rPr>
        <w:t xml:space="preserve">rely </w:t>
      </w:r>
      <w:r w:rsidR="00FD2681" w:rsidRPr="00154F1D">
        <w:rPr>
          <w:lang w:eastAsia="en-AU"/>
        </w:rPr>
        <w:t xml:space="preserve">on the intoxication defence (and not </w:t>
      </w:r>
      <w:r w:rsidR="004D54CA" w:rsidRPr="00154F1D">
        <w:rPr>
          <w:lang w:eastAsia="en-AU"/>
        </w:rPr>
        <w:t xml:space="preserve">the defence of </w:t>
      </w:r>
      <w:r w:rsidR="00FD2681" w:rsidRPr="00154F1D">
        <w:rPr>
          <w:lang w:eastAsia="en-AU"/>
        </w:rPr>
        <w:t xml:space="preserve">insanity), </w:t>
      </w:r>
      <w:r w:rsidR="0092151F" w:rsidRPr="00154F1D">
        <w:rPr>
          <w:lang w:eastAsia="en-AU"/>
        </w:rPr>
        <w:t xml:space="preserve">However, </w:t>
      </w:r>
      <w:r w:rsidR="00FD2681" w:rsidRPr="00154F1D">
        <w:rPr>
          <w:lang w:eastAsia="en-AU"/>
        </w:rPr>
        <w:t xml:space="preserve">as </w:t>
      </w:r>
      <w:r w:rsidR="0092151F" w:rsidRPr="00154F1D">
        <w:rPr>
          <w:lang w:eastAsia="en-AU"/>
        </w:rPr>
        <w:t>t</w:t>
      </w:r>
      <w:r w:rsidR="00F978EF" w:rsidRPr="00154F1D">
        <w:rPr>
          <w:lang w:eastAsia="en-AU"/>
        </w:rPr>
        <w:t xml:space="preserve">he TLRI’s report on </w:t>
      </w:r>
      <w:r w:rsidR="004D54CA" w:rsidRPr="00154F1D">
        <w:rPr>
          <w:lang w:eastAsia="en-AU"/>
        </w:rPr>
        <w:t>self-defence</w:t>
      </w:r>
      <w:r w:rsidR="00F978EF" w:rsidRPr="00154F1D">
        <w:rPr>
          <w:lang w:eastAsia="en-AU"/>
        </w:rPr>
        <w:t xml:space="preserve"> </w:t>
      </w:r>
      <w:r w:rsidR="00250A9F" w:rsidRPr="00154F1D">
        <w:rPr>
          <w:lang w:eastAsia="en-AU"/>
        </w:rPr>
        <w:t>noted</w:t>
      </w:r>
      <w:r w:rsidR="00FD2681" w:rsidRPr="00154F1D">
        <w:rPr>
          <w:lang w:eastAsia="en-AU"/>
        </w:rPr>
        <w:t>,</w:t>
      </w:r>
      <w:r w:rsidR="00F978EF" w:rsidRPr="00154F1D">
        <w:rPr>
          <w:lang w:eastAsia="en-AU"/>
        </w:rPr>
        <w:t xml:space="preserve"> the</w:t>
      </w:r>
      <w:r w:rsidR="00FD2681" w:rsidRPr="00154F1D">
        <w:rPr>
          <w:lang w:eastAsia="en-AU"/>
        </w:rPr>
        <w:t>re are</w:t>
      </w:r>
      <w:r w:rsidR="00F978EF" w:rsidRPr="00154F1D">
        <w:rPr>
          <w:lang w:eastAsia="en-AU"/>
        </w:rPr>
        <w:t xml:space="preserve"> complexities </w:t>
      </w:r>
      <w:r w:rsidR="0092151F" w:rsidRPr="00154F1D">
        <w:rPr>
          <w:lang w:eastAsia="en-AU"/>
        </w:rPr>
        <w:t>that ar</w:t>
      </w:r>
      <w:r w:rsidR="00FD2681" w:rsidRPr="00154F1D">
        <w:rPr>
          <w:lang w:eastAsia="en-AU"/>
        </w:rPr>
        <w:t>i</w:t>
      </w:r>
      <w:r w:rsidR="0092151F" w:rsidRPr="00154F1D">
        <w:rPr>
          <w:lang w:eastAsia="en-AU"/>
        </w:rPr>
        <w:t xml:space="preserve">se </w:t>
      </w:r>
      <w:r w:rsidR="004D54CA" w:rsidRPr="00154F1D">
        <w:rPr>
          <w:lang w:eastAsia="en-AU"/>
        </w:rPr>
        <w:t>from</w:t>
      </w:r>
      <w:r w:rsidR="00F978EF" w:rsidRPr="00154F1D">
        <w:rPr>
          <w:lang w:eastAsia="en-AU"/>
        </w:rPr>
        <w:t xml:space="preserve"> the interaction of </w:t>
      </w:r>
      <w:r w:rsidR="004D54CA" w:rsidRPr="00154F1D">
        <w:rPr>
          <w:lang w:eastAsia="en-AU"/>
        </w:rPr>
        <w:t xml:space="preserve">the defences of </w:t>
      </w:r>
      <w:r w:rsidR="00F978EF" w:rsidRPr="00154F1D">
        <w:rPr>
          <w:lang w:eastAsia="en-AU"/>
        </w:rPr>
        <w:t xml:space="preserve">intoxication, insanity and self-defence in cases where a person experiences </w:t>
      </w:r>
      <w:r w:rsidR="004D54CA" w:rsidRPr="00154F1D">
        <w:rPr>
          <w:lang w:eastAsia="en-AU"/>
        </w:rPr>
        <w:t>substance related</w:t>
      </w:r>
      <w:r w:rsidR="00F978EF" w:rsidRPr="00154F1D">
        <w:rPr>
          <w:lang w:eastAsia="en-AU"/>
        </w:rPr>
        <w:t xml:space="preserve"> psychosis</w:t>
      </w:r>
      <w:r w:rsidR="0092151F" w:rsidRPr="00154F1D">
        <w:rPr>
          <w:lang w:eastAsia="en-AU"/>
        </w:rPr>
        <w:t>.</w:t>
      </w:r>
      <w:bookmarkStart w:id="164" w:name="_Ref535415553"/>
      <w:r w:rsidR="00BC2548" w:rsidRPr="00154F1D">
        <w:rPr>
          <w:rStyle w:val="FootnoteReference"/>
          <w:lang w:eastAsia="en-AU"/>
        </w:rPr>
        <w:footnoteReference w:id="512"/>
      </w:r>
      <w:bookmarkEnd w:id="164"/>
    </w:p>
    <w:p w14:paraId="62037E18" w14:textId="0EBC8C0C" w:rsidR="00FD2681" w:rsidRPr="00154F1D" w:rsidRDefault="00FD2681" w:rsidP="00744FAA">
      <w:pPr>
        <w:pStyle w:val="NormalNumberedTextTLRI"/>
        <w:rPr>
          <w:sz w:val="24"/>
          <w:lang w:eastAsia="en-AU"/>
        </w:rPr>
      </w:pPr>
      <w:r w:rsidRPr="00154F1D">
        <w:rPr>
          <w:lang w:eastAsia="en-AU"/>
        </w:rPr>
        <w:t>In Carroll</w:t>
      </w:r>
      <w:r w:rsidR="00BE4BE7" w:rsidRPr="00154F1D">
        <w:rPr>
          <w:lang w:eastAsia="en-AU"/>
        </w:rPr>
        <w:t xml:space="preserve"> et al</w:t>
      </w:r>
      <w:r w:rsidR="00D322B8" w:rsidRPr="00154F1D">
        <w:rPr>
          <w:lang w:eastAsia="en-AU"/>
        </w:rPr>
        <w:t>’</w:t>
      </w:r>
      <w:r w:rsidR="00BE4BE7" w:rsidRPr="00154F1D">
        <w:rPr>
          <w:lang w:eastAsia="en-AU"/>
        </w:rPr>
        <w:t>s</w:t>
      </w:r>
      <w:r w:rsidRPr="00154F1D">
        <w:rPr>
          <w:lang w:eastAsia="en-AU"/>
        </w:rPr>
        <w:t xml:space="preserve"> analysis of drug-associated psychosis and criminal responsibility, the authors have identified at least four ways in which drug-associated psychosis may arise: </w:t>
      </w:r>
    </w:p>
    <w:p w14:paraId="3B094586" w14:textId="52DA8FB8" w:rsidR="00FD2681" w:rsidRPr="00154F1D" w:rsidRDefault="00FD2681" w:rsidP="0087462D">
      <w:pPr>
        <w:pStyle w:val="DotPointTLRI"/>
        <w:numPr>
          <w:ilvl w:val="0"/>
          <w:numId w:val="0"/>
        </w:numPr>
        <w:ind w:left="851" w:hanging="425"/>
        <w:rPr>
          <w:sz w:val="24"/>
          <w:lang w:eastAsia="en-AU"/>
        </w:rPr>
      </w:pPr>
      <w:r w:rsidRPr="00154F1D">
        <w:rPr>
          <w:lang w:eastAsia="en-AU"/>
        </w:rPr>
        <w:t xml:space="preserve">(1) </w:t>
      </w:r>
      <w:r w:rsidR="0087462D" w:rsidRPr="00154F1D">
        <w:rPr>
          <w:lang w:eastAsia="en-AU"/>
        </w:rPr>
        <w:tab/>
      </w:r>
      <w:r w:rsidRPr="00154F1D">
        <w:rPr>
          <w:lang w:eastAsia="en-AU"/>
        </w:rPr>
        <w:t xml:space="preserve">a person may experience a drug induced psychotic episode that is part of an intoxication syndrome that resolves rapidly with the excretion of the drug from the body; </w:t>
      </w:r>
    </w:p>
    <w:p w14:paraId="6DBCF840" w14:textId="790883F5" w:rsidR="00FD2681" w:rsidRPr="00154F1D" w:rsidRDefault="00FD2681" w:rsidP="0087462D">
      <w:pPr>
        <w:pStyle w:val="DotPointTLRI"/>
        <w:numPr>
          <w:ilvl w:val="0"/>
          <w:numId w:val="0"/>
        </w:numPr>
        <w:ind w:left="851" w:hanging="425"/>
        <w:rPr>
          <w:sz w:val="24"/>
          <w:lang w:eastAsia="en-AU"/>
        </w:rPr>
      </w:pPr>
      <w:r w:rsidRPr="00154F1D">
        <w:rPr>
          <w:lang w:eastAsia="en-AU"/>
        </w:rPr>
        <w:t>(2)</w:t>
      </w:r>
      <w:r w:rsidR="0087462D" w:rsidRPr="00154F1D">
        <w:rPr>
          <w:lang w:eastAsia="en-AU"/>
        </w:rPr>
        <w:tab/>
      </w:r>
      <w:r w:rsidRPr="00154F1D">
        <w:rPr>
          <w:lang w:eastAsia="en-AU"/>
        </w:rPr>
        <w:t xml:space="preserve">a person may experience relatively short-lived psychotic symptomatology due to the direct psychological effects of an ingested substance and the symptoms may persist for a short period (days or weeks) after the excretion of the substance; </w:t>
      </w:r>
    </w:p>
    <w:p w14:paraId="058C8F89" w14:textId="49FC3E53" w:rsidR="00FD2681" w:rsidRPr="00154F1D" w:rsidRDefault="00FD2681" w:rsidP="0087462D">
      <w:pPr>
        <w:pStyle w:val="DotPointTLRI"/>
        <w:numPr>
          <w:ilvl w:val="0"/>
          <w:numId w:val="0"/>
        </w:numPr>
        <w:ind w:left="851" w:hanging="425"/>
        <w:rPr>
          <w:sz w:val="24"/>
          <w:lang w:eastAsia="en-AU"/>
        </w:rPr>
      </w:pPr>
      <w:r w:rsidRPr="00154F1D">
        <w:rPr>
          <w:lang w:eastAsia="en-AU"/>
        </w:rPr>
        <w:t>(3)</w:t>
      </w:r>
      <w:r w:rsidR="0087462D" w:rsidRPr="00154F1D">
        <w:rPr>
          <w:lang w:eastAsia="en-AU"/>
        </w:rPr>
        <w:tab/>
      </w:r>
      <w:r w:rsidRPr="00154F1D">
        <w:rPr>
          <w:lang w:eastAsia="en-AU"/>
        </w:rPr>
        <w:t xml:space="preserve">a person’s use of drugs may be associated with the development of a psychotic illness that then has an independent long-term existence; </w:t>
      </w:r>
    </w:p>
    <w:p w14:paraId="7C6B3DFA" w14:textId="0738E240" w:rsidR="00FD2681" w:rsidRPr="00154F1D" w:rsidRDefault="00FD2681" w:rsidP="0087462D">
      <w:pPr>
        <w:pStyle w:val="DotPointTLRI"/>
        <w:numPr>
          <w:ilvl w:val="0"/>
          <w:numId w:val="0"/>
        </w:numPr>
        <w:ind w:left="851" w:hanging="425"/>
        <w:rPr>
          <w:sz w:val="24"/>
          <w:lang w:eastAsia="en-AU"/>
        </w:rPr>
      </w:pPr>
      <w:r w:rsidRPr="00154F1D">
        <w:rPr>
          <w:lang w:eastAsia="en-AU"/>
        </w:rPr>
        <w:t>(4)</w:t>
      </w:r>
      <w:r w:rsidR="0087462D" w:rsidRPr="00154F1D">
        <w:rPr>
          <w:lang w:eastAsia="en-AU"/>
        </w:rPr>
        <w:tab/>
      </w:r>
      <w:r w:rsidRPr="00154F1D">
        <w:rPr>
          <w:lang w:eastAsia="en-AU"/>
        </w:rPr>
        <w:t>a person with an established psychotic illness may engage in substance abuse, which appears to precipitate psychotic relapses.</w:t>
      </w:r>
      <w:r w:rsidRPr="00154F1D">
        <w:rPr>
          <w:rStyle w:val="FootnoteReference"/>
          <w:lang w:eastAsia="en-AU"/>
        </w:rPr>
        <w:footnoteReference w:id="513"/>
      </w:r>
    </w:p>
    <w:p w14:paraId="5AC25E02" w14:textId="203E8AD6" w:rsidR="00405406" w:rsidRPr="00154F1D" w:rsidRDefault="00FD2681" w:rsidP="0087462D">
      <w:pPr>
        <w:pStyle w:val="NormalNumberedTextTLRI"/>
        <w:numPr>
          <w:ilvl w:val="0"/>
          <w:numId w:val="0"/>
        </w:numPr>
        <w:rPr>
          <w:rFonts w:ascii="TimesNewRomanPSMT" w:hAnsi="TimesNewRomanPSMT"/>
          <w:szCs w:val="22"/>
          <w:lang w:eastAsia="en-AU"/>
        </w:rPr>
      </w:pPr>
      <w:r w:rsidRPr="00154F1D">
        <w:rPr>
          <w:lang w:eastAsia="en-AU"/>
        </w:rPr>
        <w:t xml:space="preserve">As noted previously by the TLRI, currently in Tasmania </w:t>
      </w:r>
      <w:r w:rsidR="00091AF0">
        <w:rPr>
          <w:lang w:eastAsia="en-AU"/>
        </w:rPr>
        <w:t>defendants</w:t>
      </w:r>
      <w:r w:rsidR="00CD7AF9" w:rsidRPr="00154F1D">
        <w:rPr>
          <w:lang w:eastAsia="en-AU"/>
        </w:rPr>
        <w:t xml:space="preserve"> </w:t>
      </w:r>
      <w:r w:rsidRPr="00154F1D">
        <w:rPr>
          <w:lang w:eastAsia="en-AU"/>
        </w:rPr>
        <w:t>can rely on the insanity defence if they suffer from a disease of the mind caused by intoxication and this would encompass (3) and (4) where a person has an independent psychotic illness.</w:t>
      </w:r>
      <w:r w:rsidRPr="00154F1D">
        <w:rPr>
          <w:rStyle w:val="FootnoteReference"/>
          <w:lang w:eastAsia="en-AU"/>
        </w:rPr>
        <w:footnoteReference w:id="514"/>
      </w:r>
      <w:r w:rsidRPr="00154F1D">
        <w:rPr>
          <w:lang w:eastAsia="en-AU"/>
        </w:rPr>
        <w:t xml:space="preserve"> However, issue</w:t>
      </w:r>
      <w:r w:rsidR="004D54CA" w:rsidRPr="00154F1D">
        <w:rPr>
          <w:lang w:eastAsia="en-AU"/>
        </w:rPr>
        <w:t>s remain</w:t>
      </w:r>
      <w:r w:rsidRPr="00154F1D">
        <w:rPr>
          <w:lang w:eastAsia="en-AU"/>
        </w:rPr>
        <w:t xml:space="preserve"> as to the appropriateness of excluding an </w:t>
      </w:r>
      <w:r w:rsidR="00CD7AF9">
        <w:rPr>
          <w:lang w:eastAsia="en-AU"/>
        </w:rPr>
        <w:t>accused</w:t>
      </w:r>
      <w:r w:rsidR="00CD7AF9" w:rsidRPr="00154F1D">
        <w:rPr>
          <w:lang w:eastAsia="en-AU"/>
        </w:rPr>
        <w:t xml:space="preserve"> </w:t>
      </w:r>
      <w:r w:rsidRPr="00154F1D">
        <w:rPr>
          <w:lang w:eastAsia="en-AU"/>
        </w:rPr>
        <w:t xml:space="preserve">from the insanity defence where </w:t>
      </w:r>
      <w:r w:rsidR="00F400A4" w:rsidRPr="00154F1D">
        <w:rPr>
          <w:lang w:eastAsia="en-AU"/>
        </w:rPr>
        <w:t>his or her</w:t>
      </w:r>
      <w:r w:rsidRPr="00154F1D">
        <w:rPr>
          <w:lang w:eastAsia="en-AU"/>
        </w:rPr>
        <w:t xml:space="preserve"> psychosis is attributable to the intoxicating effects of the substance or short-term symptoms associated with drug use, (the states of minds in (1) and (2)) which may give rise to ‘temporary insanity’).</w:t>
      </w:r>
      <w:r w:rsidR="00BC2548" w:rsidRPr="00154F1D">
        <w:rPr>
          <w:rStyle w:val="FootnoteReference"/>
          <w:lang w:eastAsia="en-AU"/>
        </w:rPr>
        <w:footnoteReference w:id="515"/>
      </w:r>
    </w:p>
    <w:p w14:paraId="59CE1399" w14:textId="5A5C0A15" w:rsidR="009926C4" w:rsidRPr="00154F1D" w:rsidRDefault="009926C4" w:rsidP="00744FAA">
      <w:pPr>
        <w:pStyle w:val="NormalNumberedTextTLRI"/>
        <w:rPr>
          <w:sz w:val="24"/>
          <w:lang w:eastAsia="en-AU"/>
        </w:rPr>
      </w:pPr>
      <w:r w:rsidRPr="00154F1D">
        <w:rPr>
          <w:lang w:eastAsia="en-AU"/>
        </w:rPr>
        <w:t>The weight of commentary by academics</w:t>
      </w:r>
      <w:r w:rsidR="00405406" w:rsidRPr="00154F1D">
        <w:rPr>
          <w:lang w:eastAsia="en-AU"/>
        </w:rPr>
        <w:t xml:space="preserve"> and law reform bodies ha</w:t>
      </w:r>
      <w:r w:rsidR="004D54CA" w:rsidRPr="00154F1D">
        <w:rPr>
          <w:lang w:eastAsia="en-AU"/>
        </w:rPr>
        <w:t>s</w:t>
      </w:r>
      <w:r w:rsidR="00405406" w:rsidRPr="00154F1D">
        <w:rPr>
          <w:lang w:eastAsia="en-AU"/>
        </w:rPr>
        <w:t xml:space="preserve"> taken the view that the</w:t>
      </w:r>
      <w:r w:rsidRPr="00154F1D">
        <w:rPr>
          <w:lang w:eastAsia="en-AU"/>
        </w:rPr>
        <w:t>re should be a distinction between self-induced independent conditions resulting from substance use (which should be included in the definition of mental disorder) and the</w:t>
      </w:r>
      <w:r w:rsidR="00405406" w:rsidRPr="00154F1D">
        <w:rPr>
          <w:lang w:eastAsia="en-AU"/>
        </w:rPr>
        <w:t xml:space="preserve"> temporary effects of ingesting drugs </w:t>
      </w:r>
      <w:r w:rsidR="00581DE7" w:rsidRPr="00154F1D">
        <w:rPr>
          <w:lang w:eastAsia="en-AU"/>
        </w:rPr>
        <w:t xml:space="preserve">(which </w:t>
      </w:r>
      <w:r w:rsidR="00405406" w:rsidRPr="00154F1D">
        <w:rPr>
          <w:lang w:eastAsia="en-AU"/>
        </w:rPr>
        <w:t>should be excluded from the definition of mental disorder</w:t>
      </w:r>
      <w:r w:rsidR="00581DE7" w:rsidRPr="00154F1D">
        <w:rPr>
          <w:lang w:eastAsia="en-AU"/>
        </w:rPr>
        <w:t>)</w:t>
      </w:r>
      <w:r w:rsidR="00405406" w:rsidRPr="00154F1D">
        <w:rPr>
          <w:lang w:eastAsia="en-AU"/>
        </w:rPr>
        <w:t>.</w:t>
      </w:r>
      <w:r w:rsidR="00EB18E9" w:rsidRPr="00154F1D">
        <w:rPr>
          <w:rStyle w:val="FootnoteReference"/>
          <w:lang w:eastAsia="en-AU"/>
        </w:rPr>
        <w:footnoteReference w:id="516"/>
      </w:r>
      <w:r w:rsidR="00FE660D" w:rsidRPr="00154F1D">
        <w:t xml:space="preserve"> </w:t>
      </w:r>
      <w:r w:rsidRPr="00154F1D">
        <w:t>For example,</w:t>
      </w:r>
      <w:r w:rsidRPr="00154F1D">
        <w:rPr>
          <w:position w:val="10"/>
          <w:sz w:val="12"/>
          <w:szCs w:val="12"/>
          <w:lang w:eastAsia="en-AU"/>
        </w:rPr>
        <w:t xml:space="preserve"> </w:t>
      </w:r>
      <w:r w:rsidRPr="00154F1D">
        <w:t xml:space="preserve">in its review the NSWLRC recommended that ‘substance induced mental disorders’ be included within the definition of mental health impairment but that this should not include substance abuse disorders (addiction to substances) or the temporary effects of ingesting substances. It indicated that this approach would include within the definition of mental health impairment ongoing mental health impairments such a long-term drug induced psychiatric disorders </w:t>
      </w:r>
      <w:r w:rsidR="00F400A4" w:rsidRPr="00154F1D">
        <w:t>like</w:t>
      </w:r>
      <w:r w:rsidRPr="00154F1D">
        <w:t xml:space="preserve"> Korsakoff’s Syndrome and drug induced psychosis.</w:t>
      </w:r>
      <w:r w:rsidRPr="00154F1D">
        <w:rPr>
          <w:rStyle w:val="FootnoteReference"/>
        </w:rPr>
        <w:footnoteReference w:id="517"/>
      </w:r>
      <w:r w:rsidRPr="00154F1D">
        <w:t xml:space="preserve"> It stated that this was consistent with the common law and the exclusion of the ‘reaction of a healthy mind to extraordinary external stimuli, including psychoactive substances’ from the definition of ‘disease of the mind’.</w:t>
      </w:r>
      <w:r w:rsidRPr="00154F1D">
        <w:rPr>
          <w:rStyle w:val="FootnoteReference"/>
        </w:rPr>
        <w:footnoteReference w:id="518"/>
      </w:r>
      <w:r w:rsidRPr="00154F1D">
        <w:t xml:space="preserve"> This approach would appear to encompass (as with Tasmania) the states set out in (3) and (4) above within the definition of mental health impairment. However, it appears that a temporary drug induced psychosis (being the temporary effect of ingesting</w:t>
      </w:r>
      <w:r w:rsidR="00581DE7" w:rsidRPr="00154F1D">
        <w:t xml:space="preserve"> substances)</w:t>
      </w:r>
      <w:r w:rsidR="004D54CA" w:rsidRPr="00154F1D">
        <w:t xml:space="preserve"> would be excluded</w:t>
      </w:r>
      <w:r w:rsidR="00581DE7" w:rsidRPr="00154F1D">
        <w:t>.</w:t>
      </w:r>
    </w:p>
    <w:p w14:paraId="60B6ECD8" w14:textId="2F04042E" w:rsidR="009926C4" w:rsidRPr="00154F1D" w:rsidRDefault="009926C4" w:rsidP="00744FAA">
      <w:pPr>
        <w:pStyle w:val="NormalNumberedTextTLRI"/>
        <w:rPr>
          <w:sz w:val="24"/>
          <w:lang w:eastAsia="en-AU"/>
        </w:rPr>
      </w:pPr>
      <w:r w:rsidRPr="00154F1D">
        <w:t xml:space="preserve">In its consideration of the issue, the VLRC </w:t>
      </w:r>
      <w:r w:rsidR="00581DE7" w:rsidRPr="00154F1D">
        <w:t>also expressed the view that ‘self-induced conditions that result from the temporary effects of ingesting substances’ should be excluded from the definition of mental impairment. However, it considered that self-induced independent conditions that result from ingesting substances that persist after the drugs have left the person’s system should be included in the definition.</w:t>
      </w:r>
      <w:r w:rsidR="00B4028B" w:rsidRPr="00154F1D">
        <w:rPr>
          <w:rStyle w:val="FootnoteReference"/>
        </w:rPr>
        <w:footnoteReference w:id="519"/>
      </w:r>
      <w:r w:rsidR="00581DE7" w:rsidRPr="00154F1D">
        <w:t xml:space="preserve"> The VLRC acknowledged that </w:t>
      </w:r>
      <w:r w:rsidR="00581DE7" w:rsidRPr="00154F1D">
        <w:rPr>
          <w:lang w:eastAsia="en-AU"/>
        </w:rPr>
        <w:t xml:space="preserve">this distinction </w:t>
      </w:r>
      <w:r w:rsidR="004D54CA" w:rsidRPr="00154F1D">
        <w:rPr>
          <w:lang w:eastAsia="en-AU"/>
        </w:rPr>
        <w:t>would</w:t>
      </w:r>
      <w:r w:rsidR="00581DE7" w:rsidRPr="00154F1D">
        <w:rPr>
          <w:lang w:eastAsia="en-AU"/>
        </w:rPr>
        <w:t xml:space="preserve"> create considerabl</w:t>
      </w:r>
      <w:r w:rsidR="00F400A4" w:rsidRPr="00154F1D">
        <w:rPr>
          <w:lang w:eastAsia="en-AU"/>
        </w:rPr>
        <w:t>e</w:t>
      </w:r>
      <w:r w:rsidR="00581DE7" w:rsidRPr="00154F1D">
        <w:rPr>
          <w:lang w:eastAsia="en-AU"/>
        </w:rPr>
        <w:t xml:space="preserve"> practical difficulties for mental health experts</w:t>
      </w:r>
      <w:r w:rsidR="00B4028B" w:rsidRPr="00154F1D">
        <w:rPr>
          <w:lang w:eastAsia="en-AU"/>
        </w:rPr>
        <w:t xml:space="preserve"> in cases where it is difficult to determine whether the </w:t>
      </w:r>
      <w:r w:rsidR="0044239A" w:rsidRPr="00154F1D">
        <w:rPr>
          <w:lang w:eastAsia="en-AU"/>
        </w:rPr>
        <w:t>person</w:t>
      </w:r>
      <w:r w:rsidR="00B4028B" w:rsidRPr="00154F1D">
        <w:rPr>
          <w:lang w:eastAsia="en-AU"/>
        </w:rPr>
        <w:t xml:space="preserve"> was suffering from the temporary effects of su</w:t>
      </w:r>
      <w:r w:rsidR="0044239A" w:rsidRPr="00154F1D">
        <w:rPr>
          <w:lang w:eastAsia="en-AU"/>
        </w:rPr>
        <w:t>b</w:t>
      </w:r>
      <w:r w:rsidR="00B4028B" w:rsidRPr="00154F1D">
        <w:rPr>
          <w:lang w:eastAsia="en-AU"/>
        </w:rPr>
        <w:t>s</w:t>
      </w:r>
      <w:r w:rsidR="0044239A" w:rsidRPr="00154F1D">
        <w:rPr>
          <w:lang w:eastAsia="en-AU"/>
        </w:rPr>
        <w:t>tance use</w:t>
      </w:r>
      <w:r w:rsidR="00B4028B" w:rsidRPr="00154F1D">
        <w:rPr>
          <w:lang w:eastAsia="en-AU"/>
        </w:rPr>
        <w:t xml:space="preserve"> </w:t>
      </w:r>
      <w:r w:rsidR="0044239A" w:rsidRPr="00154F1D">
        <w:rPr>
          <w:lang w:eastAsia="en-AU"/>
        </w:rPr>
        <w:t>or</w:t>
      </w:r>
      <w:r w:rsidR="00B4028B" w:rsidRPr="00154F1D">
        <w:rPr>
          <w:lang w:eastAsia="en-AU"/>
        </w:rPr>
        <w:t xml:space="preserve"> a </w:t>
      </w:r>
      <w:r w:rsidR="0044239A" w:rsidRPr="00154F1D">
        <w:rPr>
          <w:lang w:eastAsia="en-AU"/>
        </w:rPr>
        <w:t>permanent</w:t>
      </w:r>
      <w:r w:rsidR="00B4028B" w:rsidRPr="00154F1D">
        <w:rPr>
          <w:lang w:eastAsia="en-AU"/>
        </w:rPr>
        <w:t xml:space="preserve"> </w:t>
      </w:r>
      <w:r w:rsidR="0044239A" w:rsidRPr="00154F1D">
        <w:rPr>
          <w:lang w:eastAsia="en-AU"/>
        </w:rPr>
        <w:t>condit</w:t>
      </w:r>
      <w:r w:rsidR="00B4028B" w:rsidRPr="00154F1D">
        <w:rPr>
          <w:lang w:eastAsia="en-AU"/>
        </w:rPr>
        <w:t>ion.</w:t>
      </w:r>
      <w:r w:rsidR="00B4028B" w:rsidRPr="00154F1D">
        <w:rPr>
          <w:rStyle w:val="FootnoteReference"/>
          <w:lang w:eastAsia="en-AU"/>
        </w:rPr>
        <w:footnoteReference w:id="520"/>
      </w:r>
      <w:r w:rsidR="0044239A" w:rsidRPr="00154F1D">
        <w:rPr>
          <w:lang w:eastAsia="en-AU"/>
        </w:rPr>
        <w:t xml:space="preserve"> For example,</w:t>
      </w:r>
      <w:r w:rsidR="00B4028B" w:rsidRPr="00154F1D">
        <w:rPr>
          <w:lang w:eastAsia="en-AU"/>
        </w:rPr>
        <w:t xml:space="preserve"> </w:t>
      </w:r>
      <w:r w:rsidR="0044239A" w:rsidRPr="00154F1D">
        <w:rPr>
          <w:lang w:eastAsia="en-AU"/>
        </w:rPr>
        <w:t>as Bourget has written, ‘it is not often possible to distinguish substance-induced psychosis from a first-episode psychosis in the context of a primary mental disorder due to the very high level of comorbidity.</w:t>
      </w:r>
      <w:r w:rsidR="003A7F6C" w:rsidRPr="00154F1D">
        <w:rPr>
          <w:lang w:eastAsia="en-AU"/>
        </w:rPr>
        <w:t>’</w:t>
      </w:r>
      <w:r w:rsidR="0044239A" w:rsidRPr="00154F1D">
        <w:rPr>
          <w:rStyle w:val="FootnoteReference"/>
          <w:lang w:eastAsia="en-AU"/>
        </w:rPr>
        <w:footnoteReference w:id="521"/>
      </w:r>
      <w:r w:rsidR="0044239A" w:rsidRPr="00154F1D">
        <w:rPr>
          <w:lang w:eastAsia="en-AU"/>
        </w:rPr>
        <w:t xml:space="preserve"> </w:t>
      </w:r>
      <w:r w:rsidR="004D54CA" w:rsidRPr="00154F1D">
        <w:rPr>
          <w:lang w:eastAsia="en-AU"/>
        </w:rPr>
        <w:t>Nevertheless</w:t>
      </w:r>
      <w:r w:rsidR="0044239A" w:rsidRPr="00154F1D">
        <w:rPr>
          <w:lang w:eastAsia="en-AU"/>
        </w:rPr>
        <w:t xml:space="preserve">, </w:t>
      </w:r>
      <w:r w:rsidR="000B71EB" w:rsidRPr="00154F1D">
        <w:rPr>
          <w:lang w:eastAsia="en-AU"/>
        </w:rPr>
        <w:t xml:space="preserve">her </w:t>
      </w:r>
      <w:r w:rsidR="0044239A" w:rsidRPr="00154F1D">
        <w:rPr>
          <w:lang w:eastAsia="en-AU"/>
        </w:rPr>
        <w:t xml:space="preserve">view was </w:t>
      </w:r>
      <w:r w:rsidR="00F400A4" w:rsidRPr="00154F1D">
        <w:rPr>
          <w:lang w:eastAsia="en-AU"/>
        </w:rPr>
        <w:t xml:space="preserve">that </w:t>
      </w:r>
      <w:r w:rsidR="0044239A" w:rsidRPr="00154F1D">
        <w:rPr>
          <w:lang w:eastAsia="en-AU"/>
        </w:rPr>
        <w:t xml:space="preserve">the distinction </w:t>
      </w:r>
      <w:r w:rsidR="00F400A4" w:rsidRPr="00154F1D">
        <w:rPr>
          <w:lang w:eastAsia="en-AU"/>
        </w:rPr>
        <w:t xml:space="preserve">is </w:t>
      </w:r>
      <w:r w:rsidR="0044239A" w:rsidRPr="00154F1D">
        <w:rPr>
          <w:lang w:eastAsia="en-AU"/>
        </w:rPr>
        <w:t xml:space="preserve">supported on sound public policy </w:t>
      </w:r>
      <w:r w:rsidR="00F400A4" w:rsidRPr="00154F1D">
        <w:rPr>
          <w:lang w:eastAsia="en-AU"/>
        </w:rPr>
        <w:t>grounds</w:t>
      </w:r>
      <w:r w:rsidR="0044239A" w:rsidRPr="00154F1D">
        <w:rPr>
          <w:lang w:eastAsia="en-AU"/>
        </w:rPr>
        <w:t>.</w:t>
      </w:r>
      <w:r w:rsidR="0044239A" w:rsidRPr="00154F1D">
        <w:rPr>
          <w:rStyle w:val="FootnoteReference"/>
          <w:lang w:eastAsia="en-AU"/>
        </w:rPr>
        <w:footnoteReference w:id="522"/>
      </w:r>
      <w:r w:rsidR="001435D8" w:rsidRPr="00154F1D">
        <w:rPr>
          <w:lang w:eastAsia="en-AU"/>
        </w:rPr>
        <w:t xml:space="preserve"> </w:t>
      </w:r>
    </w:p>
    <w:p w14:paraId="635C09A9" w14:textId="74DE38EA" w:rsidR="00691690" w:rsidRPr="00154F1D" w:rsidRDefault="001435D8" w:rsidP="00744FAA">
      <w:pPr>
        <w:pStyle w:val="NormalNumberedTextTLRI"/>
        <w:rPr>
          <w:sz w:val="24"/>
          <w:lang w:eastAsia="en-AU"/>
        </w:rPr>
      </w:pPr>
      <w:r w:rsidRPr="00154F1D">
        <w:rPr>
          <w:lang w:eastAsia="en-AU"/>
        </w:rPr>
        <w:t xml:space="preserve">The definition of ‘mental impairment’ in the </w:t>
      </w:r>
      <w:r w:rsidRPr="00154F1D">
        <w:rPr>
          <w:i/>
          <w:lang w:eastAsia="en-AU"/>
        </w:rPr>
        <w:t xml:space="preserve">Criminal Law Consolidation Act 1935 </w:t>
      </w:r>
      <w:r w:rsidRPr="00154F1D">
        <w:rPr>
          <w:lang w:eastAsia="en-AU"/>
        </w:rPr>
        <w:t>(SA) also excludes intoxication, which is defined as ‘a temporary disorder, abnormality or impairment of the mind that results from the consumption o</w:t>
      </w:r>
      <w:r w:rsidR="00F400A4" w:rsidRPr="00154F1D">
        <w:rPr>
          <w:lang w:eastAsia="en-AU"/>
        </w:rPr>
        <w:t>r</w:t>
      </w:r>
      <w:r w:rsidRPr="00154F1D">
        <w:rPr>
          <w:lang w:eastAsia="en-AU"/>
        </w:rPr>
        <w:t xml:space="preserve"> administration of intoxicants and will pass on metabolism or elimination of intoxicants from the body’.</w:t>
      </w:r>
      <w:r w:rsidRPr="00154F1D">
        <w:rPr>
          <w:rStyle w:val="FootnoteReference"/>
          <w:lang w:eastAsia="en-AU"/>
        </w:rPr>
        <w:footnoteReference w:id="523"/>
      </w:r>
      <w:r w:rsidR="001165F1" w:rsidRPr="00154F1D">
        <w:rPr>
          <w:lang w:eastAsia="en-AU"/>
        </w:rPr>
        <w:t xml:space="preserve"> </w:t>
      </w:r>
      <w:r w:rsidR="00015F66" w:rsidRPr="00154F1D">
        <w:rPr>
          <w:lang w:eastAsia="en-AU"/>
        </w:rPr>
        <w:t xml:space="preserve">This approach is similar to the approach recommended in New South Wales and </w:t>
      </w:r>
      <w:r w:rsidR="00435204" w:rsidRPr="00154F1D">
        <w:rPr>
          <w:lang w:eastAsia="en-AU"/>
        </w:rPr>
        <w:t>Victoria</w:t>
      </w:r>
      <w:r w:rsidR="00F400A4" w:rsidRPr="00154F1D">
        <w:rPr>
          <w:lang w:eastAsia="en-AU"/>
        </w:rPr>
        <w:t>.</w:t>
      </w:r>
      <w:r w:rsidR="00C6745B" w:rsidRPr="00154F1D">
        <w:rPr>
          <w:rStyle w:val="FootnoteReference"/>
          <w:lang w:eastAsia="en-AU"/>
        </w:rPr>
        <w:footnoteReference w:id="524"/>
      </w:r>
      <w:r w:rsidR="00015F66" w:rsidRPr="00154F1D">
        <w:rPr>
          <w:lang w:eastAsia="en-AU"/>
        </w:rPr>
        <w:t xml:space="preserve"> </w:t>
      </w:r>
      <w:r w:rsidR="00F400A4" w:rsidRPr="00154F1D">
        <w:rPr>
          <w:lang w:eastAsia="en-AU"/>
        </w:rPr>
        <w:t xml:space="preserve">Additionally, </w:t>
      </w:r>
      <w:r w:rsidR="00435204" w:rsidRPr="00154F1D">
        <w:rPr>
          <w:lang w:eastAsia="en-AU"/>
        </w:rPr>
        <w:t>t</w:t>
      </w:r>
      <w:r w:rsidR="001165F1" w:rsidRPr="00154F1D">
        <w:rPr>
          <w:lang w:eastAsia="en-AU"/>
        </w:rPr>
        <w:t xml:space="preserve">he review by the </w:t>
      </w:r>
      <w:r w:rsidR="00CD139F" w:rsidRPr="00154F1D">
        <w:t>Sentencing Advisory Council, South Australia</w:t>
      </w:r>
      <w:r w:rsidR="00CD139F" w:rsidRPr="00154F1D">
        <w:rPr>
          <w:lang w:eastAsia="en-AU"/>
        </w:rPr>
        <w:t xml:space="preserve"> (</w:t>
      </w:r>
      <w:r w:rsidR="001165F1" w:rsidRPr="00154F1D">
        <w:rPr>
          <w:lang w:eastAsia="en-AU"/>
        </w:rPr>
        <w:t>SASAC</w:t>
      </w:r>
      <w:r w:rsidR="00CD139F" w:rsidRPr="00154F1D">
        <w:rPr>
          <w:lang w:eastAsia="en-AU"/>
        </w:rPr>
        <w:t>)</w:t>
      </w:r>
      <w:r w:rsidR="001165F1" w:rsidRPr="00154F1D">
        <w:rPr>
          <w:lang w:eastAsia="en-AU"/>
        </w:rPr>
        <w:t xml:space="preserve"> concluded that the provisions of the legislation that set out the relationship between intoxication and mental impairment should be retained without amendment.</w:t>
      </w:r>
      <w:r w:rsidR="00435204" w:rsidRPr="00154F1D">
        <w:rPr>
          <w:rStyle w:val="FootnoteReference"/>
          <w:lang w:eastAsia="en-AU"/>
        </w:rPr>
        <w:footnoteReference w:id="525"/>
      </w:r>
      <w:r w:rsidR="00015F66" w:rsidRPr="00154F1D">
        <w:rPr>
          <w:lang w:eastAsia="en-AU"/>
        </w:rPr>
        <w:t xml:space="preserve"> </w:t>
      </w:r>
    </w:p>
    <w:p w14:paraId="55702947" w14:textId="77777777" w:rsidR="000F7A8D" w:rsidRPr="00154F1D" w:rsidRDefault="000F7A8D" w:rsidP="00621371">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b/>
        </w:rPr>
      </w:pPr>
      <w:bookmarkStart w:id="165" w:name="Q31"/>
      <w:r w:rsidRPr="00154F1D">
        <w:rPr>
          <w:b/>
        </w:rPr>
        <w:t>Questions</w:t>
      </w:r>
    </w:p>
    <w:bookmarkEnd w:id="165"/>
    <w:p w14:paraId="69F3F8D8" w14:textId="73521E4B" w:rsidR="00FA0C12" w:rsidRPr="00154F1D" w:rsidRDefault="00BE4BE7" w:rsidP="00621371">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31</w:t>
      </w:r>
      <w:r w:rsidR="00755B62" w:rsidRPr="00154F1D">
        <w:t>.</w:t>
      </w:r>
      <w:r w:rsidR="00621371" w:rsidRPr="00154F1D">
        <w:tab/>
      </w:r>
      <w:r w:rsidR="00FA0C12" w:rsidRPr="00154F1D">
        <w:t>Does the definition of ‘mental disease’ cause problems in practice?</w:t>
      </w:r>
    </w:p>
    <w:p w14:paraId="11D3F2A5" w14:textId="30611ECE" w:rsidR="000F7A8D" w:rsidRPr="00154F1D" w:rsidRDefault="00BE4BE7" w:rsidP="00621371">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32</w:t>
      </w:r>
      <w:r w:rsidR="00755B62" w:rsidRPr="00154F1D">
        <w:t>.</w:t>
      </w:r>
      <w:r w:rsidR="00621371" w:rsidRPr="00154F1D">
        <w:tab/>
      </w:r>
      <w:r w:rsidR="000F7A8D" w:rsidRPr="00154F1D">
        <w:t xml:space="preserve">Should the terminology in s 16 of the </w:t>
      </w:r>
      <w:r w:rsidR="000F7A8D" w:rsidRPr="00154F1D">
        <w:rPr>
          <w:i/>
        </w:rPr>
        <w:t>Criminal Code</w:t>
      </w:r>
      <w:r w:rsidR="000F7A8D" w:rsidRPr="00154F1D">
        <w:t xml:space="preserve"> (Tas) be changed to replace the terms ‘mental disease’ and ‘natural imbecility’? If so, what terminology should be used? </w:t>
      </w:r>
      <w:r w:rsidR="00FE4DF1" w:rsidRPr="00154F1D">
        <w:t xml:space="preserve">Should </w:t>
      </w:r>
      <w:r w:rsidR="00F400A4" w:rsidRPr="00154F1D">
        <w:t xml:space="preserve">s 16 </w:t>
      </w:r>
      <w:r w:rsidR="00FE4DF1" w:rsidRPr="00154F1D">
        <w:t xml:space="preserve">refer to mental health and cognitive impairments (as recommended in NSW)? Or mental impairment (as used in a majority of other jurisdictions)? </w:t>
      </w:r>
      <w:r w:rsidR="00BC2E3E" w:rsidRPr="00154F1D">
        <w:t xml:space="preserve">Or what </w:t>
      </w:r>
      <w:r w:rsidR="003E0699" w:rsidRPr="00154F1D">
        <w:t xml:space="preserve">other </w:t>
      </w:r>
      <w:r w:rsidR="00BC2E3E" w:rsidRPr="00154F1D">
        <w:t xml:space="preserve">terminology would you recommend </w:t>
      </w:r>
      <w:r w:rsidR="00F400A4" w:rsidRPr="00154F1D">
        <w:t>be used</w:t>
      </w:r>
      <w:r w:rsidR="00BC2E3E" w:rsidRPr="00154F1D">
        <w:t>?</w:t>
      </w:r>
      <w:r w:rsidR="00FE4DF1" w:rsidRPr="00154F1D">
        <w:t xml:space="preserve"> </w:t>
      </w:r>
    </w:p>
    <w:p w14:paraId="37415D40" w14:textId="18E78C8C" w:rsidR="00BC2E3E" w:rsidRPr="00154F1D" w:rsidRDefault="00BE4BE7" w:rsidP="00621371">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33</w:t>
      </w:r>
      <w:r w:rsidR="00755B62" w:rsidRPr="00154F1D">
        <w:t>.</w:t>
      </w:r>
      <w:r w:rsidR="00621371" w:rsidRPr="00154F1D">
        <w:tab/>
      </w:r>
      <w:r w:rsidR="00755B62" w:rsidRPr="00154F1D">
        <w:t>S</w:t>
      </w:r>
      <w:r w:rsidR="000F7A8D" w:rsidRPr="00154F1D">
        <w:t xml:space="preserve">hould there be a </w:t>
      </w:r>
      <w:r w:rsidR="00FE4DF1" w:rsidRPr="00154F1D">
        <w:t xml:space="preserve">statutory </w:t>
      </w:r>
      <w:r w:rsidR="000F7A8D" w:rsidRPr="00154F1D">
        <w:t xml:space="preserve">definition </w:t>
      </w:r>
      <w:r w:rsidR="00BC2E3E" w:rsidRPr="00154F1D">
        <w:t xml:space="preserve">of the terms used? </w:t>
      </w:r>
    </w:p>
    <w:p w14:paraId="1718FC1E" w14:textId="060783D2" w:rsidR="00BC2E3E" w:rsidRPr="00154F1D" w:rsidRDefault="00BE4BE7" w:rsidP="00621371">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34</w:t>
      </w:r>
      <w:r w:rsidR="00755B62" w:rsidRPr="00154F1D">
        <w:t>.</w:t>
      </w:r>
      <w:r w:rsidR="00621371" w:rsidRPr="00154F1D">
        <w:tab/>
      </w:r>
      <w:r w:rsidR="00BC2E3E" w:rsidRPr="00154F1D">
        <w:t xml:space="preserve">If so, should this be a definition that defines mental impairment to include all or any of the following: mental illness, intellectual disability, cognitive impairment, senility, dementia? </w:t>
      </w:r>
    </w:p>
    <w:p w14:paraId="75A4AED8" w14:textId="7EBE9038" w:rsidR="009D4C4E" w:rsidRPr="00154F1D" w:rsidRDefault="00BE4BE7" w:rsidP="00621371">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35</w:t>
      </w:r>
      <w:r w:rsidR="009D4C4E" w:rsidRPr="00154F1D">
        <w:t>.</w:t>
      </w:r>
      <w:r w:rsidR="00621371" w:rsidRPr="00154F1D">
        <w:tab/>
      </w:r>
      <w:r w:rsidR="009D4C4E" w:rsidRPr="00154F1D">
        <w:t>Should the definition of mental impairment include some or all personality disorders or expressly exclude some or all personality disorders</w:t>
      </w:r>
      <w:r w:rsidR="00B23948">
        <w:t>,</w:t>
      </w:r>
      <w:r w:rsidR="009D4C4E" w:rsidRPr="00154F1D">
        <w:t xml:space="preserve"> or should the definition not speci</w:t>
      </w:r>
      <w:r w:rsidR="00D94122" w:rsidRPr="00154F1D">
        <w:t>fic</w:t>
      </w:r>
      <w:r w:rsidR="009D4C4E" w:rsidRPr="00154F1D">
        <w:t>ally refer to personality disorders? If the definition of mental impairment is to distinguish between personality disorders, which should be included or excluded from the scope of s 16?</w:t>
      </w:r>
    </w:p>
    <w:p w14:paraId="617FA328" w14:textId="0D1DABEA" w:rsidR="00BC2E3E" w:rsidRPr="00154F1D" w:rsidRDefault="00BE4BE7" w:rsidP="00621371">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36</w:t>
      </w:r>
      <w:r w:rsidR="00755B62" w:rsidRPr="00154F1D">
        <w:t>.</w:t>
      </w:r>
      <w:r w:rsidR="00621371" w:rsidRPr="00154F1D">
        <w:tab/>
      </w:r>
      <w:r w:rsidR="009D4C4E" w:rsidRPr="00154F1D">
        <w:t>S</w:t>
      </w:r>
      <w:r w:rsidR="00BC2E3E" w:rsidRPr="00154F1D">
        <w:t>hould there be a definition</w:t>
      </w:r>
      <w:r w:rsidR="003E0699" w:rsidRPr="00154F1D">
        <w:t>,</w:t>
      </w:r>
      <w:r w:rsidR="00BC2E3E" w:rsidRPr="00154F1D">
        <w:t xml:space="preserve"> such as </w:t>
      </w:r>
      <w:r w:rsidR="00D94122" w:rsidRPr="00154F1D">
        <w:t xml:space="preserve">is </w:t>
      </w:r>
      <w:r w:rsidR="00BC2E3E" w:rsidRPr="00154F1D">
        <w:t>recommended in New South Wales</w:t>
      </w:r>
      <w:r w:rsidR="00621371" w:rsidRPr="00154F1D">
        <w:t>,</w:t>
      </w:r>
      <w:r w:rsidR="008B3F1F" w:rsidRPr="00154F1D">
        <w:t xml:space="preserve"> that separates mental health impairment and cognitive impairment? If so, should the New South Wales definition be adopted?</w:t>
      </w:r>
    </w:p>
    <w:p w14:paraId="0B106B94" w14:textId="35B26667" w:rsidR="000F7A8D" w:rsidRPr="00154F1D" w:rsidRDefault="00BE4BE7" w:rsidP="00621371">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37</w:t>
      </w:r>
      <w:r w:rsidR="00755B62" w:rsidRPr="00154F1D">
        <w:t>.</w:t>
      </w:r>
      <w:r w:rsidR="00621371" w:rsidRPr="00154F1D">
        <w:tab/>
      </w:r>
      <w:r w:rsidR="00BC2E3E" w:rsidRPr="00154F1D">
        <w:t>Should mental illness be defined, and if so</w:t>
      </w:r>
      <w:r w:rsidR="00621371" w:rsidRPr="00154F1D">
        <w:t>,</w:t>
      </w:r>
      <w:r w:rsidR="00BC2E3E" w:rsidRPr="00154F1D">
        <w:t xml:space="preserve"> how?</w:t>
      </w:r>
    </w:p>
    <w:p w14:paraId="5E8D97A8" w14:textId="1D2C2C54" w:rsidR="008B3F1F" w:rsidRPr="00154F1D" w:rsidRDefault="00BE4BE7" w:rsidP="00621371">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bookmarkStart w:id="166" w:name="Q38"/>
      <w:r w:rsidRPr="00154F1D">
        <w:t>38</w:t>
      </w:r>
      <w:r w:rsidR="00755B62" w:rsidRPr="00154F1D">
        <w:t>.</w:t>
      </w:r>
      <w:r w:rsidR="00621371" w:rsidRPr="00154F1D">
        <w:tab/>
      </w:r>
      <w:r w:rsidR="008B3F1F" w:rsidRPr="00154F1D">
        <w:t xml:space="preserve">Should </w:t>
      </w:r>
      <w:bookmarkEnd w:id="166"/>
      <w:r w:rsidR="008B3F1F" w:rsidRPr="00154F1D">
        <w:t>cognitive impairment be defined</w:t>
      </w:r>
      <w:r w:rsidR="00621371" w:rsidRPr="00154F1D">
        <w:t>,</w:t>
      </w:r>
      <w:r w:rsidR="008B3F1F" w:rsidRPr="00154F1D">
        <w:t xml:space="preserve"> and if so</w:t>
      </w:r>
      <w:r w:rsidR="00621371" w:rsidRPr="00154F1D">
        <w:t>,</w:t>
      </w:r>
      <w:r w:rsidR="008B3F1F" w:rsidRPr="00154F1D">
        <w:t xml:space="preserve"> how?</w:t>
      </w:r>
    </w:p>
    <w:p w14:paraId="69E18FD8" w14:textId="194B4E1A" w:rsidR="00FE4DF1" w:rsidRPr="00154F1D" w:rsidRDefault="00BE4BE7" w:rsidP="00621371">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39</w:t>
      </w:r>
      <w:r w:rsidR="00755B62" w:rsidRPr="00154F1D">
        <w:t>.</w:t>
      </w:r>
      <w:r w:rsidR="00621371" w:rsidRPr="00154F1D">
        <w:tab/>
      </w:r>
      <w:r w:rsidR="00416C2F" w:rsidRPr="00154F1D">
        <w:t>How should</w:t>
      </w:r>
      <w:r w:rsidR="00FE4DF1" w:rsidRPr="00154F1D">
        <w:t xml:space="preserve"> drug induced psychosis</w:t>
      </w:r>
      <w:r w:rsidR="00416C2F" w:rsidRPr="00154F1D">
        <w:t xml:space="preserve"> be treated within the insanity defence</w:t>
      </w:r>
      <w:r w:rsidR="00FE4DF1" w:rsidRPr="00154F1D">
        <w:t>?</w:t>
      </w:r>
      <w:r w:rsidR="0044239A" w:rsidRPr="00154F1D">
        <w:t xml:space="preserve"> Should a distinction be made between </w:t>
      </w:r>
      <w:r w:rsidR="00435204" w:rsidRPr="00154F1D">
        <w:t xml:space="preserve">psychosis arising from </w:t>
      </w:r>
      <w:r w:rsidR="0044239A" w:rsidRPr="00154F1D">
        <w:t xml:space="preserve">the temporary effects of drug use and </w:t>
      </w:r>
      <w:r w:rsidR="00435204" w:rsidRPr="00154F1D">
        <w:t>mental health impairments</w:t>
      </w:r>
      <w:r w:rsidR="0044239A" w:rsidRPr="00154F1D">
        <w:t xml:space="preserve"> resulting from drug use (as recommended </w:t>
      </w:r>
      <w:r w:rsidRPr="00154F1D">
        <w:t xml:space="preserve">in </w:t>
      </w:r>
      <w:r w:rsidR="0044239A" w:rsidRPr="00154F1D">
        <w:t>NSW and Victoria</w:t>
      </w:r>
      <w:r w:rsidR="00057386" w:rsidRPr="00154F1D">
        <w:t>)</w:t>
      </w:r>
      <w:r w:rsidR="0044239A" w:rsidRPr="00154F1D">
        <w:t>?</w:t>
      </w:r>
    </w:p>
    <w:p w14:paraId="1856E6DC" w14:textId="1019D833" w:rsidR="00A17742" w:rsidRPr="00154F1D" w:rsidRDefault="00897AB2" w:rsidP="00744FAA">
      <w:pPr>
        <w:pStyle w:val="NormalNumberedTextTLRI"/>
      </w:pPr>
      <w:r w:rsidRPr="00154F1D">
        <w:rPr>
          <w:u w:val="single"/>
        </w:rPr>
        <w:t>Narrow scope of incapacities</w:t>
      </w:r>
      <w:r w:rsidRPr="00154F1D">
        <w:t>. It</w:t>
      </w:r>
      <w:r w:rsidR="001948C7" w:rsidRPr="00154F1D">
        <w:t xml:space="preserve"> has been argued that some ‘persons with medical conditions whom we would regard as insane are outside the scope of the defence</w:t>
      </w:r>
      <w:r w:rsidR="003E0699" w:rsidRPr="00154F1D">
        <w:t>’</w:t>
      </w:r>
      <w:r w:rsidR="001948C7" w:rsidRPr="00154F1D">
        <w:t>.</w:t>
      </w:r>
      <w:r w:rsidR="001948C7" w:rsidRPr="00154F1D">
        <w:rPr>
          <w:rStyle w:val="FootnoteReference"/>
        </w:rPr>
        <w:footnoteReference w:id="526"/>
      </w:r>
      <w:r w:rsidR="001948C7" w:rsidRPr="00154F1D">
        <w:t xml:space="preserve"> This is because of the very narrow interpretation of </w:t>
      </w:r>
      <w:r w:rsidR="00A17742" w:rsidRPr="00154F1D">
        <w:t xml:space="preserve">the relevant incapacities </w:t>
      </w:r>
      <w:r w:rsidR="00A61B86" w:rsidRPr="00154F1D">
        <w:t xml:space="preserve">set out in </w:t>
      </w:r>
      <w:r w:rsidR="007E3D5F" w:rsidRPr="00154F1D">
        <w:t>the insanity defence</w:t>
      </w:r>
      <w:r w:rsidR="003E0699" w:rsidRPr="00154F1D">
        <w:t>.</w:t>
      </w:r>
      <w:r w:rsidR="00A61B86" w:rsidRPr="00154F1D">
        <w:t xml:space="preserve"> </w:t>
      </w:r>
      <w:r w:rsidR="007E3D5F" w:rsidRPr="00154F1D">
        <w:t xml:space="preserve">As noted at </w:t>
      </w:r>
      <w:r w:rsidR="002E3EE0" w:rsidRPr="00154F1D">
        <w:t>[7.3.11</w:t>
      </w:r>
      <w:r w:rsidR="00E87175" w:rsidRPr="00154F1D">
        <w:t>]</w:t>
      </w:r>
      <w:r w:rsidR="007E3D5F" w:rsidRPr="00154F1D">
        <w:t>,</w:t>
      </w:r>
      <w:r w:rsidR="00A17742" w:rsidRPr="00154F1D">
        <w:t xml:space="preserve"> </w:t>
      </w:r>
      <w:r w:rsidR="007E3D5F" w:rsidRPr="00154F1D">
        <w:t>the first limb of the insanity defence</w:t>
      </w:r>
      <w:r w:rsidR="00A17742" w:rsidRPr="00154F1D">
        <w:t xml:space="preserve"> </w:t>
      </w:r>
      <w:r w:rsidR="007E3D5F" w:rsidRPr="00154F1D">
        <w:t xml:space="preserve">(that the person does understand the physical character of their act) is </w:t>
      </w:r>
      <w:r w:rsidR="00A17742" w:rsidRPr="00154F1D">
        <w:t xml:space="preserve">very rarely used because of </w:t>
      </w:r>
      <w:r w:rsidR="007E3D5F" w:rsidRPr="00154F1D">
        <w:t xml:space="preserve">its </w:t>
      </w:r>
      <w:r w:rsidR="00A17742" w:rsidRPr="00154F1D">
        <w:t xml:space="preserve">narrow interpretation. </w:t>
      </w:r>
      <w:r w:rsidR="008C4FD0" w:rsidRPr="00154F1D">
        <w:t>The Law Commission</w:t>
      </w:r>
      <w:r w:rsidR="003E0699" w:rsidRPr="00154F1D">
        <w:t xml:space="preserve"> of England and Wales</w:t>
      </w:r>
      <w:r w:rsidR="008C4FD0" w:rsidRPr="00154F1D">
        <w:t xml:space="preserve"> has observed that it is very rare for a person not to know the nature and quality of his or her actions in a physical sense </w:t>
      </w:r>
      <w:r w:rsidR="008810EB" w:rsidRPr="00154F1D">
        <w:t xml:space="preserve">(as distinct from the moral aspects of their conduct) </w:t>
      </w:r>
      <w:r w:rsidR="008C4FD0" w:rsidRPr="00154F1D">
        <w:t xml:space="preserve">and that, </w:t>
      </w:r>
      <w:r w:rsidR="008810EB" w:rsidRPr="00154F1D">
        <w:t>further</w:t>
      </w:r>
      <w:r w:rsidR="008C4FD0" w:rsidRPr="00154F1D">
        <w:t xml:space="preserve">, its ‘exclusive focus </w:t>
      </w:r>
      <w:r w:rsidR="008810EB" w:rsidRPr="00154F1D">
        <w:t>on cognitive questions excludes other sorts of problems in the functioning of minds and brains, such as mood disorders or emotional problems’.</w:t>
      </w:r>
      <w:r w:rsidR="008810EB" w:rsidRPr="00154F1D">
        <w:rPr>
          <w:rStyle w:val="FootnoteReference"/>
        </w:rPr>
        <w:footnoteReference w:id="527"/>
      </w:r>
      <w:r w:rsidR="008810EB" w:rsidRPr="00154F1D">
        <w:t xml:space="preserve"> The limited utility of this </w:t>
      </w:r>
      <w:r w:rsidR="003E0699" w:rsidRPr="00154F1D">
        <w:t xml:space="preserve">limb of the insanity defence </w:t>
      </w:r>
      <w:r w:rsidR="008810EB" w:rsidRPr="00154F1D">
        <w:t>has also been noted by other legal commentators</w:t>
      </w:r>
      <w:r w:rsidR="00E65B4A" w:rsidRPr="00154F1D">
        <w:t>.</w:t>
      </w:r>
      <w:r w:rsidR="005B3F85" w:rsidRPr="00154F1D">
        <w:rPr>
          <w:rStyle w:val="FootnoteReference"/>
        </w:rPr>
        <w:footnoteReference w:id="528"/>
      </w:r>
    </w:p>
    <w:p w14:paraId="517283FB" w14:textId="0710A8A0" w:rsidR="00081C6E" w:rsidRPr="00154F1D" w:rsidRDefault="00677471" w:rsidP="00744FAA">
      <w:pPr>
        <w:pStyle w:val="NormalNumberedTextTLRI"/>
      </w:pPr>
      <w:r w:rsidRPr="00154F1D">
        <w:t xml:space="preserve">In addition, in Tasmania the tests are focussed on </w:t>
      </w:r>
      <w:r w:rsidR="00C7053A" w:rsidRPr="00154F1D">
        <w:t>people</w:t>
      </w:r>
      <w:r w:rsidRPr="00154F1D">
        <w:t>’s ‘capacity’</w:t>
      </w:r>
      <w:r w:rsidR="00E25379" w:rsidRPr="00154F1D">
        <w:t xml:space="preserve"> </w:t>
      </w:r>
      <w:r w:rsidRPr="00154F1D">
        <w:t>to know or understand rather than their actual knowledge or understanding. This is also the position in Queensland and Western Australia.</w:t>
      </w:r>
      <w:r w:rsidRPr="00154F1D">
        <w:rPr>
          <w:rStyle w:val="FootnoteReference"/>
        </w:rPr>
        <w:footnoteReference w:id="529"/>
      </w:r>
      <w:r w:rsidRPr="00154F1D">
        <w:t xml:space="preserve"> </w:t>
      </w:r>
      <w:r w:rsidR="006B2D21" w:rsidRPr="00154F1D">
        <w:t>The NSWLRC has observed that capacity test</w:t>
      </w:r>
      <w:r w:rsidR="003E0699" w:rsidRPr="00154F1D">
        <w:t>s</w:t>
      </w:r>
      <w:r w:rsidR="006B2D21" w:rsidRPr="00154F1D">
        <w:t xml:space="preserve"> may create problems ‘because a person with a mental illness may have capacity at one time but not </w:t>
      </w:r>
      <w:r w:rsidR="00C7053A" w:rsidRPr="00154F1D">
        <w:t xml:space="preserve">at </w:t>
      </w:r>
      <w:r w:rsidR="006B2D21" w:rsidRPr="00154F1D">
        <w:t>another, or may have capacity to understand some things but not others’.</w:t>
      </w:r>
      <w:r w:rsidR="006B2D21" w:rsidRPr="00154F1D">
        <w:rPr>
          <w:rStyle w:val="FootnoteReference"/>
        </w:rPr>
        <w:footnoteReference w:id="530"/>
      </w:r>
      <w:r w:rsidR="006B2D21" w:rsidRPr="00154F1D">
        <w:t xml:space="preserve"> </w:t>
      </w:r>
      <w:r w:rsidRPr="00154F1D">
        <w:t>In contrast, in other jurisdictions, the test is whether the accused knew the nature or quality of the condu</w:t>
      </w:r>
      <w:r w:rsidR="00314FC6" w:rsidRPr="00154F1D">
        <w:t>c</w:t>
      </w:r>
      <w:r w:rsidRPr="00154F1D">
        <w:t>t or that the conduct was wrong.</w:t>
      </w:r>
      <w:r w:rsidRPr="00154F1D">
        <w:rPr>
          <w:rStyle w:val="FootnoteReference"/>
        </w:rPr>
        <w:footnoteReference w:id="531"/>
      </w:r>
      <w:r w:rsidR="000A697B" w:rsidRPr="00154F1D">
        <w:t xml:space="preserve"> </w:t>
      </w:r>
      <w:r w:rsidR="00081C6E" w:rsidRPr="00154F1D">
        <w:t>Yeo has written</w:t>
      </w:r>
      <w:r w:rsidR="00336F26" w:rsidRPr="00154F1D">
        <w:t xml:space="preserve"> that</w:t>
      </w:r>
      <w:r w:rsidR="003E0699" w:rsidRPr="00154F1D">
        <w:t>:</w:t>
      </w:r>
    </w:p>
    <w:p w14:paraId="3450D1FE" w14:textId="0B784ACD" w:rsidR="00081C6E" w:rsidRPr="00154F1D" w:rsidRDefault="00081C6E" w:rsidP="0074267A">
      <w:pPr>
        <w:pStyle w:val="QuoteTLRI"/>
        <w:rPr>
          <w:lang w:val="en-US"/>
        </w:rPr>
      </w:pPr>
      <w:r w:rsidRPr="00154F1D">
        <w:rPr>
          <w:lang w:val="en-US"/>
        </w:rPr>
        <w:t>The element of incapacity is narrower than lack of</w:t>
      </w:r>
      <w:r w:rsidR="00955922" w:rsidRPr="00154F1D">
        <w:rPr>
          <w:lang w:val="en-US"/>
        </w:rPr>
        <w:t xml:space="preserve"> </w:t>
      </w:r>
      <w:r w:rsidRPr="00154F1D">
        <w:rPr>
          <w:lang w:val="en-US"/>
        </w:rPr>
        <w:t>knowledge because it is possible for a person to generally possess the cognitive capacity to know the</w:t>
      </w:r>
      <w:r w:rsidR="00955922" w:rsidRPr="00154F1D">
        <w:rPr>
          <w:lang w:val="en-US"/>
        </w:rPr>
        <w:t xml:space="preserve"> </w:t>
      </w:r>
      <w:r w:rsidRPr="00154F1D">
        <w:rPr>
          <w:lang w:val="en-US"/>
        </w:rPr>
        <w:t>nature of his or her act or that it was wrong, but not to have known of it at the time when the crime</w:t>
      </w:r>
      <w:r w:rsidR="00955922" w:rsidRPr="00154F1D">
        <w:rPr>
          <w:lang w:val="en-US"/>
        </w:rPr>
        <w:t xml:space="preserve"> </w:t>
      </w:r>
      <w:r w:rsidRPr="00154F1D">
        <w:rPr>
          <w:lang w:val="en-US"/>
        </w:rPr>
        <w:t>was committed.</w:t>
      </w:r>
      <w:r w:rsidR="00955922" w:rsidRPr="00154F1D">
        <w:rPr>
          <w:rStyle w:val="FootnoteReference"/>
          <w:rFonts w:eastAsiaTheme="minorEastAsia"/>
          <w:lang w:val="en-US"/>
        </w:rPr>
        <w:footnoteReference w:id="532"/>
      </w:r>
    </w:p>
    <w:p w14:paraId="0F570817" w14:textId="6C97B8A3" w:rsidR="00955922" w:rsidRPr="00154F1D" w:rsidRDefault="00081C6E" w:rsidP="00336F26">
      <w:pPr>
        <w:pStyle w:val="NormalNumberedTextTLRI"/>
        <w:numPr>
          <w:ilvl w:val="0"/>
          <w:numId w:val="0"/>
        </w:numPr>
      </w:pPr>
      <w:r w:rsidRPr="00154F1D">
        <w:t xml:space="preserve">Yeo suggests that courts have taken a </w:t>
      </w:r>
      <w:r w:rsidR="00955922" w:rsidRPr="00154F1D">
        <w:t>pragmatic</w:t>
      </w:r>
      <w:r w:rsidRPr="00154F1D">
        <w:t xml:space="preserve"> approach to the issue</w:t>
      </w:r>
      <w:r w:rsidR="00955922" w:rsidRPr="00154F1D">
        <w:t xml:space="preserve"> and avoided applying an overly restrictive approach to ‘incapacity’</w:t>
      </w:r>
      <w:r w:rsidRPr="00154F1D">
        <w:t>, but has expressed the view that</w:t>
      </w:r>
      <w:r w:rsidR="00955922" w:rsidRPr="00154F1D">
        <w:t>:</w:t>
      </w:r>
    </w:p>
    <w:p w14:paraId="19FEF378" w14:textId="1C27F372" w:rsidR="00955922" w:rsidRPr="00154F1D" w:rsidRDefault="00955922" w:rsidP="0074267A">
      <w:pPr>
        <w:pStyle w:val="QuoteTLRI"/>
        <w:rPr>
          <w:lang w:val="en-US"/>
        </w:rPr>
      </w:pPr>
      <w:r w:rsidRPr="00154F1D">
        <w:rPr>
          <w:lang w:val="en-US"/>
        </w:rPr>
        <w:t>Ideally, however, the word “incapacity” should be avoided so as to enable the defence to succeed so long as the accused was dispossessed of the relevant mental faculty at the time of the offence, even if he or she might have possessed such a faculty on other occasions.</w:t>
      </w:r>
    </w:p>
    <w:p w14:paraId="4AA36684" w14:textId="3C1FDE75" w:rsidR="00E25379" w:rsidRPr="00154F1D" w:rsidRDefault="00955922" w:rsidP="00336F26">
      <w:pPr>
        <w:pStyle w:val="NormalNumberedTextTLRI"/>
        <w:numPr>
          <w:ilvl w:val="0"/>
          <w:numId w:val="0"/>
        </w:numPr>
      </w:pPr>
      <w:r w:rsidRPr="00154F1D">
        <w:t xml:space="preserve">However, the </w:t>
      </w:r>
      <w:r w:rsidR="00057386" w:rsidRPr="00154F1D">
        <w:t xml:space="preserve">precise difference between ‘capacity’ and ‘knowledge’ is unclear. For example, the </w:t>
      </w:r>
      <w:r w:rsidRPr="00154F1D">
        <w:t xml:space="preserve">VLRC has written that ‘there is some contention over whether a </w:t>
      </w:r>
      <w:r w:rsidR="009B6B0C">
        <w:t>“</w:t>
      </w:r>
      <w:r w:rsidRPr="00154F1D">
        <w:t>knowledge</w:t>
      </w:r>
      <w:r w:rsidR="009B6B0C">
        <w:t>”</w:t>
      </w:r>
      <w:r w:rsidRPr="00154F1D">
        <w:t xml:space="preserve"> or </w:t>
      </w:r>
      <w:r w:rsidR="009B6B0C">
        <w:t>“</w:t>
      </w:r>
      <w:r w:rsidRPr="00154F1D">
        <w:t>capacity</w:t>
      </w:r>
      <w:r w:rsidR="009B6B0C">
        <w:t>”</w:t>
      </w:r>
      <w:r w:rsidRPr="00154F1D">
        <w:t xml:space="preserve"> approach is more </w:t>
      </w:r>
      <w:r w:rsidRPr="00154F1D">
        <w:rPr>
          <w:rFonts w:eastAsiaTheme="minorEastAsia"/>
          <w:sz w:val="21"/>
          <w:szCs w:val="21"/>
          <w:lang w:val="en-US" w:eastAsia="ja-JP"/>
        </w:rPr>
        <w:t>restrictive’.</w:t>
      </w:r>
      <w:r w:rsidRPr="00154F1D">
        <w:rPr>
          <w:rStyle w:val="FootnoteReference"/>
          <w:rFonts w:eastAsiaTheme="minorEastAsia"/>
          <w:szCs w:val="21"/>
          <w:lang w:val="en-US" w:eastAsia="ja-JP"/>
        </w:rPr>
        <w:footnoteReference w:id="533"/>
      </w:r>
    </w:p>
    <w:p w14:paraId="60A1371A" w14:textId="0917E037" w:rsidR="006171C6" w:rsidRPr="00154F1D" w:rsidRDefault="00955922" w:rsidP="00744FAA">
      <w:pPr>
        <w:pStyle w:val="NormalNumberedTextTLRI"/>
      </w:pPr>
      <w:r w:rsidRPr="00154F1D">
        <w:t xml:space="preserve">As indicated, there is </w:t>
      </w:r>
      <w:r w:rsidR="006171C6" w:rsidRPr="00154F1D">
        <w:t xml:space="preserve">also </w:t>
      </w:r>
      <w:r w:rsidRPr="00154F1D">
        <w:t xml:space="preserve">uncertainty about whether an understanding of the physical character of the act relates just to </w:t>
      </w:r>
      <w:r w:rsidR="00BE2524" w:rsidRPr="00154F1D">
        <w:rPr>
          <w:lang w:eastAsia="en-AU"/>
        </w:rPr>
        <w:t xml:space="preserve">physical character of the act </w:t>
      </w:r>
      <w:r w:rsidRPr="00154F1D">
        <w:rPr>
          <w:lang w:eastAsia="en-AU"/>
        </w:rPr>
        <w:t>or</w:t>
      </w:r>
      <w:r w:rsidR="00BE2524" w:rsidRPr="00154F1D">
        <w:rPr>
          <w:lang w:eastAsia="en-AU"/>
        </w:rPr>
        <w:t xml:space="preserve"> </w:t>
      </w:r>
      <w:r w:rsidRPr="00154F1D">
        <w:rPr>
          <w:lang w:eastAsia="en-AU"/>
        </w:rPr>
        <w:t>whether it extends to</w:t>
      </w:r>
      <w:r w:rsidR="00BE2524" w:rsidRPr="00154F1D">
        <w:rPr>
          <w:lang w:eastAsia="en-AU"/>
        </w:rPr>
        <w:t xml:space="preserve"> </w:t>
      </w:r>
      <w:r w:rsidR="006171C6" w:rsidRPr="00154F1D">
        <w:rPr>
          <w:lang w:eastAsia="en-AU"/>
        </w:rPr>
        <w:t>‘</w:t>
      </w:r>
      <w:r w:rsidR="00BE2524" w:rsidRPr="00154F1D">
        <w:rPr>
          <w:lang w:eastAsia="en-AU"/>
        </w:rPr>
        <w:t>the capacity to know and understa</w:t>
      </w:r>
      <w:r w:rsidR="006171C6" w:rsidRPr="00154F1D">
        <w:rPr>
          <w:lang w:eastAsia="en-AU"/>
        </w:rPr>
        <w:t xml:space="preserve">nd the significance of the act’ </w:t>
      </w:r>
      <w:r w:rsidR="00BE2524" w:rsidRPr="00154F1D">
        <w:rPr>
          <w:lang w:eastAsia="en-AU"/>
        </w:rPr>
        <w:t xml:space="preserve">or </w:t>
      </w:r>
      <w:r w:rsidR="006171C6" w:rsidRPr="00154F1D">
        <w:rPr>
          <w:lang w:eastAsia="en-AU"/>
        </w:rPr>
        <w:t>the ‘consequences of the act’</w:t>
      </w:r>
      <w:r w:rsidR="00BE2524" w:rsidRPr="00154F1D">
        <w:rPr>
          <w:lang w:eastAsia="en-AU"/>
        </w:rPr>
        <w:t>.</w:t>
      </w:r>
      <w:bookmarkStart w:id="167" w:name="_Ref535488329"/>
      <w:r w:rsidR="006171C6" w:rsidRPr="00154F1D">
        <w:rPr>
          <w:rStyle w:val="FootnoteReference"/>
          <w:lang w:eastAsia="en-AU"/>
        </w:rPr>
        <w:footnoteReference w:id="534"/>
      </w:r>
      <w:bookmarkEnd w:id="167"/>
      <w:r w:rsidR="00BE2524" w:rsidRPr="00154F1D">
        <w:rPr>
          <w:position w:val="8"/>
          <w:sz w:val="12"/>
          <w:szCs w:val="12"/>
          <w:lang w:eastAsia="en-AU"/>
        </w:rPr>
        <w:t xml:space="preserve"> </w:t>
      </w:r>
      <w:r w:rsidRPr="00154F1D">
        <w:t>Allnutt</w:t>
      </w:r>
      <w:r w:rsidR="008413B1" w:rsidRPr="00154F1D">
        <w:t>,</w:t>
      </w:r>
      <w:r w:rsidRPr="00154F1D">
        <w:t xml:space="preserve"> </w:t>
      </w:r>
      <w:r w:rsidR="008413B1" w:rsidRPr="00154F1D">
        <w:t>Samuels and O’Drisco</w:t>
      </w:r>
      <w:r w:rsidR="00557311" w:rsidRPr="00154F1D">
        <w:t>ll</w:t>
      </w:r>
      <w:r w:rsidR="008413B1" w:rsidRPr="00154F1D" w:rsidDel="008413B1">
        <w:t xml:space="preserve"> </w:t>
      </w:r>
      <w:r w:rsidRPr="00154F1D">
        <w:t>have suggested that the broader view (for example</w:t>
      </w:r>
      <w:r w:rsidR="003E0699" w:rsidRPr="00154F1D">
        <w:t>,</w:t>
      </w:r>
      <w:r w:rsidRPr="00154F1D">
        <w:t xml:space="preserve"> that </w:t>
      </w:r>
      <w:r w:rsidR="006171C6" w:rsidRPr="00154F1D">
        <w:t xml:space="preserve">would </w:t>
      </w:r>
      <w:r w:rsidRPr="00154F1D">
        <w:t>require</w:t>
      </w:r>
      <w:r w:rsidR="006171C6" w:rsidRPr="00154F1D">
        <w:t xml:space="preserve"> </w:t>
      </w:r>
      <w:r w:rsidRPr="00154F1D">
        <w:t xml:space="preserve">an understanding that a </w:t>
      </w:r>
      <w:r w:rsidR="006171C6" w:rsidRPr="00154F1D">
        <w:t xml:space="preserve">stabbing </w:t>
      </w:r>
      <w:r w:rsidR="003E0699" w:rsidRPr="00154F1D">
        <w:rPr>
          <w:lang w:eastAsia="en-AU"/>
        </w:rPr>
        <w:t>could result in death</w:t>
      </w:r>
      <w:r w:rsidR="006171C6" w:rsidRPr="00154F1D">
        <w:rPr>
          <w:lang w:eastAsia="en-AU"/>
        </w:rPr>
        <w:t xml:space="preserve">) is </w:t>
      </w:r>
      <w:r w:rsidR="00BE2524" w:rsidRPr="00154F1D">
        <w:rPr>
          <w:lang w:eastAsia="en-AU"/>
        </w:rPr>
        <w:t xml:space="preserve">reflected in the Queensland and WA </w:t>
      </w:r>
      <w:r w:rsidR="00D32D80" w:rsidRPr="00154F1D">
        <w:rPr>
          <w:lang w:eastAsia="en-AU"/>
        </w:rPr>
        <w:t>c</w:t>
      </w:r>
      <w:r w:rsidR="00BE2524" w:rsidRPr="00154F1D">
        <w:rPr>
          <w:lang w:eastAsia="en-AU"/>
        </w:rPr>
        <w:t>rimi</w:t>
      </w:r>
      <w:r w:rsidR="006171C6" w:rsidRPr="00154F1D">
        <w:rPr>
          <w:lang w:eastAsia="en-AU"/>
        </w:rPr>
        <w:t xml:space="preserve">nal </w:t>
      </w:r>
      <w:r w:rsidR="00D32D80" w:rsidRPr="00154F1D">
        <w:rPr>
          <w:lang w:eastAsia="en-AU"/>
        </w:rPr>
        <w:t>c</w:t>
      </w:r>
      <w:r w:rsidR="006171C6" w:rsidRPr="00154F1D">
        <w:rPr>
          <w:lang w:eastAsia="en-AU"/>
        </w:rPr>
        <w:t>odes, which refer to the ‘</w:t>
      </w:r>
      <w:r w:rsidR="00BE2524" w:rsidRPr="00154F1D">
        <w:rPr>
          <w:lang w:eastAsia="en-AU"/>
        </w:rPr>
        <w:t>capacity to unders</w:t>
      </w:r>
      <w:r w:rsidR="006171C6" w:rsidRPr="00154F1D">
        <w:rPr>
          <w:lang w:eastAsia="en-AU"/>
        </w:rPr>
        <w:t>tand what the accused is doing’.</w:t>
      </w:r>
      <w:r w:rsidR="006171C6" w:rsidRPr="00154F1D">
        <w:rPr>
          <w:rStyle w:val="FootnoteReference"/>
          <w:lang w:eastAsia="en-AU"/>
        </w:rPr>
        <w:footnoteReference w:id="535"/>
      </w:r>
      <w:r w:rsidR="00BE2524" w:rsidRPr="00154F1D">
        <w:rPr>
          <w:lang w:eastAsia="en-AU"/>
        </w:rPr>
        <w:t xml:space="preserve"> </w:t>
      </w:r>
    </w:p>
    <w:p w14:paraId="6916C6F2" w14:textId="6B88FB3C" w:rsidR="003938B2" w:rsidRPr="00154F1D" w:rsidRDefault="003938B2" w:rsidP="00744FAA">
      <w:pPr>
        <w:pStyle w:val="NormalNumberedTextTLRI"/>
      </w:pPr>
      <w:r w:rsidRPr="00154F1D">
        <w:t>In relation to the requirement that the person not have the capacity to know that the act was one which he or she ought not do or make contained in s 16(1)(a)(i)</w:t>
      </w:r>
      <w:r w:rsidR="003E0699" w:rsidRPr="00154F1D">
        <w:t>, the Tasmanian approach has been to adopt the common law interpretation</w:t>
      </w:r>
      <w:r w:rsidRPr="00154F1D">
        <w:t>.</w:t>
      </w:r>
      <w:r w:rsidR="003E0699" w:rsidRPr="00154F1D">
        <w:rPr>
          <w:rStyle w:val="FootnoteReference"/>
        </w:rPr>
        <w:footnoteReference w:id="536"/>
      </w:r>
      <w:r w:rsidR="003E0699" w:rsidRPr="00154F1D">
        <w:t xml:space="preserve"> This</w:t>
      </w:r>
      <w:r w:rsidRPr="00154F1D">
        <w:t xml:space="preserve"> interpretation has been widely accepted and adopted in legislation in other jurisdictions.</w:t>
      </w:r>
      <w:r w:rsidRPr="00154F1D">
        <w:rPr>
          <w:rStyle w:val="FootnoteReference"/>
        </w:rPr>
        <w:footnoteReference w:id="537"/>
      </w:r>
      <w:r w:rsidRPr="00154F1D">
        <w:t xml:space="preserve"> As indicated, this is the limb of the insanity defence most commonly relied upon</w:t>
      </w:r>
      <w:r w:rsidR="003E0699" w:rsidRPr="00154F1D">
        <w:t xml:space="preserve"> in Tasmania (and other jurisdictions)</w:t>
      </w:r>
      <w:r w:rsidR="00C7053A" w:rsidRPr="00154F1D">
        <w:t>.</w:t>
      </w:r>
      <w:r w:rsidRPr="00154F1D">
        <w:t xml:space="preserve"> </w:t>
      </w:r>
      <w:r w:rsidR="00C7053A" w:rsidRPr="00154F1D">
        <w:t xml:space="preserve">However, </w:t>
      </w:r>
      <w:r w:rsidRPr="00154F1D">
        <w:t>the TLRI seek</w:t>
      </w:r>
      <w:r w:rsidR="00C7053A" w:rsidRPr="00154F1D">
        <w:t>s</w:t>
      </w:r>
      <w:r w:rsidRPr="00154F1D">
        <w:t xml:space="preserve"> feedback in relation to whether this requirement causes any difficulties in practice.</w:t>
      </w:r>
    </w:p>
    <w:p w14:paraId="71C456E5" w14:textId="3F9FBECD" w:rsidR="006171C6" w:rsidRPr="00154F1D" w:rsidRDefault="006171C6" w:rsidP="00156169">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b/>
          <w:lang w:eastAsia="en-AU"/>
        </w:rPr>
      </w:pPr>
      <w:bookmarkStart w:id="168" w:name="Q40"/>
      <w:r w:rsidRPr="00154F1D">
        <w:rPr>
          <w:b/>
          <w:lang w:eastAsia="en-AU"/>
        </w:rPr>
        <w:t>Question</w:t>
      </w:r>
      <w:r w:rsidR="003938B2" w:rsidRPr="00154F1D">
        <w:rPr>
          <w:b/>
          <w:lang w:eastAsia="en-AU"/>
        </w:rPr>
        <w:t>s</w:t>
      </w:r>
    </w:p>
    <w:bookmarkEnd w:id="168"/>
    <w:p w14:paraId="2011976E" w14:textId="2CE95861" w:rsidR="00FA0C12" w:rsidRPr="00154F1D" w:rsidRDefault="00BE4BE7" w:rsidP="00156169">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40</w:t>
      </w:r>
      <w:r w:rsidR="00755B62" w:rsidRPr="00154F1D">
        <w:t>.</w:t>
      </w:r>
      <w:r w:rsidR="00156169" w:rsidRPr="00154F1D">
        <w:tab/>
      </w:r>
      <w:r w:rsidR="00FA0C12" w:rsidRPr="00154F1D">
        <w:t xml:space="preserve">Does the narrow interpretation of the </w:t>
      </w:r>
      <w:r w:rsidR="00D767EA" w:rsidRPr="00154F1D">
        <w:t>‘incapacity’ and/or the physical character of the act</w:t>
      </w:r>
      <w:r w:rsidR="00FA0C12" w:rsidRPr="00154F1D">
        <w:t xml:space="preserve"> </w:t>
      </w:r>
      <w:r w:rsidR="00D767EA" w:rsidRPr="00154F1D">
        <w:t xml:space="preserve">contained in the </w:t>
      </w:r>
      <w:r w:rsidR="00D767EA" w:rsidRPr="00154F1D">
        <w:rPr>
          <w:i/>
        </w:rPr>
        <w:t xml:space="preserve">Criminal Code </w:t>
      </w:r>
      <w:r w:rsidR="00D767EA" w:rsidRPr="00154F1D">
        <w:t>(Tas) s 16(1)(a)</w:t>
      </w:r>
      <w:r w:rsidR="003938B2" w:rsidRPr="00154F1D">
        <w:t>(i)</w:t>
      </w:r>
      <w:r w:rsidR="00D767EA" w:rsidRPr="00154F1D">
        <w:t xml:space="preserve"> </w:t>
      </w:r>
      <w:r w:rsidR="00FA0C12" w:rsidRPr="00154F1D">
        <w:t xml:space="preserve">cause </w:t>
      </w:r>
      <w:r w:rsidR="00D767EA" w:rsidRPr="00154F1D">
        <w:t xml:space="preserve">any </w:t>
      </w:r>
      <w:r w:rsidR="00FA0C12" w:rsidRPr="00154F1D">
        <w:t>problems in practice?</w:t>
      </w:r>
    </w:p>
    <w:p w14:paraId="047D27C8" w14:textId="0EF03B63" w:rsidR="003938B2" w:rsidRPr="00154F1D" w:rsidRDefault="00156169" w:rsidP="00156169">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4</w:t>
      </w:r>
      <w:r w:rsidR="00BE4BE7" w:rsidRPr="00154F1D">
        <w:t>1</w:t>
      </w:r>
      <w:r w:rsidR="00755B62" w:rsidRPr="00154F1D">
        <w:t>.</w:t>
      </w:r>
      <w:r w:rsidRPr="00154F1D">
        <w:tab/>
      </w:r>
      <w:r w:rsidR="003938B2" w:rsidRPr="00154F1D">
        <w:t xml:space="preserve">Does the requirement to establish that the </w:t>
      </w:r>
      <w:r w:rsidR="00EB02C1" w:rsidRPr="00154F1D">
        <w:t>person</w:t>
      </w:r>
      <w:r w:rsidR="003938B2" w:rsidRPr="00154F1D">
        <w:t xml:space="preserve"> was incapable of knowing that the act was one which he or she ought not do or make contained in the </w:t>
      </w:r>
      <w:r w:rsidR="003938B2" w:rsidRPr="00154F1D">
        <w:rPr>
          <w:i/>
        </w:rPr>
        <w:t xml:space="preserve">Criminal Code </w:t>
      </w:r>
      <w:r w:rsidR="003938B2" w:rsidRPr="00154F1D">
        <w:t>(Tas) s</w:t>
      </w:r>
      <w:r w:rsidR="00F3345B" w:rsidRPr="00154F1D">
        <w:t> </w:t>
      </w:r>
      <w:r w:rsidR="003938B2" w:rsidRPr="00154F1D">
        <w:t>16(1)(a)(ii) cause any problems in practice?</w:t>
      </w:r>
    </w:p>
    <w:p w14:paraId="2B76A58E" w14:textId="3122F6A5" w:rsidR="00D767EA" w:rsidRPr="00154F1D" w:rsidRDefault="00156169" w:rsidP="00156169">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4</w:t>
      </w:r>
      <w:r w:rsidR="00BE4BE7" w:rsidRPr="00154F1D">
        <w:t>2</w:t>
      </w:r>
      <w:r w:rsidR="00755B62" w:rsidRPr="00154F1D">
        <w:t>.</w:t>
      </w:r>
      <w:r w:rsidRPr="00154F1D">
        <w:tab/>
      </w:r>
      <w:r w:rsidR="00D767EA" w:rsidRPr="00154F1D">
        <w:t xml:space="preserve">Do you consider that there should be any change made to the qualifying conditions for the defence of insanity contained in the </w:t>
      </w:r>
      <w:r w:rsidR="00D767EA" w:rsidRPr="00154F1D">
        <w:rPr>
          <w:i/>
        </w:rPr>
        <w:t xml:space="preserve">Criminal Code </w:t>
      </w:r>
      <w:r w:rsidR="00D767EA" w:rsidRPr="00154F1D">
        <w:t>(Tas) s 16(1)(a)?</w:t>
      </w:r>
    </w:p>
    <w:p w14:paraId="054D96DB" w14:textId="527D8EF9" w:rsidR="00092EE9" w:rsidRPr="00154F1D" w:rsidRDefault="00897AB2" w:rsidP="00744FAA">
      <w:pPr>
        <w:pStyle w:val="NormalNumberedTextTLRI"/>
      </w:pPr>
      <w:r w:rsidRPr="00154F1D">
        <w:rPr>
          <w:u w:val="single"/>
        </w:rPr>
        <w:t>Irresistible impulse</w:t>
      </w:r>
      <w:r w:rsidRPr="00154F1D">
        <w:t xml:space="preserve">. </w:t>
      </w:r>
      <w:r w:rsidR="00A17742" w:rsidRPr="00154F1D">
        <w:t xml:space="preserve">Concerns have also been raised </w:t>
      </w:r>
      <w:r w:rsidR="00A61B86" w:rsidRPr="00154F1D">
        <w:t>in relation to the ‘</w:t>
      </w:r>
      <w:r w:rsidR="001C664F" w:rsidRPr="00154F1D">
        <w:t>irresistible</w:t>
      </w:r>
      <w:r w:rsidR="00A61B86" w:rsidRPr="00154F1D">
        <w:t xml:space="preserve"> impulse’ limb of the </w:t>
      </w:r>
      <w:r w:rsidR="001C664F" w:rsidRPr="00154F1D">
        <w:t>insanity</w:t>
      </w:r>
      <w:r w:rsidR="005545C9" w:rsidRPr="00154F1D">
        <w:t xml:space="preserve"> defence</w:t>
      </w:r>
      <w:r w:rsidR="003938B2" w:rsidRPr="00154F1D">
        <w:t xml:space="preserve">, as contained in the </w:t>
      </w:r>
      <w:r w:rsidR="003938B2" w:rsidRPr="00154F1D">
        <w:rPr>
          <w:i/>
        </w:rPr>
        <w:t xml:space="preserve">Criminal Code </w:t>
      </w:r>
      <w:r w:rsidR="003938B2" w:rsidRPr="00154F1D">
        <w:t>(Tas) s 16(1)(b)</w:t>
      </w:r>
      <w:r w:rsidR="00A61B86" w:rsidRPr="00154F1D">
        <w:t xml:space="preserve">. </w:t>
      </w:r>
      <w:r w:rsidR="00092EE9" w:rsidRPr="00154F1D">
        <w:t>This has been described as the ‘most controversial’ aspect of the insanity defence because:</w:t>
      </w:r>
    </w:p>
    <w:p w14:paraId="5506ECDA" w14:textId="1C3BD058" w:rsidR="00092EE9" w:rsidRPr="00154F1D" w:rsidRDefault="00092EE9" w:rsidP="0074267A">
      <w:pPr>
        <w:pStyle w:val="QuoteTLRI"/>
      </w:pPr>
      <w:r w:rsidRPr="00154F1D">
        <w:t xml:space="preserve">it is difficult to determine objectively whether or not the action is the consequence of </w:t>
      </w:r>
      <w:r w:rsidR="005F368F">
        <w:t>“</w:t>
      </w:r>
      <w:r w:rsidRPr="00154F1D">
        <w:t>an irresistible impulse or an impulse not resisted</w:t>
      </w:r>
      <w:r w:rsidR="005F368F">
        <w:t>”</w:t>
      </w:r>
      <w:r w:rsidRPr="00154F1D">
        <w:t>, that is, whether or not the person was genuinely incapable of controlling the behaviour or whether or not he or she chose not to inhibit the behaviour.</w:t>
      </w:r>
      <w:r w:rsidRPr="00154F1D">
        <w:rPr>
          <w:rStyle w:val="FootnoteReference"/>
        </w:rPr>
        <w:footnoteReference w:id="538"/>
      </w:r>
      <w:r w:rsidRPr="00154F1D">
        <w:t xml:space="preserve"> </w:t>
      </w:r>
    </w:p>
    <w:p w14:paraId="19F208B9" w14:textId="0A45A64B" w:rsidR="001948C7" w:rsidRPr="00154F1D" w:rsidRDefault="00753F38" w:rsidP="00A02937">
      <w:pPr>
        <w:pStyle w:val="NormalNumberedTextTLRI"/>
        <w:numPr>
          <w:ilvl w:val="0"/>
          <w:numId w:val="0"/>
        </w:numPr>
      </w:pPr>
      <w:r w:rsidRPr="00154F1D">
        <w:t xml:space="preserve">In addition to the difficulty of determining whether an </w:t>
      </w:r>
      <w:r w:rsidR="00CD7AF9">
        <w:t>accused</w:t>
      </w:r>
      <w:r w:rsidR="00CD7AF9" w:rsidRPr="00154F1D">
        <w:t xml:space="preserve"> </w:t>
      </w:r>
      <w:r w:rsidRPr="00154F1D">
        <w:t xml:space="preserve">was unable or unwilling to resist the impulse, Bronitt and McSherry criticise the ‘volitional’ limb as being contradictory to modern psychology </w:t>
      </w:r>
      <w:r w:rsidR="003070D1" w:rsidRPr="00154F1D">
        <w:t>as</w:t>
      </w:r>
      <w:r w:rsidRPr="00154F1D">
        <w:t xml:space="preserve"> it requires the separation of cognition and action: it ‘assume[s] that a person can know what he or she is </w:t>
      </w:r>
      <w:r w:rsidR="00C7053A" w:rsidRPr="00154F1D">
        <w:t>d</w:t>
      </w:r>
      <w:r w:rsidRPr="00154F1D">
        <w:t>oing is wrong, yet be unable to control his or her actions</w:t>
      </w:r>
      <w:r w:rsidR="003070D1" w:rsidRPr="00154F1D">
        <w:t>’.</w:t>
      </w:r>
      <w:r w:rsidR="003070D1" w:rsidRPr="00154F1D">
        <w:rPr>
          <w:rStyle w:val="FootnoteReference"/>
        </w:rPr>
        <w:footnoteReference w:id="539"/>
      </w:r>
      <w:r w:rsidR="003070D1" w:rsidRPr="00154F1D">
        <w:t xml:space="preserve"> This is more forcefully stated by Kenny, who </w:t>
      </w:r>
      <w:r w:rsidR="00FB0031" w:rsidRPr="00154F1D">
        <w:t>assert</w:t>
      </w:r>
      <w:r w:rsidR="00C7053A" w:rsidRPr="00154F1D">
        <w:t>s</w:t>
      </w:r>
      <w:r w:rsidR="003070D1" w:rsidRPr="00154F1D">
        <w:t xml:space="preserve"> that ‘the notion of irresistible impulse is an incoherent piece of nonsense’.</w:t>
      </w:r>
      <w:r w:rsidR="003070D1" w:rsidRPr="00154F1D">
        <w:rPr>
          <w:rStyle w:val="FootnoteReference"/>
        </w:rPr>
        <w:footnoteReference w:id="540"/>
      </w:r>
      <w:r w:rsidR="003070D1" w:rsidRPr="00154F1D">
        <w:t xml:space="preserve"> </w:t>
      </w:r>
    </w:p>
    <w:p w14:paraId="02C8000C" w14:textId="1135E725" w:rsidR="00FB0031" w:rsidRPr="00154F1D" w:rsidRDefault="00FB0031" w:rsidP="00744FAA">
      <w:pPr>
        <w:pStyle w:val="NormalNumberedTextTLRI"/>
      </w:pPr>
      <w:r w:rsidRPr="00154F1D">
        <w:t>The majority of Australian jurisdictions have a volitional element in the insanity defence.</w:t>
      </w:r>
      <w:r w:rsidRPr="00154F1D">
        <w:rPr>
          <w:rStyle w:val="FootnoteReference"/>
        </w:rPr>
        <w:footnoteReference w:id="541"/>
      </w:r>
      <w:r w:rsidRPr="00154F1D">
        <w:t xml:space="preserve"> </w:t>
      </w:r>
      <w:r w:rsidR="003E0699" w:rsidRPr="00154F1D">
        <w:t>However, i</w:t>
      </w:r>
      <w:r w:rsidRPr="00154F1D">
        <w:t>t does not exist in Victoria and New South Wales. This issue has also been subject to review, and as noted by the SASAC, ‘of the six review</w:t>
      </w:r>
      <w:r w:rsidR="00353126" w:rsidRPr="00154F1D">
        <w:t>s</w:t>
      </w:r>
      <w:r w:rsidRPr="00154F1D">
        <w:t xml:space="preserve"> which have recently addressed this issue, three recommended incorporating a volitional element … (NSW, WA and England) and three opposed its adoption (Victoria, New Zealand and Scotland)’.</w:t>
      </w:r>
      <w:r w:rsidRPr="00154F1D">
        <w:rPr>
          <w:rStyle w:val="FootnoteReference"/>
        </w:rPr>
        <w:footnoteReference w:id="542"/>
      </w:r>
    </w:p>
    <w:p w14:paraId="78488D29" w14:textId="63F72F1B" w:rsidR="00FB0031" w:rsidRPr="00154F1D" w:rsidRDefault="00FB0031" w:rsidP="00744FAA">
      <w:pPr>
        <w:pStyle w:val="NormalNumberedTextTLRI"/>
      </w:pPr>
      <w:r w:rsidRPr="00154F1D">
        <w:t>Reasons for the inclusion of a volitional element are that:</w:t>
      </w:r>
    </w:p>
    <w:p w14:paraId="121928F1" w14:textId="73EB9A68" w:rsidR="00A318AA" w:rsidRPr="00154F1D" w:rsidRDefault="00A318AA" w:rsidP="007D2466">
      <w:pPr>
        <w:pStyle w:val="DotPointTLRI"/>
        <w:ind w:left="851" w:hanging="425"/>
      </w:pPr>
      <w:r w:rsidRPr="00154F1D">
        <w:t>It exists in most other jurisdictions.</w:t>
      </w:r>
    </w:p>
    <w:p w14:paraId="7328D631" w14:textId="3FF5ABE8" w:rsidR="00A318AA" w:rsidRPr="00154F1D" w:rsidRDefault="00A318AA" w:rsidP="007D2466">
      <w:pPr>
        <w:pStyle w:val="DotPointTLRI"/>
        <w:ind w:left="851" w:hanging="425"/>
      </w:pPr>
      <w:r w:rsidRPr="00154F1D">
        <w:t>Even if it may be difficult to differentiate, there are people who are genuinely unable to control behaviour and as a matter of principle, such people should be exculpated.</w:t>
      </w:r>
      <w:r w:rsidRPr="00154F1D">
        <w:rPr>
          <w:rStyle w:val="FootnoteReference"/>
        </w:rPr>
        <w:footnoteReference w:id="543"/>
      </w:r>
    </w:p>
    <w:p w14:paraId="3FE8E071" w14:textId="07873E5F" w:rsidR="00FB0031" w:rsidRPr="00154F1D" w:rsidRDefault="00FB0031" w:rsidP="00744FAA">
      <w:pPr>
        <w:pStyle w:val="NormalNumberedTextTLRI"/>
      </w:pPr>
      <w:r w:rsidRPr="00154F1D">
        <w:t>Reasons for rejecting a volitional element are that:</w:t>
      </w:r>
    </w:p>
    <w:p w14:paraId="1CD719C5" w14:textId="6A3E1FBD" w:rsidR="00FB0031" w:rsidRPr="00154F1D" w:rsidRDefault="00FB0031" w:rsidP="005258B8">
      <w:pPr>
        <w:pStyle w:val="DotPointTLRI"/>
        <w:ind w:left="851" w:hanging="425"/>
      </w:pPr>
      <w:r w:rsidRPr="00154F1D">
        <w:t>It is difficult to differentiate between irresistible impulses and non-resisted impulses</w:t>
      </w:r>
      <w:r w:rsidR="005258B8" w:rsidRPr="00154F1D">
        <w:t>.</w:t>
      </w:r>
    </w:p>
    <w:p w14:paraId="19D00BA1" w14:textId="535F825E" w:rsidR="00FB0031" w:rsidRPr="00154F1D" w:rsidRDefault="00FB0031" w:rsidP="005258B8">
      <w:pPr>
        <w:pStyle w:val="DotPointTLRI"/>
        <w:ind w:left="851" w:hanging="425"/>
      </w:pPr>
      <w:r w:rsidRPr="00154F1D">
        <w:t>The other limbs of the insanity defence are sufficient to accommodate cases where a defendant was unable to control his or her con</w:t>
      </w:r>
      <w:r w:rsidR="00A318AA" w:rsidRPr="00154F1D">
        <w:t>duc</w:t>
      </w:r>
      <w:r w:rsidRPr="00154F1D">
        <w:t xml:space="preserve">t, and so a volitional </w:t>
      </w:r>
      <w:r w:rsidR="00A318AA" w:rsidRPr="00154F1D">
        <w:t>element</w:t>
      </w:r>
      <w:r w:rsidRPr="00154F1D">
        <w:t xml:space="preserve"> is un</w:t>
      </w:r>
      <w:r w:rsidR="00A318AA" w:rsidRPr="00154F1D">
        <w:t>ne</w:t>
      </w:r>
      <w:r w:rsidRPr="00154F1D">
        <w:t>cessary.</w:t>
      </w:r>
      <w:r w:rsidRPr="00154F1D">
        <w:rPr>
          <w:rStyle w:val="FootnoteReference"/>
        </w:rPr>
        <w:footnoteReference w:id="544"/>
      </w:r>
    </w:p>
    <w:p w14:paraId="4BCDACA5" w14:textId="77777777" w:rsidR="00FB0031" w:rsidRPr="00154F1D" w:rsidRDefault="00FB0031" w:rsidP="005258B8">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b/>
        </w:rPr>
      </w:pPr>
      <w:bookmarkStart w:id="169" w:name="Q43"/>
      <w:r w:rsidRPr="00154F1D">
        <w:rPr>
          <w:b/>
        </w:rPr>
        <w:t>Questions</w:t>
      </w:r>
    </w:p>
    <w:bookmarkEnd w:id="169"/>
    <w:p w14:paraId="3962B572" w14:textId="0E1B72A0" w:rsidR="00FA0C12" w:rsidRPr="00154F1D" w:rsidRDefault="00BE4BE7" w:rsidP="005258B8">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43</w:t>
      </w:r>
      <w:r w:rsidR="00755B62" w:rsidRPr="00154F1D">
        <w:t>.</w:t>
      </w:r>
      <w:r w:rsidR="005258B8" w:rsidRPr="00154F1D">
        <w:tab/>
      </w:r>
      <w:r w:rsidR="00FA0C12" w:rsidRPr="00154F1D">
        <w:t xml:space="preserve">Do you consider that the volitional test for insanity </w:t>
      </w:r>
      <w:r w:rsidR="006D5B39" w:rsidRPr="00154F1D">
        <w:t xml:space="preserve">contained in the </w:t>
      </w:r>
      <w:r w:rsidR="006D5B39" w:rsidRPr="00154F1D">
        <w:rPr>
          <w:i/>
        </w:rPr>
        <w:t xml:space="preserve">Criminal Code </w:t>
      </w:r>
      <w:r w:rsidR="006D5B39" w:rsidRPr="00154F1D">
        <w:t xml:space="preserve">(Tas) s 16(1)(b) </w:t>
      </w:r>
      <w:r w:rsidR="00FA0C12" w:rsidRPr="00154F1D">
        <w:t>should be retained?</w:t>
      </w:r>
    </w:p>
    <w:p w14:paraId="029848D1" w14:textId="4E092217" w:rsidR="006D5B39" w:rsidRPr="00154F1D" w:rsidRDefault="005258B8" w:rsidP="005258B8">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4</w:t>
      </w:r>
      <w:r w:rsidR="00BE4BE7" w:rsidRPr="00154F1D">
        <w:t>4</w:t>
      </w:r>
      <w:r w:rsidR="00755B62" w:rsidRPr="00154F1D">
        <w:t>.</w:t>
      </w:r>
      <w:r w:rsidRPr="00154F1D">
        <w:tab/>
      </w:r>
      <w:r w:rsidR="00353126" w:rsidRPr="00154F1D">
        <w:t xml:space="preserve">Do </w:t>
      </w:r>
      <w:r w:rsidR="00FB0031" w:rsidRPr="00154F1D">
        <w:t xml:space="preserve">you consider that any amendment should be made to the </w:t>
      </w:r>
      <w:r w:rsidR="00FB0031" w:rsidRPr="00154F1D">
        <w:rPr>
          <w:i/>
        </w:rPr>
        <w:t xml:space="preserve">Criminal Code </w:t>
      </w:r>
      <w:r w:rsidR="00FB0031" w:rsidRPr="00154F1D">
        <w:t>(Tas) s</w:t>
      </w:r>
      <w:r w:rsidRPr="00154F1D">
        <w:t> </w:t>
      </w:r>
      <w:r w:rsidR="00FB0031" w:rsidRPr="00154F1D">
        <w:t>16(1)(b)?</w:t>
      </w:r>
    </w:p>
    <w:p w14:paraId="36A1A7A8" w14:textId="2E55D1C0" w:rsidR="009E2FC7" w:rsidRPr="00154F1D" w:rsidRDefault="00A318AA" w:rsidP="00BF2CCF">
      <w:pPr>
        <w:pStyle w:val="NormalNumberedTextTLRI"/>
        <w:spacing w:before="360"/>
      </w:pPr>
      <w:r w:rsidRPr="00154F1D">
        <w:rPr>
          <w:u w:val="single"/>
        </w:rPr>
        <w:t>Further consideration of the p</w:t>
      </w:r>
      <w:r w:rsidR="00897AB2" w:rsidRPr="00154F1D">
        <w:rPr>
          <w:u w:val="single"/>
        </w:rPr>
        <w:t>ractical difficulties with the use of the insanity defence</w:t>
      </w:r>
      <w:r w:rsidR="00897AB2" w:rsidRPr="00154F1D">
        <w:t xml:space="preserve">. </w:t>
      </w:r>
      <w:r w:rsidR="00F14D63" w:rsidRPr="00154F1D">
        <w:t xml:space="preserve">Despite well-established theoretical concerns, it </w:t>
      </w:r>
      <w:r w:rsidR="00353126" w:rsidRPr="00154F1D">
        <w:t xml:space="preserve">is </w:t>
      </w:r>
      <w:r w:rsidR="00FA0C12" w:rsidRPr="00154F1D">
        <w:t>less</w:t>
      </w:r>
      <w:r w:rsidR="00F14D63" w:rsidRPr="00154F1D">
        <w:t xml:space="preserve"> </w:t>
      </w:r>
      <w:r w:rsidR="00FA0C12" w:rsidRPr="00154F1D">
        <w:t>c</w:t>
      </w:r>
      <w:r w:rsidR="00F14D63" w:rsidRPr="00154F1D">
        <w:t xml:space="preserve">lear </w:t>
      </w:r>
      <w:r w:rsidR="00353126" w:rsidRPr="00154F1D">
        <w:t xml:space="preserve">to what </w:t>
      </w:r>
      <w:r w:rsidR="00F14D63" w:rsidRPr="00154F1D">
        <w:t>extent these matters give ri</w:t>
      </w:r>
      <w:r w:rsidR="009E2FC7" w:rsidRPr="00154F1D">
        <w:t>se to difficulties in practice. Accordingly, the TLRI is seeking stakeholder feedback on this issue.</w:t>
      </w:r>
    </w:p>
    <w:p w14:paraId="023EA9D3" w14:textId="2C8E0C8B" w:rsidR="00854573" w:rsidRPr="00154F1D" w:rsidRDefault="00F14D63" w:rsidP="00744FAA">
      <w:pPr>
        <w:pStyle w:val="NormalNumberedTextTLRI"/>
      </w:pPr>
      <w:r w:rsidRPr="00154F1D">
        <w:t>In England and Wales, consultations with stakeholders reported that the ‘insanity and automatism defences are so outmoded, inappropriate and complicated that they are seen as irrelevant. Practitioners work round them’.</w:t>
      </w:r>
      <w:r w:rsidRPr="00154F1D">
        <w:rPr>
          <w:rStyle w:val="FootnoteReference"/>
        </w:rPr>
        <w:footnoteReference w:id="545"/>
      </w:r>
      <w:r w:rsidRPr="00154F1D">
        <w:t xml:space="preserve"> Consequently, despite the ‘significant problems with the law when examined from a theoretical perspective’, there were few practical problems actually reported with the defence given the approach taken by legal and medical practitioners.</w:t>
      </w:r>
      <w:r w:rsidRPr="00154F1D">
        <w:rPr>
          <w:rStyle w:val="FootnoteReference"/>
        </w:rPr>
        <w:footnoteReference w:id="546"/>
      </w:r>
      <w:r w:rsidRPr="00154F1D">
        <w:t xml:space="preserve"> Further, as with Tasmania, insanity is rarely pleaded, and research in other jurisdictions suggest</w:t>
      </w:r>
      <w:r w:rsidR="00353126" w:rsidRPr="00154F1D">
        <w:t>s</w:t>
      </w:r>
      <w:r w:rsidRPr="00154F1D">
        <w:t xml:space="preserve"> that this is because</w:t>
      </w:r>
      <w:r w:rsidR="00854573" w:rsidRPr="00154F1D">
        <w:t xml:space="preserve">: </w:t>
      </w:r>
    </w:p>
    <w:p w14:paraId="4A7195FE" w14:textId="77777777" w:rsidR="00854573" w:rsidRPr="00154F1D" w:rsidRDefault="00F14D63" w:rsidP="00E00F1E">
      <w:pPr>
        <w:pStyle w:val="QuoteTLRI"/>
      </w:pPr>
      <w:r w:rsidRPr="00154F1D">
        <w:t xml:space="preserve">practitioners take a pragmatic approach, and achieve the “correct” outcome, in the view of the practitioner and/or the accused, without having to consider the insanity defence: defendants often prefer the certainty of a prison term to the uncertainty </w:t>
      </w:r>
      <w:r w:rsidR="00854573" w:rsidRPr="00154F1D">
        <w:t>of a release date from hospital</w:t>
      </w:r>
      <w:r w:rsidRPr="00154F1D">
        <w:t>.</w:t>
      </w:r>
      <w:r w:rsidRPr="00154F1D">
        <w:rPr>
          <w:rStyle w:val="FootnoteReference"/>
        </w:rPr>
        <w:footnoteReference w:id="547"/>
      </w:r>
      <w:r w:rsidRPr="00154F1D">
        <w:t xml:space="preserve"> </w:t>
      </w:r>
    </w:p>
    <w:p w14:paraId="1ADF9779" w14:textId="276CE9AA" w:rsidR="00F14D63" w:rsidRPr="00154F1D" w:rsidRDefault="00F14D63" w:rsidP="00E00F1E">
      <w:pPr>
        <w:pStyle w:val="NormalNumberedTextTLRI"/>
        <w:numPr>
          <w:ilvl w:val="0"/>
          <w:numId w:val="0"/>
        </w:numPr>
      </w:pPr>
      <w:r w:rsidRPr="00154F1D">
        <w:t>Similarly, in New South Wales, stakeholders reported that ‘broadly speaking, the defence of mental illness works in practice without any significant difficulty and that the right results are achieved.</w:t>
      </w:r>
      <w:r w:rsidR="00353126" w:rsidRPr="00154F1D">
        <w:t>’</w:t>
      </w:r>
      <w:r w:rsidRPr="00154F1D">
        <w:rPr>
          <w:rStyle w:val="FootnoteReference"/>
        </w:rPr>
        <w:footnoteReference w:id="548"/>
      </w:r>
    </w:p>
    <w:p w14:paraId="12F61434" w14:textId="1C9A9807" w:rsidR="00854573" w:rsidRPr="00154F1D" w:rsidRDefault="00854573" w:rsidP="00744FAA">
      <w:pPr>
        <w:pStyle w:val="NormalNumberedTextTLRI"/>
        <w:rPr>
          <w:sz w:val="24"/>
          <w:lang w:eastAsia="en-AU"/>
        </w:rPr>
      </w:pPr>
      <w:r w:rsidRPr="00154F1D">
        <w:t xml:space="preserve">The TLRI has undertaken a review of insanity cases decided in the Supreme Court. </w:t>
      </w:r>
      <w:r w:rsidR="001D356F" w:rsidRPr="00154F1D">
        <w:t>This has allowed the TLRI to consider the types of cases wher</w:t>
      </w:r>
      <w:r w:rsidR="008549B3" w:rsidRPr="00154F1D">
        <w:t>e insanity has been successful</w:t>
      </w:r>
      <w:r w:rsidR="002D7597" w:rsidRPr="00154F1D">
        <w:t xml:space="preserve">. It does not provide a picture of how the defence is operating in the Magistrates Court or how often the insanity defence is considered </w:t>
      </w:r>
      <w:r w:rsidR="003C6A77" w:rsidRPr="00154F1D">
        <w:t xml:space="preserve">(and rejected) </w:t>
      </w:r>
      <w:r w:rsidR="002D7597" w:rsidRPr="00154F1D">
        <w:t xml:space="preserve">by practitioners </w:t>
      </w:r>
      <w:r w:rsidR="003C6A77" w:rsidRPr="00154F1D">
        <w:t xml:space="preserve">representing clients </w:t>
      </w:r>
      <w:r w:rsidR="002D7597" w:rsidRPr="00154F1D">
        <w:t>and how often it is unsuccessfully relied upon at trial.</w:t>
      </w:r>
      <w:r w:rsidR="002D7597" w:rsidRPr="00154F1D">
        <w:rPr>
          <w:rStyle w:val="FootnoteReference"/>
        </w:rPr>
        <w:footnoteReference w:id="549"/>
      </w:r>
      <w:r w:rsidR="002D7597" w:rsidRPr="00154F1D">
        <w:t xml:space="preserve"> </w:t>
      </w:r>
      <w:r w:rsidR="001D356F" w:rsidRPr="00154F1D">
        <w:t xml:space="preserve">As discussed in Part 3, the available information suggests that only a small number </w:t>
      </w:r>
      <w:r w:rsidR="008549B3" w:rsidRPr="00154F1D">
        <w:t xml:space="preserve">of </w:t>
      </w:r>
      <w:r w:rsidR="00CD7AF9">
        <w:t>individuals</w:t>
      </w:r>
      <w:r w:rsidR="00CD7AF9" w:rsidRPr="00154F1D">
        <w:t xml:space="preserve"> </w:t>
      </w:r>
      <w:r w:rsidR="008549B3" w:rsidRPr="00154F1D">
        <w:t xml:space="preserve">with mental health or cognitive </w:t>
      </w:r>
      <w:r w:rsidR="00106C55" w:rsidRPr="00154F1D">
        <w:t>impairments</w:t>
      </w:r>
      <w:r w:rsidR="008549B3" w:rsidRPr="00154F1D">
        <w:t xml:space="preserve"> </w:t>
      </w:r>
      <w:r w:rsidR="001D356F" w:rsidRPr="00154F1D">
        <w:t>are able to rely on the insanity defence. The TLRI welcomes feedback on stakeholders</w:t>
      </w:r>
      <w:r w:rsidR="00353126" w:rsidRPr="00154F1D">
        <w:t>’</w:t>
      </w:r>
      <w:r w:rsidR="001D356F" w:rsidRPr="00154F1D">
        <w:t xml:space="preserve"> vie</w:t>
      </w:r>
      <w:r w:rsidR="00A67A5D">
        <w:t>w</w:t>
      </w:r>
      <w:r w:rsidR="00353126" w:rsidRPr="00154F1D">
        <w:t>s</w:t>
      </w:r>
      <w:r w:rsidR="001D356F" w:rsidRPr="00154F1D">
        <w:t xml:space="preserve"> on why </w:t>
      </w:r>
      <w:r w:rsidR="002D7597" w:rsidRPr="00154F1D">
        <w:t>this is the case</w:t>
      </w:r>
      <w:r w:rsidR="001D356F" w:rsidRPr="00154F1D">
        <w:t>, and</w:t>
      </w:r>
      <w:r w:rsidR="002D7597" w:rsidRPr="00154F1D">
        <w:t>, in particular</w:t>
      </w:r>
      <w:r w:rsidR="00106C55" w:rsidRPr="00154F1D">
        <w:t>,</w:t>
      </w:r>
      <w:r w:rsidR="001D356F" w:rsidRPr="00154F1D">
        <w:t xml:space="preserve"> whether </w:t>
      </w:r>
      <w:r w:rsidR="002D7597" w:rsidRPr="00154F1D">
        <w:t>it is attributable to the problems with the law.</w:t>
      </w:r>
    </w:p>
    <w:p w14:paraId="15C43861" w14:textId="77777777" w:rsidR="00107C78" w:rsidRPr="00154F1D" w:rsidRDefault="00107C78" w:rsidP="003D34C9">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spacing w:after="120"/>
        <w:ind w:left="426" w:right="57" w:hanging="369"/>
        <w:rPr>
          <w:b/>
        </w:rPr>
      </w:pPr>
      <w:bookmarkStart w:id="170" w:name="Q45"/>
      <w:r w:rsidRPr="00154F1D">
        <w:rPr>
          <w:b/>
        </w:rPr>
        <w:t>Questions</w:t>
      </w:r>
    </w:p>
    <w:bookmarkEnd w:id="170"/>
    <w:p w14:paraId="23B3916B" w14:textId="2CA9D89B" w:rsidR="00107C78" w:rsidRPr="00154F1D" w:rsidRDefault="00BE4BE7" w:rsidP="003D34C9">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spacing w:before="120" w:after="120"/>
        <w:ind w:left="426" w:right="57" w:hanging="369"/>
      </w:pPr>
      <w:r w:rsidRPr="00154F1D">
        <w:t>45</w:t>
      </w:r>
      <w:r w:rsidR="00755B62" w:rsidRPr="00154F1D">
        <w:t>.</w:t>
      </w:r>
      <w:r w:rsidR="00106C55" w:rsidRPr="00154F1D">
        <w:tab/>
      </w:r>
      <w:r w:rsidR="00107C78" w:rsidRPr="00154F1D">
        <w:t>Do you have an explanation as to why successful reliance on the defence of insanity is so low?</w:t>
      </w:r>
    </w:p>
    <w:p w14:paraId="2192E220" w14:textId="0AE78E53" w:rsidR="00FA0C12" w:rsidRPr="00154F1D" w:rsidRDefault="00BE4BE7" w:rsidP="003D34C9">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spacing w:before="120" w:after="120"/>
        <w:ind w:left="426" w:right="57" w:hanging="369"/>
      </w:pPr>
      <w:r w:rsidRPr="00154F1D">
        <w:t>46</w:t>
      </w:r>
      <w:r w:rsidR="00755B62" w:rsidRPr="00154F1D">
        <w:t>.</w:t>
      </w:r>
      <w:r w:rsidR="0043560F" w:rsidRPr="00154F1D">
        <w:tab/>
      </w:r>
      <w:r w:rsidR="003C6A77" w:rsidRPr="00154F1D">
        <w:t>D</w:t>
      </w:r>
      <w:r w:rsidR="00107C78" w:rsidRPr="00154F1D">
        <w:t xml:space="preserve">o you consider that there are practical difficulties with the current </w:t>
      </w:r>
      <w:r w:rsidR="00FA0C12" w:rsidRPr="00154F1D">
        <w:t xml:space="preserve">operation of the </w:t>
      </w:r>
      <w:r w:rsidR="00107C78" w:rsidRPr="00154F1D">
        <w:t xml:space="preserve">insanity </w:t>
      </w:r>
      <w:r w:rsidR="00353126" w:rsidRPr="00154F1D">
        <w:t xml:space="preserve">defence </w:t>
      </w:r>
      <w:r w:rsidR="00107C78" w:rsidRPr="00154F1D">
        <w:t xml:space="preserve">contained in the </w:t>
      </w:r>
      <w:r w:rsidR="00107C78" w:rsidRPr="00154F1D">
        <w:rPr>
          <w:i/>
        </w:rPr>
        <w:t xml:space="preserve">Criminal Code </w:t>
      </w:r>
      <w:r w:rsidR="00107C78" w:rsidRPr="00154F1D">
        <w:t xml:space="preserve">(Tas) s 16? </w:t>
      </w:r>
    </w:p>
    <w:p w14:paraId="70AA0831" w14:textId="704BBBB9" w:rsidR="00107C78" w:rsidRPr="00154F1D" w:rsidRDefault="00BE4BE7" w:rsidP="003D34C9">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spacing w:before="120" w:after="120"/>
        <w:ind w:left="426" w:right="57" w:hanging="369"/>
      </w:pPr>
      <w:r w:rsidRPr="00154F1D">
        <w:t>47</w:t>
      </w:r>
      <w:r w:rsidR="00755B62" w:rsidRPr="00154F1D">
        <w:t>.</w:t>
      </w:r>
      <w:r w:rsidR="0043560F" w:rsidRPr="00154F1D">
        <w:tab/>
      </w:r>
      <w:r w:rsidR="003C6A77" w:rsidRPr="00154F1D">
        <w:t>D</w:t>
      </w:r>
      <w:r w:rsidR="005502B0" w:rsidRPr="00154F1D">
        <w:t xml:space="preserve">oes the current test work well in practice or does it wrongly include or exclude </w:t>
      </w:r>
      <w:r w:rsidR="008549B3" w:rsidRPr="00154F1D">
        <w:t>defendants</w:t>
      </w:r>
      <w:r w:rsidR="005502B0" w:rsidRPr="00154F1D">
        <w:t xml:space="preserve"> from the scope of the defence? </w:t>
      </w:r>
    </w:p>
    <w:p w14:paraId="2D28EACB" w14:textId="246DA38B" w:rsidR="00107C78" w:rsidRPr="00154F1D" w:rsidRDefault="00BE4BE7" w:rsidP="003D34C9">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spacing w:before="120" w:after="120"/>
        <w:ind w:left="426" w:right="57" w:hanging="369"/>
      </w:pPr>
      <w:r w:rsidRPr="00154F1D">
        <w:t>48</w:t>
      </w:r>
      <w:r w:rsidR="00755B62" w:rsidRPr="00154F1D">
        <w:t>.</w:t>
      </w:r>
      <w:r w:rsidR="0043560F" w:rsidRPr="00154F1D">
        <w:tab/>
      </w:r>
      <w:r w:rsidR="00107C78" w:rsidRPr="00154F1D">
        <w:t xml:space="preserve">Do medical practitioners experience cases </w:t>
      </w:r>
      <w:r w:rsidR="008549B3" w:rsidRPr="00154F1D">
        <w:t>where a</w:t>
      </w:r>
      <w:r w:rsidR="00107C78" w:rsidRPr="00154F1D">
        <w:t xml:space="preserve"> person’s mental state at the time of the offence was such that their opinion was that he or she ought not </w:t>
      </w:r>
      <w:r w:rsidR="00353126" w:rsidRPr="00154F1D">
        <w:t xml:space="preserve">to </w:t>
      </w:r>
      <w:r w:rsidR="00107C78" w:rsidRPr="00154F1D">
        <w:t>have been held criminally responsib</w:t>
      </w:r>
      <w:r w:rsidR="00353126" w:rsidRPr="00154F1D">
        <w:t>le</w:t>
      </w:r>
      <w:r w:rsidR="00107C78" w:rsidRPr="00154F1D">
        <w:t xml:space="preserve">, but the mental condition did not meet the tests contained in s 16 of the </w:t>
      </w:r>
      <w:r w:rsidR="00107C78" w:rsidRPr="00154F1D">
        <w:rPr>
          <w:i/>
        </w:rPr>
        <w:t xml:space="preserve">Criminal Code </w:t>
      </w:r>
      <w:r w:rsidR="00107C78" w:rsidRPr="00154F1D">
        <w:t>(Tas)?</w:t>
      </w:r>
    </w:p>
    <w:p w14:paraId="42AAFBB7" w14:textId="1D27BE60" w:rsidR="00107C78" w:rsidRPr="00154F1D" w:rsidRDefault="00BE4BE7" w:rsidP="003D34C9">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spacing w:before="120" w:after="120"/>
        <w:ind w:left="426" w:right="57" w:hanging="369"/>
      </w:pPr>
      <w:r w:rsidRPr="00154F1D">
        <w:t>49</w:t>
      </w:r>
      <w:r w:rsidR="00755B62" w:rsidRPr="00154F1D">
        <w:t>.</w:t>
      </w:r>
      <w:r w:rsidR="0043560F" w:rsidRPr="00154F1D">
        <w:tab/>
      </w:r>
      <w:r w:rsidR="00107C78" w:rsidRPr="00154F1D">
        <w:t xml:space="preserve">Does the insanity test contained in s 16 of the </w:t>
      </w:r>
      <w:r w:rsidR="00107C78" w:rsidRPr="00154F1D">
        <w:rPr>
          <w:i/>
        </w:rPr>
        <w:t xml:space="preserve">Criminal Code </w:t>
      </w:r>
      <w:r w:rsidR="00107C78" w:rsidRPr="00154F1D">
        <w:t>(Tas) create difficulties for experts in writing reports and/or in giving evidence at trial?</w:t>
      </w:r>
    </w:p>
    <w:p w14:paraId="07C7F390" w14:textId="5FD0F17B" w:rsidR="00526FA7" w:rsidRPr="00154F1D" w:rsidRDefault="00526FA7" w:rsidP="00A67A5D">
      <w:pPr>
        <w:pStyle w:val="Sub-HeadingTLRI"/>
        <w:keepNext/>
      </w:pPr>
      <w:bookmarkStart w:id="171" w:name="_Toc535868966"/>
      <w:r w:rsidRPr="00154F1D">
        <w:t xml:space="preserve">Section 16(3): The </w:t>
      </w:r>
      <w:r w:rsidR="00791B7F" w:rsidRPr="00154F1D">
        <w:t>interrelationship</w:t>
      </w:r>
      <w:r w:rsidRPr="00154F1D">
        <w:t xml:space="preserve"> between insanity and self-defence</w:t>
      </w:r>
      <w:bookmarkEnd w:id="171"/>
    </w:p>
    <w:p w14:paraId="7EAC4D3D" w14:textId="79C8EC39" w:rsidR="00A4098C" w:rsidRPr="00154F1D" w:rsidRDefault="000735B5" w:rsidP="00744FAA">
      <w:pPr>
        <w:pStyle w:val="NormalNumberedTextTLRI"/>
      </w:pPr>
      <w:r w:rsidRPr="00154F1D">
        <w:rPr>
          <w:lang w:eastAsia="ja-JP"/>
        </w:rPr>
        <w:t>Another area of concern in relation to the law of insanity in Tasmania is the role of s</w:t>
      </w:r>
      <w:r w:rsidR="002B4454" w:rsidRPr="00154F1D">
        <w:rPr>
          <w:lang w:eastAsia="ja-JP"/>
        </w:rPr>
        <w:t> </w:t>
      </w:r>
      <w:r w:rsidRPr="00154F1D">
        <w:rPr>
          <w:lang w:eastAsia="ja-JP"/>
        </w:rPr>
        <w:t xml:space="preserve">16(3) of the </w:t>
      </w:r>
      <w:r w:rsidRPr="00154F1D">
        <w:rPr>
          <w:i/>
          <w:lang w:eastAsia="ja-JP"/>
        </w:rPr>
        <w:t xml:space="preserve">Criminal Code </w:t>
      </w:r>
      <w:r w:rsidRPr="00154F1D">
        <w:rPr>
          <w:lang w:eastAsia="ja-JP"/>
        </w:rPr>
        <w:t xml:space="preserve">(Tas) and the interrelationship of </w:t>
      </w:r>
      <w:r w:rsidR="005B6232" w:rsidRPr="00154F1D">
        <w:rPr>
          <w:lang w:eastAsia="ja-JP"/>
        </w:rPr>
        <w:t>the insanity</w:t>
      </w:r>
      <w:r w:rsidRPr="00154F1D">
        <w:rPr>
          <w:lang w:eastAsia="ja-JP"/>
        </w:rPr>
        <w:t xml:space="preserve"> and self-defe</w:t>
      </w:r>
      <w:r w:rsidR="007C4FF1" w:rsidRPr="00154F1D">
        <w:rPr>
          <w:lang w:eastAsia="ja-JP"/>
        </w:rPr>
        <w:t xml:space="preserve">nce. </w:t>
      </w:r>
      <w:r w:rsidR="005B6232" w:rsidRPr="00154F1D">
        <w:t xml:space="preserve">The law of self-defence in s 46 of the </w:t>
      </w:r>
      <w:r w:rsidR="005B6232" w:rsidRPr="00154F1D">
        <w:rPr>
          <w:i/>
        </w:rPr>
        <w:t xml:space="preserve">Criminal Code </w:t>
      </w:r>
      <w:r w:rsidR="005B6232" w:rsidRPr="00154F1D">
        <w:t xml:space="preserve">(Tas) provides that a person is justified in using such force in defence of him or herself or another person as is reasonable in the </w:t>
      </w:r>
      <w:r w:rsidR="00A4098C" w:rsidRPr="00154F1D">
        <w:t>circumstances</w:t>
      </w:r>
      <w:r w:rsidR="005B6232" w:rsidRPr="00154F1D">
        <w:t xml:space="preserve"> as the defendant believes them to</w:t>
      </w:r>
      <w:r w:rsidR="00714F89" w:rsidRPr="00154F1D">
        <w:t xml:space="preserve"> be</w:t>
      </w:r>
      <w:r w:rsidR="005B6232" w:rsidRPr="00154F1D">
        <w:t xml:space="preserve">. </w:t>
      </w:r>
      <w:r w:rsidR="00A4098C" w:rsidRPr="00154F1D">
        <w:t>T</w:t>
      </w:r>
      <w:r w:rsidR="005B6232" w:rsidRPr="00154F1D">
        <w:t xml:space="preserve">he test for self-defence </w:t>
      </w:r>
      <w:r w:rsidR="00A4098C" w:rsidRPr="00154F1D">
        <w:t xml:space="preserve">requires that: (1) the defendant believes that he or she was acting in self-defence; and (2) the force used by the defendant was reasonable in the circumstances that the defendant believed to exist. In cases where the accused’s perception of the need to use defensive force corresponds with the actual need to do so, the application of the law of self-defence is unproblematic. However, difficulties arise when there is a difference between the actual circumstances and the circumstances as the accused mistakenly believed them to be. </w:t>
      </w:r>
      <w:r w:rsidR="00A4098C" w:rsidRPr="00154F1D">
        <w:rPr>
          <w:lang w:eastAsia="ja-JP"/>
        </w:rPr>
        <w:t xml:space="preserve">And, in the context of this </w:t>
      </w:r>
      <w:r w:rsidR="00FA0DF1" w:rsidRPr="00154F1D">
        <w:rPr>
          <w:lang w:eastAsia="ja-JP"/>
        </w:rPr>
        <w:t>Issues Paper</w:t>
      </w:r>
      <w:r w:rsidR="00A4098C" w:rsidRPr="00154F1D">
        <w:rPr>
          <w:lang w:eastAsia="ja-JP"/>
        </w:rPr>
        <w:t>, key issues are</w:t>
      </w:r>
      <w:r w:rsidR="00FA0DF1" w:rsidRPr="00154F1D">
        <w:rPr>
          <w:lang w:eastAsia="ja-JP"/>
        </w:rPr>
        <w:t xml:space="preserve">: </w:t>
      </w:r>
      <w:r w:rsidR="00A4098C" w:rsidRPr="00154F1D">
        <w:rPr>
          <w:lang w:eastAsia="ja-JP"/>
        </w:rPr>
        <w:t xml:space="preserve">(1) whether an </w:t>
      </w:r>
      <w:r w:rsidR="00CD7AF9">
        <w:rPr>
          <w:lang w:eastAsia="ja-JP"/>
        </w:rPr>
        <w:t>accused</w:t>
      </w:r>
      <w:r w:rsidR="00CD7AF9" w:rsidRPr="00154F1D">
        <w:rPr>
          <w:lang w:eastAsia="ja-JP"/>
        </w:rPr>
        <w:t xml:space="preserve"> </w:t>
      </w:r>
      <w:r w:rsidR="00A4098C" w:rsidRPr="00154F1D">
        <w:rPr>
          <w:lang w:eastAsia="ja-JP"/>
        </w:rPr>
        <w:t xml:space="preserve">can rely on a mistaken belief arising from a delusion caused by a mental illness for the purposes of self-defence; and (2) the role of s 16(3) of the </w:t>
      </w:r>
      <w:r w:rsidR="00A4098C" w:rsidRPr="00154F1D">
        <w:rPr>
          <w:i/>
          <w:lang w:eastAsia="ja-JP"/>
        </w:rPr>
        <w:t xml:space="preserve">Criminal Code </w:t>
      </w:r>
      <w:r w:rsidR="00A4098C" w:rsidRPr="00154F1D">
        <w:rPr>
          <w:lang w:eastAsia="ja-JP"/>
        </w:rPr>
        <w:t>(Tas).</w:t>
      </w:r>
    </w:p>
    <w:p w14:paraId="73AB0447" w14:textId="2BDDF464" w:rsidR="00E04F28" w:rsidRPr="00154F1D" w:rsidRDefault="00E04F28" w:rsidP="00744FAA">
      <w:pPr>
        <w:pStyle w:val="NormalNumberedTextTLRI"/>
      </w:pPr>
      <w:r w:rsidRPr="00154F1D">
        <w:rPr>
          <w:lang w:eastAsia="ja-JP"/>
        </w:rPr>
        <w:t>These issue</w:t>
      </w:r>
      <w:r w:rsidR="004E56E8" w:rsidRPr="00154F1D">
        <w:rPr>
          <w:lang w:eastAsia="ja-JP"/>
        </w:rPr>
        <w:t>s</w:t>
      </w:r>
      <w:r w:rsidRPr="00154F1D">
        <w:rPr>
          <w:lang w:eastAsia="ja-JP"/>
        </w:rPr>
        <w:t xml:space="preserve"> are a focus </w:t>
      </w:r>
      <w:r w:rsidR="00F1680D">
        <w:rPr>
          <w:lang w:eastAsia="ja-JP"/>
        </w:rPr>
        <w:t>of</w:t>
      </w:r>
      <w:r w:rsidR="00F1680D" w:rsidRPr="00154F1D">
        <w:rPr>
          <w:lang w:eastAsia="ja-JP"/>
        </w:rPr>
        <w:t xml:space="preserve"> </w:t>
      </w:r>
      <w:r w:rsidRPr="00154F1D">
        <w:rPr>
          <w:lang w:eastAsia="ja-JP"/>
        </w:rPr>
        <w:t xml:space="preserve">the Terms of Reference for this paper and, as discussed at </w:t>
      </w:r>
      <w:r w:rsidR="0042002A" w:rsidRPr="00154F1D">
        <w:rPr>
          <w:lang w:eastAsia="ja-JP"/>
        </w:rPr>
        <w:t>[1.1.1]</w:t>
      </w:r>
      <w:r w:rsidRPr="00154F1D">
        <w:rPr>
          <w:lang w:eastAsia="ja-JP"/>
        </w:rPr>
        <w:t xml:space="preserve">, were the subject of a previous law reform report prepared by the TLRI. Accordingly, in this </w:t>
      </w:r>
      <w:r w:rsidR="00F1680D">
        <w:rPr>
          <w:lang w:eastAsia="ja-JP"/>
        </w:rPr>
        <w:t>section</w:t>
      </w:r>
      <w:r w:rsidRPr="00154F1D">
        <w:rPr>
          <w:lang w:eastAsia="ja-JP"/>
        </w:rPr>
        <w:t>, the TLRI sets out its previous view</w:t>
      </w:r>
      <w:r w:rsidR="004E56E8" w:rsidRPr="00154F1D">
        <w:rPr>
          <w:lang w:eastAsia="ja-JP"/>
        </w:rPr>
        <w:t>s</w:t>
      </w:r>
      <w:r w:rsidRPr="00154F1D">
        <w:rPr>
          <w:lang w:eastAsia="ja-JP"/>
        </w:rPr>
        <w:t xml:space="preserve"> and seeks stakeholder feedback ab</w:t>
      </w:r>
      <w:r w:rsidR="004E56E8" w:rsidRPr="00154F1D">
        <w:rPr>
          <w:lang w:eastAsia="ja-JP"/>
        </w:rPr>
        <w:t>o</w:t>
      </w:r>
      <w:r w:rsidRPr="00154F1D">
        <w:rPr>
          <w:lang w:eastAsia="ja-JP"/>
        </w:rPr>
        <w:t xml:space="preserve">ut </w:t>
      </w:r>
      <w:r w:rsidR="004E56E8" w:rsidRPr="00154F1D">
        <w:rPr>
          <w:lang w:eastAsia="ja-JP"/>
        </w:rPr>
        <w:t xml:space="preserve">whether it is necessary to revisit these recommendations. </w:t>
      </w:r>
    </w:p>
    <w:p w14:paraId="411B1E14" w14:textId="62F01E86" w:rsidR="00A4098C" w:rsidRPr="00154F1D" w:rsidRDefault="007C4FF1" w:rsidP="00744FAA">
      <w:pPr>
        <w:pStyle w:val="NormalNumberedTextTLRI"/>
      </w:pPr>
      <w:r w:rsidRPr="00154F1D">
        <w:rPr>
          <w:lang w:eastAsia="ja-JP"/>
        </w:rPr>
        <w:t xml:space="preserve">In </w:t>
      </w:r>
      <w:r w:rsidR="00B63C40">
        <w:rPr>
          <w:lang w:eastAsia="ja-JP"/>
        </w:rPr>
        <w:t xml:space="preserve">its report </w:t>
      </w:r>
      <w:r w:rsidR="00A4098C" w:rsidRPr="00154F1D">
        <w:rPr>
          <w:i/>
          <w:lang w:eastAsia="ja-JP"/>
        </w:rPr>
        <w:t>Review of the Law Relating to Self-defence</w:t>
      </w:r>
      <w:r w:rsidRPr="00154F1D">
        <w:rPr>
          <w:lang w:eastAsia="ja-JP"/>
        </w:rPr>
        <w:t xml:space="preserve">, the TLRI observed </w:t>
      </w:r>
      <w:r w:rsidR="00A4098C" w:rsidRPr="00154F1D">
        <w:rPr>
          <w:lang w:eastAsia="ja-JP"/>
        </w:rPr>
        <w:t>that</w:t>
      </w:r>
      <w:r w:rsidRPr="00154F1D">
        <w:rPr>
          <w:lang w:eastAsia="ja-JP"/>
        </w:rPr>
        <w:t xml:space="preserve"> </w:t>
      </w:r>
      <w:r w:rsidRPr="00154F1D">
        <w:t xml:space="preserve">considerable uncertainty </w:t>
      </w:r>
      <w:r w:rsidR="0097443E" w:rsidRPr="00154F1D">
        <w:t>remain</w:t>
      </w:r>
      <w:r w:rsidR="00FE738A" w:rsidRPr="00154F1D">
        <w:t>s</w:t>
      </w:r>
      <w:r w:rsidR="0097443E" w:rsidRPr="00154F1D">
        <w:t xml:space="preserve"> </w:t>
      </w:r>
      <w:r w:rsidRPr="00154F1D">
        <w:t xml:space="preserve">in relation to </w:t>
      </w:r>
      <w:r w:rsidR="00FA0DF1" w:rsidRPr="00154F1D">
        <w:t xml:space="preserve">the </w:t>
      </w:r>
      <w:r w:rsidRPr="00154F1D">
        <w:t xml:space="preserve">meaning and consequences of </w:t>
      </w:r>
      <w:r w:rsidR="00A4098C" w:rsidRPr="00154F1D">
        <w:t>s 16(3)</w:t>
      </w:r>
      <w:r w:rsidRPr="00154F1D">
        <w:t>.</w:t>
      </w:r>
      <w:r w:rsidRPr="00154F1D">
        <w:rPr>
          <w:rStyle w:val="FootnoteReference"/>
        </w:rPr>
        <w:footnoteReference w:id="550"/>
      </w:r>
      <w:r w:rsidRPr="00154F1D">
        <w:t xml:space="preserve"> In particular, </w:t>
      </w:r>
      <w:r w:rsidR="00A4098C" w:rsidRPr="00154F1D">
        <w:t>the TLRI observed that it</w:t>
      </w:r>
      <w:r w:rsidRPr="00154F1D">
        <w:t xml:space="preserve"> was unclear:</w:t>
      </w:r>
    </w:p>
    <w:p w14:paraId="7F7F515E" w14:textId="42DA8517" w:rsidR="00A4098C" w:rsidRPr="00154F1D" w:rsidRDefault="00526FA7" w:rsidP="001C1CFB">
      <w:pPr>
        <w:pStyle w:val="NormalNumberedTextTLRI"/>
        <w:numPr>
          <w:ilvl w:val="0"/>
          <w:numId w:val="0"/>
        </w:numPr>
        <w:tabs>
          <w:tab w:val="clear" w:pos="851"/>
        </w:tabs>
        <w:ind w:left="851" w:hanging="425"/>
      </w:pPr>
      <w:r w:rsidRPr="00154F1D">
        <w:rPr>
          <w:lang w:eastAsia="ja-JP"/>
        </w:rPr>
        <w:t>(1)</w:t>
      </w:r>
      <w:r w:rsidR="001C1CFB" w:rsidRPr="00154F1D">
        <w:rPr>
          <w:lang w:eastAsia="ja-JP"/>
        </w:rPr>
        <w:tab/>
      </w:r>
      <w:r w:rsidR="00FF768E" w:rsidRPr="00154F1D">
        <w:rPr>
          <w:u w:val="single"/>
          <w:lang w:eastAsia="ja-JP"/>
        </w:rPr>
        <w:t>Whether</w:t>
      </w:r>
      <w:r w:rsidRPr="00154F1D">
        <w:rPr>
          <w:u w:val="single"/>
          <w:lang w:eastAsia="ja-JP"/>
        </w:rPr>
        <w:t xml:space="preserve"> there </w:t>
      </w:r>
      <w:r w:rsidR="00FE738A" w:rsidRPr="00154F1D">
        <w:rPr>
          <w:u w:val="single"/>
          <w:lang w:eastAsia="ja-JP"/>
        </w:rPr>
        <w:t xml:space="preserve">are </w:t>
      </w:r>
      <w:r w:rsidRPr="00154F1D">
        <w:rPr>
          <w:u w:val="single"/>
          <w:lang w:eastAsia="ja-JP"/>
        </w:rPr>
        <w:t xml:space="preserve">any circumstances where the jury might have regard to evidence of a mental disease and its effects when considering s 46 </w:t>
      </w:r>
      <w:r w:rsidR="00A4098C" w:rsidRPr="00154F1D">
        <w:rPr>
          <w:u w:val="single"/>
          <w:lang w:eastAsia="ja-JP"/>
        </w:rPr>
        <w:t xml:space="preserve">of the </w:t>
      </w:r>
      <w:r w:rsidR="00A4098C" w:rsidRPr="00154F1D">
        <w:rPr>
          <w:i/>
          <w:u w:val="single"/>
          <w:lang w:eastAsia="ja-JP"/>
        </w:rPr>
        <w:t xml:space="preserve">Criminal Code </w:t>
      </w:r>
      <w:r w:rsidRPr="00154F1D">
        <w:rPr>
          <w:u w:val="single"/>
          <w:lang w:eastAsia="ja-JP"/>
        </w:rPr>
        <w:t>in circumstances where the defence of insanity has been rejected?</w:t>
      </w:r>
      <w:r w:rsidRPr="00154F1D">
        <w:rPr>
          <w:lang w:eastAsia="ja-JP"/>
        </w:rPr>
        <w:t xml:space="preserve"> In </w:t>
      </w:r>
      <w:r w:rsidRPr="00154F1D">
        <w:rPr>
          <w:i/>
          <w:lang w:eastAsia="ja-JP"/>
        </w:rPr>
        <w:t>Walsh</w:t>
      </w:r>
      <w:r w:rsidRPr="00154F1D">
        <w:rPr>
          <w:lang w:eastAsia="ja-JP"/>
        </w:rPr>
        <w:t>, the Court of Criminal Appeal left unresolved the question whether ‘evidence concerning a mental disease and its effects may ever be taken into account by a jury when considering s 46 in circumstances where the defence of insanity has been rejected’.</w:t>
      </w:r>
      <w:r w:rsidRPr="00154F1D">
        <w:rPr>
          <w:rStyle w:val="FootnoteReference"/>
          <w:rFonts w:eastAsiaTheme="minorEastAsia"/>
          <w:szCs w:val="22"/>
          <w:lang w:eastAsia="ja-JP"/>
        </w:rPr>
        <w:footnoteReference w:id="551"/>
      </w:r>
    </w:p>
    <w:p w14:paraId="7DEB9AA6" w14:textId="60930AC9" w:rsidR="00A4098C" w:rsidRPr="00154F1D" w:rsidRDefault="00526FA7" w:rsidP="001C1CFB">
      <w:pPr>
        <w:pStyle w:val="NormalNumberedTextTLRI"/>
        <w:numPr>
          <w:ilvl w:val="0"/>
          <w:numId w:val="0"/>
        </w:numPr>
        <w:tabs>
          <w:tab w:val="clear" w:pos="851"/>
        </w:tabs>
        <w:ind w:left="851" w:hanging="425"/>
      </w:pPr>
      <w:r w:rsidRPr="00154F1D">
        <w:rPr>
          <w:lang w:eastAsia="ja-JP"/>
        </w:rPr>
        <w:t>(2)</w:t>
      </w:r>
      <w:r w:rsidR="001C1CFB" w:rsidRPr="00154F1D">
        <w:rPr>
          <w:lang w:eastAsia="ja-JP"/>
        </w:rPr>
        <w:tab/>
      </w:r>
      <w:r w:rsidRPr="00154F1D">
        <w:rPr>
          <w:u w:val="single"/>
          <w:lang w:eastAsia="ja-JP"/>
        </w:rPr>
        <w:t xml:space="preserve">To what extent does the High Court decision in </w:t>
      </w:r>
      <w:r w:rsidRPr="00154F1D">
        <w:rPr>
          <w:i/>
          <w:u w:val="single"/>
          <w:lang w:eastAsia="ja-JP"/>
        </w:rPr>
        <w:t>Hawkins v the Queen</w:t>
      </w:r>
      <w:r w:rsidRPr="00154F1D">
        <w:rPr>
          <w:rStyle w:val="FootnoteReference"/>
          <w:u w:val="single"/>
          <w:lang w:eastAsia="ja-JP"/>
        </w:rPr>
        <w:footnoteReference w:id="552"/>
      </w:r>
      <w:r w:rsidRPr="00154F1D">
        <w:rPr>
          <w:sz w:val="12"/>
          <w:szCs w:val="12"/>
          <w:u w:val="single"/>
          <w:lang w:eastAsia="ja-JP"/>
        </w:rPr>
        <w:t xml:space="preserve"> </w:t>
      </w:r>
      <w:r w:rsidRPr="00154F1D">
        <w:rPr>
          <w:u w:val="single"/>
          <w:lang w:eastAsia="ja-JP"/>
        </w:rPr>
        <w:t xml:space="preserve">undermine the authority of the Court of Criminal Appeal decision in </w:t>
      </w:r>
      <w:r w:rsidRPr="00154F1D">
        <w:rPr>
          <w:i/>
          <w:u w:val="single"/>
          <w:lang w:eastAsia="ja-JP"/>
        </w:rPr>
        <w:t>Walsh</w:t>
      </w:r>
      <w:r w:rsidRPr="00154F1D">
        <w:rPr>
          <w:u w:val="single"/>
          <w:lang w:eastAsia="ja-JP"/>
        </w:rPr>
        <w:t>?</w:t>
      </w:r>
      <w:r w:rsidRPr="00154F1D">
        <w:rPr>
          <w:lang w:eastAsia="ja-JP"/>
        </w:rPr>
        <w:t xml:space="preserve"> This uncertainty arises because the High Court in </w:t>
      </w:r>
      <w:r w:rsidRPr="00154F1D">
        <w:rPr>
          <w:i/>
          <w:lang w:eastAsia="ja-JP"/>
        </w:rPr>
        <w:t>Hawkins v the Queen</w:t>
      </w:r>
      <w:r w:rsidRPr="00154F1D">
        <w:rPr>
          <w:sz w:val="12"/>
          <w:szCs w:val="12"/>
          <w:lang w:eastAsia="ja-JP"/>
        </w:rPr>
        <w:t xml:space="preserve"> </w:t>
      </w:r>
      <w:r w:rsidRPr="00154F1D">
        <w:rPr>
          <w:lang w:eastAsia="ja-JP"/>
        </w:rPr>
        <w:t xml:space="preserve">adopted a different approach to that of Tasmanian Court of Criminal Appeal in </w:t>
      </w:r>
      <w:r w:rsidRPr="00154F1D">
        <w:rPr>
          <w:i/>
          <w:lang w:eastAsia="ja-JP"/>
        </w:rPr>
        <w:t>Wals</w:t>
      </w:r>
      <w:r w:rsidRPr="00154F1D">
        <w:rPr>
          <w:lang w:eastAsia="ja-JP"/>
        </w:rPr>
        <w:t xml:space="preserve">h in relation to the relevance of expert opinion evidence of mental illness in circumstances where the jury has rejected the defence of insanity. In both </w:t>
      </w:r>
      <w:r w:rsidRPr="00154F1D">
        <w:rPr>
          <w:i/>
          <w:lang w:eastAsia="ja-JP"/>
        </w:rPr>
        <w:t>Walsh</w:t>
      </w:r>
      <w:r w:rsidRPr="00154F1D">
        <w:rPr>
          <w:lang w:eastAsia="ja-JP"/>
        </w:rPr>
        <w:t xml:space="preserve"> and </w:t>
      </w:r>
      <w:r w:rsidRPr="00154F1D">
        <w:rPr>
          <w:i/>
          <w:lang w:eastAsia="ja-JP"/>
        </w:rPr>
        <w:t>Hawkins</w:t>
      </w:r>
      <w:r w:rsidRPr="00154F1D">
        <w:rPr>
          <w:lang w:eastAsia="ja-JP"/>
        </w:rPr>
        <w:t xml:space="preserve">, the defence wished to use evidence about the accused’s mental impairment caused by a mental illness to deny the unlawfulness of the accused’s conduct. However, different grounds were advanced for denying the unlawfulness of the accused’s conduct in each case. In </w:t>
      </w:r>
      <w:r w:rsidRPr="00154F1D">
        <w:rPr>
          <w:i/>
          <w:lang w:eastAsia="ja-JP"/>
        </w:rPr>
        <w:t>Walsh</w:t>
      </w:r>
      <w:r w:rsidRPr="00154F1D">
        <w:rPr>
          <w:lang w:eastAsia="ja-JP"/>
        </w:rPr>
        <w:t xml:space="preserve">, the defence sought to deny that the act was unlawful on the basis that the accused was acting in self-defence. In </w:t>
      </w:r>
      <w:r w:rsidRPr="00154F1D">
        <w:rPr>
          <w:i/>
          <w:lang w:eastAsia="ja-JP"/>
        </w:rPr>
        <w:t>Hawkins</w:t>
      </w:r>
      <w:r w:rsidRPr="00154F1D">
        <w:rPr>
          <w:lang w:eastAsia="ja-JP"/>
        </w:rPr>
        <w:t>, the defence sought to deny the specific intention for the offence. In both cases, the issue for the court to decide was whether the expert opinion evidence of mental impairment could be used for a dual purpose — first, in relation to the insanity defence, and then, if insanity was rejected, as the basis for a claim of self-defence (</w:t>
      </w:r>
      <w:r w:rsidRPr="00154F1D">
        <w:rPr>
          <w:i/>
          <w:lang w:eastAsia="ja-JP"/>
        </w:rPr>
        <w:t>Walsh</w:t>
      </w:r>
      <w:r w:rsidRPr="00154F1D">
        <w:rPr>
          <w:lang w:eastAsia="ja-JP"/>
        </w:rPr>
        <w:t>) or to deny the specific intent of the offence (</w:t>
      </w:r>
      <w:r w:rsidRPr="00154F1D">
        <w:rPr>
          <w:i/>
          <w:lang w:eastAsia="ja-JP"/>
        </w:rPr>
        <w:t>Hawkins</w:t>
      </w:r>
      <w:r w:rsidRPr="00154F1D">
        <w:rPr>
          <w:lang w:eastAsia="ja-JP"/>
        </w:rPr>
        <w:t xml:space="preserve">). In </w:t>
      </w:r>
      <w:r w:rsidRPr="00154F1D">
        <w:rPr>
          <w:i/>
          <w:lang w:eastAsia="ja-JP"/>
        </w:rPr>
        <w:t>Walsh</w:t>
      </w:r>
      <w:r w:rsidRPr="00154F1D">
        <w:rPr>
          <w:lang w:eastAsia="ja-JP"/>
        </w:rPr>
        <w:t xml:space="preserve">, the Court of Criminal Appeal ruled that, in the circumstances of that case, the evidence could not be used for a dual purpose. In contrast, in </w:t>
      </w:r>
      <w:r w:rsidRPr="00154F1D">
        <w:rPr>
          <w:i/>
          <w:lang w:eastAsia="ja-JP"/>
        </w:rPr>
        <w:t>Hawkins</w:t>
      </w:r>
      <w:r w:rsidRPr="00154F1D">
        <w:rPr>
          <w:lang w:eastAsia="ja-JP"/>
        </w:rPr>
        <w:t>,</w:t>
      </w:r>
      <w:r w:rsidRPr="00154F1D">
        <w:rPr>
          <w:sz w:val="12"/>
          <w:szCs w:val="12"/>
          <w:lang w:eastAsia="ja-JP"/>
        </w:rPr>
        <w:t xml:space="preserve"> </w:t>
      </w:r>
      <w:r w:rsidRPr="00154F1D">
        <w:rPr>
          <w:lang w:eastAsia="ja-JP"/>
        </w:rPr>
        <w:t xml:space="preserve">in the context of a denial of specific intent, the High Court said that the expert evidence could be used for the dual purpose sought. While </w:t>
      </w:r>
      <w:r w:rsidRPr="00154F1D">
        <w:rPr>
          <w:i/>
          <w:lang w:eastAsia="ja-JP"/>
        </w:rPr>
        <w:t>Walsh</w:t>
      </w:r>
      <w:r w:rsidRPr="00154F1D">
        <w:rPr>
          <w:lang w:eastAsia="ja-JP"/>
        </w:rPr>
        <w:t xml:space="preserve"> is still binding authority in Tasmania in relation to the interaction of insanity and self-defence, it remains to be seen how, in light of the approach of the High Court in </w:t>
      </w:r>
      <w:r w:rsidRPr="00154F1D">
        <w:rPr>
          <w:i/>
          <w:lang w:eastAsia="ja-JP"/>
        </w:rPr>
        <w:t>Hawkins</w:t>
      </w:r>
      <w:r w:rsidRPr="00154F1D">
        <w:rPr>
          <w:lang w:eastAsia="ja-JP"/>
        </w:rPr>
        <w:t>, the issue might be approached if the Court of Criminal Appeal reconsidered the matter.</w:t>
      </w:r>
    </w:p>
    <w:p w14:paraId="5797B1E4" w14:textId="35C6E9C2" w:rsidR="00A4098C" w:rsidRPr="00154F1D" w:rsidRDefault="00526FA7" w:rsidP="001C1CFB">
      <w:pPr>
        <w:pStyle w:val="NormalNumberedTextTLRI"/>
        <w:numPr>
          <w:ilvl w:val="0"/>
          <w:numId w:val="0"/>
        </w:numPr>
        <w:tabs>
          <w:tab w:val="clear" w:pos="851"/>
        </w:tabs>
        <w:ind w:left="851" w:hanging="425"/>
      </w:pPr>
      <w:r w:rsidRPr="00154F1D">
        <w:rPr>
          <w:lang w:eastAsia="ja-JP"/>
        </w:rPr>
        <w:t>(3)</w:t>
      </w:r>
      <w:r w:rsidR="001C1CFB" w:rsidRPr="00154F1D">
        <w:rPr>
          <w:lang w:eastAsia="ja-JP"/>
        </w:rPr>
        <w:tab/>
      </w:r>
      <w:r w:rsidR="00FE738A" w:rsidRPr="00154F1D">
        <w:rPr>
          <w:u w:val="single"/>
          <w:lang w:eastAsia="ja-JP"/>
        </w:rPr>
        <w:t xml:space="preserve">Is </w:t>
      </w:r>
      <w:r w:rsidRPr="00154F1D">
        <w:rPr>
          <w:u w:val="single"/>
          <w:lang w:eastAsia="ja-JP"/>
        </w:rPr>
        <w:t>s 16(3) limited to insane delusions or does it apply to delusions more generally?</w:t>
      </w:r>
      <w:r w:rsidRPr="00154F1D">
        <w:rPr>
          <w:lang w:eastAsia="ja-JP"/>
        </w:rPr>
        <w:t xml:space="preserve"> On the basis that s 16(3) does not refer to insane delusions, some commentators have suggested that ‘specific delusions may be exempt from criminal responsibility even though they are not caused by mental illness’.</w:t>
      </w:r>
      <w:r w:rsidRPr="00154F1D">
        <w:rPr>
          <w:rStyle w:val="FootnoteReference"/>
          <w:rFonts w:eastAsiaTheme="minorEastAsia"/>
          <w:szCs w:val="22"/>
          <w:lang w:eastAsia="ja-JP"/>
        </w:rPr>
        <w:footnoteReference w:id="553"/>
      </w:r>
      <w:r w:rsidRPr="00154F1D">
        <w:rPr>
          <w:sz w:val="12"/>
          <w:szCs w:val="12"/>
          <w:lang w:eastAsia="ja-JP"/>
        </w:rPr>
        <w:t xml:space="preserve"> </w:t>
      </w:r>
      <w:r w:rsidRPr="00154F1D">
        <w:rPr>
          <w:lang w:eastAsia="ja-JP"/>
        </w:rPr>
        <w:t>Read in this way, s 16(3) could apply to a delusion arising from drug-induced psychosis rather than from an underlying mental disease. However, the opposing view is that s 16(3) should be read as applying only to delusions that are produced by a mental disease. This interpretation is supported by the location of s 16(3) within the provision that sets out the insanity defence. This issue is unresolved.</w:t>
      </w:r>
    </w:p>
    <w:p w14:paraId="7EDD6D70" w14:textId="0C30AC92" w:rsidR="00526FA7" w:rsidRPr="00154F1D" w:rsidRDefault="00526FA7" w:rsidP="001C1CFB">
      <w:pPr>
        <w:pStyle w:val="NormalNumberedTextTLRI"/>
        <w:numPr>
          <w:ilvl w:val="0"/>
          <w:numId w:val="0"/>
        </w:numPr>
        <w:tabs>
          <w:tab w:val="clear" w:pos="851"/>
        </w:tabs>
        <w:ind w:left="851" w:hanging="425"/>
      </w:pPr>
      <w:r w:rsidRPr="00154F1D">
        <w:rPr>
          <w:lang w:eastAsia="ja-JP"/>
        </w:rPr>
        <w:t>(4)</w:t>
      </w:r>
      <w:r w:rsidR="00FA073D" w:rsidRPr="00154F1D">
        <w:rPr>
          <w:lang w:eastAsia="ja-JP"/>
        </w:rPr>
        <w:tab/>
      </w:r>
      <w:r w:rsidRPr="00B63C40">
        <w:rPr>
          <w:u w:val="single"/>
          <w:lang w:eastAsia="ja-JP"/>
        </w:rPr>
        <w:t xml:space="preserve">If an accused is able to rely on a sane delusion under s 16(3) as a basis for raising self-defence, </w:t>
      </w:r>
      <w:r w:rsidR="00FE738A" w:rsidRPr="00B63C40">
        <w:rPr>
          <w:u w:val="single"/>
          <w:lang w:eastAsia="ja-JP"/>
        </w:rPr>
        <w:t xml:space="preserve">is </w:t>
      </w:r>
      <w:r w:rsidRPr="00B63C40">
        <w:rPr>
          <w:u w:val="single"/>
          <w:lang w:eastAsia="ja-JP"/>
        </w:rPr>
        <w:t>the accused entitled to a complete or a qualified acquittal?</w:t>
      </w:r>
      <w:r w:rsidRPr="00154F1D">
        <w:rPr>
          <w:lang w:eastAsia="ja-JP"/>
        </w:rPr>
        <w:t xml:space="preserve"> In Tasmania, reliance on s 16(3) has more commonly been understood to provide the accused with a basis for raising self-defence under s 46</w:t>
      </w:r>
      <w:r w:rsidR="00B63C40">
        <w:rPr>
          <w:lang w:eastAsia="ja-JP"/>
        </w:rPr>
        <w:t>,</w:t>
      </w:r>
      <w:r w:rsidRPr="00154F1D">
        <w:rPr>
          <w:lang w:eastAsia="ja-JP"/>
        </w:rPr>
        <w:t xml:space="preserve"> and if the prosecution cannot prove beyond reasonable doubt that the accused’s use of force was excessive, the accused would receive a complete acquittal.</w:t>
      </w:r>
      <w:r w:rsidRPr="00154F1D">
        <w:rPr>
          <w:rStyle w:val="FootnoteReference"/>
          <w:rFonts w:eastAsiaTheme="minorEastAsia"/>
          <w:szCs w:val="22"/>
          <w:lang w:eastAsia="ja-JP"/>
        </w:rPr>
        <w:footnoteReference w:id="554"/>
      </w:r>
      <w:r w:rsidR="00FA073D" w:rsidRPr="00154F1D">
        <w:rPr>
          <w:lang w:eastAsia="ja-JP"/>
        </w:rPr>
        <w:t xml:space="preserve"> </w:t>
      </w:r>
      <w:r w:rsidRPr="00154F1D">
        <w:rPr>
          <w:lang w:eastAsia="ja-JP"/>
        </w:rPr>
        <w:t>A contrary position is that s 46 works within s 16 to provide the accused with an additional way of proving insanity and obtaining a qualified acquittal; that is, not guilty by reason of insanity.</w:t>
      </w:r>
      <w:bookmarkStart w:id="172" w:name="_Ref535500638"/>
      <w:r w:rsidRPr="00154F1D">
        <w:rPr>
          <w:rStyle w:val="FootnoteReference"/>
          <w:rFonts w:eastAsiaTheme="minorEastAsia"/>
          <w:szCs w:val="22"/>
          <w:lang w:eastAsia="ja-JP"/>
        </w:rPr>
        <w:footnoteReference w:id="555"/>
      </w:r>
      <w:bookmarkEnd w:id="172"/>
    </w:p>
    <w:p w14:paraId="20CA8566" w14:textId="50C43D09" w:rsidR="00437129" w:rsidRPr="00154F1D" w:rsidRDefault="00526FA7" w:rsidP="00744FAA">
      <w:pPr>
        <w:pStyle w:val="NormalNumberedTextTLRI"/>
      </w:pPr>
      <w:r w:rsidRPr="00154F1D">
        <w:rPr>
          <w:lang w:eastAsia="ja-JP"/>
        </w:rPr>
        <w:t xml:space="preserve">Accordingly, </w:t>
      </w:r>
      <w:r w:rsidR="00DF57C2" w:rsidRPr="00154F1D">
        <w:rPr>
          <w:lang w:eastAsia="ja-JP"/>
        </w:rPr>
        <w:t>the TLRI expressed the</w:t>
      </w:r>
      <w:r w:rsidRPr="00154F1D">
        <w:rPr>
          <w:lang w:eastAsia="ja-JP"/>
        </w:rPr>
        <w:t xml:space="preserve"> view that there </w:t>
      </w:r>
      <w:r w:rsidR="00FE738A" w:rsidRPr="00154F1D">
        <w:rPr>
          <w:lang w:eastAsia="ja-JP"/>
        </w:rPr>
        <w:t xml:space="preserve">is </w:t>
      </w:r>
      <w:r w:rsidRPr="00154F1D">
        <w:rPr>
          <w:lang w:eastAsia="ja-JP"/>
        </w:rPr>
        <w:t>a need to clarify the interaction of the law of self-defence and insanity.</w:t>
      </w:r>
      <w:r w:rsidRPr="00154F1D">
        <w:rPr>
          <w:rStyle w:val="FootnoteReference"/>
          <w:lang w:eastAsia="ja-JP"/>
        </w:rPr>
        <w:footnoteReference w:id="556"/>
      </w:r>
      <w:r w:rsidR="00DF57C2" w:rsidRPr="00154F1D">
        <w:rPr>
          <w:lang w:eastAsia="ja-JP"/>
        </w:rPr>
        <w:t xml:space="preserve"> </w:t>
      </w:r>
    </w:p>
    <w:p w14:paraId="144DF230" w14:textId="6E4F77F6" w:rsidR="00533C39" w:rsidRPr="00154F1D" w:rsidRDefault="00437129" w:rsidP="00533C39">
      <w:pPr>
        <w:pStyle w:val="NormalNumberedTextTLRI"/>
      </w:pPr>
      <w:r w:rsidRPr="00154F1D">
        <w:rPr>
          <w:lang w:eastAsia="ja-JP"/>
        </w:rPr>
        <w:t>T</w:t>
      </w:r>
      <w:r w:rsidRPr="00154F1D">
        <w:t xml:space="preserve">he Terms of Reference for this current review ask the TLRI provide advice as to whether evidence of insane delusions arising from mental illness should form the basis for self-defence. This has previously been addressed by the TLRI, </w:t>
      </w:r>
      <w:r w:rsidR="00B41430" w:rsidRPr="00154F1D">
        <w:t xml:space="preserve">and </w:t>
      </w:r>
      <w:r w:rsidR="00533C39" w:rsidRPr="00154F1D">
        <w:t>it was</w:t>
      </w:r>
      <w:r w:rsidRPr="00154F1D">
        <w:rPr>
          <w:lang w:eastAsia="ja-JP"/>
        </w:rPr>
        <w:t xml:space="preserve"> </w:t>
      </w:r>
      <w:r w:rsidR="00533C39" w:rsidRPr="00154F1D">
        <w:rPr>
          <w:lang w:eastAsia="ja-JP"/>
        </w:rPr>
        <w:t xml:space="preserve">recommended </w:t>
      </w:r>
      <w:r w:rsidR="00DF57C2" w:rsidRPr="00154F1D">
        <w:rPr>
          <w:lang w:eastAsia="ja-JP"/>
        </w:rPr>
        <w:t>that</w:t>
      </w:r>
      <w:r w:rsidR="00533C39" w:rsidRPr="00154F1D">
        <w:rPr>
          <w:lang w:eastAsia="ja-JP"/>
        </w:rPr>
        <w:t>:</w:t>
      </w:r>
    </w:p>
    <w:p w14:paraId="3EA4E453" w14:textId="79BA13FF" w:rsidR="00437129" w:rsidRPr="00154F1D" w:rsidRDefault="00533C39" w:rsidP="009D733A">
      <w:pPr>
        <w:pStyle w:val="QuoteTLRI"/>
      </w:pPr>
      <w:r w:rsidRPr="00154F1D">
        <w:t>T</w:t>
      </w:r>
      <w:r w:rsidR="00080BB4" w:rsidRPr="00154F1D">
        <w:t xml:space="preserve">he </w:t>
      </w:r>
      <w:r w:rsidR="00080BB4" w:rsidRPr="00154F1D">
        <w:rPr>
          <w:i/>
        </w:rPr>
        <w:t xml:space="preserve">Criminal Code </w:t>
      </w:r>
      <w:r w:rsidR="00080BB4" w:rsidRPr="00154F1D">
        <w:t xml:space="preserve">(Tas) be amended to provide </w:t>
      </w:r>
      <w:r w:rsidR="00FE738A" w:rsidRPr="00154F1D">
        <w:t xml:space="preserve">that </w:t>
      </w:r>
      <w:r w:rsidR="00080BB4" w:rsidRPr="00154F1D">
        <w:t xml:space="preserve">if a person does an act or makes an omission as a result of a delusion caused by a mental disease, the delusion can only be used as a defence under s 16 of the </w:t>
      </w:r>
      <w:r w:rsidR="00080BB4" w:rsidRPr="00154F1D">
        <w:rPr>
          <w:i/>
        </w:rPr>
        <w:t xml:space="preserve">Criminal Code </w:t>
      </w:r>
      <w:r w:rsidR="00080BB4" w:rsidRPr="00154F1D">
        <w:t>(Tas) and cannot be relied on to support a defence of self-defence under s</w:t>
      </w:r>
      <w:r w:rsidRPr="00154F1D">
        <w:t xml:space="preserve"> </w:t>
      </w:r>
      <w:r w:rsidR="00080BB4" w:rsidRPr="00154F1D">
        <w:t xml:space="preserve">46 of the </w:t>
      </w:r>
      <w:r w:rsidR="00080BB4" w:rsidRPr="00154F1D">
        <w:rPr>
          <w:i/>
        </w:rPr>
        <w:t xml:space="preserve">Criminal Code </w:t>
      </w:r>
      <w:r w:rsidR="00080BB4" w:rsidRPr="00154F1D">
        <w:t>(Tas)</w:t>
      </w:r>
      <w:r w:rsidR="00DF57C2" w:rsidRPr="00154F1D">
        <w:t>.</w:t>
      </w:r>
      <w:r w:rsidRPr="00154F1D">
        <w:rPr>
          <w:rStyle w:val="FootnoteReference"/>
        </w:rPr>
        <w:footnoteReference w:id="557"/>
      </w:r>
      <w:r w:rsidR="00DF57C2" w:rsidRPr="00154F1D">
        <w:t xml:space="preserve"> </w:t>
      </w:r>
    </w:p>
    <w:p w14:paraId="4452892D" w14:textId="1E7A16CF" w:rsidR="00080BB4" w:rsidRPr="00154F1D" w:rsidRDefault="00DF57C2" w:rsidP="00744FAA">
      <w:pPr>
        <w:pStyle w:val="NormalNumberedTextTLRI"/>
      </w:pPr>
      <w:r w:rsidRPr="00154F1D">
        <w:rPr>
          <w:lang w:eastAsia="ja-JP"/>
        </w:rPr>
        <w:t xml:space="preserve">This </w:t>
      </w:r>
      <w:r w:rsidR="00FE738A" w:rsidRPr="00154F1D">
        <w:rPr>
          <w:lang w:eastAsia="ja-JP"/>
        </w:rPr>
        <w:t xml:space="preserve">recommendation </w:t>
      </w:r>
      <w:r w:rsidRPr="00154F1D">
        <w:rPr>
          <w:lang w:eastAsia="ja-JP"/>
        </w:rPr>
        <w:t>reflect</w:t>
      </w:r>
      <w:r w:rsidR="00FE738A" w:rsidRPr="00154F1D">
        <w:rPr>
          <w:lang w:eastAsia="ja-JP"/>
        </w:rPr>
        <w:t>s</w:t>
      </w:r>
      <w:r w:rsidRPr="00154F1D">
        <w:rPr>
          <w:lang w:eastAsia="ja-JP"/>
        </w:rPr>
        <w:t xml:space="preserve"> the TLRI’s view that </w:t>
      </w:r>
      <w:r w:rsidR="00080BB4" w:rsidRPr="00154F1D">
        <w:t xml:space="preserve">to allow all evidence of mental illness to be relevant to self-defence </w:t>
      </w:r>
      <w:r w:rsidR="00FE738A" w:rsidRPr="00154F1D">
        <w:t xml:space="preserve">is </w:t>
      </w:r>
      <w:r w:rsidR="00080BB4" w:rsidRPr="00154F1D">
        <w:t>contrary to community expectations and d</w:t>
      </w:r>
      <w:r w:rsidR="00FE738A" w:rsidRPr="00154F1D">
        <w:t>oes</w:t>
      </w:r>
      <w:r w:rsidR="00080BB4" w:rsidRPr="00154F1D">
        <w:t xml:space="preserve"> not reflect the respective purposes of the insanity defence and the defence of self-defence. While</w:t>
      </w:r>
      <w:r w:rsidR="00194645" w:rsidRPr="00154F1D">
        <w:t>,</w:t>
      </w:r>
      <w:r w:rsidR="00080BB4" w:rsidRPr="00154F1D">
        <w:t xml:space="preserve"> as a matter of policy, it may be accepted that an accused should be able to rely on sane though unreasonable mistakes for </w:t>
      </w:r>
      <w:r w:rsidR="00FE738A" w:rsidRPr="00154F1D">
        <w:t xml:space="preserve">the </w:t>
      </w:r>
      <w:r w:rsidR="00080BB4" w:rsidRPr="00154F1D">
        <w:t xml:space="preserve">purposes of self-defence, it does not follow that an accused should similarly be entitled to rely on insane delusions. </w:t>
      </w:r>
      <w:r w:rsidR="00926421" w:rsidRPr="00154F1D">
        <w:t xml:space="preserve">As </w:t>
      </w:r>
      <w:r w:rsidR="00FE738A" w:rsidRPr="00154F1D">
        <w:t xml:space="preserve">suggested </w:t>
      </w:r>
      <w:r w:rsidR="00926421" w:rsidRPr="00154F1D">
        <w:t>by Baker, a belief arising from a delusion is not a ‘mistake’.</w:t>
      </w:r>
      <w:r w:rsidR="00926421" w:rsidRPr="00154F1D">
        <w:rPr>
          <w:rStyle w:val="FootnoteReference"/>
        </w:rPr>
        <w:footnoteReference w:id="558"/>
      </w:r>
      <w:r w:rsidR="00926421" w:rsidRPr="00154F1D">
        <w:t xml:space="preserve"> Further, i</w:t>
      </w:r>
      <w:r w:rsidR="00080BB4" w:rsidRPr="00154F1D">
        <w:t xml:space="preserve">n the case of a (sane) mistake the jury can apply their common sense and may refuse to accept a patently absurd and unreasonable mistake as one that is not genuinely held. This ‘reality testing’ is unlikely to be possible for an insane delusion. This means that the prosecution will only be able to establish beyond reasonable doubt that the </w:t>
      </w:r>
      <w:r w:rsidR="00CD7AF9">
        <w:t>accused</w:t>
      </w:r>
      <w:r w:rsidR="00CD7AF9" w:rsidRPr="00154F1D">
        <w:t xml:space="preserve"> </w:t>
      </w:r>
      <w:r w:rsidR="00080BB4" w:rsidRPr="00154F1D">
        <w:t>was not acting in self-defence by proving either that the delusion was not one of immediate/imminent harm</w:t>
      </w:r>
      <w:r w:rsidR="00080BB4" w:rsidRPr="00154F1D">
        <w:rPr>
          <w:rStyle w:val="FootnoteReference"/>
        </w:rPr>
        <w:footnoteReference w:id="559"/>
      </w:r>
      <w:r w:rsidR="00080BB4" w:rsidRPr="00154F1D">
        <w:t xml:space="preserve"> or that the force used was excessive in the circumstances as the </w:t>
      </w:r>
      <w:r w:rsidR="00CD7AF9">
        <w:t>accused</w:t>
      </w:r>
      <w:r w:rsidR="00CD7AF9" w:rsidRPr="00154F1D">
        <w:t xml:space="preserve"> </w:t>
      </w:r>
      <w:r w:rsidR="00080BB4" w:rsidRPr="00154F1D">
        <w:t xml:space="preserve">believed them to be. But exactly how would the prosecution be able to do this? It would require them to engage with the insane delusion as though it had some basis in reality. </w:t>
      </w:r>
      <w:r w:rsidR="00AE65BB" w:rsidRPr="00154F1D">
        <w:t>This gives rise to the possibility of trials in which the ‘facts’ to be established would consist entirely of the content of the delusion.</w:t>
      </w:r>
      <w:bookmarkStart w:id="173" w:name="_Ref535504549"/>
      <w:r w:rsidR="00AE65BB" w:rsidRPr="00154F1D">
        <w:rPr>
          <w:rStyle w:val="FootnoteReference"/>
        </w:rPr>
        <w:footnoteReference w:id="560"/>
      </w:r>
      <w:bookmarkEnd w:id="173"/>
      <w:r w:rsidR="00AE65BB" w:rsidRPr="00154F1D">
        <w:t xml:space="preserve"> </w:t>
      </w:r>
      <w:r w:rsidR="00080BB4" w:rsidRPr="00154F1D">
        <w:t>Similarly, asking jurors to assess the reasonableness of an accused’s response to an insane delusion obliges them to engage in fantastical reasoning. This begs the question, just how can a jury realistically or rationally assess the reasonableness of a response generated by an insane delusion.</w:t>
      </w:r>
      <w:r w:rsidR="00080BB4" w:rsidRPr="00154F1D">
        <w:rPr>
          <w:rStyle w:val="FootnoteReference"/>
        </w:rPr>
        <w:footnoteReference w:id="561"/>
      </w:r>
      <w:r w:rsidR="00080BB4" w:rsidRPr="00154F1D">
        <w:t xml:space="preserve"> Additionally, to permit complete acquittals in cases of insane delusions does not enable appropriate treatment to be provided to deluded </w:t>
      </w:r>
      <w:r w:rsidR="0007453E">
        <w:t xml:space="preserve">defendants </w:t>
      </w:r>
      <w:r w:rsidR="00080BB4" w:rsidRPr="00154F1D">
        <w:t>or take into account the need for community protection.</w:t>
      </w:r>
      <w:r w:rsidR="00080BB4" w:rsidRPr="00154F1D">
        <w:rPr>
          <w:rStyle w:val="FootnoteReference"/>
        </w:rPr>
        <w:footnoteReference w:id="562"/>
      </w:r>
      <w:r w:rsidR="00080BB4" w:rsidRPr="00154F1D">
        <w:t xml:space="preserve"> </w:t>
      </w:r>
    </w:p>
    <w:p w14:paraId="07311E82" w14:textId="7F36A312" w:rsidR="00AE65BB" w:rsidRPr="00154F1D" w:rsidRDefault="00AE65BB" w:rsidP="00744FAA">
      <w:pPr>
        <w:pStyle w:val="NormalNumberedTextTLRI"/>
      </w:pPr>
      <w:r w:rsidRPr="00154F1D">
        <w:t>Illustrative cases where a defendant relied on insanity but where the nature of the delusion meant that the defendant believed that he was acting in self-defence include:</w:t>
      </w:r>
    </w:p>
    <w:p w14:paraId="6E1AD68F" w14:textId="68B1E3F3" w:rsidR="00AE65BB" w:rsidRPr="00154F1D" w:rsidRDefault="00AE65BB" w:rsidP="004D70D3">
      <w:pPr>
        <w:pStyle w:val="DotPointTLRI"/>
        <w:ind w:left="851" w:hanging="425"/>
      </w:pPr>
      <w:r w:rsidRPr="00154F1D">
        <w:t xml:space="preserve">A case where the accused suffered from severe schizophrenia and was described by a forensic psychologist as ‘seriously unwell’. </w:t>
      </w:r>
      <w:r w:rsidR="00A87155" w:rsidRPr="00154F1D">
        <w:t xml:space="preserve">The accused’s </w:t>
      </w:r>
      <w:r w:rsidRPr="00154F1D">
        <w:t xml:space="preserve">condition caused acute psychotic symptoms including auditory and visual hallucinations and persecutory and referential delusions. </w:t>
      </w:r>
      <w:r w:rsidR="00A87155" w:rsidRPr="00154F1D">
        <w:t xml:space="preserve">The accused </w:t>
      </w:r>
      <w:r w:rsidRPr="00154F1D">
        <w:t xml:space="preserve">believed that the police officers were trying to kill </w:t>
      </w:r>
      <w:r w:rsidR="00743892">
        <w:t>them</w:t>
      </w:r>
      <w:r w:rsidR="00523F68" w:rsidRPr="00154F1D">
        <w:t>.</w:t>
      </w:r>
      <w:r w:rsidRPr="00154F1D">
        <w:t xml:space="preserve"> </w:t>
      </w:r>
    </w:p>
    <w:p w14:paraId="2F4DC462" w14:textId="08F2549F" w:rsidR="00AE65BB" w:rsidRPr="00154F1D" w:rsidRDefault="00537857" w:rsidP="004D70D3">
      <w:pPr>
        <w:pStyle w:val="DotPointTLRI"/>
        <w:ind w:left="851" w:hanging="425"/>
      </w:pPr>
      <w:r w:rsidRPr="00154F1D">
        <w:t xml:space="preserve">A case where the accused suffered from schizophrenia, with </w:t>
      </w:r>
      <w:r w:rsidR="00A87155" w:rsidRPr="00154F1D">
        <w:t xml:space="preserve">the </w:t>
      </w:r>
      <w:r w:rsidRPr="00154F1D">
        <w:t xml:space="preserve">most prominent symptoms being a belief that family </w:t>
      </w:r>
      <w:r w:rsidR="005F29F8" w:rsidRPr="00154F1D">
        <w:t xml:space="preserve">members </w:t>
      </w:r>
      <w:r w:rsidRPr="00154F1D">
        <w:t xml:space="preserve">were being impersonated, delusions and other abnormal beliefs. </w:t>
      </w:r>
      <w:r w:rsidR="00A87155" w:rsidRPr="00154F1D">
        <w:t xml:space="preserve">The accused </w:t>
      </w:r>
      <w:r w:rsidRPr="00154F1D">
        <w:t xml:space="preserve">repeatedly hit and injured </w:t>
      </w:r>
      <w:r w:rsidR="00091AF0">
        <w:t>their</w:t>
      </w:r>
      <w:r w:rsidR="00091AF0" w:rsidRPr="00154F1D">
        <w:t xml:space="preserve"> </w:t>
      </w:r>
      <w:r w:rsidRPr="00154F1D">
        <w:t xml:space="preserve">family member, believing that </w:t>
      </w:r>
      <w:r w:rsidR="00A87155" w:rsidRPr="00154F1D">
        <w:t xml:space="preserve">the </w:t>
      </w:r>
      <w:r w:rsidR="00091AF0">
        <w:t xml:space="preserve">person </w:t>
      </w:r>
      <w:r w:rsidRPr="00154F1D">
        <w:t>was impersonating the</w:t>
      </w:r>
      <w:r w:rsidR="00091AF0">
        <w:t>ir</w:t>
      </w:r>
      <w:r w:rsidRPr="00154F1D">
        <w:t xml:space="preserve"> family member (rather than </w:t>
      </w:r>
      <w:r w:rsidR="00091AF0">
        <w:t xml:space="preserve">actually being </w:t>
      </w:r>
      <w:r w:rsidRPr="00154F1D">
        <w:t xml:space="preserve">the family member). </w:t>
      </w:r>
      <w:r w:rsidR="00A87155" w:rsidRPr="00154F1D">
        <w:t xml:space="preserve">The accused </w:t>
      </w:r>
      <w:r w:rsidRPr="00154F1D">
        <w:t xml:space="preserve">believed </w:t>
      </w:r>
      <w:r w:rsidR="00091AF0">
        <w:t>the ‘impersonator’ was</w:t>
      </w:r>
      <w:r w:rsidRPr="00154F1D">
        <w:t xml:space="preserve"> dangerous as the accused believed </w:t>
      </w:r>
      <w:r w:rsidR="00091AF0">
        <w:t xml:space="preserve">the </w:t>
      </w:r>
      <w:r w:rsidR="00743892">
        <w:t>‘impersonator’</w:t>
      </w:r>
      <w:r w:rsidR="00743892" w:rsidRPr="00154F1D">
        <w:t xml:space="preserve"> </w:t>
      </w:r>
      <w:r w:rsidRPr="00154F1D">
        <w:t xml:space="preserve">had killed the family member. </w:t>
      </w:r>
    </w:p>
    <w:p w14:paraId="61F01DF8" w14:textId="07AFF79F" w:rsidR="00537857" w:rsidRPr="00154F1D" w:rsidRDefault="00537857" w:rsidP="004D70D3">
      <w:pPr>
        <w:pStyle w:val="DotPointTLRI"/>
        <w:ind w:left="851" w:hanging="425"/>
      </w:pPr>
      <w:r w:rsidRPr="00154F1D">
        <w:t xml:space="preserve">A case where the accused threatened police officers because, due to a psychotic illness, </w:t>
      </w:r>
      <w:r w:rsidR="00A87155" w:rsidRPr="00154F1D">
        <w:t xml:space="preserve">the accused </w:t>
      </w:r>
      <w:r w:rsidRPr="00154F1D">
        <w:t xml:space="preserve">believed that the police were a source of profound danger. </w:t>
      </w:r>
    </w:p>
    <w:p w14:paraId="301F006F" w14:textId="72F9760F" w:rsidR="004E56E8" w:rsidRPr="00154F1D" w:rsidRDefault="00080BB4" w:rsidP="00744FAA">
      <w:pPr>
        <w:pStyle w:val="NormalNumberedTextTLRI"/>
      </w:pPr>
      <w:r w:rsidRPr="00154F1D">
        <w:t xml:space="preserve">In addition, in its previous report, the TLRI </w:t>
      </w:r>
      <w:r w:rsidR="00BE4BE7" w:rsidRPr="00154F1D">
        <w:t>considered</w:t>
      </w:r>
      <w:r w:rsidRPr="00154F1D">
        <w:t xml:space="preserve"> the repeal of the </w:t>
      </w:r>
      <w:r w:rsidRPr="00154F1D">
        <w:rPr>
          <w:i/>
        </w:rPr>
        <w:t xml:space="preserve">Criminal Code </w:t>
      </w:r>
      <w:r w:rsidRPr="00154F1D">
        <w:t xml:space="preserve">(Tas) s 16(3), and </w:t>
      </w:r>
      <w:r w:rsidR="00FE738A" w:rsidRPr="00154F1D">
        <w:t xml:space="preserve">recommended </w:t>
      </w:r>
      <w:r w:rsidRPr="00154F1D">
        <w:t>that it should be repealed.</w:t>
      </w:r>
      <w:r w:rsidRPr="00154F1D">
        <w:rPr>
          <w:rStyle w:val="FootnoteReference"/>
        </w:rPr>
        <w:footnoteReference w:id="563"/>
      </w:r>
      <w:r w:rsidRPr="00154F1D">
        <w:t xml:space="preserve"> </w:t>
      </w:r>
    </w:p>
    <w:p w14:paraId="71E64C99" w14:textId="30608096" w:rsidR="00080BB4" w:rsidRPr="00154F1D" w:rsidRDefault="00E04F28" w:rsidP="00744FAA">
      <w:pPr>
        <w:pStyle w:val="NormalNumberedTextTLRI"/>
      </w:pPr>
      <w:r w:rsidRPr="00154F1D">
        <w:t xml:space="preserve">This is the approach adopted in the </w:t>
      </w:r>
      <w:r w:rsidRPr="00154F1D">
        <w:rPr>
          <w:i/>
        </w:rPr>
        <w:t xml:space="preserve">Criminal Code </w:t>
      </w:r>
      <w:r w:rsidRPr="00154F1D">
        <w:t xml:space="preserve">(Cth) s 7.3(7) and the </w:t>
      </w:r>
      <w:r w:rsidRPr="00154F1D">
        <w:rPr>
          <w:i/>
        </w:rPr>
        <w:t xml:space="preserve">Criminal Code </w:t>
      </w:r>
      <w:r w:rsidRPr="00154F1D">
        <w:t xml:space="preserve">(ACT) s 29(2). The </w:t>
      </w:r>
      <w:r w:rsidRPr="00154F1D">
        <w:rPr>
          <w:i/>
        </w:rPr>
        <w:t xml:space="preserve">Criminal Code </w:t>
      </w:r>
      <w:r w:rsidRPr="00154F1D">
        <w:t>(ACT) s 29 provides:</w:t>
      </w:r>
    </w:p>
    <w:p w14:paraId="7C1B6364" w14:textId="6814EFEF" w:rsidR="00E04F28" w:rsidRPr="00154F1D" w:rsidRDefault="00E04F28" w:rsidP="00721DEA">
      <w:pPr>
        <w:pStyle w:val="QuoteTLRI"/>
        <w:ind w:left="1276" w:hanging="425"/>
      </w:pPr>
      <w:r w:rsidRPr="00154F1D">
        <w:t>(2)</w:t>
      </w:r>
      <w:r w:rsidR="00721DEA" w:rsidRPr="00154F1D">
        <w:tab/>
      </w:r>
      <w:r w:rsidRPr="00154F1D">
        <w:t>If the trier of fact is satisfied that a person carried out conduct because of a delusion caused by a mental impairment, the delusion itself cannot be relied on as a defence, but the person may rely on the mental impairment to deny criminal responsibility.</w:t>
      </w:r>
    </w:p>
    <w:p w14:paraId="41C0FDB9" w14:textId="77777777" w:rsidR="00E04F28" w:rsidRPr="00154F1D" w:rsidRDefault="00E04F28" w:rsidP="00744FAA">
      <w:pPr>
        <w:pStyle w:val="NormalNumberedTextTLRI"/>
        <w:numPr>
          <w:ilvl w:val="0"/>
          <w:numId w:val="0"/>
        </w:numPr>
      </w:pPr>
      <w:r w:rsidRPr="00154F1D">
        <w:t xml:space="preserve">The </w:t>
      </w:r>
      <w:r w:rsidRPr="00154F1D">
        <w:rPr>
          <w:i/>
        </w:rPr>
        <w:t xml:space="preserve">Criminal Code </w:t>
      </w:r>
      <w:r w:rsidRPr="00154F1D">
        <w:t>(Cth) s 7.3(7) provides that:</w:t>
      </w:r>
    </w:p>
    <w:p w14:paraId="23D26891" w14:textId="77777777" w:rsidR="00E04F28" w:rsidRPr="00154F1D" w:rsidRDefault="00E04F28" w:rsidP="0074267A">
      <w:pPr>
        <w:pStyle w:val="QuoteTLRI"/>
      </w:pPr>
      <w:r w:rsidRPr="00154F1D">
        <w:t>If the tribunal of fact is satisfied that a person carried out conduct as a result of a delusion caused by a mental impairment, the delusion cannot otherwise be relied on as a defence.</w:t>
      </w:r>
    </w:p>
    <w:p w14:paraId="1A5D8747" w14:textId="6D4596C8" w:rsidR="004E56E8" w:rsidRPr="00154F1D" w:rsidRDefault="00E04F28" w:rsidP="00744FAA">
      <w:pPr>
        <w:pStyle w:val="NormalNumberedTextTLRI"/>
        <w:numPr>
          <w:ilvl w:val="0"/>
          <w:numId w:val="0"/>
        </w:numPr>
      </w:pPr>
      <w:r w:rsidRPr="00154F1D">
        <w:t>These provisions reflect the view of the Model Criminal Code Officers Committee</w:t>
      </w:r>
      <w:r w:rsidR="00103724" w:rsidRPr="00154F1D">
        <w:t xml:space="preserve"> (MCCOC)</w:t>
      </w:r>
      <w:r w:rsidRPr="00154F1D">
        <w:t xml:space="preserve"> that ‘delusions are symptoms of underlying pathology and that such defendants should be confined to the mental impairment defences’.</w:t>
      </w:r>
      <w:r w:rsidRPr="00154F1D">
        <w:rPr>
          <w:rStyle w:val="TLRIFootnoteRef"/>
        </w:rPr>
        <w:footnoteReference w:id="564"/>
      </w:r>
      <w:r w:rsidRPr="00154F1D">
        <w:t xml:space="preserve"> While this approach precludes reliance on a delusion for self-defence, it does not prevent a person who suffers from an insane delusion from relying on self-defence in circumstances where the person is actually under threat (rather than relying solely on an imagined threat that is a product of psychosis).</w:t>
      </w:r>
      <w:r w:rsidRPr="00154F1D">
        <w:rPr>
          <w:rStyle w:val="TLRIFootnoteRef"/>
        </w:rPr>
        <w:footnoteReference w:id="565"/>
      </w:r>
      <w:r w:rsidR="004E56E8" w:rsidRPr="00154F1D">
        <w:t xml:space="preserve"> This approach was also supported by the Director of Public Prosecutions, who expressed the view that:</w:t>
      </w:r>
    </w:p>
    <w:p w14:paraId="5A024BA8" w14:textId="1CCE444D" w:rsidR="00E04F28" w:rsidRPr="00154F1D" w:rsidRDefault="004E56E8" w:rsidP="0074267A">
      <w:pPr>
        <w:pStyle w:val="QuoteTLRI"/>
      </w:pPr>
      <w:r w:rsidRPr="00154F1D">
        <w:t xml:space="preserve">An accused should not be allowed to rely on evidence of a delusion caused by mental impairment as a basis for self-defence. Evidence of delusions caused by mental impairment should be dealt with by a consideration of insanity under s 16 of the </w:t>
      </w:r>
      <w:r w:rsidRPr="00154F1D">
        <w:rPr>
          <w:i/>
        </w:rPr>
        <w:t xml:space="preserve">Criminal Code. </w:t>
      </w:r>
      <w:r w:rsidRPr="00154F1D">
        <w:t xml:space="preserve">It is contrary to community expectations that an accused person could be acquitted based on a deluded belief or view of the facts. The community would expect that such a person would be caught by the insanity provisions and in that way the community would be protected from the risk that they might behave in a similar way in the future due to ongoing delusions. </w:t>
      </w:r>
    </w:p>
    <w:p w14:paraId="2E436A4E" w14:textId="77777777" w:rsidR="008549B3" w:rsidRPr="00154F1D" w:rsidRDefault="004E56E8" w:rsidP="00744FAA">
      <w:pPr>
        <w:pStyle w:val="NormalNumberedTextTLRI"/>
      </w:pPr>
      <w:r w:rsidRPr="00154F1D">
        <w:t>Further, t</w:t>
      </w:r>
      <w:r w:rsidR="00E04F28" w:rsidRPr="00154F1D">
        <w:t xml:space="preserve">his model accords with the approach of the Court of Criminal Appeal in </w:t>
      </w:r>
      <w:r w:rsidR="00E04F28" w:rsidRPr="00154F1D">
        <w:rPr>
          <w:i/>
        </w:rPr>
        <w:t>Walsh</w:t>
      </w:r>
      <w:r w:rsidR="00E04F28" w:rsidRPr="00154F1D">
        <w:t xml:space="preserve">, where it was held that expert evidence of an insane delusion was not generally admissible in relation to the defence of self-defence in the </w:t>
      </w:r>
      <w:r w:rsidR="00E04F28" w:rsidRPr="00154F1D">
        <w:rPr>
          <w:i/>
        </w:rPr>
        <w:t xml:space="preserve">Criminal Code </w:t>
      </w:r>
      <w:r w:rsidR="00E04F28" w:rsidRPr="00154F1D">
        <w:t xml:space="preserve">(Tas) s 46. In the circumstances, evidence of the accused’s delusions was confined to the insanity defence contained in s 16 of the </w:t>
      </w:r>
      <w:r w:rsidR="00E04F28" w:rsidRPr="00154F1D">
        <w:rPr>
          <w:i/>
        </w:rPr>
        <w:t xml:space="preserve">Criminal Code </w:t>
      </w:r>
      <w:r w:rsidR="00E04F28" w:rsidRPr="00154F1D">
        <w:t xml:space="preserve">(Tas). </w:t>
      </w:r>
    </w:p>
    <w:p w14:paraId="251D42BA" w14:textId="64A72A06" w:rsidR="00E04F28" w:rsidRPr="00154F1D" w:rsidRDefault="00EC7E2A" w:rsidP="00744FAA">
      <w:pPr>
        <w:pStyle w:val="NormalNumberedTextTLRI"/>
      </w:pPr>
      <w:r w:rsidRPr="00154F1D">
        <w:t>This model</w:t>
      </w:r>
      <w:r w:rsidR="00E04F28" w:rsidRPr="00154F1D">
        <w:t xml:space="preserve"> also prevents people who are suffering psychotic illnesses from relying on their deluded beliefs to obtain a complete acquittal. This approach is supported on policy grounds that the public requires protection from future potential harms.</w:t>
      </w:r>
      <w:r w:rsidR="00E04F28" w:rsidRPr="00154F1D">
        <w:rPr>
          <w:rStyle w:val="FootnoteReference"/>
        </w:rPr>
        <w:footnoteReference w:id="566"/>
      </w:r>
      <w:r w:rsidR="00E04F28" w:rsidRPr="00154F1D">
        <w:t xml:space="preserve"> It can also be said to accord with community sentiments that a person who inflicts violence as a result of a deluded belief of danger ‘should be confined to a place of safety but not be punished’.</w:t>
      </w:r>
      <w:bookmarkStart w:id="174" w:name="_Ref303946512"/>
      <w:r w:rsidR="00E04F28" w:rsidRPr="00154F1D">
        <w:rPr>
          <w:rStyle w:val="TLRIFootnoteRef"/>
        </w:rPr>
        <w:footnoteReference w:id="567"/>
      </w:r>
      <w:bookmarkEnd w:id="174"/>
      <w:r w:rsidR="00E04F28" w:rsidRPr="00154F1D">
        <w:t xml:space="preserve"> The dispositional options available following a finding of not guilty by reason of insanity means that the court can appropriately respond to treatment needs of the </w:t>
      </w:r>
      <w:r w:rsidR="00CD7AF9">
        <w:t>individual</w:t>
      </w:r>
      <w:r w:rsidR="00CD7AF9" w:rsidRPr="00154F1D">
        <w:t xml:space="preserve"> </w:t>
      </w:r>
      <w:r w:rsidR="00E04F28" w:rsidRPr="00154F1D">
        <w:t>and the need for community protection.</w:t>
      </w:r>
    </w:p>
    <w:p w14:paraId="38E6C3CB" w14:textId="77777777" w:rsidR="006072ED" w:rsidRPr="00154F1D" w:rsidRDefault="004E56E8" w:rsidP="00744FAA">
      <w:pPr>
        <w:pStyle w:val="NormalNumberedTextTLRI"/>
      </w:pPr>
      <w:r w:rsidRPr="00154F1D">
        <w:t>In addition</w:t>
      </w:r>
      <w:r w:rsidR="00E04F28" w:rsidRPr="00154F1D">
        <w:t xml:space="preserve">, the TLRI’s view was that repealing s 16(3) of the </w:t>
      </w:r>
      <w:r w:rsidR="00E04F28" w:rsidRPr="00154F1D">
        <w:rPr>
          <w:i/>
        </w:rPr>
        <w:t xml:space="preserve">Criminal Code </w:t>
      </w:r>
      <w:r w:rsidR="00E04F28" w:rsidRPr="00154F1D">
        <w:t>(Tas) had the advantage of promoting clarity and the modernisation of the law through the removal of a redundant provision. The scope and operation this provision has remained obscure with some commentators, courts and law reform bodies expressing the view that it is redundant and out of step with modern psychiatry.</w:t>
      </w:r>
      <w:bookmarkStart w:id="175" w:name="_Ref303945387"/>
      <w:r w:rsidR="00E04F28" w:rsidRPr="00154F1D">
        <w:rPr>
          <w:rStyle w:val="TLRIFootnoteRef"/>
        </w:rPr>
        <w:footnoteReference w:id="568"/>
      </w:r>
      <w:bookmarkEnd w:id="175"/>
      <w:r w:rsidR="00E04F28" w:rsidRPr="00154F1D">
        <w:t xml:space="preserve"> In Canada, these concerns led to the repeal in 1991 of the equivalent provision in the Canadian </w:t>
      </w:r>
      <w:r w:rsidR="00E04F28" w:rsidRPr="00154F1D">
        <w:rPr>
          <w:i/>
        </w:rPr>
        <w:t>Criminal Code</w:t>
      </w:r>
      <w:r w:rsidR="00E04F28" w:rsidRPr="00154F1D">
        <w:t>.</w:t>
      </w:r>
      <w:r w:rsidR="00E04F28" w:rsidRPr="00154F1D">
        <w:rPr>
          <w:rStyle w:val="TLRIFootnoteRef"/>
        </w:rPr>
        <w:footnoteReference w:id="569"/>
      </w:r>
      <w:r w:rsidR="00E04F28" w:rsidRPr="00154F1D">
        <w:t xml:space="preserve"> The utility of s 16(3) is particularly questionable in circumstances where a person has a deluded belief in the need for self-defence arising from a mental illness. It is difficult to envisage a scenario where such a case would not fall within s 16(1)(ii) of the </w:t>
      </w:r>
      <w:r w:rsidR="00E04F28" w:rsidRPr="00154F1D">
        <w:rPr>
          <w:i/>
        </w:rPr>
        <w:t xml:space="preserve">Criminal Code </w:t>
      </w:r>
      <w:r w:rsidR="00E04F28" w:rsidRPr="00154F1D">
        <w:t>(Tas). This section has been interpreted to mean that the defendant did not know that what they were doing was wrong according to the ‘everyday standards of reasonable people’.</w:t>
      </w:r>
      <w:r w:rsidR="00E04F28" w:rsidRPr="00154F1D">
        <w:rPr>
          <w:rStyle w:val="TLRIFootnoteRef"/>
        </w:rPr>
        <w:footnoteReference w:id="570"/>
      </w:r>
      <w:r w:rsidR="00E04F28" w:rsidRPr="00154F1D">
        <w:t xml:space="preserve"> </w:t>
      </w:r>
    </w:p>
    <w:p w14:paraId="6E95931D" w14:textId="07F219E4" w:rsidR="00E04F28" w:rsidRPr="00154F1D" w:rsidRDefault="00E04F28" w:rsidP="00744FAA">
      <w:pPr>
        <w:pStyle w:val="NormalNumberedTextTLRI"/>
      </w:pPr>
      <w:r w:rsidRPr="00154F1D">
        <w:t xml:space="preserve">The possibility that the jury might reject the defence of insanity yet consider it possible that the accused acted in self-defence when under the influence of an insane delusion is problematic. As noted in the Canadian decision of </w:t>
      </w:r>
      <w:r w:rsidRPr="00154F1D">
        <w:rPr>
          <w:i/>
        </w:rPr>
        <w:t>R v Chaulk</w:t>
      </w:r>
      <w:r w:rsidRPr="00154F1D">
        <w:t>:</w:t>
      </w:r>
    </w:p>
    <w:p w14:paraId="7B39AC8D" w14:textId="77777777" w:rsidR="00E04F28" w:rsidRPr="00154F1D" w:rsidRDefault="00E04F28" w:rsidP="00FA142F">
      <w:pPr>
        <w:pStyle w:val="QuoteTLRI"/>
      </w:pPr>
      <w:r w:rsidRPr="00154F1D">
        <w:t xml:space="preserve">An accused will be able to bring his claim within the scope of the second branch of the test set out in s 16(2) [the equivalent of </w:t>
      </w:r>
      <w:r w:rsidRPr="00154F1D">
        <w:rPr>
          <w:i/>
        </w:rPr>
        <w:t xml:space="preserve">Criminal Code </w:t>
      </w:r>
      <w:r w:rsidRPr="00154F1D">
        <w:t>(Tas) s 16(1)(ii)] if he proves that he was incapable of knowing that his conduct was morally wrong in the particular circumstances, for example, if he believes that the act was necessary to protect his life. If he is not able to establish this fact, it must be concluded that he either knew or was capable of knowing that the act was wrong in the circumstances. He cannot then possibly succeed in claiming that the act would have been justified or excused had the perceived facts been true.</w:t>
      </w:r>
      <w:r w:rsidRPr="00154F1D">
        <w:rPr>
          <w:rStyle w:val="TLRIFootnoteRef"/>
        </w:rPr>
        <w:footnoteReference w:id="571"/>
      </w:r>
    </w:p>
    <w:p w14:paraId="29D13500" w14:textId="6982ACF8" w:rsidR="006072ED" w:rsidRPr="00154F1D" w:rsidRDefault="006072ED" w:rsidP="001619E5">
      <w:pPr>
        <w:pStyle w:val="NormalNumberedTextTLRI"/>
        <w:numPr>
          <w:ilvl w:val="0"/>
          <w:numId w:val="0"/>
        </w:numPr>
      </w:pPr>
      <w:r w:rsidRPr="00154F1D">
        <w:t xml:space="preserve">A similar view was expressed by Simester et al, who observed that the rule on delusions in </w:t>
      </w:r>
      <w:r w:rsidRPr="00154F1D">
        <w:rPr>
          <w:i/>
        </w:rPr>
        <w:t xml:space="preserve">M’Naghten’s </w:t>
      </w:r>
      <w:r w:rsidRPr="00154F1D">
        <w:t>case:</w:t>
      </w:r>
    </w:p>
    <w:p w14:paraId="6DD7FCD1" w14:textId="036A18EB" w:rsidR="006072ED" w:rsidRPr="00154F1D" w:rsidRDefault="006072ED" w:rsidP="0074267A">
      <w:pPr>
        <w:pStyle w:val="QuoteTLRI"/>
      </w:pPr>
      <w:r w:rsidRPr="00154F1D">
        <w:t xml:space="preserve">does not appear to add anything to the substance of the Rules; the illustrations provided by the judges who formulated the Rules indicate that the effect of the delusion must be to prevent D knowing the nature and quality of his actions or from knowing that his actions were wrong. The superfluity of this aspect of the </w:t>
      </w:r>
      <w:r w:rsidRPr="00154F1D">
        <w:rPr>
          <w:i/>
        </w:rPr>
        <w:t xml:space="preserve">M’Naghten </w:t>
      </w:r>
      <w:r w:rsidRPr="00154F1D">
        <w:t>Rules is borne out by the lack of case law arising thereunder.</w:t>
      </w:r>
      <w:r w:rsidRPr="00154F1D">
        <w:rPr>
          <w:rStyle w:val="FootnoteReference"/>
        </w:rPr>
        <w:footnoteReference w:id="572"/>
      </w:r>
    </w:p>
    <w:p w14:paraId="6E9DA883" w14:textId="63024407" w:rsidR="00E04F28" w:rsidRPr="00154F1D" w:rsidRDefault="00E04F28" w:rsidP="001619E5">
      <w:pPr>
        <w:pStyle w:val="NormalNumberedTextTLRI"/>
        <w:numPr>
          <w:ilvl w:val="0"/>
          <w:numId w:val="0"/>
        </w:numPr>
      </w:pPr>
      <w:r w:rsidRPr="00154F1D">
        <w:t xml:space="preserve">If the jury accepts the expert opinion evidence concerning the accused’s delusional belief in the need to use self-defence, then a qualified acquittal on the grounds of insanity is available on the basis that the accused did not know that the act was wrong. On the other hand, if the jury rejects the defence of insanity, it seems difficult (if not impossible) to argue that the accused can rely on evidence of </w:t>
      </w:r>
      <w:r w:rsidR="009A5AE4" w:rsidRPr="00154F1D">
        <w:t xml:space="preserve">his or her </w:t>
      </w:r>
      <w:r w:rsidRPr="00154F1D">
        <w:t xml:space="preserve">delusion for the purposes of self-defence on the basis that </w:t>
      </w:r>
      <w:r w:rsidR="009A5AE4" w:rsidRPr="00154F1D">
        <w:t>he or she is</w:t>
      </w:r>
      <w:r w:rsidRPr="00154F1D">
        <w:t xml:space="preserve"> ‘criminally responsible for the act or omission to the same extent as if the fact which … [</w:t>
      </w:r>
      <w:r w:rsidR="009A5AE4" w:rsidRPr="00154F1D">
        <w:t>he or she was</w:t>
      </w:r>
      <w:r w:rsidRPr="00154F1D">
        <w:t>] induced by such delusion to believe to exist really existed’.</w:t>
      </w:r>
      <w:r w:rsidRPr="00154F1D">
        <w:rPr>
          <w:rStyle w:val="TLRIFootnoteRef"/>
        </w:rPr>
        <w:footnoteReference w:id="573"/>
      </w:r>
      <w:r w:rsidRPr="00154F1D">
        <w:t xml:space="preserve"> There is no evidentiary foundation to support the contention that the accused had a genuine belief in the need to act in self-defence.</w:t>
      </w:r>
    </w:p>
    <w:p w14:paraId="57870C77" w14:textId="35660690" w:rsidR="00FC008F" w:rsidRPr="00154F1D" w:rsidRDefault="004E56E8" w:rsidP="00744FAA">
      <w:pPr>
        <w:pStyle w:val="NormalNumberedTextTLRI"/>
      </w:pPr>
      <w:r w:rsidRPr="00154F1D">
        <w:t xml:space="preserve">However, the TLRI observed that contrary views </w:t>
      </w:r>
      <w:r w:rsidR="00FC008F" w:rsidRPr="00154F1D">
        <w:t>had been expressed in relation to</w:t>
      </w:r>
      <w:r w:rsidRPr="00154F1D">
        <w:t xml:space="preserve"> the repeal of s 16(3). </w:t>
      </w:r>
      <w:r w:rsidR="00FC008F" w:rsidRPr="00154F1D">
        <w:t>S</w:t>
      </w:r>
      <w:r w:rsidR="00E04F28" w:rsidRPr="00154F1D">
        <w:t xml:space="preserve">ome commentators </w:t>
      </w:r>
      <w:r w:rsidR="00FC008F" w:rsidRPr="00154F1D">
        <w:t xml:space="preserve">have </w:t>
      </w:r>
      <w:r w:rsidR="00E04F28" w:rsidRPr="00154F1D">
        <w:t>sugge</w:t>
      </w:r>
      <w:r w:rsidRPr="00154F1D">
        <w:t>st</w:t>
      </w:r>
      <w:r w:rsidR="00FC008F" w:rsidRPr="00154F1D">
        <w:t>ed</w:t>
      </w:r>
      <w:r w:rsidRPr="00154F1D">
        <w:t xml:space="preserve"> that arguments that s 16(3) </w:t>
      </w:r>
      <w:r w:rsidR="009A5AE4" w:rsidRPr="00154F1D">
        <w:t xml:space="preserve">is </w:t>
      </w:r>
      <w:r w:rsidR="00E04F28" w:rsidRPr="00154F1D">
        <w:t>an anachronism fail to take account of the difference between the medical and legal definitions of insanity and the role of the jury in applying the insanity defence.</w:t>
      </w:r>
      <w:r w:rsidR="00E04F28" w:rsidRPr="00154F1D">
        <w:rPr>
          <w:rStyle w:val="TLRIFootnoteRef"/>
        </w:rPr>
        <w:footnoteReference w:id="574"/>
      </w:r>
      <w:r w:rsidR="00E04F28" w:rsidRPr="00154F1D">
        <w:t xml:space="preserve"> Further, the TLRI noted that retaining s 16(3) of the </w:t>
      </w:r>
      <w:r w:rsidR="00E04F28" w:rsidRPr="00154F1D">
        <w:rPr>
          <w:i/>
        </w:rPr>
        <w:t xml:space="preserve">Criminal Code </w:t>
      </w:r>
      <w:r w:rsidR="00E04F28" w:rsidRPr="00154F1D">
        <w:t xml:space="preserve">(Tas) acknowledges the possibility that there may be cases where juries are able to take evidence concerning a mental disease and its effects into account when applying s 46 of the </w:t>
      </w:r>
      <w:r w:rsidR="00E04F28" w:rsidRPr="00154F1D">
        <w:rPr>
          <w:i/>
        </w:rPr>
        <w:t xml:space="preserve">Criminal Code </w:t>
      </w:r>
      <w:r w:rsidR="00E04F28" w:rsidRPr="00154F1D">
        <w:t xml:space="preserve">(Tas) in circumstances where the other limbs of the defence of insanity have been rejected. The Court of Criminal Appeal in </w:t>
      </w:r>
      <w:r w:rsidR="00E04F28" w:rsidRPr="00154F1D">
        <w:rPr>
          <w:i/>
        </w:rPr>
        <w:t>Walsh</w:t>
      </w:r>
      <w:r w:rsidR="00E04F28" w:rsidRPr="00154F1D">
        <w:rPr>
          <w:rStyle w:val="TLRIFootnoteRef"/>
        </w:rPr>
        <w:footnoteReference w:id="575"/>
      </w:r>
      <w:r w:rsidR="00E04F28" w:rsidRPr="00154F1D">
        <w:rPr>
          <w:i/>
        </w:rPr>
        <w:t xml:space="preserve"> </w:t>
      </w:r>
      <w:r w:rsidR="00E04F28" w:rsidRPr="00154F1D">
        <w:t>left unanswered the question whether there are any circumstances where this may be possible.</w:t>
      </w:r>
      <w:r w:rsidRPr="00154F1D">
        <w:t xml:space="preserve"> Accordingly, an alternative model considered by the TLRI </w:t>
      </w:r>
      <w:r w:rsidR="009A5AE4" w:rsidRPr="00154F1D">
        <w:t xml:space="preserve">is </w:t>
      </w:r>
      <w:r w:rsidRPr="00154F1D">
        <w:t xml:space="preserve">to retain s 16(3) of the </w:t>
      </w:r>
      <w:r w:rsidRPr="00154F1D">
        <w:rPr>
          <w:i/>
        </w:rPr>
        <w:t xml:space="preserve">Criminal Code </w:t>
      </w:r>
      <w:r w:rsidRPr="00154F1D">
        <w:t>(Tas) but to specify that delusions would result in a qualified acquittal</w:t>
      </w:r>
      <w:r w:rsidR="00FC008F" w:rsidRPr="00154F1D">
        <w:t xml:space="preserve"> (and not a complete acquittal via s 46)</w:t>
      </w:r>
      <w:r w:rsidRPr="00154F1D">
        <w:t xml:space="preserve">. This </w:t>
      </w:r>
      <w:r w:rsidR="009A5AE4" w:rsidRPr="00154F1D">
        <w:t xml:space="preserve">is </w:t>
      </w:r>
      <w:r w:rsidRPr="00154F1D">
        <w:t>the approach recommend</w:t>
      </w:r>
      <w:r w:rsidR="00D64B49" w:rsidRPr="00154F1D">
        <w:t>ed</w:t>
      </w:r>
      <w:r w:rsidRPr="00154F1D">
        <w:t xml:space="preserve"> by the </w:t>
      </w:r>
      <w:r w:rsidR="004F310D" w:rsidRPr="00154F1D">
        <w:t>LRCWA</w:t>
      </w:r>
      <w:r w:rsidR="00FC008F" w:rsidRPr="00154F1D">
        <w:t xml:space="preserve">. </w:t>
      </w:r>
    </w:p>
    <w:p w14:paraId="31569D35" w14:textId="500E8AE7" w:rsidR="00E04F28" w:rsidRPr="00154F1D" w:rsidRDefault="00FC008F" w:rsidP="00744FAA">
      <w:pPr>
        <w:pStyle w:val="NormalNumberedTextTLRI"/>
      </w:pPr>
      <w:r w:rsidRPr="00154F1D">
        <w:t xml:space="preserve">This model </w:t>
      </w:r>
      <w:r w:rsidR="00EC2715">
        <w:t>is</w:t>
      </w:r>
      <w:r w:rsidRPr="00154F1D">
        <w:t xml:space="preserve"> supported on the basis that it permits evidence of delusions to be relied on for the purposes of self-defence, but provides that, in these circumstances, only a qualified acquittal is possible (that is, not guilty on the grounds of insanity). This would mean that a person who held a deluded belief in the need for self-defence but did not meet the test for insanity contained in the </w:t>
      </w:r>
      <w:r w:rsidRPr="00154F1D">
        <w:rPr>
          <w:i/>
        </w:rPr>
        <w:t xml:space="preserve">Criminal Code </w:t>
      </w:r>
      <w:r w:rsidRPr="00154F1D">
        <w:t>(Tas) ss 16(1) and (2) could rely on s</w:t>
      </w:r>
      <w:r w:rsidR="00D3549B" w:rsidRPr="00154F1D">
        <w:t xml:space="preserve"> </w:t>
      </w:r>
      <w:r w:rsidRPr="00154F1D">
        <w:t xml:space="preserve">16(3) if his or her response was reasonable in the circumstances </w:t>
      </w:r>
      <w:r w:rsidR="00D84186">
        <w:t>as</w:t>
      </w:r>
      <w:r w:rsidR="00D84186" w:rsidRPr="00154F1D">
        <w:t xml:space="preserve"> </w:t>
      </w:r>
      <w:r w:rsidRPr="00154F1D">
        <w:t>they believed them to be. The onus of proof would be on the defendant (as with the other provisions of the insanity defence) to establish this on the balance of probabilities. However, if the defendant discharged the onus of proof in this regard, the result would be a qualified acquittal only.</w:t>
      </w:r>
    </w:p>
    <w:p w14:paraId="3464010F" w14:textId="5FBCA73F" w:rsidR="00526FA7" w:rsidRPr="00154F1D" w:rsidRDefault="00FC008F" w:rsidP="00744FAA">
      <w:pPr>
        <w:pStyle w:val="NormalNumberedTextTLRI"/>
        <w:rPr>
          <w:lang w:eastAsia="ja-JP"/>
        </w:rPr>
      </w:pPr>
      <w:r w:rsidRPr="00154F1D">
        <w:t xml:space="preserve">This approach reflects the original </w:t>
      </w:r>
      <w:r w:rsidRPr="00154F1D">
        <w:rPr>
          <w:i/>
        </w:rPr>
        <w:t xml:space="preserve">McNaghten </w:t>
      </w:r>
      <w:r w:rsidRPr="00154F1D">
        <w:t xml:space="preserve">rule on delusions and arguably reflects the intended operation of the </w:t>
      </w:r>
      <w:r w:rsidRPr="00154F1D">
        <w:rPr>
          <w:i/>
        </w:rPr>
        <w:t xml:space="preserve">Criminal Code </w:t>
      </w:r>
      <w:r w:rsidRPr="00154F1D">
        <w:t>(Tas) s 16(3).</w:t>
      </w:r>
      <w:r w:rsidRPr="00154F1D">
        <w:rPr>
          <w:rStyle w:val="TLRIFootnoteRef"/>
        </w:rPr>
        <w:footnoteReference w:id="576"/>
      </w:r>
      <w:r w:rsidRPr="00154F1D">
        <w:t xml:space="preserve"> It also reflects the approach of the </w:t>
      </w:r>
      <w:r w:rsidR="004F310D" w:rsidRPr="00154F1D">
        <w:t>LRCWA</w:t>
      </w:r>
      <w:r w:rsidRPr="00154F1D">
        <w:t xml:space="preserve"> which recommended that the equivalent Western Australian provision be retained and that it be made clear that successful reliance on </w:t>
      </w:r>
      <w:r w:rsidR="00CC31F3">
        <w:t>the provision</w:t>
      </w:r>
      <w:r w:rsidRPr="00154F1D">
        <w:t xml:space="preserve"> would result in a special verdict of not guilty by reason of mental impairment rather than a complete acquittal.</w:t>
      </w:r>
      <w:r w:rsidRPr="00154F1D">
        <w:rPr>
          <w:rStyle w:val="TLRIFootnoteRef"/>
        </w:rPr>
        <w:footnoteReference w:id="577"/>
      </w:r>
      <w:r w:rsidRPr="00154F1D">
        <w:t xml:space="preserve"> The </w:t>
      </w:r>
      <w:r w:rsidR="004F310D" w:rsidRPr="00154F1D">
        <w:t>LRCWA</w:t>
      </w:r>
      <w:r w:rsidRPr="00154F1D">
        <w:t xml:space="preserve"> supported this approach on the basis that it was in the public interest and that it allowed for the appropriate treatment of a deluded </w:t>
      </w:r>
      <w:r w:rsidR="00CD7AF9">
        <w:t>accused</w:t>
      </w:r>
      <w:r w:rsidRPr="00154F1D">
        <w:t>.</w:t>
      </w:r>
      <w:r w:rsidRPr="00154F1D">
        <w:rPr>
          <w:rStyle w:val="TLRIFootnoteRef"/>
        </w:rPr>
        <w:footnoteReference w:id="578"/>
      </w:r>
      <w:r w:rsidRPr="00154F1D">
        <w:t xml:space="preserve"> It ensures that a person with a deluded belief in the need for self-defence receives a qualified acquittal. It can be argued that this reflects community expectations.</w:t>
      </w:r>
    </w:p>
    <w:p w14:paraId="46ECC5F4" w14:textId="300BBA35" w:rsidR="00DF7635" w:rsidRPr="00154F1D" w:rsidRDefault="00BE4BE7" w:rsidP="00744FAA">
      <w:pPr>
        <w:pStyle w:val="NormalNumberedTextTLRI"/>
      </w:pPr>
      <w:r w:rsidRPr="00154F1D">
        <w:t>Accordingly, this model would retain s 16(3). This model and the model previously recommended by the TLRI which would repeal s 16(3)) are similar in that they</w:t>
      </w:r>
      <w:r w:rsidRPr="00154F1D" w:rsidDel="00BE4BE7">
        <w:t xml:space="preserve"> </w:t>
      </w:r>
      <w:r w:rsidR="00FC008F" w:rsidRPr="00154F1D">
        <w:t xml:space="preserve">achieve the same end — limiting the use of evidence of delusions arising from a mental illness to the insanity defence. However, the difference </w:t>
      </w:r>
      <w:r w:rsidR="00D74EB2" w:rsidRPr="00154F1D">
        <w:t>rest</w:t>
      </w:r>
      <w:r w:rsidR="00585E8C" w:rsidRPr="00154F1D">
        <w:t>s</w:t>
      </w:r>
      <w:r w:rsidR="00FC008F" w:rsidRPr="00154F1D">
        <w:t xml:space="preserve"> on the desirability of retaining s 16(3)</w:t>
      </w:r>
      <w:r w:rsidR="00D74EB2" w:rsidRPr="00154F1D">
        <w:t xml:space="preserve"> of the </w:t>
      </w:r>
      <w:r w:rsidR="00D74EB2" w:rsidRPr="00154F1D">
        <w:rPr>
          <w:i/>
        </w:rPr>
        <w:t xml:space="preserve">Criminal Code </w:t>
      </w:r>
      <w:r w:rsidR="00D74EB2" w:rsidRPr="00154F1D">
        <w:t>(Tas)</w:t>
      </w:r>
      <w:r w:rsidR="00FC008F" w:rsidRPr="00154F1D">
        <w:t>.</w:t>
      </w:r>
    </w:p>
    <w:p w14:paraId="06416083" w14:textId="5103B0C8" w:rsidR="00437129" w:rsidRPr="00154F1D" w:rsidRDefault="001761EA" w:rsidP="00744FAA">
      <w:pPr>
        <w:pStyle w:val="NormalNumberedTextTLRI"/>
      </w:pPr>
      <w:r w:rsidRPr="00154F1D">
        <w:t xml:space="preserve">An alternative model </w:t>
      </w:r>
      <w:r w:rsidR="00D74EB2" w:rsidRPr="00154F1D">
        <w:t xml:space="preserve">(and one previously rejected by the TLRI) </w:t>
      </w:r>
      <w:r w:rsidRPr="00154F1D">
        <w:t>would be to allow evidence of delusions arising from mental illness to form the basis for self-defence with the result that a successful argument of self-defence results in a complete acquittal.</w:t>
      </w:r>
      <w:r w:rsidR="00DF7635" w:rsidRPr="00154F1D">
        <w:t xml:space="preserve"> This model would make no distinction between mistakes and delusional beliefs arising from mental illness. This </w:t>
      </w:r>
      <w:r w:rsidR="00D74EB2" w:rsidRPr="00154F1D">
        <w:t xml:space="preserve">approach </w:t>
      </w:r>
      <w:r w:rsidR="00DF7635" w:rsidRPr="00154F1D">
        <w:t xml:space="preserve">may satisfy concerns arising about the unequal treatment and discrimination for individuals with disabilities under the </w:t>
      </w:r>
      <w:r w:rsidR="00DF7635" w:rsidRPr="00154F1D">
        <w:rPr>
          <w:i/>
        </w:rPr>
        <w:t>CRPD</w:t>
      </w:r>
      <w:r w:rsidR="00DF7635" w:rsidRPr="00154F1D">
        <w:t>.</w:t>
      </w:r>
      <w:r w:rsidR="00DF7635" w:rsidRPr="00154F1D">
        <w:rPr>
          <w:rStyle w:val="FootnoteReference"/>
        </w:rPr>
        <w:footnoteReference w:id="579"/>
      </w:r>
      <w:r w:rsidR="00DF7635" w:rsidRPr="00154F1D">
        <w:t xml:space="preserve"> However, given that a person acquitted by reason of self-defence is free to leave and there is no provision for any criminal disposition to be imposed under the provisions of the </w:t>
      </w:r>
      <w:r w:rsidR="00DF7635" w:rsidRPr="00154F1D">
        <w:rPr>
          <w:i/>
        </w:rPr>
        <w:t>Criminal Justice (</w:t>
      </w:r>
      <w:r w:rsidR="00D74EB2" w:rsidRPr="00154F1D">
        <w:rPr>
          <w:i/>
        </w:rPr>
        <w:t>M</w:t>
      </w:r>
      <w:r w:rsidR="00DF7635" w:rsidRPr="00154F1D">
        <w:rPr>
          <w:i/>
        </w:rPr>
        <w:t xml:space="preserve">ental Impairment) Act 1999 </w:t>
      </w:r>
      <w:r w:rsidR="00DF7635" w:rsidRPr="00154F1D">
        <w:t xml:space="preserve">(Tas), it does raise questions about whether community safety is adequately protected. This depends on the options available under the civil process contained in the </w:t>
      </w:r>
      <w:r w:rsidR="00DF7635" w:rsidRPr="00154F1D">
        <w:rPr>
          <w:i/>
        </w:rPr>
        <w:t xml:space="preserve">Mental Health Act </w:t>
      </w:r>
      <w:r w:rsidR="002058F0" w:rsidRPr="00154F1D">
        <w:rPr>
          <w:i/>
        </w:rPr>
        <w:t>2013</w:t>
      </w:r>
      <w:r w:rsidR="00DF7635" w:rsidRPr="00154F1D">
        <w:rPr>
          <w:i/>
        </w:rPr>
        <w:t xml:space="preserve"> </w:t>
      </w:r>
      <w:r w:rsidR="00DF7635" w:rsidRPr="00154F1D">
        <w:t xml:space="preserve">(Tas). This </w:t>
      </w:r>
      <w:r w:rsidR="00204B8E" w:rsidRPr="00154F1D">
        <w:t>issue</w:t>
      </w:r>
      <w:r w:rsidR="00C24A2C" w:rsidRPr="00154F1D">
        <w:t xml:space="preserve"> </w:t>
      </w:r>
      <w:r w:rsidR="00DF7635" w:rsidRPr="00154F1D">
        <w:t xml:space="preserve">was </w:t>
      </w:r>
      <w:r w:rsidR="00683D28" w:rsidRPr="00154F1D">
        <w:t xml:space="preserve">also </w:t>
      </w:r>
      <w:r w:rsidR="00DF7635" w:rsidRPr="00154F1D">
        <w:t xml:space="preserve">addressed at </w:t>
      </w:r>
      <w:r w:rsidR="00F04E6A" w:rsidRPr="00154F1D">
        <w:t>[7.5.6]</w:t>
      </w:r>
      <w:r w:rsidR="0081088A" w:rsidRPr="00154F1D">
        <w:t xml:space="preserve"> and [8.3.19]–[8.3.20]</w:t>
      </w:r>
      <w:r w:rsidR="00DF7635" w:rsidRPr="00154F1D">
        <w:t>.</w:t>
      </w:r>
    </w:p>
    <w:p w14:paraId="5A4D6DAA" w14:textId="77777777" w:rsidR="006072ED" w:rsidRPr="00154F1D" w:rsidRDefault="006072ED" w:rsidP="00842C30">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b/>
          <w:lang w:eastAsia="ja-JP"/>
        </w:rPr>
      </w:pPr>
      <w:bookmarkStart w:id="176" w:name="Q50"/>
      <w:r w:rsidRPr="00154F1D">
        <w:rPr>
          <w:b/>
          <w:lang w:eastAsia="ja-JP"/>
        </w:rPr>
        <w:t>Questions</w:t>
      </w:r>
    </w:p>
    <w:bookmarkEnd w:id="176"/>
    <w:p w14:paraId="32EBA700" w14:textId="242312D0" w:rsidR="00FC008F" w:rsidRPr="00154F1D" w:rsidRDefault="00BE4BE7" w:rsidP="00842C30">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lang w:eastAsia="ja-JP"/>
        </w:rPr>
      </w:pPr>
      <w:r w:rsidRPr="00154F1D">
        <w:rPr>
          <w:lang w:eastAsia="ja-JP"/>
        </w:rPr>
        <w:t>50</w:t>
      </w:r>
      <w:r w:rsidR="00755B62" w:rsidRPr="00154F1D">
        <w:rPr>
          <w:lang w:eastAsia="ja-JP"/>
        </w:rPr>
        <w:t>.</w:t>
      </w:r>
      <w:r w:rsidR="00842C30" w:rsidRPr="00154F1D">
        <w:rPr>
          <w:lang w:eastAsia="ja-JP"/>
        </w:rPr>
        <w:tab/>
      </w:r>
      <w:r w:rsidR="000A5686" w:rsidRPr="00154F1D">
        <w:rPr>
          <w:lang w:eastAsia="ja-JP"/>
        </w:rPr>
        <w:t>Can you outline any</w:t>
      </w:r>
      <w:r w:rsidR="00FC008F" w:rsidRPr="00154F1D">
        <w:rPr>
          <w:lang w:eastAsia="ja-JP"/>
        </w:rPr>
        <w:t xml:space="preserve"> </w:t>
      </w:r>
      <w:r w:rsidR="000A5686" w:rsidRPr="00154F1D">
        <w:rPr>
          <w:lang w:eastAsia="ja-JP"/>
        </w:rPr>
        <w:t xml:space="preserve">circumstances where an </w:t>
      </w:r>
      <w:r w:rsidR="00CD7AF9">
        <w:rPr>
          <w:lang w:eastAsia="ja-JP"/>
        </w:rPr>
        <w:t>accused</w:t>
      </w:r>
      <w:r w:rsidR="00CD7AF9" w:rsidRPr="00154F1D">
        <w:rPr>
          <w:lang w:eastAsia="ja-JP"/>
        </w:rPr>
        <w:t xml:space="preserve"> </w:t>
      </w:r>
      <w:r w:rsidR="000A5686" w:rsidRPr="00154F1D">
        <w:rPr>
          <w:lang w:eastAsia="ja-JP"/>
        </w:rPr>
        <w:t>would not be able to rely on insanity within s 16(1) but would be able to rely on insanity within 16(3)?</w:t>
      </w:r>
    </w:p>
    <w:p w14:paraId="0B663E1A" w14:textId="785F02F0" w:rsidR="006072ED" w:rsidRPr="00154F1D" w:rsidRDefault="00842C30" w:rsidP="00842C30">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lang w:eastAsia="ja-JP"/>
        </w:rPr>
      </w:pPr>
      <w:r w:rsidRPr="00154F1D">
        <w:rPr>
          <w:lang w:eastAsia="ja-JP"/>
        </w:rPr>
        <w:t>5</w:t>
      </w:r>
      <w:r w:rsidR="00BE4BE7" w:rsidRPr="00154F1D">
        <w:rPr>
          <w:lang w:eastAsia="ja-JP"/>
        </w:rPr>
        <w:t>1</w:t>
      </w:r>
      <w:r w:rsidR="00755B62" w:rsidRPr="00154F1D">
        <w:rPr>
          <w:lang w:eastAsia="ja-JP"/>
        </w:rPr>
        <w:t>.</w:t>
      </w:r>
      <w:r w:rsidRPr="00154F1D">
        <w:rPr>
          <w:lang w:eastAsia="ja-JP"/>
        </w:rPr>
        <w:tab/>
      </w:r>
      <w:r w:rsidR="006072ED" w:rsidRPr="00154F1D">
        <w:rPr>
          <w:lang w:eastAsia="ja-JP"/>
        </w:rPr>
        <w:t xml:space="preserve">Do you agree with the </w:t>
      </w:r>
      <w:r w:rsidR="00CB0E6B" w:rsidRPr="00154F1D">
        <w:rPr>
          <w:lang w:eastAsia="ja-JP"/>
        </w:rPr>
        <w:t xml:space="preserve">view of </w:t>
      </w:r>
      <w:r w:rsidR="006072ED" w:rsidRPr="00154F1D">
        <w:rPr>
          <w:lang w:eastAsia="ja-JP"/>
        </w:rPr>
        <w:t xml:space="preserve">the TLRI that </w:t>
      </w:r>
      <w:r w:rsidR="00D90726" w:rsidRPr="00154F1D">
        <w:rPr>
          <w:lang w:eastAsia="ja-JP"/>
        </w:rPr>
        <w:t xml:space="preserve">s 16(3) of </w:t>
      </w:r>
      <w:r w:rsidR="00CB0E6B" w:rsidRPr="00154F1D">
        <w:rPr>
          <w:lang w:eastAsia="ja-JP"/>
        </w:rPr>
        <w:t xml:space="preserve">the </w:t>
      </w:r>
      <w:r w:rsidR="00CB0E6B" w:rsidRPr="00154F1D">
        <w:rPr>
          <w:i/>
          <w:lang w:eastAsia="ja-JP"/>
        </w:rPr>
        <w:t xml:space="preserve">Criminal Code </w:t>
      </w:r>
      <w:r w:rsidR="00CB0E6B" w:rsidRPr="00154F1D">
        <w:rPr>
          <w:lang w:eastAsia="ja-JP"/>
        </w:rPr>
        <w:t xml:space="preserve">should be repealed and a provision inserted in the </w:t>
      </w:r>
      <w:r w:rsidR="00CB0E6B" w:rsidRPr="00154F1D">
        <w:rPr>
          <w:i/>
          <w:lang w:eastAsia="ja-JP"/>
        </w:rPr>
        <w:t>Code</w:t>
      </w:r>
      <w:r w:rsidR="00CB0E6B" w:rsidRPr="00154F1D">
        <w:rPr>
          <w:lang w:eastAsia="ja-JP"/>
        </w:rPr>
        <w:t xml:space="preserve"> </w:t>
      </w:r>
      <w:r w:rsidR="00CB0E6B" w:rsidRPr="00154F1D">
        <w:t xml:space="preserve">to provide </w:t>
      </w:r>
      <w:r w:rsidR="009A5AE4" w:rsidRPr="00154F1D">
        <w:t xml:space="preserve">that </w:t>
      </w:r>
      <w:r w:rsidR="00CB0E6B" w:rsidRPr="00154F1D">
        <w:t xml:space="preserve">if a person does an act or makes an omission as a result of a delusion caused by a mental disease, the delusion can only be used as a defence under s 16 of the </w:t>
      </w:r>
      <w:r w:rsidR="00CB0E6B" w:rsidRPr="00154F1D">
        <w:rPr>
          <w:i/>
        </w:rPr>
        <w:t xml:space="preserve">Criminal Code </w:t>
      </w:r>
      <w:r w:rsidR="00CB0E6B" w:rsidRPr="00154F1D">
        <w:t>(Tas) and cannot be relied on to support a defence of self-defence under s</w:t>
      </w:r>
      <w:r w:rsidR="00AA2B28" w:rsidRPr="00154F1D">
        <w:t xml:space="preserve"> </w:t>
      </w:r>
      <w:r w:rsidR="00CB0E6B" w:rsidRPr="00154F1D">
        <w:t xml:space="preserve">46 of the </w:t>
      </w:r>
      <w:r w:rsidR="00CB0E6B" w:rsidRPr="00154F1D">
        <w:rPr>
          <w:i/>
        </w:rPr>
        <w:t xml:space="preserve">Criminal Code </w:t>
      </w:r>
      <w:r w:rsidR="00CB0E6B" w:rsidRPr="00154F1D">
        <w:t>(Tas)? (A possible model would be the legislation in the ACT or the Commonwealth Act)</w:t>
      </w:r>
      <w:r w:rsidRPr="00154F1D">
        <w:t>.</w:t>
      </w:r>
    </w:p>
    <w:p w14:paraId="11740689" w14:textId="7000A061" w:rsidR="001761EA" w:rsidRPr="00154F1D" w:rsidRDefault="00842C30" w:rsidP="00842C30">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rPr>
          <w:lang w:eastAsia="ja-JP"/>
        </w:rPr>
        <w:t>5</w:t>
      </w:r>
      <w:r w:rsidR="00BE4BE7" w:rsidRPr="00154F1D">
        <w:rPr>
          <w:lang w:eastAsia="ja-JP"/>
        </w:rPr>
        <w:t>2</w:t>
      </w:r>
      <w:r w:rsidR="00755B62" w:rsidRPr="00154F1D">
        <w:rPr>
          <w:lang w:eastAsia="ja-JP"/>
        </w:rPr>
        <w:t>.</w:t>
      </w:r>
      <w:r w:rsidR="00AA2B28" w:rsidRPr="00154F1D">
        <w:rPr>
          <w:lang w:eastAsia="ja-JP"/>
        </w:rPr>
        <w:tab/>
      </w:r>
      <w:r w:rsidR="006072ED" w:rsidRPr="00154F1D">
        <w:rPr>
          <w:lang w:eastAsia="ja-JP"/>
        </w:rPr>
        <w:t>Alte</w:t>
      </w:r>
      <w:r w:rsidR="00CB0E6B" w:rsidRPr="00154F1D">
        <w:rPr>
          <w:lang w:eastAsia="ja-JP"/>
        </w:rPr>
        <w:t>rnatively</w:t>
      </w:r>
      <w:r w:rsidR="006072ED" w:rsidRPr="00154F1D">
        <w:rPr>
          <w:lang w:eastAsia="ja-JP"/>
        </w:rPr>
        <w:t xml:space="preserve">, do you consider that </w:t>
      </w:r>
      <w:r w:rsidR="00D90726" w:rsidRPr="00154F1D">
        <w:rPr>
          <w:lang w:eastAsia="ja-JP"/>
        </w:rPr>
        <w:t xml:space="preserve">s 16(3) of </w:t>
      </w:r>
      <w:r w:rsidR="00CB0E6B" w:rsidRPr="00154F1D">
        <w:rPr>
          <w:lang w:eastAsia="ja-JP"/>
        </w:rPr>
        <w:t xml:space="preserve">the </w:t>
      </w:r>
      <w:r w:rsidR="00CB0E6B" w:rsidRPr="00154F1D">
        <w:rPr>
          <w:i/>
          <w:lang w:eastAsia="ja-JP"/>
        </w:rPr>
        <w:t xml:space="preserve">Criminal Code </w:t>
      </w:r>
      <w:r w:rsidR="00CB0E6B" w:rsidRPr="00154F1D">
        <w:rPr>
          <w:lang w:eastAsia="ja-JP"/>
        </w:rPr>
        <w:t xml:space="preserve">should be retained, and an amendment made to the </w:t>
      </w:r>
      <w:r w:rsidR="00CB0E6B" w:rsidRPr="00154F1D">
        <w:rPr>
          <w:i/>
          <w:lang w:eastAsia="ja-JP"/>
        </w:rPr>
        <w:t xml:space="preserve">Code </w:t>
      </w:r>
      <w:r w:rsidR="00CB0E6B" w:rsidRPr="00154F1D">
        <w:rPr>
          <w:lang w:eastAsia="ja-JP"/>
        </w:rPr>
        <w:t xml:space="preserve">to provide that </w:t>
      </w:r>
      <w:r w:rsidR="00CB0E6B" w:rsidRPr="00154F1D">
        <w:t xml:space="preserve">successful reliance on </w:t>
      </w:r>
      <w:r w:rsidR="00EC5286" w:rsidRPr="00154F1D">
        <w:t xml:space="preserve">s 16(3) </w:t>
      </w:r>
      <w:r w:rsidR="00CB0E6B" w:rsidRPr="00154F1D">
        <w:t xml:space="preserve">would result in a special verdict of not guilty by reason of </w:t>
      </w:r>
      <w:r w:rsidR="00EC5286" w:rsidRPr="00154F1D">
        <w:t>insanity</w:t>
      </w:r>
      <w:r w:rsidR="00CB0E6B" w:rsidRPr="00154F1D">
        <w:t xml:space="preserve"> r</w:t>
      </w:r>
      <w:r w:rsidR="00EC5286" w:rsidRPr="00154F1D">
        <w:t>ather than a complete acquittal?</w:t>
      </w:r>
      <w:r w:rsidR="00683D28" w:rsidRPr="00154F1D">
        <w:t xml:space="preserve"> (A possible model for the legislation would be the amendment proposed by the Western Australian Law Reform Commission)</w:t>
      </w:r>
      <w:r w:rsidRPr="00154F1D">
        <w:t>.</w:t>
      </w:r>
    </w:p>
    <w:p w14:paraId="4A7BC0EA" w14:textId="07B2931A" w:rsidR="00683D28" w:rsidRPr="00154F1D" w:rsidRDefault="00BE4BE7" w:rsidP="00842C30">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bookmarkStart w:id="177" w:name="Q53"/>
      <w:r w:rsidRPr="00154F1D">
        <w:t>53</w:t>
      </w:r>
      <w:r w:rsidR="00683D28" w:rsidRPr="00154F1D">
        <w:t xml:space="preserve">. </w:t>
      </w:r>
      <w:r w:rsidR="001761EA" w:rsidRPr="00154F1D">
        <w:t>Alternatively</w:t>
      </w:r>
      <w:bookmarkEnd w:id="177"/>
      <w:r w:rsidR="001761EA" w:rsidRPr="00154F1D">
        <w:t xml:space="preserve">, do you consider that evidence of delusions arising from mental illness should be </w:t>
      </w:r>
      <w:r w:rsidR="009A5AE4" w:rsidRPr="00154F1D">
        <w:t xml:space="preserve">able to be </w:t>
      </w:r>
      <w:r w:rsidR="001761EA" w:rsidRPr="00154F1D">
        <w:t xml:space="preserve">relied on </w:t>
      </w:r>
      <w:r w:rsidR="00D90726" w:rsidRPr="00154F1D">
        <w:t xml:space="preserve">for </w:t>
      </w:r>
      <w:r w:rsidR="001761EA" w:rsidRPr="00154F1D">
        <w:t>the purposes of the self-</w:t>
      </w:r>
      <w:r w:rsidR="00DF7635" w:rsidRPr="00154F1D">
        <w:t>defence</w:t>
      </w:r>
      <w:r w:rsidR="001761EA" w:rsidRPr="00154F1D">
        <w:t xml:space="preserve"> in </w:t>
      </w:r>
      <w:r w:rsidR="00D90726" w:rsidRPr="00154F1D">
        <w:t xml:space="preserve">s 46 of </w:t>
      </w:r>
      <w:r w:rsidR="001761EA" w:rsidRPr="00154F1D">
        <w:t xml:space="preserve">the </w:t>
      </w:r>
      <w:r w:rsidR="00DF7635" w:rsidRPr="00154F1D">
        <w:rPr>
          <w:i/>
        </w:rPr>
        <w:t>Criminal</w:t>
      </w:r>
      <w:r w:rsidR="001761EA" w:rsidRPr="00154F1D">
        <w:rPr>
          <w:i/>
        </w:rPr>
        <w:t xml:space="preserve"> Code </w:t>
      </w:r>
      <w:r w:rsidR="001761EA" w:rsidRPr="00154F1D">
        <w:t xml:space="preserve">(Tas) </w:t>
      </w:r>
      <w:r w:rsidR="00DF7635" w:rsidRPr="00154F1D">
        <w:t xml:space="preserve">with the result </w:t>
      </w:r>
      <w:r w:rsidR="00D90726" w:rsidRPr="00154F1D">
        <w:t xml:space="preserve">being </w:t>
      </w:r>
      <w:r w:rsidR="00DF7635" w:rsidRPr="00154F1D">
        <w:t>that a successful argument of self-defence receives a complete acquittal?</w:t>
      </w:r>
      <w:r w:rsidR="00683D28" w:rsidRPr="00154F1D">
        <w:t xml:space="preserve"> If so, what (if any) protections need to be put in place in the case of an </w:t>
      </w:r>
      <w:r w:rsidR="004019C8">
        <w:t>accused</w:t>
      </w:r>
      <w:r w:rsidR="004019C8" w:rsidRPr="00154F1D">
        <w:t xml:space="preserve"> </w:t>
      </w:r>
      <w:r w:rsidR="00683D28" w:rsidRPr="00154F1D">
        <w:t xml:space="preserve">who is acquitted on the basis of self-defence arising from a deluded belief </w:t>
      </w:r>
      <w:r w:rsidR="00091AF0">
        <w:t>attributable to</w:t>
      </w:r>
      <w:r w:rsidR="00683D28" w:rsidRPr="00154F1D">
        <w:t xml:space="preserve"> a mental illness?</w:t>
      </w:r>
    </w:p>
    <w:p w14:paraId="44EE8CCC" w14:textId="77777777" w:rsidR="00BF3B2B" w:rsidRPr="00154F1D" w:rsidRDefault="00BF3B2B" w:rsidP="00BF3B2B">
      <w:pPr>
        <w:pStyle w:val="Sub-HeadingTLRI"/>
        <w:rPr>
          <w:lang w:eastAsia="ja-JP"/>
        </w:rPr>
      </w:pPr>
      <w:bookmarkStart w:id="178" w:name="_Toc535868967"/>
      <w:r w:rsidRPr="00154F1D">
        <w:t>Procedural aspects of the defence</w:t>
      </w:r>
      <w:bookmarkEnd w:id="178"/>
    </w:p>
    <w:p w14:paraId="2A2768DC" w14:textId="3C1D6155" w:rsidR="00BF3B2B" w:rsidRPr="00154F1D" w:rsidRDefault="00BF3B2B" w:rsidP="00791B7F">
      <w:pPr>
        <w:pStyle w:val="furhtersub-heading2"/>
      </w:pPr>
      <w:r w:rsidRPr="00154F1D">
        <w:t>Burden of proof</w:t>
      </w:r>
    </w:p>
    <w:p w14:paraId="28B4CF46" w14:textId="56231CDC" w:rsidR="00CC32F9" w:rsidRPr="00154F1D" w:rsidRDefault="005E36D7" w:rsidP="00744FAA">
      <w:pPr>
        <w:pStyle w:val="NormalNumberedTextTLRI"/>
      </w:pPr>
      <w:r w:rsidRPr="00154F1D">
        <w:t>Concerns have been raised in relation to the burden of proof that is cast o</w:t>
      </w:r>
      <w:r w:rsidR="009A5AE4" w:rsidRPr="00154F1D">
        <w:t>n</w:t>
      </w:r>
      <w:r w:rsidRPr="00154F1D">
        <w:t xml:space="preserve"> the defendant to prove the insanity defence on the balance of probabilities. </w:t>
      </w:r>
      <w:r w:rsidR="00A04458" w:rsidRPr="00154F1D">
        <w:t>This is contrary to the general rule of criminal law that the legal burden of proof is on the prosecution</w:t>
      </w:r>
      <w:r w:rsidR="00C153C6" w:rsidRPr="00154F1D">
        <w:t xml:space="preserve">. </w:t>
      </w:r>
      <w:r w:rsidR="005651FA" w:rsidRPr="00154F1D">
        <w:t xml:space="preserve">It is also different from other defences where an </w:t>
      </w:r>
      <w:r w:rsidR="004019C8">
        <w:t>accused</w:t>
      </w:r>
      <w:r w:rsidR="004019C8" w:rsidRPr="00154F1D">
        <w:t xml:space="preserve"> </w:t>
      </w:r>
      <w:r w:rsidR="005651FA" w:rsidRPr="00154F1D">
        <w:t>raises the defence of mistake</w:t>
      </w:r>
      <w:r w:rsidR="005F0E4B" w:rsidRPr="00154F1D">
        <w:t xml:space="preserve"> or</w:t>
      </w:r>
      <w:r w:rsidR="005651FA" w:rsidRPr="00154F1D">
        <w:t xml:space="preserve"> self-defence or seeks to rely on evidence of automatism or intoxication to deny criminal responsibility. In relation to these matters, the accused has an evidentiary onus only. </w:t>
      </w:r>
    </w:p>
    <w:p w14:paraId="44E29AEF" w14:textId="60BAF361" w:rsidR="00CC32F9" w:rsidRPr="00154F1D" w:rsidRDefault="00CC32F9" w:rsidP="00744FAA">
      <w:pPr>
        <w:pStyle w:val="NormalNumberedTextTLRI"/>
      </w:pPr>
      <w:r w:rsidRPr="00154F1D">
        <w:t xml:space="preserve">Arguments in favour of placing the burden of proof on the defendant are based on the </w:t>
      </w:r>
      <w:r w:rsidR="00BF4382" w:rsidRPr="00154F1D">
        <w:t>view</w:t>
      </w:r>
      <w:r w:rsidRPr="00154F1D">
        <w:t xml:space="preserve"> that if the burden w</w:t>
      </w:r>
      <w:r w:rsidR="00BF4382" w:rsidRPr="00154F1D">
        <w:t>ere</w:t>
      </w:r>
      <w:r w:rsidRPr="00154F1D">
        <w:t xml:space="preserve"> placed on the prosecution, ‘it would be impossible for the prosecution to disprove an assertion of insanity, resulting in unmeritorious acquittals’.</w:t>
      </w:r>
      <w:r w:rsidRPr="00154F1D">
        <w:rPr>
          <w:rStyle w:val="FootnoteReference"/>
        </w:rPr>
        <w:footnoteReference w:id="580"/>
      </w:r>
      <w:r w:rsidRPr="00154F1D">
        <w:t xml:space="preserve"> Similarly, Bronitt and McSherry write that the ‘modern rationale … lies in the fear that if an accused only has to bear an evidentiary burden in relation to mental impairment, more individuals would be found not criminally responsible tha</w:t>
      </w:r>
      <w:r w:rsidR="009A5AE4" w:rsidRPr="00154F1D">
        <w:t>n</w:t>
      </w:r>
      <w:r w:rsidRPr="00154F1D">
        <w:t xml:space="preserve"> should be the case</w:t>
      </w:r>
      <w:r w:rsidR="0095563C" w:rsidRPr="00154F1D">
        <w:t>.</w:t>
      </w:r>
      <w:r w:rsidRPr="00154F1D">
        <w:t>’</w:t>
      </w:r>
      <w:r w:rsidRPr="00154F1D">
        <w:rPr>
          <w:rStyle w:val="FootnoteReference"/>
        </w:rPr>
        <w:footnoteReference w:id="581"/>
      </w:r>
      <w:r w:rsidRPr="00154F1D">
        <w:t xml:space="preserve"> However, they observe that this </w:t>
      </w:r>
      <w:r w:rsidR="009A5AE4" w:rsidRPr="00154F1D">
        <w:t xml:space="preserve">argument </w:t>
      </w:r>
      <w:r w:rsidRPr="00154F1D">
        <w:t xml:space="preserve">is difficult </w:t>
      </w:r>
      <w:r w:rsidR="00BF4382" w:rsidRPr="00154F1D">
        <w:t xml:space="preserve">to </w:t>
      </w:r>
      <w:r w:rsidRPr="00154F1D">
        <w:t xml:space="preserve">support </w:t>
      </w:r>
      <w:r w:rsidR="00BE4BE7" w:rsidRPr="00154F1D">
        <w:t>in relation to insanity</w:t>
      </w:r>
      <w:r w:rsidRPr="00154F1D">
        <w:t xml:space="preserve"> when it does not apply for other defences</w:t>
      </w:r>
      <w:r w:rsidR="00BF4382" w:rsidRPr="00154F1D">
        <w:t>,</w:t>
      </w:r>
      <w:r w:rsidRPr="00154F1D">
        <w:t xml:space="preserve"> given that ‘[t]here appears little support for the proposition that it may be easier to fake a claim of mental impairment’ than these other defences.</w:t>
      </w:r>
      <w:r w:rsidRPr="00154F1D">
        <w:rPr>
          <w:rStyle w:val="FootnoteReference"/>
        </w:rPr>
        <w:footnoteReference w:id="582"/>
      </w:r>
      <w:r w:rsidRPr="00154F1D">
        <w:t xml:space="preserve"> </w:t>
      </w:r>
    </w:p>
    <w:p w14:paraId="33F5994F" w14:textId="49CC5A80" w:rsidR="00CC32F9" w:rsidRPr="00154F1D" w:rsidRDefault="009A5AE4" w:rsidP="00744FAA">
      <w:pPr>
        <w:pStyle w:val="NormalNumberedTextTLRI"/>
      </w:pPr>
      <w:r w:rsidRPr="00154F1D">
        <w:t>O</w:t>
      </w:r>
      <w:r w:rsidR="00CC32F9" w:rsidRPr="00154F1D">
        <w:t xml:space="preserve">ther law reform </w:t>
      </w:r>
      <w:r w:rsidR="00BF4382" w:rsidRPr="00154F1D">
        <w:t>reviews</w:t>
      </w:r>
      <w:r w:rsidRPr="00154F1D">
        <w:t>, including</w:t>
      </w:r>
      <w:r w:rsidR="00CC32F9" w:rsidRPr="00154F1D">
        <w:t xml:space="preserve"> </w:t>
      </w:r>
      <w:r w:rsidR="0095563C" w:rsidRPr="00154F1D">
        <w:t xml:space="preserve">those conducted by </w:t>
      </w:r>
      <w:r w:rsidR="00CC32F9" w:rsidRPr="00154F1D">
        <w:t>the Scottish Law Commission and the Law Reform Commission of Western Australia</w:t>
      </w:r>
      <w:r w:rsidRPr="00154F1D">
        <w:t>,</w:t>
      </w:r>
      <w:r w:rsidR="00CC32F9" w:rsidRPr="00154F1D">
        <w:t xml:space="preserve"> did not recommend a change to the current burden of proof </w:t>
      </w:r>
      <w:r w:rsidR="00BF4382" w:rsidRPr="00154F1D">
        <w:t xml:space="preserve">that is placed </w:t>
      </w:r>
      <w:r w:rsidR="00CC32F9" w:rsidRPr="00154F1D">
        <w:t>on the defendant.</w:t>
      </w:r>
      <w:r w:rsidR="00CC32F9" w:rsidRPr="00154F1D">
        <w:rPr>
          <w:rStyle w:val="FootnoteReference"/>
        </w:rPr>
        <w:footnoteReference w:id="583"/>
      </w:r>
      <w:r w:rsidR="00927FCC" w:rsidRPr="00154F1D">
        <w:t xml:space="preserve"> In</w:t>
      </w:r>
      <w:r w:rsidR="00CC32F9" w:rsidRPr="00154F1D">
        <w:t xml:space="preserve"> contrast, </w:t>
      </w:r>
      <w:r w:rsidR="00927FCC" w:rsidRPr="00154F1D">
        <w:t xml:space="preserve">in relation to its new defence of ‘not criminally responsible by reason of a recognised medical condition’, </w:t>
      </w:r>
      <w:r w:rsidR="00CC32F9" w:rsidRPr="00154F1D">
        <w:t xml:space="preserve">the Law </w:t>
      </w:r>
      <w:r w:rsidR="00927FCC" w:rsidRPr="00154F1D">
        <w:t>Commission</w:t>
      </w:r>
      <w:r w:rsidR="00CC32F9" w:rsidRPr="00154F1D">
        <w:t xml:space="preserve"> of </w:t>
      </w:r>
      <w:r w:rsidR="00927FCC" w:rsidRPr="00154F1D">
        <w:t>England</w:t>
      </w:r>
      <w:r w:rsidR="00BF4382" w:rsidRPr="00154F1D">
        <w:t xml:space="preserve"> and Wales</w:t>
      </w:r>
      <w:r w:rsidR="00CC32F9" w:rsidRPr="00154F1D">
        <w:t xml:space="preserve"> recommended that there should be an evidential </w:t>
      </w:r>
      <w:r w:rsidR="00927FCC" w:rsidRPr="00154F1D">
        <w:t>burden</w:t>
      </w:r>
      <w:r w:rsidR="00CC32F9" w:rsidRPr="00154F1D">
        <w:t xml:space="preserve"> </w:t>
      </w:r>
      <w:r w:rsidRPr="00154F1D">
        <w:t xml:space="preserve">only </w:t>
      </w:r>
      <w:r w:rsidR="00CC32F9" w:rsidRPr="00154F1D">
        <w:t xml:space="preserve">on the </w:t>
      </w:r>
      <w:r w:rsidR="00927FCC" w:rsidRPr="00154F1D">
        <w:t>defendant</w:t>
      </w:r>
      <w:r w:rsidR="00CC32F9" w:rsidRPr="00154F1D">
        <w:t xml:space="preserve"> </w:t>
      </w:r>
      <w:r w:rsidR="00927FCC" w:rsidRPr="00154F1D">
        <w:t>(discharged by the provision of supporting expert evidence) but that the prosecution should bear the burden of disproving the defence once it has been raised.</w:t>
      </w:r>
      <w:r w:rsidR="00927FCC" w:rsidRPr="00154F1D">
        <w:rPr>
          <w:rStyle w:val="FootnoteReference"/>
        </w:rPr>
        <w:footnoteReference w:id="584"/>
      </w:r>
    </w:p>
    <w:p w14:paraId="1D55390C" w14:textId="4509037C" w:rsidR="00683D28" w:rsidRPr="00154F1D" w:rsidRDefault="00BF4382" w:rsidP="000C47A9">
      <w:pPr>
        <w:pStyle w:val="NormalNumberedTextTLRI"/>
        <w:keepNext/>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b/>
        </w:rPr>
      </w:pPr>
      <w:bookmarkStart w:id="179" w:name="Q54"/>
      <w:r w:rsidRPr="00154F1D">
        <w:rPr>
          <w:b/>
        </w:rPr>
        <w:t>Question</w:t>
      </w:r>
      <w:bookmarkEnd w:id="179"/>
      <w:r w:rsidRPr="00154F1D">
        <w:rPr>
          <w:b/>
        </w:rPr>
        <w:t xml:space="preserve"> </w:t>
      </w:r>
    </w:p>
    <w:p w14:paraId="66DA642D" w14:textId="54F7F6F9" w:rsidR="00CC32F9" w:rsidRPr="00154F1D" w:rsidRDefault="00BE4BE7" w:rsidP="000C47A9">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54</w:t>
      </w:r>
      <w:r w:rsidR="000C47A9" w:rsidRPr="00154F1D">
        <w:tab/>
      </w:r>
      <w:r w:rsidR="00927FCC" w:rsidRPr="00154F1D">
        <w:t xml:space="preserve">Should the </w:t>
      </w:r>
      <w:r w:rsidR="00927FCC" w:rsidRPr="00154F1D">
        <w:rPr>
          <w:i/>
        </w:rPr>
        <w:t xml:space="preserve">Criminal Code </w:t>
      </w:r>
      <w:r w:rsidR="00927FCC" w:rsidRPr="00154F1D">
        <w:t>(Tas) be amended to provide that the burden of proof for the insanity defence rest</w:t>
      </w:r>
      <w:r w:rsidR="00D2753C" w:rsidRPr="00154F1D">
        <w:t>s on</w:t>
      </w:r>
      <w:r w:rsidR="00927FCC" w:rsidRPr="00154F1D">
        <w:t xml:space="preserve"> the prosecution</w:t>
      </w:r>
      <w:r w:rsidR="009A5AE4" w:rsidRPr="00154F1D">
        <w:t xml:space="preserve"> and that the defendant bears an evidential burden only in relation to this defence</w:t>
      </w:r>
      <w:r w:rsidR="00927FCC" w:rsidRPr="00154F1D">
        <w:t>?</w:t>
      </w:r>
    </w:p>
    <w:p w14:paraId="566E4119" w14:textId="3C1C861C" w:rsidR="00FE736B" w:rsidRPr="00154F1D" w:rsidRDefault="00FE736B" w:rsidP="00946C02">
      <w:pPr>
        <w:pStyle w:val="furhtersub-heading2"/>
        <w:keepNext/>
      </w:pPr>
      <w:r w:rsidRPr="00154F1D">
        <w:t>Raising the defence of insanity</w:t>
      </w:r>
    </w:p>
    <w:p w14:paraId="1677C046" w14:textId="1F422F94" w:rsidR="00D34E2F" w:rsidRPr="00154F1D" w:rsidRDefault="00FE736B" w:rsidP="00744FAA">
      <w:pPr>
        <w:pStyle w:val="NormalNumberedTextTLRI"/>
      </w:pPr>
      <w:r w:rsidRPr="00154F1D">
        <w:t xml:space="preserve">As indicated at </w:t>
      </w:r>
      <w:r w:rsidR="00F04E6A" w:rsidRPr="00154F1D">
        <w:t>[7.3]</w:t>
      </w:r>
      <w:r w:rsidRPr="00154F1D">
        <w:t xml:space="preserve">, the prosecution cannot raise the defence of insanity unless the defendant has put his or her state of mind in issue. </w:t>
      </w:r>
      <w:r w:rsidR="00C729A5" w:rsidRPr="00154F1D">
        <w:t xml:space="preserve">In contrast, in other </w:t>
      </w:r>
      <w:r w:rsidR="006F6AAC" w:rsidRPr="00154F1D">
        <w:t>Australian</w:t>
      </w:r>
      <w:r w:rsidR="00C729A5" w:rsidRPr="00154F1D">
        <w:t xml:space="preserve"> jurisdictions, mental impairment may be raised by the prosecution, the defence and/or the court</w:t>
      </w:r>
      <w:r w:rsidR="006F6AAC" w:rsidRPr="00154F1D">
        <w:t>.</w:t>
      </w:r>
      <w:r w:rsidR="006F6AAC" w:rsidRPr="00154F1D">
        <w:rPr>
          <w:rStyle w:val="FootnoteReference"/>
        </w:rPr>
        <w:footnoteReference w:id="585"/>
      </w:r>
      <w:r w:rsidR="00C729A5" w:rsidRPr="00154F1D">
        <w:t xml:space="preserve"> </w:t>
      </w:r>
      <w:r w:rsidR="006F6AAC" w:rsidRPr="00154F1D">
        <w:t xml:space="preserve">Under the Commonwealth </w:t>
      </w:r>
      <w:r w:rsidR="006F6AAC" w:rsidRPr="00154F1D">
        <w:rPr>
          <w:i/>
        </w:rPr>
        <w:t>Criminal Code</w:t>
      </w:r>
      <w:r w:rsidR="006F6AAC" w:rsidRPr="00154F1D">
        <w:t xml:space="preserve"> and legislation in the Australian Capital Territory, the Northern Territory, South Australia and Victoria, the prosecution may raise the defence.</w:t>
      </w:r>
      <w:r w:rsidR="006F6AAC" w:rsidRPr="00154F1D">
        <w:rPr>
          <w:rStyle w:val="FootnoteReference"/>
        </w:rPr>
        <w:footnoteReference w:id="586"/>
      </w:r>
      <w:r w:rsidR="006F6AAC" w:rsidRPr="00154F1D">
        <w:t xml:space="preserve"> Similarly, the NSWLR</w:t>
      </w:r>
      <w:r w:rsidR="00554A1A" w:rsidRPr="00154F1D">
        <w:t>C</w:t>
      </w:r>
      <w:r w:rsidR="006F6AAC" w:rsidRPr="00154F1D">
        <w:t xml:space="preserve"> recommended </w:t>
      </w:r>
      <w:r w:rsidR="00D94122" w:rsidRPr="00154F1D">
        <w:t xml:space="preserve">that </w:t>
      </w:r>
      <w:r w:rsidR="00D34E2F" w:rsidRPr="00154F1D">
        <w:t xml:space="preserve">the defence of mental illness </w:t>
      </w:r>
      <w:r w:rsidR="00D94122" w:rsidRPr="00154F1D">
        <w:t>should be able to</w:t>
      </w:r>
      <w:r w:rsidR="00D34E2F" w:rsidRPr="00154F1D">
        <w:t xml:space="preserve"> be raised by the court or the prosecution (with the permission</w:t>
      </w:r>
      <w:r w:rsidR="00261834" w:rsidRPr="00154F1D">
        <w:t xml:space="preserve"> of the court) if it </w:t>
      </w:r>
      <w:r w:rsidR="00D34E2F" w:rsidRPr="00154F1D">
        <w:t>is in the interests of justice.</w:t>
      </w:r>
      <w:r w:rsidR="00D34E2F" w:rsidRPr="00154F1D">
        <w:rPr>
          <w:rStyle w:val="FootnoteReference"/>
        </w:rPr>
        <w:footnoteReference w:id="587"/>
      </w:r>
      <w:r w:rsidR="006F6AAC" w:rsidRPr="00154F1D">
        <w:t xml:space="preserve"> </w:t>
      </w:r>
      <w:r w:rsidR="00261834" w:rsidRPr="00154F1D">
        <w:t xml:space="preserve">It is also noted that </w:t>
      </w:r>
      <w:r w:rsidR="00075627" w:rsidRPr="00154F1D">
        <w:t xml:space="preserve">s 37 of </w:t>
      </w:r>
      <w:r w:rsidR="00261834" w:rsidRPr="00154F1D">
        <w:t xml:space="preserve">the </w:t>
      </w:r>
      <w:r w:rsidR="00261834" w:rsidRPr="00154F1D">
        <w:rPr>
          <w:i/>
        </w:rPr>
        <w:t xml:space="preserve">Mental Health (Forensic Provisions) Act 1990 </w:t>
      </w:r>
      <w:r w:rsidR="00261834" w:rsidRPr="00154F1D">
        <w:t>(NSW) ‘requires an explanation as to the availability of the defence to be put to the jury if the question of mental illness “is raised”, regardless of whether it is embraced as a defence by the accused at trial’.</w:t>
      </w:r>
      <w:r w:rsidR="00261834" w:rsidRPr="00154F1D">
        <w:rPr>
          <w:rStyle w:val="FootnoteReference"/>
        </w:rPr>
        <w:footnoteReference w:id="588"/>
      </w:r>
    </w:p>
    <w:p w14:paraId="7BA0DFD2" w14:textId="39D14E2E" w:rsidR="00804327" w:rsidRPr="00154F1D" w:rsidRDefault="006F6AAC" w:rsidP="00744FAA">
      <w:pPr>
        <w:pStyle w:val="NormalNumberedTextTLRI"/>
      </w:pPr>
      <w:r w:rsidRPr="00154F1D">
        <w:t xml:space="preserve">The ability for the prosecution to raise the defence of insanity (absent the accused putting the state of mind in issue) is supported on the basis </w:t>
      </w:r>
      <w:r w:rsidR="00BE4BE7" w:rsidRPr="00154F1D">
        <w:t>that the public interests of both fairness and community safety are better served when a person who</w:t>
      </w:r>
      <w:r w:rsidR="00BE4BE7" w:rsidRPr="00154F1D" w:rsidDel="00BE4BE7">
        <w:t xml:space="preserve"> </w:t>
      </w:r>
      <w:r w:rsidRPr="00154F1D">
        <w:t>has committed a serious offence by reason of a cognitive or mental health impairment is detained as a forensic patient to allow the person to receive treatment.</w:t>
      </w:r>
      <w:r w:rsidRPr="00154F1D">
        <w:rPr>
          <w:rStyle w:val="FootnoteReference"/>
        </w:rPr>
        <w:footnoteReference w:id="589"/>
      </w:r>
      <w:r w:rsidRPr="00154F1D">
        <w:t xml:space="preserve"> This was recognised</w:t>
      </w:r>
      <w:r w:rsidR="008C21F0" w:rsidRPr="00154F1D">
        <w:t xml:space="preserve"> in </w:t>
      </w:r>
      <w:r w:rsidR="008C21F0" w:rsidRPr="00154F1D">
        <w:rPr>
          <w:i/>
        </w:rPr>
        <w:t xml:space="preserve">Falconer </w:t>
      </w:r>
      <w:r w:rsidR="008C21F0" w:rsidRPr="00154F1D">
        <w:t>by Deane and Dawson JJ, who observed that ‘nowadays it is often in the interests of the prosecution (or, at all events, the community) to raise the question of insanity, rather than in the interests of the accused</w:t>
      </w:r>
      <w:r w:rsidR="00CC5ADB" w:rsidRPr="00154F1D">
        <w:t>.</w:t>
      </w:r>
      <w:r w:rsidR="008C21F0" w:rsidRPr="00154F1D">
        <w:t>’</w:t>
      </w:r>
      <w:r w:rsidR="008C21F0" w:rsidRPr="00154F1D">
        <w:rPr>
          <w:rStyle w:val="FootnoteReference"/>
        </w:rPr>
        <w:footnoteReference w:id="590"/>
      </w:r>
      <w:r w:rsidR="008C21F0" w:rsidRPr="00154F1D">
        <w:t xml:space="preserve"> </w:t>
      </w:r>
      <w:r w:rsidR="00804327" w:rsidRPr="00154F1D">
        <w:t>The NSWLRC considered that there were very few cases where the absence of a prosecution power to raise the defence of mental impairment posed a difficulty in practice.</w:t>
      </w:r>
      <w:r w:rsidR="00804327" w:rsidRPr="00154F1D">
        <w:rPr>
          <w:rStyle w:val="FootnoteReference"/>
        </w:rPr>
        <w:footnoteReference w:id="591"/>
      </w:r>
      <w:r w:rsidR="00804327" w:rsidRPr="00154F1D">
        <w:t xml:space="preserve"> However, it considered that the prosecution should have such a power to ensure that the public inte</w:t>
      </w:r>
      <w:r w:rsidR="00D94122" w:rsidRPr="00154F1D">
        <w:t>rest</w:t>
      </w:r>
      <w:r w:rsidR="00804327" w:rsidRPr="00154F1D">
        <w:t xml:space="preserve"> was served in the appropriate case.</w:t>
      </w:r>
      <w:r w:rsidR="00804327" w:rsidRPr="00154F1D">
        <w:rPr>
          <w:rStyle w:val="FootnoteReference"/>
        </w:rPr>
        <w:footnoteReference w:id="592"/>
      </w:r>
    </w:p>
    <w:p w14:paraId="32346F8D" w14:textId="7BDAA9A7" w:rsidR="008C21F0" w:rsidRPr="00154F1D" w:rsidRDefault="006F6AAC" w:rsidP="00744FAA">
      <w:pPr>
        <w:pStyle w:val="NormalNumberedTextTLRI"/>
      </w:pPr>
      <w:r w:rsidRPr="00154F1D">
        <w:t xml:space="preserve">The contrary view is that to allow the prosecution to raise the insanity defence is contrary to fundamental rights of the </w:t>
      </w:r>
      <w:r w:rsidR="004078AC">
        <w:t>defendant</w:t>
      </w:r>
      <w:r w:rsidR="004078AC" w:rsidRPr="00154F1D">
        <w:t xml:space="preserve"> </w:t>
      </w:r>
      <w:r w:rsidR="008C21F0" w:rsidRPr="00154F1D">
        <w:t>given the indeterminate consequences that follow from a finding of not guilty by reason of insanity</w:t>
      </w:r>
      <w:r w:rsidRPr="00154F1D">
        <w:t>.</w:t>
      </w:r>
      <w:r w:rsidR="00D34E2F" w:rsidRPr="00154F1D">
        <w:rPr>
          <w:rStyle w:val="FootnoteReference"/>
        </w:rPr>
        <w:footnoteReference w:id="593"/>
      </w:r>
      <w:r w:rsidRPr="00154F1D">
        <w:t xml:space="preserve"> </w:t>
      </w:r>
      <w:r w:rsidR="00D34E2F" w:rsidRPr="00154F1D">
        <w:t>It is also inconsistent with ‘the interest</w:t>
      </w:r>
      <w:r w:rsidR="005213DA" w:rsidRPr="00154F1D">
        <w:t>s</w:t>
      </w:r>
      <w:r w:rsidR="00D34E2F" w:rsidRPr="00154F1D">
        <w:t xml:space="preserve"> of the defendant in retaining control of his or her defence’.</w:t>
      </w:r>
      <w:r w:rsidR="00D34E2F" w:rsidRPr="00154F1D">
        <w:rPr>
          <w:rStyle w:val="FootnoteReference"/>
        </w:rPr>
        <w:footnoteReference w:id="594"/>
      </w:r>
      <w:r w:rsidR="00D34E2F" w:rsidRPr="00154F1D">
        <w:t xml:space="preserve"> In addition, the NZLC commented on the </w:t>
      </w:r>
      <w:r w:rsidR="00804327" w:rsidRPr="00154F1D">
        <w:t xml:space="preserve">significant </w:t>
      </w:r>
      <w:r w:rsidR="00D34E2F" w:rsidRPr="00154F1D">
        <w:t>stigma that attaches to the insanity defence.</w:t>
      </w:r>
      <w:r w:rsidR="00D34E2F" w:rsidRPr="00154F1D">
        <w:rPr>
          <w:rStyle w:val="FootnoteReference"/>
        </w:rPr>
        <w:footnoteReference w:id="595"/>
      </w:r>
      <w:r w:rsidR="00804327" w:rsidRPr="00154F1D">
        <w:t xml:space="preserve"> For these reasons, the NZLC recommended </w:t>
      </w:r>
      <w:r w:rsidR="00D94122" w:rsidRPr="00154F1D">
        <w:t xml:space="preserve">that </w:t>
      </w:r>
      <w:r w:rsidR="00804327" w:rsidRPr="00154F1D">
        <w:t xml:space="preserve">the Crown </w:t>
      </w:r>
      <w:r w:rsidR="00D94122" w:rsidRPr="00154F1D">
        <w:t>should</w:t>
      </w:r>
      <w:r w:rsidR="00804327" w:rsidRPr="00154F1D">
        <w:t xml:space="preserve"> only </w:t>
      </w:r>
      <w:r w:rsidR="00D94122" w:rsidRPr="00154F1D">
        <w:t xml:space="preserve">be able to </w:t>
      </w:r>
      <w:r w:rsidR="00804327" w:rsidRPr="00154F1D">
        <w:t>adduce evidence of insanity (with the leave of the court) where the defence has put his or her mental capacity for criminal intent in issue without raising the insanity defence.</w:t>
      </w:r>
      <w:r w:rsidR="00804327" w:rsidRPr="00154F1D">
        <w:rPr>
          <w:rStyle w:val="FootnoteReference"/>
        </w:rPr>
        <w:footnoteReference w:id="596"/>
      </w:r>
    </w:p>
    <w:p w14:paraId="2D51C21B" w14:textId="26CFD1D9" w:rsidR="00FE736B" w:rsidRPr="00154F1D" w:rsidRDefault="00FE736B" w:rsidP="00744FAA">
      <w:pPr>
        <w:pStyle w:val="NormalNumberedTextTLRI"/>
      </w:pPr>
      <w:r w:rsidRPr="00154F1D">
        <w:t xml:space="preserve">Accordingly, </w:t>
      </w:r>
      <w:r w:rsidR="006F6AAC" w:rsidRPr="00154F1D">
        <w:t xml:space="preserve">a fundamental issue </w:t>
      </w:r>
      <w:r w:rsidR="00804327" w:rsidRPr="00154F1D">
        <w:t xml:space="preserve">in Tasmania </w:t>
      </w:r>
      <w:r w:rsidR="006F6AAC" w:rsidRPr="00154F1D">
        <w:t xml:space="preserve">is whether the Crown should be able to raise </w:t>
      </w:r>
      <w:r w:rsidR="00804327" w:rsidRPr="00154F1D">
        <w:t xml:space="preserve">the defence of </w:t>
      </w:r>
      <w:r w:rsidR="006F6AAC" w:rsidRPr="00154F1D">
        <w:t>insanity</w:t>
      </w:r>
      <w:r w:rsidR="00804327" w:rsidRPr="00154F1D">
        <w:t xml:space="preserve"> contrary to the wishes of the defence</w:t>
      </w:r>
      <w:r w:rsidR="00804327" w:rsidRPr="00154F1D">
        <w:rPr>
          <w:sz w:val="20"/>
        </w:rPr>
        <w:t>.</w:t>
      </w:r>
    </w:p>
    <w:p w14:paraId="1396F233" w14:textId="25B82731" w:rsidR="00804327" w:rsidRPr="00154F1D" w:rsidRDefault="00804327" w:rsidP="001265BD">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b/>
        </w:rPr>
      </w:pPr>
      <w:bookmarkStart w:id="180" w:name="Q55"/>
      <w:r w:rsidRPr="00154F1D">
        <w:rPr>
          <w:b/>
        </w:rPr>
        <w:t>Question</w:t>
      </w:r>
      <w:r w:rsidR="001265BD" w:rsidRPr="00154F1D">
        <w:rPr>
          <w:b/>
        </w:rPr>
        <w:t>s</w:t>
      </w:r>
    </w:p>
    <w:bookmarkEnd w:id="180"/>
    <w:p w14:paraId="18373D1F" w14:textId="7D279B81" w:rsidR="00804327" w:rsidRPr="00154F1D" w:rsidRDefault="00BE4BE7" w:rsidP="001265BD">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55</w:t>
      </w:r>
      <w:r w:rsidR="00146339" w:rsidRPr="00154F1D">
        <w:t>.</w:t>
      </w:r>
      <w:r w:rsidR="001265BD" w:rsidRPr="00154F1D">
        <w:tab/>
      </w:r>
      <w:r w:rsidR="00804327" w:rsidRPr="00154F1D">
        <w:t xml:space="preserve">Should the prosecution have the power to raise the defence of </w:t>
      </w:r>
      <w:r w:rsidR="00091AF0">
        <w:t>insanity</w:t>
      </w:r>
      <w:r w:rsidR="00804327" w:rsidRPr="00154F1D">
        <w:t xml:space="preserve"> against the wishes of the defendant? </w:t>
      </w:r>
    </w:p>
    <w:p w14:paraId="0ED9C25C" w14:textId="23E084C4" w:rsidR="00D94122" w:rsidRPr="00154F1D" w:rsidRDefault="00BE4BE7" w:rsidP="001265BD">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56</w:t>
      </w:r>
      <w:r w:rsidR="00D94122" w:rsidRPr="00154F1D">
        <w:t>.</w:t>
      </w:r>
      <w:r w:rsidR="001265BD" w:rsidRPr="00154F1D">
        <w:tab/>
      </w:r>
      <w:r w:rsidR="00D94122" w:rsidRPr="00154F1D">
        <w:t>Should the leave of the court be required</w:t>
      </w:r>
      <w:r w:rsidR="005213DA" w:rsidRPr="00154F1D">
        <w:t xml:space="preserve"> for the prosecution to do this</w:t>
      </w:r>
      <w:r w:rsidR="00D94122" w:rsidRPr="00154F1D">
        <w:t>?</w:t>
      </w:r>
    </w:p>
    <w:p w14:paraId="2A6486EC" w14:textId="5B93F6C1" w:rsidR="00B859DD" w:rsidRPr="00154F1D" w:rsidRDefault="005F0E4B" w:rsidP="00B859DD">
      <w:pPr>
        <w:pStyle w:val="furhtersub-heading2"/>
      </w:pPr>
      <w:r w:rsidRPr="00154F1D">
        <w:t>A</w:t>
      </w:r>
      <w:r w:rsidR="00B859DD" w:rsidRPr="00154F1D">
        <w:t xml:space="preserve"> </w:t>
      </w:r>
      <w:r w:rsidR="00A8635D" w:rsidRPr="00154F1D">
        <w:t>‘</w:t>
      </w:r>
      <w:r w:rsidR="00B859DD" w:rsidRPr="00154F1D">
        <w:t>co</w:t>
      </w:r>
      <w:r w:rsidRPr="00154F1D">
        <w:t>nsent defence</w:t>
      </w:r>
      <w:r w:rsidR="00A8635D" w:rsidRPr="00154F1D">
        <w:t>’</w:t>
      </w:r>
    </w:p>
    <w:p w14:paraId="5C233D6C" w14:textId="1D1D53B7" w:rsidR="00BF4382" w:rsidRPr="00154F1D" w:rsidRDefault="00016619" w:rsidP="00744FAA">
      <w:pPr>
        <w:pStyle w:val="NormalNumberedTextTLRI"/>
      </w:pPr>
      <w:r w:rsidRPr="00154F1D">
        <w:t>Unlike the criminal law generally, where the prosecution can accept a plea by a defendant, c</w:t>
      </w:r>
      <w:r w:rsidR="007C4A4A" w:rsidRPr="00154F1D">
        <w:t>urrently in Tasmania it is not possible for the defendant to enter a plea of no</w:t>
      </w:r>
      <w:r w:rsidRPr="00154F1D">
        <w:t>t guilty by reason of insanity. In the Supreme Court a verdict of not guilty by reason of insanity must be delivered by a jury</w:t>
      </w:r>
      <w:r w:rsidR="00F04DA8" w:rsidRPr="00154F1D">
        <w:t>,</w:t>
      </w:r>
      <w:r w:rsidRPr="00154F1D">
        <w:t xml:space="preserve"> and in the Magistrates Court it must be given by a magistrate. </w:t>
      </w:r>
      <w:r w:rsidR="00A8635D" w:rsidRPr="00154F1D">
        <w:t>In th</w:t>
      </w:r>
      <w:r w:rsidR="00384FEF" w:rsidRPr="00154F1D">
        <w:t>e letter to the TLRI setting out</w:t>
      </w:r>
      <w:r w:rsidR="00A8635D" w:rsidRPr="00154F1D">
        <w:t xml:space="preserve"> the Terms of Reference, the then Attorney-General indicated that the DPP had requested that consideration be given to reform</w:t>
      </w:r>
      <w:r w:rsidR="00CF5CB5" w:rsidRPr="00154F1D">
        <w:t>ing the law</w:t>
      </w:r>
      <w:r w:rsidR="00A8635D" w:rsidRPr="00154F1D">
        <w:t xml:space="preserve"> in relation to the </w:t>
      </w:r>
      <w:r w:rsidR="00384FEF" w:rsidRPr="00154F1D">
        <w:t>criminal</w:t>
      </w:r>
      <w:r w:rsidR="00A8635D" w:rsidRPr="00154F1D">
        <w:t xml:space="preserve"> </w:t>
      </w:r>
      <w:r w:rsidR="00384FEF" w:rsidRPr="00154F1D">
        <w:t>procedure</w:t>
      </w:r>
      <w:r w:rsidR="00A8635D" w:rsidRPr="00154F1D">
        <w:t xml:space="preserve"> </w:t>
      </w:r>
      <w:r w:rsidR="00384FEF" w:rsidRPr="00154F1D">
        <w:t>relating</w:t>
      </w:r>
      <w:r w:rsidR="00A8635D" w:rsidRPr="00154F1D">
        <w:t xml:space="preserve"> </w:t>
      </w:r>
      <w:r w:rsidR="00384FEF" w:rsidRPr="00154F1D">
        <w:t>to</w:t>
      </w:r>
      <w:r w:rsidR="00A8635D" w:rsidRPr="00154F1D">
        <w:t xml:space="preserve"> </w:t>
      </w:r>
      <w:r w:rsidR="00384FEF" w:rsidRPr="00154F1D">
        <w:t>the</w:t>
      </w:r>
      <w:r w:rsidR="00A8635D" w:rsidRPr="00154F1D">
        <w:t xml:space="preserve"> d</w:t>
      </w:r>
      <w:r w:rsidR="00384FEF" w:rsidRPr="00154F1D">
        <w:t>e</w:t>
      </w:r>
      <w:r w:rsidR="00A8635D" w:rsidRPr="00154F1D">
        <w:t xml:space="preserve">fence of </w:t>
      </w:r>
      <w:r w:rsidR="00384FEF" w:rsidRPr="00154F1D">
        <w:t>insanity</w:t>
      </w:r>
      <w:r w:rsidR="00A8635D" w:rsidRPr="00154F1D">
        <w:t xml:space="preserve"> and to </w:t>
      </w:r>
      <w:r w:rsidR="00384FEF" w:rsidRPr="00154F1D">
        <w:t>legislat</w:t>
      </w:r>
      <w:r w:rsidR="00CF5CB5" w:rsidRPr="00154F1D">
        <w:t>ing</w:t>
      </w:r>
      <w:r w:rsidR="00A8635D" w:rsidRPr="00154F1D">
        <w:t xml:space="preserve"> to remove the necessity for a jury to determine the question of insanity in cer</w:t>
      </w:r>
      <w:r w:rsidR="00384FEF" w:rsidRPr="00154F1D">
        <w:t>ta</w:t>
      </w:r>
      <w:r w:rsidR="00A8635D" w:rsidRPr="00154F1D">
        <w:t xml:space="preserve">in </w:t>
      </w:r>
      <w:r w:rsidR="00384FEF" w:rsidRPr="00154F1D">
        <w:t>circumstances</w:t>
      </w:r>
      <w:r w:rsidR="00A8635D" w:rsidRPr="00154F1D">
        <w:t xml:space="preserve">. </w:t>
      </w:r>
      <w:r w:rsidR="00BE4BE7" w:rsidRPr="00154F1D">
        <w:t xml:space="preserve">Similarly, the NSWLRC recommended that </w:t>
      </w:r>
      <w:r w:rsidR="00384FEF" w:rsidRPr="00154F1D">
        <w:t>if the prosecution and defence agree that evidence in a case establishes the defence of mental health or cognitive impairment, then the court must enter a verdict of not criminally responsible by reason of mental health or cognitive impairment if satisfied that the defence is established on the evidence.</w:t>
      </w:r>
      <w:r w:rsidR="00384FEF" w:rsidRPr="00154F1D">
        <w:rPr>
          <w:rStyle w:val="FootnoteReference"/>
        </w:rPr>
        <w:footnoteReference w:id="597"/>
      </w:r>
      <w:r w:rsidR="00384FEF" w:rsidRPr="00154F1D">
        <w:t xml:space="preserve"> </w:t>
      </w:r>
      <w:r w:rsidRPr="00154F1D">
        <w:t>This has been described as a defence of mental illness by ‘consent’.</w:t>
      </w:r>
      <w:r w:rsidRPr="00154F1D">
        <w:rPr>
          <w:rStyle w:val="FootnoteReference"/>
        </w:rPr>
        <w:footnoteReference w:id="598"/>
      </w:r>
      <w:r w:rsidRPr="00154F1D">
        <w:t xml:space="preserve"> </w:t>
      </w:r>
      <w:r w:rsidR="00384FEF" w:rsidRPr="00154F1D">
        <w:t xml:space="preserve">Similarly, the Scottish Law </w:t>
      </w:r>
      <w:r w:rsidR="00FE720F" w:rsidRPr="00154F1D">
        <w:t>Commission</w:t>
      </w:r>
      <w:r w:rsidR="00384FEF" w:rsidRPr="00154F1D">
        <w:t xml:space="preserve"> and the </w:t>
      </w:r>
      <w:r w:rsidR="00FE720F" w:rsidRPr="00154F1D">
        <w:t xml:space="preserve">Law Commission of </w:t>
      </w:r>
      <w:r w:rsidRPr="00154F1D">
        <w:t>England</w:t>
      </w:r>
      <w:r w:rsidR="00FE720F" w:rsidRPr="00154F1D">
        <w:t xml:space="preserve"> and Wales recommended that there should be provision for the </w:t>
      </w:r>
      <w:r w:rsidRPr="00154F1D">
        <w:t>verdict</w:t>
      </w:r>
      <w:r w:rsidR="00FE720F" w:rsidRPr="00154F1D">
        <w:t xml:space="preserve"> of insanity by consent</w:t>
      </w:r>
      <w:r w:rsidRPr="00154F1D">
        <w:t>.</w:t>
      </w:r>
      <w:r w:rsidRPr="00154F1D">
        <w:rPr>
          <w:rStyle w:val="FootnoteReference"/>
        </w:rPr>
        <w:footnoteReference w:id="599"/>
      </w:r>
      <w:r w:rsidRPr="00154F1D">
        <w:t xml:space="preserve"> </w:t>
      </w:r>
      <w:r w:rsidR="00384FEF" w:rsidRPr="00154F1D">
        <w:t xml:space="preserve">The absence of a </w:t>
      </w:r>
      <w:r w:rsidR="00F04DA8" w:rsidRPr="00154F1D">
        <w:t>‘</w:t>
      </w:r>
      <w:r w:rsidR="00384FEF" w:rsidRPr="00154F1D">
        <w:t>consent defence</w:t>
      </w:r>
      <w:r w:rsidR="00F04DA8" w:rsidRPr="00154F1D">
        <w:t>’</w:t>
      </w:r>
      <w:r w:rsidR="00384FEF" w:rsidRPr="00154F1D">
        <w:t xml:space="preserve"> in Tasmania </w:t>
      </w:r>
      <w:r w:rsidR="00E161E3" w:rsidRPr="00154F1D">
        <w:t xml:space="preserve">contrasts with the position in Victoria, </w:t>
      </w:r>
      <w:r w:rsidR="00631777" w:rsidRPr="00154F1D">
        <w:t xml:space="preserve">Western </w:t>
      </w:r>
      <w:r w:rsidR="00EB7993" w:rsidRPr="00154F1D">
        <w:t>Australia</w:t>
      </w:r>
      <w:r w:rsidR="00631777" w:rsidRPr="00154F1D">
        <w:t xml:space="preserve">, South </w:t>
      </w:r>
      <w:r w:rsidR="00EB7993" w:rsidRPr="00154F1D">
        <w:t>Australia</w:t>
      </w:r>
      <w:r w:rsidR="00631777" w:rsidRPr="00154F1D">
        <w:t xml:space="preserve">, </w:t>
      </w:r>
      <w:r w:rsidR="00EB7993" w:rsidRPr="00154F1D">
        <w:t xml:space="preserve">the Australian Capital Territory and the Northern </w:t>
      </w:r>
      <w:r w:rsidR="00485428" w:rsidRPr="00154F1D">
        <w:t>Territory</w:t>
      </w:r>
      <w:r w:rsidR="00EB7993" w:rsidRPr="00154F1D">
        <w:t xml:space="preserve">, as well as in </w:t>
      </w:r>
      <w:r w:rsidR="00631777" w:rsidRPr="00154F1D">
        <w:t xml:space="preserve">New </w:t>
      </w:r>
      <w:r w:rsidR="00EB7993" w:rsidRPr="00154F1D">
        <w:t>Zealand</w:t>
      </w:r>
      <w:r w:rsidR="00631777" w:rsidRPr="00154F1D">
        <w:t>.</w:t>
      </w:r>
      <w:r w:rsidR="00631777" w:rsidRPr="00154F1D">
        <w:rPr>
          <w:rStyle w:val="FootnoteReference"/>
        </w:rPr>
        <w:footnoteReference w:id="600"/>
      </w:r>
      <w:r w:rsidR="00631777" w:rsidRPr="00154F1D">
        <w:t xml:space="preserve"> </w:t>
      </w:r>
    </w:p>
    <w:p w14:paraId="2659875E" w14:textId="4EF83572" w:rsidR="00016619" w:rsidRPr="00154F1D" w:rsidRDefault="00204B8E" w:rsidP="00744FAA">
      <w:pPr>
        <w:pStyle w:val="NormalNumberedTextTLRI"/>
      </w:pPr>
      <w:r w:rsidRPr="00154F1D">
        <w:t>Reasons</w:t>
      </w:r>
      <w:r w:rsidR="00967641" w:rsidRPr="00154F1D">
        <w:t xml:space="preserve"> in favour </w:t>
      </w:r>
      <w:r w:rsidR="00016619" w:rsidRPr="00154F1D">
        <w:t>of allowing a consent defence are that:</w:t>
      </w:r>
    </w:p>
    <w:p w14:paraId="25FF929B" w14:textId="36A9BDD3" w:rsidR="00631777" w:rsidRPr="00154F1D" w:rsidRDefault="00016619" w:rsidP="00B568D9">
      <w:pPr>
        <w:pStyle w:val="DotPointTLRI"/>
        <w:ind w:left="851" w:hanging="425"/>
      </w:pPr>
      <w:r w:rsidRPr="00154F1D">
        <w:t>I</w:t>
      </w:r>
      <w:r w:rsidR="00485428" w:rsidRPr="00154F1D">
        <w:t>t</w:t>
      </w:r>
      <w:r w:rsidR="006E6378" w:rsidRPr="00154F1D">
        <w:t xml:space="preserve"> ‘avoid[s] farcical trials where insanity is not in issue’.</w:t>
      </w:r>
      <w:r w:rsidR="006E6378" w:rsidRPr="00154F1D">
        <w:rPr>
          <w:rStyle w:val="FootnoteReference"/>
        </w:rPr>
        <w:footnoteReference w:id="601"/>
      </w:r>
      <w:r w:rsidR="002223AB" w:rsidRPr="00154F1D">
        <w:t xml:space="preserve"> It avoids the jury process becoming ‘artificial’ or a ‘formality’.</w:t>
      </w:r>
      <w:r w:rsidR="002223AB" w:rsidRPr="00154F1D">
        <w:rPr>
          <w:rStyle w:val="FootnoteReference"/>
        </w:rPr>
        <w:footnoteReference w:id="602"/>
      </w:r>
      <w:r w:rsidR="002223AB" w:rsidRPr="00154F1D">
        <w:t xml:space="preserve"> This may result in a los</w:t>
      </w:r>
      <w:r w:rsidR="00CF5CB5" w:rsidRPr="00154F1D">
        <w:t>s</w:t>
      </w:r>
      <w:r w:rsidR="002223AB" w:rsidRPr="00154F1D">
        <w:t xml:space="preserve"> of faith in the jury system as the jury is essentially confirming the view of the defence and prosecution.</w:t>
      </w:r>
      <w:r w:rsidR="002223AB" w:rsidRPr="00154F1D">
        <w:rPr>
          <w:rStyle w:val="FootnoteReference"/>
        </w:rPr>
        <w:footnoteReference w:id="603"/>
      </w:r>
    </w:p>
    <w:p w14:paraId="7EB9BC36" w14:textId="751CF569" w:rsidR="00016619" w:rsidRPr="00154F1D" w:rsidRDefault="00016619" w:rsidP="00B568D9">
      <w:pPr>
        <w:pStyle w:val="DotPointTLRI"/>
        <w:ind w:left="851" w:hanging="425"/>
      </w:pPr>
      <w:r w:rsidRPr="00154F1D">
        <w:t>It saves court time and consequently money.</w:t>
      </w:r>
      <w:r w:rsidRPr="00154F1D">
        <w:rPr>
          <w:rStyle w:val="FootnoteReference"/>
        </w:rPr>
        <w:footnoteReference w:id="604"/>
      </w:r>
    </w:p>
    <w:p w14:paraId="142DC342" w14:textId="21358BAD" w:rsidR="00016619" w:rsidRPr="00154F1D" w:rsidRDefault="00016619" w:rsidP="00B568D9">
      <w:pPr>
        <w:pStyle w:val="DotPointTLRI"/>
        <w:ind w:left="851" w:hanging="425"/>
      </w:pPr>
      <w:r w:rsidRPr="00154F1D">
        <w:t xml:space="preserve">It reduces stress on the defendant (who may still be ill at the time of the trial) </w:t>
      </w:r>
      <w:r w:rsidR="002223AB" w:rsidRPr="00154F1D">
        <w:t xml:space="preserve">and </w:t>
      </w:r>
      <w:r w:rsidRPr="00154F1D">
        <w:t>witnesses including victims and family member</w:t>
      </w:r>
      <w:r w:rsidR="002223AB" w:rsidRPr="00154F1D">
        <w:t>s</w:t>
      </w:r>
      <w:r w:rsidRPr="00154F1D">
        <w:t>’</w:t>
      </w:r>
      <w:r w:rsidR="002223AB" w:rsidRPr="00154F1D">
        <w:t xml:space="preserve"> in cases where this is the obvious result.</w:t>
      </w:r>
      <w:r w:rsidR="002223AB" w:rsidRPr="00154F1D">
        <w:rPr>
          <w:rStyle w:val="FootnoteReference"/>
        </w:rPr>
        <w:footnoteReference w:id="605"/>
      </w:r>
    </w:p>
    <w:p w14:paraId="6C891F9C" w14:textId="09214D07" w:rsidR="00016619" w:rsidRPr="00154F1D" w:rsidRDefault="00016619" w:rsidP="00B568D9">
      <w:pPr>
        <w:pStyle w:val="DotPointTLRI"/>
        <w:ind w:left="851" w:hanging="425"/>
      </w:pPr>
      <w:r w:rsidRPr="00154F1D">
        <w:t xml:space="preserve">In the case of an </w:t>
      </w:r>
      <w:r w:rsidR="004019C8">
        <w:t>accused</w:t>
      </w:r>
      <w:r w:rsidR="004019C8" w:rsidRPr="00154F1D">
        <w:t xml:space="preserve"> </w:t>
      </w:r>
      <w:r w:rsidRPr="00154F1D">
        <w:t>who is unfit to stand trial in Tasmania, it is possible to determine this issue by consent but it is not possible to resolve the question of criminal responsibility by consent.</w:t>
      </w:r>
    </w:p>
    <w:p w14:paraId="36FB1378" w14:textId="3452C7FD" w:rsidR="00F23DB5" w:rsidRPr="00154F1D" w:rsidRDefault="00F23DB5" w:rsidP="00744FAA">
      <w:pPr>
        <w:pStyle w:val="NormalNumberedTextTLRI"/>
      </w:pPr>
      <w:r w:rsidRPr="00154F1D">
        <w:t>The VLRC noted that where the prosecution and defence agree that the evidence establishes the defence of mental impairment, ‘it is unlikely that the jury will arrive at a different conclusion</w:t>
      </w:r>
      <w:r w:rsidR="001473A8" w:rsidRPr="00154F1D">
        <w:t>.</w:t>
      </w:r>
      <w:r w:rsidRPr="00154F1D">
        <w:t>’</w:t>
      </w:r>
      <w:r w:rsidRPr="00154F1D">
        <w:rPr>
          <w:rStyle w:val="FootnoteReference"/>
        </w:rPr>
        <w:footnoteReference w:id="606"/>
      </w:r>
      <w:r w:rsidRPr="00154F1D">
        <w:t xml:space="preserve"> </w:t>
      </w:r>
    </w:p>
    <w:p w14:paraId="4DA21B7A" w14:textId="64E4E98B" w:rsidR="002223AB" w:rsidRPr="00154F1D" w:rsidRDefault="00F23DB5" w:rsidP="00744FAA">
      <w:pPr>
        <w:pStyle w:val="NormalNumberedTextTLRI"/>
      </w:pPr>
      <w:r w:rsidRPr="00154F1D">
        <w:t xml:space="preserve">The importance of the role of the jury in representing the community in determining criminal responsibility </w:t>
      </w:r>
      <w:r w:rsidR="001A2CC6" w:rsidRPr="00154F1D">
        <w:t>has been identified as</w:t>
      </w:r>
      <w:r w:rsidRPr="00154F1D">
        <w:t xml:space="preserve"> t</w:t>
      </w:r>
      <w:r w:rsidR="002223AB" w:rsidRPr="00154F1D">
        <w:t xml:space="preserve">he </w:t>
      </w:r>
      <w:r w:rsidR="00BE4BE7" w:rsidRPr="00154F1D">
        <w:t>pre</w:t>
      </w:r>
      <w:r w:rsidR="002223AB" w:rsidRPr="00154F1D">
        <w:t>dominant r</w:t>
      </w:r>
      <w:r w:rsidR="00967641" w:rsidRPr="00154F1D">
        <w:t>eason</w:t>
      </w:r>
      <w:r w:rsidR="002223AB" w:rsidRPr="00154F1D">
        <w:t xml:space="preserve"> provided for not</w:t>
      </w:r>
      <w:r w:rsidR="00016619" w:rsidRPr="00154F1D">
        <w:t xml:space="preserve"> allowing a consent defence</w:t>
      </w:r>
      <w:r w:rsidR="002223AB" w:rsidRPr="00154F1D">
        <w:t xml:space="preserve"> of insanity.</w:t>
      </w:r>
      <w:r w:rsidR="002223AB" w:rsidRPr="00154F1D">
        <w:rPr>
          <w:rStyle w:val="FootnoteReference"/>
        </w:rPr>
        <w:footnoteReference w:id="607"/>
      </w:r>
      <w:r w:rsidR="002223AB" w:rsidRPr="00154F1D">
        <w:t xml:space="preserve"> On this basis, the VLRC </w:t>
      </w:r>
      <w:r w:rsidR="00BF4382" w:rsidRPr="00154F1D">
        <w:t xml:space="preserve">changed </w:t>
      </w:r>
      <w:r w:rsidR="002223AB" w:rsidRPr="00154F1D">
        <w:t>its view from prior recommendations</w:t>
      </w:r>
      <w:r w:rsidR="006A3E4C" w:rsidRPr="00154F1D">
        <w:t xml:space="preserve"> it had made and recommended that the law be changed to require a jury to determine criminal responsibility in all criminal trials in higher courts under the Act.</w:t>
      </w:r>
      <w:r w:rsidR="006A3E4C" w:rsidRPr="00154F1D">
        <w:rPr>
          <w:rStyle w:val="FootnoteReference"/>
        </w:rPr>
        <w:footnoteReference w:id="608"/>
      </w:r>
      <w:r w:rsidR="006A3E4C" w:rsidRPr="00154F1D">
        <w:t xml:space="preserve"> </w:t>
      </w:r>
      <w:r w:rsidR="002223AB" w:rsidRPr="00154F1D">
        <w:t>The VLRC</w:t>
      </w:r>
      <w:r w:rsidR="006A3E4C" w:rsidRPr="00154F1D">
        <w:t xml:space="preserve"> observed that the jury protects the interests of the community by ensuring the sound administration of justice, and that this </w:t>
      </w:r>
      <w:r w:rsidR="00CF5CB5" w:rsidRPr="00154F1D">
        <w:t xml:space="preserve">is </w:t>
      </w:r>
      <w:r w:rsidR="006A3E4C" w:rsidRPr="00154F1D">
        <w:t>particularly important in these types of matters ‘which often involve the occurrence of a serious event that has profound and lasting consequences for the accused, victims and the community’.</w:t>
      </w:r>
      <w:r w:rsidR="006A3E4C" w:rsidRPr="00154F1D">
        <w:rPr>
          <w:rStyle w:val="FootnoteReference"/>
        </w:rPr>
        <w:footnoteReference w:id="609"/>
      </w:r>
      <w:r w:rsidR="006A3E4C" w:rsidRPr="00154F1D">
        <w:t xml:space="preserve"> It allows for public examination of the issues ‘in a way that is comprehensible to the accused, victims and the community’. This has an educative function for the public.</w:t>
      </w:r>
      <w:r w:rsidR="006A3E4C" w:rsidRPr="00154F1D">
        <w:rPr>
          <w:rStyle w:val="FootnoteReference"/>
        </w:rPr>
        <w:footnoteReference w:id="610"/>
      </w:r>
      <w:r w:rsidR="006A3E4C" w:rsidRPr="00154F1D">
        <w:t xml:space="preserve"> It also protects the accused by requiring their criminal responsibility to be determined by independent members of the community. In addition, </w:t>
      </w:r>
      <w:r w:rsidR="00C83333" w:rsidRPr="00154F1D">
        <w:t>‘the determination of criminal responsibility by a jury provides a greater level of acknowledgement to victims and their families of the harm that they have experienced’.</w:t>
      </w:r>
      <w:r w:rsidR="00C83333" w:rsidRPr="00154F1D">
        <w:rPr>
          <w:rStyle w:val="FootnoteReference"/>
        </w:rPr>
        <w:footnoteReference w:id="611"/>
      </w:r>
    </w:p>
    <w:p w14:paraId="3E6FD804" w14:textId="5377C764" w:rsidR="001A2CC6" w:rsidRPr="00154F1D" w:rsidRDefault="001A2CC6" w:rsidP="00744FAA">
      <w:pPr>
        <w:pStyle w:val="NormalNumberedTextTLRI"/>
      </w:pPr>
      <w:r w:rsidRPr="00154F1D">
        <w:t xml:space="preserve">Other reasons in favour of retaining the jury </w:t>
      </w:r>
      <w:r w:rsidR="00882300">
        <w:t>are</w:t>
      </w:r>
      <w:r w:rsidRPr="00154F1D">
        <w:t xml:space="preserve"> that the trial process operates as a check and a safeguard not just by the involvement of the community but also </w:t>
      </w:r>
      <w:r w:rsidR="00045701" w:rsidRPr="00154F1D">
        <w:t xml:space="preserve">in </w:t>
      </w:r>
      <w:r w:rsidRPr="00154F1D">
        <w:t xml:space="preserve">that the scrutiny inherent in the trial process may promote caution in the formulation of opinion by expert witnesses. Further, expert opinion is only as good as the information that is provided to the expert as the basis for the opinions expressed, and the factual matrix that may emerge at trial may differ from the facts that appear in the </w:t>
      </w:r>
      <w:r w:rsidR="001473A8" w:rsidRPr="00154F1D">
        <w:t>C</w:t>
      </w:r>
      <w:r w:rsidRPr="00154F1D">
        <w:t xml:space="preserve">rown papers. This </w:t>
      </w:r>
      <w:r w:rsidR="005D5AC6" w:rsidRPr="00154F1D">
        <w:t>means</w:t>
      </w:r>
      <w:r w:rsidRPr="00154F1D">
        <w:t xml:space="preserve"> that experts may refine </w:t>
      </w:r>
      <w:r w:rsidR="005D5AC6" w:rsidRPr="00154F1D">
        <w:t>the</w:t>
      </w:r>
      <w:r w:rsidR="00882300">
        <w:t>ir</w:t>
      </w:r>
      <w:r w:rsidR="005D5AC6" w:rsidRPr="00154F1D">
        <w:t xml:space="preserve"> </w:t>
      </w:r>
      <w:r w:rsidRPr="00154F1D">
        <w:t xml:space="preserve">opinions </w:t>
      </w:r>
      <w:r w:rsidR="005D5AC6" w:rsidRPr="00154F1D">
        <w:t xml:space="preserve">contained in the pre-trial reports to reflect the change in facts that emerge at trial. This caution and refinement may be lost if the trial process is replaced by a </w:t>
      </w:r>
      <w:r w:rsidR="001473A8" w:rsidRPr="00154F1D">
        <w:t>‘</w:t>
      </w:r>
      <w:r w:rsidR="00045701" w:rsidRPr="00154F1D">
        <w:t xml:space="preserve">defence </w:t>
      </w:r>
      <w:r w:rsidR="005D5AC6" w:rsidRPr="00154F1D">
        <w:t>consent’ process.</w:t>
      </w:r>
    </w:p>
    <w:p w14:paraId="1DF2B548" w14:textId="56065146" w:rsidR="002B716B" w:rsidRPr="00154F1D" w:rsidRDefault="002B716B" w:rsidP="00744FAA">
      <w:pPr>
        <w:pStyle w:val="NormalNumberedTextTLRI"/>
      </w:pPr>
      <w:r w:rsidRPr="00154F1D">
        <w:t xml:space="preserve">On the other hand, it is noted that </w:t>
      </w:r>
      <w:r w:rsidR="00914322" w:rsidRPr="00154F1D">
        <w:t xml:space="preserve">the Director of Public Prosecutions routinely makes decisions about criminal responsibility. A </w:t>
      </w:r>
      <w:r w:rsidRPr="00154F1D">
        <w:t xml:space="preserve">primary function of the </w:t>
      </w:r>
      <w:r w:rsidR="00914322" w:rsidRPr="00154F1D">
        <w:t>DPP</w:t>
      </w:r>
      <w:r w:rsidRPr="00154F1D">
        <w:t xml:space="preserve"> is to make decisions about whether or not to institute proceedings</w:t>
      </w:r>
      <w:r w:rsidR="00914322" w:rsidRPr="00154F1D">
        <w:t xml:space="preserve"> and this involves decisions</w:t>
      </w:r>
      <w:r w:rsidRPr="00154F1D">
        <w:t xml:space="preserve"> in relation to the charges laid (for example, whether an </w:t>
      </w:r>
      <w:r w:rsidR="004019C8">
        <w:t>accused</w:t>
      </w:r>
      <w:r w:rsidR="004019C8" w:rsidRPr="00154F1D">
        <w:t xml:space="preserve"> </w:t>
      </w:r>
      <w:r w:rsidRPr="00154F1D">
        <w:t>is charged with attempted murder or causing grievous bodily harm), the acceptance of pleas of guilty to particular charges and</w:t>
      </w:r>
      <w:r w:rsidR="00914322" w:rsidRPr="00154F1D">
        <w:t>/or</w:t>
      </w:r>
      <w:r w:rsidRPr="00154F1D">
        <w:t xml:space="preserve"> </w:t>
      </w:r>
      <w:r w:rsidR="00750ADC" w:rsidRPr="00154F1D">
        <w:t>in relation to d</w:t>
      </w:r>
      <w:r w:rsidRPr="00154F1D">
        <w:t xml:space="preserve">ecisions not to proceed </w:t>
      </w:r>
      <w:r w:rsidR="00750ADC" w:rsidRPr="00154F1D">
        <w:t xml:space="preserve">with a matter </w:t>
      </w:r>
      <w:r w:rsidRPr="00154F1D">
        <w:t>(such as where the prosecution accepts that a defence of self-defence is made out on the facts).</w:t>
      </w:r>
      <w:r w:rsidRPr="00154F1D">
        <w:rPr>
          <w:rStyle w:val="FootnoteReference"/>
        </w:rPr>
        <w:footnoteReference w:id="612"/>
      </w:r>
      <w:r w:rsidRPr="00154F1D">
        <w:t xml:space="preserve"> In making these </w:t>
      </w:r>
      <w:r w:rsidR="001A2CC6" w:rsidRPr="00154F1D">
        <w:t>decisions, fairness is the overarch</w:t>
      </w:r>
      <w:r w:rsidRPr="00154F1D">
        <w:t xml:space="preserve">ing principle and it may be questioned as to why </w:t>
      </w:r>
      <w:r w:rsidR="00750ADC" w:rsidRPr="00154F1D">
        <w:t>decisions in relation to acceptance of the insanity defence should be treated any differently</w:t>
      </w:r>
      <w:r w:rsidRPr="00154F1D">
        <w:t xml:space="preserve">. </w:t>
      </w:r>
    </w:p>
    <w:p w14:paraId="7724F9E6" w14:textId="25EBC06E" w:rsidR="00F23DB5" w:rsidRPr="00154F1D" w:rsidRDefault="00F23DB5" w:rsidP="000278B5">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b/>
        </w:rPr>
      </w:pPr>
      <w:bookmarkStart w:id="181" w:name="Q57"/>
      <w:r w:rsidRPr="00154F1D">
        <w:rPr>
          <w:b/>
        </w:rPr>
        <w:t>Questions</w:t>
      </w:r>
    </w:p>
    <w:bookmarkEnd w:id="181"/>
    <w:p w14:paraId="6093ECAE" w14:textId="5B5F1E64" w:rsidR="00F23DB5" w:rsidRPr="00154F1D" w:rsidRDefault="00BE4BE7" w:rsidP="000278B5">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57</w:t>
      </w:r>
      <w:r w:rsidR="00683D28" w:rsidRPr="00154F1D">
        <w:t>.</w:t>
      </w:r>
      <w:r w:rsidR="000278B5" w:rsidRPr="00154F1D">
        <w:tab/>
      </w:r>
      <w:r w:rsidR="00F23DB5" w:rsidRPr="00154F1D">
        <w:t>Should there be legislative change to allow the prosecution and defence to agree that a defendant is not guilty by reason of insanity?</w:t>
      </w:r>
    </w:p>
    <w:p w14:paraId="105BC24A" w14:textId="6B1DD4D1" w:rsidR="00F23DB5" w:rsidRPr="00154F1D" w:rsidRDefault="00BE4BE7" w:rsidP="000278B5">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58</w:t>
      </w:r>
      <w:r w:rsidR="00683D28" w:rsidRPr="00154F1D">
        <w:t>.</w:t>
      </w:r>
      <w:r w:rsidR="000278B5" w:rsidRPr="00154F1D">
        <w:tab/>
      </w:r>
      <w:r w:rsidR="00F23DB5" w:rsidRPr="00154F1D">
        <w:t xml:space="preserve">If so, are there any protections </w:t>
      </w:r>
      <w:r w:rsidR="00CF5CB5" w:rsidRPr="00154F1D">
        <w:t xml:space="preserve">in </w:t>
      </w:r>
      <w:r w:rsidR="00F23DB5" w:rsidRPr="00154F1D">
        <w:t>the interests of the defendant that need to be put in place?</w:t>
      </w:r>
    </w:p>
    <w:p w14:paraId="3866834D" w14:textId="77777777" w:rsidR="002223AB" w:rsidRPr="00154F1D" w:rsidRDefault="002223AB" w:rsidP="000278B5">
      <w:pPr>
        <w:pStyle w:val="NormalNumberedTextTLRI"/>
        <w:numPr>
          <w:ilvl w:val="0"/>
          <w:numId w:val="0"/>
        </w:numPr>
      </w:pPr>
    </w:p>
    <w:p w14:paraId="44EC6676" w14:textId="3E421971" w:rsidR="002F541F" w:rsidRPr="00154F1D" w:rsidRDefault="002F541F" w:rsidP="000278B5">
      <w:pPr>
        <w:pStyle w:val="NormalNumberedTextTLRI"/>
        <w:numPr>
          <w:ilvl w:val="0"/>
          <w:numId w:val="0"/>
        </w:numPr>
      </w:pPr>
    </w:p>
    <w:p w14:paraId="507C458C" w14:textId="77777777" w:rsidR="002F541F" w:rsidRPr="00154F1D" w:rsidRDefault="002F541F" w:rsidP="002F541F">
      <w:pPr>
        <w:pStyle w:val="Sub-HeadingTLRI"/>
      </w:pPr>
    </w:p>
    <w:p w14:paraId="455E15B3" w14:textId="77777777" w:rsidR="002223AB" w:rsidRPr="00154F1D" w:rsidRDefault="002223AB" w:rsidP="00535375">
      <w:pPr>
        <w:pStyle w:val="PartNoTLRI"/>
        <w:sectPr w:rsidR="002223AB" w:rsidRPr="00154F1D" w:rsidSect="00D44CC5">
          <w:headerReference w:type="first" r:id="rId39"/>
          <w:pgSz w:w="11900" w:h="16840"/>
          <w:pgMar w:top="1440" w:right="1797" w:bottom="1440" w:left="1797" w:header="709" w:footer="709" w:gutter="0"/>
          <w:cols w:space="708"/>
          <w:titlePg/>
          <w:docGrid w:linePitch="360"/>
        </w:sectPr>
      </w:pPr>
    </w:p>
    <w:p w14:paraId="2FCF8FE7" w14:textId="4FC7F711" w:rsidR="002F1DB5" w:rsidRPr="00154F1D" w:rsidRDefault="002F1DB5" w:rsidP="00535375">
      <w:pPr>
        <w:pStyle w:val="PartNoTLRI"/>
      </w:pPr>
      <w:bookmarkStart w:id="182" w:name="_Toc535868968"/>
      <w:bookmarkEnd w:id="182"/>
    </w:p>
    <w:p w14:paraId="0254CF86" w14:textId="59DA6836" w:rsidR="001D795B" w:rsidRPr="00154F1D" w:rsidRDefault="00B3609D" w:rsidP="007630BC">
      <w:pPr>
        <w:pStyle w:val="PartHeadingTLRI"/>
        <w:spacing w:before="360" w:after="600"/>
      </w:pPr>
      <w:bookmarkStart w:id="183" w:name="_Toc535868969"/>
      <w:r w:rsidRPr="00154F1D">
        <w:t xml:space="preserve">Disposition: Forensic and </w:t>
      </w:r>
      <w:r w:rsidR="00395ECB" w:rsidRPr="00154F1D">
        <w:t>T</w:t>
      </w:r>
      <w:r w:rsidRPr="00154F1D">
        <w:t xml:space="preserve">reatment </w:t>
      </w:r>
      <w:r w:rsidR="00395ECB" w:rsidRPr="00154F1D">
        <w:t>O</w:t>
      </w:r>
      <w:r w:rsidRPr="00154F1D">
        <w:t>rders</w:t>
      </w:r>
      <w:bookmarkEnd w:id="183"/>
    </w:p>
    <w:p w14:paraId="0C5DD49C" w14:textId="06B20DD0" w:rsidR="003F414F" w:rsidRPr="00154F1D" w:rsidRDefault="003F414F" w:rsidP="007630BC">
      <w:pPr>
        <w:pStyle w:val="NumberedHeadingTLRI"/>
        <w:spacing w:before="360" w:after="120"/>
      </w:pPr>
      <w:bookmarkStart w:id="184" w:name="_Toc535868970"/>
      <w:r w:rsidRPr="00154F1D">
        <w:t>Introduction</w:t>
      </w:r>
      <w:bookmarkEnd w:id="184"/>
    </w:p>
    <w:p w14:paraId="4110FEAB" w14:textId="0E5E1F90" w:rsidR="00BE3891" w:rsidRPr="00154F1D" w:rsidRDefault="00763013" w:rsidP="00744FAA">
      <w:pPr>
        <w:pStyle w:val="NormalNumberedTextTLRI"/>
      </w:pPr>
      <w:r w:rsidRPr="00154F1D">
        <w:t xml:space="preserve">This Part examines the </w:t>
      </w:r>
      <w:r w:rsidR="00DF4983" w:rsidRPr="00154F1D">
        <w:t xml:space="preserve">orders that can be made under the </w:t>
      </w:r>
      <w:r w:rsidR="00DF4983" w:rsidRPr="00154F1D">
        <w:rPr>
          <w:i/>
        </w:rPr>
        <w:t xml:space="preserve">Criminal Justice (Mental Impairment) Act 1999 </w:t>
      </w:r>
      <w:r w:rsidR="003F414F" w:rsidRPr="00154F1D">
        <w:t xml:space="preserve">(Tas) following </w:t>
      </w:r>
      <w:r w:rsidR="00DF4983" w:rsidRPr="00154F1D">
        <w:t xml:space="preserve">a finding that an </w:t>
      </w:r>
      <w:r w:rsidR="004019C8">
        <w:t>individual</w:t>
      </w:r>
      <w:r w:rsidR="004019C8" w:rsidRPr="00154F1D">
        <w:t xml:space="preserve"> </w:t>
      </w:r>
      <w:r w:rsidR="00DF4983" w:rsidRPr="00154F1D">
        <w:t>is not guilty by reason of insanity (either at a trial or a special hearing) or if finding cannot be made that the defendant is not guilty of an offence (at a special hearing).</w:t>
      </w:r>
      <w:r w:rsidR="003F414F" w:rsidRPr="00154F1D">
        <w:t xml:space="preserve"> </w:t>
      </w:r>
    </w:p>
    <w:p w14:paraId="2618949B" w14:textId="3C6EFBA5" w:rsidR="00763013" w:rsidRPr="00154F1D" w:rsidRDefault="003F414F" w:rsidP="00744FAA">
      <w:pPr>
        <w:pStyle w:val="NormalNumberedTextTLRI"/>
      </w:pPr>
      <w:r w:rsidRPr="00154F1D">
        <w:t>The Terms of Reference ask the TLRI to address the following matters relevant to disposition:</w:t>
      </w:r>
    </w:p>
    <w:p w14:paraId="1E819B10" w14:textId="78A51EC5" w:rsidR="00763013" w:rsidRPr="00154F1D" w:rsidRDefault="003F414F" w:rsidP="00D6711B">
      <w:pPr>
        <w:pStyle w:val="DotPointTLRI"/>
        <w:ind w:left="851" w:hanging="425"/>
      </w:pPr>
      <w:r w:rsidRPr="00154F1D">
        <w:t>i</w:t>
      </w:r>
      <w:r w:rsidR="00763013" w:rsidRPr="00154F1D">
        <w:t xml:space="preserve">f insane delusions arising from mental illness form the basis of self-defence, whether defendants relying on insane delusions should be liable to supervision under the </w:t>
      </w:r>
      <w:r w:rsidR="00763013" w:rsidRPr="00154F1D">
        <w:rPr>
          <w:i/>
          <w:iCs/>
        </w:rPr>
        <w:t>Criminal Justice (Mental Impairment) Act 1999</w:t>
      </w:r>
      <w:r w:rsidR="008B399E" w:rsidRPr="00154F1D">
        <w:rPr>
          <w:i/>
          <w:iCs/>
        </w:rPr>
        <w:t xml:space="preserve"> </w:t>
      </w:r>
      <w:r w:rsidR="008B399E" w:rsidRPr="00154F1D">
        <w:rPr>
          <w:iCs/>
        </w:rPr>
        <w:t>(Tas)</w:t>
      </w:r>
      <w:r w:rsidR="00763013" w:rsidRPr="00154F1D">
        <w:t>; and</w:t>
      </w:r>
    </w:p>
    <w:p w14:paraId="6D26891B" w14:textId="32D6743F" w:rsidR="00763013" w:rsidRPr="00154F1D" w:rsidRDefault="00763013" w:rsidP="00D6711B">
      <w:pPr>
        <w:pStyle w:val="DotPointTLRI"/>
        <w:ind w:left="851" w:hanging="425"/>
        <w:rPr>
          <w:szCs w:val="22"/>
        </w:rPr>
      </w:pPr>
      <w:r w:rsidRPr="00154F1D">
        <w:rPr>
          <w:szCs w:val="22"/>
        </w:rPr>
        <w:t xml:space="preserve">if insane delusions arising from mental illness form the basis of self-defence, whether the </w:t>
      </w:r>
      <w:r w:rsidRPr="00154F1D">
        <w:rPr>
          <w:i/>
          <w:iCs/>
          <w:szCs w:val="22"/>
        </w:rPr>
        <w:t xml:space="preserve">Criminal Justice (Mental Impairment) Act 1999 </w:t>
      </w:r>
      <w:r w:rsidR="008B399E" w:rsidRPr="00154F1D">
        <w:rPr>
          <w:iCs/>
          <w:szCs w:val="22"/>
        </w:rPr>
        <w:t>(Tas)</w:t>
      </w:r>
      <w:r w:rsidR="00EF3A20" w:rsidRPr="00154F1D">
        <w:rPr>
          <w:iCs/>
          <w:szCs w:val="22"/>
        </w:rPr>
        <w:t xml:space="preserve"> </w:t>
      </w:r>
      <w:r w:rsidRPr="00154F1D">
        <w:rPr>
          <w:szCs w:val="22"/>
        </w:rPr>
        <w:t>requires amendment in relation to treatment options for such defendants.</w:t>
      </w:r>
    </w:p>
    <w:p w14:paraId="0AF64DF0" w14:textId="0720508F" w:rsidR="00763013" w:rsidRPr="00154F1D" w:rsidRDefault="00622626" w:rsidP="00D6711B">
      <w:pPr>
        <w:pStyle w:val="NormalNumberedTextTLRI"/>
        <w:numPr>
          <w:ilvl w:val="0"/>
          <w:numId w:val="0"/>
        </w:numPr>
        <w:tabs>
          <w:tab w:val="clear" w:pos="851"/>
        </w:tabs>
        <w:rPr>
          <w:szCs w:val="22"/>
        </w:rPr>
      </w:pPr>
      <w:r w:rsidRPr="00154F1D">
        <w:t>The Terms of Reference also require the TLRI to consider</w:t>
      </w:r>
      <w:r w:rsidR="00763013" w:rsidRPr="00154F1D">
        <w:t xml:space="preserve"> the just and effective operation of the </w:t>
      </w:r>
      <w:r w:rsidR="00763013" w:rsidRPr="00154F1D">
        <w:rPr>
          <w:i/>
          <w:iCs/>
        </w:rPr>
        <w:t>Criminal Justice (Mental Impairment) Act 1999</w:t>
      </w:r>
      <w:r w:rsidR="003F414F" w:rsidRPr="00154F1D">
        <w:rPr>
          <w:iCs/>
        </w:rPr>
        <w:t xml:space="preserve"> (Tas), </w:t>
      </w:r>
      <w:r w:rsidRPr="00154F1D">
        <w:rPr>
          <w:iCs/>
        </w:rPr>
        <w:t xml:space="preserve">in particular </w:t>
      </w:r>
      <w:r w:rsidR="00763013" w:rsidRPr="00154F1D">
        <w:rPr>
          <w:szCs w:val="22"/>
        </w:rPr>
        <w:t xml:space="preserve">the operation of Part 4 of the </w:t>
      </w:r>
      <w:r w:rsidR="003F414F" w:rsidRPr="00154F1D">
        <w:rPr>
          <w:szCs w:val="22"/>
        </w:rPr>
        <w:t xml:space="preserve">Act, </w:t>
      </w:r>
      <w:r w:rsidR="00763013" w:rsidRPr="00154F1D">
        <w:rPr>
          <w:szCs w:val="22"/>
        </w:rPr>
        <w:t xml:space="preserve">including in relation to </w:t>
      </w:r>
      <w:r w:rsidR="00F05F33">
        <w:rPr>
          <w:szCs w:val="22"/>
        </w:rPr>
        <w:t xml:space="preserve">the </w:t>
      </w:r>
      <w:r w:rsidR="00763013" w:rsidRPr="00154F1D">
        <w:rPr>
          <w:szCs w:val="22"/>
        </w:rPr>
        <w:t>discharge and review of forensic and treatment orders and whether there is a need for ‘step down’ options.</w:t>
      </w:r>
    </w:p>
    <w:p w14:paraId="16331C09" w14:textId="2AFC1768" w:rsidR="00B8296B" w:rsidRPr="00154F1D" w:rsidRDefault="007D1D76" w:rsidP="007630BC">
      <w:pPr>
        <w:pStyle w:val="NumberedHeadingTLRI"/>
        <w:spacing w:before="360" w:after="120"/>
      </w:pPr>
      <w:bookmarkStart w:id="185" w:name="_Toc535868971"/>
      <w:r w:rsidRPr="00154F1D">
        <w:t xml:space="preserve">Consequences of findings under the </w:t>
      </w:r>
      <w:r w:rsidR="008B399E" w:rsidRPr="00154F1D">
        <w:rPr>
          <w:i/>
        </w:rPr>
        <w:t>Criminal Justice (Mental Impairment) Act 1999</w:t>
      </w:r>
      <w:r w:rsidR="008B399E" w:rsidRPr="00154F1D">
        <w:t xml:space="preserve"> (Tas)</w:t>
      </w:r>
      <w:bookmarkEnd w:id="185"/>
    </w:p>
    <w:p w14:paraId="0FDAEC2F" w14:textId="2FF388EE" w:rsidR="00352E49" w:rsidRPr="00154F1D" w:rsidRDefault="00352E49" w:rsidP="00352E49">
      <w:pPr>
        <w:pStyle w:val="Sub-HeadingTLRI"/>
      </w:pPr>
      <w:bookmarkStart w:id="186" w:name="_Toc535868972"/>
      <w:r w:rsidRPr="00154F1D">
        <w:t xml:space="preserve">Orders available under the </w:t>
      </w:r>
      <w:r w:rsidR="008B399E" w:rsidRPr="00154F1D">
        <w:rPr>
          <w:iCs/>
        </w:rPr>
        <w:t>Criminal Justice (Mental Impairment) Act 1999 (Tas)</w:t>
      </w:r>
      <w:bookmarkEnd w:id="186"/>
    </w:p>
    <w:p w14:paraId="01006976" w14:textId="340E2E1B" w:rsidR="007D1D76" w:rsidRPr="00154F1D" w:rsidRDefault="00AA6ECC" w:rsidP="00744FAA">
      <w:pPr>
        <w:pStyle w:val="NormalNumberedTextTLRI"/>
      </w:pPr>
      <w:r w:rsidRPr="00154F1D">
        <w:t xml:space="preserve">Under the </w:t>
      </w:r>
      <w:r w:rsidR="008B399E" w:rsidRPr="00154F1D">
        <w:rPr>
          <w:i/>
          <w:iCs/>
        </w:rPr>
        <w:t xml:space="preserve">Criminal Justice (Mental Impairment) Act 1999 </w:t>
      </w:r>
      <w:r w:rsidR="008B399E" w:rsidRPr="00154F1D">
        <w:rPr>
          <w:iCs/>
        </w:rPr>
        <w:t>(Tas)</w:t>
      </w:r>
      <w:r w:rsidRPr="00154F1D">
        <w:t xml:space="preserve">, </w:t>
      </w:r>
      <w:r w:rsidR="00B87A0E" w:rsidRPr="00154F1D">
        <w:t xml:space="preserve">there are </w:t>
      </w:r>
      <w:r w:rsidR="00E32917" w:rsidRPr="00154F1D">
        <w:t>five</w:t>
      </w:r>
      <w:r w:rsidR="00B87A0E" w:rsidRPr="00154F1D">
        <w:t xml:space="preserve"> orders that </w:t>
      </w:r>
      <w:r w:rsidRPr="00154F1D">
        <w:t xml:space="preserve">a court </w:t>
      </w:r>
      <w:r w:rsidR="00B87A0E" w:rsidRPr="00154F1D">
        <w:t>can make if a defendant is found not guilty of the offence on the ground of insanity or if a finding cannot be made that the defendant is not guilty. These are to impose:</w:t>
      </w:r>
    </w:p>
    <w:p w14:paraId="586A3991" w14:textId="28FAC9BD" w:rsidR="00B87A0E" w:rsidRPr="00154F1D" w:rsidRDefault="00F05F33" w:rsidP="007630BC">
      <w:pPr>
        <w:pStyle w:val="NormalNumberedTextTLRI"/>
        <w:numPr>
          <w:ilvl w:val="0"/>
          <w:numId w:val="121"/>
        </w:numPr>
        <w:tabs>
          <w:tab w:val="clear" w:pos="851"/>
        </w:tabs>
        <w:spacing w:before="120" w:after="120"/>
        <w:ind w:left="850" w:hanging="425"/>
      </w:pPr>
      <w:r>
        <w:t>a</w:t>
      </w:r>
      <w:r w:rsidR="00B87A0E" w:rsidRPr="00154F1D">
        <w:t xml:space="preserve"> restriction order;</w:t>
      </w:r>
    </w:p>
    <w:p w14:paraId="6E015787" w14:textId="5EE15911" w:rsidR="00B87A0E" w:rsidRPr="00154F1D" w:rsidRDefault="00F05F33" w:rsidP="007630BC">
      <w:pPr>
        <w:pStyle w:val="NormalNumberedTextTLRI"/>
        <w:numPr>
          <w:ilvl w:val="0"/>
          <w:numId w:val="121"/>
        </w:numPr>
        <w:tabs>
          <w:tab w:val="clear" w:pos="851"/>
        </w:tabs>
        <w:spacing w:before="120" w:after="120"/>
        <w:ind w:left="850" w:hanging="425"/>
      </w:pPr>
      <w:r>
        <w:t>r</w:t>
      </w:r>
      <w:r w:rsidR="00B87A0E" w:rsidRPr="00154F1D">
        <w:t>elease the defendant and make a supervision order;</w:t>
      </w:r>
    </w:p>
    <w:p w14:paraId="141DA514" w14:textId="64D70120" w:rsidR="00B87A0E" w:rsidRPr="00154F1D" w:rsidRDefault="00B87A0E" w:rsidP="007630BC">
      <w:pPr>
        <w:pStyle w:val="NormalNumberedTextTLRI"/>
        <w:numPr>
          <w:ilvl w:val="0"/>
          <w:numId w:val="121"/>
        </w:numPr>
        <w:tabs>
          <w:tab w:val="clear" w:pos="851"/>
        </w:tabs>
        <w:spacing w:before="120" w:after="120"/>
        <w:ind w:left="850" w:hanging="425"/>
      </w:pPr>
      <w:r w:rsidRPr="00154F1D">
        <w:t>a treatment order;</w:t>
      </w:r>
    </w:p>
    <w:p w14:paraId="680B7845" w14:textId="27530A09" w:rsidR="00B87A0E" w:rsidRPr="00154F1D" w:rsidRDefault="00B87A0E" w:rsidP="007630BC">
      <w:pPr>
        <w:pStyle w:val="NormalNumberedTextTLRI"/>
        <w:numPr>
          <w:ilvl w:val="0"/>
          <w:numId w:val="121"/>
        </w:numPr>
        <w:tabs>
          <w:tab w:val="clear" w:pos="851"/>
        </w:tabs>
        <w:spacing w:before="120" w:after="120"/>
        <w:ind w:left="850" w:hanging="425"/>
      </w:pPr>
      <w:r w:rsidRPr="00154F1D">
        <w:t>a conditional release order; or</w:t>
      </w:r>
    </w:p>
    <w:p w14:paraId="1A349A51" w14:textId="37B4B3D7" w:rsidR="00B87A0E" w:rsidRPr="00154F1D" w:rsidRDefault="00B87A0E" w:rsidP="007630BC">
      <w:pPr>
        <w:pStyle w:val="NormalNumberedTextTLRI"/>
        <w:numPr>
          <w:ilvl w:val="0"/>
          <w:numId w:val="19"/>
        </w:numPr>
        <w:spacing w:before="120" w:after="120"/>
        <w:ind w:left="850" w:hanging="425"/>
      </w:pPr>
      <w:r w:rsidRPr="00154F1D">
        <w:t>an unconditional release order.</w:t>
      </w:r>
      <w:r w:rsidRPr="00154F1D">
        <w:rPr>
          <w:rStyle w:val="FootnoteReference"/>
        </w:rPr>
        <w:footnoteReference w:id="613"/>
      </w:r>
    </w:p>
    <w:p w14:paraId="385FCEF0" w14:textId="661CDF0B" w:rsidR="008B399E" w:rsidRPr="00154F1D" w:rsidRDefault="00590D53" w:rsidP="00744FAA">
      <w:pPr>
        <w:pStyle w:val="NormalNumberedTextTLRI"/>
      </w:pPr>
      <w:r w:rsidRPr="00154F1D">
        <w:t xml:space="preserve">As noted at </w:t>
      </w:r>
      <w:r w:rsidR="00622626" w:rsidRPr="00154F1D">
        <w:t>[2.3.2]</w:t>
      </w:r>
      <w:r w:rsidRPr="00154F1D">
        <w:t xml:space="preserve">, </w:t>
      </w:r>
      <w:r w:rsidR="00B56AB0" w:rsidRPr="00154F1D">
        <w:t xml:space="preserve">under the </w:t>
      </w:r>
      <w:r w:rsidR="00B56AB0" w:rsidRPr="00154F1D">
        <w:rPr>
          <w:i/>
        </w:rPr>
        <w:t xml:space="preserve">Sentencing Act 1997 </w:t>
      </w:r>
      <w:r w:rsidR="00B56AB0" w:rsidRPr="00154F1D">
        <w:t xml:space="preserve">(Tas) s 75, </w:t>
      </w:r>
      <w:r w:rsidRPr="00154F1D">
        <w:t xml:space="preserve">a court may also impose </w:t>
      </w:r>
      <w:r w:rsidR="00B56AB0" w:rsidRPr="00154F1D">
        <w:t>a restriction, supervision or treatment order</w:t>
      </w:r>
      <w:r w:rsidRPr="00154F1D">
        <w:t xml:space="preserve"> </w:t>
      </w:r>
      <w:r w:rsidR="00592229" w:rsidRPr="00154F1D">
        <w:t>on a person found guilty</w:t>
      </w:r>
      <w:r w:rsidR="00B56AB0" w:rsidRPr="00154F1D">
        <w:t xml:space="preserve">, </w:t>
      </w:r>
      <w:r w:rsidRPr="00154F1D">
        <w:t>if</w:t>
      </w:r>
      <w:r w:rsidR="000B49C6" w:rsidRPr="00154F1D">
        <w:t xml:space="preserve"> the </w:t>
      </w:r>
      <w:r w:rsidR="00B56AB0" w:rsidRPr="00154F1D">
        <w:t>court is satisfied that the person appears to be suffering from a mental illness that requires treatment</w:t>
      </w:r>
      <w:r w:rsidRPr="00154F1D">
        <w:t>.</w:t>
      </w:r>
      <w:r w:rsidR="00B56AB0" w:rsidRPr="00154F1D">
        <w:rPr>
          <w:rStyle w:val="FootnoteReference"/>
        </w:rPr>
        <w:footnoteReference w:id="614"/>
      </w:r>
      <w:r w:rsidR="00B56AB0" w:rsidRPr="00154F1D">
        <w:t xml:space="preserve"> </w:t>
      </w:r>
    </w:p>
    <w:p w14:paraId="075CB1FA" w14:textId="338984C8" w:rsidR="00B87A0E" w:rsidRPr="00154F1D" w:rsidRDefault="00B56AB0" w:rsidP="00744FAA">
      <w:pPr>
        <w:pStyle w:val="NormalNumberedTextTLRI"/>
      </w:pPr>
      <w:r w:rsidRPr="00154F1D">
        <w:t>In any case, o</w:t>
      </w:r>
      <w:r w:rsidR="00B87A0E" w:rsidRPr="00154F1D">
        <w:t xml:space="preserve">nly the Supreme Court is able to make a restriction order or a supervision order, and so, if a magistrate considers that either of these orders are appropriate, the matter </w:t>
      </w:r>
      <w:r w:rsidR="005A48C8" w:rsidRPr="00154F1D">
        <w:t>m</w:t>
      </w:r>
      <w:r w:rsidR="00B87A0E" w:rsidRPr="00154F1D">
        <w:t>ust be refe</w:t>
      </w:r>
      <w:r w:rsidR="005A48C8" w:rsidRPr="00154F1D">
        <w:t>r</w:t>
      </w:r>
      <w:r w:rsidR="00B87A0E" w:rsidRPr="00154F1D">
        <w:t>re</w:t>
      </w:r>
      <w:r w:rsidR="005A48C8" w:rsidRPr="00154F1D">
        <w:t>d</w:t>
      </w:r>
      <w:r w:rsidR="00B87A0E" w:rsidRPr="00154F1D">
        <w:t xml:space="preserve"> to the </w:t>
      </w:r>
      <w:r w:rsidR="005A48C8" w:rsidRPr="00154F1D">
        <w:t>Supreme</w:t>
      </w:r>
      <w:r w:rsidR="00B87A0E" w:rsidRPr="00154F1D">
        <w:t xml:space="preserve"> Court.</w:t>
      </w:r>
      <w:r w:rsidR="00B87A0E" w:rsidRPr="00154F1D">
        <w:rPr>
          <w:rStyle w:val="FootnoteReference"/>
        </w:rPr>
        <w:footnoteReference w:id="615"/>
      </w:r>
      <w:r w:rsidRPr="00154F1D">
        <w:t xml:space="preserve"> Restriction and supervision orders</w:t>
      </w:r>
      <w:r w:rsidR="005A48C8" w:rsidRPr="00154F1D">
        <w:t xml:space="preserve"> are </w:t>
      </w:r>
      <w:r w:rsidRPr="00154F1D">
        <w:t xml:space="preserve">classified as </w:t>
      </w:r>
      <w:r w:rsidR="005A48C8" w:rsidRPr="00154F1D">
        <w:t>forensic orders</w:t>
      </w:r>
      <w:r w:rsidR="00007CF9" w:rsidRPr="00154F1D">
        <w:t>.</w:t>
      </w:r>
      <w:r w:rsidR="005A48C8" w:rsidRPr="00154F1D">
        <w:rPr>
          <w:rStyle w:val="FootnoteReference"/>
        </w:rPr>
        <w:footnoteReference w:id="616"/>
      </w:r>
    </w:p>
    <w:p w14:paraId="3C6A817F" w14:textId="30A6F0D1" w:rsidR="00007CF9" w:rsidRPr="00154F1D" w:rsidRDefault="00007CF9" w:rsidP="00F614C0">
      <w:pPr>
        <w:pStyle w:val="NormalNumberedTextTLRI"/>
        <w:numPr>
          <w:ilvl w:val="0"/>
          <w:numId w:val="0"/>
        </w:numPr>
        <w:spacing w:after="80"/>
        <w:rPr>
          <w:b/>
          <w:szCs w:val="22"/>
        </w:rPr>
      </w:pPr>
      <w:r w:rsidRPr="00154F1D">
        <w:rPr>
          <w:b/>
          <w:szCs w:val="22"/>
        </w:rPr>
        <w:t xml:space="preserve">Table </w:t>
      </w:r>
      <w:r w:rsidR="00D809CA" w:rsidRPr="00154F1D">
        <w:rPr>
          <w:b/>
          <w:szCs w:val="22"/>
        </w:rPr>
        <w:t>8</w:t>
      </w:r>
      <w:r w:rsidRPr="00154F1D">
        <w:rPr>
          <w:b/>
          <w:szCs w:val="22"/>
        </w:rPr>
        <w:t>.</w:t>
      </w:r>
      <w:r w:rsidR="00D03074" w:rsidRPr="00154F1D">
        <w:rPr>
          <w:b/>
          <w:szCs w:val="22"/>
        </w:rPr>
        <w:t>1</w:t>
      </w:r>
      <w:r w:rsidRPr="00154F1D">
        <w:rPr>
          <w:b/>
          <w:szCs w:val="22"/>
        </w:rPr>
        <w:t xml:space="preserve">: </w:t>
      </w:r>
      <w:r w:rsidR="009778D2" w:rsidRPr="00154F1D">
        <w:rPr>
          <w:b/>
          <w:szCs w:val="22"/>
        </w:rPr>
        <w:t xml:space="preserve">Explanation of orders available under </w:t>
      </w:r>
      <w:r w:rsidR="009778D2" w:rsidRPr="00154F1D">
        <w:rPr>
          <w:b/>
          <w:i/>
          <w:szCs w:val="22"/>
        </w:rPr>
        <w:t xml:space="preserve">Criminal Justice Mental Impairment Act 1999 </w:t>
      </w:r>
      <w:r w:rsidR="009778D2" w:rsidRPr="00154F1D">
        <w:rPr>
          <w:b/>
          <w:szCs w:val="22"/>
        </w:rPr>
        <w:t>(Tas)</w:t>
      </w:r>
    </w:p>
    <w:tbl>
      <w:tblPr>
        <w:tblStyle w:val="TableGrid"/>
        <w:tblW w:w="5000" w:type="pct"/>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246"/>
        <w:gridCol w:w="2509"/>
        <w:gridCol w:w="2266"/>
        <w:gridCol w:w="2279"/>
      </w:tblGrid>
      <w:tr w:rsidR="00F42C40" w:rsidRPr="00154F1D" w14:paraId="515A6CDC" w14:textId="00FACAD1" w:rsidTr="0001098D">
        <w:trPr>
          <w:tblHeader/>
        </w:trPr>
        <w:tc>
          <w:tcPr>
            <w:tcW w:w="713" w:type="pct"/>
          </w:tcPr>
          <w:p w14:paraId="4DDA67A7" w14:textId="0A97792A" w:rsidR="00EF71FB" w:rsidRPr="00154F1D" w:rsidRDefault="00EF71FB" w:rsidP="003E5E12">
            <w:pPr>
              <w:pStyle w:val="NormalNumberedTextTLRI"/>
              <w:numPr>
                <w:ilvl w:val="0"/>
                <w:numId w:val="0"/>
              </w:numPr>
              <w:spacing w:beforeLines="40" w:before="96" w:afterLines="40" w:after="96" w:line="240" w:lineRule="auto"/>
              <w:rPr>
                <w:b/>
                <w:sz w:val="18"/>
                <w:szCs w:val="18"/>
              </w:rPr>
            </w:pPr>
            <w:r w:rsidRPr="00154F1D">
              <w:rPr>
                <w:b/>
                <w:sz w:val="18"/>
                <w:szCs w:val="18"/>
              </w:rPr>
              <w:t>Order</w:t>
            </w:r>
          </w:p>
        </w:tc>
        <w:tc>
          <w:tcPr>
            <w:tcW w:w="1524" w:type="pct"/>
          </w:tcPr>
          <w:p w14:paraId="4EC75D7D" w14:textId="5EB9505D" w:rsidR="00EF71FB" w:rsidRPr="00154F1D" w:rsidRDefault="00EF71FB" w:rsidP="003E5E12">
            <w:pPr>
              <w:pStyle w:val="NormalNumberedTextTLRI"/>
              <w:numPr>
                <w:ilvl w:val="0"/>
                <w:numId w:val="0"/>
              </w:numPr>
              <w:spacing w:beforeLines="40" w:before="96" w:afterLines="40" w:after="96" w:line="240" w:lineRule="auto"/>
              <w:rPr>
                <w:b/>
                <w:sz w:val="18"/>
                <w:szCs w:val="18"/>
              </w:rPr>
            </w:pPr>
            <w:r w:rsidRPr="00154F1D">
              <w:rPr>
                <w:b/>
                <w:sz w:val="18"/>
                <w:szCs w:val="18"/>
              </w:rPr>
              <w:t>Details of orders</w:t>
            </w:r>
          </w:p>
        </w:tc>
        <w:tc>
          <w:tcPr>
            <w:tcW w:w="1378" w:type="pct"/>
          </w:tcPr>
          <w:p w14:paraId="4C69F5AE" w14:textId="30696EC1" w:rsidR="00EF71FB" w:rsidRPr="00154F1D" w:rsidRDefault="00EF71FB" w:rsidP="003E5E12">
            <w:pPr>
              <w:pStyle w:val="NormalNumberedTextTLRI"/>
              <w:numPr>
                <w:ilvl w:val="0"/>
                <w:numId w:val="0"/>
              </w:numPr>
              <w:spacing w:beforeLines="40" w:before="96" w:afterLines="40" w:after="96" w:line="240" w:lineRule="auto"/>
              <w:rPr>
                <w:b/>
                <w:sz w:val="18"/>
                <w:szCs w:val="18"/>
              </w:rPr>
            </w:pPr>
            <w:r w:rsidRPr="00154F1D">
              <w:rPr>
                <w:b/>
                <w:sz w:val="18"/>
                <w:szCs w:val="18"/>
              </w:rPr>
              <w:t>Time limit for order</w:t>
            </w:r>
          </w:p>
        </w:tc>
        <w:tc>
          <w:tcPr>
            <w:tcW w:w="1385" w:type="pct"/>
          </w:tcPr>
          <w:p w14:paraId="304356EB" w14:textId="3E3EA5A8" w:rsidR="00EF71FB" w:rsidRPr="00154F1D" w:rsidRDefault="00EF71FB" w:rsidP="003E5E12">
            <w:pPr>
              <w:pStyle w:val="NormalNumberedTextTLRI"/>
              <w:numPr>
                <w:ilvl w:val="0"/>
                <w:numId w:val="0"/>
              </w:numPr>
              <w:spacing w:beforeLines="40" w:before="96" w:afterLines="40" w:after="96" w:line="240" w:lineRule="auto"/>
              <w:rPr>
                <w:b/>
                <w:sz w:val="18"/>
                <w:szCs w:val="18"/>
              </w:rPr>
            </w:pPr>
            <w:r w:rsidRPr="00154F1D">
              <w:rPr>
                <w:b/>
                <w:sz w:val="18"/>
                <w:szCs w:val="18"/>
              </w:rPr>
              <w:t>Consequences of breach</w:t>
            </w:r>
          </w:p>
        </w:tc>
      </w:tr>
      <w:tr w:rsidR="00F42C40" w:rsidRPr="00154F1D" w14:paraId="38742A64" w14:textId="226A488B" w:rsidTr="0001098D">
        <w:tc>
          <w:tcPr>
            <w:tcW w:w="713" w:type="pct"/>
          </w:tcPr>
          <w:p w14:paraId="150F15B5" w14:textId="1E45BA6A" w:rsidR="00EF71FB" w:rsidRPr="00154F1D" w:rsidRDefault="00EF71FB" w:rsidP="003E5E12">
            <w:pPr>
              <w:pStyle w:val="NormalNumberedTextTLRI"/>
              <w:numPr>
                <w:ilvl w:val="0"/>
                <w:numId w:val="0"/>
              </w:numPr>
              <w:spacing w:beforeLines="40" w:before="96" w:afterLines="40" w:after="96" w:line="240" w:lineRule="auto"/>
              <w:rPr>
                <w:sz w:val="18"/>
                <w:szCs w:val="18"/>
              </w:rPr>
            </w:pPr>
            <w:r w:rsidRPr="00154F1D">
              <w:rPr>
                <w:sz w:val="18"/>
                <w:szCs w:val="18"/>
              </w:rPr>
              <w:t>Restriction order</w:t>
            </w:r>
          </w:p>
        </w:tc>
        <w:tc>
          <w:tcPr>
            <w:tcW w:w="1524" w:type="pct"/>
          </w:tcPr>
          <w:p w14:paraId="7EC075CD" w14:textId="3C48A198" w:rsidR="00EF71FB" w:rsidRPr="00154F1D" w:rsidRDefault="00EF71FB" w:rsidP="003E5E12">
            <w:pPr>
              <w:pStyle w:val="NormalNumberedTextTLRI"/>
              <w:numPr>
                <w:ilvl w:val="0"/>
                <w:numId w:val="0"/>
              </w:numPr>
              <w:spacing w:beforeLines="40" w:before="96" w:afterLines="40" w:after="96" w:line="240" w:lineRule="auto"/>
              <w:rPr>
                <w:sz w:val="18"/>
                <w:szCs w:val="18"/>
              </w:rPr>
            </w:pPr>
            <w:r w:rsidRPr="00154F1D">
              <w:rPr>
                <w:sz w:val="18"/>
                <w:szCs w:val="18"/>
              </w:rPr>
              <w:t>This is an order requiring the person to be admitted to and detained in a secure mental health unit until the order is discharged by the Supreme Court.</w:t>
            </w:r>
            <w:r w:rsidRPr="00154F1D">
              <w:rPr>
                <w:rStyle w:val="FootnoteReference"/>
                <w:sz w:val="18"/>
                <w:szCs w:val="18"/>
              </w:rPr>
              <w:footnoteReference w:id="617"/>
            </w:r>
            <w:r w:rsidRPr="00154F1D">
              <w:rPr>
                <w:sz w:val="18"/>
                <w:szCs w:val="18"/>
              </w:rPr>
              <w:t xml:space="preserve"> The Wilfred Lopes Centre is designated secure mental health facility in Tasmania. It is a 35 bed facility that is situated near Risdon Prison. It is a health owned facility managed by the Department of Health and Human Services.</w:t>
            </w:r>
            <w:r w:rsidRPr="00154F1D">
              <w:rPr>
                <w:rStyle w:val="FootnoteReference"/>
                <w:sz w:val="18"/>
                <w:szCs w:val="18"/>
              </w:rPr>
              <w:footnoteReference w:id="618"/>
            </w:r>
          </w:p>
        </w:tc>
        <w:tc>
          <w:tcPr>
            <w:tcW w:w="1378" w:type="pct"/>
          </w:tcPr>
          <w:p w14:paraId="4384799E" w14:textId="28A5AFD8" w:rsidR="00EF71FB" w:rsidRPr="00154F1D" w:rsidRDefault="00EF71FB" w:rsidP="003E5E12">
            <w:pPr>
              <w:pStyle w:val="NormalNumberedTextTLRI"/>
              <w:numPr>
                <w:ilvl w:val="0"/>
                <w:numId w:val="0"/>
              </w:numPr>
              <w:spacing w:beforeLines="40" w:before="96" w:afterLines="40" w:after="96" w:line="240" w:lineRule="auto"/>
              <w:rPr>
                <w:sz w:val="18"/>
                <w:szCs w:val="18"/>
              </w:rPr>
            </w:pPr>
            <w:r w:rsidRPr="00154F1D">
              <w:rPr>
                <w:sz w:val="18"/>
                <w:szCs w:val="18"/>
              </w:rPr>
              <w:t xml:space="preserve">No limit </w:t>
            </w:r>
            <w:r w:rsidR="00744227" w:rsidRPr="00154F1D">
              <w:rPr>
                <w:sz w:val="18"/>
                <w:szCs w:val="18"/>
              </w:rPr>
              <w:t xml:space="preserve">required </w:t>
            </w:r>
            <w:r w:rsidRPr="00154F1D">
              <w:rPr>
                <w:sz w:val="18"/>
                <w:szCs w:val="18"/>
              </w:rPr>
              <w:t>but subject to annual review by Mental Health Tribunal and the option to apply to Supreme Court for discharge of the order after 2 years.</w:t>
            </w:r>
            <w:r w:rsidRPr="00154F1D">
              <w:rPr>
                <w:rStyle w:val="FootnoteReference"/>
                <w:sz w:val="18"/>
                <w:szCs w:val="18"/>
              </w:rPr>
              <w:footnoteReference w:id="619"/>
            </w:r>
          </w:p>
        </w:tc>
        <w:tc>
          <w:tcPr>
            <w:tcW w:w="1385" w:type="pct"/>
          </w:tcPr>
          <w:p w14:paraId="626DD34C" w14:textId="0465E5BE" w:rsidR="00EF71FB" w:rsidRPr="00154F1D" w:rsidRDefault="00EF71FB" w:rsidP="003E5E12">
            <w:pPr>
              <w:pStyle w:val="NormalNumberedTextTLRI"/>
              <w:numPr>
                <w:ilvl w:val="0"/>
                <w:numId w:val="0"/>
              </w:numPr>
              <w:spacing w:beforeLines="40" w:before="96" w:afterLines="40" w:after="96" w:line="240" w:lineRule="auto"/>
              <w:rPr>
                <w:sz w:val="18"/>
                <w:szCs w:val="18"/>
              </w:rPr>
            </w:pPr>
            <w:r w:rsidRPr="00154F1D">
              <w:rPr>
                <w:sz w:val="18"/>
                <w:szCs w:val="18"/>
              </w:rPr>
              <w:t>N/A</w:t>
            </w:r>
          </w:p>
        </w:tc>
      </w:tr>
      <w:tr w:rsidR="00F42C40" w:rsidRPr="00154F1D" w14:paraId="308F0482" w14:textId="2A500827" w:rsidTr="0001098D">
        <w:tc>
          <w:tcPr>
            <w:tcW w:w="713" w:type="pct"/>
          </w:tcPr>
          <w:p w14:paraId="5B8B0DFA" w14:textId="496C0E79" w:rsidR="00EF71FB" w:rsidRPr="00154F1D" w:rsidRDefault="00EF71FB" w:rsidP="003E5E12">
            <w:pPr>
              <w:pStyle w:val="NormalNumberedTextTLRI"/>
              <w:numPr>
                <w:ilvl w:val="0"/>
                <w:numId w:val="0"/>
              </w:numPr>
              <w:spacing w:beforeLines="40" w:before="96" w:afterLines="40" w:after="96" w:line="240" w:lineRule="auto"/>
              <w:rPr>
                <w:sz w:val="18"/>
                <w:szCs w:val="18"/>
              </w:rPr>
            </w:pPr>
            <w:r w:rsidRPr="00154F1D">
              <w:rPr>
                <w:sz w:val="18"/>
                <w:szCs w:val="18"/>
              </w:rPr>
              <w:t>Supervision order</w:t>
            </w:r>
          </w:p>
        </w:tc>
        <w:tc>
          <w:tcPr>
            <w:tcW w:w="1524" w:type="pct"/>
          </w:tcPr>
          <w:p w14:paraId="0CB4DEEA" w14:textId="77777777" w:rsidR="00EF71FB" w:rsidRPr="00154F1D" w:rsidRDefault="00EF71FB" w:rsidP="003E5E12">
            <w:pPr>
              <w:pStyle w:val="NormalNumberedTextTLRI"/>
              <w:numPr>
                <w:ilvl w:val="0"/>
                <w:numId w:val="0"/>
              </w:numPr>
              <w:spacing w:beforeLines="40" w:before="96" w:afterLines="40" w:after="96" w:line="240" w:lineRule="auto"/>
              <w:rPr>
                <w:sz w:val="18"/>
                <w:szCs w:val="18"/>
              </w:rPr>
            </w:pPr>
            <w:r w:rsidRPr="00154F1D">
              <w:rPr>
                <w:sz w:val="18"/>
                <w:szCs w:val="18"/>
              </w:rPr>
              <w:t>This is an order releasing the person under the supervision of the Chief Forensic Psychiatrist and any such conditions as the court considers appropriate.</w:t>
            </w:r>
            <w:r w:rsidRPr="00154F1D">
              <w:rPr>
                <w:rStyle w:val="FootnoteReference"/>
                <w:sz w:val="18"/>
                <w:szCs w:val="18"/>
              </w:rPr>
              <w:footnoteReference w:id="620"/>
            </w:r>
            <w:r w:rsidRPr="00154F1D">
              <w:rPr>
                <w:sz w:val="18"/>
                <w:szCs w:val="18"/>
              </w:rPr>
              <w:t xml:space="preserve"> Conditions may include requiring the person to:</w:t>
            </w:r>
          </w:p>
          <w:p w14:paraId="3590EC4B" w14:textId="77777777" w:rsidR="00EF71FB" w:rsidRPr="00154F1D" w:rsidRDefault="00EF71FB" w:rsidP="00176C58">
            <w:pPr>
              <w:pStyle w:val="NormalNumberedTextTLRI"/>
              <w:numPr>
                <w:ilvl w:val="0"/>
                <w:numId w:val="20"/>
              </w:numPr>
              <w:spacing w:beforeLines="40" w:before="96" w:afterLines="40" w:after="96" w:line="240" w:lineRule="auto"/>
              <w:ind w:left="205" w:hanging="205"/>
              <w:rPr>
                <w:sz w:val="18"/>
                <w:szCs w:val="18"/>
              </w:rPr>
            </w:pPr>
            <w:r w:rsidRPr="00154F1D">
              <w:rPr>
                <w:sz w:val="18"/>
                <w:szCs w:val="18"/>
              </w:rPr>
              <w:t>Take medication</w:t>
            </w:r>
          </w:p>
          <w:p w14:paraId="06B56850" w14:textId="77777777" w:rsidR="00EF71FB" w:rsidRPr="00154F1D" w:rsidRDefault="00EF71FB" w:rsidP="00176C58">
            <w:pPr>
              <w:pStyle w:val="NormalNumberedTextTLRI"/>
              <w:numPr>
                <w:ilvl w:val="0"/>
                <w:numId w:val="20"/>
              </w:numPr>
              <w:spacing w:beforeLines="40" w:before="96" w:afterLines="40" w:after="96" w:line="240" w:lineRule="auto"/>
              <w:ind w:left="205" w:hanging="205"/>
              <w:rPr>
                <w:sz w:val="18"/>
                <w:szCs w:val="18"/>
              </w:rPr>
            </w:pPr>
            <w:r w:rsidRPr="00154F1D">
              <w:rPr>
                <w:sz w:val="18"/>
                <w:szCs w:val="18"/>
              </w:rPr>
              <w:t>Submit to specified mental treatment</w:t>
            </w:r>
          </w:p>
          <w:p w14:paraId="00A40CE3" w14:textId="70BF46C9" w:rsidR="007227B0" w:rsidRPr="00154F1D" w:rsidRDefault="00EF71FB" w:rsidP="00176C58">
            <w:pPr>
              <w:pStyle w:val="NormalNumberedTextTLRI"/>
              <w:numPr>
                <w:ilvl w:val="0"/>
                <w:numId w:val="20"/>
              </w:numPr>
              <w:spacing w:beforeLines="40" w:before="96" w:afterLines="40" w:after="96" w:line="240" w:lineRule="auto"/>
              <w:ind w:left="205" w:hanging="205"/>
              <w:jc w:val="left"/>
              <w:rPr>
                <w:sz w:val="18"/>
                <w:szCs w:val="18"/>
              </w:rPr>
            </w:pPr>
            <w:r w:rsidRPr="00154F1D">
              <w:rPr>
                <w:sz w:val="18"/>
                <w:szCs w:val="18"/>
              </w:rPr>
              <w:t>Comply with direction given by the Chief Forensic Psychiatrist around supervision and treatment.</w:t>
            </w:r>
            <w:r w:rsidRPr="00154F1D">
              <w:rPr>
                <w:rStyle w:val="FootnoteReference"/>
                <w:sz w:val="18"/>
                <w:szCs w:val="18"/>
              </w:rPr>
              <w:footnoteReference w:id="621"/>
            </w:r>
          </w:p>
        </w:tc>
        <w:tc>
          <w:tcPr>
            <w:tcW w:w="1378" w:type="pct"/>
          </w:tcPr>
          <w:p w14:paraId="7CB6EB11" w14:textId="7757A7DD" w:rsidR="00EF71FB" w:rsidRPr="00154F1D" w:rsidRDefault="00EF71FB" w:rsidP="003E5E12">
            <w:pPr>
              <w:pStyle w:val="NormalNumberedTextTLRI"/>
              <w:numPr>
                <w:ilvl w:val="0"/>
                <w:numId w:val="0"/>
              </w:numPr>
              <w:spacing w:beforeLines="40" w:before="96" w:afterLines="40" w:after="96" w:line="240" w:lineRule="auto"/>
              <w:rPr>
                <w:sz w:val="18"/>
                <w:szCs w:val="18"/>
              </w:rPr>
            </w:pPr>
            <w:r w:rsidRPr="00154F1D">
              <w:rPr>
                <w:sz w:val="18"/>
                <w:szCs w:val="18"/>
              </w:rPr>
              <w:t xml:space="preserve">No limit </w:t>
            </w:r>
            <w:r w:rsidR="00744227" w:rsidRPr="00154F1D">
              <w:rPr>
                <w:sz w:val="18"/>
                <w:szCs w:val="18"/>
              </w:rPr>
              <w:t xml:space="preserve">required </w:t>
            </w:r>
            <w:r w:rsidRPr="00154F1D">
              <w:rPr>
                <w:sz w:val="18"/>
                <w:szCs w:val="18"/>
              </w:rPr>
              <w:t>but subject to annual review by the Mental Health Tribunal and the option to apply to the Supreme Court for variation or revocation of the supervision order.</w:t>
            </w:r>
            <w:r w:rsidRPr="00154F1D">
              <w:rPr>
                <w:rStyle w:val="FootnoteReference"/>
                <w:sz w:val="18"/>
                <w:szCs w:val="18"/>
              </w:rPr>
              <w:footnoteReference w:id="622"/>
            </w:r>
          </w:p>
        </w:tc>
        <w:tc>
          <w:tcPr>
            <w:tcW w:w="1385" w:type="pct"/>
          </w:tcPr>
          <w:p w14:paraId="3932BC9E" w14:textId="77777777" w:rsidR="00EF71FB" w:rsidRPr="00154F1D" w:rsidRDefault="00F42C40" w:rsidP="003E5E12">
            <w:pPr>
              <w:pStyle w:val="NormalNumberedTextTLRI"/>
              <w:numPr>
                <w:ilvl w:val="0"/>
                <w:numId w:val="0"/>
              </w:numPr>
              <w:spacing w:beforeLines="40" w:before="96" w:afterLines="40" w:after="96" w:line="240" w:lineRule="auto"/>
              <w:rPr>
                <w:sz w:val="18"/>
                <w:szCs w:val="18"/>
              </w:rPr>
            </w:pPr>
            <w:r w:rsidRPr="00154F1D">
              <w:rPr>
                <w:sz w:val="18"/>
                <w:szCs w:val="18"/>
              </w:rPr>
              <w:t>May be apprehended if, a prescribed person believes on reasonable grounds if there is a breach or a likely breach of the supervision order or a serious deterioration of the person’s mental health; and as a result, there is risk that person will harm themselves or another person.</w:t>
            </w:r>
            <w:r w:rsidRPr="00154F1D">
              <w:rPr>
                <w:rStyle w:val="FootnoteReference"/>
                <w:sz w:val="18"/>
                <w:szCs w:val="18"/>
              </w:rPr>
              <w:footnoteReference w:id="623"/>
            </w:r>
          </w:p>
          <w:p w14:paraId="1AAD9DA8" w14:textId="77777777" w:rsidR="00F42C40" w:rsidRPr="00154F1D" w:rsidRDefault="00F42C40" w:rsidP="003E5E12">
            <w:pPr>
              <w:pStyle w:val="NormalNumberedTextTLRI"/>
              <w:numPr>
                <w:ilvl w:val="0"/>
                <w:numId w:val="0"/>
              </w:numPr>
              <w:spacing w:beforeLines="40" w:before="96" w:afterLines="40" w:after="96" w:line="240" w:lineRule="auto"/>
              <w:rPr>
                <w:sz w:val="18"/>
                <w:szCs w:val="18"/>
              </w:rPr>
            </w:pPr>
            <w:r w:rsidRPr="00154F1D">
              <w:rPr>
                <w:sz w:val="18"/>
                <w:szCs w:val="18"/>
              </w:rPr>
              <w:t>Person must be taken to a secure mental health unit or an approved hospital.</w:t>
            </w:r>
          </w:p>
          <w:p w14:paraId="0F76191B" w14:textId="77777777" w:rsidR="0091154B" w:rsidRPr="00154F1D" w:rsidRDefault="00742F20" w:rsidP="003E5E12">
            <w:pPr>
              <w:pStyle w:val="NormalNumberedTextTLRI"/>
              <w:numPr>
                <w:ilvl w:val="0"/>
                <w:numId w:val="0"/>
              </w:numPr>
              <w:spacing w:beforeLines="40" w:before="96" w:afterLines="40" w:after="96" w:line="240" w:lineRule="auto"/>
              <w:rPr>
                <w:sz w:val="18"/>
                <w:szCs w:val="18"/>
              </w:rPr>
            </w:pPr>
            <w:r w:rsidRPr="00154F1D">
              <w:rPr>
                <w:sz w:val="18"/>
                <w:szCs w:val="18"/>
              </w:rPr>
              <w:t>The person can be detained for:</w:t>
            </w:r>
          </w:p>
          <w:p w14:paraId="01EB2050" w14:textId="77777777" w:rsidR="00742F20" w:rsidRPr="00154F1D" w:rsidRDefault="00742F20" w:rsidP="00176C58">
            <w:pPr>
              <w:pStyle w:val="NormalNumberedTextTLRI"/>
              <w:numPr>
                <w:ilvl w:val="0"/>
                <w:numId w:val="22"/>
              </w:numPr>
              <w:spacing w:beforeLines="40" w:before="96" w:afterLines="40" w:after="96" w:line="240" w:lineRule="auto"/>
              <w:ind w:left="247" w:hanging="247"/>
              <w:rPr>
                <w:sz w:val="18"/>
                <w:szCs w:val="18"/>
              </w:rPr>
            </w:pPr>
            <w:r w:rsidRPr="00154F1D">
              <w:rPr>
                <w:sz w:val="18"/>
                <w:szCs w:val="18"/>
              </w:rPr>
              <w:t>A period not exceeding 24 hours; and</w:t>
            </w:r>
          </w:p>
          <w:p w14:paraId="31397E59" w14:textId="1417335B" w:rsidR="00742F20" w:rsidRPr="00154F1D" w:rsidRDefault="00742F20" w:rsidP="00176C58">
            <w:pPr>
              <w:pStyle w:val="NormalNumberedTextTLRI"/>
              <w:numPr>
                <w:ilvl w:val="0"/>
                <w:numId w:val="22"/>
              </w:numPr>
              <w:spacing w:beforeLines="40" w:before="96" w:afterLines="40" w:after="96" w:line="240" w:lineRule="auto"/>
              <w:ind w:left="247" w:hanging="247"/>
              <w:rPr>
                <w:sz w:val="18"/>
                <w:szCs w:val="18"/>
              </w:rPr>
            </w:pPr>
            <w:r w:rsidRPr="00154F1D">
              <w:rPr>
                <w:sz w:val="18"/>
                <w:szCs w:val="18"/>
              </w:rPr>
              <w:t xml:space="preserve">If the </w:t>
            </w:r>
            <w:r w:rsidR="000B7D75" w:rsidRPr="00154F1D">
              <w:rPr>
                <w:sz w:val="18"/>
                <w:szCs w:val="18"/>
              </w:rPr>
              <w:t>C</w:t>
            </w:r>
            <w:r w:rsidRPr="00154F1D">
              <w:rPr>
                <w:sz w:val="18"/>
                <w:szCs w:val="18"/>
              </w:rPr>
              <w:t>h</w:t>
            </w:r>
            <w:r w:rsidR="000B7D75" w:rsidRPr="00154F1D">
              <w:rPr>
                <w:sz w:val="18"/>
                <w:szCs w:val="18"/>
              </w:rPr>
              <w:t>ie</w:t>
            </w:r>
            <w:r w:rsidRPr="00154F1D">
              <w:rPr>
                <w:sz w:val="18"/>
                <w:szCs w:val="18"/>
              </w:rPr>
              <w:t>f Forensic Psych</w:t>
            </w:r>
            <w:r w:rsidR="001B0C07" w:rsidRPr="00154F1D">
              <w:rPr>
                <w:sz w:val="18"/>
                <w:szCs w:val="18"/>
              </w:rPr>
              <w:t>ia</w:t>
            </w:r>
            <w:r w:rsidRPr="00154F1D">
              <w:rPr>
                <w:sz w:val="18"/>
                <w:szCs w:val="18"/>
              </w:rPr>
              <w:t>trist authorises it</w:t>
            </w:r>
            <w:r w:rsidR="000B7D75" w:rsidRPr="00154F1D">
              <w:rPr>
                <w:sz w:val="18"/>
                <w:szCs w:val="18"/>
              </w:rPr>
              <w:t>, for one further period not exceeding 72 hours; and</w:t>
            </w:r>
          </w:p>
          <w:p w14:paraId="161DB029" w14:textId="6C9DBF98" w:rsidR="000B7D75" w:rsidRPr="00154F1D" w:rsidRDefault="000B7D75" w:rsidP="00176C58">
            <w:pPr>
              <w:pStyle w:val="NormalNumberedTextTLRI"/>
              <w:numPr>
                <w:ilvl w:val="0"/>
                <w:numId w:val="22"/>
              </w:numPr>
              <w:spacing w:beforeLines="40" w:before="96" w:afterLines="40" w:after="96" w:line="240" w:lineRule="auto"/>
              <w:ind w:left="247" w:hanging="247"/>
              <w:rPr>
                <w:sz w:val="18"/>
                <w:szCs w:val="18"/>
              </w:rPr>
            </w:pPr>
            <w:r w:rsidRPr="00154F1D">
              <w:rPr>
                <w:sz w:val="18"/>
                <w:szCs w:val="18"/>
              </w:rPr>
              <w:t>If the Mental H</w:t>
            </w:r>
            <w:r w:rsidR="001B0C07" w:rsidRPr="00154F1D">
              <w:rPr>
                <w:sz w:val="18"/>
                <w:szCs w:val="18"/>
              </w:rPr>
              <w:t>eal</w:t>
            </w:r>
            <w:r w:rsidRPr="00154F1D">
              <w:rPr>
                <w:sz w:val="18"/>
                <w:szCs w:val="18"/>
              </w:rPr>
              <w:t xml:space="preserve">th </w:t>
            </w:r>
            <w:r w:rsidR="009778D2" w:rsidRPr="00154F1D">
              <w:rPr>
                <w:sz w:val="18"/>
                <w:szCs w:val="18"/>
              </w:rPr>
              <w:t>Tribu</w:t>
            </w:r>
            <w:r w:rsidR="001B0C07" w:rsidRPr="00154F1D">
              <w:rPr>
                <w:sz w:val="18"/>
                <w:szCs w:val="18"/>
              </w:rPr>
              <w:t>nal authorises it, for one or more further per</w:t>
            </w:r>
            <w:r w:rsidR="003327CD" w:rsidRPr="00154F1D">
              <w:rPr>
                <w:sz w:val="18"/>
                <w:szCs w:val="18"/>
              </w:rPr>
              <w:t>io</w:t>
            </w:r>
            <w:r w:rsidR="001B0C07" w:rsidRPr="00154F1D">
              <w:rPr>
                <w:sz w:val="18"/>
                <w:szCs w:val="18"/>
              </w:rPr>
              <w:t>ds each of a length to be d</w:t>
            </w:r>
            <w:r w:rsidR="00515536" w:rsidRPr="00154F1D">
              <w:rPr>
                <w:sz w:val="18"/>
                <w:szCs w:val="18"/>
              </w:rPr>
              <w:t>etermin</w:t>
            </w:r>
            <w:r w:rsidR="001B0C07" w:rsidRPr="00154F1D">
              <w:rPr>
                <w:sz w:val="18"/>
                <w:szCs w:val="18"/>
              </w:rPr>
              <w:t>ed by that Trib</w:t>
            </w:r>
            <w:r w:rsidR="00515536" w:rsidRPr="00154F1D">
              <w:rPr>
                <w:sz w:val="18"/>
                <w:szCs w:val="18"/>
              </w:rPr>
              <w:t>u</w:t>
            </w:r>
            <w:r w:rsidR="001B0C07" w:rsidRPr="00154F1D">
              <w:rPr>
                <w:sz w:val="18"/>
                <w:szCs w:val="18"/>
              </w:rPr>
              <w:t>nal</w:t>
            </w:r>
            <w:r w:rsidR="00AD0676" w:rsidRPr="00154F1D">
              <w:rPr>
                <w:sz w:val="18"/>
                <w:szCs w:val="18"/>
              </w:rPr>
              <w:t>.</w:t>
            </w:r>
            <w:r w:rsidR="00744227" w:rsidRPr="00154F1D">
              <w:rPr>
                <w:rStyle w:val="FootnoteReference"/>
                <w:sz w:val="18"/>
                <w:szCs w:val="18"/>
              </w:rPr>
              <w:footnoteReference w:id="624"/>
            </w:r>
          </w:p>
          <w:p w14:paraId="61CF5CC2" w14:textId="0BD9FABE" w:rsidR="00AD0676" w:rsidRPr="00154F1D" w:rsidRDefault="004946BA" w:rsidP="003E5E12">
            <w:pPr>
              <w:pStyle w:val="NormalNumberedTextTLRI"/>
              <w:numPr>
                <w:ilvl w:val="0"/>
                <w:numId w:val="0"/>
              </w:numPr>
              <w:spacing w:beforeLines="40" w:before="96" w:afterLines="40" w:after="96" w:line="240" w:lineRule="auto"/>
              <w:rPr>
                <w:sz w:val="18"/>
                <w:szCs w:val="18"/>
              </w:rPr>
            </w:pPr>
            <w:r w:rsidRPr="00154F1D">
              <w:rPr>
                <w:sz w:val="18"/>
                <w:szCs w:val="18"/>
              </w:rPr>
              <w:t>A person detained can also be detained on authorisation of a member of the MHT until the determination of an application to the MHT for further detention ((c) above).</w:t>
            </w:r>
            <w:r w:rsidR="00744227" w:rsidRPr="00154F1D">
              <w:rPr>
                <w:rStyle w:val="FootnoteReference"/>
                <w:sz w:val="18"/>
                <w:szCs w:val="18"/>
              </w:rPr>
              <w:footnoteReference w:id="625"/>
            </w:r>
          </w:p>
          <w:p w14:paraId="5B5593C9" w14:textId="337F39EF" w:rsidR="004946BA" w:rsidRPr="00154F1D" w:rsidRDefault="004946BA" w:rsidP="003E5E12">
            <w:pPr>
              <w:pStyle w:val="NormalNumberedTextTLRI"/>
              <w:numPr>
                <w:ilvl w:val="0"/>
                <w:numId w:val="0"/>
              </w:numPr>
              <w:spacing w:beforeLines="40" w:before="96" w:afterLines="40" w:after="96" w:line="240" w:lineRule="auto"/>
              <w:rPr>
                <w:sz w:val="18"/>
                <w:szCs w:val="18"/>
              </w:rPr>
            </w:pPr>
            <w:r w:rsidRPr="00154F1D">
              <w:rPr>
                <w:sz w:val="18"/>
                <w:szCs w:val="18"/>
              </w:rPr>
              <w:t>A person can also be detained until the Supreme Court has made a determination if an application has been made to vary or revoke the supervision order.</w:t>
            </w:r>
            <w:r w:rsidR="009F668E" w:rsidRPr="00154F1D">
              <w:rPr>
                <w:rStyle w:val="FootnoteReference"/>
                <w:sz w:val="18"/>
                <w:szCs w:val="18"/>
              </w:rPr>
              <w:footnoteReference w:id="626"/>
            </w:r>
          </w:p>
        </w:tc>
      </w:tr>
      <w:tr w:rsidR="00F42C40" w:rsidRPr="00154F1D" w14:paraId="268099CD" w14:textId="7D137B21" w:rsidTr="0001098D">
        <w:tc>
          <w:tcPr>
            <w:tcW w:w="713" w:type="pct"/>
          </w:tcPr>
          <w:p w14:paraId="79ACB0DD" w14:textId="6B266607" w:rsidR="00EF71FB" w:rsidRPr="00154F1D" w:rsidRDefault="00EF71FB" w:rsidP="003E5E12">
            <w:pPr>
              <w:pStyle w:val="NormalNumberedTextTLRI"/>
              <w:numPr>
                <w:ilvl w:val="0"/>
                <w:numId w:val="0"/>
              </w:numPr>
              <w:spacing w:beforeLines="40" w:before="96" w:afterLines="40" w:after="96" w:line="240" w:lineRule="auto"/>
              <w:rPr>
                <w:sz w:val="18"/>
                <w:szCs w:val="18"/>
              </w:rPr>
            </w:pPr>
            <w:r w:rsidRPr="00154F1D">
              <w:rPr>
                <w:sz w:val="18"/>
                <w:szCs w:val="18"/>
              </w:rPr>
              <w:t>Treatment order</w:t>
            </w:r>
          </w:p>
        </w:tc>
        <w:tc>
          <w:tcPr>
            <w:tcW w:w="1524" w:type="pct"/>
          </w:tcPr>
          <w:p w14:paraId="1AE8987C" w14:textId="77777777" w:rsidR="007227B0" w:rsidRPr="00154F1D" w:rsidRDefault="00EF71FB" w:rsidP="003E5E12">
            <w:pPr>
              <w:pStyle w:val="NormalNumberedTextTLRI"/>
              <w:numPr>
                <w:ilvl w:val="0"/>
                <w:numId w:val="0"/>
              </w:numPr>
              <w:spacing w:beforeLines="40" w:before="96" w:afterLines="40" w:after="96" w:line="240" w:lineRule="auto"/>
              <w:rPr>
                <w:sz w:val="18"/>
                <w:szCs w:val="18"/>
              </w:rPr>
            </w:pPr>
            <w:r w:rsidRPr="00154F1D">
              <w:rPr>
                <w:sz w:val="18"/>
                <w:szCs w:val="18"/>
              </w:rPr>
              <w:t xml:space="preserve">A treatment order has the same meaning as a treatment order made under the </w:t>
            </w:r>
            <w:r w:rsidRPr="00154F1D">
              <w:rPr>
                <w:i/>
                <w:sz w:val="18"/>
                <w:szCs w:val="18"/>
              </w:rPr>
              <w:t xml:space="preserve">Mental Health Act 2013 </w:t>
            </w:r>
            <w:r w:rsidRPr="00154F1D">
              <w:rPr>
                <w:sz w:val="18"/>
                <w:szCs w:val="18"/>
              </w:rPr>
              <w:t xml:space="preserve">(Tas). </w:t>
            </w:r>
          </w:p>
          <w:p w14:paraId="5B308469" w14:textId="77777777" w:rsidR="007227B0" w:rsidRPr="00154F1D" w:rsidRDefault="00EF71FB" w:rsidP="003E5E12">
            <w:pPr>
              <w:pStyle w:val="NormalNumberedTextTLRI"/>
              <w:numPr>
                <w:ilvl w:val="0"/>
                <w:numId w:val="0"/>
              </w:numPr>
              <w:spacing w:beforeLines="40" w:before="96" w:afterLines="40" w:after="96" w:line="240" w:lineRule="auto"/>
              <w:rPr>
                <w:sz w:val="18"/>
                <w:szCs w:val="18"/>
              </w:rPr>
            </w:pPr>
            <w:r w:rsidRPr="00154F1D">
              <w:rPr>
                <w:sz w:val="18"/>
                <w:szCs w:val="18"/>
              </w:rPr>
              <w:t xml:space="preserve">This allows a person to be given treatment without the person’s informed consent. </w:t>
            </w:r>
          </w:p>
          <w:p w14:paraId="7109F81E" w14:textId="6F549871" w:rsidR="00EF71FB" w:rsidRPr="00154F1D" w:rsidRDefault="00EF71FB" w:rsidP="003E5E12">
            <w:pPr>
              <w:pStyle w:val="NormalNumberedTextTLRI"/>
              <w:numPr>
                <w:ilvl w:val="0"/>
                <w:numId w:val="0"/>
              </w:numPr>
              <w:spacing w:beforeLines="40" w:before="96" w:afterLines="40" w:after="96" w:line="240" w:lineRule="auto"/>
              <w:rPr>
                <w:sz w:val="18"/>
                <w:szCs w:val="18"/>
              </w:rPr>
            </w:pPr>
            <w:r w:rsidRPr="00154F1D">
              <w:rPr>
                <w:sz w:val="18"/>
                <w:szCs w:val="18"/>
              </w:rPr>
              <w:t>It may require a person to be given specified treatment, require a person to be treated at a particular place, require a person to be admitted to and detained an approved facility.</w:t>
            </w:r>
            <w:r w:rsidRPr="00154F1D">
              <w:rPr>
                <w:rStyle w:val="FootnoteReference"/>
                <w:sz w:val="18"/>
                <w:szCs w:val="18"/>
              </w:rPr>
              <w:footnoteReference w:id="627"/>
            </w:r>
          </w:p>
        </w:tc>
        <w:tc>
          <w:tcPr>
            <w:tcW w:w="1378" w:type="pct"/>
          </w:tcPr>
          <w:p w14:paraId="0B1F748F" w14:textId="11A873E0" w:rsidR="00EF71FB" w:rsidRPr="00154F1D" w:rsidRDefault="00EF71FB" w:rsidP="003E5E12">
            <w:pPr>
              <w:pStyle w:val="NormalNumberedTextTLRI"/>
              <w:numPr>
                <w:ilvl w:val="0"/>
                <w:numId w:val="0"/>
              </w:numPr>
              <w:spacing w:beforeLines="40" w:before="96" w:afterLines="40" w:after="96" w:line="240" w:lineRule="auto"/>
              <w:rPr>
                <w:sz w:val="18"/>
                <w:szCs w:val="18"/>
              </w:rPr>
            </w:pPr>
            <w:r w:rsidRPr="00154F1D">
              <w:rPr>
                <w:sz w:val="18"/>
                <w:szCs w:val="18"/>
              </w:rPr>
              <w:t>Up to six months or until the order is discharged but can be renewed by the Mental Health Tribunal.</w:t>
            </w:r>
            <w:r w:rsidRPr="00154F1D">
              <w:rPr>
                <w:rStyle w:val="FootnoteReference"/>
                <w:sz w:val="18"/>
                <w:szCs w:val="18"/>
              </w:rPr>
              <w:footnoteReference w:id="628"/>
            </w:r>
          </w:p>
        </w:tc>
        <w:tc>
          <w:tcPr>
            <w:tcW w:w="1385" w:type="pct"/>
          </w:tcPr>
          <w:p w14:paraId="25F53D5D" w14:textId="77777777" w:rsidR="00EF71FB" w:rsidRPr="00154F1D" w:rsidRDefault="005149F6" w:rsidP="003E5E12">
            <w:pPr>
              <w:pStyle w:val="NormalNumberedTextTLRI"/>
              <w:numPr>
                <w:ilvl w:val="0"/>
                <w:numId w:val="0"/>
              </w:numPr>
              <w:spacing w:beforeLines="40" w:before="96" w:afterLines="40" w:after="96" w:line="240" w:lineRule="auto"/>
              <w:rPr>
                <w:sz w:val="18"/>
                <w:szCs w:val="18"/>
              </w:rPr>
            </w:pPr>
            <w:r w:rsidRPr="00154F1D">
              <w:rPr>
                <w:sz w:val="18"/>
                <w:szCs w:val="18"/>
              </w:rPr>
              <w:t>May be involuntarily admitted to, and detained in, an approved facility if reasonable steps have been taken to obtain the person’s compliance and if the person’s treating medical practitioner</w:t>
            </w:r>
            <w:r w:rsidR="00C100FD" w:rsidRPr="00154F1D">
              <w:rPr>
                <w:sz w:val="18"/>
                <w:szCs w:val="18"/>
              </w:rPr>
              <w:t xml:space="preserve"> is satisfied that the</w:t>
            </w:r>
            <w:r w:rsidR="0050729B" w:rsidRPr="00154F1D">
              <w:rPr>
                <w:sz w:val="18"/>
                <w:szCs w:val="18"/>
              </w:rPr>
              <w:t xml:space="preserve"> person has failed to comply despi</w:t>
            </w:r>
            <w:r w:rsidR="00C100FD" w:rsidRPr="00154F1D">
              <w:rPr>
                <w:sz w:val="18"/>
                <w:szCs w:val="18"/>
              </w:rPr>
              <w:t>te the reasonable steps that have been taken to obtain the person’s compliance</w:t>
            </w:r>
            <w:r w:rsidR="0050729B" w:rsidRPr="00154F1D">
              <w:rPr>
                <w:sz w:val="18"/>
                <w:szCs w:val="18"/>
              </w:rPr>
              <w:t>; and the failure to comply has seriously harmed, or is likely to seriously harm, the person’s health or safety or the safety of others, and the person’s admission and detention is necessary to address the harm to the person’s health or safety or the safety of others.</w:t>
            </w:r>
            <w:r w:rsidR="0050729B" w:rsidRPr="00154F1D">
              <w:rPr>
                <w:rStyle w:val="FootnoteReference"/>
                <w:sz w:val="18"/>
                <w:szCs w:val="18"/>
              </w:rPr>
              <w:footnoteReference w:id="629"/>
            </w:r>
          </w:p>
          <w:p w14:paraId="05D26899" w14:textId="2087581D" w:rsidR="007B2CE4" w:rsidRPr="00154F1D" w:rsidRDefault="007B2CE4" w:rsidP="003E5E12">
            <w:pPr>
              <w:pStyle w:val="NormalNumberedTextTLRI"/>
              <w:numPr>
                <w:ilvl w:val="0"/>
                <w:numId w:val="0"/>
              </w:numPr>
              <w:spacing w:beforeLines="40" w:before="96" w:afterLines="40" w:after="96" w:line="240" w:lineRule="auto"/>
              <w:rPr>
                <w:sz w:val="18"/>
                <w:szCs w:val="18"/>
              </w:rPr>
            </w:pPr>
            <w:r w:rsidRPr="00154F1D">
              <w:rPr>
                <w:sz w:val="18"/>
                <w:szCs w:val="18"/>
              </w:rPr>
              <w:t>The treating medical practitioner can make an application to the MHT to vary the treatment order.</w:t>
            </w:r>
            <w:r w:rsidRPr="00154F1D">
              <w:rPr>
                <w:rStyle w:val="FootnoteReference"/>
                <w:sz w:val="18"/>
                <w:szCs w:val="18"/>
              </w:rPr>
              <w:footnoteReference w:id="630"/>
            </w:r>
          </w:p>
          <w:p w14:paraId="32370627" w14:textId="16E5C082" w:rsidR="007B2CE4" w:rsidRPr="00154F1D" w:rsidRDefault="007B2CE4" w:rsidP="003E5E12">
            <w:pPr>
              <w:spacing w:beforeLines="40" w:before="96" w:afterLines="40" w:after="96"/>
              <w:rPr>
                <w:rFonts w:eastAsia="Times"/>
                <w:sz w:val="18"/>
                <w:szCs w:val="18"/>
              </w:rPr>
            </w:pPr>
            <w:r w:rsidRPr="00154F1D">
              <w:rPr>
                <w:rFonts w:eastAsia="Times"/>
                <w:sz w:val="18"/>
                <w:szCs w:val="18"/>
              </w:rPr>
              <w:t xml:space="preserve">There are also powers to admit a person to prevent possible harm (even if the person has complied) if the </w:t>
            </w:r>
            <w:r w:rsidR="009778D2" w:rsidRPr="00154F1D">
              <w:rPr>
                <w:rFonts w:eastAsia="Times"/>
                <w:sz w:val="18"/>
                <w:szCs w:val="18"/>
              </w:rPr>
              <w:t xml:space="preserve">treatment order provides for a </w:t>
            </w:r>
            <w:r w:rsidRPr="00154F1D">
              <w:rPr>
                <w:rFonts w:eastAsia="Times"/>
                <w:sz w:val="18"/>
                <w:szCs w:val="18"/>
              </w:rPr>
              <w:t>combination of treatment setting and for the admission and re-admission of the patient to those settings.</w:t>
            </w:r>
            <w:r w:rsidRPr="00154F1D">
              <w:rPr>
                <w:rStyle w:val="FootnoteReference"/>
                <w:rFonts w:eastAsia="Times"/>
                <w:sz w:val="18"/>
                <w:szCs w:val="18"/>
              </w:rPr>
              <w:footnoteReference w:id="631"/>
            </w:r>
          </w:p>
          <w:p w14:paraId="6F679D84" w14:textId="0ACD9A57" w:rsidR="007B2CE4" w:rsidRPr="00154F1D" w:rsidRDefault="009F7320" w:rsidP="003E5E12">
            <w:pPr>
              <w:pStyle w:val="NormalNumberedTextTLRI"/>
              <w:numPr>
                <w:ilvl w:val="0"/>
                <w:numId w:val="0"/>
              </w:numPr>
              <w:spacing w:beforeLines="40" w:before="96" w:afterLines="40" w:after="96" w:line="240" w:lineRule="auto"/>
              <w:rPr>
                <w:sz w:val="18"/>
                <w:szCs w:val="18"/>
              </w:rPr>
            </w:pPr>
            <w:r w:rsidRPr="00154F1D">
              <w:rPr>
                <w:sz w:val="18"/>
                <w:szCs w:val="18"/>
              </w:rPr>
              <w:t xml:space="preserve">If a person is admitted due to failure to comply, the person can be detained either under the original treatment order until the order is varied so as to provide for a different treatment setting or if person’s treatment order authorises admission to and if necessary, detention in an approved </w:t>
            </w:r>
            <w:r w:rsidR="009778D2" w:rsidRPr="00154F1D">
              <w:rPr>
                <w:sz w:val="18"/>
                <w:szCs w:val="18"/>
              </w:rPr>
              <w:t>hospital</w:t>
            </w:r>
            <w:r w:rsidRPr="00154F1D">
              <w:rPr>
                <w:sz w:val="18"/>
                <w:szCs w:val="18"/>
              </w:rPr>
              <w:t xml:space="preserve">, </w:t>
            </w:r>
            <w:r w:rsidR="009778D2" w:rsidRPr="00154F1D">
              <w:rPr>
                <w:sz w:val="18"/>
                <w:szCs w:val="18"/>
              </w:rPr>
              <w:t>until</w:t>
            </w:r>
            <w:r w:rsidRPr="00154F1D">
              <w:rPr>
                <w:sz w:val="18"/>
                <w:szCs w:val="18"/>
              </w:rPr>
              <w:t xml:space="preserve"> the order ceases to have effect.</w:t>
            </w:r>
            <w:r w:rsidRPr="00154F1D">
              <w:rPr>
                <w:rStyle w:val="FootnoteReference"/>
                <w:sz w:val="18"/>
                <w:szCs w:val="18"/>
              </w:rPr>
              <w:footnoteReference w:id="632"/>
            </w:r>
          </w:p>
        </w:tc>
      </w:tr>
      <w:tr w:rsidR="00F42C40" w:rsidRPr="00154F1D" w14:paraId="342C304D" w14:textId="7512CCF5" w:rsidTr="0001098D">
        <w:tc>
          <w:tcPr>
            <w:tcW w:w="713" w:type="pct"/>
          </w:tcPr>
          <w:p w14:paraId="2E990D8A" w14:textId="6734BC81" w:rsidR="00EF71FB" w:rsidRPr="00154F1D" w:rsidRDefault="00EF71FB" w:rsidP="003E5E12">
            <w:pPr>
              <w:pStyle w:val="NormalNumberedTextTLRI"/>
              <w:numPr>
                <w:ilvl w:val="0"/>
                <w:numId w:val="0"/>
              </w:numPr>
              <w:spacing w:beforeLines="40" w:before="96" w:afterLines="40" w:after="96" w:line="240" w:lineRule="auto"/>
              <w:rPr>
                <w:sz w:val="18"/>
                <w:szCs w:val="18"/>
              </w:rPr>
            </w:pPr>
            <w:r w:rsidRPr="00154F1D">
              <w:rPr>
                <w:sz w:val="18"/>
                <w:szCs w:val="18"/>
              </w:rPr>
              <w:t>Conditional release</w:t>
            </w:r>
          </w:p>
        </w:tc>
        <w:tc>
          <w:tcPr>
            <w:tcW w:w="1524" w:type="pct"/>
          </w:tcPr>
          <w:p w14:paraId="40A92639" w14:textId="0294FB12" w:rsidR="00EF71FB" w:rsidRPr="00154F1D" w:rsidRDefault="00EF71FB" w:rsidP="003E5E12">
            <w:pPr>
              <w:pStyle w:val="NormalNumberedTextTLRI"/>
              <w:numPr>
                <w:ilvl w:val="0"/>
                <w:numId w:val="0"/>
              </w:numPr>
              <w:spacing w:beforeLines="40" w:before="96" w:afterLines="40" w:after="96" w:line="240" w:lineRule="auto"/>
              <w:rPr>
                <w:sz w:val="18"/>
                <w:szCs w:val="18"/>
              </w:rPr>
            </w:pPr>
            <w:r w:rsidRPr="00154F1D">
              <w:rPr>
                <w:sz w:val="18"/>
                <w:szCs w:val="18"/>
              </w:rPr>
              <w:t>Release on such conditions that the court considers appropriate.</w:t>
            </w:r>
          </w:p>
        </w:tc>
        <w:tc>
          <w:tcPr>
            <w:tcW w:w="1378" w:type="pct"/>
          </w:tcPr>
          <w:p w14:paraId="05C82EE8" w14:textId="3DBE17DC" w:rsidR="00EF71FB" w:rsidRPr="00154F1D" w:rsidRDefault="00EF71FB" w:rsidP="003E5E12">
            <w:pPr>
              <w:pStyle w:val="NormalNumberedTextTLRI"/>
              <w:numPr>
                <w:ilvl w:val="0"/>
                <w:numId w:val="0"/>
              </w:numPr>
              <w:spacing w:beforeLines="40" w:before="96" w:afterLines="40" w:after="96" w:line="240" w:lineRule="auto"/>
              <w:rPr>
                <w:sz w:val="18"/>
                <w:szCs w:val="18"/>
              </w:rPr>
            </w:pPr>
            <w:r w:rsidRPr="00154F1D">
              <w:rPr>
                <w:sz w:val="18"/>
                <w:szCs w:val="18"/>
              </w:rPr>
              <w:t xml:space="preserve">There is no limit to the time period </w:t>
            </w:r>
            <w:r w:rsidR="00F64EAE" w:rsidRPr="00154F1D">
              <w:rPr>
                <w:sz w:val="18"/>
                <w:szCs w:val="18"/>
              </w:rPr>
              <w:t>allowed for</w:t>
            </w:r>
            <w:r w:rsidRPr="00154F1D">
              <w:rPr>
                <w:sz w:val="18"/>
                <w:szCs w:val="18"/>
              </w:rPr>
              <w:t xml:space="preserve"> the conditions other than those set out in the court order.</w:t>
            </w:r>
            <w:r w:rsidR="00C14E76" w:rsidRPr="00154F1D">
              <w:rPr>
                <w:rStyle w:val="FootnoteReference"/>
                <w:sz w:val="18"/>
                <w:szCs w:val="18"/>
              </w:rPr>
              <w:footnoteReference w:id="633"/>
            </w:r>
          </w:p>
        </w:tc>
        <w:tc>
          <w:tcPr>
            <w:tcW w:w="1385" w:type="pct"/>
          </w:tcPr>
          <w:p w14:paraId="2B9D9745" w14:textId="77777777" w:rsidR="00EF71FB" w:rsidRPr="00154F1D" w:rsidRDefault="004619C7" w:rsidP="003E5E12">
            <w:pPr>
              <w:pStyle w:val="NormalNumberedTextTLRI"/>
              <w:numPr>
                <w:ilvl w:val="0"/>
                <w:numId w:val="0"/>
              </w:numPr>
              <w:spacing w:beforeLines="40" w:before="96" w:afterLines="40" w:after="96" w:line="240" w:lineRule="auto"/>
              <w:rPr>
                <w:sz w:val="18"/>
                <w:szCs w:val="18"/>
              </w:rPr>
            </w:pPr>
            <w:r w:rsidRPr="00154F1D">
              <w:rPr>
                <w:sz w:val="18"/>
                <w:szCs w:val="18"/>
              </w:rPr>
              <w:t xml:space="preserve">If </w:t>
            </w:r>
            <w:r w:rsidR="00C14E76" w:rsidRPr="00154F1D">
              <w:rPr>
                <w:sz w:val="18"/>
                <w:szCs w:val="18"/>
              </w:rPr>
              <w:t>a person breaches a condition of release, an application may be made to the court. The court may confirm the conditions as originally imposed; impose new conditions or may revoke the order and deal with the person for the offence in respect of which the order was made.</w:t>
            </w:r>
            <w:r w:rsidR="00C14E76" w:rsidRPr="00154F1D">
              <w:rPr>
                <w:rStyle w:val="FootnoteReference"/>
                <w:sz w:val="18"/>
                <w:szCs w:val="18"/>
              </w:rPr>
              <w:footnoteReference w:id="634"/>
            </w:r>
          </w:p>
          <w:p w14:paraId="6D4DC485" w14:textId="50C46C83" w:rsidR="007B2CE4" w:rsidRPr="00154F1D" w:rsidRDefault="007B2CE4" w:rsidP="003E5E12">
            <w:pPr>
              <w:pStyle w:val="NormalNumberedTextTLRI"/>
              <w:numPr>
                <w:ilvl w:val="0"/>
                <w:numId w:val="0"/>
              </w:numPr>
              <w:spacing w:beforeLines="40" w:before="96" w:afterLines="40" w:after="96" w:line="240" w:lineRule="auto"/>
              <w:rPr>
                <w:sz w:val="18"/>
                <w:szCs w:val="18"/>
              </w:rPr>
            </w:pPr>
            <w:r w:rsidRPr="00154F1D">
              <w:rPr>
                <w:sz w:val="18"/>
                <w:szCs w:val="18"/>
              </w:rPr>
              <w:t>This does not involve the MHT.</w:t>
            </w:r>
          </w:p>
        </w:tc>
      </w:tr>
      <w:tr w:rsidR="00F42C40" w:rsidRPr="00154F1D" w14:paraId="679B4B7B" w14:textId="5B790359" w:rsidTr="0001098D">
        <w:tc>
          <w:tcPr>
            <w:tcW w:w="713" w:type="pct"/>
          </w:tcPr>
          <w:p w14:paraId="7F11E0A2" w14:textId="4BABAEB6" w:rsidR="00EF71FB" w:rsidRPr="00154F1D" w:rsidRDefault="00EF71FB" w:rsidP="003E5E12">
            <w:pPr>
              <w:pStyle w:val="NormalNumberedTextTLRI"/>
              <w:numPr>
                <w:ilvl w:val="0"/>
                <w:numId w:val="0"/>
              </w:numPr>
              <w:spacing w:beforeLines="40" w:before="96" w:afterLines="40" w:after="96" w:line="240" w:lineRule="auto"/>
              <w:rPr>
                <w:sz w:val="18"/>
                <w:szCs w:val="18"/>
              </w:rPr>
            </w:pPr>
            <w:r w:rsidRPr="00154F1D">
              <w:rPr>
                <w:sz w:val="18"/>
                <w:szCs w:val="18"/>
              </w:rPr>
              <w:t>Unconditional release</w:t>
            </w:r>
          </w:p>
        </w:tc>
        <w:tc>
          <w:tcPr>
            <w:tcW w:w="1524" w:type="pct"/>
          </w:tcPr>
          <w:p w14:paraId="6BE3B177" w14:textId="54BDA981" w:rsidR="00EF71FB" w:rsidRPr="00154F1D" w:rsidRDefault="00EF71FB" w:rsidP="003E5E12">
            <w:pPr>
              <w:pStyle w:val="NormalNumberedTextTLRI"/>
              <w:numPr>
                <w:ilvl w:val="0"/>
                <w:numId w:val="0"/>
              </w:numPr>
              <w:spacing w:beforeLines="40" w:before="96" w:afterLines="40" w:after="96" w:line="240" w:lineRule="auto"/>
              <w:rPr>
                <w:sz w:val="18"/>
                <w:szCs w:val="18"/>
              </w:rPr>
            </w:pPr>
            <w:r w:rsidRPr="00154F1D">
              <w:rPr>
                <w:sz w:val="18"/>
                <w:szCs w:val="18"/>
              </w:rPr>
              <w:t>Release without conditions</w:t>
            </w:r>
          </w:p>
        </w:tc>
        <w:tc>
          <w:tcPr>
            <w:tcW w:w="1378" w:type="pct"/>
          </w:tcPr>
          <w:p w14:paraId="191C23EF" w14:textId="110D13D2" w:rsidR="00EF71FB" w:rsidRPr="00154F1D" w:rsidRDefault="00C14E76" w:rsidP="003E5E12">
            <w:pPr>
              <w:pStyle w:val="NormalNumberedTextTLRI"/>
              <w:numPr>
                <w:ilvl w:val="0"/>
                <w:numId w:val="0"/>
              </w:numPr>
              <w:spacing w:beforeLines="40" w:before="96" w:afterLines="40" w:after="96" w:line="240" w:lineRule="auto"/>
              <w:rPr>
                <w:sz w:val="18"/>
                <w:szCs w:val="18"/>
              </w:rPr>
            </w:pPr>
            <w:r w:rsidRPr="00154F1D">
              <w:rPr>
                <w:sz w:val="18"/>
                <w:szCs w:val="18"/>
              </w:rPr>
              <w:t>n/a</w:t>
            </w:r>
          </w:p>
        </w:tc>
        <w:tc>
          <w:tcPr>
            <w:tcW w:w="1385" w:type="pct"/>
          </w:tcPr>
          <w:p w14:paraId="4C824FDD" w14:textId="72FDE37C" w:rsidR="00EF71FB" w:rsidRPr="00154F1D" w:rsidRDefault="00C14E76" w:rsidP="003E5E12">
            <w:pPr>
              <w:pStyle w:val="NormalNumberedTextTLRI"/>
              <w:numPr>
                <w:ilvl w:val="0"/>
                <w:numId w:val="0"/>
              </w:numPr>
              <w:spacing w:beforeLines="40" w:before="96" w:afterLines="40" w:after="96" w:line="240" w:lineRule="auto"/>
              <w:rPr>
                <w:sz w:val="18"/>
                <w:szCs w:val="18"/>
              </w:rPr>
            </w:pPr>
            <w:r w:rsidRPr="00154F1D">
              <w:rPr>
                <w:sz w:val="18"/>
                <w:szCs w:val="18"/>
              </w:rPr>
              <w:t>n/a</w:t>
            </w:r>
          </w:p>
        </w:tc>
      </w:tr>
    </w:tbl>
    <w:p w14:paraId="04995F56" w14:textId="02E3E2C0" w:rsidR="00007CF9" w:rsidRPr="00154F1D" w:rsidRDefault="00007CF9" w:rsidP="00744FAA">
      <w:pPr>
        <w:pStyle w:val="NormalNumberedTextTLRI"/>
      </w:pPr>
      <w:r w:rsidRPr="00154F1D">
        <w:t xml:space="preserve">As shown in Table </w:t>
      </w:r>
      <w:r w:rsidR="00D809CA" w:rsidRPr="00154F1D">
        <w:t>8</w:t>
      </w:r>
      <w:r w:rsidRPr="00154F1D">
        <w:t>.</w:t>
      </w:r>
      <w:r w:rsidR="00D03074" w:rsidRPr="00154F1D">
        <w:t>1</w:t>
      </w:r>
      <w:r w:rsidRPr="00154F1D">
        <w:t>, other than a restriction order, which authorises detention in a secure mental health facility, there are several means by which a court is able to direct a person to take par</w:t>
      </w:r>
      <w:r w:rsidR="009778D2" w:rsidRPr="00154F1D">
        <w:t>t in treatment in the community. This may</w:t>
      </w:r>
      <w:r w:rsidRPr="00154F1D">
        <w:t xml:space="preserve"> includ</w:t>
      </w:r>
      <w:r w:rsidR="009778D2" w:rsidRPr="00154F1D">
        <w:t>e</w:t>
      </w:r>
      <w:r w:rsidRPr="00154F1D">
        <w:t xml:space="preserve"> </w:t>
      </w:r>
      <w:r w:rsidR="00F64964" w:rsidRPr="00154F1D">
        <w:t>seeing</w:t>
      </w:r>
      <w:r w:rsidRPr="00154F1D">
        <w:t xml:space="preserve"> medical practi</w:t>
      </w:r>
      <w:r w:rsidR="00C73F1F" w:rsidRPr="00154F1D">
        <w:t>ti</w:t>
      </w:r>
      <w:r w:rsidRPr="00154F1D">
        <w:t xml:space="preserve">oners, the requirement to take medications, to attend treatment centres and to comply with residential directions. </w:t>
      </w:r>
      <w:r w:rsidR="009778D2" w:rsidRPr="00154F1D">
        <w:t>However, there are k</w:t>
      </w:r>
      <w:r w:rsidRPr="00154F1D">
        <w:t>ey differences in the orders:</w:t>
      </w:r>
    </w:p>
    <w:p w14:paraId="53D2455D" w14:textId="2A641E44" w:rsidR="00007CF9" w:rsidRPr="00154F1D" w:rsidRDefault="00007CF9" w:rsidP="000B2F23">
      <w:pPr>
        <w:pStyle w:val="DotPointTLRI"/>
        <w:ind w:left="851" w:hanging="425"/>
      </w:pPr>
      <w:r w:rsidRPr="00154F1D">
        <w:t xml:space="preserve">A supervision order remains in force until discharged by the Supreme Court and the person is under the supervision and direction of the Chief Forensic Psychiatrist. </w:t>
      </w:r>
      <w:r w:rsidR="009E4512" w:rsidRPr="00154F1D">
        <w:t xml:space="preserve">This person is a forensic patient. </w:t>
      </w:r>
      <w:r w:rsidRPr="00154F1D">
        <w:t xml:space="preserve">On breach of the order, the person can be detained in a SMHU. </w:t>
      </w:r>
      <w:r w:rsidR="00EE0653" w:rsidRPr="00154F1D">
        <w:t xml:space="preserve">While the decision in </w:t>
      </w:r>
      <w:r w:rsidR="00EE0653" w:rsidRPr="00154F1D">
        <w:rPr>
          <w:i/>
        </w:rPr>
        <w:t>Horacek</w:t>
      </w:r>
      <w:r w:rsidR="00EE0653" w:rsidRPr="00154F1D">
        <w:rPr>
          <w:rStyle w:val="FootnoteReference"/>
        </w:rPr>
        <w:footnoteReference w:id="635"/>
      </w:r>
      <w:r w:rsidR="00EE0653" w:rsidRPr="00154F1D">
        <w:t xml:space="preserve"> suggests that</w:t>
      </w:r>
      <w:r w:rsidRPr="00154F1D">
        <w:t xml:space="preserve"> this detention is only intended to be for a relatively short time</w:t>
      </w:r>
      <w:r w:rsidR="00EE0653" w:rsidRPr="00154F1D">
        <w:t>,</w:t>
      </w:r>
      <w:r w:rsidRPr="00154F1D">
        <w:t xml:space="preserve"> </w:t>
      </w:r>
      <w:r w:rsidR="005F5B58" w:rsidRPr="00154F1D">
        <w:t xml:space="preserve">the legislation allows </w:t>
      </w:r>
      <w:r w:rsidR="00EE0653" w:rsidRPr="00154F1D">
        <w:t xml:space="preserve">the MHT </w:t>
      </w:r>
      <w:r w:rsidR="005F5B58" w:rsidRPr="00154F1D">
        <w:t>to</w:t>
      </w:r>
      <w:r w:rsidR="00EE0653" w:rsidRPr="00154F1D">
        <w:t xml:space="preserve"> authorise extended periods of detention in a SMHU</w:t>
      </w:r>
      <w:r w:rsidR="005F5B58" w:rsidRPr="00154F1D">
        <w:t xml:space="preserve"> for </w:t>
      </w:r>
      <w:r w:rsidR="004019C8">
        <w:t>people</w:t>
      </w:r>
      <w:r w:rsidR="004019C8" w:rsidRPr="00154F1D">
        <w:t xml:space="preserve"> </w:t>
      </w:r>
      <w:r w:rsidR="005F5B58" w:rsidRPr="00154F1D">
        <w:t>on a supervision order</w:t>
      </w:r>
      <w:r w:rsidR="00EE0653" w:rsidRPr="00154F1D">
        <w:t xml:space="preserve">. </w:t>
      </w:r>
      <w:r w:rsidR="007175F1" w:rsidRPr="00154F1D">
        <w:t xml:space="preserve">Application can </w:t>
      </w:r>
      <w:r w:rsidR="005F5B58" w:rsidRPr="00154F1D">
        <w:t xml:space="preserve">also </w:t>
      </w:r>
      <w:r w:rsidR="007175F1" w:rsidRPr="00154F1D">
        <w:t>be made to the Supreme Court to vary or discharge the order.</w:t>
      </w:r>
      <w:r w:rsidR="00105370" w:rsidRPr="00154F1D">
        <w:t xml:space="preserve"> The court </w:t>
      </w:r>
      <w:r w:rsidR="008B399E" w:rsidRPr="00154F1D">
        <w:t>can</w:t>
      </w:r>
      <w:r w:rsidR="00105370" w:rsidRPr="00154F1D">
        <w:t xml:space="preserve"> then discharge the supervision order and impose a restriction order or </w:t>
      </w:r>
      <w:r w:rsidR="008B399E" w:rsidRPr="00154F1D">
        <w:t>can</w:t>
      </w:r>
      <w:r w:rsidR="00105370" w:rsidRPr="00154F1D">
        <w:t xml:space="preserve"> vary or confirm the supervision order.</w:t>
      </w:r>
    </w:p>
    <w:p w14:paraId="23158A06" w14:textId="5C46EF4E" w:rsidR="007175F1" w:rsidRPr="00154F1D" w:rsidRDefault="00C73F1F" w:rsidP="000B2F23">
      <w:pPr>
        <w:pStyle w:val="DotPointTLRI"/>
        <w:ind w:left="851" w:hanging="425"/>
      </w:pPr>
      <w:r w:rsidRPr="00154F1D">
        <w:t>The term of a</w:t>
      </w:r>
      <w:r w:rsidR="007175F1" w:rsidRPr="00154F1D">
        <w:t xml:space="preserve"> treatment order </w:t>
      </w:r>
      <w:r w:rsidRPr="00154F1D">
        <w:t xml:space="preserve">is set by legislation and it </w:t>
      </w:r>
      <w:r w:rsidR="007175F1" w:rsidRPr="00154F1D">
        <w:t>remains in force for six months</w:t>
      </w:r>
      <w:r w:rsidRPr="00154F1D">
        <w:t>.</w:t>
      </w:r>
      <w:r w:rsidR="007175F1" w:rsidRPr="00154F1D">
        <w:t xml:space="preserve"> </w:t>
      </w:r>
      <w:r w:rsidRPr="00154F1D">
        <w:t>However, it</w:t>
      </w:r>
      <w:r w:rsidR="007175F1" w:rsidRPr="00154F1D">
        <w:t xml:space="preserve"> can be renewed by the MHT. </w:t>
      </w:r>
      <w:r w:rsidR="008B399E" w:rsidRPr="00154F1D">
        <w:t xml:space="preserve">A treatment order </w:t>
      </w:r>
      <w:r w:rsidR="00F217EF" w:rsidRPr="00154F1D">
        <w:t xml:space="preserve">is not a forensic order. </w:t>
      </w:r>
      <w:r w:rsidR="007175F1" w:rsidRPr="00154F1D">
        <w:t>If a person does not comply with the order, there are provisions for the person to be detained in an approved hospital</w:t>
      </w:r>
      <w:r w:rsidR="009778D2" w:rsidRPr="00154F1D">
        <w:t xml:space="preserve"> under the provisions of the </w:t>
      </w:r>
      <w:r w:rsidR="008B399E" w:rsidRPr="00154F1D">
        <w:rPr>
          <w:i/>
        </w:rPr>
        <w:t xml:space="preserve">Mental Health Act 2013 </w:t>
      </w:r>
      <w:r w:rsidR="008B399E" w:rsidRPr="00154F1D">
        <w:t>(Tas)</w:t>
      </w:r>
      <w:r w:rsidR="007175F1" w:rsidRPr="00154F1D">
        <w:t xml:space="preserve">. A treatment order made under the </w:t>
      </w:r>
      <w:r w:rsidR="008B399E" w:rsidRPr="00154F1D">
        <w:rPr>
          <w:i/>
          <w:iCs/>
        </w:rPr>
        <w:t xml:space="preserve">Criminal Justice (Mental Impairment) Act 1999 </w:t>
      </w:r>
      <w:r w:rsidR="008B399E" w:rsidRPr="00154F1D">
        <w:rPr>
          <w:iCs/>
        </w:rPr>
        <w:t>(Tas)</w:t>
      </w:r>
      <w:r w:rsidR="007175F1" w:rsidRPr="00154F1D">
        <w:t xml:space="preserve"> is administered under the </w:t>
      </w:r>
      <w:r w:rsidR="008B399E" w:rsidRPr="00154F1D">
        <w:rPr>
          <w:i/>
        </w:rPr>
        <w:t xml:space="preserve">Mental Health Act 2013 </w:t>
      </w:r>
      <w:r w:rsidR="008B399E" w:rsidRPr="00154F1D">
        <w:t>(Tas)</w:t>
      </w:r>
      <w:r w:rsidR="007175F1" w:rsidRPr="00154F1D">
        <w:t>. This process does not involve the Supreme Court.</w:t>
      </w:r>
      <w:r w:rsidR="00D63886" w:rsidRPr="00154F1D">
        <w:t xml:space="preserve"> However, there is power for a treatment order to be renewed if this is </w:t>
      </w:r>
      <w:r w:rsidR="005F5B58" w:rsidRPr="00154F1D">
        <w:t>required.</w:t>
      </w:r>
    </w:p>
    <w:p w14:paraId="6A013701" w14:textId="1D7A1213" w:rsidR="007175F1" w:rsidRPr="00154F1D" w:rsidRDefault="007175F1" w:rsidP="000B2F23">
      <w:pPr>
        <w:pStyle w:val="DotPointTLRI"/>
        <w:ind w:left="851" w:hanging="425"/>
      </w:pPr>
      <w:r w:rsidRPr="00154F1D">
        <w:t xml:space="preserve">A conditional release order remains in force for the period specified in the order. If a person does not comply with the order, </w:t>
      </w:r>
      <w:r w:rsidR="00C76B3B" w:rsidRPr="00154F1D">
        <w:t xml:space="preserve">there is power for the Supreme Court to </w:t>
      </w:r>
      <w:r w:rsidR="00C73F1F" w:rsidRPr="00154F1D">
        <w:t>confirm the order, i</w:t>
      </w:r>
      <w:r w:rsidR="00154653" w:rsidRPr="00154F1D">
        <w:t>mpose new orders or revoke the order and impose another order on the person.</w:t>
      </w:r>
      <w:r w:rsidR="00E33EA5" w:rsidRPr="00154F1D">
        <w:rPr>
          <w:rStyle w:val="FootnoteReference"/>
        </w:rPr>
        <w:footnoteReference w:id="636"/>
      </w:r>
      <w:r w:rsidR="00154653" w:rsidRPr="00154F1D">
        <w:t xml:space="preserve"> This process does not involve the MHT</w:t>
      </w:r>
      <w:r w:rsidR="009E4512" w:rsidRPr="00154F1D">
        <w:t xml:space="preserve"> and the conditional release order does not make a person subject to the </w:t>
      </w:r>
      <w:r w:rsidR="008B399E" w:rsidRPr="00154F1D">
        <w:rPr>
          <w:i/>
        </w:rPr>
        <w:t xml:space="preserve">Mental Health Act 2013 </w:t>
      </w:r>
      <w:r w:rsidR="008B399E" w:rsidRPr="00154F1D">
        <w:t>(Tas)</w:t>
      </w:r>
      <w:r w:rsidR="009E4512" w:rsidRPr="00154F1D">
        <w:t xml:space="preserve">. </w:t>
      </w:r>
    </w:p>
    <w:p w14:paraId="6F1435FF" w14:textId="0609B1D5" w:rsidR="001775C0" w:rsidRPr="00154F1D" w:rsidRDefault="001775C0" w:rsidP="001775C0">
      <w:pPr>
        <w:pStyle w:val="Sub-HeadingTLRI"/>
        <w:rPr>
          <w:i w:val="0"/>
        </w:rPr>
      </w:pPr>
      <w:bookmarkStart w:id="187" w:name="_Toc535868973"/>
      <w:r w:rsidRPr="00154F1D">
        <w:t xml:space="preserve">Use of </w:t>
      </w:r>
      <w:r w:rsidR="002F4AEB">
        <w:t>o</w:t>
      </w:r>
      <w:r w:rsidRPr="00154F1D">
        <w:t xml:space="preserve">rders under the Criminal Justice (Mental Impairment) Act 1999 </w:t>
      </w:r>
      <w:r w:rsidRPr="00154F1D">
        <w:rPr>
          <w:i w:val="0"/>
        </w:rPr>
        <w:t>(Tas)</w:t>
      </w:r>
      <w:bookmarkEnd w:id="187"/>
    </w:p>
    <w:p w14:paraId="446C5984" w14:textId="5DE9E467" w:rsidR="00352E49" w:rsidRPr="00154F1D" w:rsidRDefault="00352E49" w:rsidP="00744FAA">
      <w:pPr>
        <w:pStyle w:val="NormalNumberedTextTLRI"/>
      </w:pPr>
      <w:r w:rsidRPr="00154F1D">
        <w:t xml:space="preserve">Table </w:t>
      </w:r>
      <w:r w:rsidR="00D809CA" w:rsidRPr="00154F1D">
        <w:t>8</w:t>
      </w:r>
      <w:r w:rsidRPr="00154F1D">
        <w:t>.</w:t>
      </w:r>
      <w:r w:rsidR="00D03074" w:rsidRPr="00154F1D">
        <w:t>2</w:t>
      </w:r>
      <w:r w:rsidRPr="00154F1D">
        <w:t xml:space="preserve"> sets out the use of these </w:t>
      </w:r>
      <w:r w:rsidR="001742EE" w:rsidRPr="00154F1D">
        <w:t xml:space="preserve">orders for </w:t>
      </w:r>
      <w:r w:rsidR="004019C8">
        <w:t>individual</w:t>
      </w:r>
      <w:r w:rsidR="004019C8" w:rsidRPr="00154F1D">
        <w:t xml:space="preserve">s </w:t>
      </w:r>
      <w:r w:rsidR="001742EE" w:rsidRPr="00154F1D">
        <w:t xml:space="preserve">found </w:t>
      </w:r>
      <w:r w:rsidR="005E5E31" w:rsidRPr="00154F1D">
        <w:t xml:space="preserve">not guilty by reason of insanity and/or </w:t>
      </w:r>
      <w:r w:rsidR="001742EE" w:rsidRPr="00154F1D">
        <w:t xml:space="preserve">unfit to stand trial and </w:t>
      </w:r>
      <w:r w:rsidR="005E5E31" w:rsidRPr="00154F1D">
        <w:t xml:space="preserve">where </w:t>
      </w:r>
      <w:r w:rsidR="00BB3BC3" w:rsidRPr="00154F1D">
        <w:t>a finding cannot be made that the defendant is not guilty</w:t>
      </w:r>
      <w:r w:rsidR="001742EE" w:rsidRPr="00154F1D">
        <w:t xml:space="preserve"> in the Supreme Court during</w:t>
      </w:r>
      <w:r w:rsidRPr="00154F1D">
        <w:t xml:space="preserve"> the period 2005–</w:t>
      </w:r>
      <w:r w:rsidR="004716DE" w:rsidRPr="00154F1D">
        <w:t>June 2018</w:t>
      </w:r>
      <w:r w:rsidRPr="00154F1D">
        <w:t>.</w:t>
      </w:r>
    </w:p>
    <w:p w14:paraId="0BB2FFF0" w14:textId="4E9137A3" w:rsidR="00352E49" w:rsidRPr="00154F1D" w:rsidRDefault="00352E49" w:rsidP="00205587">
      <w:pPr>
        <w:pStyle w:val="NumberlessNormalText"/>
        <w:spacing w:after="80"/>
        <w:rPr>
          <w:b/>
          <w:sz w:val="20"/>
          <w:szCs w:val="20"/>
        </w:rPr>
      </w:pPr>
      <w:r w:rsidRPr="00154F1D">
        <w:rPr>
          <w:b/>
          <w:sz w:val="20"/>
          <w:szCs w:val="20"/>
        </w:rPr>
        <w:t xml:space="preserve">Table </w:t>
      </w:r>
      <w:r w:rsidR="00D809CA" w:rsidRPr="00154F1D">
        <w:rPr>
          <w:b/>
          <w:sz w:val="20"/>
          <w:szCs w:val="20"/>
        </w:rPr>
        <w:t>8</w:t>
      </w:r>
      <w:r w:rsidRPr="00154F1D">
        <w:rPr>
          <w:b/>
          <w:sz w:val="20"/>
          <w:szCs w:val="20"/>
        </w:rPr>
        <w:t>.</w:t>
      </w:r>
      <w:r w:rsidR="00D03074" w:rsidRPr="00154F1D">
        <w:rPr>
          <w:b/>
          <w:sz w:val="20"/>
          <w:szCs w:val="20"/>
        </w:rPr>
        <w:t>2</w:t>
      </w:r>
      <w:r w:rsidR="00205587" w:rsidRPr="00154F1D">
        <w:rPr>
          <w:b/>
          <w:sz w:val="20"/>
          <w:szCs w:val="20"/>
        </w:rPr>
        <w:t>:</w:t>
      </w:r>
      <w:r w:rsidRPr="00154F1D">
        <w:rPr>
          <w:b/>
          <w:sz w:val="20"/>
          <w:szCs w:val="20"/>
        </w:rPr>
        <w:t xml:space="preserve"> </w:t>
      </w:r>
      <w:r w:rsidR="00B969F2" w:rsidRPr="00154F1D">
        <w:rPr>
          <w:b/>
          <w:sz w:val="20"/>
          <w:szCs w:val="20"/>
        </w:rPr>
        <w:t xml:space="preserve">Dispositions </w:t>
      </w:r>
      <w:r w:rsidRPr="00154F1D">
        <w:rPr>
          <w:b/>
          <w:sz w:val="20"/>
          <w:szCs w:val="20"/>
        </w:rPr>
        <w:t>made in the Supreme Court 2005</w:t>
      </w:r>
      <w:r w:rsidR="004716DE" w:rsidRPr="00154F1D">
        <w:rPr>
          <w:b/>
          <w:sz w:val="20"/>
          <w:szCs w:val="20"/>
        </w:rPr>
        <w:t>–June 2018</w:t>
      </w:r>
      <w:r w:rsidRPr="00154F1D">
        <w:rPr>
          <w:b/>
          <w:sz w:val="20"/>
          <w:szCs w:val="20"/>
        </w:rPr>
        <w:t xml:space="preserve"> under </w:t>
      </w:r>
      <w:r w:rsidR="008B399E" w:rsidRPr="00154F1D">
        <w:rPr>
          <w:b/>
          <w:i/>
          <w:sz w:val="20"/>
          <w:szCs w:val="20"/>
        </w:rPr>
        <w:t xml:space="preserve">Criminal Justice (Mental Impairment) Act 1999 </w:t>
      </w:r>
      <w:r w:rsidR="008B399E" w:rsidRPr="00154F1D">
        <w:rPr>
          <w:b/>
          <w:sz w:val="20"/>
          <w:szCs w:val="20"/>
        </w:rPr>
        <w:t>(Tas)</w:t>
      </w:r>
      <w:r w:rsidR="00606094" w:rsidRPr="00154F1D">
        <w:rPr>
          <w:b/>
          <w:sz w:val="20"/>
          <w:szCs w:val="20"/>
        </w:rPr>
        <w:t xml:space="preserve"> for </w:t>
      </w:r>
      <w:r w:rsidR="004019C8">
        <w:rPr>
          <w:b/>
          <w:sz w:val="20"/>
          <w:szCs w:val="20"/>
        </w:rPr>
        <w:t>individual</w:t>
      </w:r>
      <w:r w:rsidR="004019C8" w:rsidRPr="00154F1D">
        <w:rPr>
          <w:b/>
          <w:sz w:val="20"/>
          <w:szCs w:val="20"/>
        </w:rPr>
        <w:t xml:space="preserve">s </w:t>
      </w:r>
      <w:r w:rsidR="00606094" w:rsidRPr="00154F1D">
        <w:rPr>
          <w:b/>
          <w:sz w:val="20"/>
          <w:szCs w:val="20"/>
        </w:rPr>
        <w:t xml:space="preserve">found </w:t>
      </w:r>
      <w:r w:rsidR="005E5E31" w:rsidRPr="00154F1D">
        <w:rPr>
          <w:b/>
          <w:sz w:val="20"/>
          <w:szCs w:val="20"/>
        </w:rPr>
        <w:t xml:space="preserve">not guilty by reason of insanity and/or </w:t>
      </w:r>
      <w:r w:rsidR="00606094" w:rsidRPr="00154F1D">
        <w:rPr>
          <w:b/>
          <w:sz w:val="20"/>
          <w:szCs w:val="20"/>
        </w:rPr>
        <w:t xml:space="preserve">unfit to stand trial and </w:t>
      </w:r>
      <w:r w:rsidR="005E5E31" w:rsidRPr="00154F1D">
        <w:rPr>
          <w:b/>
          <w:sz w:val="20"/>
          <w:szCs w:val="20"/>
        </w:rPr>
        <w:t xml:space="preserve">where </w:t>
      </w:r>
      <w:r w:rsidR="00BB3BC3" w:rsidRPr="00154F1D">
        <w:rPr>
          <w:b/>
          <w:sz w:val="20"/>
          <w:szCs w:val="20"/>
        </w:rPr>
        <w:t>a finding cannot be made that the defendant is not guilty</w:t>
      </w:r>
      <w:r w:rsidR="00606094" w:rsidRPr="00154F1D">
        <w:rPr>
          <w:b/>
          <w:sz w:val="20"/>
          <w:szCs w:val="20"/>
        </w:rPr>
        <w:t>.</w:t>
      </w:r>
    </w:p>
    <w:tbl>
      <w:tblPr>
        <w:tblStyle w:val="TableGrid"/>
        <w:tblW w:w="5000" w:type="pct"/>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5388"/>
        <w:gridCol w:w="2912"/>
      </w:tblGrid>
      <w:tr w:rsidR="00352E49" w:rsidRPr="00154F1D" w14:paraId="6129DE60" w14:textId="77777777" w:rsidTr="00EC2896">
        <w:tc>
          <w:tcPr>
            <w:tcW w:w="3246" w:type="pct"/>
          </w:tcPr>
          <w:p w14:paraId="6D114BA3" w14:textId="77777777" w:rsidR="00352E49" w:rsidRPr="00154F1D" w:rsidRDefault="00352E49" w:rsidP="00205587">
            <w:pPr>
              <w:spacing w:before="40" w:after="40"/>
              <w:rPr>
                <w:b/>
                <w:sz w:val="20"/>
                <w:szCs w:val="20"/>
              </w:rPr>
            </w:pPr>
            <w:r w:rsidRPr="00154F1D">
              <w:rPr>
                <w:b/>
                <w:sz w:val="20"/>
                <w:szCs w:val="20"/>
              </w:rPr>
              <w:t>Order</w:t>
            </w:r>
          </w:p>
        </w:tc>
        <w:tc>
          <w:tcPr>
            <w:tcW w:w="1754" w:type="pct"/>
          </w:tcPr>
          <w:p w14:paraId="4B8FA7EC" w14:textId="77777777" w:rsidR="00352E49" w:rsidRPr="00154F1D" w:rsidRDefault="00352E49" w:rsidP="00205587">
            <w:pPr>
              <w:spacing w:before="40" w:after="40"/>
              <w:jc w:val="center"/>
              <w:rPr>
                <w:b/>
                <w:sz w:val="20"/>
                <w:szCs w:val="20"/>
              </w:rPr>
            </w:pPr>
            <w:r w:rsidRPr="00154F1D">
              <w:rPr>
                <w:b/>
                <w:sz w:val="20"/>
                <w:szCs w:val="20"/>
              </w:rPr>
              <w:t>No of cases</w:t>
            </w:r>
          </w:p>
        </w:tc>
      </w:tr>
      <w:tr w:rsidR="00352E49" w:rsidRPr="00154F1D" w14:paraId="5F78F51D" w14:textId="77777777" w:rsidTr="00EC2896">
        <w:tc>
          <w:tcPr>
            <w:tcW w:w="3246" w:type="pct"/>
          </w:tcPr>
          <w:p w14:paraId="1E44FA52" w14:textId="77777777" w:rsidR="00352E49" w:rsidRPr="00154F1D" w:rsidRDefault="00352E49" w:rsidP="00205587">
            <w:pPr>
              <w:spacing w:before="40" w:after="40"/>
              <w:rPr>
                <w:sz w:val="20"/>
                <w:szCs w:val="20"/>
              </w:rPr>
            </w:pPr>
            <w:r w:rsidRPr="00154F1D">
              <w:rPr>
                <w:sz w:val="20"/>
                <w:szCs w:val="20"/>
              </w:rPr>
              <w:t xml:space="preserve">Restriction </w:t>
            </w:r>
          </w:p>
        </w:tc>
        <w:tc>
          <w:tcPr>
            <w:tcW w:w="1754" w:type="pct"/>
          </w:tcPr>
          <w:p w14:paraId="5743CF6A" w14:textId="2D7A269A" w:rsidR="00352E49" w:rsidRPr="00154F1D" w:rsidRDefault="00454F69" w:rsidP="00205587">
            <w:pPr>
              <w:spacing w:before="40" w:after="40"/>
              <w:jc w:val="center"/>
              <w:rPr>
                <w:sz w:val="20"/>
                <w:szCs w:val="20"/>
              </w:rPr>
            </w:pPr>
            <w:r w:rsidRPr="00154F1D">
              <w:rPr>
                <w:sz w:val="20"/>
                <w:szCs w:val="20"/>
              </w:rPr>
              <w:t>10</w:t>
            </w:r>
          </w:p>
        </w:tc>
      </w:tr>
      <w:tr w:rsidR="00352E49" w:rsidRPr="00154F1D" w14:paraId="1ED68FF4" w14:textId="77777777" w:rsidTr="00EC2896">
        <w:tc>
          <w:tcPr>
            <w:tcW w:w="3246" w:type="pct"/>
          </w:tcPr>
          <w:p w14:paraId="3E60510C" w14:textId="77777777" w:rsidR="00352E49" w:rsidRPr="00154F1D" w:rsidRDefault="00352E49" w:rsidP="00205587">
            <w:pPr>
              <w:spacing w:before="40" w:after="40"/>
              <w:rPr>
                <w:sz w:val="20"/>
                <w:szCs w:val="20"/>
              </w:rPr>
            </w:pPr>
            <w:r w:rsidRPr="00154F1D">
              <w:rPr>
                <w:sz w:val="20"/>
                <w:szCs w:val="20"/>
              </w:rPr>
              <w:t xml:space="preserve">Supervision </w:t>
            </w:r>
          </w:p>
        </w:tc>
        <w:tc>
          <w:tcPr>
            <w:tcW w:w="1754" w:type="pct"/>
          </w:tcPr>
          <w:p w14:paraId="10120856" w14:textId="5251B1DE" w:rsidR="00352E49" w:rsidRPr="00154F1D" w:rsidRDefault="00454F69" w:rsidP="00205587">
            <w:pPr>
              <w:spacing w:before="40" w:after="40"/>
              <w:jc w:val="center"/>
              <w:rPr>
                <w:sz w:val="20"/>
                <w:szCs w:val="20"/>
              </w:rPr>
            </w:pPr>
            <w:r w:rsidRPr="00154F1D">
              <w:rPr>
                <w:sz w:val="20"/>
                <w:szCs w:val="20"/>
              </w:rPr>
              <w:t>26</w:t>
            </w:r>
          </w:p>
        </w:tc>
      </w:tr>
      <w:tr w:rsidR="00352E49" w:rsidRPr="00154F1D" w14:paraId="0B9583D5" w14:textId="77777777" w:rsidTr="00EC2896">
        <w:tc>
          <w:tcPr>
            <w:tcW w:w="3246" w:type="pct"/>
          </w:tcPr>
          <w:p w14:paraId="285D4CC6" w14:textId="77777777" w:rsidR="00352E49" w:rsidRPr="00154F1D" w:rsidRDefault="00352E49" w:rsidP="00205587">
            <w:pPr>
              <w:spacing w:before="40" w:after="40"/>
              <w:rPr>
                <w:sz w:val="20"/>
                <w:szCs w:val="20"/>
              </w:rPr>
            </w:pPr>
            <w:r w:rsidRPr="00154F1D">
              <w:rPr>
                <w:sz w:val="20"/>
                <w:szCs w:val="20"/>
              </w:rPr>
              <w:t>Treatment</w:t>
            </w:r>
          </w:p>
        </w:tc>
        <w:tc>
          <w:tcPr>
            <w:tcW w:w="1754" w:type="pct"/>
          </w:tcPr>
          <w:p w14:paraId="1E570633" w14:textId="77777777" w:rsidR="00352E49" w:rsidRPr="00154F1D" w:rsidRDefault="00352E49" w:rsidP="00205587">
            <w:pPr>
              <w:spacing w:before="40" w:after="40"/>
              <w:jc w:val="center"/>
              <w:rPr>
                <w:sz w:val="20"/>
                <w:szCs w:val="20"/>
              </w:rPr>
            </w:pPr>
            <w:r w:rsidRPr="00154F1D">
              <w:rPr>
                <w:sz w:val="20"/>
                <w:szCs w:val="20"/>
              </w:rPr>
              <w:t>2</w:t>
            </w:r>
          </w:p>
        </w:tc>
      </w:tr>
      <w:tr w:rsidR="00352E49" w:rsidRPr="00154F1D" w14:paraId="7FF78BBD" w14:textId="77777777" w:rsidTr="00EC2896">
        <w:tc>
          <w:tcPr>
            <w:tcW w:w="3246" w:type="pct"/>
          </w:tcPr>
          <w:p w14:paraId="01EF49CA" w14:textId="77777777" w:rsidR="00352E49" w:rsidRPr="00154F1D" w:rsidRDefault="00352E49" w:rsidP="00205587">
            <w:pPr>
              <w:spacing w:before="40" w:after="40"/>
              <w:rPr>
                <w:sz w:val="20"/>
                <w:szCs w:val="20"/>
              </w:rPr>
            </w:pPr>
            <w:r w:rsidRPr="00154F1D">
              <w:rPr>
                <w:sz w:val="20"/>
                <w:szCs w:val="20"/>
              </w:rPr>
              <w:t>Conditional release</w:t>
            </w:r>
          </w:p>
        </w:tc>
        <w:tc>
          <w:tcPr>
            <w:tcW w:w="1754" w:type="pct"/>
          </w:tcPr>
          <w:p w14:paraId="53EE81D4" w14:textId="526B4383" w:rsidR="00352E49" w:rsidRPr="00154F1D" w:rsidRDefault="00606094" w:rsidP="00205587">
            <w:pPr>
              <w:spacing w:before="40" w:after="40"/>
              <w:jc w:val="center"/>
              <w:rPr>
                <w:sz w:val="20"/>
                <w:szCs w:val="20"/>
              </w:rPr>
            </w:pPr>
            <w:r w:rsidRPr="00154F1D">
              <w:rPr>
                <w:sz w:val="20"/>
                <w:szCs w:val="20"/>
              </w:rPr>
              <w:t>6</w:t>
            </w:r>
          </w:p>
        </w:tc>
      </w:tr>
      <w:tr w:rsidR="00352E49" w:rsidRPr="00154F1D" w14:paraId="01ED062C" w14:textId="77777777" w:rsidTr="00EC2896">
        <w:tc>
          <w:tcPr>
            <w:tcW w:w="3246" w:type="pct"/>
          </w:tcPr>
          <w:p w14:paraId="56B8CDD1" w14:textId="77777777" w:rsidR="00352E49" w:rsidRPr="00154F1D" w:rsidRDefault="00352E49" w:rsidP="00205587">
            <w:pPr>
              <w:spacing w:before="40" w:after="40"/>
              <w:rPr>
                <w:sz w:val="20"/>
                <w:szCs w:val="20"/>
              </w:rPr>
            </w:pPr>
            <w:r w:rsidRPr="00154F1D">
              <w:rPr>
                <w:sz w:val="20"/>
                <w:szCs w:val="20"/>
              </w:rPr>
              <w:t>Unconditional release</w:t>
            </w:r>
          </w:p>
        </w:tc>
        <w:tc>
          <w:tcPr>
            <w:tcW w:w="1754" w:type="pct"/>
          </w:tcPr>
          <w:p w14:paraId="0ABCA405" w14:textId="77777777" w:rsidR="00352E49" w:rsidRPr="00154F1D" w:rsidRDefault="00352E49" w:rsidP="00205587">
            <w:pPr>
              <w:spacing w:before="40" w:after="40"/>
              <w:jc w:val="center"/>
              <w:rPr>
                <w:sz w:val="20"/>
                <w:szCs w:val="20"/>
              </w:rPr>
            </w:pPr>
            <w:r w:rsidRPr="00154F1D">
              <w:rPr>
                <w:sz w:val="20"/>
                <w:szCs w:val="20"/>
              </w:rPr>
              <w:t>2</w:t>
            </w:r>
          </w:p>
        </w:tc>
      </w:tr>
    </w:tbl>
    <w:p w14:paraId="172E3277" w14:textId="60D815F0" w:rsidR="00606094" w:rsidRPr="00154F1D" w:rsidRDefault="00606094" w:rsidP="00744FAA">
      <w:pPr>
        <w:pStyle w:val="NormalNumberedTextTLRI"/>
      </w:pPr>
      <w:r w:rsidRPr="00154F1D">
        <w:t>Table 8.</w:t>
      </w:r>
      <w:r w:rsidR="00D03074" w:rsidRPr="00154F1D">
        <w:t>3</w:t>
      </w:r>
      <w:r w:rsidRPr="00154F1D">
        <w:t xml:space="preserve"> sets out </w:t>
      </w:r>
      <w:r w:rsidR="008110B8" w:rsidRPr="00154F1D">
        <w:t xml:space="preserve">the number </w:t>
      </w:r>
      <w:r w:rsidR="00091AF0">
        <w:t xml:space="preserve">of </w:t>
      </w:r>
      <w:r w:rsidR="004019C8">
        <w:t>individual</w:t>
      </w:r>
      <w:r w:rsidR="004019C8" w:rsidRPr="00154F1D">
        <w:t xml:space="preserve">s </w:t>
      </w:r>
      <w:r w:rsidRPr="00154F1D">
        <w:t>who have been supervised by the Mental Health Tribunal in relation to a forensic order during the period 2005</w:t>
      </w:r>
      <w:r w:rsidR="00205587" w:rsidRPr="00154F1D">
        <w:t>–</w:t>
      </w:r>
      <w:r w:rsidRPr="00154F1D">
        <w:t xml:space="preserve">June 2018. This includes </w:t>
      </w:r>
      <w:r w:rsidR="004019C8">
        <w:t>people</w:t>
      </w:r>
      <w:r w:rsidR="004019C8" w:rsidRPr="00154F1D">
        <w:t xml:space="preserve"> </w:t>
      </w:r>
      <w:r w:rsidRPr="00154F1D">
        <w:t xml:space="preserve">who were found not guilty by reason of insanity and/or not guilty following a special hearing, as well as </w:t>
      </w:r>
      <w:r w:rsidR="004019C8">
        <w:t xml:space="preserve">those </w:t>
      </w:r>
      <w:r w:rsidRPr="00154F1D">
        <w:t>who had a restriction or supervision order imposed following a finding o</w:t>
      </w:r>
      <w:r w:rsidR="001742EE" w:rsidRPr="00154F1D">
        <w:t>f</w:t>
      </w:r>
      <w:r w:rsidRPr="00154F1D">
        <w:t xml:space="preserve"> guilt, in addition to a sentence of imprisonment.</w:t>
      </w:r>
    </w:p>
    <w:p w14:paraId="014F09CB" w14:textId="7CE733CA" w:rsidR="00606094" w:rsidRPr="00154F1D" w:rsidRDefault="00606094" w:rsidP="00185065">
      <w:pPr>
        <w:pStyle w:val="NumberlessNormalText"/>
        <w:spacing w:after="40"/>
        <w:rPr>
          <w:b/>
        </w:rPr>
      </w:pPr>
      <w:r w:rsidRPr="00154F1D">
        <w:rPr>
          <w:b/>
        </w:rPr>
        <w:t>Table 8.</w:t>
      </w:r>
      <w:r w:rsidR="00D03074" w:rsidRPr="00154F1D">
        <w:rPr>
          <w:b/>
        </w:rPr>
        <w:t>3</w:t>
      </w:r>
      <w:r w:rsidRPr="00154F1D">
        <w:rPr>
          <w:b/>
        </w:rPr>
        <w:t xml:space="preserve">: </w:t>
      </w:r>
      <w:r w:rsidR="004019C8">
        <w:rPr>
          <w:b/>
        </w:rPr>
        <w:t>Individual</w:t>
      </w:r>
      <w:r w:rsidR="004019C8" w:rsidRPr="00154F1D">
        <w:rPr>
          <w:b/>
        </w:rPr>
        <w:t xml:space="preserve">s </w:t>
      </w:r>
      <w:r w:rsidRPr="00154F1D">
        <w:rPr>
          <w:b/>
        </w:rPr>
        <w:t>supervised by the Mental Health Tribunal in relation to forensic orders during the period 2005–June 2018</w:t>
      </w:r>
    </w:p>
    <w:tbl>
      <w:tblPr>
        <w:tblStyle w:val="TableGrid"/>
        <w:tblW w:w="5000" w:type="pct"/>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4150"/>
        <w:gridCol w:w="4150"/>
      </w:tblGrid>
      <w:tr w:rsidR="00606094" w:rsidRPr="00154F1D" w14:paraId="6A193070" w14:textId="77777777" w:rsidTr="00EC2896">
        <w:tc>
          <w:tcPr>
            <w:tcW w:w="2500" w:type="pct"/>
          </w:tcPr>
          <w:p w14:paraId="60E6515A" w14:textId="017A7660" w:rsidR="00606094" w:rsidRPr="00154F1D" w:rsidRDefault="00606094" w:rsidP="00C22C40">
            <w:pPr>
              <w:spacing w:before="40" w:after="40"/>
              <w:rPr>
                <w:b/>
                <w:sz w:val="20"/>
                <w:szCs w:val="20"/>
              </w:rPr>
            </w:pPr>
            <w:r w:rsidRPr="00154F1D">
              <w:rPr>
                <w:b/>
                <w:sz w:val="20"/>
                <w:szCs w:val="20"/>
              </w:rPr>
              <w:t>Order</w:t>
            </w:r>
          </w:p>
        </w:tc>
        <w:tc>
          <w:tcPr>
            <w:tcW w:w="2500" w:type="pct"/>
            <w:vAlign w:val="center"/>
          </w:tcPr>
          <w:p w14:paraId="7ECBC388" w14:textId="35521B34" w:rsidR="00606094" w:rsidRPr="00154F1D" w:rsidRDefault="00606094" w:rsidP="00C22C40">
            <w:pPr>
              <w:spacing w:before="40" w:after="40"/>
              <w:jc w:val="center"/>
              <w:rPr>
                <w:b/>
                <w:sz w:val="20"/>
                <w:szCs w:val="20"/>
              </w:rPr>
            </w:pPr>
            <w:r w:rsidRPr="00154F1D">
              <w:rPr>
                <w:b/>
                <w:sz w:val="20"/>
                <w:szCs w:val="20"/>
              </w:rPr>
              <w:t>No of cases</w:t>
            </w:r>
          </w:p>
        </w:tc>
      </w:tr>
      <w:tr w:rsidR="00606094" w:rsidRPr="00154F1D" w14:paraId="0A87E455" w14:textId="77777777" w:rsidTr="00EC2896">
        <w:tc>
          <w:tcPr>
            <w:tcW w:w="2500" w:type="pct"/>
          </w:tcPr>
          <w:p w14:paraId="63643897" w14:textId="3B3068BE" w:rsidR="00606094" w:rsidRPr="00154F1D" w:rsidRDefault="00606094" w:rsidP="00C22C40">
            <w:pPr>
              <w:spacing w:before="40" w:after="40"/>
              <w:rPr>
                <w:sz w:val="20"/>
                <w:szCs w:val="20"/>
              </w:rPr>
            </w:pPr>
            <w:r w:rsidRPr="00154F1D">
              <w:rPr>
                <w:sz w:val="20"/>
                <w:szCs w:val="20"/>
              </w:rPr>
              <w:t>Restriction</w:t>
            </w:r>
          </w:p>
        </w:tc>
        <w:tc>
          <w:tcPr>
            <w:tcW w:w="2500" w:type="pct"/>
            <w:vAlign w:val="center"/>
          </w:tcPr>
          <w:p w14:paraId="16DBD505" w14:textId="7287B388" w:rsidR="00606094" w:rsidRPr="00154F1D" w:rsidRDefault="00606094" w:rsidP="00C22C40">
            <w:pPr>
              <w:spacing w:before="40" w:after="40"/>
              <w:jc w:val="center"/>
              <w:rPr>
                <w:sz w:val="20"/>
                <w:szCs w:val="20"/>
              </w:rPr>
            </w:pPr>
            <w:r w:rsidRPr="00154F1D">
              <w:rPr>
                <w:sz w:val="20"/>
                <w:szCs w:val="20"/>
              </w:rPr>
              <w:t>16</w:t>
            </w:r>
          </w:p>
        </w:tc>
      </w:tr>
      <w:tr w:rsidR="00606094" w:rsidRPr="00154F1D" w14:paraId="684B0474" w14:textId="77777777" w:rsidTr="00EC2896">
        <w:tc>
          <w:tcPr>
            <w:tcW w:w="2500" w:type="pct"/>
          </w:tcPr>
          <w:p w14:paraId="1A4F373F" w14:textId="62873B43" w:rsidR="00606094" w:rsidRPr="00154F1D" w:rsidRDefault="00606094" w:rsidP="00C22C40">
            <w:pPr>
              <w:spacing w:before="40" w:after="40"/>
              <w:rPr>
                <w:sz w:val="20"/>
                <w:szCs w:val="20"/>
              </w:rPr>
            </w:pPr>
            <w:r w:rsidRPr="00154F1D">
              <w:rPr>
                <w:sz w:val="20"/>
                <w:szCs w:val="20"/>
              </w:rPr>
              <w:t>Supervision</w:t>
            </w:r>
          </w:p>
        </w:tc>
        <w:tc>
          <w:tcPr>
            <w:tcW w:w="2500" w:type="pct"/>
            <w:vAlign w:val="center"/>
          </w:tcPr>
          <w:p w14:paraId="6C071F5C" w14:textId="364D84EA" w:rsidR="00606094" w:rsidRPr="00154F1D" w:rsidRDefault="00606094" w:rsidP="00C22C40">
            <w:pPr>
              <w:spacing w:before="40" w:after="40"/>
              <w:jc w:val="center"/>
              <w:rPr>
                <w:sz w:val="20"/>
                <w:szCs w:val="20"/>
              </w:rPr>
            </w:pPr>
            <w:r w:rsidRPr="00154F1D">
              <w:rPr>
                <w:sz w:val="20"/>
                <w:szCs w:val="20"/>
              </w:rPr>
              <w:t>37</w:t>
            </w:r>
          </w:p>
        </w:tc>
      </w:tr>
    </w:tbl>
    <w:p w14:paraId="234754C9" w14:textId="5A197F2E" w:rsidR="00606094" w:rsidRPr="00154F1D" w:rsidRDefault="00606094" w:rsidP="00744FAA">
      <w:pPr>
        <w:pStyle w:val="NormalNumberedTextTLRI"/>
      </w:pPr>
      <w:r w:rsidRPr="00154F1D">
        <w:t xml:space="preserve">In the Magistrates Court, </w:t>
      </w:r>
      <w:r w:rsidR="00BB3BC3" w:rsidRPr="00154F1D">
        <w:t xml:space="preserve">there were 12 </w:t>
      </w:r>
      <w:r w:rsidR="004019C8">
        <w:t>people</w:t>
      </w:r>
      <w:r w:rsidR="004019C8" w:rsidRPr="00154F1D">
        <w:t xml:space="preserve"> </w:t>
      </w:r>
      <w:r w:rsidR="00BB3BC3" w:rsidRPr="00154F1D">
        <w:t xml:space="preserve">identified who were </w:t>
      </w:r>
      <w:r w:rsidR="008110B8" w:rsidRPr="00154F1D">
        <w:t xml:space="preserve">found </w:t>
      </w:r>
      <w:r w:rsidR="00BB3BC3" w:rsidRPr="00154F1D">
        <w:t xml:space="preserve">unfit to stand trial and </w:t>
      </w:r>
      <w:r w:rsidR="008110B8" w:rsidRPr="00154F1D">
        <w:t xml:space="preserve">where </w:t>
      </w:r>
      <w:r w:rsidR="00BB3BC3" w:rsidRPr="00154F1D">
        <w:t>a finding could not be made that the defendant was not guilty</w:t>
      </w:r>
      <w:r w:rsidR="008110B8" w:rsidRPr="00154F1D">
        <w:t>.</w:t>
      </w:r>
      <w:r w:rsidR="00BB3BC3" w:rsidRPr="00154F1D">
        <w:t xml:space="preserve"> </w:t>
      </w:r>
      <w:r w:rsidR="008110B8" w:rsidRPr="00154F1D">
        <w:t>O</w:t>
      </w:r>
      <w:r w:rsidRPr="00154F1D">
        <w:t xml:space="preserve">rder information </w:t>
      </w:r>
      <w:r w:rsidR="00BB3BC3" w:rsidRPr="00154F1D">
        <w:t>w</w:t>
      </w:r>
      <w:r w:rsidRPr="00154F1D">
        <w:t>as recorded for nine of those matters</w:t>
      </w:r>
      <w:r w:rsidR="00BB3BC3" w:rsidRPr="00154F1D">
        <w:t>. In those cases,</w:t>
      </w:r>
      <w:r w:rsidRPr="00154F1D">
        <w:t xml:space="preserve"> the following orders </w:t>
      </w:r>
      <w:r w:rsidR="008110B8" w:rsidRPr="00154F1D">
        <w:t xml:space="preserve">were </w:t>
      </w:r>
      <w:r w:rsidRPr="00154F1D">
        <w:t xml:space="preserve">imposed under s 18(2) of the </w:t>
      </w:r>
      <w:r w:rsidRPr="00154F1D">
        <w:rPr>
          <w:i/>
        </w:rPr>
        <w:t xml:space="preserve">Criminal Justice (Mental Impairment) Act 1999 </w:t>
      </w:r>
      <w:r w:rsidRPr="00154F1D">
        <w:t>(Tas):</w:t>
      </w:r>
    </w:p>
    <w:p w14:paraId="028C6962" w14:textId="77777777" w:rsidR="00606094" w:rsidRPr="00154F1D" w:rsidRDefault="00606094" w:rsidP="00984233">
      <w:pPr>
        <w:pStyle w:val="DotPointTLRI"/>
        <w:ind w:left="851" w:hanging="425"/>
      </w:pPr>
      <w:r w:rsidRPr="00154F1D">
        <w:t>six were released on condition;</w:t>
      </w:r>
    </w:p>
    <w:p w14:paraId="5FB37738" w14:textId="77777777" w:rsidR="00606094" w:rsidRPr="00154F1D" w:rsidRDefault="00606094" w:rsidP="00984233">
      <w:pPr>
        <w:pStyle w:val="DotPointTLRI"/>
        <w:ind w:left="851" w:hanging="425"/>
      </w:pPr>
      <w:r w:rsidRPr="00154F1D">
        <w:t>three were released unconditionally.</w:t>
      </w:r>
    </w:p>
    <w:p w14:paraId="02F1760B" w14:textId="48656A65" w:rsidR="00606094" w:rsidRPr="00154F1D" w:rsidRDefault="00606094" w:rsidP="00984233">
      <w:pPr>
        <w:pStyle w:val="NormalNumberedTextTLRI"/>
        <w:numPr>
          <w:ilvl w:val="0"/>
          <w:numId w:val="0"/>
        </w:numPr>
      </w:pPr>
      <w:r w:rsidRPr="00154F1D">
        <w:t xml:space="preserve">The conditions imposed often referred to attendance at medical appointments and compliance with medical advice for example, </w:t>
      </w:r>
      <w:r w:rsidR="00984233" w:rsidRPr="00154F1D">
        <w:t>‘</w:t>
      </w:r>
      <w:r w:rsidRPr="00154F1D">
        <w:t>attend appointments with your [general practitioner/ Forensic Mental Health Services/Community Mental Health Services/Forensic Disability Service]</w:t>
      </w:r>
      <w:r w:rsidR="00984233" w:rsidRPr="00154F1D">
        <w:t>’</w:t>
      </w:r>
      <w:r w:rsidRPr="00154F1D">
        <w:t xml:space="preserve">, </w:t>
      </w:r>
      <w:r w:rsidR="00984233" w:rsidRPr="00154F1D">
        <w:t>‘</w:t>
      </w:r>
      <w:r w:rsidRPr="00154F1D">
        <w:t>comply with your [Mental Health Plan/National Disability Insurance Scheme approved support plan]</w:t>
      </w:r>
      <w:r w:rsidR="00984233" w:rsidRPr="00154F1D">
        <w:t>’</w:t>
      </w:r>
      <w:r w:rsidRPr="00154F1D">
        <w:t xml:space="preserve">, </w:t>
      </w:r>
      <w:r w:rsidR="00984233" w:rsidRPr="00154F1D">
        <w:t>‘</w:t>
      </w:r>
      <w:r w:rsidRPr="00154F1D">
        <w:t>take medications as prescribed</w:t>
      </w:r>
      <w:r w:rsidR="00984233" w:rsidRPr="00154F1D">
        <w:t>’</w:t>
      </w:r>
      <w:r w:rsidRPr="00154F1D">
        <w:t>, and to abstain from using drugs and alcohol.</w:t>
      </w:r>
    </w:p>
    <w:p w14:paraId="044A2E2F" w14:textId="19F6C0B0" w:rsidR="00606094" w:rsidRPr="00154F1D" w:rsidRDefault="00606094" w:rsidP="00744FAA">
      <w:pPr>
        <w:pStyle w:val="NormalNumberedTextTLRI"/>
      </w:pPr>
      <w:r w:rsidRPr="00154F1D">
        <w:t xml:space="preserve">Of the nine defendants found not guilty by reason of insanity, order information was recorded for eight matters with the following orders imposed under s 21 of the </w:t>
      </w:r>
      <w:r w:rsidRPr="00154F1D">
        <w:rPr>
          <w:i/>
        </w:rPr>
        <w:t xml:space="preserve">Criminal Justice (Mental Impairment) Act 1999 </w:t>
      </w:r>
      <w:r w:rsidRPr="00154F1D">
        <w:t>(Tas):</w:t>
      </w:r>
    </w:p>
    <w:p w14:paraId="2CDA7EAB" w14:textId="77777777" w:rsidR="00606094" w:rsidRPr="00154F1D" w:rsidRDefault="00606094" w:rsidP="00984233">
      <w:pPr>
        <w:pStyle w:val="DotPointTLRI"/>
        <w:ind w:left="851" w:hanging="425"/>
      </w:pPr>
      <w:r w:rsidRPr="00154F1D">
        <w:t>one treatment order;</w:t>
      </w:r>
    </w:p>
    <w:p w14:paraId="553A3C6E" w14:textId="77777777" w:rsidR="00606094" w:rsidRPr="00154F1D" w:rsidRDefault="00606094" w:rsidP="00984233">
      <w:pPr>
        <w:pStyle w:val="DotPointTLRI"/>
        <w:ind w:left="851" w:hanging="425"/>
      </w:pPr>
      <w:r w:rsidRPr="00154F1D">
        <w:t>six conditional release orders;</w:t>
      </w:r>
    </w:p>
    <w:p w14:paraId="362D1C25" w14:textId="77777777" w:rsidR="00606094" w:rsidRPr="00154F1D" w:rsidRDefault="00606094" w:rsidP="00984233">
      <w:pPr>
        <w:pStyle w:val="DotPointTLRI"/>
        <w:ind w:left="851" w:hanging="425"/>
      </w:pPr>
      <w:r w:rsidRPr="00154F1D">
        <w:t>one referral to the Supreme Court.</w:t>
      </w:r>
    </w:p>
    <w:p w14:paraId="4D8F7021" w14:textId="45E8EEE8" w:rsidR="00606094" w:rsidRPr="00154F1D" w:rsidRDefault="00606094" w:rsidP="00744FAA">
      <w:pPr>
        <w:pStyle w:val="NormalNumberedTextTLRI"/>
        <w:numPr>
          <w:ilvl w:val="0"/>
          <w:numId w:val="0"/>
        </w:numPr>
      </w:pPr>
      <w:r w:rsidRPr="00154F1D">
        <w:t xml:space="preserve">Again, the conditions imposed were similar to those imposed for </w:t>
      </w:r>
      <w:r w:rsidR="004019C8">
        <w:t>defendant</w:t>
      </w:r>
      <w:r w:rsidR="004019C8" w:rsidRPr="00154F1D">
        <w:t xml:space="preserve">s </w:t>
      </w:r>
      <w:r w:rsidR="00BB3BC3" w:rsidRPr="00154F1D">
        <w:t xml:space="preserve">where a finding cannot be made that the defendant was not guilty </w:t>
      </w:r>
      <w:r w:rsidRPr="00154F1D">
        <w:t xml:space="preserve">following a special hearing (following a finding of unfitness). </w:t>
      </w:r>
    </w:p>
    <w:p w14:paraId="41C7440F" w14:textId="4F4E1381" w:rsidR="00B8296B" w:rsidRPr="00154F1D" w:rsidRDefault="00B8296B" w:rsidP="00352E49">
      <w:pPr>
        <w:pStyle w:val="Sub-HeadingTLRI"/>
      </w:pPr>
      <w:bookmarkStart w:id="188" w:name="_Toc535868974"/>
      <w:r w:rsidRPr="00154F1D">
        <w:t>Process for making orders</w:t>
      </w:r>
      <w:bookmarkEnd w:id="188"/>
    </w:p>
    <w:p w14:paraId="574D08D0" w14:textId="1DC75131" w:rsidR="00E334DC" w:rsidRPr="00154F1D" w:rsidRDefault="00602DF4" w:rsidP="00744FAA">
      <w:pPr>
        <w:pStyle w:val="NormalNumberedTextTLRI"/>
      </w:pPr>
      <w:r w:rsidRPr="00154F1D">
        <w:t xml:space="preserve">In making orders under the </w:t>
      </w:r>
      <w:r w:rsidR="008B399E" w:rsidRPr="00154F1D">
        <w:rPr>
          <w:i/>
          <w:iCs/>
        </w:rPr>
        <w:t xml:space="preserve">Criminal Justice (Mental Impairment) Act 1999 </w:t>
      </w:r>
      <w:r w:rsidR="008B399E" w:rsidRPr="00154F1D">
        <w:rPr>
          <w:iCs/>
        </w:rPr>
        <w:t>(Tas)</w:t>
      </w:r>
      <w:r w:rsidRPr="00154F1D">
        <w:t xml:space="preserve"> s</w:t>
      </w:r>
      <w:r w:rsidR="00DD202A" w:rsidRPr="00154F1D">
        <w:t>s </w:t>
      </w:r>
      <w:r w:rsidRPr="00154F1D">
        <w:t xml:space="preserve">18(2) or 21(1), the court is directed </w:t>
      </w:r>
      <w:r w:rsidR="00F52EFD" w:rsidRPr="00154F1D">
        <w:t xml:space="preserve">by s 34 </w:t>
      </w:r>
      <w:r w:rsidRPr="00154F1D">
        <w:t>to apply, where appropriate, the principle that restrictions on the defendant’s freedom and personal autonomy should be kept to the minimum consistent with the safety of the community.</w:t>
      </w:r>
      <w:r w:rsidR="009952BB" w:rsidRPr="00154F1D">
        <w:rPr>
          <w:rStyle w:val="FootnoteReference"/>
        </w:rPr>
        <w:footnoteReference w:id="637"/>
      </w:r>
      <w:r w:rsidRPr="00154F1D">
        <w:t xml:space="preserve"> </w:t>
      </w:r>
      <w:r w:rsidR="002468E8" w:rsidRPr="00154F1D">
        <w:t xml:space="preserve">In exercising its powers under Part </w:t>
      </w:r>
      <w:r w:rsidR="00E334DC" w:rsidRPr="00154F1D">
        <w:t>4, the court is also directed</w:t>
      </w:r>
      <w:r w:rsidR="00F52EFD" w:rsidRPr="00154F1D">
        <w:t xml:space="preserve"> by s 35(1)</w:t>
      </w:r>
      <w:r w:rsidR="00E334DC" w:rsidRPr="00154F1D">
        <w:t xml:space="preserve"> to have regard to the following:</w:t>
      </w:r>
    </w:p>
    <w:p w14:paraId="6899B34A" w14:textId="621344D2" w:rsidR="00E334DC" w:rsidRPr="00154F1D" w:rsidRDefault="00185065" w:rsidP="00DD202A">
      <w:pPr>
        <w:pStyle w:val="DotPointTLRI"/>
        <w:ind w:left="851" w:hanging="425"/>
      </w:pPr>
      <w:r>
        <w:t>t</w:t>
      </w:r>
      <w:r w:rsidR="00E334DC" w:rsidRPr="00154F1D">
        <w:t>he nature of the defendant’s mental impairment or other condition or disability;</w:t>
      </w:r>
    </w:p>
    <w:p w14:paraId="48BEE98D" w14:textId="047B13DD" w:rsidR="00E334DC" w:rsidRPr="00154F1D" w:rsidRDefault="00185065" w:rsidP="00DD202A">
      <w:pPr>
        <w:pStyle w:val="DotPointTLRI"/>
        <w:ind w:left="851" w:hanging="425"/>
      </w:pPr>
      <w:r>
        <w:t>w</w:t>
      </w:r>
      <w:r w:rsidR="00E334DC" w:rsidRPr="00154F1D">
        <w:t>hether the defendant is, or would</w:t>
      </w:r>
      <w:r w:rsidR="00C505FB" w:rsidRPr="00154F1D">
        <w:t>,</w:t>
      </w:r>
      <w:r w:rsidR="00E334DC" w:rsidRPr="00154F1D">
        <w:t xml:space="preserve"> if released</w:t>
      </w:r>
      <w:r w:rsidR="00C505FB" w:rsidRPr="00154F1D">
        <w:t>,</w:t>
      </w:r>
      <w:r w:rsidR="00E334DC" w:rsidRPr="00154F1D">
        <w:t xml:space="preserve"> be likely to endanger another person or other persons generally</w:t>
      </w:r>
      <w:r w:rsidR="00E24F5A" w:rsidRPr="00154F1D">
        <w:t>;</w:t>
      </w:r>
    </w:p>
    <w:p w14:paraId="4311BED1" w14:textId="556CCECC" w:rsidR="00E334DC" w:rsidRPr="00154F1D" w:rsidRDefault="00185065" w:rsidP="00DD202A">
      <w:pPr>
        <w:pStyle w:val="DotPointTLRI"/>
        <w:ind w:left="851" w:hanging="425"/>
      </w:pPr>
      <w:r>
        <w:t>w</w:t>
      </w:r>
      <w:r w:rsidR="00E334DC" w:rsidRPr="00154F1D">
        <w:t>hether there are adequate resources available for the treatment and support of the defendant in the community;</w:t>
      </w:r>
    </w:p>
    <w:p w14:paraId="286755D0" w14:textId="1FEE7B0F" w:rsidR="00E334DC" w:rsidRPr="00154F1D" w:rsidRDefault="00185065" w:rsidP="00DD202A">
      <w:pPr>
        <w:pStyle w:val="DotPointTLRI"/>
        <w:ind w:left="851" w:hanging="425"/>
        <w:outlineLvl w:val="0"/>
      </w:pPr>
      <w:r>
        <w:t>w</w:t>
      </w:r>
      <w:r w:rsidR="00E334DC" w:rsidRPr="00154F1D">
        <w:t>hether the defendant is likely to comply with the conditions of a supervision order</w:t>
      </w:r>
      <w:r w:rsidR="00E24F5A" w:rsidRPr="00154F1D">
        <w:t>;</w:t>
      </w:r>
      <w:r w:rsidR="00E334DC" w:rsidRPr="00154F1D">
        <w:t xml:space="preserve"> and</w:t>
      </w:r>
    </w:p>
    <w:p w14:paraId="226B5B90" w14:textId="10E823A4" w:rsidR="00E334DC" w:rsidRPr="00154F1D" w:rsidRDefault="00185065" w:rsidP="00DD202A">
      <w:pPr>
        <w:pStyle w:val="DotPointTLRI"/>
        <w:ind w:left="851" w:hanging="425"/>
      </w:pPr>
      <w:r>
        <w:t>o</w:t>
      </w:r>
      <w:r w:rsidR="00E334DC" w:rsidRPr="00154F1D">
        <w:t>ther matters that the court thinks relevant.</w:t>
      </w:r>
      <w:r w:rsidR="00EB3AA6" w:rsidRPr="00154F1D">
        <w:rPr>
          <w:rStyle w:val="FootnoteReference"/>
        </w:rPr>
        <w:footnoteReference w:id="638"/>
      </w:r>
    </w:p>
    <w:p w14:paraId="5FAF68A0" w14:textId="7C2B1A45" w:rsidR="00E334DC" w:rsidRPr="00154F1D" w:rsidRDefault="00EB3AA6" w:rsidP="00710486">
      <w:pPr>
        <w:pStyle w:val="NormalNumberedTextTLRI"/>
        <w:numPr>
          <w:ilvl w:val="0"/>
          <w:numId w:val="0"/>
        </w:numPr>
      </w:pPr>
      <w:r w:rsidRPr="00154F1D">
        <w:t xml:space="preserve">For the purposes of assisting a court to determine proceedings under Part 4, </w:t>
      </w:r>
      <w:r w:rsidR="00F52EFD" w:rsidRPr="00154F1D">
        <w:t xml:space="preserve">s 33 provides that </w:t>
      </w:r>
      <w:r w:rsidRPr="00154F1D">
        <w:t>the Attorney-General must provide the court with a report stating, so far as reasonably ascertainable, the views of the next of kin of the defendant and the victims, if any, of the defendant’s conduct.</w:t>
      </w:r>
      <w:r w:rsidRPr="00154F1D">
        <w:rPr>
          <w:rStyle w:val="FootnoteReference"/>
        </w:rPr>
        <w:footnoteReference w:id="639"/>
      </w:r>
      <w:r w:rsidRPr="00154F1D">
        <w:t xml:space="preserve"> The court must not release a defendant under </w:t>
      </w:r>
      <w:r w:rsidR="00710486" w:rsidRPr="00154F1D">
        <w:t xml:space="preserve">the </w:t>
      </w:r>
      <w:r w:rsidR="00EA3D8B" w:rsidRPr="00154F1D">
        <w:rPr>
          <w:i/>
          <w:iCs/>
        </w:rPr>
        <w:t xml:space="preserve">Criminal Justice (Mental Impairment) Act 1999 </w:t>
      </w:r>
      <w:r w:rsidR="00EA3D8B" w:rsidRPr="00154F1D">
        <w:rPr>
          <w:iCs/>
        </w:rPr>
        <w:t>(Tas)</w:t>
      </w:r>
      <w:r w:rsidRPr="00154F1D">
        <w:t xml:space="preserve"> ss 18(2) or 21(1) </w:t>
      </w:r>
      <w:r w:rsidR="00E24F5A" w:rsidRPr="00154F1D">
        <w:t>unless</w:t>
      </w:r>
      <w:r w:rsidRPr="00154F1D">
        <w:t xml:space="preserve"> it has considered an expert report on the </w:t>
      </w:r>
      <w:r w:rsidR="00E24F5A" w:rsidRPr="00154F1D">
        <w:t>condition</w:t>
      </w:r>
      <w:r w:rsidRPr="00154F1D">
        <w:t xml:space="preserve"> of the </w:t>
      </w:r>
      <w:r w:rsidR="00E24F5A" w:rsidRPr="00154F1D">
        <w:t>defendant</w:t>
      </w:r>
      <w:r w:rsidRPr="00154F1D">
        <w:t xml:space="preserve"> and the possible effects of the proposed action on the </w:t>
      </w:r>
      <w:r w:rsidR="00E24F5A" w:rsidRPr="00154F1D">
        <w:t>behaviour</w:t>
      </w:r>
      <w:r w:rsidRPr="00154F1D">
        <w:t xml:space="preserve"> of the de</w:t>
      </w:r>
      <w:r w:rsidR="00E24F5A" w:rsidRPr="00154F1D">
        <w:t>fenda</w:t>
      </w:r>
      <w:r w:rsidRPr="00154F1D">
        <w:t>n</w:t>
      </w:r>
      <w:r w:rsidR="00E24F5A" w:rsidRPr="00154F1D">
        <w:t>t</w:t>
      </w:r>
      <w:r w:rsidR="00050909" w:rsidRPr="00154F1D">
        <w:t xml:space="preserve">. The court also must </w:t>
      </w:r>
      <w:r w:rsidRPr="00154F1D">
        <w:t>ha</w:t>
      </w:r>
      <w:r w:rsidR="00050909" w:rsidRPr="00154F1D">
        <w:t>ve</w:t>
      </w:r>
      <w:r w:rsidRPr="00154F1D">
        <w:t xml:space="preserve"> </w:t>
      </w:r>
      <w:r w:rsidR="00E24F5A" w:rsidRPr="00154F1D">
        <w:t>considered</w:t>
      </w:r>
      <w:r w:rsidRPr="00154F1D">
        <w:t xml:space="preserve"> the report of the attitudes of victims, if any, and next of kin</w:t>
      </w:r>
      <w:r w:rsidR="00D664E9">
        <w:t>,</w:t>
      </w:r>
      <w:r w:rsidR="00091AF0">
        <w:t xml:space="preserve"> and </w:t>
      </w:r>
      <w:r w:rsidR="00710486" w:rsidRPr="00154F1D">
        <w:t xml:space="preserve">be </w:t>
      </w:r>
      <w:r w:rsidRPr="00154F1D">
        <w:t xml:space="preserve">satisfied that the </w:t>
      </w:r>
      <w:r w:rsidR="00E24F5A" w:rsidRPr="00154F1D">
        <w:t>defendant</w:t>
      </w:r>
      <w:r w:rsidRPr="00154F1D">
        <w:t>’s next of kin and victims have been given reasonable notice of the proceedings.</w:t>
      </w:r>
      <w:r w:rsidRPr="00154F1D">
        <w:rPr>
          <w:rStyle w:val="FootnoteReference"/>
        </w:rPr>
        <w:footnoteReference w:id="640"/>
      </w:r>
      <w:r w:rsidR="00AC1C3C" w:rsidRPr="00154F1D">
        <w:t xml:space="preserve"> </w:t>
      </w:r>
    </w:p>
    <w:p w14:paraId="09E9E742" w14:textId="1C1551FC" w:rsidR="00973FB0" w:rsidRPr="00154F1D" w:rsidRDefault="00973FB0" w:rsidP="00744FAA">
      <w:pPr>
        <w:pStyle w:val="NormalNumberedTextTLRI"/>
      </w:pPr>
      <w:r w:rsidRPr="00154F1D">
        <w:t xml:space="preserve">A review of cases indicates that </w:t>
      </w:r>
      <w:r w:rsidR="00753532" w:rsidRPr="00154F1D">
        <w:t xml:space="preserve">factors such as the nature of the </w:t>
      </w:r>
      <w:r w:rsidR="00F377FA" w:rsidRPr="00154F1D">
        <w:t>mental illness</w:t>
      </w:r>
      <w:r w:rsidR="00753532" w:rsidRPr="00154F1D">
        <w:t xml:space="preserve"> or intellectual disability, including its </w:t>
      </w:r>
      <w:r w:rsidR="00107ECF" w:rsidRPr="00154F1D">
        <w:t>amenability</w:t>
      </w:r>
      <w:r w:rsidR="00753532" w:rsidRPr="00154F1D">
        <w:t xml:space="preserve"> to treatment, an </w:t>
      </w:r>
      <w:r w:rsidR="004019C8">
        <w:t>individual</w:t>
      </w:r>
      <w:r w:rsidR="004019C8" w:rsidRPr="00154F1D">
        <w:t xml:space="preserve">’s </w:t>
      </w:r>
      <w:r w:rsidR="00753532" w:rsidRPr="00154F1D">
        <w:t>compliance with treatment and insight into the</w:t>
      </w:r>
      <w:r w:rsidR="0043341C" w:rsidRPr="00154F1D">
        <w:t>ir</w:t>
      </w:r>
      <w:r w:rsidR="00753532" w:rsidRPr="00154F1D">
        <w:t xml:space="preserve"> condition, the person’s previous history of offending and/or violence</w:t>
      </w:r>
      <w:r w:rsidR="0043341C" w:rsidRPr="00154F1D">
        <w:t xml:space="preserve"> </w:t>
      </w:r>
      <w:r w:rsidR="00710486" w:rsidRPr="00154F1D">
        <w:t>are</w:t>
      </w:r>
      <w:r w:rsidR="001742EE" w:rsidRPr="00154F1D">
        <w:t xml:space="preserve"> relevant to the exercise</w:t>
      </w:r>
      <w:r w:rsidR="0043341C" w:rsidRPr="00154F1D">
        <w:t xml:space="preserve"> of the court’s discretion. In cases where restriction orders were imposed, </w:t>
      </w:r>
      <w:r w:rsidR="004019C8">
        <w:t>individual</w:t>
      </w:r>
      <w:r w:rsidR="004019C8" w:rsidRPr="00154F1D">
        <w:t xml:space="preserve">s </w:t>
      </w:r>
      <w:r w:rsidR="0043341C" w:rsidRPr="00154F1D">
        <w:t>typically had chronic mental illnesses that were difficult to treat and had a lack of i</w:t>
      </w:r>
      <w:r w:rsidR="00637D01" w:rsidRPr="00154F1D">
        <w:t>ns</w:t>
      </w:r>
      <w:r w:rsidR="0043341C" w:rsidRPr="00154F1D">
        <w:t xml:space="preserve">ight </w:t>
      </w:r>
      <w:r w:rsidR="00F32AA9" w:rsidRPr="00154F1D">
        <w:t xml:space="preserve">into their condition </w:t>
      </w:r>
      <w:r w:rsidR="0043341C" w:rsidRPr="00154F1D">
        <w:t>and a history of non-compliance with treatment.</w:t>
      </w:r>
      <w:r w:rsidR="00431D74" w:rsidRPr="00154F1D">
        <w:t xml:space="preserve"> In contrast, supervision orders, treatment order</w:t>
      </w:r>
      <w:r w:rsidR="00F32AA9" w:rsidRPr="00154F1D">
        <w:t>s</w:t>
      </w:r>
      <w:r w:rsidR="00431D74" w:rsidRPr="00154F1D">
        <w:t xml:space="preserve"> and conditional release order</w:t>
      </w:r>
      <w:r w:rsidR="00F32AA9" w:rsidRPr="00154F1D">
        <w:t>s</w:t>
      </w:r>
      <w:r w:rsidR="00431D74" w:rsidRPr="00154F1D">
        <w:t xml:space="preserve"> were typically imposed where the person had an awareness of their condition </w:t>
      </w:r>
      <w:r w:rsidR="003D58B9" w:rsidRPr="00154F1D">
        <w:t xml:space="preserve">and </w:t>
      </w:r>
      <w:r w:rsidR="00431D74" w:rsidRPr="00154F1D">
        <w:t xml:space="preserve">no history of offending </w:t>
      </w:r>
      <w:r w:rsidR="003D58B9" w:rsidRPr="00154F1D">
        <w:t>or violence.</w:t>
      </w:r>
      <w:bookmarkStart w:id="189" w:name="_Ref535767408"/>
      <w:r w:rsidR="008E76A3" w:rsidRPr="00154F1D">
        <w:rPr>
          <w:rStyle w:val="FootnoteReference"/>
        </w:rPr>
        <w:footnoteReference w:id="641"/>
      </w:r>
      <w:bookmarkEnd w:id="189"/>
      <w:r w:rsidR="008E76A3" w:rsidRPr="00154F1D">
        <w:t xml:space="preserve"> </w:t>
      </w:r>
      <w:r w:rsidR="003D58B9" w:rsidRPr="00154F1D">
        <w:t>Similar conditions were imposed in most cases where supervision, treatment or conditional release orders were made and these i</w:t>
      </w:r>
      <w:r w:rsidR="00107ECF" w:rsidRPr="00154F1D">
        <w:t>nvolved submission to treatment</w:t>
      </w:r>
      <w:r w:rsidR="003D58B9" w:rsidRPr="00154F1D">
        <w:t xml:space="preserve">, taking medication and residential restrictions. Factors that seemed to influence the making of a supervision order as opposed to a treatment order or a conditional release order </w:t>
      </w:r>
      <w:r w:rsidR="005044C7">
        <w:t>were</w:t>
      </w:r>
      <w:r w:rsidR="005044C7" w:rsidRPr="00154F1D">
        <w:t xml:space="preserve"> </w:t>
      </w:r>
      <w:r w:rsidR="003D58B9" w:rsidRPr="00154F1D">
        <w:t xml:space="preserve">the need to ensure long-term compliance with treatment and the more limited powers that existed in the event of non-compliance with the conditions of the order in the case of treatment and supervision orders. </w:t>
      </w:r>
    </w:p>
    <w:p w14:paraId="5053C390" w14:textId="0924E25F" w:rsidR="004D3F91" w:rsidRPr="00154F1D" w:rsidRDefault="004D3F91" w:rsidP="00744FAA">
      <w:pPr>
        <w:pStyle w:val="NormalNumberedTextTLRI"/>
      </w:pPr>
      <w:r w:rsidRPr="00154F1D">
        <w:t xml:space="preserve">In the </w:t>
      </w:r>
      <w:r w:rsidR="00146339" w:rsidRPr="00154F1D">
        <w:t xml:space="preserve">Supreme Court </w:t>
      </w:r>
      <w:r w:rsidRPr="00154F1D">
        <w:t xml:space="preserve">cases where </w:t>
      </w:r>
      <w:r w:rsidR="00DD56AA" w:rsidRPr="00154F1D">
        <w:t xml:space="preserve">the </w:t>
      </w:r>
      <w:r w:rsidR="004019C8">
        <w:t>person</w:t>
      </w:r>
      <w:r w:rsidR="004019C8" w:rsidRPr="00154F1D">
        <w:t xml:space="preserve"> </w:t>
      </w:r>
      <w:r w:rsidR="00DD56AA" w:rsidRPr="00154F1D">
        <w:t>was found not guilty</w:t>
      </w:r>
      <w:r w:rsidR="00F32AA9" w:rsidRPr="00154F1D">
        <w:t>,</w:t>
      </w:r>
      <w:r w:rsidR="00DD56AA" w:rsidRPr="00154F1D">
        <w:t xml:space="preserve"> or not guilty by reason of insanity</w:t>
      </w:r>
      <w:r w:rsidR="00F32AA9" w:rsidRPr="00154F1D">
        <w:t>,</w:t>
      </w:r>
      <w:r w:rsidR="00DD56AA" w:rsidRPr="00154F1D">
        <w:t xml:space="preserve"> and </w:t>
      </w:r>
      <w:r w:rsidRPr="00154F1D">
        <w:t xml:space="preserve">details of the mental illness or intellectual disability were </w:t>
      </w:r>
      <w:r w:rsidR="005230C9" w:rsidRPr="00154F1D">
        <w:t>known (n = 2</w:t>
      </w:r>
      <w:r w:rsidR="00146339" w:rsidRPr="00154F1D">
        <w:t>3</w:t>
      </w:r>
      <w:r w:rsidRPr="00154F1D">
        <w:t xml:space="preserve">), there were </w:t>
      </w:r>
      <w:r w:rsidR="005230C9" w:rsidRPr="00154F1D">
        <w:t>1</w:t>
      </w:r>
      <w:r w:rsidR="00146339" w:rsidRPr="00154F1D">
        <w:t>5</w:t>
      </w:r>
      <w:r w:rsidR="005230C9" w:rsidRPr="00154F1D">
        <w:t xml:space="preserve"> cases involving mental illness (predominately schizophrenia), </w:t>
      </w:r>
      <w:r w:rsidR="00146339" w:rsidRPr="00154F1D">
        <w:t>seven</w:t>
      </w:r>
      <w:r w:rsidR="005230C9" w:rsidRPr="00154F1D">
        <w:t xml:space="preserve"> cases involving intellectual disability and one case involving </w:t>
      </w:r>
      <w:r w:rsidR="00375E4A" w:rsidRPr="00154F1D">
        <w:t>cognitive impairment</w:t>
      </w:r>
      <w:r w:rsidR="005230C9" w:rsidRPr="00154F1D">
        <w:t xml:space="preserve">. In </w:t>
      </w:r>
      <w:r w:rsidR="005044C7">
        <w:t xml:space="preserve">relation to </w:t>
      </w:r>
      <w:r w:rsidR="005230C9" w:rsidRPr="00154F1D">
        <w:t xml:space="preserve">the </w:t>
      </w:r>
      <w:r w:rsidR="00146339" w:rsidRPr="00154F1D">
        <w:t>seven</w:t>
      </w:r>
      <w:r w:rsidR="005230C9" w:rsidRPr="00154F1D">
        <w:t xml:space="preserve"> cases where the defendant was classified as having an intellectual disability, </w:t>
      </w:r>
      <w:r w:rsidR="00F32AA9" w:rsidRPr="00154F1D">
        <w:t xml:space="preserve">in two cases </w:t>
      </w:r>
      <w:r w:rsidR="005230C9" w:rsidRPr="00154F1D">
        <w:t xml:space="preserve">the person received a conditional release order and </w:t>
      </w:r>
      <w:r w:rsidR="00F32AA9" w:rsidRPr="00154F1D">
        <w:t xml:space="preserve">in five cases </w:t>
      </w:r>
      <w:r w:rsidR="005230C9" w:rsidRPr="00154F1D">
        <w:t xml:space="preserve">a supervision order. In relation to </w:t>
      </w:r>
      <w:r w:rsidR="00223FC1" w:rsidRPr="00154F1D">
        <w:t xml:space="preserve">defendants with a </w:t>
      </w:r>
      <w:r w:rsidR="005230C9" w:rsidRPr="00154F1D">
        <w:t xml:space="preserve">mental illness, </w:t>
      </w:r>
      <w:r w:rsidR="00146339" w:rsidRPr="00154F1D">
        <w:t>five</w:t>
      </w:r>
      <w:r w:rsidR="005230C9" w:rsidRPr="00154F1D">
        <w:t xml:space="preserve"> defendants received a restriction order, six defendants received a supervision order, two defendants received a treatment order and </w:t>
      </w:r>
      <w:r w:rsidR="00146339" w:rsidRPr="00154F1D">
        <w:t>two</w:t>
      </w:r>
      <w:r w:rsidR="005230C9" w:rsidRPr="00154F1D">
        <w:t xml:space="preserve"> </w:t>
      </w:r>
      <w:r w:rsidR="00146339" w:rsidRPr="00154F1D">
        <w:t>defendants were</w:t>
      </w:r>
      <w:r w:rsidR="005230C9" w:rsidRPr="00154F1D">
        <w:t xml:space="preserve"> conditionally released.</w:t>
      </w:r>
    </w:p>
    <w:p w14:paraId="5E46046E" w14:textId="77777777" w:rsidR="005A26A9" w:rsidRPr="00154F1D" w:rsidRDefault="005A26A9" w:rsidP="00352E49">
      <w:pPr>
        <w:pStyle w:val="Sub-HeadingTLRI"/>
      </w:pPr>
      <w:bookmarkStart w:id="190" w:name="_Toc535868975"/>
      <w:r w:rsidRPr="00154F1D">
        <w:t>Review of orders</w:t>
      </w:r>
      <w:bookmarkEnd w:id="190"/>
    </w:p>
    <w:p w14:paraId="71C1CE06" w14:textId="739E1DBA" w:rsidR="0093533D" w:rsidRPr="00154F1D" w:rsidRDefault="005A26A9" w:rsidP="00744FAA">
      <w:pPr>
        <w:pStyle w:val="NormalNumberedTextTLRI"/>
        <w:rPr>
          <w:rFonts w:eastAsia="Times New Roman"/>
        </w:rPr>
      </w:pPr>
      <w:r w:rsidRPr="00154F1D">
        <w:t xml:space="preserve">During the term of restriction and supervision orders, there are provisions for regular review of the order by the </w:t>
      </w:r>
      <w:r w:rsidR="00EA3D8B" w:rsidRPr="00154F1D">
        <w:t>MHT</w:t>
      </w:r>
      <w:r w:rsidRPr="00154F1D">
        <w:t xml:space="preserve">. Under the </w:t>
      </w:r>
      <w:r w:rsidR="00EA3D8B" w:rsidRPr="00154F1D">
        <w:rPr>
          <w:i/>
          <w:iCs/>
        </w:rPr>
        <w:t xml:space="preserve">Criminal Justice (Mental Impairment) Act 1999 </w:t>
      </w:r>
      <w:r w:rsidR="00EA3D8B" w:rsidRPr="00154F1D">
        <w:rPr>
          <w:iCs/>
        </w:rPr>
        <w:t>(Tas)</w:t>
      </w:r>
      <w:r w:rsidRPr="00154F1D">
        <w:t xml:space="preserve">, forensic orders are to be reviewed by the </w:t>
      </w:r>
      <w:r w:rsidR="00EA3D8B" w:rsidRPr="00154F1D">
        <w:t>MHT</w:t>
      </w:r>
      <w:r w:rsidRPr="00154F1D">
        <w:t xml:space="preserve"> within 12 months after the order was made </w:t>
      </w:r>
      <w:r w:rsidR="00FF53C0" w:rsidRPr="00154F1D">
        <w:t xml:space="preserve">and </w:t>
      </w:r>
      <w:r w:rsidRPr="00154F1D">
        <w:t>at least once in each period of 12 months afterwards.</w:t>
      </w:r>
      <w:r w:rsidRPr="00154F1D">
        <w:rPr>
          <w:rStyle w:val="FootnoteReference"/>
        </w:rPr>
        <w:footnoteReference w:id="642"/>
      </w:r>
      <w:r w:rsidRPr="00154F1D">
        <w:t xml:space="preserve"> At a review, the MHT can issue a certificate if it determines that a forensic order is no longer warranted or that the conditions of the order are not appropriate.</w:t>
      </w:r>
      <w:r w:rsidRPr="00154F1D">
        <w:rPr>
          <w:rStyle w:val="FootnoteReference"/>
        </w:rPr>
        <w:footnoteReference w:id="643"/>
      </w:r>
      <w:r w:rsidRPr="00154F1D">
        <w:t xml:space="preserve"> The factors set out </w:t>
      </w:r>
      <w:r w:rsidR="00F52EFD" w:rsidRPr="00154F1D">
        <w:t xml:space="preserve">in the </w:t>
      </w:r>
      <w:r w:rsidR="00EA3D8B" w:rsidRPr="00154F1D">
        <w:rPr>
          <w:i/>
          <w:iCs/>
        </w:rPr>
        <w:t xml:space="preserve">Criminal Justice (Mental Impairment) Act 1999 </w:t>
      </w:r>
      <w:r w:rsidR="00EA3D8B" w:rsidRPr="00154F1D">
        <w:rPr>
          <w:iCs/>
        </w:rPr>
        <w:t>(Tas)</w:t>
      </w:r>
      <w:r w:rsidR="00F52EFD" w:rsidRPr="00154F1D">
        <w:t xml:space="preserve"> ss 34 and 35</w:t>
      </w:r>
      <w:r w:rsidRPr="00154F1D">
        <w:t xml:space="preserve"> in relation to making of orders are also relevant the review process conducted by the </w:t>
      </w:r>
      <w:r w:rsidR="00EA3D8B" w:rsidRPr="00154F1D">
        <w:t>MHT</w:t>
      </w:r>
      <w:r w:rsidRPr="00154F1D">
        <w:t>.</w:t>
      </w:r>
      <w:r w:rsidRPr="00154F1D">
        <w:rPr>
          <w:rStyle w:val="FootnoteReference"/>
        </w:rPr>
        <w:footnoteReference w:id="644"/>
      </w:r>
      <w:r w:rsidR="00825C8A" w:rsidRPr="00154F1D">
        <w:t xml:space="preserve"> </w:t>
      </w:r>
      <w:r w:rsidR="00F52EFD" w:rsidRPr="00154F1D">
        <w:t xml:space="preserve">However, the </w:t>
      </w:r>
      <w:r w:rsidR="00CC15ED" w:rsidRPr="00154F1D">
        <w:t xml:space="preserve">legislation does not direct the </w:t>
      </w:r>
      <w:r w:rsidR="00F52EFD" w:rsidRPr="00154F1D">
        <w:t xml:space="preserve">MHT </w:t>
      </w:r>
      <w:r w:rsidR="00CC15ED" w:rsidRPr="00154F1D">
        <w:t>to</w:t>
      </w:r>
      <w:r w:rsidR="00F52EFD" w:rsidRPr="00154F1D">
        <w:t xml:space="preserve"> take </w:t>
      </w:r>
      <w:r w:rsidR="00CC15ED" w:rsidRPr="00154F1D">
        <w:t xml:space="preserve">into </w:t>
      </w:r>
      <w:r w:rsidR="00F52EFD" w:rsidRPr="00154F1D">
        <w:t xml:space="preserve">account </w:t>
      </w:r>
      <w:r w:rsidR="00AD2232" w:rsidRPr="00154F1D">
        <w:t>the view of next of kin or victims.</w:t>
      </w:r>
      <w:r w:rsidR="00AD2232" w:rsidRPr="00154F1D">
        <w:rPr>
          <w:rStyle w:val="FootnoteReference"/>
        </w:rPr>
        <w:footnoteReference w:id="645"/>
      </w:r>
      <w:r w:rsidR="00AD2232" w:rsidRPr="00154F1D">
        <w:t xml:space="preserve"> </w:t>
      </w:r>
      <w:r w:rsidR="000E01F1" w:rsidRPr="00154F1D">
        <w:t xml:space="preserve">The MHT must also have regard to the mental health service delivery principles set out in the </w:t>
      </w:r>
      <w:r w:rsidR="000E01F1" w:rsidRPr="00154F1D">
        <w:rPr>
          <w:i/>
        </w:rPr>
        <w:t xml:space="preserve">Mental Health Act 2013 </w:t>
      </w:r>
      <w:r w:rsidR="000E01F1" w:rsidRPr="00154F1D">
        <w:t>(Tas).</w:t>
      </w:r>
      <w:r w:rsidR="00FC73D8" w:rsidRPr="00154F1D">
        <w:t xml:space="preserve"> These principles </w:t>
      </w:r>
      <w:r w:rsidR="00F507C3" w:rsidRPr="00154F1D">
        <w:t xml:space="preserve">are set out in </w:t>
      </w:r>
      <w:r w:rsidR="00FF53C0" w:rsidRPr="00154F1D">
        <w:t xml:space="preserve">sch </w:t>
      </w:r>
      <w:r w:rsidR="00F507C3" w:rsidRPr="00154F1D">
        <w:t xml:space="preserve">1 of the </w:t>
      </w:r>
      <w:r w:rsidR="00EA3D8B" w:rsidRPr="00154F1D">
        <w:rPr>
          <w:i/>
        </w:rPr>
        <w:t xml:space="preserve">Mental Health Act 2013 </w:t>
      </w:r>
      <w:r w:rsidR="00EA3D8B" w:rsidRPr="00154F1D">
        <w:t>(Tas)</w:t>
      </w:r>
      <w:r w:rsidR="00F507C3" w:rsidRPr="00154F1D">
        <w:t xml:space="preserve"> and </w:t>
      </w:r>
      <w:r w:rsidR="00FC73D8" w:rsidRPr="00154F1D">
        <w:t>include</w:t>
      </w:r>
      <w:r w:rsidR="0093533D" w:rsidRPr="00154F1D">
        <w:t xml:space="preserve"> respecting, observing and promoting the inherent rights, liberty, dignity, autonomy and self-respect of a person wi</w:t>
      </w:r>
      <w:r w:rsidR="006D4067">
        <w:t>th</w:t>
      </w:r>
      <w:r w:rsidR="0093533D" w:rsidRPr="00154F1D">
        <w:t xml:space="preserve"> mental illness, to interfere with and restrict the rights of persons with mental illness in the least restrictive way and to the least extent consistent with the protection of those persons, the protection of the public and the proper delivery of the relevant service.</w:t>
      </w:r>
    </w:p>
    <w:p w14:paraId="44DAEBDB" w14:textId="5D109EB5" w:rsidR="00825C8A" w:rsidRPr="00154F1D" w:rsidRDefault="00825C8A" w:rsidP="00744FAA">
      <w:pPr>
        <w:pStyle w:val="NormalNumberedTextTLRI"/>
      </w:pPr>
      <w:r w:rsidRPr="00154F1D">
        <w:t xml:space="preserve">If a certificate is issued, the defendant may apply immediately to the Supreme Court for a discharge, </w:t>
      </w:r>
      <w:r w:rsidR="006D4067">
        <w:t>revocation</w:t>
      </w:r>
      <w:r w:rsidRPr="00154F1D">
        <w:t xml:space="preserve"> or variation of the forensic order.</w:t>
      </w:r>
      <w:r w:rsidRPr="00154F1D">
        <w:rPr>
          <w:rStyle w:val="FootnoteReference"/>
        </w:rPr>
        <w:footnoteReference w:id="646"/>
      </w:r>
      <w:r w:rsidRPr="00154F1D">
        <w:t xml:space="preserve"> The MHT can recommend that a restriction order </w:t>
      </w:r>
      <w:r w:rsidR="006D4067">
        <w:t>be</w:t>
      </w:r>
      <w:r w:rsidR="006D4067" w:rsidRPr="00154F1D">
        <w:t xml:space="preserve"> </w:t>
      </w:r>
      <w:r w:rsidRPr="00154F1D">
        <w:t xml:space="preserve">discharged and replaced with a supervision or treatment order or that the defendant </w:t>
      </w:r>
      <w:r w:rsidR="006D4067">
        <w:t>be</w:t>
      </w:r>
      <w:r w:rsidR="006D4067" w:rsidRPr="00154F1D">
        <w:t xml:space="preserve"> </w:t>
      </w:r>
      <w:r w:rsidRPr="00154F1D">
        <w:t>released conditionally or unconditionally.</w:t>
      </w:r>
      <w:r w:rsidRPr="00154F1D">
        <w:rPr>
          <w:rStyle w:val="FootnoteReference"/>
        </w:rPr>
        <w:footnoteReference w:id="647"/>
      </w:r>
      <w:r w:rsidRPr="00154F1D">
        <w:t xml:space="preserve"> It can recommend that a supervision order be revoked and may recommend that a treatment order be made or that the defendant </w:t>
      </w:r>
      <w:r w:rsidR="006D4067">
        <w:t>be</w:t>
      </w:r>
      <w:r w:rsidR="006D4067" w:rsidRPr="00154F1D">
        <w:t xml:space="preserve"> </w:t>
      </w:r>
      <w:r w:rsidRPr="00154F1D">
        <w:t>released conditionally or unconditionally.</w:t>
      </w:r>
      <w:r w:rsidRPr="00154F1D">
        <w:rPr>
          <w:rStyle w:val="FootnoteReference"/>
        </w:rPr>
        <w:footnoteReference w:id="648"/>
      </w:r>
      <w:r w:rsidRPr="00154F1D">
        <w:t xml:space="preserve"> </w:t>
      </w:r>
      <w:r w:rsidR="00F64964" w:rsidRPr="00154F1D">
        <w:t>A recommendation can also be made to vary the supervision order</w:t>
      </w:r>
      <w:r w:rsidRPr="00154F1D">
        <w:t xml:space="preserve">. The MHT can also recommend that </w:t>
      </w:r>
      <w:r w:rsidR="00156784">
        <w:t xml:space="preserve">a </w:t>
      </w:r>
      <w:r w:rsidRPr="00154F1D">
        <w:t xml:space="preserve">supervision order be revoked and that a restriction order </w:t>
      </w:r>
      <w:r w:rsidR="00FF53C0" w:rsidRPr="00154F1D">
        <w:t xml:space="preserve">be </w:t>
      </w:r>
      <w:r w:rsidRPr="00154F1D">
        <w:t>made in respect of the defendant.</w:t>
      </w:r>
      <w:r w:rsidRPr="00154F1D">
        <w:rPr>
          <w:rStyle w:val="FootnoteReference"/>
        </w:rPr>
        <w:footnoteReference w:id="649"/>
      </w:r>
      <w:r w:rsidRPr="00154F1D">
        <w:t xml:space="preserve"> Although the MHT can make recommendations, it does not have the power to discharge a restriction order or vary or revoke a supervision order. This power must be exercised by the Supreme Court.</w:t>
      </w:r>
    </w:p>
    <w:p w14:paraId="5EE5B94A" w14:textId="1A9A28C7" w:rsidR="00217B7D" w:rsidRPr="00154F1D" w:rsidRDefault="00217B7D" w:rsidP="007D13F8">
      <w:pPr>
        <w:pStyle w:val="Sub-HeadingTLRI"/>
        <w:spacing w:before="240" w:after="120"/>
      </w:pPr>
      <w:bookmarkStart w:id="191" w:name="_Toc535868976"/>
      <w:r w:rsidRPr="00154F1D">
        <w:t>Review of orders by the Mental Health Tribunal and the Supreme Court</w:t>
      </w:r>
      <w:bookmarkEnd w:id="191"/>
    </w:p>
    <w:p w14:paraId="21AA2D21" w14:textId="6FA0F31E" w:rsidR="00163150" w:rsidRPr="00154F1D" w:rsidRDefault="00163150" w:rsidP="007D13F8">
      <w:pPr>
        <w:pStyle w:val="NormalNumberedTextTLRI"/>
        <w:spacing w:after="40"/>
      </w:pPr>
      <w:r w:rsidRPr="00154F1D">
        <w:t>Table</w:t>
      </w:r>
      <w:r w:rsidR="00FF53C0" w:rsidRPr="00154F1D">
        <w:t>s</w:t>
      </w:r>
      <w:r w:rsidRPr="00154F1D">
        <w:t xml:space="preserve"> </w:t>
      </w:r>
      <w:r w:rsidR="00D809CA" w:rsidRPr="00154F1D">
        <w:t>8</w:t>
      </w:r>
      <w:r w:rsidRPr="00154F1D">
        <w:t>.</w:t>
      </w:r>
      <w:r w:rsidR="00D03074" w:rsidRPr="00154F1D">
        <w:t>4</w:t>
      </w:r>
      <w:r w:rsidRPr="00154F1D">
        <w:t xml:space="preserve"> and </w:t>
      </w:r>
      <w:r w:rsidR="00D809CA" w:rsidRPr="00154F1D">
        <w:t>8</w:t>
      </w:r>
      <w:r w:rsidRPr="00154F1D">
        <w:t>.</w:t>
      </w:r>
      <w:r w:rsidR="00D03074" w:rsidRPr="00154F1D">
        <w:t>5</w:t>
      </w:r>
      <w:r w:rsidRPr="00154F1D">
        <w:t xml:space="preserve"> set out the number of review hearings for restriction order</w:t>
      </w:r>
      <w:r w:rsidR="00FF53C0" w:rsidRPr="00154F1D">
        <w:t>s</w:t>
      </w:r>
      <w:r w:rsidRPr="00154F1D">
        <w:t xml:space="preserve"> and supervision orders conducted in each year since 2012</w:t>
      </w:r>
      <w:r w:rsidR="00FF53C0" w:rsidRPr="00154F1D">
        <w:t>–</w:t>
      </w:r>
      <w:r w:rsidR="00156784">
        <w:t>20</w:t>
      </w:r>
      <w:r w:rsidRPr="00154F1D">
        <w:t>13.</w:t>
      </w:r>
    </w:p>
    <w:p w14:paraId="0883BEE1" w14:textId="6CE6FE4E" w:rsidR="00163150" w:rsidRPr="00154F1D" w:rsidRDefault="00163150" w:rsidP="007D13F8">
      <w:pPr>
        <w:pStyle w:val="NumberlessNormalText"/>
        <w:spacing w:after="40"/>
        <w:rPr>
          <w:b/>
        </w:rPr>
      </w:pPr>
      <w:r w:rsidRPr="00154F1D">
        <w:rPr>
          <w:b/>
        </w:rPr>
        <w:t xml:space="preserve">Table </w:t>
      </w:r>
      <w:r w:rsidR="00D809CA" w:rsidRPr="00154F1D">
        <w:rPr>
          <w:b/>
        </w:rPr>
        <w:t>8</w:t>
      </w:r>
      <w:r w:rsidRPr="00154F1D">
        <w:rPr>
          <w:b/>
        </w:rPr>
        <w:t>.</w:t>
      </w:r>
      <w:r w:rsidR="00D03074" w:rsidRPr="00154F1D">
        <w:rPr>
          <w:b/>
        </w:rPr>
        <w:t>4</w:t>
      </w:r>
      <w:r w:rsidR="00F326DD" w:rsidRPr="00154F1D">
        <w:rPr>
          <w:b/>
        </w:rPr>
        <w:t>:</w:t>
      </w:r>
      <w:r w:rsidRPr="00154F1D">
        <w:rPr>
          <w:b/>
        </w:rPr>
        <w:t xml:space="preserve"> Forensic statistics, Restriction Order Hearings, Mental Health Tribunal</w:t>
      </w:r>
    </w:p>
    <w:tbl>
      <w:tblPr>
        <w:tblStyle w:val="TableGrid"/>
        <w:tblW w:w="5000" w:type="pct"/>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953"/>
        <w:gridCol w:w="2186"/>
        <w:gridCol w:w="2757"/>
        <w:gridCol w:w="2404"/>
      </w:tblGrid>
      <w:tr w:rsidR="00163150" w:rsidRPr="00154F1D" w14:paraId="2786958D" w14:textId="77777777" w:rsidTr="00EC2896">
        <w:tc>
          <w:tcPr>
            <w:tcW w:w="574" w:type="pct"/>
            <w:vAlign w:val="center"/>
          </w:tcPr>
          <w:p w14:paraId="413E861F" w14:textId="77777777" w:rsidR="00163150" w:rsidRPr="00154F1D" w:rsidRDefault="00163150" w:rsidP="00FF53C0">
            <w:pPr>
              <w:spacing w:before="20" w:after="20"/>
              <w:rPr>
                <w:b/>
                <w:sz w:val="20"/>
                <w:szCs w:val="20"/>
              </w:rPr>
            </w:pPr>
            <w:r w:rsidRPr="00154F1D">
              <w:rPr>
                <w:b/>
                <w:sz w:val="20"/>
                <w:szCs w:val="20"/>
              </w:rPr>
              <w:t>Year</w:t>
            </w:r>
          </w:p>
        </w:tc>
        <w:tc>
          <w:tcPr>
            <w:tcW w:w="1317" w:type="pct"/>
            <w:vAlign w:val="center"/>
          </w:tcPr>
          <w:p w14:paraId="16AC1893" w14:textId="77777777" w:rsidR="00163150" w:rsidRPr="00154F1D" w:rsidRDefault="00163150" w:rsidP="00FF53C0">
            <w:pPr>
              <w:spacing w:before="20" w:after="20"/>
              <w:jc w:val="center"/>
              <w:rPr>
                <w:b/>
                <w:sz w:val="20"/>
                <w:szCs w:val="20"/>
              </w:rPr>
            </w:pPr>
            <w:r w:rsidRPr="00154F1D">
              <w:rPr>
                <w:b/>
                <w:sz w:val="20"/>
                <w:szCs w:val="20"/>
              </w:rPr>
              <w:t>Restriction order hearings</w:t>
            </w:r>
          </w:p>
        </w:tc>
        <w:tc>
          <w:tcPr>
            <w:tcW w:w="1661" w:type="pct"/>
            <w:vAlign w:val="center"/>
          </w:tcPr>
          <w:p w14:paraId="6337738D" w14:textId="77777777" w:rsidR="00163150" w:rsidRPr="00154F1D" w:rsidRDefault="00163150" w:rsidP="00FF53C0">
            <w:pPr>
              <w:spacing w:before="20" w:after="20"/>
              <w:jc w:val="center"/>
              <w:rPr>
                <w:b/>
                <w:sz w:val="20"/>
                <w:szCs w:val="20"/>
              </w:rPr>
            </w:pPr>
            <w:r w:rsidRPr="00154F1D">
              <w:rPr>
                <w:b/>
                <w:sz w:val="20"/>
                <w:szCs w:val="20"/>
              </w:rPr>
              <w:t>Restriction order hearings adjourned</w:t>
            </w:r>
          </w:p>
        </w:tc>
        <w:tc>
          <w:tcPr>
            <w:tcW w:w="1448" w:type="pct"/>
            <w:vAlign w:val="center"/>
          </w:tcPr>
          <w:p w14:paraId="6158D23F" w14:textId="77777777" w:rsidR="00163150" w:rsidRPr="00154F1D" w:rsidRDefault="00163150" w:rsidP="00FF53C0">
            <w:pPr>
              <w:spacing w:before="20" w:after="20"/>
              <w:jc w:val="center"/>
              <w:rPr>
                <w:b/>
                <w:sz w:val="20"/>
                <w:szCs w:val="20"/>
              </w:rPr>
            </w:pPr>
            <w:r w:rsidRPr="00154F1D">
              <w:rPr>
                <w:b/>
                <w:sz w:val="20"/>
                <w:szCs w:val="20"/>
              </w:rPr>
              <w:t>Restriction order certificates issued</w:t>
            </w:r>
          </w:p>
        </w:tc>
      </w:tr>
      <w:tr w:rsidR="00163150" w:rsidRPr="00154F1D" w14:paraId="36FD1D2C" w14:textId="77777777" w:rsidTr="00EC2896">
        <w:tc>
          <w:tcPr>
            <w:tcW w:w="574" w:type="pct"/>
            <w:vAlign w:val="center"/>
          </w:tcPr>
          <w:p w14:paraId="712413D1" w14:textId="7A6754CC" w:rsidR="00163150" w:rsidRPr="00154F1D" w:rsidRDefault="00163150" w:rsidP="00FF53C0">
            <w:pPr>
              <w:spacing w:before="20" w:after="20"/>
              <w:rPr>
                <w:sz w:val="20"/>
                <w:szCs w:val="20"/>
              </w:rPr>
            </w:pPr>
            <w:r w:rsidRPr="00154F1D">
              <w:rPr>
                <w:sz w:val="20"/>
                <w:szCs w:val="20"/>
              </w:rPr>
              <w:t>2012</w:t>
            </w:r>
            <w:r w:rsidR="00FF53C0" w:rsidRPr="00154F1D">
              <w:rPr>
                <w:sz w:val="20"/>
                <w:szCs w:val="20"/>
              </w:rPr>
              <w:t>–</w:t>
            </w:r>
            <w:r w:rsidRPr="00154F1D">
              <w:rPr>
                <w:sz w:val="20"/>
                <w:szCs w:val="20"/>
              </w:rPr>
              <w:t>13</w:t>
            </w:r>
          </w:p>
        </w:tc>
        <w:tc>
          <w:tcPr>
            <w:tcW w:w="1317" w:type="pct"/>
            <w:vAlign w:val="center"/>
          </w:tcPr>
          <w:p w14:paraId="101931B7" w14:textId="77777777" w:rsidR="00163150" w:rsidRPr="00154F1D" w:rsidRDefault="00163150" w:rsidP="00FF53C0">
            <w:pPr>
              <w:spacing w:before="20" w:after="20"/>
              <w:jc w:val="center"/>
              <w:rPr>
                <w:sz w:val="20"/>
                <w:szCs w:val="20"/>
              </w:rPr>
            </w:pPr>
            <w:r w:rsidRPr="00154F1D">
              <w:rPr>
                <w:sz w:val="20"/>
                <w:szCs w:val="20"/>
              </w:rPr>
              <w:t>8</w:t>
            </w:r>
          </w:p>
        </w:tc>
        <w:tc>
          <w:tcPr>
            <w:tcW w:w="1661" w:type="pct"/>
            <w:vAlign w:val="center"/>
          </w:tcPr>
          <w:p w14:paraId="3194E577" w14:textId="77777777" w:rsidR="00163150" w:rsidRPr="00154F1D" w:rsidRDefault="00163150" w:rsidP="00FF53C0">
            <w:pPr>
              <w:spacing w:before="20" w:after="20"/>
              <w:jc w:val="center"/>
              <w:rPr>
                <w:sz w:val="20"/>
                <w:szCs w:val="20"/>
              </w:rPr>
            </w:pPr>
            <w:r w:rsidRPr="00154F1D">
              <w:rPr>
                <w:sz w:val="20"/>
                <w:szCs w:val="20"/>
              </w:rPr>
              <w:t>1</w:t>
            </w:r>
          </w:p>
        </w:tc>
        <w:tc>
          <w:tcPr>
            <w:tcW w:w="1448" w:type="pct"/>
            <w:vAlign w:val="center"/>
          </w:tcPr>
          <w:p w14:paraId="3833D19C" w14:textId="77777777" w:rsidR="00163150" w:rsidRPr="00154F1D" w:rsidRDefault="00163150" w:rsidP="00FF53C0">
            <w:pPr>
              <w:spacing w:before="20" w:after="20"/>
              <w:jc w:val="center"/>
              <w:rPr>
                <w:sz w:val="20"/>
                <w:szCs w:val="20"/>
              </w:rPr>
            </w:pPr>
            <w:r w:rsidRPr="00154F1D">
              <w:rPr>
                <w:sz w:val="20"/>
                <w:szCs w:val="20"/>
              </w:rPr>
              <w:t>Nil</w:t>
            </w:r>
          </w:p>
        </w:tc>
      </w:tr>
      <w:tr w:rsidR="00163150" w:rsidRPr="00154F1D" w14:paraId="45A7B7B2" w14:textId="77777777" w:rsidTr="00EC2896">
        <w:tc>
          <w:tcPr>
            <w:tcW w:w="574" w:type="pct"/>
            <w:vAlign w:val="center"/>
          </w:tcPr>
          <w:p w14:paraId="2754F01C" w14:textId="536DD192" w:rsidR="00163150" w:rsidRPr="00154F1D" w:rsidRDefault="00163150" w:rsidP="00FF53C0">
            <w:pPr>
              <w:spacing w:before="20" w:after="20"/>
              <w:rPr>
                <w:sz w:val="20"/>
                <w:szCs w:val="20"/>
              </w:rPr>
            </w:pPr>
            <w:r w:rsidRPr="00154F1D">
              <w:rPr>
                <w:sz w:val="20"/>
                <w:szCs w:val="20"/>
              </w:rPr>
              <w:t>2013</w:t>
            </w:r>
            <w:r w:rsidR="00FF53C0" w:rsidRPr="00154F1D">
              <w:rPr>
                <w:sz w:val="20"/>
                <w:szCs w:val="20"/>
              </w:rPr>
              <w:t>–</w:t>
            </w:r>
            <w:r w:rsidRPr="00154F1D">
              <w:rPr>
                <w:sz w:val="20"/>
                <w:szCs w:val="20"/>
              </w:rPr>
              <w:t>14</w:t>
            </w:r>
          </w:p>
        </w:tc>
        <w:tc>
          <w:tcPr>
            <w:tcW w:w="1317" w:type="pct"/>
            <w:vAlign w:val="center"/>
          </w:tcPr>
          <w:p w14:paraId="008C34D2" w14:textId="77777777" w:rsidR="00163150" w:rsidRPr="00154F1D" w:rsidRDefault="00163150" w:rsidP="00FF53C0">
            <w:pPr>
              <w:spacing w:before="20" w:after="20"/>
              <w:jc w:val="center"/>
              <w:rPr>
                <w:sz w:val="20"/>
                <w:szCs w:val="20"/>
              </w:rPr>
            </w:pPr>
            <w:r w:rsidRPr="00154F1D">
              <w:rPr>
                <w:sz w:val="20"/>
                <w:szCs w:val="20"/>
              </w:rPr>
              <w:t>9</w:t>
            </w:r>
          </w:p>
        </w:tc>
        <w:tc>
          <w:tcPr>
            <w:tcW w:w="1661" w:type="pct"/>
            <w:vAlign w:val="center"/>
          </w:tcPr>
          <w:p w14:paraId="1DD31D2E" w14:textId="77777777" w:rsidR="00163150" w:rsidRPr="00154F1D" w:rsidRDefault="00163150" w:rsidP="00FF53C0">
            <w:pPr>
              <w:spacing w:before="20" w:after="20"/>
              <w:jc w:val="center"/>
              <w:rPr>
                <w:sz w:val="20"/>
                <w:szCs w:val="20"/>
              </w:rPr>
            </w:pPr>
            <w:r w:rsidRPr="00154F1D">
              <w:rPr>
                <w:sz w:val="20"/>
                <w:szCs w:val="20"/>
              </w:rPr>
              <w:t>Nil</w:t>
            </w:r>
          </w:p>
        </w:tc>
        <w:tc>
          <w:tcPr>
            <w:tcW w:w="1448" w:type="pct"/>
            <w:vAlign w:val="center"/>
          </w:tcPr>
          <w:p w14:paraId="47132CBA" w14:textId="77777777" w:rsidR="00163150" w:rsidRPr="00154F1D" w:rsidRDefault="00163150" w:rsidP="00FF53C0">
            <w:pPr>
              <w:spacing w:before="20" w:after="20"/>
              <w:jc w:val="center"/>
              <w:rPr>
                <w:sz w:val="20"/>
                <w:szCs w:val="20"/>
              </w:rPr>
            </w:pPr>
            <w:r w:rsidRPr="00154F1D">
              <w:rPr>
                <w:sz w:val="20"/>
                <w:szCs w:val="20"/>
              </w:rPr>
              <w:t>Nil</w:t>
            </w:r>
          </w:p>
        </w:tc>
      </w:tr>
      <w:tr w:rsidR="00163150" w:rsidRPr="00154F1D" w14:paraId="1614902D" w14:textId="77777777" w:rsidTr="00EC2896">
        <w:tc>
          <w:tcPr>
            <w:tcW w:w="574" w:type="pct"/>
            <w:vAlign w:val="center"/>
          </w:tcPr>
          <w:p w14:paraId="4E3EFAD5" w14:textId="3A9BAC94" w:rsidR="00163150" w:rsidRPr="00154F1D" w:rsidRDefault="00163150" w:rsidP="00FF53C0">
            <w:pPr>
              <w:spacing w:before="20" w:after="20"/>
              <w:rPr>
                <w:sz w:val="20"/>
                <w:szCs w:val="20"/>
              </w:rPr>
            </w:pPr>
            <w:r w:rsidRPr="00154F1D">
              <w:rPr>
                <w:sz w:val="20"/>
                <w:szCs w:val="20"/>
              </w:rPr>
              <w:t>2014</w:t>
            </w:r>
            <w:r w:rsidR="00FF53C0" w:rsidRPr="00154F1D">
              <w:rPr>
                <w:sz w:val="20"/>
                <w:szCs w:val="20"/>
              </w:rPr>
              <w:t>–</w:t>
            </w:r>
            <w:r w:rsidRPr="00154F1D">
              <w:rPr>
                <w:sz w:val="20"/>
                <w:szCs w:val="20"/>
              </w:rPr>
              <w:t>15</w:t>
            </w:r>
          </w:p>
        </w:tc>
        <w:tc>
          <w:tcPr>
            <w:tcW w:w="1317" w:type="pct"/>
            <w:vAlign w:val="center"/>
          </w:tcPr>
          <w:p w14:paraId="6129AF0B" w14:textId="77777777" w:rsidR="00163150" w:rsidRPr="00154F1D" w:rsidRDefault="00163150" w:rsidP="00FF53C0">
            <w:pPr>
              <w:spacing w:before="20" w:after="20"/>
              <w:jc w:val="center"/>
              <w:rPr>
                <w:sz w:val="20"/>
                <w:szCs w:val="20"/>
              </w:rPr>
            </w:pPr>
            <w:r w:rsidRPr="00154F1D">
              <w:rPr>
                <w:sz w:val="20"/>
                <w:szCs w:val="20"/>
              </w:rPr>
              <w:t>11</w:t>
            </w:r>
          </w:p>
        </w:tc>
        <w:tc>
          <w:tcPr>
            <w:tcW w:w="1661" w:type="pct"/>
            <w:vAlign w:val="center"/>
          </w:tcPr>
          <w:p w14:paraId="172D27E5" w14:textId="77777777" w:rsidR="00163150" w:rsidRPr="00154F1D" w:rsidRDefault="00163150" w:rsidP="00FF53C0">
            <w:pPr>
              <w:spacing w:before="20" w:after="20"/>
              <w:jc w:val="center"/>
              <w:rPr>
                <w:sz w:val="20"/>
                <w:szCs w:val="20"/>
              </w:rPr>
            </w:pPr>
            <w:r w:rsidRPr="00154F1D">
              <w:rPr>
                <w:sz w:val="20"/>
                <w:szCs w:val="20"/>
              </w:rPr>
              <w:t>2</w:t>
            </w:r>
          </w:p>
        </w:tc>
        <w:tc>
          <w:tcPr>
            <w:tcW w:w="1448" w:type="pct"/>
            <w:vAlign w:val="center"/>
          </w:tcPr>
          <w:p w14:paraId="3A602913" w14:textId="77777777" w:rsidR="00163150" w:rsidRPr="00154F1D" w:rsidRDefault="00163150" w:rsidP="00FF53C0">
            <w:pPr>
              <w:spacing w:before="20" w:after="20"/>
              <w:jc w:val="center"/>
              <w:rPr>
                <w:sz w:val="20"/>
                <w:szCs w:val="20"/>
              </w:rPr>
            </w:pPr>
            <w:r w:rsidRPr="00154F1D">
              <w:rPr>
                <w:sz w:val="20"/>
                <w:szCs w:val="20"/>
              </w:rPr>
              <w:t>Nil</w:t>
            </w:r>
          </w:p>
        </w:tc>
      </w:tr>
      <w:tr w:rsidR="00163150" w:rsidRPr="00154F1D" w14:paraId="3EA7925A" w14:textId="77777777" w:rsidTr="00EC2896">
        <w:tc>
          <w:tcPr>
            <w:tcW w:w="574" w:type="pct"/>
            <w:vAlign w:val="center"/>
          </w:tcPr>
          <w:p w14:paraId="2DEBD2C2" w14:textId="00840EF2" w:rsidR="00163150" w:rsidRPr="00154F1D" w:rsidRDefault="00163150" w:rsidP="00FF53C0">
            <w:pPr>
              <w:spacing w:before="20" w:after="20"/>
              <w:rPr>
                <w:sz w:val="20"/>
                <w:szCs w:val="20"/>
              </w:rPr>
            </w:pPr>
            <w:r w:rsidRPr="00154F1D">
              <w:rPr>
                <w:sz w:val="20"/>
                <w:szCs w:val="20"/>
              </w:rPr>
              <w:t>2015</w:t>
            </w:r>
            <w:r w:rsidR="00FF53C0" w:rsidRPr="00154F1D">
              <w:rPr>
                <w:sz w:val="20"/>
                <w:szCs w:val="20"/>
              </w:rPr>
              <w:t>–</w:t>
            </w:r>
            <w:r w:rsidRPr="00154F1D">
              <w:rPr>
                <w:sz w:val="20"/>
                <w:szCs w:val="20"/>
              </w:rPr>
              <w:t>16</w:t>
            </w:r>
          </w:p>
        </w:tc>
        <w:tc>
          <w:tcPr>
            <w:tcW w:w="1317" w:type="pct"/>
            <w:vAlign w:val="center"/>
          </w:tcPr>
          <w:p w14:paraId="4B013019" w14:textId="77777777" w:rsidR="00163150" w:rsidRPr="00154F1D" w:rsidRDefault="00163150" w:rsidP="00FF53C0">
            <w:pPr>
              <w:spacing w:before="20" w:after="20"/>
              <w:jc w:val="center"/>
              <w:rPr>
                <w:sz w:val="20"/>
                <w:szCs w:val="20"/>
              </w:rPr>
            </w:pPr>
            <w:r w:rsidRPr="00154F1D">
              <w:rPr>
                <w:sz w:val="20"/>
                <w:szCs w:val="20"/>
              </w:rPr>
              <w:t>12</w:t>
            </w:r>
          </w:p>
        </w:tc>
        <w:tc>
          <w:tcPr>
            <w:tcW w:w="1661" w:type="pct"/>
            <w:vAlign w:val="center"/>
          </w:tcPr>
          <w:p w14:paraId="079EFDD6" w14:textId="77777777" w:rsidR="00163150" w:rsidRPr="00154F1D" w:rsidRDefault="00163150" w:rsidP="00FF53C0">
            <w:pPr>
              <w:spacing w:before="20" w:after="20"/>
              <w:jc w:val="center"/>
              <w:rPr>
                <w:sz w:val="20"/>
                <w:szCs w:val="20"/>
              </w:rPr>
            </w:pPr>
            <w:r w:rsidRPr="00154F1D">
              <w:rPr>
                <w:sz w:val="20"/>
                <w:szCs w:val="20"/>
              </w:rPr>
              <w:t>Nil</w:t>
            </w:r>
          </w:p>
        </w:tc>
        <w:tc>
          <w:tcPr>
            <w:tcW w:w="1448" w:type="pct"/>
            <w:vAlign w:val="center"/>
          </w:tcPr>
          <w:p w14:paraId="797CAA8B" w14:textId="77777777" w:rsidR="00163150" w:rsidRPr="00154F1D" w:rsidRDefault="00163150" w:rsidP="00FF53C0">
            <w:pPr>
              <w:spacing w:before="20" w:after="20"/>
              <w:jc w:val="center"/>
              <w:rPr>
                <w:sz w:val="20"/>
                <w:szCs w:val="20"/>
              </w:rPr>
            </w:pPr>
            <w:r w:rsidRPr="00154F1D">
              <w:rPr>
                <w:sz w:val="20"/>
                <w:szCs w:val="20"/>
              </w:rPr>
              <w:t>2</w:t>
            </w:r>
          </w:p>
        </w:tc>
      </w:tr>
      <w:tr w:rsidR="007F6177" w:rsidRPr="00154F1D" w14:paraId="73A646BF" w14:textId="77777777" w:rsidTr="00EC2896">
        <w:tc>
          <w:tcPr>
            <w:tcW w:w="574" w:type="pct"/>
            <w:vAlign w:val="center"/>
          </w:tcPr>
          <w:p w14:paraId="22FE80D9" w14:textId="348A4F9B" w:rsidR="007F6177" w:rsidRPr="00154F1D" w:rsidRDefault="007F6177" w:rsidP="00FF53C0">
            <w:pPr>
              <w:spacing w:before="20" w:after="20"/>
              <w:rPr>
                <w:sz w:val="20"/>
                <w:szCs w:val="20"/>
              </w:rPr>
            </w:pPr>
            <w:r w:rsidRPr="00154F1D">
              <w:rPr>
                <w:sz w:val="20"/>
                <w:szCs w:val="20"/>
              </w:rPr>
              <w:t>2016</w:t>
            </w:r>
            <w:r w:rsidR="00FF53C0" w:rsidRPr="00154F1D">
              <w:rPr>
                <w:sz w:val="20"/>
                <w:szCs w:val="20"/>
              </w:rPr>
              <w:t>–</w:t>
            </w:r>
            <w:r w:rsidRPr="00154F1D">
              <w:rPr>
                <w:sz w:val="20"/>
                <w:szCs w:val="20"/>
              </w:rPr>
              <w:t>17</w:t>
            </w:r>
          </w:p>
        </w:tc>
        <w:tc>
          <w:tcPr>
            <w:tcW w:w="1317" w:type="pct"/>
            <w:vAlign w:val="center"/>
          </w:tcPr>
          <w:p w14:paraId="18A1D382" w14:textId="6C23591F" w:rsidR="007F6177" w:rsidRPr="00154F1D" w:rsidRDefault="007F6177" w:rsidP="00FF53C0">
            <w:pPr>
              <w:spacing w:before="20" w:after="20"/>
              <w:jc w:val="center"/>
              <w:rPr>
                <w:sz w:val="20"/>
                <w:szCs w:val="20"/>
              </w:rPr>
            </w:pPr>
            <w:r w:rsidRPr="00154F1D">
              <w:rPr>
                <w:sz w:val="20"/>
                <w:szCs w:val="20"/>
              </w:rPr>
              <w:t>9</w:t>
            </w:r>
          </w:p>
        </w:tc>
        <w:tc>
          <w:tcPr>
            <w:tcW w:w="1661" w:type="pct"/>
            <w:vAlign w:val="center"/>
          </w:tcPr>
          <w:p w14:paraId="133BF16E" w14:textId="231EF9CB" w:rsidR="007F6177" w:rsidRPr="00154F1D" w:rsidRDefault="007F6177" w:rsidP="00FF53C0">
            <w:pPr>
              <w:spacing w:before="20" w:after="20"/>
              <w:jc w:val="center"/>
              <w:rPr>
                <w:sz w:val="20"/>
                <w:szCs w:val="20"/>
              </w:rPr>
            </w:pPr>
            <w:r w:rsidRPr="00154F1D">
              <w:rPr>
                <w:sz w:val="20"/>
                <w:szCs w:val="20"/>
              </w:rPr>
              <w:t>Nil</w:t>
            </w:r>
          </w:p>
        </w:tc>
        <w:tc>
          <w:tcPr>
            <w:tcW w:w="1448" w:type="pct"/>
            <w:vAlign w:val="center"/>
          </w:tcPr>
          <w:p w14:paraId="7DA9BC35" w14:textId="76619A37" w:rsidR="007F6177" w:rsidRPr="00154F1D" w:rsidRDefault="007F6177" w:rsidP="00FF53C0">
            <w:pPr>
              <w:spacing w:before="20" w:after="20"/>
              <w:jc w:val="center"/>
              <w:rPr>
                <w:sz w:val="20"/>
                <w:szCs w:val="20"/>
              </w:rPr>
            </w:pPr>
            <w:r w:rsidRPr="00154F1D">
              <w:rPr>
                <w:sz w:val="20"/>
                <w:szCs w:val="20"/>
              </w:rPr>
              <w:t>2</w:t>
            </w:r>
          </w:p>
        </w:tc>
      </w:tr>
      <w:tr w:rsidR="001A441D" w:rsidRPr="00154F1D" w14:paraId="6E8F1796" w14:textId="77777777" w:rsidTr="00EC2896">
        <w:tc>
          <w:tcPr>
            <w:tcW w:w="574" w:type="pct"/>
            <w:vAlign w:val="center"/>
          </w:tcPr>
          <w:p w14:paraId="59105853" w14:textId="3BCCC78F" w:rsidR="001A441D" w:rsidRPr="00154F1D" w:rsidRDefault="001A441D" w:rsidP="00FF53C0">
            <w:pPr>
              <w:spacing w:before="20" w:after="20"/>
              <w:rPr>
                <w:sz w:val="20"/>
                <w:szCs w:val="20"/>
              </w:rPr>
            </w:pPr>
            <w:r w:rsidRPr="00154F1D">
              <w:rPr>
                <w:sz w:val="20"/>
                <w:szCs w:val="20"/>
              </w:rPr>
              <w:t>2017</w:t>
            </w:r>
            <w:r w:rsidR="00156784" w:rsidRPr="00154F1D">
              <w:rPr>
                <w:sz w:val="20"/>
                <w:szCs w:val="20"/>
              </w:rPr>
              <w:t>–</w:t>
            </w:r>
            <w:r w:rsidRPr="00154F1D">
              <w:rPr>
                <w:sz w:val="20"/>
                <w:szCs w:val="20"/>
              </w:rPr>
              <w:t>18</w:t>
            </w:r>
          </w:p>
        </w:tc>
        <w:tc>
          <w:tcPr>
            <w:tcW w:w="1317" w:type="pct"/>
            <w:vAlign w:val="center"/>
          </w:tcPr>
          <w:p w14:paraId="631942BD" w14:textId="085A3A62" w:rsidR="001A441D" w:rsidRPr="00154F1D" w:rsidRDefault="001A441D" w:rsidP="00FF53C0">
            <w:pPr>
              <w:spacing w:before="20" w:after="20"/>
              <w:jc w:val="center"/>
              <w:rPr>
                <w:sz w:val="20"/>
                <w:szCs w:val="20"/>
              </w:rPr>
            </w:pPr>
            <w:r w:rsidRPr="00154F1D">
              <w:rPr>
                <w:sz w:val="20"/>
                <w:szCs w:val="20"/>
              </w:rPr>
              <w:t>8</w:t>
            </w:r>
          </w:p>
        </w:tc>
        <w:tc>
          <w:tcPr>
            <w:tcW w:w="1661" w:type="pct"/>
            <w:vAlign w:val="center"/>
          </w:tcPr>
          <w:p w14:paraId="5B223DA7" w14:textId="4B658896" w:rsidR="001A441D" w:rsidRPr="00154F1D" w:rsidRDefault="001A441D" w:rsidP="00FF53C0">
            <w:pPr>
              <w:spacing w:before="20" w:after="20"/>
              <w:jc w:val="center"/>
              <w:rPr>
                <w:sz w:val="20"/>
                <w:szCs w:val="20"/>
              </w:rPr>
            </w:pPr>
            <w:r w:rsidRPr="00154F1D">
              <w:rPr>
                <w:sz w:val="20"/>
                <w:szCs w:val="20"/>
              </w:rPr>
              <w:t>unknown</w:t>
            </w:r>
          </w:p>
        </w:tc>
        <w:tc>
          <w:tcPr>
            <w:tcW w:w="1448" w:type="pct"/>
            <w:vAlign w:val="center"/>
          </w:tcPr>
          <w:p w14:paraId="4BA40636" w14:textId="49D7D8BC" w:rsidR="001A441D" w:rsidRPr="00154F1D" w:rsidRDefault="001A441D" w:rsidP="00FF53C0">
            <w:pPr>
              <w:spacing w:before="20" w:after="20"/>
              <w:jc w:val="center"/>
              <w:rPr>
                <w:sz w:val="20"/>
                <w:szCs w:val="20"/>
              </w:rPr>
            </w:pPr>
            <w:r w:rsidRPr="00154F1D">
              <w:rPr>
                <w:sz w:val="20"/>
                <w:szCs w:val="20"/>
              </w:rPr>
              <w:t>0</w:t>
            </w:r>
          </w:p>
        </w:tc>
      </w:tr>
    </w:tbl>
    <w:p w14:paraId="45B4433A" w14:textId="7CF755D4" w:rsidR="00163150" w:rsidRPr="00154F1D" w:rsidRDefault="00163150" w:rsidP="00156784">
      <w:pPr>
        <w:pStyle w:val="NumberlessNormalText"/>
        <w:spacing w:after="40"/>
        <w:rPr>
          <w:b/>
        </w:rPr>
      </w:pPr>
      <w:r w:rsidRPr="00154F1D">
        <w:rPr>
          <w:b/>
        </w:rPr>
        <w:t xml:space="preserve">Table </w:t>
      </w:r>
      <w:r w:rsidR="00D809CA" w:rsidRPr="00154F1D">
        <w:rPr>
          <w:b/>
        </w:rPr>
        <w:t>8</w:t>
      </w:r>
      <w:r w:rsidRPr="00154F1D">
        <w:rPr>
          <w:b/>
        </w:rPr>
        <w:t>.</w:t>
      </w:r>
      <w:r w:rsidR="00D03074" w:rsidRPr="00154F1D">
        <w:rPr>
          <w:b/>
        </w:rPr>
        <w:t>5</w:t>
      </w:r>
      <w:r w:rsidR="00F326DD" w:rsidRPr="00154F1D">
        <w:rPr>
          <w:b/>
        </w:rPr>
        <w:t>:</w:t>
      </w:r>
      <w:r w:rsidRPr="00154F1D">
        <w:rPr>
          <w:b/>
        </w:rPr>
        <w:t xml:space="preserve"> Forensic statistics, Supervision Order Hearings, Mental Health Tribunal</w:t>
      </w:r>
    </w:p>
    <w:tbl>
      <w:tblPr>
        <w:tblStyle w:val="TableGrid"/>
        <w:tblW w:w="5000" w:type="pct"/>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991"/>
        <w:gridCol w:w="2435"/>
        <w:gridCol w:w="2437"/>
        <w:gridCol w:w="2437"/>
      </w:tblGrid>
      <w:tr w:rsidR="00163150" w:rsidRPr="00154F1D" w14:paraId="13D62FA7" w14:textId="77777777" w:rsidTr="00AF195E">
        <w:tc>
          <w:tcPr>
            <w:tcW w:w="597" w:type="pct"/>
            <w:vAlign w:val="center"/>
          </w:tcPr>
          <w:p w14:paraId="2F83E0A3" w14:textId="77777777" w:rsidR="00163150" w:rsidRPr="00154F1D" w:rsidRDefault="00163150" w:rsidP="00F326DD">
            <w:pPr>
              <w:spacing w:before="20" w:after="20"/>
              <w:rPr>
                <w:b/>
                <w:sz w:val="20"/>
                <w:szCs w:val="20"/>
              </w:rPr>
            </w:pPr>
            <w:r w:rsidRPr="00154F1D">
              <w:rPr>
                <w:b/>
                <w:sz w:val="20"/>
                <w:szCs w:val="20"/>
              </w:rPr>
              <w:t>Year</w:t>
            </w:r>
          </w:p>
        </w:tc>
        <w:tc>
          <w:tcPr>
            <w:tcW w:w="1467" w:type="pct"/>
            <w:vAlign w:val="center"/>
          </w:tcPr>
          <w:p w14:paraId="714D9B83" w14:textId="77777777" w:rsidR="00163150" w:rsidRPr="00154F1D" w:rsidRDefault="00163150" w:rsidP="00F326DD">
            <w:pPr>
              <w:spacing w:before="20" w:after="20"/>
              <w:jc w:val="center"/>
              <w:rPr>
                <w:b/>
                <w:sz w:val="20"/>
                <w:szCs w:val="20"/>
              </w:rPr>
            </w:pPr>
            <w:r w:rsidRPr="00154F1D">
              <w:rPr>
                <w:b/>
                <w:sz w:val="20"/>
                <w:szCs w:val="20"/>
              </w:rPr>
              <w:t>Supervision order hearings</w:t>
            </w:r>
          </w:p>
        </w:tc>
        <w:tc>
          <w:tcPr>
            <w:tcW w:w="1468" w:type="pct"/>
            <w:vAlign w:val="center"/>
          </w:tcPr>
          <w:p w14:paraId="4953E9AC" w14:textId="77777777" w:rsidR="00163150" w:rsidRPr="00154F1D" w:rsidRDefault="00163150" w:rsidP="00F326DD">
            <w:pPr>
              <w:spacing w:before="20" w:after="20"/>
              <w:jc w:val="center"/>
              <w:rPr>
                <w:b/>
                <w:sz w:val="20"/>
                <w:szCs w:val="20"/>
              </w:rPr>
            </w:pPr>
            <w:r w:rsidRPr="00154F1D">
              <w:rPr>
                <w:b/>
                <w:sz w:val="20"/>
                <w:szCs w:val="20"/>
              </w:rPr>
              <w:t>Supervision order hearings adjourned</w:t>
            </w:r>
          </w:p>
        </w:tc>
        <w:tc>
          <w:tcPr>
            <w:tcW w:w="1468" w:type="pct"/>
            <w:vAlign w:val="center"/>
          </w:tcPr>
          <w:p w14:paraId="333859B4" w14:textId="77777777" w:rsidR="00163150" w:rsidRPr="00154F1D" w:rsidRDefault="00163150" w:rsidP="00F326DD">
            <w:pPr>
              <w:spacing w:before="20" w:after="20"/>
              <w:jc w:val="center"/>
              <w:rPr>
                <w:b/>
                <w:sz w:val="20"/>
                <w:szCs w:val="20"/>
              </w:rPr>
            </w:pPr>
            <w:r w:rsidRPr="00154F1D">
              <w:rPr>
                <w:b/>
                <w:sz w:val="20"/>
                <w:szCs w:val="20"/>
              </w:rPr>
              <w:t>Supervision order certificates issued</w:t>
            </w:r>
          </w:p>
        </w:tc>
      </w:tr>
      <w:tr w:rsidR="00163150" w:rsidRPr="00154F1D" w14:paraId="52D0675D" w14:textId="77777777" w:rsidTr="00AF195E">
        <w:tc>
          <w:tcPr>
            <w:tcW w:w="597" w:type="pct"/>
            <w:vAlign w:val="center"/>
          </w:tcPr>
          <w:p w14:paraId="1AEEC44E" w14:textId="2976DD68" w:rsidR="00163150" w:rsidRPr="00154F1D" w:rsidRDefault="00163150" w:rsidP="00F326DD">
            <w:pPr>
              <w:spacing w:before="20" w:after="20"/>
              <w:rPr>
                <w:sz w:val="20"/>
                <w:szCs w:val="20"/>
              </w:rPr>
            </w:pPr>
            <w:r w:rsidRPr="00154F1D">
              <w:rPr>
                <w:sz w:val="20"/>
                <w:szCs w:val="20"/>
              </w:rPr>
              <w:t>2012</w:t>
            </w:r>
            <w:r w:rsidR="00F326DD" w:rsidRPr="00154F1D">
              <w:rPr>
                <w:sz w:val="20"/>
                <w:szCs w:val="20"/>
              </w:rPr>
              <w:t>–</w:t>
            </w:r>
            <w:r w:rsidRPr="00154F1D">
              <w:rPr>
                <w:sz w:val="20"/>
                <w:szCs w:val="20"/>
              </w:rPr>
              <w:t>13</w:t>
            </w:r>
          </w:p>
        </w:tc>
        <w:tc>
          <w:tcPr>
            <w:tcW w:w="1467" w:type="pct"/>
            <w:vAlign w:val="center"/>
          </w:tcPr>
          <w:p w14:paraId="54EDA55F" w14:textId="77777777" w:rsidR="00163150" w:rsidRPr="00154F1D" w:rsidRDefault="00163150" w:rsidP="00F326DD">
            <w:pPr>
              <w:spacing w:before="20" w:after="20"/>
              <w:jc w:val="center"/>
              <w:rPr>
                <w:sz w:val="20"/>
                <w:szCs w:val="20"/>
              </w:rPr>
            </w:pPr>
            <w:r w:rsidRPr="00154F1D">
              <w:rPr>
                <w:sz w:val="20"/>
                <w:szCs w:val="20"/>
              </w:rPr>
              <w:t>26</w:t>
            </w:r>
          </w:p>
        </w:tc>
        <w:tc>
          <w:tcPr>
            <w:tcW w:w="1468" w:type="pct"/>
            <w:vAlign w:val="center"/>
          </w:tcPr>
          <w:p w14:paraId="3BEE20D4" w14:textId="77777777" w:rsidR="00163150" w:rsidRPr="00154F1D" w:rsidRDefault="00163150" w:rsidP="00F326DD">
            <w:pPr>
              <w:spacing w:before="20" w:after="20"/>
              <w:jc w:val="center"/>
              <w:rPr>
                <w:sz w:val="20"/>
                <w:szCs w:val="20"/>
              </w:rPr>
            </w:pPr>
            <w:r w:rsidRPr="00154F1D">
              <w:rPr>
                <w:sz w:val="20"/>
                <w:szCs w:val="20"/>
              </w:rPr>
              <w:t>4</w:t>
            </w:r>
          </w:p>
        </w:tc>
        <w:tc>
          <w:tcPr>
            <w:tcW w:w="1468" w:type="pct"/>
            <w:vAlign w:val="center"/>
          </w:tcPr>
          <w:p w14:paraId="396E2D66" w14:textId="77777777" w:rsidR="00163150" w:rsidRPr="00154F1D" w:rsidRDefault="00163150" w:rsidP="00F326DD">
            <w:pPr>
              <w:spacing w:before="20" w:after="20"/>
              <w:jc w:val="center"/>
              <w:rPr>
                <w:sz w:val="20"/>
                <w:szCs w:val="20"/>
              </w:rPr>
            </w:pPr>
            <w:r w:rsidRPr="00154F1D">
              <w:rPr>
                <w:sz w:val="20"/>
                <w:szCs w:val="20"/>
              </w:rPr>
              <w:t>9</w:t>
            </w:r>
          </w:p>
        </w:tc>
      </w:tr>
      <w:tr w:rsidR="00163150" w:rsidRPr="00154F1D" w14:paraId="008D37A6" w14:textId="77777777" w:rsidTr="00AF195E">
        <w:tc>
          <w:tcPr>
            <w:tcW w:w="597" w:type="pct"/>
            <w:vAlign w:val="center"/>
          </w:tcPr>
          <w:p w14:paraId="201A354D" w14:textId="7D969797" w:rsidR="00163150" w:rsidRPr="00154F1D" w:rsidRDefault="00163150" w:rsidP="00F326DD">
            <w:pPr>
              <w:spacing w:before="20" w:after="20"/>
              <w:rPr>
                <w:sz w:val="20"/>
                <w:szCs w:val="20"/>
              </w:rPr>
            </w:pPr>
            <w:r w:rsidRPr="00154F1D">
              <w:rPr>
                <w:sz w:val="20"/>
                <w:szCs w:val="20"/>
              </w:rPr>
              <w:t>2013</w:t>
            </w:r>
            <w:r w:rsidR="00F326DD" w:rsidRPr="00154F1D">
              <w:rPr>
                <w:sz w:val="20"/>
                <w:szCs w:val="20"/>
              </w:rPr>
              <w:t>–</w:t>
            </w:r>
            <w:r w:rsidRPr="00154F1D">
              <w:rPr>
                <w:sz w:val="20"/>
                <w:szCs w:val="20"/>
              </w:rPr>
              <w:t>14</w:t>
            </w:r>
          </w:p>
        </w:tc>
        <w:tc>
          <w:tcPr>
            <w:tcW w:w="1467" w:type="pct"/>
            <w:vAlign w:val="center"/>
          </w:tcPr>
          <w:p w14:paraId="287B8EA2" w14:textId="77777777" w:rsidR="00163150" w:rsidRPr="00154F1D" w:rsidRDefault="00163150" w:rsidP="00F326DD">
            <w:pPr>
              <w:spacing w:before="20" w:after="20"/>
              <w:jc w:val="center"/>
              <w:rPr>
                <w:sz w:val="20"/>
                <w:szCs w:val="20"/>
              </w:rPr>
            </w:pPr>
            <w:r w:rsidRPr="00154F1D">
              <w:rPr>
                <w:sz w:val="20"/>
                <w:szCs w:val="20"/>
              </w:rPr>
              <w:t>25</w:t>
            </w:r>
          </w:p>
        </w:tc>
        <w:tc>
          <w:tcPr>
            <w:tcW w:w="1468" w:type="pct"/>
            <w:vAlign w:val="center"/>
          </w:tcPr>
          <w:p w14:paraId="271BB784" w14:textId="77777777" w:rsidR="00163150" w:rsidRPr="00154F1D" w:rsidRDefault="00163150" w:rsidP="00F326DD">
            <w:pPr>
              <w:spacing w:before="20" w:after="20"/>
              <w:jc w:val="center"/>
              <w:rPr>
                <w:sz w:val="20"/>
                <w:szCs w:val="20"/>
              </w:rPr>
            </w:pPr>
            <w:r w:rsidRPr="00154F1D">
              <w:rPr>
                <w:sz w:val="20"/>
                <w:szCs w:val="20"/>
              </w:rPr>
              <w:t>Nil</w:t>
            </w:r>
          </w:p>
        </w:tc>
        <w:tc>
          <w:tcPr>
            <w:tcW w:w="1468" w:type="pct"/>
            <w:vAlign w:val="center"/>
          </w:tcPr>
          <w:p w14:paraId="6D5C148C" w14:textId="77777777" w:rsidR="00163150" w:rsidRPr="00154F1D" w:rsidRDefault="00163150" w:rsidP="00F326DD">
            <w:pPr>
              <w:spacing w:before="20" w:after="20"/>
              <w:jc w:val="center"/>
              <w:rPr>
                <w:sz w:val="20"/>
                <w:szCs w:val="20"/>
              </w:rPr>
            </w:pPr>
            <w:r w:rsidRPr="00154F1D">
              <w:rPr>
                <w:sz w:val="20"/>
                <w:szCs w:val="20"/>
              </w:rPr>
              <w:t>9</w:t>
            </w:r>
          </w:p>
        </w:tc>
      </w:tr>
      <w:tr w:rsidR="00163150" w:rsidRPr="00154F1D" w14:paraId="6FD88059" w14:textId="77777777" w:rsidTr="00AF195E">
        <w:tc>
          <w:tcPr>
            <w:tcW w:w="597" w:type="pct"/>
            <w:vAlign w:val="center"/>
          </w:tcPr>
          <w:p w14:paraId="449C874A" w14:textId="5663C028" w:rsidR="00163150" w:rsidRPr="00154F1D" w:rsidRDefault="00163150" w:rsidP="00F326DD">
            <w:pPr>
              <w:spacing w:before="20" w:after="20"/>
              <w:rPr>
                <w:sz w:val="20"/>
                <w:szCs w:val="20"/>
              </w:rPr>
            </w:pPr>
            <w:r w:rsidRPr="00154F1D">
              <w:rPr>
                <w:sz w:val="20"/>
                <w:szCs w:val="20"/>
              </w:rPr>
              <w:t>2014</w:t>
            </w:r>
            <w:r w:rsidR="00F326DD" w:rsidRPr="00154F1D">
              <w:rPr>
                <w:sz w:val="20"/>
                <w:szCs w:val="20"/>
              </w:rPr>
              <w:t>–</w:t>
            </w:r>
            <w:r w:rsidRPr="00154F1D">
              <w:rPr>
                <w:sz w:val="20"/>
                <w:szCs w:val="20"/>
              </w:rPr>
              <w:t>15</w:t>
            </w:r>
          </w:p>
        </w:tc>
        <w:tc>
          <w:tcPr>
            <w:tcW w:w="1467" w:type="pct"/>
            <w:vAlign w:val="center"/>
          </w:tcPr>
          <w:p w14:paraId="43FEED43" w14:textId="77777777" w:rsidR="00163150" w:rsidRPr="00154F1D" w:rsidRDefault="00163150" w:rsidP="00F326DD">
            <w:pPr>
              <w:spacing w:before="20" w:after="20"/>
              <w:jc w:val="center"/>
              <w:rPr>
                <w:sz w:val="20"/>
                <w:szCs w:val="20"/>
              </w:rPr>
            </w:pPr>
            <w:r w:rsidRPr="00154F1D">
              <w:rPr>
                <w:sz w:val="20"/>
                <w:szCs w:val="20"/>
              </w:rPr>
              <w:t>21</w:t>
            </w:r>
          </w:p>
        </w:tc>
        <w:tc>
          <w:tcPr>
            <w:tcW w:w="1468" w:type="pct"/>
            <w:vAlign w:val="center"/>
          </w:tcPr>
          <w:p w14:paraId="25E0FE4E" w14:textId="77777777" w:rsidR="00163150" w:rsidRPr="00154F1D" w:rsidRDefault="00163150" w:rsidP="00F326DD">
            <w:pPr>
              <w:spacing w:before="20" w:after="20"/>
              <w:jc w:val="center"/>
              <w:rPr>
                <w:sz w:val="20"/>
                <w:szCs w:val="20"/>
              </w:rPr>
            </w:pPr>
            <w:r w:rsidRPr="00154F1D">
              <w:rPr>
                <w:sz w:val="20"/>
                <w:szCs w:val="20"/>
              </w:rPr>
              <w:t>3</w:t>
            </w:r>
          </w:p>
        </w:tc>
        <w:tc>
          <w:tcPr>
            <w:tcW w:w="1468" w:type="pct"/>
            <w:vAlign w:val="center"/>
          </w:tcPr>
          <w:p w14:paraId="4388BD71" w14:textId="77777777" w:rsidR="00163150" w:rsidRPr="00154F1D" w:rsidRDefault="00163150" w:rsidP="00F326DD">
            <w:pPr>
              <w:spacing w:before="20" w:after="20"/>
              <w:jc w:val="center"/>
              <w:rPr>
                <w:sz w:val="20"/>
                <w:szCs w:val="20"/>
              </w:rPr>
            </w:pPr>
            <w:r w:rsidRPr="00154F1D">
              <w:rPr>
                <w:sz w:val="20"/>
                <w:szCs w:val="20"/>
              </w:rPr>
              <w:t>10</w:t>
            </w:r>
          </w:p>
        </w:tc>
      </w:tr>
      <w:tr w:rsidR="00163150" w:rsidRPr="00154F1D" w14:paraId="41BDAD3B" w14:textId="77777777" w:rsidTr="00AF195E">
        <w:tc>
          <w:tcPr>
            <w:tcW w:w="597" w:type="pct"/>
            <w:vAlign w:val="center"/>
          </w:tcPr>
          <w:p w14:paraId="5FC0D08A" w14:textId="7ED8BC51" w:rsidR="00163150" w:rsidRPr="00154F1D" w:rsidRDefault="00163150" w:rsidP="00F326DD">
            <w:pPr>
              <w:spacing w:before="20" w:after="20"/>
              <w:rPr>
                <w:sz w:val="20"/>
                <w:szCs w:val="20"/>
              </w:rPr>
            </w:pPr>
            <w:r w:rsidRPr="00154F1D">
              <w:rPr>
                <w:sz w:val="20"/>
                <w:szCs w:val="20"/>
              </w:rPr>
              <w:t>2015</w:t>
            </w:r>
            <w:r w:rsidR="00F326DD" w:rsidRPr="00154F1D">
              <w:rPr>
                <w:sz w:val="20"/>
                <w:szCs w:val="20"/>
              </w:rPr>
              <w:t>–</w:t>
            </w:r>
            <w:r w:rsidRPr="00154F1D">
              <w:rPr>
                <w:sz w:val="20"/>
                <w:szCs w:val="20"/>
              </w:rPr>
              <w:t>16</w:t>
            </w:r>
          </w:p>
        </w:tc>
        <w:tc>
          <w:tcPr>
            <w:tcW w:w="1467" w:type="pct"/>
            <w:vAlign w:val="center"/>
          </w:tcPr>
          <w:p w14:paraId="030D21DE" w14:textId="77777777" w:rsidR="00163150" w:rsidRPr="00154F1D" w:rsidRDefault="00163150" w:rsidP="00F326DD">
            <w:pPr>
              <w:spacing w:before="20" w:after="20"/>
              <w:jc w:val="center"/>
              <w:rPr>
                <w:sz w:val="20"/>
                <w:szCs w:val="20"/>
              </w:rPr>
            </w:pPr>
            <w:r w:rsidRPr="00154F1D">
              <w:rPr>
                <w:sz w:val="20"/>
                <w:szCs w:val="20"/>
              </w:rPr>
              <w:t>28</w:t>
            </w:r>
          </w:p>
        </w:tc>
        <w:tc>
          <w:tcPr>
            <w:tcW w:w="1468" w:type="pct"/>
            <w:vAlign w:val="center"/>
          </w:tcPr>
          <w:p w14:paraId="29D8EC0F" w14:textId="77777777" w:rsidR="00163150" w:rsidRPr="00154F1D" w:rsidRDefault="00163150" w:rsidP="00F326DD">
            <w:pPr>
              <w:spacing w:before="20" w:after="20"/>
              <w:jc w:val="center"/>
              <w:rPr>
                <w:sz w:val="20"/>
                <w:szCs w:val="20"/>
              </w:rPr>
            </w:pPr>
            <w:r w:rsidRPr="00154F1D">
              <w:rPr>
                <w:sz w:val="20"/>
                <w:szCs w:val="20"/>
              </w:rPr>
              <w:t>4</w:t>
            </w:r>
          </w:p>
        </w:tc>
        <w:tc>
          <w:tcPr>
            <w:tcW w:w="1468" w:type="pct"/>
            <w:vAlign w:val="center"/>
          </w:tcPr>
          <w:p w14:paraId="01E4CDF4" w14:textId="77777777" w:rsidR="00163150" w:rsidRPr="00154F1D" w:rsidRDefault="00163150" w:rsidP="00F326DD">
            <w:pPr>
              <w:spacing w:before="20" w:after="20"/>
              <w:jc w:val="center"/>
              <w:rPr>
                <w:sz w:val="20"/>
                <w:szCs w:val="20"/>
              </w:rPr>
            </w:pPr>
            <w:r w:rsidRPr="00154F1D">
              <w:rPr>
                <w:sz w:val="20"/>
                <w:szCs w:val="20"/>
              </w:rPr>
              <w:t>11</w:t>
            </w:r>
          </w:p>
        </w:tc>
      </w:tr>
      <w:tr w:rsidR="007F6177" w:rsidRPr="00154F1D" w14:paraId="76735CA5" w14:textId="77777777" w:rsidTr="00AF195E">
        <w:tc>
          <w:tcPr>
            <w:tcW w:w="597" w:type="pct"/>
            <w:vAlign w:val="center"/>
          </w:tcPr>
          <w:p w14:paraId="7CDD526F" w14:textId="5E669BD6" w:rsidR="007F6177" w:rsidRPr="00154F1D" w:rsidRDefault="007F6177" w:rsidP="00F326DD">
            <w:pPr>
              <w:spacing w:before="20" w:after="20"/>
              <w:rPr>
                <w:sz w:val="20"/>
                <w:szCs w:val="20"/>
              </w:rPr>
            </w:pPr>
            <w:r w:rsidRPr="00154F1D">
              <w:rPr>
                <w:sz w:val="20"/>
                <w:szCs w:val="20"/>
              </w:rPr>
              <w:t>2016</w:t>
            </w:r>
            <w:r w:rsidR="00F326DD" w:rsidRPr="00154F1D">
              <w:rPr>
                <w:sz w:val="20"/>
                <w:szCs w:val="20"/>
              </w:rPr>
              <w:t>–</w:t>
            </w:r>
            <w:r w:rsidRPr="00154F1D">
              <w:rPr>
                <w:sz w:val="20"/>
                <w:szCs w:val="20"/>
              </w:rPr>
              <w:t>17</w:t>
            </w:r>
          </w:p>
        </w:tc>
        <w:tc>
          <w:tcPr>
            <w:tcW w:w="1467" w:type="pct"/>
            <w:vAlign w:val="center"/>
          </w:tcPr>
          <w:p w14:paraId="51B060D6" w14:textId="5D0277E1" w:rsidR="007F6177" w:rsidRPr="00154F1D" w:rsidRDefault="007F6177" w:rsidP="00F326DD">
            <w:pPr>
              <w:spacing w:before="20" w:after="20"/>
              <w:jc w:val="center"/>
              <w:outlineLvl w:val="0"/>
              <w:rPr>
                <w:sz w:val="20"/>
                <w:szCs w:val="20"/>
              </w:rPr>
            </w:pPr>
            <w:r w:rsidRPr="00154F1D">
              <w:rPr>
                <w:sz w:val="20"/>
                <w:szCs w:val="20"/>
              </w:rPr>
              <w:t>31</w:t>
            </w:r>
          </w:p>
        </w:tc>
        <w:tc>
          <w:tcPr>
            <w:tcW w:w="1468" w:type="pct"/>
            <w:vAlign w:val="center"/>
          </w:tcPr>
          <w:p w14:paraId="767FDCF6" w14:textId="42BDDC63" w:rsidR="007F6177" w:rsidRPr="00154F1D" w:rsidRDefault="007F6177" w:rsidP="00F326DD">
            <w:pPr>
              <w:spacing w:before="20" w:after="20"/>
              <w:jc w:val="center"/>
              <w:rPr>
                <w:sz w:val="20"/>
                <w:szCs w:val="20"/>
              </w:rPr>
            </w:pPr>
            <w:r w:rsidRPr="00154F1D">
              <w:rPr>
                <w:sz w:val="20"/>
                <w:szCs w:val="20"/>
              </w:rPr>
              <w:t>2</w:t>
            </w:r>
          </w:p>
        </w:tc>
        <w:tc>
          <w:tcPr>
            <w:tcW w:w="1468" w:type="pct"/>
            <w:vAlign w:val="center"/>
          </w:tcPr>
          <w:p w14:paraId="224CC6CD" w14:textId="08BCA027" w:rsidR="007F6177" w:rsidRPr="00154F1D" w:rsidRDefault="007F6177" w:rsidP="00F326DD">
            <w:pPr>
              <w:spacing w:before="20" w:after="20"/>
              <w:jc w:val="center"/>
              <w:rPr>
                <w:sz w:val="20"/>
                <w:szCs w:val="20"/>
              </w:rPr>
            </w:pPr>
            <w:r w:rsidRPr="00154F1D">
              <w:rPr>
                <w:sz w:val="20"/>
                <w:szCs w:val="20"/>
              </w:rPr>
              <w:t>13</w:t>
            </w:r>
          </w:p>
        </w:tc>
      </w:tr>
      <w:tr w:rsidR="001A441D" w:rsidRPr="00154F1D" w14:paraId="15B24738" w14:textId="77777777" w:rsidTr="00AF195E">
        <w:tc>
          <w:tcPr>
            <w:tcW w:w="597" w:type="pct"/>
            <w:vAlign w:val="center"/>
          </w:tcPr>
          <w:p w14:paraId="1374965B" w14:textId="55DD29CF" w:rsidR="001A441D" w:rsidRPr="00154F1D" w:rsidRDefault="001A441D" w:rsidP="00F326DD">
            <w:pPr>
              <w:spacing w:before="20" w:after="20"/>
              <w:rPr>
                <w:sz w:val="20"/>
                <w:szCs w:val="20"/>
              </w:rPr>
            </w:pPr>
            <w:r w:rsidRPr="00154F1D">
              <w:rPr>
                <w:sz w:val="20"/>
                <w:szCs w:val="20"/>
              </w:rPr>
              <w:t>2017</w:t>
            </w:r>
            <w:r w:rsidR="001935BC" w:rsidRPr="00154F1D">
              <w:rPr>
                <w:sz w:val="20"/>
                <w:szCs w:val="20"/>
              </w:rPr>
              <w:t>–</w:t>
            </w:r>
            <w:r w:rsidRPr="00154F1D">
              <w:rPr>
                <w:sz w:val="20"/>
                <w:szCs w:val="20"/>
              </w:rPr>
              <w:t>18</w:t>
            </w:r>
          </w:p>
        </w:tc>
        <w:tc>
          <w:tcPr>
            <w:tcW w:w="1467" w:type="pct"/>
            <w:vAlign w:val="center"/>
          </w:tcPr>
          <w:p w14:paraId="7AB8DF52" w14:textId="7A3302C3" w:rsidR="001A441D" w:rsidRPr="00154F1D" w:rsidRDefault="001A441D" w:rsidP="00F326DD">
            <w:pPr>
              <w:spacing w:before="20" w:after="20"/>
              <w:jc w:val="center"/>
              <w:outlineLvl w:val="0"/>
              <w:rPr>
                <w:sz w:val="20"/>
                <w:szCs w:val="20"/>
              </w:rPr>
            </w:pPr>
            <w:r w:rsidRPr="00154F1D">
              <w:rPr>
                <w:sz w:val="20"/>
                <w:szCs w:val="20"/>
              </w:rPr>
              <w:t>27</w:t>
            </w:r>
          </w:p>
        </w:tc>
        <w:tc>
          <w:tcPr>
            <w:tcW w:w="1468" w:type="pct"/>
            <w:vAlign w:val="center"/>
          </w:tcPr>
          <w:p w14:paraId="215C4AD2" w14:textId="4B69CDD4" w:rsidR="001A441D" w:rsidRPr="00154F1D" w:rsidRDefault="001A441D" w:rsidP="00F326DD">
            <w:pPr>
              <w:spacing w:before="20" w:after="20"/>
              <w:jc w:val="center"/>
              <w:rPr>
                <w:sz w:val="20"/>
                <w:szCs w:val="20"/>
              </w:rPr>
            </w:pPr>
            <w:r w:rsidRPr="00154F1D">
              <w:rPr>
                <w:sz w:val="20"/>
                <w:szCs w:val="20"/>
              </w:rPr>
              <w:t>unknown</w:t>
            </w:r>
          </w:p>
        </w:tc>
        <w:tc>
          <w:tcPr>
            <w:tcW w:w="1468" w:type="pct"/>
            <w:vAlign w:val="center"/>
          </w:tcPr>
          <w:p w14:paraId="6CAF21D8" w14:textId="18054B77" w:rsidR="001A441D" w:rsidRPr="00154F1D" w:rsidRDefault="001A441D" w:rsidP="00F326DD">
            <w:pPr>
              <w:spacing w:before="20" w:after="20"/>
              <w:jc w:val="center"/>
              <w:rPr>
                <w:sz w:val="20"/>
                <w:szCs w:val="20"/>
              </w:rPr>
            </w:pPr>
            <w:r w:rsidRPr="00154F1D">
              <w:rPr>
                <w:sz w:val="20"/>
                <w:szCs w:val="20"/>
              </w:rPr>
              <w:t>10</w:t>
            </w:r>
          </w:p>
        </w:tc>
      </w:tr>
    </w:tbl>
    <w:p w14:paraId="1D71AD2A" w14:textId="3DAAAEA3" w:rsidR="005A26A9" w:rsidRPr="00154F1D" w:rsidRDefault="00163150" w:rsidP="00F326DD">
      <w:pPr>
        <w:pStyle w:val="NormalNumberedTextTLRI"/>
        <w:numPr>
          <w:ilvl w:val="0"/>
          <w:numId w:val="0"/>
        </w:numPr>
        <w:spacing w:before="40"/>
        <w:rPr>
          <w:i/>
          <w:sz w:val="18"/>
          <w:szCs w:val="18"/>
        </w:rPr>
      </w:pPr>
      <w:r w:rsidRPr="00154F1D">
        <w:rPr>
          <w:i/>
          <w:sz w:val="18"/>
          <w:szCs w:val="18"/>
        </w:rPr>
        <w:t>Source: MHT Annual Report</w:t>
      </w:r>
    </w:p>
    <w:p w14:paraId="3DCA7A02" w14:textId="3FEDD75A" w:rsidR="00FB5CB8" w:rsidRPr="00154F1D" w:rsidRDefault="001742EE" w:rsidP="00744FAA">
      <w:pPr>
        <w:pStyle w:val="NormalNumberedTextTLRI"/>
      </w:pPr>
      <w:r w:rsidRPr="00154F1D">
        <w:t xml:space="preserve">As </w:t>
      </w:r>
      <w:r w:rsidR="00FB5CB8" w:rsidRPr="00154F1D">
        <w:t>shown in Table</w:t>
      </w:r>
      <w:r w:rsidR="00D03074" w:rsidRPr="00154F1D">
        <w:t>s</w:t>
      </w:r>
      <w:r w:rsidR="00FB5CB8" w:rsidRPr="00154F1D">
        <w:t xml:space="preserve"> 8.</w:t>
      </w:r>
      <w:r w:rsidR="00D03074" w:rsidRPr="00154F1D">
        <w:t>6 and 8.7</w:t>
      </w:r>
      <w:r w:rsidR="00FB5CB8" w:rsidRPr="00154F1D">
        <w:t xml:space="preserve">, as </w:t>
      </w:r>
      <w:r w:rsidRPr="00154F1D">
        <w:t>at</w:t>
      </w:r>
      <w:r w:rsidR="00F326DD" w:rsidRPr="00154F1D">
        <w:t xml:space="preserve"> </w:t>
      </w:r>
      <w:r w:rsidRPr="00154F1D">
        <w:t xml:space="preserve">June 2018, there </w:t>
      </w:r>
      <w:r w:rsidR="00050909" w:rsidRPr="00154F1D">
        <w:t xml:space="preserve">were </w:t>
      </w:r>
      <w:r w:rsidR="004151E6" w:rsidRPr="00154F1D">
        <w:t>nine</w:t>
      </w:r>
      <w:r w:rsidR="00FB5CB8" w:rsidRPr="00154F1D">
        <w:t xml:space="preserve"> </w:t>
      </w:r>
      <w:r w:rsidR="00EB02C1" w:rsidRPr="00154F1D">
        <w:t>people</w:t>
      </w:r>
      <w:r w:rsidRPr="00154F1D">
        <w:t xml:space="preserve"> under the jurisdiction of the MHT who </w:t>
      </w:r>
      <w:r w:rsidR="008372AA">
        <w:t>were</w:t>
      </w:r>
      <w:r w:rsidRPr="00154F1D">
        <w:t xml:space="preserve"> subject to restriction orders and </w:t>
      </w:r>
      <w:r w:rsidR="00DD56AA" w:rsidRPr="00154F1D">
        <w:t>26</w:t>
      </w:r>
      <w:r w:rsidRPr="00154F1D">
        <w:t xml:space="preserve"> who </w:t>
      </w:r>
      <w:r w:rsidR="008372AA">
        <w:t>were</w:t>
      </w:r>
      <w:r w:rsidRPr="00154F1D">
        <w:t xml:space="preserve"> subject to </w:t>
      </w:r>
      <w:r w:rsidR="00FB5CB8" w:rsidRPr="00154F1D">
        <w:t>supervision order</w:t>
      </w:r>
      <w:r w:rsidR="00155489" w:rsidRPr="00154F1D">
        <w:t>s</w:t>
      </w:r>
      <w:r w:rsidR="00FB5CB8" w:rsidRPr="00154F1D">
        <w:t xml:space="preserve">. There are no </w:t>
      </w:r>
      <w:r w:rsidR="00EB02C1" w:rsidRPr="00154F1D">
        <w:t>people</w:t>
      </w:r>
      <w:r w:rsidR="00FB5CB8" w:rsidRPr="00154F1D">
        <w:t xml:space="preserve"> still subject to restriction orders who have a certificate issued. In one case, it is noted that there has not been a review hearing as the restriction order was made in 2018. In the period 2005</w:t>
      </w:r>
      <w:r w:rsidR="00030F17" w:rsidRPr="00154F1D">
        <w:t>–</w:t>
      </w:r>
      <w:r w:rsidR="00FB5CB8" w:rsidRPr="00154F1D">
        <w:t>June 2018, t</w:t>
      </w:r>
      <w:r w:rsidR="00EB02C1" w:rsidRPr="00154F1D">
        <w:t xml:space="preserve">here </w:t>
      </w:r>
      <w:r w:rsidR="00030F17" w:rsidRPr="00154F1D">
        <w:t xml:space="preserve">were </w:t>
      </w:r>
      <w:r w:rsidR="00EB02C1" w:rsidRPr="00154F1D">
        <w:t>six people</w:t>
      </w:r>
      <w:r w:rsidR="00FB5CB8" w:rsidRPr="00154F1D">
        <w:t xml:space="preserve"> where the restriction order was discharged and a supervision order </w:t>
      </w:r>
      <w:r w:rsidR="00BB3BC3" w:rsidRPr="00154F1D">
        <w:t xml:space="preserve">was </w:t>
      </w:r>
      <w:r w:rsidR="00FB5CB8" w:rsidRPr="00154F1D">
        <w:t xml:space="preserve">imposed and one </w:t>
      </w:r>
      <w:r w:rsidR="00EB02C1" w:rsidRPr="00154F1D">
        <w:t xml:space="preserve">person </w:t>
      </w:r>
      <w:r w:rsidR="00FB5CB8" w:rsidRPr="00154F1D">
        <w:t xml:space="preserve">where the restriction order was discharged. </w:t>
      </w:r>
      <w:r w:rsidR="00454F69" w:rsidRPr="00154F1D">
        <w:t xml:space="preserve">In cases where a supervision order was imposed following the discharge of the restriction order, none of these </w:t>
      </w:r>
      <w:r w:rsidR="004019C8">
        <w:t>individual</w:t>
      </w:r>
      <w:r w:rsidR="004019C8" w:rsidRPr="00154F1D">
        <w:t xml:space="preserve">s </w:t>
      </w:r>
      <w:r w:rsidR="00454F69" w:rsidRPr="00154F1D">
        <w:t>have had the supervision order revoked.</w:t>
      </w:r>
    </w:p>
    <w:p w14:paraId="1BB78575" w14:textId="501F6572" w:rsidR="00FB5CB8" w:rsidRPr="00154F1D" w:rsidRDefault="00FB5CB8" w:rsidP="00744FAA">
      <w:pPr>
        <w:pStyle w:val="NormalNumberedTextTLRI"/>
      </w:pPr>
      <w:r w:rsidRPr="00154F1D">
        <w:t xml:space="preserve">In relation to supervision orders, MHT data </w:t>
      </w:r>
      <w:r w:rsidR="009847C1" w:rsidRPr="00154F1D">
        <w:t>(set out in Table 8.</w:t>
      </w:r>
      <w:r w:rsidR="00D03074" w:rsidRPr="00154F1D">
        <w:t>7</w:t>
      </w:r>
      <w:r w:rsidR="009847C1" w:rsidRPr="00154F1D">
        <w:t xml:space="preserve">) </w:t>
      </w:r>
      <w:r w:rsidRPr="00154F1D">
        <w:t>show that of the 2</w:t>
      </w:r>
      <w:r w:rsidR="009847C1" w:rsidRPr="00154F1D">
        <w:t>6</w:t>
      </w:r>
      <w:r w:rsidRPr="00154F1D">
        <w:t xml:space="preserve"> </w:t>
      </w:r>
      <w:r w:rsidR="00EB02C1" w:rsidRPr="00154F1D">
        <w:t>people</w:t>
      </w:r>
      <w:r w:rsidRPr="00154F1D">
        <w:t xml:space="preserve"> currently subject to supervision orders, 18 do not have a certificate issued and </w:t>
      </w:r>
      <w:r w:rsidR="009847C1" w:rsidRPr="00154F1D">
        <w:t>eight</w:t>
      </w:r>
      <w:r w:rsidRPr="00154F1D">
        <w:t xml:space="preserve"> do have a certificate issued.</w:t>
      </w:r>
      <w:r w:rsidRPr="00154F1D">
        <w:rPr>
          <w:rStyle w:val="FootnoteReference"/>
        </w:rPr>
        <w:footnoteReference w:id="650"/>
      </w:r>
      <w:r w:rsidR="00DD56AA" w:rsidRPr="00154F1D">
        <w:t xml:space="preserve"> Of the eight </w:t>
      </w:r>
      <w:r w:rsidR="00EB02C1" w:rsidRPr="00154F1D">
        <w:t xml:space="preserve">people </w:t>
      </w:r>
      <w:r w:rsidR="00DD56AA" w:rsidRPr="00154F1D">
        <w:t xml:space="preserve">who have a certificate issued, one commenced an application to revoke with Legal Aid </w:t>
      </w:r>
      <w:r w:rsidR="00155489" w:rsidRPr="00154F1D">
        <w:t xml:space="preserve">but </w:t>
      </w:r>
      <w:r w:rsidR="00DD56AA" w:rsidRPr="00154F1D">
        <w:t>withdrew the applicatio</w:t>
      </w:r>
      <w:r w:rsidR="00BB3BC3" w:rsidRPr="00154F1D">
        <w:t>n, one sought advic</w:t>
      </w:r>
      <w:r w:rsidR="00DD56AA" w:rsidRPr="00154F1D">
        <w:t>e but did not make an application through Legal Aid, four have application</w:t>
      </w:r>
      <w:r w:rsidR="00BB3BC3" w:rsidRPr="00154F1D">
        <w:t>s</w:t>
      </w:r>
      <w:r w:rsidR="00DD56AA" w:rsidRPr="00154F1D">
        <w:t xml:space="preserve"> in process and two </w:t>
      </w:r>
      <w:r w:rsidR="00EB02C1" w:rsidRPr="00154F1D">
        <w:t>people</w:t>
      </w:r>
      <w:r w:rsidR="00DD56AA" w:rsidRPr="00154F1D">
        <w:t xml:space="preserve"> have not made any contact with Legal Aid.</w:t>
      </w:r>
      <w:r w:rsidR="00DD56AA" w:rsidRPr="00154F1D">
        <w:rPr>
          <w:rStyle w:val="FootnoteReference"/>
        </w:rPr>
        <w:footnoteReference w:id="651"/>
      </w:r>
      <w:r w:rsidR="001A441D" w:rsidRPr="00154F1D">
        <w:t xml:space="preserve"> </w:t>
      </w:r>
    </w:p>
    <w:p w14:paraId="641BFCAB" w14:textId="483CEB47" w:rsidR="00FB5CB8" w:rsidRPr="00154F1D" w:rsidRDefault="00FB5CB8" w:rsidP="008372AA">
      <w:pPr>
        <w:pStyle w:val="NumberlessNormalText"/>
        <w:spacing w:after="40"/>
        <w:rPr>
          <w:b/>
        </w:rPr>
      </w:pPr>
      <w:r w:rsidRPr="00154F1D">
        <w:rPr>
          <w:b/>
        </w:rPr>
        <w:t>Table 8.</w:t>
      </w:r>
      <w:r w:rsidR="00D03074" w:rsidRPr="00154F1D">
        <w:rPr>
          <w:b/>
        </w:rPr>
        <w:t>6</w:t>
      </w:r>
      <w:r w:rsidRPr="00154F1D">
        <w:rPr>
          <w:b/>
        </w:rPr>
        <w:t xml:space="preserve">: </w:t>
      </w:r>
      <w:r w:rsidR="00EB02C1" w:rsidRPr="00154F1D">
        <w:rPr>
          <w:b/>
        </w:rPr>
        <w:t>People</w:t>
      </w:r>
      <w:r w:rsidR="00454F69" w:rsidRPr="00154F1D">
        <w:rPr>
          <w:b/>
        </w:rPr>
        <w:t xml:space="preserve"> on r</w:t>
      </w:r>
      <w:r w:rsidR="00D641AD" w:rsidRPr="00154F1D">
        <w:rPr>
          <w:b/>
        </w:rPr>
        <w:t>estriction</w:t>
      </w:r>
      <w:r w:rsidR="004151E6" w:rsidRPr="00154F1D">
        <w:rPr>
          <w:b/>
        </w:rPr>
        <w:t xml:space="preserve"> orders</w:t>
      </w:r>
      <w:r w:rsidR="00D641AD" w:rsidRPr="00154F1D">
        <w:rPr>
          <w:b/>
        </w:rPr>
        <w:t xml:space="preserve"> </w:t>
      </w:r>
      <w:r w:rsidR="00155489" w:rsidRPr="00154F1D">
        <w:rPr>
          <w:b/>
        </w:rPr>
        <w:t xml:space="preserve">from </w:t>
      </w:r>
      <w:r w:rsidR="00D641AD" w:rsidRPr="00154F1D">
        <w:rPr>
          <w:b/>
        </w:rPr>
        <w:t>2005</w:t>
      </w:r>
      <w:r w:rsidR="008C1900" w:rsidRPr="00154F1D">
        <w:rPr>
          <w:b/>
        </w:rPr>
        <w:t xml:space="preserve"> to </w:t>
      </w:r>
      <w:r w:rsidR="00D641AD" w:rsidRPr="00154F1D">
        <w:rPr>
          <w:b/>
        </w:rPr>
        <w:t>30 June 2018, MHT data</w:t>
      </w:r>
      <w:r w:rsidR="009847C1" w:rsidRPr="00154F1D">
        <w:rPr>
          <w:b/>
        </w:rPr>
        <w:t xml:space="preserve"> (both sentenced offenders and </w:t>
      </w:r>
      <w:r w:rsidR="004019C8">
        <w:rPr>
          <w:b/>
        </w:rPr>
        <w:t>individual</w:t>
      </w:r>
      <w:r w:rsidR="004019C8" w:rsidRPr="00154F1D">
        <w:rPr>
          <w:b/>
        </w:rPr>
        <w:t xml:space="preserve">s </w:t>
      </w:r>
      <w:r w:rsidR="009847C1" w:rsidRPr="00154F1D">
        <w:rPr>
          <w:b/>
        </w:rPr>
        <w:t xml:space="preserve">found not guilty by reason of insanity or </w:t>
      </w:r>
      <w:r w:rsidR="00454F69" w:rsidRPr="00154F1D">
        <w:rPr>
          <w:b/>
        </w:rPr>
        <w:t xml:space="preserve">where a finding could not be made that the </w:t>
      </w:r>
      <w:r w:rsidR="004019C8">
        <w:rPr>
          <w:b/>
        </w:rPr>
        <w:t>person</w:t>
      </w:r>
      <w:r w:rsidR="004019C8" w:rsidRPr="00154F1D">
        <w:rPr>
          <w:b/>
        </w:rPr>
        <w:t xml:space="preserve"> </w:t>
      </w:r>
      <w:r w:rsidR="00454F69" w:rsidRPr="00154F1D">
        <w:rPr>
          <w:b/>
        </w:rPr>
        <w:t>was not guilty</w:t>
      </w:r>
      <w:r w:rsidR="009847C1" w:rsidRPr="00154F1D">
        <w:rPr>
          <w:b/>
        </w:rPr>
        <w:t>)</w:t>
      </w:r>
    </w:p>
    <w:tbl>
      <w:tblPr>
        <w:tblStyle w:val="TableGrid"/>
        <w:tblW w:w="5000" w:type="pct"/>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982"/>
        <w:gridCol w:w="569"/>
        <w:gridCol w:w="1916"/>
        <w:gridCol w:w="1916"/>
        <w:gridCol w:w="1917"/>
      </w:tblGrid>
      <w:tr w:rsidR="004151E6" w:rsidRPr="00154F1D" w14:paraId="71797156" w14:textId="77777777" w:rsidTr="00AF195E">
        <w:tc>
          <w:tcPr>
            <w:tcW w:w="1194" w:type="pct"/>
            <w:vAlign w:val="center"/>
          </w:tcPr>
          <w:p w14:paraId="5FA77F02" w14:textId="77777777" w:rsidR="001742EE" w:rsidRPr="00154F1D" w:rsidRDefault="001742EE" w:rsidP="00030F17">
            <w:pPr>
              <w:spacing w:beforeLines="20" w:before="48" w:afterLines="20" w:after="48"/>
              <w:rPr>
                <w:sz w:val="20"/>
                <w:szCs w:val="20"/>
              </w:rPr>
            </w:pPr>
          </w:p>
        </w:tc>
        <w:tc>
          <w:tcPr>
            <w:tcW w:w="343" w:type="pct"/>
            <w:vAlign w:val="center"/>
          </w:tcPr>
          <w:p w14:paraId="37C061C5" w14:textId="6E2A4D35" w:rsidR="001742EE" w:rsidRPr="00154F1D" w:rsidRDefault="004151E6" w:rsidP="00A106AB">
            <w:pPr>
              <w:pStyle w:val="NormalNumberedTextTLRI"/>
              <w:numPr>
                <w:ilvl w:val="0"/>
                <w:numId w:val="0"/>
              </w:numPr>
              <w:spacing w:beforeLines="20" w:before="48" w:afterLines="20" w:after="48" w:line="240" w:lineRule="auto"/>
              <w:jc w:val="center"/>
              <w:rPr>
                <w:b/>
                <w:sz w:val="20"/>
              </w:rPr>
            </w:pPr>
            <w:r w:rsidRPr="00154F1D">
              <w:rPr>
                <w:b/>
                <w:sz w:val="20"/>
              </w:rPr>
              <w:t>No</w:t>
            </w:r>
            <w:r w:rsidR="00A106AB" w:rsidRPr="00154F1D">
              <w:rPr>
                <w:b/>
                <w:sz w:val="20"/>
              </w:rPr>
              <w:t>.</w:t>
            </w:r>
          </w:p>
        </w:tc>
        <w:tc>
          <w:tcPr>
            <w:tcW w:w="1154" w:type="pct"/>
            <w:vAlign w:val="center"/>
          </w:tcPr>
          <w:p w14:paraId="6A738793" w14:textId="10F51A92" w:rsidR="001742EE" w:rsidRPr="00154F1D" w:rsidRDefault="004151E6" w:rsidP="00A106AB">
            <w:pPr>
              <w:pStyle w:val="NormalNumberedTextTLRI"/>
              <w:numPr>
                <w:ilvl w:val="0"/>
                <w:numId w:val="0"/>
              </w:numPr>
              <w:spacing w:beforeLines="20" w:before="48" w:afterLines="20" w:after="48" w:line="240" w:lineRule="auto"/>
              <w:jc w:val="center"/>
              <w:rPr>
                <w:b/>
                <w:sz w:val="20"/>
              </w:rPr>
            </w:pPr>
            <w:r w:rsidRPr="00154F1D">
              <w:rPr>
                <w:b/>
                <w:sz w:val="20"/>
              </w:rPr>
              <w:t>Min time on order</w:t>
            </w:r>
          </w:p>
        </w:tc>
        <w:tc>
          <w:tcPr>
            <w:tcW w:w="1154" w:type="pct"/>
            <w:vAlign w:val="center"/>
          </w:tcPr>
          <w:p w14:paraId="6D24F767" w14:textId="41D72F8A" w:rsidR="001742EE" w:rsidRPr="00154F1D" w:rsidRDefault="004151E6" w:rsidP="00A106AB">
            <w:pPr>
              <w:pStyle w:val="NormalNumberedTextTLRI"/>
              <w:numPr>
                <w:ilvl w:val="0"/>
                <w:numId w:val="0"/>
              </w:numPr>
              <w:spacing w:beforeLines="20" w:before="48" w:afterLines="20" w:after="48" w:line="240" w:lineRule="auto"/>
              <w:jc w:val="center"/>
              <w:rPr>
                <w:b/>
                <w:sz w:val="20"/>
              </w:rPr>
            </w:pPr>
            <w:r w:rsidRPr="00154F1D">
              <w:rPr>
                <w:b/>
                <w:sz w:val="20"/>
              </w:rPr>
              <w:t>Max time on order</w:t>
            </w:r>
          </w:p>
        </w:tc>
        <w:tc>
          <w:tcPr>
            <w:tcW w:w="1155" w:type="pct"/>
            <w:vAlign w:val="center"/>
          </w:tcPr>
          <w:p w14:paraId="3E3424ED" w14:textId="3F0C9C7D" w:rsidR="001742EE" w:rsidRPr="00154F1D" w:rsidRDefault="004151E6" w:rsidP="00A106AB">
            <w:pPr>
              <w:pStyle w:val="NormalNumberedTextTLRI"/>
              <w:numPr>
                <w:ilvl w:val="0"/>
                <w:numId w:val="0"/>
              </w:numPr>
              <w:spacing w:beforeLines="20" w:before="48" w:afterLines="20" w:after="48" w:line="240" w:lineRule="auto"/>
              <w:jc w:val="center"/>
              <w:rPr>
                <w:b/>
                <w:sz w:val="20"/>
              </w:rPr>
            </w:pPr>
            <w:r w:rsidRPr="00154F1D">
              <w:rPr>
                <w:b/>
                <w:sz w:val="20"/>
              </w:rPr>
              <w:t>Median on order</w:t>
            </w:r>
          </w:p>
        </w:tc>
      </w:tr>
      <w:tr w:rsidR="004151E6" w:rsidRPr="00154F1D" w14:paraId="1390B622" w14:textId="77777777" w:rsidTr="00AF195E">
        <w:tc>
          <w:tcPr>
            <w:tcW w:w="1194" w:type="pct"/>
            <w:vAlign w:val="center"/>
          </w:tcPr>
          <w:p w14:paraId="5AFDD6E5" w14:textId="49550788" w:rsidR="001742EE" w:rsidRPr="00154F1D" w:rsidRDefault="00EB02C1" w:rsidP="00A106AB">
            <w:pPr>
              <w:pStyle w:val="NormalNumberedTextTLRI"/>
              <w:numPr>
                <w:ilvl w:val="0"/>
                <w:numId w:val="0"/>
              </w:numPr>
              <w:spacing w:beforeLines="20" w:before="48" w:afterLines="20" w:after="48" w:line="240" w:lineRule="auto"/>
              <w:jc w:val="left"/>
              <w:rPr>
                <w:sz w:val="20"/>
              </w:rPr>
            </w:pPr>
            <w:r w:rsidRPr="00154F1D">
              <w:rPr>
                <w:sz w:val="20"/>
              </w:rPr>
              <w:t>People</w:t>
            </w:r>
            <w:r w:rsidR="004151E6" w:rsidRPr="00154F1D">
              <w:rPr>
                <w:sz w:val="20"/>
              </w:rPr>
              <w:t xml:space="preserve"> currently subject to order</w:t>
            </w:r>
          </w:p>
        </w:tc>
        <w:tc>
          <w:tcPr>
            <w:tcW w:w="343" w:type="pct"/>
            <w:vAlign w:val="center"/>
          </w:tcPr>
          <w:p w14:paraId="5729E356" w14:textId="7CB72312" w:rsidR="001742EE" w:rsidRPr="00154F1D" w:rsidRDefault="004151E6" w:rsidP="00A106AB">
            <w:pPr>
              <w:pStyle w:val="NormalNumberedTextTLRI"/>
              <w:numPr>
                <w:ilvl w:val="0"/>
                <w:numId w:val="0"/>
              </w:numPr>
              <w:spacing w:beforeLines="20" w:before="48" w:afterLines="20" w:after="48" w:line="240" w:lineRule="auto"/>
              <w:jc w:val="center"/>
              <w:rPr>
                <w:sz w:val="20"/>
              </w:rPr>
            </w:pPr>
            <w:r w:rsidRPr="00154F1D">
              <w:rPr>
                <w:sz w:val="20"/>
              </w:rPr>
              <w:t>9</w:t>
            </w:r>
          </w:p>
        </w:tc>
        <w:tc>
          <w:tcPr>
            <w:tcW w:w="1154" w:type="pct"/>
            <w:vAlign w:val="center"/>
          </w:tcPr>
          <w:p w14:paraId="34DAA62E" w14:textId="17212F71" w:rsidR="00FA4CA5" w:rsidRPr="00154F1D" w:rsidRDefault="00D641AD" w:rsidP="00A106AB">
            <w:pPr>
              <w:pStyle w:val="NormalNumberedTextTLRI"/>
              <w:numPr>
                <w:ilvl w:val="0"/>
                <w:numId w:val="0"/>
              </w:numPr>
              <w:spacing w:beforeLines="20" w:before="48" w:afterLines="20" w:after="48" w:line="240" w:lineRule="auto"/>
              <w:jc w:val="center"/>
              <w:rPr>
                <w:sz w:val="20"/>
              </w:rPr>
            </w:pPr>
            <w:r w:rsidRPr="00154F1D">
              <w:rPr>
                <w:sz w:val="20"/>
              </w:rPr>
              <w:t>134 days and continuing</w:t>
            </w:r>
          </w:p>
          <w:p w14:paraId="7D033367" w14:textId="7E9BAA21" w:rsidR="001742EE" w:rsidRPr="00154F1D" w:rsidRDefault="00FA4CA5" w:rsidP="00A106AB">
            <w:pPr>
              <w:pStyle w:val="NormalNumberedTextTLRI"/>
              <w:numPr>
                <w:ilvl w:val="0"/>
                <w:numId w:val="0"/>
              </w:numPr>
              <w:spacing w:beforeLines="20" w:before="48" w:afterLines="20" w:after="48" w:line="240" w:lineRule="auto"/>
              <w:jc w:val="center"/>
              <w:rPr>
                <w:sz w:val="20"/>
              </w:rPr>
            </w:pPr>
            <w:r w:rsidRPr="00154F1D">
              <w:rPr>
                <w:sz w:val="20"/>
              </w:rPr>
              <w:t>(4 months and 13 days)</w:t>
            </w:r>
          </w:p>
        </w:tc>
        <w:tc>
          <w:tcPr>
            <w:tcW w:w="1154" w:type="pct"/>
            <w:vAlign w:val="center"/>
          </w:tcPr>
          <w:p w14:paraId="24B3DACB" w14:textId="77777777" w:rsidR="001742EE" w:rsidRPr="00154F1D" w:rsidRDefault="00D641AD" w:rsidP="00A106AB">
            <w:pPr>
              <w:pStyle w:val="NormalNumberedTextTLRI"/>
              <w:numPr>
                <w:ilvl w:val="0"/>
                <w:numId w:val="0"/>
              </w:numPr>
              <w:spacing w:beforeLines="20" w:before="48" w:afterLines="20" w:after="48" w:line="240" w:lineRule="auto"/>
              <w:jc w:val="center"/>
              <w:rPr>
                <w:sz w:val="20"/>
              </w:rPr>
            </w:pPr>
            <w:r w:rsidRPr="00154F1D">
              <w:rPr>
                <w:sz w:val="20"/>
              </w:rPr>
              <w:t>5580 days and continuing</w:t>
            </w:r>
          </w:p>
          <w:p w14:paraId="7ED7FC76" w14:textId="4B6CAE08" w:rsidR="00FA4CA5" w:rsidRPr="00154F1D" w:rsidRDefault="00FA4CA5" w:rsidP="00A106AB">
            <w:pPr>
              <w:pStyle w:val="NormalNumberedTextTLRI"/>
              <w:numPr>
                <w:ilvl w:val="0"/>
                <w:numId w:val="0"/>
              </w:numPr>
              <w:spacing w:beforeLines="20" w:before="48" w:afterLines="20" w:after="48" w:line="240" w:lineRule="auto"/>
              <w:jc w:val="center"/>
              <w:rPr>
                <w:sz w:val="20"/>
              </w:rPr>
            </w:pPr>
            <w:r w:rsidRPr="00154F1D">
              <w:rPr>
                <w:sz w:val="20"/>
              </w:rPr>
              <w:t>(15 years 3 months and 11 days)</w:t>
            </w:r>
          </w:p>
        </w:tc>
        <w:tc>
          <w:tcPr>
            <w:tcW w:w="1155" w:type="pct"/>
            <w:vAlign w:val="center"/>
          </w:tcPr>
          <w:p w14:paraId="4ED8C866" w14:textId="77777777" w:rsidR="001742EE" w:rsidRPr="00154F1D" w:rsidRDefault="00D641AD" w:rsidP="00A106AB">
            <w:pPr>
              <w:pStyle w:val="NormalNumberedTextTLRI"/>
              <w:numPr>
                <w:ilvl w:val="0"/>
                <w:numId w:val="0"/>
              </w:numPr>
              <w:spacing w:beforeLines="20" w:before="48" w:afterLines="20" w:after="48" w:line="240" w:lineRule="auto"/>
              <w:jc w:val="center"/>
              <w:rPr>
                <w:sz w:val="20"/>
              </w:rPr>
            </w:pPr>
            <w:r w:rsidRPr="00154F1D">
              <w:rPr>
                <w:sz w:val="20"/>
              </w:rPr>
              <w:t>2409 days and continuing</w:t>
            </w:r>
          </w:p>
          <w:p w14:paraId="3EFD396C" w14:textId="58436779" w:rsidR="00FA4CA5" w:rsidRPr="00154F1D" w:rsidRDefault="00FA4CA5" w:rsidP="00A106AB">
            <w:pPr>
              <w:pStyle w:val="NormalNumberedTextTLRI"/>
              <w:numPr>
                <w:ilvl w:val="0"/>
                <w:numId w:val="0"/>
              </w:numPr>
              <w:spacing w:beforeLines="20" w:before="48" w:afterLines="20" w:after="48" w:line="240" w:lineRule="auto"/>
              <w:jc w:val="center"/>
              <w:rPr>
                <w:sz w:val="20"/>
              </w:rPr>
            </w:pPr>
            <w:r w:rsidRPr="00154F1D">
              <w:rPr>
                <w:sz w:val="20"/>
              </w:rPr>
              <w:t>(6 years 7 months and 5 days)</w:t>
            </w:r>
          </w:p>
        </w:tc>
      </w:tr>
      <w:tr w:rsidR="004151E6" w:rsidRPr="00154F1D" w14:paraId="1CAF579A" w14:textId="77777777" w:rsidTr="00AF195E">
        <w:tc>
          <w:tcPr>
            <w:tcW w:w="1194" w:type="pct"/>
            <w:vAlign w:val="center"/>
          </w:tcPr>
          <w:p w14:paraId="31A7FE49" w14:textId="5B3D29D9" w:rsidR="001742EE" w:rsidRPr="00154F1D" w:rsidRDefault="004151E6" w:rsidP="00A106AB">
            <w:pPr>
              <w:pStyle w:val="NormalNumberedTextTLRI"/>
              <w:numPr>
                <w:ilvl w:val="0"/>
                <w:numId w:val="0"/>
              </w:numPr>
              <w:spacing w:beforeLines="20" w:before="48" w:afterLines="20" w:after="48" w:line="240" w:lineRule="auto"/>
              <w:jc w:val="left"/>
              <w:rPr>
                <w:sz w:val="20"/>
              </w:rPr>
            </w:pPr>
            <w:r w:rsidRPr="00154F1D">
              <w:rPr>
                <w:sz w:val="20"/>
              </w:rPr>
              <w:t>Current certificate issued</w:t>
            </w:r>
          </w:p>
        </w:tc>
        <w:tc>
          <w:tcPr>
            <w:tcW w:w="343" w:type="pct"/>
            <w:vAlign w:val="center"/>
          </w:tcPr>
          <w:p w14:paraId="14D2F862" w14:textId="0CCAB083" w:rsidR="001742EE" w:rsidRPr="00154F1D" w:rsidRDefault="004151E6" w:rsidP="00A106AB">
            <w:pPr>
              <w:pStyle w:val="NormalNumberedTextTLRI"/>
              <w:numPr>
                <w:ilvl w:val="0"/>
                <w:numId w:val="0"/>
              </w:numPr>
              <w:spacing w:beforeLines="20" w:before="48" w:afterLines="20" w:after="48" w:line="240" w:lineRule="auto"/>
              <w:jc w:val="center"/>
              <w:rPr>
                <w:sz w:val="20"/>
              </w:rPr>
            </w:pPr>
            <w:r w:rsidRPr="00154F1D">
              <w:rPr>
                <w:sz w:val="20"/>
              </w:rPr>
              <w:t>0</w:t>
            </w:r>
          </w:p>
        </w:tc>
        <w:tc>
          <w:tcPr>
            <w:tcW w:w="1154" w:type="pct"/>
            <w:vAlign w:val="center"/>
          </w:tcPr>
          <w:p w14:paraId="7C8F947A" w14:textId="1F623ABD" w:rsidR="001742EE" w:rsidRPr="00154F1D" w:rsidRDefault="001742EE" w:rsidP="00A106AB">
            <w:pPr>
              <w:pStyle w:val="NormalNumberedTextTLRI"/>
              <w:numPr>
                <w:ilvl w:val="0"/>
                <w:numId w:val="0"/>
              </w:numPr>
              <w:spacing w:beforeLines="20" w:before="48" w:afterLines="20" w:after="48" w:line="240" w:lineRule="auto"/>
              <w:jc w:val="center"/>
              <w:rPr>
                <w:sz w:val="20"/>
              </w:rPr>
            </w:pPr>
          </w:p>
        </w:tc>
        <w:tc>
          <w:tcPr>
            <w:tcW w:w="1154" w:type="pct"/>
            <w:vAlign w:val="center"/>
          </w:tcPr>
          <w:p w14:paraId="2B3FF419" w14:textId="269876C0" w:rsidR="001742EE" w:rsidRPr="00154F1D" w:rsidRDefault="001742EE" w:rsidP="00A106AB">
            <w:pPr>
              <w:pStyle w:val="NormalNumberedTextTLRI"/>
              <w:numPr>
                <w:ilvl w:val="0"/>
                <w:numId w:val="0"/>
              </w:numPr>
              <w:spacing w:beforeLines="20" w:before="48" w:afterLines="20" w:after="48" w:line="240" w:lineRule="auto"/>
              <w:jc w:val="center"/>
              <w:rPr>
                <w:sz w:val="20"/>
              </w:rPr>
            </w:pPr>
          </w:p>
        </w:tc>
        <w:tc>
          <w:tcPr>
            <w:tcW w:w="1155" w:type="pct"/>
            <w:vAlign w:val="center"/>
          </w:tcPr>
          <w:p w14:paraId="4F842C96" w14:textId="7EA62F1C" w:rsidR="001742EE" w:rsidRPr="00154F1D" w:rsidRDefault="001742EE" w:rsidP="00A106AB">
            <w:pPr>
              <w:pStyle w:val="NormalNumberedTextTLRI"/>
              <w:numPr>
                <w:ilvl w:val="0"/>
                <w:numId w:val="0"/>
              </w:numPr>
              <w:spacing w:beforeLines="20" w:before="48" w:afterLines="20" w:after="48" w:line="240" w:lineRule="auto"/>
              <w:jc w:val="center"/>
              <w:rPr>
                <w:sz w:val="20"/>
              </w:rPr>
            </w:pPr>
          </w:p>
        </w:tc>
      </w:tr>
      <w:tr w:rsidR="004151E6" w:rsidRPr="00154F1D" w14:paraId="053CBF88" w14:textId="77777777" w:rsidTr="00AF195E">
        <w:tc>
          <w:tcPr>
            <w:tcW w:w="1194" w:type="pct"/>
            <w:vAlign w:val="center"/>
          </w:tcPr>
          <w:p w14:paraId="0DC07202" w14:textId="7564F99B" w:rsidR="001742EE" w:rsidRPr="00154F1D" w:rsidRDefault="00EB02C1" w:rsidP="00A106AB">
            <w:pPr>
              <w:pStyle w:val="NormalNumberedTextTLRI"/>
              <w:numPr>
                <w:ilvl w:val="0"/>
                <w:numId w:val="0"/>
              </w:numPr>
              <w:spacing w:beforeLines="20" w:before="48" w:afterLines="20" w:after="48" w:line="240" w:lineRule="auto"/>
              <w:jc w:val="left"/>
              <w:rPr>
                <w:sz w:val="20"/>
              </w:rPr>
            </w:pPr>
            <w:r w:rsidRPr="00154F1D">
              <w:rPr>
                <w:sz w:val="20"/>
              </w:rPr>
              <w:t>People</w:t>
            </w:r>
            <w:r w:rsidR="004151E6" w:rsidRPr="00154F1D">
              <w:rPr>
                <w:sz w:val="20"/>
              </w:rPr>
              <w:t xml:space="preserve"> who have had order discharged and supervision order imposed</w:t>
            </w:r>
          </w:p>
        </w:tc>
        <w:tc>
          <w:tcPr>
            <w:tcW w:w="343" w:type="pct"/>
            <w:vAlign w:val="center"/>
          </w:tcPr>
          <w:p w14:paraId="2AE28002" w14:textId="78718BCA" w:rsidR="001742EE" w:rsidRPr="00154F1D" w:rsidRDefault="004151E6" w:rsidP="00A106AB">
            <w:pPr>
              <w:pStyle w:val="NormalNumberedTextTLRI"/>
              <w:numPr>
                <w:ilvl w:val="0"/>
                <w:numId w:val="0"/>
              </w:numPr>
              <w:spacing w:beforeLines="20" w:before="48" w:afterLines="20" w:after="48" w:line="240" w:lineRule="auto"/>
              <w:jc w:val="center"/>
              <w:rPr>
                <w:sz w:val="20"/>
              </w:rPr>
            </w:pPr>
            <w:r w:rsidRPr="00154F1D">
              <w:rPr>
                <w:sz w:val="20"/>
              </w:rPr>
              <w:t>6</w:t>
            </w:r>
          </w:p>
        </w:tc>
        <w:tc>
          <w:tcPr>
            <w:tcW w:w="1154" w:type="pct"/>
            <w:vAlign w:val="center"/>
          </w:tcPr>
          <w:p w14:paraId="2B482419" w14:textId="2CE56646" w:rsidR="004151E6" w:rsidRPr="00154F1D" w:rsidRDefault="004151E6" w:rsidP="00A106AB">
            <w:pPr>
              <w:pStyle w:val="NormalNumberedTextTLRI"/>
              <w:numPr>
                <w:ilvl w:val="0"/>
                <w:numId w:val="0"/>
              </w:numPr>
              <w:spacing w:beforeLines="20" w:before="48" w:afterLines="20" w:after="48" w:line="240" w:lineRule="auto"/>
              <w:jc w:val="center"/>
              <w:rPr>
                <w:sz w:val="20"/>
              </w:rPr>
            </w:pPr>
            <w:r w:rsidRPr="00154F1D">
              <w:rPr>
                <w:sz w:val="20"/>
              </w:rPr>
              <w:t>929 days</w:t>
            </w:r>
          </w:p>
          <w:p w14:paraId="4E5598EE" w14:textId="12BEC753" w:rsidR="001742EE" w:rsidRPr="00154F1D" w:rsidRDefault="00FA4CA5" w:rsidP="00FE5618">
            <w:pPr>
              <w:pStyle w:val="NormalNumberedTextTLRI"/>
              <w:numPr>
                <w:ilvl w:val="0"/>
                <w:numId w:val="0"/>
              </w:numPr>
              <w:spacing w:beforeLines="20" w:before="48" w:afterLines="20" w:after="48" w:line="240" w:lineRule="auto"/>
              <w:jc w:val="center"/>
              <w:rPr>
                <w:sz w:val="20"/>
              </w:rPr>
            </w:pPr>
            <w:r w:rsidRPr="00154F1D">
              <w:rPr>
                <w:sz w:val="20"/>
              </w:rPr>
              <w:t>(2 years 6 months and 17 days)</w:t>
            </w:r>
          </w:p>
        </w:tc>
        <w:tc>
          <w:tcPr>
            <w:tcW w:w="1154" w:type="pct"/>
            <w:vAlign w:val="center"/>
          </w:tcPr>
          <w:p w14:paraId="0446B5B4" w14:textId="7609C4FC" w:rsidR="004151E6" w:rsidRPr="00154F1D" w:rsidRDefault="004151E6" w:rsidP="00A106AB">
            <w:pPr>
              <w:pStyle w:val="NormalNumberedTextTLRI"/>
              <w:numPr>
                <w:ilvl w:val="0"/>
                <w:numId w:val="0"/>
              </w:numPr>
              <w:spacing w:beforeLines="20" w:before="48" w:afterLines="20" w:after="48" w:line="240" w:lineRule="auto"/>
              <w:jc w:val="center"/>
              <w:rPr>
                <w:sz w:val="20"/>
              </w:rPr>
            </w:pPr>
            <w:r w:rsidRPr="00154F1D">
              <w:rPr>
                <w:sz w:val="20"/>
              </w:rPr>
              <w:t>6003 days</w:t>
            </w:r>
          </w:p>
          <w:p w14:paraId="44D8B1E3" w14:textId="71B728B6" w:rsidR="001742EE" w:rsidRPr="00154F1D" w:rsidRDefault="00FA4CA5" w:rsidP="00FE5618">
            <w:pPr>
              <w:pStyle w:val="NormalNumberedTextTLRI"/>
              <w:numPr>
                <w:ilvl w:val="0"/>
                <w:numId w:val="0"/>
              </w:numPr>
              <w:spacing w:beforeLines="20" w:before="48" w:afterLines="20" w:after="48" w:line="240" w:lineRule="auto"/>
              <w:jc w:val="center"/>
              <w:rPr>
                <w:sz w:val="20"/>
              </w:rPr>
            </w:pPr>
            <w:r w:rsidRPr="00154F1D">
              <w:rPr>
                <w:sz w:val="20"/>
              </w:rPr>
              <w:t>(16 years 5 months and 7 days)</w:t>
            </w:r>
          </w:p>
        </w:tc>
        <w:tc>
          <w:tcPr>
            <w:tcW w:w="1155" w:type="pct"/>
            <w:vAlign w:val="center"/>
          </w:tcPr>
          <w:p w14:paraId="372C6D8E" w14:textId="77777777" w:rsidR="001742EE" w:rsidRPr="00154F1D" w:rsidRDefault="004151E6" w:rsidP="00A106AB">
            <w:pPr>
              <w:pStyle w:val="NormalNumberedTextTLRI"/>
              <w:numPr>
                <w:ilvl w:val="0"/>
                <w:numId w:val="0"/>
              </w:numPr>
              <w:spacing w:beforeLines="20" w:before="48" w:afterLines="20" w:after="48" w:line="240" w:lineRule="auto"/>
              <w:jc w:val="center"/>
              <w:rPr>
                <w:sz w:val="20"/>
              </w:rPr>
            </w:pPr>
            <w:r w:rsidRPr="00154F1D">
              <w:rPr>
                <w:sz w:val="20"/>
              </w:rPr>
              <w:t>2819 days</w:t>
            </w:r>
          </w:p>
          <w:p w14:paraId="482D199F" w14:textId="5D521EB4" w:rsidR="00FA4CA5" w:rsidRPr="00154F1D" w:rsidRDefault="00FA4CA5" w:rsidP="00A106AB">
            <w:pPr>
              <w:pStyle w:val="NormalNumberedTextTLRI"/>
              <w:numPr>
                <w:ilvl w:val="0"/>
                <w:numId w:val="0"/>
              </w:numPr>
              <w:spacing w:beforeLines="20" w:before="48" w:afterLines="20" w:after="48" w:line="240" w:lineRule="auto"/>
              <w:jc w:val="center"/>
              <w:rPr>
                <w:sz w:val="20"/>
              </w:rPr>
            </w:pPr>
            <w:r w:rsidRPr="00154F1D">
              <w:rPr>
                <w:sz w:val="20"/>
              </w:rPr>
              <w:t>(7 years 8 months and 19 days)</w:t>
            </w:r>
          </w:p>
        </w:tc>
      </w:tr>
      <w:tr w:rsidR="004151E6" w:rsidRPr="00154F1D" w14:paraId="289422B2" w14:textId="77777777" w:rsidTr="00AF195E">
        <w:tc>
          <w:tcPr>
            <w:tcW w:w="1194" w:type="pct"/>
            <w:vAlign w:val="center"/>
          </w:tcPr>
          <w:p w14:paraId="068C84EC" w14:textId="6D9FE8D7" w:rsidR="001742EE" w:rsidRPr="00154F1D" w:rsidRDefault="00EB02C1" w:rsidP="00A106AB">
            <w:pPr>
              <w:pStyle w:val="NormalNumberedTextTLRI"/>
              <w:numPr>
                <w:ilvl w:val="0"/>
                <w:numId w:val="0"/>
              </w:numPr>
              <w:spacing w:beforeLines="20" w:before="48" w:afterLines="20" w:after="48" w:line="240" w:lineRule="auto"/>
              <w:jc w:val="left"/>
              <w:rPr>
                <w:sz w:val="20"/>
              </w:rPr>
            </w:pPr>
            <w:r w:rsidRPr="00154F1D">
              <w:rPr>
                <w:sz w:val="20"/>
              </w:rPr>
              <w:t xml:space="preserve">People </w:t>
            </w:r>
            <w:r w:rsidR="004151E6" w:rsidRPr="00154F1D">
              <w:rPr>
                <w:sz w:val="20"/>
              </w:rPr>
              <w:t>who have had restriction order discharged</w:t>
            </w:r>
          </w:p>
        </w:tc>
        <w:tc>
          <w:tcPr>
            <w:tcW w:w="343" w:type="pct"/>
            <w:vAlign w:val="center"/>
          </w:tcPr>
          <w:p w14:paraId="57D41445" w14:textId="370CB59A" w:rsidR="001742EE" w:rsidRPr="00154F1D" w:rsidRDefault="004151E6" w:rsidP="00A106AB">
            <w:pPr>
              <w:pStyle w:val="NormalNumberedTextTLRI"/>
              <w:numPr>
                <w:ilvl w:val="0"/>
                <w:numId w:val="0"/>
              </w:numPr>
              <w:spacing w:beforeLines="20" w:before="48" w:afterLines="20" w:after="48" w:line="240" w:lineRule="auto"/>
              <w:jc w:val="center"/>
              <w:rPr>
                <w:sz w:val="20"/>
              </w:rPr>
            </w:pPr>
            <w:r w:rsidRPr="00154F1D">
              <w:rPr>
                <w:sz w:val="20"/>
              </w:rPr>
              <w:t>1</w:t>
            </w:r>
          </w:p>
        </w:tc>
        <w:tc>
          <w:tcPr>
            <w:tcW w:w="1154" w:type="pct"/>
            <w:vAlign w:val="center"/>
          </w:tcPr>
          <w:p w14:paraId="2E2ABF4F" w14:textId="77777777" w:rsidR="001742EE" w:rsidRPr="00154F1D" w:rsidRDefault="004151E6" w:rsidP="00A106AB">
            <w:pPr>
              <w:pStyle w:val="NormalNumberedTextTLRI"/>
              <w:numPr>
                <w:ilvl w:val="0"/>
                <w:numId w:val="0"/>
              </w:numPr>
              <w:spacing w:beforeLines="20" w:before="48" w:afterLines="20" w:after="48" w:line="240" w:lineRule="auto"/>
              <w:jc w:val="center"/>
              <w:rPr>
                <w:sz w:val="20"/>
              </w:rPr>
            </w:pPr>
            <w:r w:rsidRPr="00154F1D">
              <w:rPr>
                <w:sz w:val="20"/>
              </w:rPr>
              <w:t>1799 days</w:t>
            </w:r>
          </w:p>
          <w:p w14:paraId="7E1A804B" w14:textId="74B206EA" w:rsidR="00FA4CA5" w:rsidRPr="00154F1D" w:rsidRDefault="00FA4CA5" w:rsidP="00A106AB">
            <w:pPr>
              <w:pStyle w:val="NormalNumberedTextTLRI"/>
              <w:numPr>
                <w:ilvl w:val="0"/>
                <w:numId w:val="0"/>
              </w:numPr>
              <w:spacing w:beforeLines="20" w:before="48" w:afterLines="20" w:after="48" w:line="240" w:lineRule="auto"/>
              <w:jc w:val="center"/>
              <w:rPr>
                <w:sz w:val="20"/>
              </w:rPr>
            </w:pPr>
            <w:r w:rsidRPr="00154F1D">
              <w:rPr>
                <w:sz w:val="20"/>
              </w:rPr>
              <w:t>(4 years 11 months and 3 days)</w:t>
            </w:r>
          </w:p>
        </w:tc>
        <w:tc>
          <w:tcPr>
            <w:tcW w:w="1154" w:type="pct"/>
            <w:vAlign w:val="center"/>
          </w:tcPr>
          <w:p w14:paraId="59B8A64B" w14:textId="1A224582" w:rsidR="001742EE" w:rsidRPr="00154F1D" w:rsidRDefault="00D641AD" w:rsidP="00A106AB">
            <w:pPr>
              <w:pStyle w:val="NormalNumberedTextTLRI"/>
              <w:numPr>
                <w:ilvl w:val="0"/>
                <w:numId w:val="0"/>
              </w:numPr>
              <w:spacing w:beforeLines="20" w:before="48" w:afterLines="20" w:after="48" w:line="240" w:lineRule="auto"/>
              <w:jc w:val="center"/>
              <w:rPr>
                <w:sz w:val="20"/>
              </w:rPr>
            </w:pPr>
            <w:r w:rsidRPr="00154F1D">
              <w:rPr>
                <w:sz w:val="20"/>
              </w:rPr>
              <w:t>n/a</w:t>
            </w:r>
          </w:p>
        </w:tc>
        <w:tc>
          <w:tcPr>
            <w:tcW w:w="1155" w:type="pct"/>
            <w:vAlign w:val="center"/>
          </w:tcPr>
          <w:p w14:paraId="1BD07E90" w14:textId="4C1F64D0" w:rsidR="001742EE" w:rsidRPr="00154F1D" w:rsidRDefault="00D641AD" w:rsidP="00A106AB">
            <w:pPr>
              <w:pStyle w:val="NormalNumberedTextTLRI"/>
              <w:numPr>
                <w:ilvl w:val="0"/>
                <w:numId w:val="0"/>
              </w:numPr>
              <w:spacing w:beforeLines="20" w:before="48" w:afterLines="20" w:after="48" w:line="240" w:lineRule="auto"/>
              <w:jc w:val="center"/>
              <w:rPr>
                <w:sz w:val="20"/>
              </w:rPr>
            </w:pPr>
            <w:r w:rsidRPr="00154F1D">
              <w:rPr>
                <w:sz w:val="20"/>
              </w:rPr>
              <w:t>n/a</w:t>
            </w:r>
          </w:p>
        </w:tc>
      </w:tr>
    </w:tbl>
    <w:p w14:paraId="7BE6FCDC" w14:textId="2F96EABB" w:rsidR="001742EE" w:rsidRPr="00154F1D" w:rsidRDefault="004151E6" w:rsidP="008372AA">
      <w:pPr>
        <w:pStyle w:val="NumberlessNormalText"/>
        <w:keepNext/>
        <w:spacing w:after="40"/>
        <w:rPr>
          <w:b/>
        </w:rPr>
      </w:pPr>
      <w:r w:rsidRPr="00154F1D">
        <w:rPr>
          <w:b/>
        </w:rPr>
        <w:t>Table 8.</w:t>
      </w:r>
      <w:r w:rsidR="00D03074" w:rsidRPr="00154F1D">
        <w:rPr>
          <w:b/>
        </w:rPr>
        <w:t>7</w:t>
      </w:r>
      <w:r w:rsidRPr="00154F1D">
        <w:rPr>
          <w:b/>
        </w:rPr>
        <w:t xml:space="preserve">: </w:t>
      </w:r>
      <w:r w:rsidR="00EB02C1" w:rsidRPr="00154F1D">
        <w:rPr>
          <w:b/>
        </w:rPr>
        <w:t>People</w:t>
      </w:r>
      <w:r w:rsidR="00454F69" w:rsidRPr="00154F1D">
        <w:rPr>
          <w:b/>
        </w:rPr>
        <w:t xml:space="preserve"> on s</w:t>
      </w:r>
      <w:r w:rsidRPr="00154F1D">
        <w:rPr>
          <w:b/>
        </w:rPr>
        <w:t>upervision orders</w:t>
      </w:r>
      <w:r w:rsidR="009847C1" w:rsidRPr="00154F1D">
        <w:rPr>
          <w:b/>
        </w:rPr>
        <w:t xml:space="preserve"> </w:t>
      </w:r>
      <w:r w:rsidR="00155489" w:rsidRPr="00154F1D">
        <w:rPr>
          <w:b/>
        </w:rPr>
        <w:t xml:space="preserve">from </w:t>
      </w:r>
      <w:r w:rsidR="009847C1" w:rsidRPr="00154F1D">
        <w:rPr>
          <w:b/>
        </w:rPr>
        <w:t xml:space="preserve">2005 to 30 June 2018 (both sentenced offenders and </w:t>
      </w:r>
      <w:r w:rsidR="004019C8">
        <w:rPr>
          <w:b/>
        </w:rPr>
        <w:t>individual</w:t>
      </w:r>
      <w:r w:rsidR="004019C8" w:rsidRPr="00154F1D">
        <w:rPr>
          <w:b/>
        </w:rPr>
        <w:t xml:space="preserve">s </w:t>
      </w:r>
      <w:r w:rsidR="009847C1" w:rsidRPr="00154F1D">
        <w:rPr>
          <w:b/>
        </w:rPr>
        <w:t xml:space="preserve">found not guilty by reason of insanity or </w:t>
      </w:r>
      <w:r w:rsidR="00454F69" w:rsidRPr="00154F1D">
        <w:rPr>
          <w:b/>
        </w:rPr>
        <w:t xml:space="preserve">where a finding could not be made that the </w:t>
      </w:r>
      <w:r w:rsidR="004019C8">
        <w:rPr>
          <w:b/>
        </w:rPr>
        <w:t>person</w:t>
      </w:r>
      <w:r w:rsidR="004019C8" w:rsidRPr="00154F1D">
        <w:rPr>
          <w:b/>
        </w:rPr>
        <w:t xml:space="preserve"> </w:t>
      </w:r>
      <w:r w:rsidR="00454F69" w:rsidRPr="00154F1D">
        <w:rPr>
          <w:b/>
        </w:rPr>
        <w:t>was not guilty</w:t>
      </w:r>
      <w:r w:rsidR="009847C1" w:rsidRPr="00154F1D">
        <w:rPr>
          <w:b/>
        </w:rPr>
        <w:t>)</w:t>
      </w:r>
    </w:p>
    <w:tbl>
      <w:tblPr>
        <w:tblStyle w:val="TableGrid"/>
        <w:tblW w:w="5000" w:type="pct"/>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648"/>
        <w:gridCol w:w="511"/>
        <w:gridCol w:w="2047"/>
        <w:gridCol w:w="2047"/>
        <w:gridCol w:w="2047"/>
      </w:tblGrid>
      <w:tr w:rsidR="004151E6" w:rsidRPr="00154F1D" w14:paraId="7B591FB9" w14:textId="25150375" w:rsidTr="00AF195E">
        <w:tc>
          <w:tcPr>
            <w:tcW w:w="993" w:type="pct"/>
          </w:tcPr>
          <w:p w14:paraId="0ECB390E" w14:textId="77777777" w:rsidR="004151E6" w:rsidRPr="00154F1D" w:rsidRDefault="004151E6" w:rsidP="008C1900">
            <w:pPr>
              <w:pStyle w:val="NormalNumberedTextTLRI"/>
              <w:numPr>
                <w:ilvl w:val="0"/>
                <w:numId w:val="0"/>
              </w:numPr>
              <w:spacing w:before="20" w:after="20"/>
              <w:rPr>
                <w:sz w:val="20"/>
              </w:rPr>
            </w:pPr>
          </w:p>
        </w:tc>
        <w:tc>
          <w:tcPr>
            <w:tcW w:w="308" w:type="pct"/>
            <w:vAlign w:val="center"/>
          </w:tcPr>
          <w:p w14:paraId="25587460" w14:textId="5A221811" w:rsidR="004151E6" w:rsidRPr="00154F1D" w:rsidRDefault="004151E6" w:rsidP="008C1900">
            <w:pPr>
              <w:pStyle w:val="NormalNumberedTextTLRI"/>
              <w:numPr>
                <w:ilvl w:val="0"/>
                <w:numId w:val="0"/>
              </w:numPr>
              <w:spacing w:before="20" w:after="20"/>
              <w:jc w:val="center"/>
              <w:rPr>
                <w:b/>
                <w:sz w:val="20"/>
              </w:rPr>
            </w:pPr>
            <w:r w:rsidRPr="00154F1D">
              <w:rPr>
                <w:b/>
                <w:sz w:val="20"/>
              </w:rPr>
              <w:t>No</w:t>
            </w:r>
            <w:r w:rsidR="008C1900" w:rsidRPr="00154F1D">
              <w:rPr>
                <w:b/>
                <w:sz w:val="20"/>
              </w:rPr>
              <w:t>.</w:t>
            </w:r>
          </w:p>
        </w:tc>
        <w:tc>
          <w:tcPr>
            <w:tcW w:w="1233" w:type="pct"/>
            <w:vAlign w:val="center"/>
          </w:tcPr>
          <w:p w14:paraId="4D7559BF" w14:textId="0B9FCACF" w:rsidR="004151E6" w:rsidRPr="00154F1D" w:rsidRDefault="004151E6" w:rsidP="008C1900">
            <w:pPr>
              <w:pStyle w:val="NormalNumberedTextTLRI"/>
              <w:numPr>
                <w:ilvl w:val="0"/>
                <w:numId w:val="0"/>
              </w:numPr>
              <w:spacing w:before="20" w:after="20"/>
              <w:jc w:val="center"/>
              <w:rPr>
                <w:b/>
                <w:sz w:val="20"/>
              </w:rPr>
            </w:pPr>
            <w:r w:rsidRPr="00154F1D">
              <w:rPr>
                <w:b/>
                <w:sz w:val="20"/>
              </w:rPr>
              <w:t>Min time on order</w:t>
            </w:r>
          </w:p>
        </w:tc>
        <w:tc>
          <w:tcPr>
            <w:tcW w:w="1233" w:type="pct"/>
            <w:vAlign w:val="center"/>
          </w:tcPr>
          <w:p w14:paraId="2A00CA2E" w14:textId="1EC8C7E8" w:rsidR="004151E6" w:rsidRPr="00154F1D" w:rsidRDefault="004151E6" w:rsidP="008C1900">
            <w:pPr>
              <w:pStyle w:val="NormalNumberedTextTLRI"/>
              <w:numPr>
                <w:ilvl w:val="0"/>
                <w:numId w:val="0"/>
              </w:numPr>
              <w:spacing w:before="20" w:after="20"/>
              <w:jc w:val="center"/>
              <w:rPr>
                <w:b/>
                <w:sz w:val="20"/>
              </w:rPr>
            </w:pPr>
            <w:r w:rsidRPr="00154F1D">
              <w:rPr>
                <w:b/>
                <w:sz w:val="20"/>
              </w:rPr>
              <w:t>Max time on order</w:t>
            </w:r>
          </w:p>
        </w:tc>
        <w:tc>
          <w:tcPr>
            <w:tcW w:w="1233" w:type="pct"/>
            <w:vAlign w:val="center"/>
          </w:tcPr>
          <w:p w14:paraId="3232748C" w14:textId="17A9CDC6" w:rsidR="004151E6" w:rsidRPr="00154F1D" w:rsidRDefault="004151E6" w:rsidP="008C1900">
            <w:pPr>
              <w:pStyle w:val="NormalNumberedTextTLRI"/>
              <w:numPr>
                <w:ilvl w:val="0"/>
                <w:numId w:val="0"/>
              </w:numPr>
              <w:spacing w:before="20" w:after="20"/>
              <w:jc w:val="center"/>
              <w:rPr>
                <w:b/>
                <w:sz w:val="20"/>
              </w:rPr>
            </w:pPr>
            <w:r w:rsidRPr="00154F1D">
              <w:rPr>
                <w:b/>
                <w:sz w:val="20"/>
              </w:rPr>
              <w:t>Median on order</w:t>
            </w:r>
          </w:p>
        </w:tc>
      </w:tr>
      <w:tr w:rsidR="004151E6" w:rsidRPr="00154F1D" w14:paraId="568413C5" w14:textId="54ADFEEB" w:rsidTr="00AF195E">
        <w:tc>
          <w:tcPr>
            <w:tcW w:w="993" w:type="pct"/>
            <w:vAlign w:val="center"/>
          </w:tcPr>
          <w:p w14:paraId="2522F452" w14:textId="1EF7F7F6" w:rsidR="004151E6" w:rsidRPr="00154F1D" w:rsidRDefault="00EB02C1" w:rsidP="008C1900">
            <w:pPr>
              <w:pStyle w:val="NormalNumberedTextTLRI"/>
              <w:numPr>
                <w:ilvl w:val="0"/>
                <w:numId w:val="0"/>
              </w:numPr>
              <w:spacing w:before="20" w:after="20"/>
              <w:jc w:val="left"/>
              <w:rPr>
                <w:sz w:val="20"/>
              </w:rPr>
            </w:pPr>
            <w:r w:rsidRPr="00154F1D">
              <w:rPr>
                <w:sz w:val="20"/>
              </w:rPr>
              <w:t>People</w:t>
            </w:r>
            <w:r w:rsidR="004151E6" w:rsidRPr="00154F1D">
              <w:rPr>
                <w:sz w:val="20"/>
              </w:rPr>
              <w:t xml:space="preserve"> currently subject to order</w:t>
            </w:r>
          </w:p>
        </w:tc>
        <w:tc>
          <w:tcPr>
            <w:tcW w:w="308" w:type="pct"/>
            <w:vAlign w:val="center"/>
          </w:tcPr>
          <w:p w14:paraId="4903A7DC" w14:textId="3123EFA1" w:rsidR="004151E6" w:rsidRPr="00154F1D" w:rsidRDefault="004151E6" w:rsidP="008C1900">
            <w:pPr>
              <w:pStyle w:val="NormalNumberedTextTLRI"/>
              <w:numPr>
                <w:ilvl w:val="0"/>
                <w:numId w:val="0"/>
              </w:numPr>
              <w:spacing w:before="20" w:after="20"/>
              <w:jc w:val="center"/>
              <w:rPr>
                <w:sz w:val="20"/>
              </w:rPr>
            </w:pPr>
            <w:r w:rsidRPr="00154F1D">
              <w:rPr>
                <w:sz w:val="20"/>
              </w:rPr>
              <w:t>2</w:t>
            </w:r>
            <w:r w:rsidR="00FA4CA5" w:rsidRPr="00154F1D">
              <w:rPr>
                <w:sz w:val="20"/>
              </w:rPr>
              <w:t>6</w:t>
            </w:r>
          </w:p>
        </w:tc>
        <w:tc>
          <w:tcPr>
            <w:tcW w:w="1233" w:type="pct"/>
            <w:vAlign w:val="center"/>
          </w:tcPr>
          <w:p w14:paraId="44B313A5" w14:textId="77777777" w:rsidR="004151E6" w:rsidRPr="00154F1D" w:rsidRDefault="009847C1" w:rsidP="008C1900">
            <w:pPr>
              <w:pStyle w:val="NormalNumberedTextTLRI"/>
              <w:numPr>
                <w:ilvl w:val="0"/>
                <w:numId w:val="0"/>
              </w:numPr>
              <w:spacing w:before="20" w:after="20"/>
              <w:jc w:val="center"/>
              <w:rPr>
                <w:sz w:val="20"/>
              </w:rPr>
            </w:pPr>
            <w:r w:rsidRPr="00154F1D">
              <w:rPr>
                <w:sz w:val="20"/>
              </w:rPr>
              <w:t>253 days and continuing</w:t>
            </w:r>
          </w:p>
          <w:p w14:paraId="2C4B73FF" w14:textId="05F1367A" w:rsidR="009847C1" w:rsidRPr="00154F1D" w:rsidRDefault="009847C1" w:rsidP="008C1900">
            <w:pPr>
              <w:pStyle w:val="NormalNumberedTextTLRI"/>
              <w:numPr>
                <w:ilvl w:val="0"/>
                <w:numId w:val="0"/>
              </w:numPr>
              <w:spacing w:before="20" w:after="20"/>
              <w:jc w:val="center"/>
              <w:rPr>
                <w:sz w:val="20"/>
              </w:rPr>
            </w:pPr>
            <w:r w:rsidRPr="00154F1D">
              <w:rPr>
                <w:sz w:val="20"/>
              </w:rPr>
              <w:t>(8 months and 9 days)</w:t>
            </w:r>
          </w:p>
        </w:tc>
        <w:tc>
          <w:tcPr>
            <w:tcW w:w="1233" w:type="pct"/>
            <w:vAlign w:val="center"/>
          </w:tcPr>
          <w:p w14:paraId="6B1DDCF9" w14:textId="64E95C7F" w:rsidR="009847C1" w:rsidRPr="00154F1D" w:rsidRDefault="009847C1" w:rsidP="008C1900">
            <w:pPr>
              <w:pStyle w:val="NormalNumberedTextTLRI"/>
              <w:numPr>
                <w:ilvl w:val="0"/>
                <w:numId w:val="0"/>
              </w:numPr>
              <w:spacing w:before="20" w:after="20"/>
              <w:jc w:val="center"/>
              <w:rPr>
                <w:sz w:val="20"/>
              </w:rPr>
            </w:pPr>
            <w:r w:rsidRPr="00154F1D">
              <w:rPr>
                <w:sz w:val="20"/>
              </w:rPr>
              <w:t>6543 days and continuing</w:t>
            </w:r>
          </w:p>
          <w:p w14:paraId="65ADC5A4" w14:textId="59F019E2" w:rsidR="004151E6" w:rsidRPr="00154F1D" w:rsidRDefault="009847C1" w:rsidP="008C1900">
            <w:pPr>
              <w:pStyle w:val="NormalNumberedTextTLRI"/>
              <w:numPr>
                <w:ilvl w:val="0"/>
                <w:numId w:val="0"/>
              </w:numPr>
              <w:spacing w:before="20" w:after="20"/>
              <w:jc w:val="center"/>
              <w:rPr>
                <w:sz w:val="20"/>
              </w:rPr>
            </w:pPr>
            <w:r w:rsidRPr="00154F1D">
              <w:rPr>
                <w:sz w:val="20"/>
              </w:rPr>
              <w:t>(17 years 10 months and 29 days)</w:t>
            </w:r>
          </w:p>
        </w:tc>
        <w:tc>
          <w:tcPr>
            <w:tcW w:w="1233" w:type="pct"/>
            <w:vAlign w:val="center"/>
          </w:tcPr>
          <w:p w14:paraId="07D916CD" w14:textId="77777777" w:rsidR="004151E6" w:rsidRPr="00154F1D" w:rsidRDefault="009847C1" w:rsidP="008C1900">
            <w:pPr>
              <w:pStyle w:val="NormalNumberedTextTLRI"/>
              <w:numPr>
                <w:ilvl w:val="0"/>
                <w:numId w:val="0"/>
              </w:numPr>
              <w:spacing w:before="20" w:after="20"/>
              <w:jc w:val="center"/>
              <w:rPr>
                <w:sz w:val="20"/>
              </w:rPr>
            </w:pPr>
            <w:r w:rsidRPr="00154F1D">
              <w:rPr>
                <w:sz w:val="20"/>
              </w:rPr>
              <w:t>2795 days and continuing</w:t>
            </w:r>
          </w:p>
          <w:p w14:paraId="321951F7" w14:textId="45B36B13" w:rsidR="009847C1" w:rsidRPr="00154F1D" w:rsidRDefault="009847C1" w:rsidP="008C1900">
            <w:pPr>
              <w:pStyle w:val="NormalNumberedTextTLRI"/>
              <w:numPr>
                <w:ilvl w:val="0"/>
                <w:numId w:val="0"/>
              </w:numPr>
              <w:spacing w:before="20" w:after="20"/>
              <w:jc w:val="center"/>
              <w:rPr>
                <w:sz w:val="20"/>
              </w:rPr>
            </w:pPr>
            <w:r w:rsidRPr="00154F1D">
              <w:rPr>
                <w:sz w:val="20"/>
              </w:rPr>
              <w:t>(7 years 7 months and 26 days)</w:t>
            </w:r>
          </w:p>
        </w:tc>
      </w:tr>
      <w:tr w:rsidR="004151E6" w:rsidRPr="00154F1D" w14:paraId="15F78E67" w14:textId="106A4D58" w:rsidTr="00AF195E">
        <w:tc>
          <w:tcPr>
            <w:tcW w:w="993" w:type="pct"/>
            <w:vAlign w:val="center"/>
          </w:tcPr>
          <w:p w14:paraId="23F75BB0" w14:textId="1A5572D6" w:rsidR="004151E6" w:rsidRPr="00154F1D" w:rsidRDefault="004151E6" w:rsidP="008C1900">
            <w:pPr>
              <w:pStyle w:val="NormalNumberedTextTLRI"/>
              <w:numPr>
                <w:ilvl w:val="0"/>
                <w:numId w:val="0"/>
              </w:numPr>
              <w:spacing w:before="20" w:after="20"/>
              <w:jc w:val="left"/>
              <w:rPr>
                <w:sz w:val="20"/>
              </w:rPr>
            </w:pPr>
            <w:r w:rsidRPr="00154F1D">
              <w:rPr>
                <w:sz w:val="20"/>
              </w:rPr>
              <w:t>Current certificate issued</w:t>
            </w:r>
          </w:p>
        </w:tc>
        <w:tc>
          <w:tcPr>
            <w:tcW w:w="308" w:type="pct"/>
            <w:vAlign w:val="center"/>
          </w:tcPr>
          <w:p w14:paraId="638530B9" w14:textId="5DA4F6DB" w:rsidR="004151E6" w:rsidRPr="00154F1D" w:rsidRDefault="00FA4CA5" w:rsidP="008C1900">
            <w:pPr>
              <w:pStyle w:val="NormalNumberedTextTLRI"/>
              <w:numPr>
                <w:ilvl w:val="0"/>
                <w:numId w:val="0"/>
              </w:numPr>
              <w:spacing w:before="20" w:after="20"/>
              <w:jc w:val="center"/>
              <w:rPr>
                <w:sz w:val="20"/>
              </w:rPr>
            </w:pPr>
            <w:r w:rsidRPr="00154F1D">
              <w:rPr>
                <w:sz w:val="20"/>
              </w:rPr>
              <w:t>8</w:t>
            </w:r>
          </w:p>
        </w:tc>
        <w:tc>
          <w:tcPr>
            <w:tcW w:w="1233" w:type="pct"/>
            <w:vAlign w:val="center"/>
          </w:tcPr>
          <w:p w14:paraId="07AB157B" w14:textId="2624EE06" w:rsidR="004151E6" w:rsidRPr="00154F1D" w:rsidRDefault="00FA4CA5" w:rsidP="008C1900">
            <w:pPr>
              <w:pStyle w:val="NormalNumberedTextTLRI"/>
              <w:numPr>
                <w:ilvl w:val="0"/>
                <w:numId w:val="0"/>
              </w:numPr>
              <w:spacing w:before="20" w:after="20"/>
              <w:jc w:val="center"/>
              <w:rPr>
                <w:sz w:val="20"/>
              </w:rPr>
            </w:pPr>
            <w:r w:rsidRPr="00154F1D">
              <w:rPr>
                <w:sz w:val="20"/>
              </w:rPr>
              <w:t>-</w:t>
            </w:r>
          </w:p>
        </w:tc>
        <w:tc>
          <w:tcPr>
            <w:tcW w:w="1233" w:type="pct"/>
            <w:vAlign w:val="center"/>
          </w:tcPr>
          <w:p w14:paraId="4963D538" w14:textId="71CC2E13" w:rsidR="004151E6" w:rsidRPr="00154F1D" w:rsidRDefault="00FA4CA5" w:rsidP="008C1900">
            <w:pPr>
              <w:pStyle w:val="NormalNumberedTextTLRI"/>
              <w:numPr>
                <w:ilvl w:val="0"/>
                <w:numId w:val="0"/>
              </w:numPr>
              <w:spacing w:before="20" w:after="20"/>
              <w:jc w:val="center"/>
              <w:rPr>
                <w:sz w:val="20"/>
              </w:rPr>
            </w:pPr>
            <w:r w:rsidRPr="00154F1D">
              <w:rPr>
                <w:sz w:val="20"/>
              </w:rPr>
              <w:t>-</w:t>
            </w:r>
          </w:p>
        </w:tc>
        <w:tc>
          <w:tcPr>
            <w:tcW w:w="1233" w:type="pct"/>
            <w:vAlign w:val="center"/>
          </w:tcPr>
          <w:p w14:paraId="5925EFED" w14:textId="41107D32" w:rsidR="004151E6" w:rsidRPr="00154F1D" w:rsidRDefault="00FA4CA5" w:rsidP="008C1900">
            <w:pPr>
              <w:pStyle w:val="NormalNumberedTextTLRI"/>
              <w:numPr>
                <w:ilvl w:val="0"/>
                <w:numId w:val="0"/>
              </w:numPr>
              <w:spacing w:before="20" w:after="20"/>
              <w:jc w:val="center"/>
              <w:rPr>
                <w:sz w:val="20"/>
              </w:rPr>
            </w:pPr>
            <w:r w:rsidRPr="00154F1D">
              <w:rPr>
                <w:sz w:val="20"/>
              </w:rPr>
              <w:t>-</w:t>
            </w:r>
          </w:p>
        </w:tc>
      </w:tr>
      <w:tr w:rsidR="004151E6" w:rsidRPr="00154F1D" w14:paraId="53F84C79" w14:textId="1F723177" w:rsidTr="00AF195E">
        <w:tc>
          <w:tcPr>
            <w:tcW w:w="993" w:type="pct"/>
            <w:vAlign w:val="center"/>
          </w:tcPr>
          <w:p w14:paraId="551EBCB7" w14:textId="19496416" w:rsidR="004151E6" w:rsidRPr="00154F1D" w:rsidRDefault="00EB02C1" w:rsidP="008C1900">
            <w:pPr>
              <w:pStyle w:val="NormalNumberedTextTLRI"/>
              <w:numPr>
                <w:ilvl w:val="0"/>
                <w:numId w:val="0"/>
              </w:numPr>
              <w:spacing w:before="20" w:after="20"/>
              <w:jc w:val="left"/>
              <w:rPr>
                <w:sz w:val="20"/>
              </w:rPr>
            </w:pPr>
            <w:r w:rsidRPr="00154F1D">
              <w:rPr>
                <w:sz w:val="20"/>
              </w:rPr>
              <w:t>People</w:t>
            </w:r>
            <w:r w:rsidR="004151E6" w:rsidRPr="00154F1D">
              <w:rPr>
                <w:sz w:val="20"/>
              </w:rPr>
              <w:t xml:space="preserve"> who have had order revoked</w:t>
            </w:r>
          </w:p>
        </w:tc>
        <w:tc>
          <w:tcPr>
            <w:tcW w:w="308" w:type="pct"/>
            <w:vAlign w:val="center"/>
          </w:tcPr>
          <w:p w14:paraId="173A9445" w14:textId="63FDBDD8" w:rsidR="004151E6" w:rsidRPr="00154F1D" w:rsidRDefault="00FA4CA5" w:rsidP="008C1900">
            <w:pPr>
              <w:pStyle w:val="NormalNumberedTextTLRI"/>
              <w:numPr>
                <w:ilvl w:val="0"/>
                <w:numId w:val="0"/>
              </w:numPr>
              <w:spacing w:before="20" w:after="20"/>
              <w:jc w:val="center"/>
              <w:rPr>
                <w:sz w:val="20"/>
              </w:rPr>
            </w:pPr>
            <w:r w:rsidRPr="00154F1D">
              <w:rPr>
                <w:sz w:val="20"/>
              </w:rPr>
              <w:t>1</w:t>
            </w:r>
            <w:r w:rsidR="00987783" w:rsidRPr="00154F1D">
              <w:rPr>
                <w:sz w:val="20"/>
              </w:rPr>
              <w:t>6</w:t>
            </w:r>
          </w:p>
        </w:tc>
        <w:tc>
          <w:tcPr>
            <w:tcW w:w="1233" w:type="pct"/>
            <w:vAlign w:val="center"/>
          </w:tcPr>
          <w:p w14:paraId="22017D83" w14:textId="1DA6149F" w:rsidR="004151E6" w:rsidRPr="00154F1D" w:rsidRDefault="00EE0C80" w:rsidP="008C1900">
            <w:pPr>
              <w:pStyle w:val="NormalNumberedTextTLRI"/>
              <w:numPr>
                <w:ilvl w:val="0"/>
                <w:numId w:val="0"/>
              </w:numPr>
              <w:spacing w:before="20" w:after="20"/>
              <w:jc w:val="center"/>
              <w:rPr>
                <w:sz w:val="20"/>
              </w:rPr>
            </w:pPr>
            <w:r w:rsidRPr="00154F1D">
              <w:rPr>
                <w:sz w:val="20"/>
              </w:rPr>
              <w:t>636</w:t>
            </w:r>
            <w:r w:rsidR="00FA4CA5" w:rsidRPr="00154F1D">
              <w:rPr>
                <w:sz w:val="20"/>
              </w:rPr>
              <w:t xml:space="preserve"> days</w:t>
            </w:r>
          </w:p>
          <w:p w14:paraId="3D56E219" w14:textId="7B108784" w:rsidR="00FA4CA5" w:rsidRPr="00154F1D" w:rsidRDefault="00FA4CA5" w:rsidP="008C1900">
            <w:pPr>
              <w:pStyle w:val="NormalNumberedTextTLRI"/>
              <w:numPr>
                <w:ilvl w:val="0"/>
                <w:numId w:val="0"/>
              </w:numPr>
              <w:spacing w:before="20" w:after="20"/>
              <w:jc w:val="center"/>
              <w:rPr>
                <w:sz w:val="20"/>
              </w:rPr>
            </w:pPr>
            <w:r w:rsidRPr="00154F1D">
              <w:rPr>
                <w:sz w:val="20"/>
              </w:rPr>
              <w:t>(</w:t>
            </w:r>
            <w:r w:rsidR="00EE0C80" w:rsidRPr="00154F1D">
              <w:rPr>
                <w:sz w:val="20"/>
              </w:rPr>
              <w:t>1 year</w:t>
            </w:r>
            <w:r w:rsidRPr="00154F1D">
              <w:rPr>
                <w:sz w:val="20"/>
              </w:rPr>
              <w:t xml:space="preserve"> </w:t>
            </w:r>
            <w:r w:rsidR="00EE0C80" w:rsidRPr="00154F1D">
              <w:rPr>
                <w:sz w:val="20"/>
              </w:rPr>
              <w:t>8</w:t>
            </w:r>
            <w:r w:rsidRPr="00154F1D">
              <w:rPr>
                <w:sz w:val="20"/>
              </w:rPr>
              <w:t xml:space="preserve"> months and </w:t>
            </w:r>
            <w:r w:rsidR="00EE0C80" w:rsidRPr="00154F1D">
              <w:rPr>
                <w:sz w:val="20"/>
              </w:rPr>
              <w:t>27</w:t>
            </w:r>
            <w:r w:rsidRPr="00154F1D">
              <w:rPr>
                <w:sz w:val="20"/>
              </w:rPr>
              <w:t xml:space="preserve"> days)</w:t>
            </w:r>
          </w:p>
        </w:tc>
        <w:tc>
          <w:tcPr>
            <w:tcW w:w="1233" w:type="pct"/>
            <w:vAlign w:val="center"/>
          </w:tcPr>
          <w:p w14:paraId="017D91D1" w14:textId="77777777" w:rsidR="004151E6" w:rsidRPr="00154F1D" w:rsidRDefault="00FA4CA5" w:rsidP="008C1900">
            <w:pPr>
              <w:pStyle w:val="NormalNumberedTextTLRI"/>
              <w:numPr>
                <w:ilvl w:val="0"/>
                <w:numId w:val="0"/>
              </w:numPr>
              <w:spacing w:before="20" w:after="20"/>
              <w:jc w:val="center"/>
              <w:rPr>
                <w:sz w:val="20"/>
              </w:rPr>
            </w:pPr>
            <w:r w:rsidRPr="00154F1D">
              <w:rPr>
                <w:sz w:val="20"/>
              </w:rPr>
              <w:t>4479 days</w:t>
            </w:r>
          </w:p>
          <w:p w14:paraId="492CBA6A" w14:textId="7A65A97E" w:rsidR="00FA4CA5" w:rsidRPr="00154F1D" w:rsidRDefault="00FA4CA5" w:rsidP="008C1900">
            <w:pPr>
              <w:pStyle w:val="NormalNumberedTextTLRI"/>
              <w:numPr>
                <w:ilvl w:val="0"/>
                <w:numId w:val="0"/>
              </w:numPr>
              <w:spacing w:before="20" w:after="20"/>
              <w:jc w:val="center"/>
              <w:rPr>
                <w:sz w:val="20"/>
              </w:rPr>
            </w:pPr>
            <w:r w:rsidRPr="00154F1D">
              <w:rPr>
                <w:sz w:val="20"/>
              </w:rPr>
              <w:t>(12 years 3 months and 5 days)</w:t>
            </w:r>
          </w:p>
        </w:tc>
        <w:tc>
          <w:tcPr>
            <w:tcW w:w="1233" w:type="pct"/>
            <w:vAlign w:val="center"/>
          </w:tcPr>
          <w:p w14:paraId="6FF1B47F" w14:textId="6E9A0B7E" w:rsidR="004151E6" w:rsidRPr="00154F1D" w:rsidRDefault="00FA4CA5" w:rsidP="008C1900">
            <w:pPr>
              <w:pStyle w:val="NormalNumberedTextTLRI"/>
              <w:numPr>
                <w:ilvl w:val="0"/>
                <w:numId w:val="0"/>
              </w:numPr>
              <w:spacing w:before="20" w:after="20"/>
              <w:jc w:val="center"/>
              <w:rPr>
                <w:sz w:val="20"/>
              </w:rPr>
            </w:pPr>
            <w:r w:rsidRPr="00154F1D">
              <w:rPr>
                <w:sz w:val="20"/>
              </w:rPr>
              <w:t>2</w:t>
            </w:r>
            <w:r w:rsidR="00EE0C80" w:rsidRPr="00154F1D">
              <w:rPr>
                <w:sz w:val="20"/>
              </w:rPr>
              <w:t>552</w:t>
            </w:r>
            <w:r w:rsidRPr="00154F1D">
              <w:rPr>
                <w:sz w:val="20"/>
              </w:rPr>
              <w:t xml:space="preserve"> days</w:t>
            </w:r>
          </w:p>
          <w:p w14:paraId="7AE057F3" w14:textId="6C51B61A" w:rsidR="00FA4CA5" w:rsidRPr="00154F1D" w:rsidRDefault="00FA4CA5" w:rsidP="008C1900">
            <w:pPr>
              <w:pStyle w:val="NormalNumberedTextTLRI"/>
              <w:numPr>
                <w:ilvl w:val="0"/>
                <w:numId w:val="0"/>
              </w:numPr>
              <w:spacing w:before="20" w:after="20"/>
              <w:jc w:val="center"/>
              <w:rPr>
                <w:sz w:val="20"/>
              </w:rPr>
            </w:pPr>
            <w:r w:rsidRPr="00154F1D">
              <w:rPr>
                <w:sz w:val="20"/>
              </w:rPr>
              <w:t>(</w:t>
            </w:r>
            <w:r w:rsidR="00EE0C80" w:rsidRPr="00154F1D">
              <w:rPr>
                <w:sz w:val="20"/>
              </w:rPr>
              <w:t>6</w:t>
            </w:r>
            <w:r w:rsidRPr="00154F1D">
              <w:rPr>
                <w:sz w:val="20"/>
              </w:rPr>
              <w:t xml:space="preserve"> years </w:t>
            </w:r>
            <w:r w:rsidR="00EE0C80" w:rsidRPr="00154F1D">
              <w:rPr>
                <w:sz w:val="20"/>
              </w:rPr>
              <w:t xml:space="preserve">11 months </w:t>
            </w:r>
            <w:r w:rsidRPr="00154F1D">
              <w:rPr>
                <w:sz w:val="20"/>
              </w:rPr>
              <w:t xml:space="preserve">and </w:t>
            </w:r>
            <w:r w:rsidR="00EE0C80" w:rsidRPr="00154F1D">
              <w:rPr>
                <w:sz w:val="20"/>
              </w:rPr>
              <w:t>26</w:t>
            </w:r>
            <w:r w:rsidRPr="00154F1D">
              <w:rPr>
                <w:sz w:val="20"/>
              </w:rPr>
              <w:t xml:space="preserve"> days)</w:t>
            </w:r>
          </w:p>
        </w:tc>
      </w:tr>
    </w:tbl>
    <w:p w14:paraId="542B56FB" w14:textId="24D7B022" w:rsidR="00EF71FB" w:rsidRPr="00154F1D" w:rsidRDefault="00EF71FB" w:rsidP="00352E49">
      <w:pPr>
        <w:pStyle w:val="Sub-HeadingTLRI"/>
      </w:pPr>
      <w:bookmarkStart w:id="192" w:name="_Toc535868977"/>
      <w:r w:rsidRPr="00154F1D">
        <w:t>P</w:t>
      </w:r>
      <w:r w:rsidR="00217B7D" w:rsidRPr="00154F1D">
        <w:t>rocess</w:t>
      </w:r>
      <w:r w:rsidRPr="00154F1D">
        <w:t xml:space="preserve"> to discharge or vary forensic orders</w:t>
      </w:r>
      <w:bookmarkEnd w:id="192"/>
    </w:p>
    <w:p w14:paraId="4A0BB0B8" w14:textId="52D431D7" w:rsidR="005E66DF" w:rsidRPr="00154F1D" w:rsidRDefault="003359FA" w:rsidP="00744FAA">
      <w:pPr>
        <w:pStyle w:val="NormalNumberedTextTLRI"/>
      </w:pPr>
      <w:r w:rsidRPr="00154F1D">
        <w:t xml:space="preserve">As noted in Table </w:t>
      </w:r>
      <w:r w:rsidR="00D809CA" w:rsidRPr="00154F1D">
        <w:t>8</w:t>
      </w:r>
      <w:r w:rsidRPr="00154F1D">
        <w:t>.</w:t>
      </w:r>
      <w:r w:rsidR="00D03074" w:rsidRPr="00154F1D">
        <w:t>1</w:t>
      </w:r>
      <w:r w:rsidRPr="00154F1D">
        <w:t xml:space="preserve">, restriction and supervision orders are indefinite orders, subject to the </w:t>
      </w:r>
      <w:r w:rsidR="004D4A9A" w:rsidRPr="00154F1D">
        <w:t>discharge/revocation</w:t>
      </w:r>
      <w:r w:rsidRPr="00154F1D">
        <w:t xml:space="preserve"> of the order</w:t>
      </w:r>
      <w:r w:rsidR="004D4A9A" w:rsidRPr="00154F1D">
        <w:t>s</w:t>
      </w:r>
      <w:r w:rsidRPr="00154F1D">
        <w:t xml:space="preserve"> by the Supreme Court.</w:t>
      </w:r>
      <w:r w:rsidR="0091311A" w:rsidRPr="00154F1D">
        <w:t xml:space="preserve"> </w:t>
      </w:r>
      <w:r w:rsidR="00B56103" w:rsidRPr="00154F1D">
        <w:t xml:space="preserve">The </w:t>
      </w:r>
      <w:r w:rsidR="00EA3D8B" w:rsidRPr="00154F1D">
        <w:rPr>
          <w:i/>
          <w:iCs/>
        </w:rPr>
        <w:t xml:space="preserve">Criminal Justice (Mental Impairment) Act 1999 </w:t>
      </w:r>
      <w:r w:rsidR="00EA3D8B" w:rsidRPr="00154F1D">
        <w:rPr>
          <w:iCs/>
        </w:rPr>
        <w:t>(Tas)</w:t>
      </w:r>
      <w:r w:rsidR="00870A5F" w:rsidRPr="00154F1D">
        <w:t xml:space="preserve"> </w:t>
      </w:r>
      <w:r w:rsidR="005A26A9" w:rsidRPr="00154F1D">
        <w:t>sets out the requirements for making an application, including the time at which an application can be made</w:t>
      </w:r>
      <w:r w:rsidR="00CB2221" w:rsidRPr="00154F1D">
        <w:t>:</w:t>
      </w:r>
    </w:p>
    <w:p w14:paraId="4A0C3AA0" w14:textId="00F9EE71" w:rsidR="00B56103" w:rsidRPr="00154F1D" w:rsidRDefault="003A0EBC" w:rsidP="008C1900">
      <w:pPr>
        <w:pStyle w:val="NormalNumberedTextTLRI"/>
        <w:numPr>
          <w:ilvl w:val="0"/>
          <w:numId w:val="21"/>
        </w:numPr>
        <w:ind w:left="851" w:hanging="425"/>
      </w:pPr>
      <w:r w:rsidRPr="00154F1D">
        <w:t>If the person has received a certificate from the MHT, a person may apply to the Supreme Court for the discharge, variation or revocation immediately on the issue of the certificate.</w:t>
      </w:r>
      <w:r w:rsidRPr="00154F1D">
        <w:rPr>
          <w:rStyle w:val="FootnoteReference"/>
        </w:rPr>
        <w:footnoteReference w:id="652"/>
      </w:r>
      <w:r w:rsidRPr="00154F1D">
        <w:t xml:space="preserve"> </w:t>
      </w:r>
    </w:p>
    <w:p w14:paraId="377A534C" w14:textId="7BD141F3" w:rsidR="00B56103" w:rsidRPr="00154F1D" w:rsidRDefault="00870A5F" w:rsidP="008C1900">
      <w:pPr>
        <w:pStyle w:val="NormalNumberedTextTLRI"/>
        <w:numPr>
          <w:ilvl w:val="0"/>
          <w:numId w:val="21"/>
        </w:numPr>
        <w:ind w:left="851" w:hanging="425"/>
      </w:pPr>
      <w:r w:rsidRPr="00154F1D">
        <w:t xml:space="preserve">In other cases, an application for discharge of a restriction order can be made after two years and then </w:t>
      </w:r>
      <w:r w:rsidR="007101F2" w:rsidRPr="00154F1D">
        <w:t xml:space="preserve">a subsequent application can be made every two years. </w:t>
      </w:r>
      <w:r w:rsidR="00CB2221" w:rsidRPr="00154F1D">
        <w:t>There are no time constraints placed on the ability to initially apply for variation or revocation of a supervision order. However, if the Supreme Court has refused an application of a defendant for a variation or revocation of a supervision</w:t>
      </w:r>
      <w:r w:rsidR="00A213C5" w:rsidRPr="00154F1D">
        <w:t xml:space="preserve"> order</w:t>
      </w:r>
      <w:r w:rsidR="00CB2221" w:rsidRPr="00154F1D">
        <w:t xml:space="preserve">, </w:t>
      </w:r>
      <w:r w:rsidR="00F64964" w:rsidRPr="00154F1D">
        <w:t>another</w:t>
      </w:r>
      <w:r w:rsidR="00CB2221" w:rsidRPr="00154F1D">
        <w:t xml:space="preserve"> application cannot be made for six months or such other period as the Supreme Court may direct.</w:t>
      </w:r>
      <w:r w:rsidR="00CB2221" w:rsidRPr="00154F1D">
        <w:rPr>
          <w:rStyle w:val="FootnoteReference"/>
        </w:rPr>
        <w:footnoteReference w:id="653"/>
      </w:r>
    </w:p>
    <w:p w14:paraId="1D106535" w14:textId="777A93BF" w:rsidR="00217B7D" w:rsidRPr="00154F1D" w:rsidRDefault="00217B7D" w:rsidP="00217B7D">
      <w:pPr>
        <w:pStyle w:val="Sub-HeadingTLRI"/>
      </w:pPr>
      <w:bookmarkStart w:id="193" w:name="_Toc535868978"/>
      <w:r w:rsidRPr="00154F1D">
        <w:t>Discharge of orders in Tasmania</w:t>
      </w:r>
      <w:bookmarkEnd w:id="193"/>
    </w:p>
    <w:p w14:paraId="2C165479" w14:textId="4217CA10" w:rsidR="00EE0C80" w:rsidRPr="00154F1D" w:rsidRDefault="00EE0C80" w:rsidP="00744FAA">
      <w:pPr>
        <w:pStyle w:val="NormalNumberedTextTLRI"/>
      </w:pPr>
      <w:r w:rsidRPr="00154F1D">
        <w:t>The MHT Annual Report 2015</w:t>
      </w:r>
      <w:r w:rsidR="00A213C5" w:rsidRPr="00154F1D">
        <w:t>–</w:t>
      </w:r>
      <w:r w:rsidR="008372AA">
        <w:t>20</w:t>
      </w:r>
      <w:r w:rsidRPr="00154F1D">
        <w:t xml:space="preserve">16, indicated that in this period, two certificates were issued and both forensic patients made </w:t>
      </w:r>
      <w:r w:rsidR="00A213C5" w:rsidRPr="00154F1D">
        <w:t xml:space="preserve">an </w:t>
      </w:r>
      <w:r w:rsidRPr="00154F1D">
        <w:t>application to the Supreme Court to have the restriction orders revoked. In both cases, the Supreme Court revoked the restriction order and imposed a supervision order.</w:t>
      </w:r>
      <w:r w:rsidRPr="00154F1D">
        <w:rPr>
          <w:rStyle w:val="FootnoteReference"/>
        </w:rPr>
        <w:footnoteReference w:id="654"/>
      </w:r>
      <w:r w:rsidRPr="00154F1D">
        <w:t xml:space="preserve"> In the same period, the MHT issued 11 certificates for supervision orders. As noted above, there are eight </w:t>
      </w:r>
      <w:r w:rsidR="00EB02C1" w:rsidRPr="00154F1D">
        <w:t>people</w:t>
      </w:r>
      <w:r w:rsidRPr="00154F1D">
        <w:t xml:space="preserve"> who are </w:t>
      </w:r>
      <w:r w:rsidR="00155489" w:rsidRPr="00154F1D">
        <w:t xml:space="preserve">being </w:t>
      </w:r>
      <w:r w:rsidRPr="00154F1D">
        <w:t xml:space="preserve">supervised under a supervision order </w:t>
      </w:r>
      <w:r w:rsidR="00BB3BC3" w:rsidRPr="00154F1D">
        <w:t xml:space="preserve">who </w:t>
      </w:r>
      <w:r w:rsidRPr="00154F1D">
        <w:t>have a current certificate</w:t>
      </w:r>
      <w:r w:rsidR="007C29C2" w:rsidRPr="00154F1D">
        <w:t xml:space="preserve"> and four </w:t>
      </w:r>
      <w:r w:rsidR="00BB3BC3" w:rsidRPr="00154F1D">
        <w:t xml:space="preserve">who </w:t>
      </w:r>
      <w:r w:rsidR="007C29C2" w:rsidRPr="00154F1D">
        <w:t>have an application under way with the Legal Aid Commission to discharge the order</w:t>
      </w:r>
      <w:r w:rsidRPr="00154F1D">
        <w:t>.</w:t>
      </w:r>
      <w:r w:rsidR="001A441D" w:rsidRPr="00154F1D">
        <w:t xml:space="preserve"> The MHT reported that in 2017</w:t>
      </w:r>
      <w:r w:rsidR="008372AA">
        <w:t>–20</w:t>
      </w:r>
      <w:r w:rsidR="001A441D" w:rsidRPr="00154F1D">
        <w:t xml:space="preserve">18, </w:t>
      </w:r>
      <w:r w:rsidR="008372AA">
        <w:t>10</w:t>
      </w:r>
      <w:r w:rsidR="001A441D" w:rsidRPr="00154F1D">
        <w:t xml:space="preserve"> certificates were issued to patients on supervision orders and two patients made </w:t>
      </w:r>
      <w:r w:rsidR="008372AA">
        <w:t xml:space="preserve">an </w:t>
      </w:r>
      <w:r w:rsidR="001A441D" w:rsidRPr="00154F1D">
        <w:t>application to the Supreme Court</w:t>
      </w:r>
      <w:r w:rsidR="008372AA">
        <w:t xml:space="preserve"> — </w:t>
      </w:r>
      <w:r w:rsidR="001A441D" w:rsidRPr="00154F1D">
        <w:t>both applications were successful.</w:t>
      </w:r>
      <w:bookmarkStart w:id="194" w:name="_Ref536467564"/>
      <w:r w:rsidR="001A441D" w:rsidRPr="00154F1D">
        <w:rPr>
          <w:rStyle w:val="FootnoteReference"/>
        </w:rPr>
        <w:footnoteReference w:id="655"/>
      </w:r>
      <w:bookmarkEnd w:id="194"/>
      <w:r w:rsidR="001A441D" w:rsidRPr="00154F1D">
        <w:t xml:space="preserve"> In the same period, there were no certificate</w:t>
      </w:r>
      <w:r w:rsidR="008372AA">
        <w:t>s</w:t>
      </w:r>
      <w:r w:rsidR="001A441D" w:rsidRPr="00154F1D">
        <w:t xml:space="preserve"> issued to forensic patients on restriction orders.</w:t>
      </w:r>
      <w:r w:rsidR="001A441D" w:rsidRPr="00154F1D">
        <w:rPr>
          <w:rStyle w:val="FootnoteReference"/>
        </w:rPr>
        <w:footnoteReference w:id="656"/>
      </w:r>
    </w:p>
    <w:p w14:paraId="1F7BC77F" w14:textId="48B2E01A" w:rsidR="007C29C2" w:rsidRPr="00154F1D" w:rsidRDefault="00EE0C80" w:rsidP="00744FAA">
      <w:pPr>
        <w:pStyle w:val="NormalNumberedTextTLRI"/>
      </w:pPr>
      <w:r w:rsidRPr="00154F1D">
        <w:t>In a review of forensic orders conducted by Smith, it was reported in 2010 that there had been 64 reviews undertaken since February 2006. From the</w:t>
      </w:r>
      <w:r w:rsidR="007575F8" w:rsidRPr="00154F1D">
        <w:t>se</w:t>
      </w:r>
      <w:r w:rsidRPr="00154F1D">
        <w:t xml:space="preserve"> reviews, a total of 25 certificates had been issued. Those 25 certificates related to 15 </w:t>
      </w:r>
      <w:r w:rsidR="00EB02C1" w:rsidRPr="00154F1D">
        <w:t>people</w:t>
      </w:r>
      <w:r w:rsidRPr="00154F1D">
        <w:t xml:space="preserve">, </w:t>
      </w:r>
      <w:r w:rsidR="007575F8" w:rsidRPr="00154F1D">
        <w:t xml:space="preserve">four </w:t>
      </w:r>
      <w:r w:rsidRPr="00154F1D">
        <w:t xml:space="preserve">in relation to restriction orders and 11 </w:t>
      </w:r>
      <w:r w:rsidR="007575F8" w:rsidRPr="00154F1D">
        <w:t>in relation to</w:t>
      </w:r>
      <w:r w:rsidRPr="00154F1D">
        <w:t xml:space="preserve"> supervision orders.</w:t>
      </w:r>
      <w:r w:rsidRPr="00154F1D">
        <w:rPr>
          <w:rStyle w:val="FootnoteReference"/>
        </w:rPr>
        <w:footnoteReference w:id="657"/>
      </w:r>
      <w:r w:rsidRPr="00154F1D">
        <w:t xml:space="preserve"> It was also reported that only four people had applied successfully for a discharge from a forensic order since 2003 and these were all supervision orders.</w:t>
      </w:r>
      <w:r w:rsidRPr="00154F1D">
        <w:rPr>
          <w:rStyle w:val="FootnoteReference"/>
        </w:rPr>
        <w:footnoteReference w:id="658"/>
      </w:r>
      <w:r w:rsidRPr="00154F1D">
        <w:t xml:space="preserve"> However, data provided by the Legal Aid Commission of Tasmania indicate that from 2010 to 2018 (see Table 8.</w:t>
      </w:r>
      <w:r w:rsidR="00D03074" w:rsidRPr="00154F1D">
        <w:t>8</w:t>
      </w:r>
      <w:r w:rsidRPr="00154F1D">
        <w:t>), there have been five applications made to discharge restriction orders and all of these were successful (with the restrictions being replaced by supervision order</w:t>
      </w:r>
      <w:r w:rsidR="00BB3BC3" w:rsidRPr="00154F1D">
        <w:t>s</w:t>
      </w:r>
      <w:r w:rsidRPr="00154F1D">
        <w:t xml:space="preserve">). </w:t>
      </w:r>
    </w:p>
    <w:p w14:paraId="6FB36259" w14:textId="77BDE16F" w:rsidR="00EE0C80" w:rsidRPr="00154F1D" w:rsidRDefault="00EE0C80" w:rsidP="00744FAA">
      <w:pPr>
        <w:pStyle w:val="NormalNumberedTextTLRI"/>
      </w:pPr>
      <w:r w:rsidRPr="00154F1D">
        <w:t>Data provided by the Legal Aid Commission of Tasmania also show that since 2010</w:t>
      </w:r>
      <w:r w:rsidR="00C6041D" w:rsidRPr="00154F1D">
        <w:t>,</w:t>
      </w:r>
      <w:r w:rsidRPr="00154F1D">
        <w:t xml:space="preserve"> 13 applications were made to revoke supervision order</w:t>
      </w:r>
      <w:r w:rsidR="00155489" w:rsidRPr="00154F1D">
        <w:t>s</w:t>
      </w:r>
      <w:r w:rsidR="007C29C2" w:rsidRPr="00154F1D">
        <w:t>.</w:t>
      </w:r>
      <w:r w:rsidRPr="00154F1D">
        <w:t xml:space="preserve"> In relation to these applications, there were three that </w:t>
      </w:r>
      <w:r w:rsidR="00155489" w:rsidRPr="00154F1D">
        <w:t xml:space="preserve">resulted in the orders being </w:t>
      </w:r>
      <w:r w:rsidRPr="00154F1D">
        <w:t xml:space="preserve">revoked and four </w:t>
      </w:r>
      <w:r w:rsidR="00BB3BC3" w:rsidRPr="00154F1D">
        <w:t xml:space="preserve">that </w:t>
      </w:r>
      <w:r w:rsidR="00155489" w:rsidRPr="00154F1D">
        <w:t xml:space="preserve">resulted in </w:t>
      </w:r>
      <w:r w:rsidRPr="00154F1D">
        <w:t xml:space="preserve">revoked </w:t>
      </w:r>
      <w:r w:rsidR="00155489" w:rsidRPr="00154F1D">
        <w:t xml:space="preserve">supervision orders being replaced by </w:t>
      </w:r>
      <w:r w:rsidRPr="00154F1D">
        <w:t>conditional orders. In relation to the unsuccessful applications</w:t>
      </w:r>
      <w:r w:rsidR="00BB3BC3" w:rsidRPr="00154F1D">
        <w:t>, one had</w:t>
      </w:r>
      <w:r w:rsidRPr="00154F1D">
        <w:t xml:space="preserve"> the conditions of the supervision order varied, three have a new application on foot, one </w:t>
      </w:r>
      <w:r w:rsidR="00F64964" w:rsidRPr="00154F1D">
        <w:t xml:space="preserve">person </w:t>
      </w:r>
      <w:r w:rsidRPr="00154F1D">
        <w:t>withdrew the application, one has a new application on foot and one is ongoing.</w:t>
      </w:r>
    </w:p>
    <w:p w14:paraId="1A38F118" w14:textId="0BFC883E" w:rsidR="00EE0C80" w:rsidRPr="00154F1D" w:rsidRDefault="00EE0C80" w:rsidP="00C6041D">
      <w:pPr>
        <w:pStyle w:val="NumberlessNormalText"/>
        <w:spacing w:after="80"/>
        <w:rPr>
          <w:b/>
        </w:rPr>
      </w:pPr>
      <w:r w:rsidRPr="00154F1D">
        <w:rPr>
          <w:b/>
        </w:rPr>
        <w:t>Table 8.</w:t>
      </w:r>
      <w:r w:rsidR="00D03074" w:rsidRPr="00154F1D">
        <w:rPr>
          <w:b/>
        </w:rPr>
        <w:t>8</w:t>
      </w:r>
      <w:r w:rsidRPr="00154F1D">
        <w:rPr>
          <w:b/>
        </w:rPr>
        <w:t>: Applications undertaken by Legal Aid to revoke or discharge supervision and restriction orders, 2010–June 2018</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1982"/>
        <w:gridCol w:w="2052"/>
        <w:gridCol w:w="1335"/>
        <w:gridCol w:w="1294"/>
        <w:gridCol w:w="1617"/>
      </w:tblGrid>
      <w:tr w:rsidR="00EE0C80" w:rsidRPr="00154F1D" w14:paraId="4E0BA15F" w14:textId="77777777" w:rsidTr="00C42319">
        <w:tc>
          <w:tcPr>
            <w:tcW w:w="1982" w:type="dxa"/>
            <w:tcMar>
              <w:top w:w="0" w:type="dxa"/>
              <w:left w:w="108" w:type="dxa"/>
              <w:bottom w:w="0" w:type="dxa"/>
              <w:right w:w="108" w:type="dxa"/>
            </w:tcMar>
            <w:hideMark/>
          </w:tcPr>
          <w:p w14:paraId="1585DAC5" w14:textId="77777777" w:rsidR="00EE0C80" w:rsidRPr="00154F1D" w:rsidRDefault="00EE0C80" w:rsidP="00464354">
            <w:pPr>
              <w:spacing w:beforeLines="20" w:before="48" w:afterLines="20" w:after="48"/>
              <w:jc w:val="center"/>
              <w:rPr>
                <w:sz w:val="20"/>
                <w:szCs w:val="20"/>
              </w:rPr>
            </w:pPr>
          </w:p>
        </w:tc>
        <w:tc>
          <w:tcPr>
            <w:tcW w:w="2052" w:type="dxa"/>
            <w:tcMar>
              <w:top w:w="0" w:type="dxa"/>
              <w:left w:w="108" w:type="dxa"/>
              <w:bottom w:w="0" w:type="dxa"/>
              <w:right w:w="108" w:type="dxa"/>
            </w:tcMar>
            <w:vAlign w:val="center"/>
            <w:hideMark/>
          </w:tcPr>
          <w:p w14:paraId="1F5AAED6" w14:textId="5F39C140" w:rsidR="00EE0C80" w:rsidRPr="00154F1D" w:rsidRDefault="00EE0C80" w:rsidP="00464354">
            <w:pPr>
              <w:spacing w:beforeLines="20" w:before="48" w:afterLines="20" w:after="48"/>
              <w:jc w:val="center"/>
              <w:rPr>
                <w:b/>
                <w:sz w:val="20"/>
                <w:szCs w:val="20"/>
              </w:rPr>
            </w:pPr>
            <w:r w:rsidRPr="00154F1D">
              <w:rPr>
                <w:b/>
                <w:sz w:val="20"/>
                <w:szCs w:val="20"/>
              </w:rPr>
              <w:t>Application to Revoke/Discharge</w:t>
            </w:r>
          </w:p>
        </w:tc>
        <w:tc>
          <w:tcPr>
            <w:tcW w:w="1335" w:type="dxa"/>
            <w:tcMar>
              <w:top w:w="0" w:type="dxa"/>
              <w:left w:w="108" w:type="dxa"/>
              <w:bottom w:w="0" w:type="dxa"/>
              <w:right w:w="108" w:type="dxa"/>
            </w:tcMar>
            <w:vAlign w:val="center"/>
            <w:hideMark/>
          </w:tcPr>
          <w:p w14:paraId="74F21DD5" w14:textId="77777777" w:rsidR="00EE0C80" w:rsidRPr="00154F1D" w:rsidRDefault="00EE0C80" w:rsidP="00464354">
            <w:pPr>
              <w:spacing w:beforeLines="20" w:before="48" w:afterLines="20" w:after="48"/>
              <w:jc w:val="center"/>
              <w:rPr>
                <w:b/>
                <w:sz w:val="20"/>
                <w:szCs w:val="20"/>
              </w:rPr>
            </w:pPr>
            <w:r w:rsidRPr="00154F1D">
              <w:rPr>
                <w:b/>
                <w:sz w:val="20"/>
                <w:szCs w:val="20"/>
              </w:rPr>
              <w:t>Granted</w:t>
            </w:r>
          </w:p>
        </w:tc>
        <w:tc>
          <w:tcPr>
            <w:tcW w:w="1294" w:type="dxa"/>
            <w:tcMar>
              <w:top w:w="0" w:type="dxa"/>
              <w:left w:w="108" w:type="dxa"/>
              <w:bottom w:w="0" w:type="dxa"/>
              <w:right w:w="108" w:type="dxa"/>
            </w:tcMar>
            <w:vAlign w:val="center"/>
            <w:hideMark/>
          </w:tcPr>
          <w:p w14:paraId="076F6945" w14:textId="77777777" w:rsidR="00EE0C80" w:rsidRPr="00154F1D" w:rsidRDefault="00EE0C80" w:rsidP="00464354">
            <w:pPr>
              <w:spacing w:beforeLines="20" w:before="48" w:afterLines="20" w:after="48"/>
              <w:jc w:val="center"/>
              <w:rPr>
                <w:b/>
                <w:sz w:val="20"/>
                <w:szCs w:val="20"/>
              </w:rPr>
            </w:pPr>
            <w:r w:rsidRPr="00154F1D">
              <w:rPr>
                <w:b/>
                <w:sz w:val="20"/>
                <w:szCs w:val="20"/>
              </w:rPr>
              <w:t>Not granted</w:t>
            </w:r>
          </w:p>
        </w:tc>
        <w:tc>
          <w:tcPr>
            <w:tcW w:w="1617" w:type="dxa"/>
            <w:tcMar>
              <w:top w:w="0" w:type="dxa"/>
              <w:left w:w="108" w:type="dxa"/>
              <w:bottom w:w="0" w:type="dxa"/>
              <w:right w:w="108" w:type="dxa"/>
            </w:tcMar>
            <w:vAlign w:val="center"/>
            <w:hideMark/>
          </w:tcPr>
          <w:p w14:paraId="58263D54" w14:textId="77777777" w:rsidR="00EE0C80" w:rsidRPr="00154F1D" w:rsidRDefault="00EE0C80" w:rsidP="00464354">
            <w:pPr>
              <w:spacing w:beforeLines="20" w:before="48" w:afterLines="20" w:after="48"/>
              <w:jc w:val="center"/>
              <w:rPr>
                <w:b/>
                <w:sz w:val="20"/>
                <w:szCs w:val="20"/>
              </w:rPr>
            </w:pPr>
            <w:r w:rsidRPr="00154F1D">
              <w:rPr>
                <w:b/>
                <w:sz w:val="20"/>
                <w:szCs w:val="20"/>
              </w:rPr>
              <w:t>Outcome</w:t>
            </w:r>
          </w:p>
        </w:tc>
      </w:tr>
      <w:tr w:rsidR="000775B9" w:rsidRPr="00154F1D" w14:paraId="47CB8C6C" w14:textId="77777777" w:rsidTr="00C42319">
        <w:tc>
          <w:tcPr>
            <w:tcW w:w="1982" w:type="dxa"/>
            <w:tcMar>
              <w:top w:w="0" w:type="dxa"/>
              <w:left w:w="108" w:type="dxa"/>
              <w:bottom w:w="0" w:type="dxa"/>
              <w:right w:w="108" w:type="dxa"/>
            </w:tcMar>
            <w:vAlign w:val="center"/>
          </w:tcPr>
          <w:p w14:paraId="2F3A9BE5" w14:textId="77777777" w:rsidR="000775B9" w:rsidRPr="00154F1D" w:rsidRDefault="000775B9" w:rsidP="00464354">
            <w:pPr>
              <w:spacing w:beforeLines="20" w:before="48" w:afterLines="20" w:after="48"/>
              <w:rPr>
                <w:b/>
                <w:sz w:val="20"/>
                <w:szCs w:val="20"/>
              </w:rPr>
            </w:pPr>
            <w:r w:rsidRPr="00154F1D">
              <w:rPr>
                <w:b/>
                <w:sz w:val="20"/>
                <w:szCs w:val="20"/>
              </w:rPr>
              <w:t>Supervision Orders</w:t>
            </w:r>
          </w:p>
        </w:tc>
        <w:tc>
          <w:tcPr>
            <w:tcW w:w="6298" w:type="dxa"/>
            <w:gridSpan w:val="4"/>
            <w:tcMar>
              <w:top w:w="0" w:type="dxa"/>
              <w:left w:w="108" w:type="dxa"/>
              <w:bottom w:w="0" w:type="dxa"/>
              <w:right w:w="108" w:type="dxa"/>
            </w:tcMar>
          </w:tcPr>
          <w:p w14:paraId="3C529930" w14:textId="77777777" w:rsidR="000775B9" w:rsidRPr="00154F1D" w:rsidRDefault="000775B9" w:rsidP="00464354">
            <w:pPr>
              <w:spacing w:beforeLines="20" w:before="48" w:afterLines="20" w:after="48"/>
              <w:jc w:val="center"/>
              <w:rPr>
                <w:sz w:val="20"/>
                <w:szCs w:val="20"/>
              </w:rPr>
            </w:pPr>
          </w:p>
        </w:tc>
      </w:tr>
      <w:tr w:rsidR="00EE0C80" w:rsidRPr="00154F1D" w14:paraId="63603B9B" w14:textId="77777777" w:rsidTr="00C42319">
        <w:tc>
          <w:tcPr>
            <w:tcW w:w="1982" w:type="dxa"/>
            <w:tcMar>
              <w:top w:w="0" w:type="dxa"/>
              <w:left w:w="108" w:type="dxa"/>
              <w:bottom w:w="0" w:type="dxa"/>
              <w:right w:w="108" w:type="dxa"/>
            </w:tcMar>
            <w:hideMark/>
          </w:tcPr>
          <w:p w14:paraId="66D6D7BC" w14:textId="77777777" w:rsidR="00EE0C80" w:rsidRPr="00154F1D" w:rsidRDefault="00EE0C80" w:rsidP="00464354">
            <w:pPr>
              <w:spacing w:beforeLines="20" w:before="48" w:afterLines="20" w:after="48"/>
              <w:jc w:val="center"/>
              <w:rPr>
                <w:sz w:val="20"/>
                <w:szCs w:val="20"/>
              </w:rPr>
            </w:pPr>
            <w:r w:rsidRPr="00154F1D">
              <w:rPr>
                <w:sz w:val="20"/>
                <w:szCs w:val="20"/>
              </w:rPr>
              <w:t> </w:t>
            </w:r>
          </w:p>
        </w:tc>
        <w:tc>
          <w:tcPr>
            <w:tcW w:w="2052" w:type="dxa"/>
            <w:tcMar>
              <w:top w:w="0" w:type="dxa"/>
              <w:left w:w="108" w:type="dxa"/>
              <w:bottom w:w="0" w:type="dxa"/>
              <w:right w:w="108" w:type="dxa"/>
            </w:tcMar>
            <w:vAlign w:val="center"/>
            <w:hideMark/>
          </w:tcPr>
          <w:p w14:paraId="5B1F3298" w14:textId="77777777" w:rsidR="00EE0C80" w:rsidRPr="00154F1D" w:rsidRDefault="00EE0C80" w:rsidP="00464354">
            <w:pPr>
              <w:spacing w:beforeLines="20" w:before="48" w:afterLines="20" w:after="48"/>
              <w:jc w:val="center"/>
              <w:rPr>
                <w:sz w:val="20"/>
                <w:szCs w:val="20"/>
              </w:rPr>
            </w:pPr>
            <w:r w:rsidRPr="00154F1D">
              <w:rPr>
                <w:sz w:val="20"/>
                <w:szCs w:val="20"/>
              </w:rPr>
              <w:t>13</w:t>
            </w:r>
          </w:p>
        </w:tc>
        <w:tc>
          <w:tcPr>
            <w:tcW w:w="1335" w:type="dxa"/>
            <w:tcMar>
              <w:top w:w="0" w:type="dxa"/>
              <w:left w:w="108" w:type="dxa"/>
              <w:bottom w:w="0" w:type="dxa"/>
              <w:right w:w="108" w:type="dxa"/>
            </w:tcMar>
            <w:vAlign w:val="center"/>
            <w:hideMark/>
          </w:tcPr>
          <w:p w14:paraId="56E4CF41" w14:textId="77777777" w:rsidR="00EE0C80" w:rsidRPr="00154F1D" w:rsidRDefault="00EE0C80" w:rsidP="00464354">
            <w:pPr>
              <w:spacing w:beforeLines="20" w:before="48" w:afterLines="20" w:after="48"/>
              <w:jc w:val="center"/>
              <w:rPr>
                <w:sz w:val="20"/>
                <w:szCs w:val="20"/>
              </w:rPr>
            </w:pPr>
            <w:r w:rsidRPr="00154F1D">
              <w:rPr>
                <w:sz w:val="20"/>
                <w:szCs w:val="20"/>
              </w:rPr>
              <w:t>4</w:t>
            </w:r>
          </w:p>
        </w:tc>
        <w:tc>
          <w:tcPr>
            <w:tcW w:w="1294" w:type="dxa"/>
            <w:tcMar>
              <w:top w:w="0" w:type="dxa"/>
              <w:left w:w="108" w:type="dxa"/>
              <w:bottom w:w="0" w:type="dxa"/>
              <w:right w:w="108" w:type="dxa"/>
            </w:tcMar>
            <w:vAlign w:val="center"/>
            <w:hideMark/>
          </w:tcPr>
          <w:p w14:paraId="22EFC8E2" w14:textId="78C29A79" w:rsidR="00EE0C80" w:rsidRPr="00154F1D" w:rsidRDefault="00EE0C80" w:rsidP="00464354">
            <w:pPr>
              <w:spacing w:beforeLines="20" w:before="48" w:afterLines="20" w:after="48"/>
              <w:jc w:val="center"/>
              <w:rPr>
                <w:sz w:val="20"/>
                <w:szCs w:val="20"/>
              </w:rPr>
            </w:pPr>
          </w:p>
        </w:tc>
        <w:tc>
          <w:tcPr>
            <w:tcW w:w="1617" w:type="dxa"/>
            <w:tcMar>
              <w:top w:w="0" w:type="dxa"/>
              <w:left w:w="108" w:type="dxa"/>
              <w:bottom w:w="0" w:type="dxa"/>
              <w:right w:w="108" w:type="dxa"/>
            </w:tcMar>
            <w:vAlign w:val="center"/>
            <w:hideMark/>
          </w:tcPr>
          <w:p w14:paraId="11577640" w14:textId="4A33F643" w:rsidR="00EE0C80" w:rsidRPr="00154F1D" w:rsidRDefault="00EE0C80" w:rsidP="00464354">
            <w:pPr>
              <w:spacing w:beforeLines="20" w:before="48" w:afterLines="20" w:after="48"/>
              <w:jc w:val="center"/>
              <w:rPr>
                <w:sz w:val="20"/>
                <w:szCs w:val="20"/>
              </w:rPr>
            </w:pPr>
            <w:r w:rsidRPr="00154F1D">
              <w:rPr>
                <w:sz w:val="20"/>
                <w:szCs w:val="20"/>
              </w:rPr>
              <w:t>Conditional orders made, 12</w:t>
            </w:r>
            <w:r w:rsidR="00464354" w:rsidRPr="00154F1D">
              <w:rPr>
                <w:sz w:val="20"/>
                <w:szCs w:val="20"/>
              </w:rPr>
              <w:t>–</w:t>
            </w:r>
            <w:r w:rsidRPr="00154F1D">
              <w:rPr>
                <w:sz w:val="20"/>
                <w:szCs w:val="20"/>
              </w:rPr>
              <w:t>24 mths</w:t>
            </w:r>
          </w:p>
        </w:tc>
      </w:tr>
      <w:tr w:rsidR="00EE0C80" w:rsidRPr="00154F1D" w14:paraId="3006B4C0" w14:textId="77777777" w:rsidTr="00C42319">
        <w:tc>
          <w:tcPr>
            <w:tcW w:w="1982" w:type="dxa"/>
            <w:tcMar>
              <w:top w:w="0" w:type="dxa"/>
              <w:left w:w="108" w:type="dxa"/>
              <w:bottom w:w="0" w:type="dxa"/>
              <w:right w:w="108" w:type="dxa"/>
            </w:tcMar>
            <w:hideMark/>
          </w:tcPr>
          <w:p w14:paraId="7DDB98A6" w14:textId="77777777" w:rsidR="00EE0C80" w:rsidRPr="00154F1D" w:rsidRDefault="00EE0C80" w:rsidP="00464354">
            <w:pPr>
              <w:spacing w:beforeLines="20" w:before="48" w:afterLines="20" w:after="48"/>
              <w:jc w:val="center"/>
              <w:rPr>
                <w:sz w:val="20"/>
                <w:szCs w:val="20"/>
              </w:rPr>
            </w:pPr>
            <w:r w:rsidRPr="00154F1D">
              <w:rPr>
                <w:sz w:val="20"/>
                <w:szCs w:val="20"/>
              </w:rPr>
              <w:t> </w:t>
            </w:r>
          </w:p>
        </w:tc>
        <w:tc>
          <w:tcPr>
            <w:tcW w:w="2052" w:type="dxa"/>
            <w:tcMar>
              <w:top w:w="0" w:type="dxa"/>
              <w:left w:w="108" w:type="dxa"/>
              <w:bottom w:w="0" w:type="dxa"/>
              <w:right w:w="108" w:type="dxa"/>
            </w:tcMar>
            <w:vAlign w:val="center"/>
            <w:hideMark/>
          </w:tcPr>
          <w:p w14:paraId="6C7C155C" w14:textId="75EE4605" w:rsidR="00EE0C80" w:rsidRPr="00154F1D" w:rsidRDefault="00EE0C80" w:rsidP="00464354">
            <w:pPr>
              <w:spacing w:beforeLines="20" w:before="48" w:afterLines="20" w:after="48"/>
              <w:jc w:val="center"/>
              <w:rPr>
                <w:sz w:val="20"/>
                <w:szCs w:val="20"/>
              </w:rPr>
            </w:pPr>
          </w:p>
        </w:tc>
        <w:tc>
          <w:tcPr>
            <w:tcW w:w="1335" w:type="dxa"/>
            <w:tcMar>
              <w:top w:w="0" w:type="dxa"/>
              <w:left w:w="108" w:type="dxa"/>
              <w:bottom w:w="0" w:type="dxa"/>
              <w:right w:w="108" w:type="dxa"/>
            </w:tcMar>
            <w:vAlign w:val="center"/>
            <w:hideMark/>
          </w:tcPr>
          <w:p w14:paraId="6F4C4A67" w14:textId="77777777" w:rsidR="00EE0C80" w:rsidRPr="00154F1D" w:rsidRDefault="00EE0C80" w:rsidP="00464354">
            <w:pPr>
              <w:spacing w:beforeLines="20" w:before="48" w:afterLines="20" w:after="48"/>
              <w:jc w:val="center"/>
              <w:rPr>
                <w:sz w:val="20"/>
                <w:szCs w:val="20"/>
              </w:rPr>
            </w:pPr>
            <w:r w:rsidRPr="00154F1D">
              <w:rPr>
                <w:sz w:val="20"/>
                <w:szCs w:val="20"/>
              </w:rPr>
              <w:t>3</w:t>
            </w:r>
          </w:p>
        </w:tc>
        <w:tc>
          <w:tcPr>
            <w:tcW w:w="1294" w:type="dxa"/>
            <w:tcMar>
              <w:top w:w="0" w:type="dxa"/>
              <w:left w:w="108" w:type="dxa"/>
              <w:bottom w:w="0" w:type="dxa"/>
              <w:right w:w="108" w:type="dxa"/>
            </w:tcMar>
            <w:vAlign w:val="center"/>
            <w:hideMark/>
          </w:tcPr>
          <w:p w14:paraId="5CCF457B" w14:textId="51011F8F" w:rsidR="00EE0C80" w:rsidRPr="00154F1D" w:rsidRDefault="00EE0C80" w:rsidP="00464354">
            <w:pPr>
              <w:spacing w:beforeLines="20" w:before="48" w:afterLines="20" w:after="48"/>
              <w:jc w:val="center"/>
              <w:rPr>
                <w:sz w:val="20"/>
                <w:szCs w:val="20"/>
              </w:rPr>
            </w:pPr>
          </w:p>
        </w:tc>
        <w:tc>
          <w:tcPr>
            <w:tcW w:w="1617" w:type="dxa"/>
            <w:tcMar>
              <w:top w:w="0" w:type="dxa"/>
              <w:left w:w="108" w:type="dxa"/>
              <w:bottom w:w="0" w:type="dxa"/>
              <w:right w:w="108" w:type="dxa"/>
            </w:tcMar>
            <w:vAlign w:val="center"/>
            <w:hideMark/>
          </w:tcPr>
          <w:p w14:paraId="7BF2E34B" w14:textId="0063F29F" w:rsidR="00EE0C80" w:rsidRPr="00154F1D" w:rsidRDefault="00EE0C80" w:rsidP="00464354">
            <w:pPr>
              <w:spacing w:beforeLines="20" w:before="48" w:afterLines="20" w:after="48"/>
              <w:jc w:val="center"/>
              <w:rPr>
                <w:sz w:val="20"/>
                <w:szCs w:val="20"/>
              </w:rPr>
            </w:pPr>
            <w:r w:rsidRPr="00154F1D">
              <w:rPr>
                <w:sz w:val="20"/>
                <w:szCs w:val="20"/>
              </w:rPr>
              <w:t>Revoked</w:t>
            </w:r>
          </w:p>
        </w:tc>
      </w:tr>
      <w:tr w:rsidR="00EE0C80" w:rsidRPr="00154F1D" w14:paraId="27FFEBB0" w14:textId="77777777" w:rsidTr="00C42319">
        <w:tc>
          <w:tcPr>
            <w:tcW w:w="1982" w:type="dxa"/>
            <w:tcMar>
              <w:top w:w="0" w:type="dxa"/>
              <w:left w:w="108" w:type="dxa"/>
              <w:bottom w:w="0" w:type="dxa"/>
              <w:right w:w="108" w:type="dxa"/>
            </w:tcMar>
            <w:hideMark/>
          </w:tcPr>
          <w:p w14:paraId="0C50F103" w14:textId="77777777" w:rsidR="00EE0C80" w:rsidRPr="00154F1D" w:rsidRDefault="00EE0C80" w:rsidP="00464354">
            <w:pPr>
              <w:spacing w:beforeLines="20" w:before="48" w:afterLines="20" w:after="48"/>
              <w:jc w:val="center"/>
              <w:rPr>
                <w:sz w:val="20"/>
                <w:szCs w:val="20"/>
              </w:rPr>
            </w:pPr>
            <w:r w:rsidRPr="00154F1D">
              <w:rPr>
                <w:sz w:val="20"/>
                <w:szCs w:val="20"/>
              </w:rPr>
              <w:t> </w:t>
            </w:r>
          </w:p>
        </w:tc>
        <w:tc>
          <w:tcPr>
            <w:tcW w:w="2052" w:type="dxa"/>
            <w:tcMar>
              <w:top w:w="0" w:type="dxa"/>
              <w:left w:w="108" w:type="dxa"/>
              <w:bottom w:w="0" w:type="dxa"/>
              <w:right w:w="108" w:type="dxa"/>
            </w:tcMar>
            <w:vAlign w:val="center"/>
            <w:hideMark/>
          </w:tcPr>
          <w:p w14:paraId="183AA99A" w14:textId="1A664AA5" w:rsidR="00EE0C80" w:rsidRPr="00154F1D" w:rsidRDefault="00EE0C80" w:rsidP="00464354">
            <w:pPr>
              <w:spacing w:beforeLines="20" w:before="48" w:afterLines="20" w:after="48"/>
              <w:jc w:val="center"/>
              <w:rPr>
                <w:sz w:val="20"/>
                <w:szCs w:val="20"/>
              </w:rPr>
            </w:pPr>
          </w:p>
        </w:tc>
        <w:tc>
          <w:tcPr>
            <w:tcW w:w="1335" w:type="dxa"/>
            <w:tcMar>
              <w:top w:w="0" w:type="dxa"/>
              <w:left w:w="108" w:type="dxa"/>
              <w:bottom w:w="0" w:type="dxa"/>
              <w:right w:w="108" w:type="dxa"/>
            </w:tcMar>
            <w:vAlign w:val="center"/>
            <w:hideMark/>
          </w:tcPr>
          <w:p w14:paraId="1D89448D" w14:textId="614A6658" w:rsidR="00EE0C80" w:rsidRPr="00154F1D" w:rsidRDefault="00EE0C80" w:rsidP="00464354">
            <w:pPr>
              <w:spacing w:beforeLines="20" w:before="48" w:afterLines="20" w:after="48"/>
              <w:jc w:val="center"/>
              <w:rPr>
                <w:sz w:val="20"/>
                <w:szCs w:val="20"/>
              </w:rPr>
            </w:pPr>
          </w:p>
        </w:tc>
        <w:tc>
          <w:tcPr>
            <w:tcW w:w="1294" w:type="dxa"/>
            <w:tcMar>
              <w:top w:w="0" w:type="dxa"/>
              <w:left w:w="108" w:type="dxa"/>
              <w:bottom w:w="0" w:type="dxa"/>
              <w:right w:w="108" w:type="dxa"/>
            </w:tcMar>
            <w:vAlign w:val="center"/>
            <w:hideMark/>
          </w:tcPr>
          <w:p w14:paraId="36179344" w14:textId="77777777" w:rsidR="00EE0C80" w:rsidRPr="00154F1D" w:rsidRDefault="00EE0C80" w:rsidP="00464354">
            <w:pPr>
              <w:spacing w:beforeLines="20" w:before="48" w:afterLines="20" w:after="48"/>
              <w:jc w:val="center"/>
              <w:rPr>
                <w:sz w:val="20"/>
                <w:szCs w:val="20"/>
              </w:rPr>
            </w:pPr>
            <w:r w:rsidRPr="00154F1D">
              <w:rPr>
                <w:sz w:val="20"/>
                <w:szCs w:val="20"/>
              </w:rPr>
              <w:t>1</w:t>
            </w:r>
          </w:p>
        </w:tc>
        <w:tc>
          <w:tcPr>
            <w:tcW w:w="1617" w:type="dxa"/>
            <w:tcMar>
              <w:top w:w="0" w:type="dxa"/>
              <w:left w:w="108" w:type="dxa"/>
              <w:bottom w:w="0" w:type="dxa"/>
              <w:right w:w="108" w:type="dxa"/>
            </w:tcMar>
            <w:vAlign w:val="center"/>
            <w:hideMark/>
          </w:tcPr>
          <w:p w14:paraId="67905B00" w14:textId="22CE6858" w:rsidR="00EE0C80" w:rsidRPr="00154F1D" w:rsidRDefault="00EE0C80" w:rsidP="00464354">
            <w:pPr>
              <w:spacing w:beforeLines="20" w:before="48" w:afterLines="20" w:after="48"/>
              <w:jc w:val="center"/>
              <w:rPr>
                <w:sz w:val="20"/>
                <w:szCs w:val="20"/>
              </w:rPr>
            </w:pPr>
            <w:r w:rsidRPr="00154F1D">
              <w:rPr>
                <w:sz w:val="20"/>
                <w:szCs w:val="20"/>
              </w:rPr>
              <w:t>SO varied</w:t>
            </w:r>
          </w:p>
        </w:tc>
      </w:tr>
      <w:tr w:rsidR="00EE0C80" w:rsidRPr="00154F1D" w14:paraId="2034EB9A" w14:textId="77777777" w:rsidTr="00C42319">
        <w:tc>
          <w:tcPr>
            <w:tcW w:w="1982" w:type="dxa"/>
            <w:tcMar>
              <w:top w:w="0" w:type="dxa"/>
              <w:left w:w="108" w:type="dxa"/>
              <w:bottom w:w="0" w:type="dxa"/>
              <w:right w:w="108" w:type="dxa"/>
            </w:tcMar>
            <w:hideMark/>
          </w:tcPr>
          <w:p w14:paraId="20018CDD" w14:textId="77777777" w:rsidR="00EE0C80" w:rsidRPr="00154F1D" w:rsidRDefault="00EE0C80" w:rsidP="00464354">
            <w:pPr>
              <w:spacing w:beforeLines="20" w:before="48" w:afterLines="20" w:after="48"/>
              <w:jc w:val="center"/>
              <w:rPr>
                <w:sz w:val="20"/>
                <w:szCs w:val="20"/>
              </w:rPr>
            </w:pPr>
            <w:r w:rsidRPr="00154F1D">
              <w:rPr>
                <w:sz w:val="20"/>
                <w:szCs w:val="20"/>
              </w:rPr>
              <w:t> </w:t>
            </w:r>
          </w:p>
        </w:tc>
        <w:tc>
          <w:tcPr>
            <w:tcW w:w="2052" w:type="dxa"/>
            <w:tcMar>
              <w:top w:w="0" w:type="dxa"/>
              <w:left w:w="108" w:type="dxa"/>
              <w:bottom w:w="0" w:type="dxa"/>
              <w:right w:w="108" w:type="dxa"/>
            </w:tcMar>
            <w:vAlign w:val="center"/>
            <w:hideMark/>
          </w:tcPr>
          <w:p w14:paraId="7685D086" w14:textId="3DCE796E" w:rsidR="00EE0C80" w:rsidRPr="00154F1D" w:rsidRDefault="00EE0C80" w:rsidP="00464354">
            <w:pPr>
              <w:spacing w:beforeLines="20" w:before="48" w:afterLines="20" w:after="48"/>
              <w:jc w:val="center"/>
              <w:rPr>
                <w:sz w:val="20"/>
                <w:szCs w:val="20"/>
              </w:rPr>
            </w:pPr>
          </w:p>
        </w:tc>
        <w:tc>
          <w:tcPr>
            <w:tcW w:w="1335" w:type="dxa"/>
            <w:tcMar>
              <w:top w:w="0" w:type="dxa"/>
              <w:left w:w="108" w:type="dxa"/>
              <w:bottom w:w="0" w:type="dxa"/>
              <w:right w:w="108" w:type="dxa"/>
            </w:tcMar>
            <w:vAlign w:val="center"/>
            <w:hideMark/>
          </w:tcPr>
          <w:p w14:paraId="069DA782" w14:textId="35153ED0" w:rsidR="00EE0C80" w:rsidRPr="00154F1D" w:rsidRDefault="00EE0C80" w:rsidP="00464354">
            <w:pPr>
              <w:spacing w:beforeLines="20" w:before="48" w:afterLines="20" w:after="48"/>
              <w:jc w:val="center"/>
              <w:rPr>
                <w:sz w:val="20"/>
                <w:szCs w:val="20"/>
              </w:rPr>
            </w:pPr>
          </w:p>
        </w:tc>
        <w:tc>
          <w:tcPr>
            <w:tcW w:w="1294" w:type="dxa"/>
            <w:tcMar>
              <w:top w:w="0" w:type="dxa"/>
              <w:left w:w="108" w:type="dxa"/>
              <w:bottom w:w="0" w:type="dxa"/>
              <w:right w:w="108" w:type="dxa"/>
            </w:tcMar>
            <w:vAlign w:val="center"/>
            <w:hideMark/>
          </w:tcPr>
          <w:p w14:paraId="692FDF65" w14:textId="77777777" w:rsidR="00EE0C80" w:rsidRPr="00154F1D" w:rsidRDefault="00EE0C80" w:rsidP="00464354">
            <w:pPr>
              <w:spacing w:beforeLines="20" w:before="48" w:afterLines="20" w:after="48"/>
              <w:jc w:val="center"/>
              <w:rPr>
                <w:sz w:val="20"/>
                <w:szCs w:val="20"/>
              </w:rPr>
            </w:pPr>
            <w:r w:rsidRPr="00154F1D">
              <w:rPr>
                <w:sz w:val="20"/>
                <w:szCs w:val="20"/>
              </w:rPr>
              <w:t>3</w:t>
            </w:r>
          </w:p>
        </w:tc>
        <w:tc>
          <w:tcPr>
            <w:tcW w:w="1617" w:type="dxa"/>
            <w:tcMar>
              <w:top w:w="0" w:type="dxa"/>
              <w:left w:w="108" w:type="dxa"/>
              <w:bottom w:w="0" w:type="dxa"/>
              <w:right w:w="108" w:type="dxa"/>
            </w:tcMar>
            <w:vAlign w:val="center"/>
            <w:hideMark/>
          </w:tcPr>
          <w:p w14:paraId="6E53CEE4" w14:textId="54F71666" w:rsidR="00EE0C80" w:rsidRPr="00154F1D" w:rsidRDefault="00EE0C80" w:rsidP="00464354">
            <w:pPr>
              <w:spacing w:beforeLines="20" w:before="48" w:afterLines="20" w:after="48"/>
              <w:jc w:val="center"/>
              <w:rPr>
                <w:sz w:val="20"/>
                <w:szCs w:val="20"/>
              </w:rPr>
            </w:pPr>
            <w:r w:rsidRPr="00154F1D">
              <w:rPr>
                <w:sz w:val="20"/>
                <w:szCs w:val="20"/>
              </w:rPr>
              <w:t>New application on foot</w:t>
            </w:r>
          </w:p>
        </w:tc>
      </w:tr>
      <w:tr w:rsidR="00EE0C80" w:rsidRPr="00154F1D" w14:paraId="48789B7D" w14:textId="77777777" w:rsidTr="00C42319">
        <w:tc>
          <w:tcPr>
            <w:tcW w:w="1982" w:type="dxa"/>
            <w:tcMar>
              <w:top w:w="0" w:type="dxa"/>
              <w:left w:w="108" w:type="dxa"/>
              <w:bottom w:w="0" w:type="dxa"/>
              <w:right w:w="108" w:type="dxa"/>
            </w:tcMar>
            <w:hideMark/>
          </w:tcPr>
          <w:p w14:paraId="293F46A4" w14:textId="77777777" w:rsidR="00EE0C80" w:rsidRPr="00154F1D" w:rsidRDefault="00EE0C80" w:rsidP="00464354">
            <w:pPr>
              <w:spacing w:beforeLines="20" w:before="48" w:afterLines="20" w:after="48"/>
              <w:jc w:val="center"/>
              <w:rPr>
                <w:sz w:val="20"/>
                <w:szCs w:val="20"/>
              </w:rPr>
            </w:pPr>
            <w:r w:rsidRPr="00154F1D">
              <w:rPr>
                <w:sz w:val="20"/>
                <w:szCs w:val="20"/>
              </w:rPr>
              <w:t> </w:t>
            </w:r>
          </w:p>
        </w:tc>
        <w:tc>
          <w:tcPr>
            <w:tcW w:w="2052" w:type="dxa"/>
            <w:tcMar>
              <w:top w:w="0" w:type="dxa"/>
              <w:left w:w="108" w:type="dxa"/>
              <w:bottom w:w="0" w:type="dxa"/>
              <w:right w:w="108" w:type="dxa"/>
            </w:tcMar>
            <w:vAlign w:val="center"/>
            <w:hideMark/>
          </w:tcPr>
          <w:p w14:paraId="7B85D74B" w14:textId="1FB67254" w:rsidR="00EE0C80" w:rsidRPr="00154F1D" w:rsidRDefault="00EE0C80" w:rsidP="00464354">
            <w:pPr>
              <w:spacing w:beforeLines="20" w:before="48" w:afterLines="20" w:after="48"/>
              <w:jc w:val="center"/>
              <w:rPr>
                <w:sz w:val="20"/>
                <w:szCs w:val="20"/>
              </w:rPr>
            </w:pPr>
          </w:p>
        </w:tc>
        <w:tc>
          <w:tcPr>
            <w:tcW w:w="1335" w:type="dxa"/>
            <w:tcMar>
              <w:top w:w="0" w:type="dxa"/>
              <w:left w:w="108" w:type="dxa"/>
              <w:bottom w:w="0" w:type="dxa"/>
              <w:right w:w="108" w:type="dxa"/>
            </w:tcMar>
            <w:vAlign w:val="center"/>
            <w:hideMark/>
          </w:tcPr>
          <w:p w14:paraId="58A150A8" w14:textId="354CB92A" w:rsidR="00EE0C80" w:rsidRPr="00154F1D" w:rsidRDefault="00EE0C80" w:rsidP="00464354">
            <w:pPr>
              <w:spacing w:beforeLines="20" w:before="48" w:afterLines="20" w:after="48"/>
              <w:jc w:val="center"/>
              <w:rPr>
                <w:sz w:val="20"/>
                <w:szCs w:val="20"/>
              </w:rPr>
            </w:pPr>
          </w:p>
        </w:tc>
        <w:tc>
          <w:tcPr>
            <w:tcW w:w="1294" w:type="dxa"/>
            <w:tcMar>
              <w:top w:w="0" w:type="dxa"/>
              <w:left w:w="108" w:type="dxa"/>
              <w:bottom w:w="0" w:type="dxa"/>
              <w:right w:w="108" w:type="dxa"/>
            </w:tcMar>
            <w:vAlign w:val="center"/>
            <w:hideMark/>
          </w:tcPr>
          <w:p w14:paraId="3FA012F9" w14:textId="77777777" w:rsidR="00EE0C80" w:rsidRPr="00154F1D" w:rsidRDefault="00EE0C80" w:rsidP="00464354">
            <w:pPr>
              <w:spacing w:beforeLines="20" w:before="48" w:afterLines="20" w:after="48"/>
              <w:jc w:val="center"/>
              <w:rPr>
                <w:sz w:val="20"/>
                <w:szCs w:val="20"/>
              </w:rPr>
            </w:pPr>
            <w:r w:rsidRPr="00154F1D">
              <w:rPr>
                <w:sz w:val="20"/>
                <w:szCs w:val="20"/>
              </w:rPr>
              <w:t>1</w:t>
            </w:r>
          </w:p>
        </w:tc>
        <w:tc>
          <w:tcPr>
            <w:tcW w:w="1617" w:type="dxa"/>
            <w:tcMar>
              <w:top w:w="0" w:type="dxa"/>
              <w:left w:w="108" w:type="dxa"/>
              <w:bottom w:w="0" w:type="dxa"/>
              <w:right w:w="108" w:type="dxa"/>
            </w:tcMar>
            <w:vAlign w:val="center"/>
            <w:hideMark/>
          </w:tcPr>
          <w:p w14:paraId="007CA2A7" w14:textId="7987C998" w:rsidR="00EE0C80" w:rsidRPr="00154F1D" w:rsidRDefault="00EE0C80" w:rsidP="00464354">
            <w:pPr>
              <w:spacing w:beforeLines="20" w:before="48" w:afterLines="20" w:after="48"/>
              <w:jc w:val="center"/>
              <w:rPr>
                <w:sz w:val="20"/>
                <w:szCs w:val="20"/>
              </w:rPr>
            </w:pPr>
            <w:r w:rsidRPr="00154F1D">
              <w:rPr>
                <w:sz w:val="20"/>
                <w:szCs w:val="20"/>
              </w:rPr>
              <w:t>Client withdrew</w:t>
            </w:r>
          </w:p>
        </w:tc>
      </w:tr>
      <w:tr w:rsidR="00EE0C80" w:rsidRPr="00154F1D" w14:paraId="0229EE98" w14:textId="77777777" w:rsidTr="00C42319">
        <w:tc>
          <w:tcPr>
            <w:tcW w:w="1982" w:type="dxa"/>
            <w:tcMar>
              <w:top w:w="0" w:type="dxa"/>
              <w:left w:w="108" w:type="dxa"/>
              <w:bottom w:w="0" w:type="dxa"/>
              <w:right w:w="108" w:type="dxa"/>
            </w:tcMar>
            <w:hideMark/>
          </w:tcPr>
          <w:p w14:paraId="55F1D471" w14:textId="77777777" w:rsidR="00EE0C80" w:rsidRPr="00154F1D" w:rsidRDefault="00EE0C80" w:rsidP="00464354">
            <w:pPr>
              <w:spacing w:beforeLines="20" w:before="48" w:afterLines="20" w:after="48"/>
              <w:jc w:val="center"/>
              <w:rPr>
                <w:sz w:val="20"/>
                <w:szCs w:val="20"/>
              </w:rPr>
            </w:pPr>
            <w:r w:rsidRPr="00154F1D">
              <w:rPr>
                <w:sz w:val="20"/>
                <w:szCs w:val="20"/>
              </w:rPr>
              <w:t> </w:t>
            </w:r>
          </w:p>
        </w:tc>
        <w:tc>
          <w:tcPr>
            <w:tcW w:w="2052" w:type="dxa"/>
            <w:tcMar>
              <w:top w:w="0" w:type="dxa"/>
              <w:left w:w="108" w:type="dxa"/>
              <w:bottom w:w="0" w:type="dxa"/>
              <w:right w:w="108" w:type="dxa"/>
            </w:tcMar>
            <w:vAlign w:val="center"/>
            <w:hideMark/>
          </w:tcPr>
          <w:p w14:paraId="396FC3AD" w14:textId="496CEFC2" w:rsidR="00EE0C80" w:rsidRPr="00154F1D" w:rsidRDefault="00EE0C80" w:rsidP="00464354">
            <w:pPr>
              <w:spacing w:beforeLines="20" w:before="48" w:afterLines="20" w:after="48"/>
              <w:jc w:val="center"/>
              <w:rPr>
                <w:sz w:val="20"/>
                <w:szCs w:val="20"/>
              </w:rPr>
            </w:pPr>
          </w:p>
        </w:tc>
        <w:tc>
          <w:tcPr>
            <w:tcW w:w="1335" w:type="dxa"/>
            <w:tcMar>
              <w:top w:w="0" w:type="dxa"/>
              <w:left w:w="108" w:type="dxa"/>
              <w:bottom w:w="0" w:type="dxa"/>
              <w:right w:w="108" w:type="dxa"/>
            </w:tcMar>
            <w:vAlign w:val="center"/>
            <w:hideMark/>
          </w:tcPr>
          <w:p w14:paraId="0FB28869" w14:textId="7336CD8D" w:rsidR="00EE0C80" w:rsidRPr="00154F1D" w:rsidRDefault="00EE0C80" w:rsidP="00464354">
            <w:pPr>
              <w:spacing w:beforeLines="20" w:before="48" w:afterLines="20" w:after="48"/>
              <w:jc w:val="center"/>
              <w:rPr>
                <w:sz w:val="20"/>
                <w:szCs w:val="20"/>
              </w:rPr>
            </w:pPr>
          </w:p>
        </w:tc>
        <w:tc>
          <w:tcPr>
            <w:tcW w:w="1294" w:type="dxa"/>
            <w:tcMar>
              <w:top w:w="0" w:type="dxa"/>
              <w:left w:w="108" w:type="dxa"/>
              <w:bottom w:w="0" w:type="dxa"/>
              <w:right w:w="108" w:type="dxa"/>
            </w:tcMar>
            <w:vAlign w:val="center"/>
            <w:hideMark/>
          </w:tcPr>
          <w:p w14:paraId="4F27DF56" w14:textId="77777777" w:rsidR="00EE0C80" w:rsidRPr="00154F1D" w:rsidRDefault="00EE0C80" w:rsidP="00464354">
            <w:pPr>
              <w:spacing w:beforeLines="20" w:before="48" w:afterLines="20" w:after="48"/>
              <w:jc w:val="center"/>
              <w:rPr>
                <w:sz w:val="20"/>
                <w:szCs w:val="20"/>
              </w:rPr>
            </w:pPr>
            <w:r w:rsidRPr="00154F1D">
              <w:rPr>
                <w:sz w:val="20"/>
                <w:szCs w:val="20"/>
              </w:rPr>
              <w:t>1</w:t>
            </w:r>
          </w:p>
        </w:tc>
        <w:tc>
          <w:tcPr>
            <w:tcW w:w="1617" w:type="dxa"/>
            <w:tcMar>
              <w:top w:w="0" w:type="dxa"/>
              <w:left w:w="108" w:type="dxa"/>
              <w:bottom w:w="0" w:type="dxa"/>
              <w:right w:w="108" w:type="dxa"/>
            </w:tcMar>
            <w:vAlign w:val="center"/>
            <w:hideMark/>
          </w:tcPr>
          <w:p w14:paraId="3F42D674" w14:textId="25958E28" w:rsidR="00EE0C80" w:rsidRPr="00154F1D" w:rsidRDefault="00EE0C80" w:rsidP="00464354">
            <w:pPr>
              <w:spacing w:beforeLines="20" w:before="48" w:afterLines="20" w:after="48"/>
              <w:jc w:val="center"/>
              <w:rPr>
                <w:sz w:val="20"/>
                <w:szCs w:val="20"/>
              </w:rPr>
            </w:pPr>
            <w:r w:rsidRPr="00154F1D">
              <w:rPr>
                <w:sz w:val="20"/>
                <w:szCs w:val="20"/>
              </w:rPr>
              <w:t>Ongoing</w:t>
            </w:r>
          </w:p>
        </w:tc>
      </w:tr>
      <w:tr w:rsidR="000775B9" w:rsidRPr="00154F1D" w14:paraId="2EE7E26C" w14:textId="77777777" w:rsidTr="00C42319">
        <w:tc>
          <w:tcPr>
            <w:tcW w:w="1982" w:type="dxa"/>
            <w:tcMar>
              <w:top w:w="0" w:type="dxa"/>
              <w:left w:w="108" w:type="dxa"/>
              <w:bottom w:w="0" w:type="dxa"/>
              <w:right w:w="108" w:type="dxa"/>
            </w:tcMar>
            <w:vAlign w:val="center"/>
            <w:hideMark/>
          </w:tcPr>
          <w:p w14:paraId="1DB2F784" w14:textId="77777777" w:rsidR="000775B9" w:rsidRPr="00154F1D" w:rsidRDefault="000775B9" w:rsidP="00464354">
            <w:pPr>
              <w:spacing w:beforeLines="20" w:before="48" w:afterLines="20" w:after="48"/>
              <w:rPr>
                <w:b/>
                <w:sz w:val="20"/>
                <w:szCs w:val="20"/>
              </w:rPr>
            </w:pPr>
            <w:r w:rsidRPr="00154F1D">
              <w:rPr>
                <w:b/>
                <w:sz w:val="20"/>
                <w:szCs w:val="20"/>
              </w:rPr>
              <w:t>Restriction Orders</w:t>
            </w:r>
          </w:p>
        </w:tc>
        <w:tc>
          <w:tcPr>
            <w:tcW w:w="6298" w:type="dxa"/>
            <w:gridSpan w:val="4"/>
            <w:tcMar>
              <w:top w:w="0" w:type="dxa"/>
              <w:left w:w="108" w:type="dxa"/>
              <w:bottom w:w="0" w:type="dxa"/>
              <w:right w:w="108" w:type="dxa"/>
            </w:tcMar>
            <w:hideMark/>
          </w:tcPr>
          <w:p w14:paraId="1722D8E7" w14:textId="46F65E8E" w:rsidR="000775B9" w:rsidRPr="00154F1D" w:rsidRDefault="000775B9" w:rsidP="00464354">
            <w:pPr>
              <w:spacing w:beforeLines="20" w:before="48" w:afterLines="20" w:after="48"/>
              <w:jc w:val="center"/>
              <w:rPr>
                <w:sz w:val="20"/>
                <w:szCs w:val="20"/>
              </w:rPr>
            </w:pPr>
          </w:p>
        </w:tc>
      </w:tr>
      <w:tr w:rsidR="00EE0C80" w:rsidRPr="00154F1D" w14:paraId="080D7A16" w14:textId="77777777" w:rsidTr="00C42319">
        <w:tc>
          <w:tcPr>
            <w:tcW w:w="1982" w:type="dxa"/>
            <w:tcMar>
              <w:top w:w="0" w:type="dxa"/>
              <w:left w:w="108" w:type="dxa"/>
              <w:bottom w:w="0" w:type="dxa"/>
              <w:right w:w="108" w:type="dxa"/>
            </w:tcMar>
            <w:vAlign w:val="center"/>
            <w:hideMark/>
          </w:tcPr>
          <w:p w14:paraId="10E60E2C" w14:textId="1FAAE57F" w:rsidR="00EE0C80" w:rsidRPr="00154F1D" w:rsidRDefault="00EE0C80" w:rsidP="00464354">
            <w:pPr>
              <w:spacing w:beforeLines="20" w:before="48" w:afterLines="20" w:after="48"/>
              <w:rPr>
                <w:sz w:val="20"/>
                <w:szCs w:val="20"/>
              </w:rPr>
            </w:pPr>
          </w:p>
        </w:tc>
        <w:tc>
          <w:tcPr>
            <w:tcW w:w="2052" w:type="dxa"/>
            <w:tcMar>
              <w:top w:w="0" w:type="dxa"/>
              <w:left w:w="108" w:type="dxa"/>
              <w:bottom w:w="0" w:type="dxa"/>
              <w:right w:w="108" w:type="dxa"/>
            </w:tcMar>
            <w:vAlign w:val="center"/>
            <w:hideMark/>
          </w:tcPr>
          <w:p w14:paraId="64BA65A7" w14:textId="77777777" w:rsidR="00EE0C80" w:rsidRPr="00154F1D" w:rsidRDefault="00EE0C80" w:rsidP="00464354">
            <w:pPr>
              <w:spacing w:beforeLines="20" w:before="48" w:afterLines="20" w:after="48"/>
              <w:jc w:val="center"/>
              <w:rPr>
                <w:sz w:val="20"/>
                <w:szCs w:val="20"/>
              </w:rPr>
            </w:pPr>
            <w:r w:rsidRPr="00154F1D">
              <w:rPr>
                <w:sz w:val="20"/>
                <w:szCs w:val="20"/>
              </w:rPr>
              <w:t>5</w:t>
            </w:r>
          </w:p>
        </w:tc>
        <w:tc>
          <w:tcPr>
            <w:tcW w:w="1335" w:type="dxa"/>
            <w:tcMar>
              <w:top w:w="0" w:type="dxa"/>
              <w:left w:w="108" w:type="dxa"/>
              <w:bottom w:w="0" w:type="dxa"/>
              <w:right w:w="108" w:type="dxa"/>
            </w:tcMar>
            <w:vAlign w:val="center"/>
            <w:hideMark/>
          </w:tcPr>
          <w:p w14:paraId="5DDAB64C" w14:textId="77777777" w:rsidR="00EE0C80" w:rsidRPr="00154F1D" w:rsidRDefault="00EE0C80" w:rsidP="00464354">
            <w:pPr>
              <w:spacing w:beforeLines="20" w:before="48" w:afterLines="20" w:after="48"/>
              <w:jc w:val="center"/>
              <w:rPr>
                <w:sz w:val="20"/>
                <w:szCs w:val="20"/>
              </w:rPr>
            </w:pPr>
            <w:r w:rsidRPr="00154F1D">
              <w:rPr>
                <w:sz w:val="20"/>
                <w:szCs w:val="20"/>
              </w:rPr>
              <w:t>5</w:t>
            </w:r>
          </w:p>
        </w:tc>
        <w:tc>
          <w:tcPr>
            <w:tcW w:w="1294" w:type="dxa"/>
            <w:tcMar>
              <w:top w:w="0" w:type="dxa"/>
              <w:left w:w="108" w:type="dxa"/>
              <w:bottom w:w="0" w:type="dxa"/>
              <w:right w:w="108" w:type="dxa"/>
            </w:tcMar>
            <w:vAlign w:val="center"/>
            <w:hideMark/>
          </w:tcPr>
          <w:p w14:paraId="2A905A67" w14:textId="46F66B35" w:rsidR="00EE0C80" w:rsidRPr="00154F1D" w:rsidRDefault="00EE0C80" w:rsidP="00464354">
            <w:pPr>
              <w:spacing w:beforeLines="20" w:before="48" w:afterLines="20" w:after="48"/>
              <w:jc w:val="center"/>
              <w:rPr>
                <w:sz w:val="20"/>
                <w:szCs w:val="20"/>
              </w:rPr>
            </w:pPr>
          </w:p>
        </w:tc>
        <w:tc>
          <w:tcPr>
            <w:tcW w:w="1617" w:type="dxa"/>
            <w:tcMar>
              <w:top w:w="0" w:type="dxa"/>
              <w:left w:w="108" w:type="dxa"/>
              <w:bottom w:w="0" w:type="dxa"/>
              <w:right w:w="108" w:type="dxa"/>
            </w:tcMar>
            <w:vAlign w:val="center"/>
            <w:hideMark/>
          </w:tcPr>
          <w:p w14:paraId="46A376B3" w14:textId="767BA5BE" w:rsidR="00EE0C80" w:rsidRPr="00154F1D" w:rsidRDefault="00EE0C80" w:rsidP="00464354">
            <w:pPr>
              <w:spacing w:beforeLines="20" w:before="48" w:afterLines="20" w:after="48"/>
              <w:jc w:val="center"/>
              <w:rPr>
                <w:sz w:val="20"/>
                <w:szCs w:val="20"/>
              </w:rPr>
            </w:pPr>
            <w:r w:rsidRPr="00154F1D">
              <w:rPr>
                <w:sz w:val="20"/>
                <w:szCs w:val="20"/>
              </w:rPr>
              <w:t>Supervision order made in substitution</w:t>
            </w:r>
          </w:p>
        </w:tc>
      </w:tr>
    </w:tbl>
    <w:p w14:paraId="3735F575" w14:textId="1D132CD2" w:rsidR="00EE0C80" w:rsidRPr="00154F1D" w:rsidRDefault="00EE0C80" w:rsidP="00744FAA">
      <w:pPr>
        <w:pStyle w:val="NormalNumberedTextTLRI"/>
      </w:pPr>
      <w:r w:rsidRPr="00154F1D">
        <w:t xml:space="preserve">MHT data indicate that from 2005 to 2018, there were seven </w:t>
      </w:r>
      <w:r w:rsidR="00EB02C1" w:rsidRPr="00154F1D">
        <w:t>people</w:t>
      </w:r>
      <w:r w:rsidRPr="00154F1D">
        <w:t xml:space="preserve"> who had their restriction order</w:t>
      </w:r>
      <w:r w:rsidR="00155489" w:rsidRPr="00154F1D">
        <w:t>s</w:t>
      </w:r>
      <w:r w:rsidRPr="00154F1D">
        <w:t xml:space="preserve"> discharged</w:t>
      </w:r>
      <w:r w:rsidR="00454F69" w:rsidRPr="00154F1D">
        <w:t>. In six of the</w:t>
      </w:r>
      <w:r w:rsidR="00155489" w:rsidRPr="00154F1D">
        <w:t>se</w:t>
      </w:r>
      <w:r w:rsidR="00454F69" w:rsidRPr="00154F1D">
        <w:t xml:space="preserve"> cases,</w:t>
      </w:r>
      <w:r w:rsidRPr="00154F1D">
        <w:t xml:space="preserve"> a supervision order </w:t>
      </w:r>
      <w:r w:rsidR="00BB3BC3" w:rsidRPr="00154F1D">
        <w:t xml:space="preserve">was </w:t>
      </w:r>
      <w:r w:rsidRPr="00154F1D">
        <w:t xml:space="preserve">imposed </w:t>
      </w:r>
      <w:r w:rsidR="00454F69" w:rsidRPr="00154F1D">
        <w:t xml:space="preserve">and all these </w:t>
      </w:r>
      <w:r w:rsidR="00EB02C1" w:rsidRPr="00154F1D">
        <w:t>people</w:t>
      </w:r>
      <w:r w:rsidR="00454F69" w:rsidRPr="00154F1D">
        <w:t xml:space="preserve"> remain subject to the supervision order. Current certificates have been issued for two of the</w:t>
      </w:r>
      <w:r w:rsidR="00155489" w:rsidRPr="00154F1D">
        <w:t>se</w:t>
      </w:r>
      <w:r w:rsidR="00454F69" w:rsidRPr="00154F1D">
        <w:t xml:space="preserve"> six</w:t>
      </w:r>
      <w:r w:rsidR="00155489" w:rsidRPr="00154F1D">
        <w:t xml:space="preserve"> people</w:t>
      </w:r>
      <w:r w:rsidR="00454F69" w:rsidRPr="00154F1D">
        <w:t>. A</w:t>
      </w:r>
      <w:r w:rsidRPr="00154F1D">
        <w:t xml:space="preserve">s noted, there are no </w:t>
      </w:r>
      <w:r w:rsidR="00EB02C1" w:rsidRPr="00154F1D">
        <w:t>people</w:t>
      </w:r>
      <w:r w:rsidRPr="00154F1D">
        <w:t xml:space="preserve"> subject to restriction orders who have a current certificate issued from the MHT. MHT data indicate that there were 1</w:t>
      </w:r>
      <w:r w:rsidR="00842ABB" w:rsidRPr="00154F1D">
        <w:t>6</w:t>
      </w:r>
      <w:r w:rsidRPr="00154F1D">
        <w:t xml:space="preserve"> supervision orders that were revoked in this period. As noted, there are </w:t>
      </w:r>
      <w:r w:rsidR="00C42319" w:rsidRPr="00154F1D">
        <w:t>eight</w:t>
      </w:r>
      <w:r w:rsidRPr="00154F1D">
        <w:t xml:space="preserve"> </w:t>
      </w:r>
      <w:r w:rsidR="00155489" w:rsidRPr="00154F1D">
        <w:t xml:space="preserve">people </w:t>
      </w:r>
      <w:r w:rsidRPr="00154F1D">
        <w:t xml:space="preserve">still subject to supervision orders who have a current certificate </w:t>
      </w:r>
      <w:r w:rsidR="00842ABB" w:rsidRPr="00154F1D">
        <w:t xml:space="preserve">from the MHT </w:t>
      </w:r>
      <w:r w:rsidRPr="00154F1D">
        <w:t>and 18 who do not.</w:t>
      </w:r>
      <w:r w:rsidR="007C29C2" w:rsidRPr="00154F1D">
        <w:t xml:space="preserve"> Of those with certificates, there are four </w:t>
      </w:r>
      <w:r w:rsidR="00EB02C1" w:rsidRPr="00154F1D">
        <w:t>people</w:t>
      </w:r>
      <w:r w:rsidR="007C29C2" w:rsidRPr="00154F1D">
        <w:t xml:space="preserve"> who currently have an application to revoke the supervision order ongoing with the Legal Aid Commission of Tasmania. </w:t>
      </w:r>
      <w:r w:rsidR="00155489" w:rsidRPr="00154F1D">
        <w:t xml:space="preserve">The fact </w:t>
      </w:r>
      <w:r w:rsidR="00BB3BC3" w:rsidRPr="00154F1D">
        <w:t xml:space="preserve">that a number of </w:t>
      </w:r>
      <w:r w:rsidR="004019C8">
        <w:t>people</w:t>
      </w:r>
      <w:r w:rsidR="004019C8" w:rsidRPr="00154F1D">
        <w:t xml:space="preserve"> </w:t>
      </w:r>
      <w:r w:rsidR="00BB3BC3" w:rsidRPr="00154F1D">
        <w:t>on restriction orders have had their orders discharged (unlike Smith’s earlier findings where no restriction orders were discharged despite having certificates issued)</w:t>
      </w:r>
      <w:r w:rsidR="007C29C2" w:rsidRPr="00154F1D">
        <w:t xml:space="preserve"> </w:t>
      </w:r>
      <w:r w:rsidR="00BB3BC3" w:rsidRPr="00154F1D">
        <w:t xml:space="preserve">and </w:t>
      </w:r>
      <w:r w:rsidR="00155489" w:rsidRPr="00154F1D">
        <w:t xml:space="preserve">that </w:t>
      </w:r>
      <w:r w:rsidR="000A3E59" w:rsidRPr="00154F1D">
        <w:t xml:space="preserve">there have been a number of supervision orders revoked, </w:t>
      </w:r>
      <w:r w:rsidR="007C29C2" w:rsidRPr="00154F1D">
        <w:t xml:space="preserve">suggests that </w:t>
      </w:r>
      <w:r w:rsidR="000A3E59" w:rsidRPr="00154F1D">
        <w:t xml:space="preserve">for </w:t>
      </w:r>
      <w:r w:rsidR="004019C8">
        <w:t>those</w:t>
      </w:r>
      <w:r w:rsidR="00200CB7">
        <w:t xml:space="preserve"> </w:t>
      </w:r>
      <w:r w:rsidR="007C29C2" w:rsidRPr="00154F1D">
        <w:t xml:space="preserve">with </w:t>
      </w:r>
      <w:r w:rsidR="000A3E59" w:rsidRPr="00154F1D">
        <w:t>current certificates, t</w:t>
      </w:r>
      <w:r w:rsidR="007C29C2" w:rsidRPr="00154F1D">
        <w:t xml:space="preserve">here has been </w:t>
      </w:r>
      <w:r w:rsidR="000A3E59" w:rsidRPr="00154F1D">
        <w:t>more success</w:t>
      </w:r>
      <w:r w:rsidR="007C29C2" w:rsidRPr="00154F1D">
        <w:t xml:space="preserve"> </w:t>
      </w:r>
      <w:r w:rsidR="000A3E59" w:rsidRPr="00154F1D">
        <w:t>in having</w:t>
      </w:r>
      <w:r w:rsidR="007C29C2" w:rsidRPr="00154F1D">
        <w:t xml:space="preserve"> orders discharged/revoked by the Supreme Court. However, this does not mean that there are </w:t>
      </w:r>
      <w:r w:rsidR="001D4759" w:rsidRPr="00154F1D">
        <w:t xml:space="preserve">no </w:t>
      </w:r>
      <w:r w:rsidR="007C29C2" w:rsidRPr="00154F1D">
        <w:t xml:space="preserve">remaining difficulties in the process for some </w:t>
      </w:r>
      <w:r w:rsidR="00155489" w:rsidRPr="00154F1D">
        <w:t xml:space="preserve">people </w:t>
      </w:r>
      <w:r w:rsidR="001D4759" w:rsidRPr="00154F1D">
        <w:t>or that the statutory test for discharge does not require reform.</w:t>
      </w:r>
    </w:p>
    <w:p w14:paraId="53BE124E" w14:textId="076D8929" w:rsidR="00217B7D" w:rsidRPr="00154F1D" w:rsidRDefault="00217B7D" w:rsidP="00217B7D">
      <w:pPr>
        <w:pStyle w:val="Sub-HeadingTLRI"/>
      </w:pPr>
      <w:bookmarkStart w:id="195" w:name="_Toc535868979"/>
      <w:r w:rsidRPr="00154F1D">
        <w:t>Factors relevant to the discharge or revocation of orders</w:t>
      </w:r>
      <w:bookmarkEnd w:id="195"/>
    </w:p>
    <w:p w14:paraId="29AF2299" w14:textId="4A3EEC9F" w:rsidR="00365D99" w:rsidRPr="00154F1D" w:rsidRDefault="006025F5" w:rsidP="00744FAA">
      <w:pPr>
        <w:pStyle w:val="NormalNumberedTextTLRI"/>
      </w:pPr>
      <w:r w:rsidRPr="00154F1D">
        <w:t xml:space="preserve">The factors set out at </w:t>
      </w:r>
      <w:r w:rsidR="001B6ADC" w:rsidRPr="00154F1D">
        <w:t xml:space="preserve">[8.2.9] </w:t>
      </w:r>
      <w:r w:rsidRPr="00154F1D">
        <w:t xml:space="preserve">in relation to making of orders are also relevant to the discharge of a restriction order and the variation or revocation of a supervision </w:t>
      </w:r>
      <w:r w:rsidR="00BF76A2" w:rsidRPr="00154F1D">
        <w:t>order by the Supreme Court.</w:t>
      </w:r>
      <w:r w:rsidRPr="00154F1D">
        <w:rPr>
          <w:rStyle w:val="FootnoteReference"/>
        </w:rPr>
        <w:footnoteReference w:id="659"/>
      </w:r>
      <w:r w:rsidRPr="00154F1D">
        <w:t xml:space="preserve"> </w:t>
      </w:r>
      <w:r w:rsidR="00653479" w:rsidRPr="00154F1D">
        <w:t>In making a decision to impose an order</w:t>
      </w:r>
      <w:r w:rsidR="00C3456B">
        <w:t>,</w:t>
      </w:r>
      <w:r w:rsidR="00653479" w:rsidRPr="00154F1D">
        <w:t xml:space="preserve"> or vary or discharge an order, the </w:t>
      </w:r>
      <w:r w:rsidR="00231038">
        <w:t xml:space="preserve">relevant legislative </w:t>
      </w:r>
      <w:r w:rsidR="00653479" w:rsidRPr="00154F1D">
        <w:t>sections involve the exercise of judicial discretion as they require a value judgment.</w:t>
      </w:r>
      <w:r w:rsidR="00653479" w:rsidRPr="00154F1D">
        <w:rPr>
          <w:rStyle w:val="FootnoteReference"/>
        </w:rPr>
        <w:footnoteReference w:id="660"/>
      </w:r>
      <w:r w:rsidR="00653479" w:rsidRPr="00154F1D">
        <w:t xml:space="preserve"> </w:t>
      </w:r>
      <w:r w:rsidR="00973FB0" w:rsidRPr="00154F1D">
        <w:t xml:space="preserve">In </w:t>
      </w:r>
      <w:r w:rsidR="00973FB0" w:rsidRPr="00154F1D">
        <w:rPr>
          <w:i/>
        </w:rPr>
        <w:t>CJS v Tasmania</w:t>
      </w:r>
      <w:r w:rsidR="00973FB0" w:rsidRPr="00154F1D">
        <w:t>,</w:t>
      </w:r>
      <w:r w:rsidR="00973FB0" w:rsidRPr="00154F1D">
        <w:rPr>
          <w:rStyle w:val="FootnoteReference"/>
        </w:rPr>
        <w:footnoteReference w:id="661"/>
      </w:r>
      <w:r w:rsidR="00973FB0" w:rsidRPr="00154F1D">
        <w:t xml:space="preserve"> the Court of Criminal Appeal considered the </w:t>
      </w:r>
      <w:r w:rsidR="00EA2E68" w:rsidRPr="00154F1D">
        <w:t xml:space="preserve">interaction of the principle that ‘where appropriate, restrictions on the defendant’s freedom and personal autonomy should be kept to a minimum consistent with the safety of the community’ contained in </w:t>
      </w:r>
      <w:r w:rsidR="00EA3D8B" w:rsidRPr="00154F1D">
        <w:rPr>
          <w:i/>
          <w:iCs/>
        </w:rPr>
        <w:t xml:space="preserve">Criminal Justice (Mental Impairment) Act 1999 </w:t>
      </w:r>
      <w:r w:rsidR="00EA3D8B" w:rsidRPr="00154F1D">
        <w:rPr>
          <w:iCs/>
        </w:rPr>
        <w:t>(Tas)</w:t>
      </w:r>
      <w:r w:rsidR="00EA2E68" w:rsidRPr="00154F1D">
        <w:t xml:space="preserve"> s 34 with the matters set out in 35(1). </w:t>
      </w:r>
      <w:r w:rsidR="006D0F40" w:rsidRPr="00154F1D">
        <w:t>It was stated that</w:t>
      </w:r>
      <w:r w:rsidR="00365D99" w:rsidRPr="00154F1D">
        <w:t>,</w:t>
      </w:r>
    </w:p>
    <w:p w14:paraId="135292D3" w14:textId="0E21DC86" w:rsidR="00365D99" w:rsidRPr="00154F1D" w:rsidRDefault="006D0F40" w:rsidP="00365D99">
      <w:pPr>
        <w:pStyle w:val="QuoteTLRI"/>
      </w:pPr>
      <w:r w:rsidRPr="00154F1D">
        <w:t>if a court, by reference to the matters set out in s</w:t>
      </w:r>
      <w:r w:rsidR="00365D99" w:rsidRPr="00154F1D">
        <w:t xml:space="preserve"> </w:t>
      </w:r>
      <w:r w:rsidRPr="00154F1D">
        <w:t>35(1) considers it is not appropriate to apply that principle, for example it concludes by reference to the s 35(1) factors that a less restrictive order is not consistent with the safety of the community, then it is entitled to make an order disregarding the first part of the principle.</w:t>
      </w:r>
      <w:r w:rsidRPr="00154F1D">
        <w:rPr>
          <w:rStyle w:val="FootnoteReference"/>
        </w:rPr>
        <w:footnoteReference w:id="662"/>
      </w:r>
      <w:r w:rsidR="001C72EB" w:rsidRPr="00154F1D">
        <w:t xml:space="preserve"> </w:t>
      </w:r>
    </w:p>
    <w:p w14:paraId="067D0103" w14:textId="46A7888D" w:rsidR="002F7A9C" w:rsidRPr="00154F1D" w:rsidRDefault="00842ABB" w:rsidP="00365D99">
      <w:pPr>
        <w:pStyle w:val="NormalNumberedTextTLRI"/>
        <w:numPr>
          <w:ilvl w:val="0"/>
          <w:numId w:val="0"/>
        </w:numPr>
      </w:pPr>
      <w:r w:rsidRPr="00154F1D">
        <w:t xml:space="preserve">This weighs the balance in favour of community safety at the expense of the minimal restriction on the defendant’s freedom and </w:t>
      </w:r>
      <w:r w:rsidR="001D4759" w:rsidRPr="00154F1D">
        <w:t>autonomy</w:t>
      </w:r>
      <w:r w:rsidRPr="00154F1D">
        <w:t xml:space="preserve">. </w:t>
      </w:r>
      <w:r w:rsidR="001C72EB" w:rsidRPr="00154F1D">
        <w:t xml:space="preserve">Similarly, in </w:t>
      </w:r>
      <w:r w:rsidR="001C72EB" w:rsidRPr="00154F1D">
        <w:rPr>
          <w:i/>
        </w:rPr>
        <w:t>Secretary of the Department of Health and Human Services v Horacek</w:t>
      </w:r>
      <w:r w:rsidR="001C72EB" w:rsidRPr="00154F1D">
        <w:t>,</w:t>
      </w:r>
      <w:r w:rsidR="001C72EB" w:rsidRPr="00154F1D">
        <w:rPr>
          <w:rStyle w:val="FootnoteReference"/>
        </w:rPr>
        <w:footnoteReference w:id="663"/>
      </w:r>
      <w:r w:rsidR="00365D99" w:rsidRPr="00154F1D">
        <w:t xml:space="preserve"> </w:t>
      </w:r>
      <w:r w:rsidR="001C72EB" w:rsidRPr="00154F1D">
        <w:t xml:space="preserve">the Court of Criminal Appeal stated that ‘the issue of the respondent’s freedom and personal autonomy is not one which should override all else. It is an issue to be considered </w:t>
      </w:r>
      <w:r w:rsidR="00365D99" w:rsidRPr="00154F1D">
        <w:t>“</w:t>
      </w:r>
      <w:r w:rsidR="001C72EB" w:rsidRPr="00154F1D">
        <w:t>where appropriate</w:t>
      </w:r>
      <w:r w:rsidR="00365D99" w:rsidRPr="00154F1D">
        <w:t>”</w:t>
      </w:r>
      <w:r w:rsidR="001C72EB" w:rsidRPr="00154F1D">
        <w:t xml:space="preserve"> and in the context of community safety. It is also </w:t>
      </w:r>
      <w:r w:rsidR="00990E50" w:rsidRPr="00154F1D">
        <w:t xml:space="preserve">to </w:t>
      </w:r>
      <w:r w:rsidR="001C72EB" w:rsidRPr="00154F1D">
        <w:t>be considered in the context of the factors identified in s 35’.</w:t>
      </w:r>
      <w:r w:rsidR="001C72EB" w:rsidRPr="00154F1D">
        <w:rPr>
          <w:rStyle w:val="FootnoteReference"/>
        </w:rPr>
        <w:footnoteReference w:id="664"/>
      </w:r>
    </w:p>
    <w:p w14:paraId="6D23885E" w14:textId="7FDF9E3A" w:rsidR="00142C08" w:rsidRPr="00154F1D" w:rsidRDefault="002F7A9C" w:rsidP="00744FAA">
      <w:pPr>
        <w:pStyle w:val="NormalNumberedTextTLRI"/>
      </w:pPr>
      <w:r w:rsidRPr="00154F1D">
        <w:t xml:space="preserve">A key factor identified in </w:t>
      </w:r>
      <w:r w:rsidRPr="00154F1D">
        <w:rPr>
          <w:i/>
        </w:rPr>
        <w:t>CJS v Tasmania</w:t>
      </w:r>
      <w:r w:rsidRPr="00154F1D">
        <w:rPr>
          <w:rStyle w:val="FootnoteReference"/>
        </w:rPr>
        <w:footnoteReference w:id="665"/>
      </w:r>
      <w:r w:rsidRPr="00154F1D">
        <w:rPr>
          <w:i/>
        </w:rPr>
        <w:t xml:space="preserve"> </w:t>
      </w:r>
      <w:r w:rsidRPr="00154F1D">
        <w:t>was the need to assess the risk that the defendant posed to other people.</w:t>
      </w:r>
      <w:r w:rsidR="00245A89" w:rsidRPr="00154F1D">
        <w:t xml:space="preserve"> In making an assessment of the likelihood of the person being a danger to others (as required by </w:t>
      </w:r>
      <w:r w:rsidR="00EA3D8B" w:rsidRPr="00154F1D">
        <w:rPr>
          <w:i/>
          <w:iCs/>
        </w:rPr>
        <w:t xml:space="preserve">Criminal Justice (Mental Impairment) Act 1999 </w:t>
      </w:r>
      <w:r w:rsidR="00EA3D8B" w:rsidRPr="00154F1D">
        <w:rPr>
          <w:iCs/>
        </w:rPr>
        <w:t>(Tas)</w:t>
      </w:r>
      <w:r w:rsidR="00245A89" w:rsidRPr="00154F1D">
        <w:t xml:space="preserve"> s</w:t>
      </w:r>
      <w:r w:rsidR="00365D99" w:rsidRPr="00154F1D">
        <w:t> </w:t>
      </w:r>
      <w:r w:rsidR="00245A89" w:rsidRPr="00154F1D">
        <w:t xml:space="preserve">35(1)(b)), the view was expressed </w:t>
      </w:r>
      <w:r w:rsidR="001B6ADC" w:rsidRPr="00154F1D">
        <w:t xml:space="preserve">that the court was required to do more than simply approach the issue </w:t>
      </w:r>
      <w:r w:rsidR="00967071" w:rsidRPr="00154F1D">
        <w:t>on the basis</w:t>
      </w:r>
      <w:r w:rsidR="001B6ADC" w:rsidRPr="00154F1D">
        <w:t xml:space="preserve"> that</w:t>
      </w:r>
      <w:r w:rsidR="00734C90" w:rsidRPr="00154F1D">
        <w:t xml:space="preserve"> ‘</w:t>
      </w:r>
      <w:r w:rsidR="00245A89" w:rsidRPr="00154F1D">
        <w:t>the greater the degree of likelihood of danger found,</w:t>
      </w:r>
      <w:r w:rsidR="00734C90" w:rsidRPr="00154F1D">
        <w:t xml:space="preserve"> </w:t>
      </w:r>
      <w:r w:rsidR="00245A89" w:rsidRPr="00154F1D">
        <w:t>the less likely a court would be to order revocation’.</w:t>
      </w:r>
      <w:r w:rsidR="001B6ADC" w:rsidRPr="00154F1D">
        <w:rPr>
          <w:rStyle w:val="FootnoteReference"/>
        </w:rPr>
        <w:footnoteReference w:id="666"/>
      </w:r>
      <w:r w:rsidR="00245A89" w:rsidRPr="00154F1D">
        <w:t xml:space="preserve"> </w:t>
      </w:r>
      <w:r w:rsidR="00E02D0D" w:rsidRPr="00154F1D">
        <w:t xml:space="preserve">Instead, the </w:t>
      </w:r>
      <w:r w:rsidR="00395944" w:rsidRPr="00154F1D">
        <w:t>C</w:t>
      </w:r>
      <w:r w:rsidR="00E02D0D" w:rsidRPr="00154F1D">
        <w:t xml:space="preserve">ourt had to make a finding, on the balance of probabilities, whether or not a state of affairs </w:t>
      </w:r>
      <w:r w:rsidR="00395944" w:rsidRPr="00154F1D">
        <w:t xml:space="preserve">was </w:t>
      </w:r>
      <w:r w:rsidR="00E02D0D" w:rsidRPr="00154F1D">
        <w:t>‘likely’.</w:t>
      </w:r>
      <w:r w:rsidR="00E02D0D" w:rsidRPr="00154F1D">
        <w:rPr>
          <w:rStyle w:val="FootnoteReference"/>
        </w:rPr>
        <w:footnoteReference w:id="667"/>
      </w:r>
      <w:r w:rsidR="00365D99" w:rsidRPr="00154F1D">
        <w:t xml:space="preserve"> </w:t>
      </w:r>
      <w:r w:rsidR="00395944" w:rsidRPr="00154F1D">
        <w:t>The Court noted that d</w:t>
      </w:r>
      <w:r w:rsidR="00D41B9B" w:rsidRPr="00154F1D">
        <w:t xml:space="preserve">ifferent interpretations </w:t>
      </w:r>
      <w:r w:rsidR="00365D99" w:rsidRPr="00154F1D">
        <w:t xml:space="preserve">of ‘likely’ </w:t>
      </w:r>
      <w:r w:rsidR="00D41B9B" w:rsidRPr="00154F1D">
        <w:t xml:space="preserve">include that there </w:t>
      </w:r>
      <w:r w:rsidR="00395944" w:rsidRPr="00154F1D">
        <w:t xml:space="preserve">is </w:t>
      </w:r>
      <w:r w:rsidR="00D41B9B" w:rsidRPr="00154F1D">
        <w:t>a ‘real or substantial chance or possibility’</w:t>
      </w:r>
      <w:r w:rsidR="00D41B9B" w:rsidRPr="00154F1D">
        <w:rPr>
          <w:rStyle w:val="FootnoteReference"/>
        </w:rPr>
        <w:footnoteReference w:id="668"/>
      </w:r>
      <w:r w:rsidR="00D41B9B" w:rsidRPr="00154F1D">
        <w:t xml:space="preserve"> or that </w:t>
      </w:r>
      <w:r w:rsidR="00395944" w:rsidRPr="00154F1D">
        <w:t xml:space="preserve">something is </w:t>
      </w:r>
      <w:r w:rsidR="00D41B9B" w:rsidRPr="00154F1D">
        <w:t>‘more likely than not’.</w:t>
      </w:r>
      <w:r w:rsidR="00D41B9B" w:rsidRPr="00154F1D">
        <w:rPr>
          <w:rStyle w:val="FootnoteReference"/>
        </w:rPr>
        <w:footnoteReference w:id="669"/>
      </w:r>
      <w:r w:rsidR="00D41B9B" w:rsidRPr="00154F1D">
        <w:t xml:space="preserve"> However, the precise meaning of ‘likely’ was not resolved with the Court of </w:t>
      </w:r>
      <w:r w:rsidR="00B922E6">
        <w:t xml:space="preserve">Criminal </w:t>
      </w:r>
      <w:r w:rsidR="00D41B9B" w:rsidRPr="00154F1D">
        <w:t>Appeal indicat</w:t>
      </w:r>
      <w:r w:rsidR="00CF457E" w:rsidRPr="00154F1D">
        <w:t>ing that the primary judge</w:t>
      </w:r>
      <w:r w:rsidR="00D41B9B" w:rsidRPr="00154F1D">
        <w:t xml:space="preserve"> ‘was entitled to be satisfied that there was, at least, a real chan</w:t>
      </w:r>
      <w:r w:rsidR="00CF457E" w:rsidRPr="00154F1D">
        <w:t>c</w:t>
      </w:r>
      <w:r w:rsidR="00D41B9B" w:rsidRPr="00154F1D">
        <w:t>e or possibility of the appellant again becoming a danger to members of the community’.</w:t>
      </w:r>
      <w:r w:rsidR="00D41B9B" w:rsidRPr="00154F1D">
        <w:rPr>
          <w:rStyle w:val="FootnoteReference"/>
        </w:rPr>
        <w:footnoteReference w:id="670"/>
      </w:r>
    </w:p>
    <w:p w14:paraId="506E77C0" w14:textId="2ED7FDAF" w:rsidR="006025F5" w:rsidRPr="00154F1D" w:rsidRDefault="00B922E6" w:rsidP="00744FAA">
      <w:pPr>
        <w:pStyle w:val="NormalNumberedTextTLRI"/>
      </w:pPr>
      <w:r>
        <w:t>T</w:t>
      </w:r>
      <w:r w:rsidR="00F64964" w:rsidRPr="00154F1D">
        <w:t xml:space="preserve">he Court also considered </w:t>
      </w:r>
      <w:r w:rsidR="00E1152D" w:rsidRPr="00154F1D">
        <w:t>the mea</w:t>
      </w:r>
      <w:r w:rsidR="00160DCD" w:rsidRPr="00154F1D">
        <w:t>n</w:t>
      </w:r>
      <w:r w:rsidR="00E1152D" w:rsidRPr="00154F1D">
        <w:t>ing of ‘freedom and person</w:t>
      </w:r>
      <w:r w:rsidR="00C11A19" w:rsidRPr="00154F1D">
        <w:t>al</w:t>
      </w:r>
      <w:r w:rsidR="00E1152D" w:rsidRPr="00154F1D">
        <w:t xml:space="preserve"> </w:t>
      </w:r>
      <w:r w:rsidR="00160DCD" w:rsidRPr="00154F1D">
        <w:t>autonomy</w:t>
      </w:r>
      <w:r w:rsidR="00E1152D" w:rsidRPr="00154F1D">
        <w:t xml:space="preserve">’ and </w:t>
      </w:r>
      <w:r w:rsidR="00F64964" w:rsidRPr="00154F1D">
        <w:t xml:space="preserve">examined </w:t>
      </w:r>
      <w:r w:rsidR="00E1152D" w:rsidRPr="00154F1D">
        <w:t xml:space="preserve">whether this </w:t>
      </w:r>
      <w:r w:rsidR="00160DCD" w:rsidRPr="00154F1D">
        <w:t>encompassed</w:t>
      </w:r>
      <w:r w:rsidR="00CB4119" w:rsidRPr="00154F1D">
        <w:t xml:space="preserve"> restrictions arising from the way in which the order could be revoked or varied</w:t>
      </w:r>
      <w:r w:rsidR="00255A08" w:rsidRPr="00154F1D">
        <w:t xml:space="preserve"> (for example if the order had to be revoked by the Supreme Court or lapsed through the passing of time)</w:t>
      </w:r>
      <w:r w:rsidR="00CB4119" w:rsidRPr="00154F1D">
        <w:t>.</w:t>
      </w:r>
      <w:r w:rsidR="00CB4119" w:rsidRPr="00154F1D">
        <w:rPr>
          <w:rStyle w:val="FootnoteReference"/>
        </w:rPr>
        <w:footnoteReference w:id="671"/>
      </w:r>
      <w:r w:rsidR="00255A08" w:rsidRPr="00154F1D">
        <w:t xml:space="preserve"> It was held that it did not extend to the difficulties, </w:t>
      </w:r>
      <w:r w:rsidR="008E64B6" w:rsidRPr="00154F1D">
        <w:t>‘</w:t>
      </w:r>
      <w:r w:rsidR="00255A08" w:rsidRPr="00154F1D">
        <w:t>in practical terms, for the person to make an attempt to be relieved of some or all of the consequences of the order’.</w:t>
      </w:r>
      <w:r w:rsidR="00255A08" w:rsidRPr="00154F1D">
        <w:rPr>
          <w:rStyle w:val="FootnoteReference"/>
        </w:rPr>
        <w:footnoteReference w:id="672"/>
      </w:r>
      <w:r w:rsidR="00255A08" w:rsidRPr="00154F1D">
        <w:t xml:space="preserve"> </w:t>
      </w:r>
      <w:r w:rsidR="00B237F8" w:rsidRPr="00154F1D">
        <w:t>This meant that the indefinite nature of the supervision order compare</w:t>
      </w:r>
      <w:r w:rsidR="002B0397" w:rsidRPr="00154F1D">
        <w:t>d</w:t>
      </w:r>
      <w:r w:rsidR="00B237F8" w:rsidRPr="00154F1D">
        <w:t xml:space="preserve"> to the finite nature of a treatment order was not considered relevant to an assessment of the restrictions that either order may place on a defendant’s freedom and personal autonomy. </w:t>
      </w:r>
      <w:r w:rsidR="00255A08" w:rsidRPr="00154F1D">
        <w:t>Instead, ‘freedom and personal autonomy’ meant the ‘ability to move freely and function within the community, and to be self-regulatory</w:t>
      </w:r>
      <w:r w:rsidR="00142C08" w:rsidRPr="00154F1D">
        <w:t xml:space="preserve"> and self-sufficient as </w:t>
      </w:r>
      <w:r w:rsidR="00255A08" w:rsidRPr="00154F1D">
        <w:t>far as possible, in all matters’.</w:t>
      </w:r>
      <w:r w:rsidR="00255A08" w:rsidRPr="00154F1D">
        <w:rPr>
          <w:rStyle w:val="FootnoteReference"/>
        </w:rPr>
        <w:footnoteReference w:id="673"/>
      </w:r>
      <w:r w:rsidR="00B237F8" w:rsidRPr="00154F1D">
        <w:t xml:space="preserve"> </w:t>
      </w:r>
    </w:p>
    <w:p w14:paraId="4BC5AAC5" w14:textId="3E94E128" w:rsidR="002A6047" w:rsidRPr="00154F1D" w:rsidRDefault="002A6047" w:rsidP="00744FAA">
      <w:pPr>
        <w:pStyle w:val="NormalNumberedTextTLRI"/>
      </w:pPr>
      <w:r w:rsidRPr="00154F1D">
        <w:t xml:space="preserve">In making decisions in relation to the revocation of orders, the Supreme Court </w:t>
      </w:r>
      <w:r w:rsidR="000B604E" w:rsidRPr="00154F1D">
        <w:t>has been particularly concerned about the powers that exist under orders in the event that the person is non-compliant with their treatment regime. In cases where the Supreme Court refused to revoke a supervision order and replace it with a treatment order, the applicants had long-standing mental illness requiring ongoing medication to manage the illness. The concern was expressed that, while the person did not present a risk to the community when appropriately treated, there was a risk of harm to others if the medication regime was not complied with. Accor</w:t>
      </w:r>
      <w:r w:rsidR="00E84797" w:rsidRPr="00154F1D">
        <w:t>dingl</w:t>
      </w:r>
      <w:r w:rsidR="000B604E" w:rsidRPr="00154F1D">
        <w:t xml:space="preserve">y, the court considered that a supervision order was required </w:t>
      </w:r>
      <w:r w:rsidR="00E84797" w:rsidRPr="00154F1D">
        <w:t>(</w:t>
      </w:r>
      <w:r w:rsidR="000B604E" w:rsidRPr="00154F1D">
        <w:t>rat</w:t>
      </w:r>
      <w:r w:rsidR="00E84797" w:rsidRPr="00154F1D">
        <w:t>he</w:t>
      </w:r>
      <w:r w:rsidR="000B604E" w:rsidRPr="00154F1D">
        <w:t>r than a trea</w:t>
      </w:r>
      <w:r w:rsidR="00E84797" w:rsidRPr="00154F1D">
        <w:t>tment</w:t>
      </w:r>
      <w:r w:rsidR="000B604E" w:rsidRPr="00154F1D">
        <w:t xml:space="preserve"> order) to ensure compliance with the </w:t>
      </w:r>
      <w:r w:rsidR="00E84797" w:rsidRPr="00154F1D">
        <w:t>medication treatment and mental health management.</w:t>
      </w:r>
      <w:r w:rsidR="00E84797" w:rsidRPr="00154F1D">
        <w:rPr>
          <w:rStyle w:val="FootnoteReference"/>
        </w:rPr>
        <w:footnoteReference w:id="674"/>
      </w:r>
      <w:r w:rsidR="00E84797" w:rsidRPr="00154F1D">
        <w:t xml:space="preserve"> This allowed for oversight by the Supreme Court and the power to detain the person in a SMHU, if necessary.</w:t>
      </w:r>
      <w:r w:rsidR="00123821" w:rsidRPr="00154F1D">
        <w:t xml:space="preserve"> It also would not lapse (unlike the treatment order that required administrative action to renew it).</w:t>
      </w:r>
    </w:p>
    <w:p w14:paraId="123E08BD" w14:textId="2F2BE88F" w:rsidR="00732C80" w:rsidRPr="00154F1D" w:rsidRDefault="00732C80" w:rsidP="00744FAA">
      <w:pPr>
        <w:pStyle w:val="NormalNumberedTextTLRI"/>
      </w:pPr>
      <w:r w:rsidRPr="00154F1D">
        <w:t xml:space="preserve">Subsequent to the decisions in </w:t>
      </w:r>
      <w:r w:rsidRPr="00154F1D">
        <w:rPr>
          <w:i/>
        </w:rPr>
        <w:t>CJS v Tasmania</w:t>
      </w:r>
      <w:r w:rsidRPr="00154F1D">
        <w:rPr>
          <w:rStyle w:val="FootnoteReference"/>
        </w:rPr>
        <w:footnoteReference w:id="675"/>
      </w:r>
      <w:r w:rsidRPr="00154F1D">
        <w:t xml:space="preserve"> and </w:t>
      </w:r>
      <w:r w:rsidRPr="00154F1D">
        <w:rPr>
          <w:i/>
        </w:rPr>
        <w:t>Secretary of the Department of Health and Human Services v Horacek</w:t>
      </w:r>
      <w:r w:rsidRPr="00154F1D">
        <w:t>,</w:t>
      </w:r>
      <w:r w:rsidRPr="00154F1D">
        <w:rPr>
          <w:rStyle w:val="FootnoteReference"/>
        </w:rPr>
        <w:footnoteReference w:id="676"/>
      </w:r>
      <w:r w:rsidRPr="00154F1D">
        <w:t xml:space="preserve"> </w:t>
      </w:r>
      <w:r w:rsidR="00F64964" w:rsidRPr="00154F1D">
        <w:t xml:space="preserve">in </w:t>
      </w:r>
      <w:r w:rsidR="00F64964" w:rsidRPr="00154F1D">
        <w:rPr>
          <w:i/>
        </w:rPr>
        <w:t>NOM v DPP</w:t>
      </w:r>
      <w:r w:rsidR="00F64964" w:rsidRPr="00154F1D">
        <w:t xml:space="preserve"> the Victorian Court of Appeal considered in detail the interaction between the Victorian equivalents to ss 34 and 35 of the </w:t>
      </w:r>
      <w:r w:rsidR="00F64964" w:rsidRPr="00154F1D">
        <w:rPr>
          <w:i/>
          <w:iCs/>
        </w:rPr>
        <w:t>Criminal Justice (Mental Impairment) Act 1999</w:t>
      </w:r>
      <w:r w:rsidR="00F64964" w:rsidRPr="00154F1D">
        <w:rPr>
          <w:iCs/>
        </w:rPr>
        <w:t xml:space="preserve"> (Tas), in particular the meaning of </w:t>
      </w:r>
      <w:r w:rsidR="00F64964" w:rsidRPr="00154F1D">
        <w:t>‘likely to endanger.’</w:t>
      </w:r>
      <w:r w:rsidRPr="00154F1D">
        <w:rPr>
          <w:rStyle w:val="FootnoteReference"/>
        </w:rPr>
        <w:footnoteReference w:id="677"/>
      </w:r>
      <w:r w:rsidR="005E0861" w:rsidRPr="00154F1D">
        <w:t xml:space="preserve"> In this case, the primary judge </w:t>
      </w:r>
      <w:r w:rsidR="00D072D4" w:rsidRPr="00154F1D">
        <w:t xml:space="preserve">refused to </w:t>
      </w:r>
      <w:r w:rsidR="000A6C2E" w:rsidRPr="00154F1D">
        <w:t>revoke</w:t>
      </w:r>
      <w:r w:rsidR="00D072D4" w:rsidRPr="00154F1D">
        <w:t xml:space="preserve"> a supervision order on the basis that he </w:t>
      </w:r>
      <w:r w:rsidR="005E0861" w:rsidRPr="00154F1D">
        <w:t xml:space="preserve">had concluded that </w:t>
      </w:r>
      <w:r w:rsidR="003E10C5" w:rsidRPr="00154F1D">
        <w:t xml:space="preserve">the risk of danger to the public was significant </w:t>
      </w:r>
      <w:r w:rsidR="005E0861" w:rsidRPr="00154F1D">
        <w:t xml:space="preserve">if the </w:t>
      </w:r>
      <w:r w:rsidR="004019C8">
        <w:t>individual</w:t>
      </w:r>
      <w:r w:rsidR="004019C8" w:rsidRPr="00154F1D">
        <w:t xml:space="preserve"> </w:t>
      </w:r>
      <w:r w:rsidR="005E0861" w:rsidRPr="00154F1D">
        <w:t>was non-compliant with treatment</w:t>
      </w:r>
      <w:r w:rsidR="003C6BC9" w:rsidRPr="00154F1D">
        <w:t xml:space="preserve"> (a risk assessed as low)</w:t>
      </w:r>
      <w:r w:rsidR="005E0861" w:rsidRPr="00154F1D">
        <w:t xml:space="preserve">. </w:t>
      </w:r>
      <w:r w:rsidR="00D072D4" w:rsidRPr="00154F1D">
        <w:t>This approach was rejected by the Court of Appeal:</w:t>
      </w:r>
    </w:p>
    <w:p w14:paraId="112AB557" w14:textId="1603C9C2" w:rsidR="00D072D4" w:rsidRPr="00154F1D" w:rsidRDefault="00D072D4" w:rsidP="00596478">
      <w:pPr>
        <w:pStyle w:val="QuoteTLRI"/>
        <w:spacing w:after="120"/>
        <w:ind w:right="788"/>
      </w:pPr>
      <w:r w:rsidRPr="00154F1D">
        <w:t xml:space="preserve">His Honour, in our respectful opinion, wrongly focused upon the gravity </w:t>
      </w:r>
      <w:r w:rsidR="0093533D" w:rsidRPr="00154F1D">
        <w:t>of</w:t>
      </w:r>
      <w:r w:rsidRPr="00154F1D">
        <w:t xml:space="preserve"> the p</w:t>
      </w:r>
      <w:r w:rsidR="0093533D" w:rsidRPr="00154F1D">
        <w:t>ote</w:t>
      </w:r>
      <w:r w:rsidRPr="00154F1D">
        <w:t>n</w:t>
      </w:r>
      <w:r w:rsidR="0093533D" w:rsidRPr="00154F1D">
        <w:t>ti</w:t>
      </w:r>
      <w:r w:rsidRPr="00154F1D">
        <w:t>al harm to others involved with such a risk in assessing the likely danger to others as ‘</w:t>
      </w:r>
      <w:r w:rsidR="0093533D" w:rsidRPr="00154F1D">
        <w:t>significant</w:t>
      </w:r>
      <w:r w:rsidRPr="00154F1D">
        <w:t xml:space="preserve">’. In assessing the likely danger … the low likelihood of such a risk </w:t>
      </w:r>
      <w:r w:rsidR="0093533D" w:rsidRPr="00154F1D">
        <w:t>materialising</w:t>
      </w:r>
      <w:r w:rsidRPr="00154F1D">
        <w:t xml:space="preserve"> should have been the </w:t>
      </w:r>
      <w:r w:rsidR="0093533D" w:rsidRPr="00154F1D">
        <w:t>critical</w:t>
      </w:r>
      <w:r w:rsidRPr="00154F1D">
        <w:t xml:space="preserve"> considera</w:t>
      </w:r>
      <w:r w:rsidR="0093533D" w:rsidRPr="00154F1D">
        <w:t>tion, rather than the gravity of</w:t>
      </w:r>
      <w:r w:rsidRPr="00154F1D">
        <w:t xml:space="preserve"> the harm in the event that the risk eventuated.</w:t>
      </w:r>
    </w:p>
    <w:p w14:paraId="670B971E" w14:textId="48534173" w:rsidR="00D072D4" w:rsidRPr="00154F1D" w:rsidRDefault="00D072D4" w:rsidP="00596478">
      <w:pPr>
        <w:pStyle w:val="QuoteTLRI"/>
        <w:spacing w:after="120"/>
        <w:ind w:right="788"/>
      </w:pPr>
      <w:r w:rsidRPr="00154F1D">
        <w:t>Endangerment is about the risk of harm. The gravity of the harm may be relevant to assessing the nature of the risk, but the probability of any risk, be it high o</w:t>
      </w:r>
      <w:r w:rsidR="00E10920" w:rsidRPr="00154F1D">
        <w:t>r</w:t>
      </w:r>
      <w:r w:rsidRPr="00154F1D">
        <w:t xml:space="preserve"> low, is the c</w:t>
      </w:r>
      <w:r w:rsidR="000A6C2E" w:rsidRPr="00154F1D">
        <w:t>ri</w:t>
      </w:r>
      <w:r w:rsidRPr="00154F1D">
        <w:t>tical co</w:t>
      </w:r>
      <w:r w:rsidR="000A6C2E" w:rsidRPr="00154F1D">
        <w:t>nc</w:t>
      </w:r>
      <w:r w:rsidRPr="00154F1D">
        <w:t>e</w:t>
      </w:r>
      <w:r w:rsidR="000A6C2E" w:rsidRPr="00154F1D">
        <w:t>p</w:t>
      </w:r>
      <w:r w:rsidRPr="00154F1D">
        <w:t>t of end</w:t>
      </w:r>
      <w:r w:rsidR="000A6C2E" w:rsidRPr="00154F1D">
        <w:t>ange</w:t>
      </w:r>
      <w:r w:rsidRPr="00154F1D">
        <w:t>rment. … The or</w:t>
      </w:r>
      <w:r w:rsidR="000A6C2E" w:rsidRPr="00154F1D">
        <w:t>di</w:t>
      </w:r>
      <w:r w:rsidRPr="00154F1D">
        <w:t>n</w:t>
      </w:r>
      <w:r w:rsidR="000A6C2E" w:rsidRPr="00154F1D">
        <w:t>a</w:t>
      </w:r>
      <w:r w:rsidRPr="00154F1D">
        <w:t xml:space="preserve">ry meaning of endangerment entails the concept of chance or </w:t>
      </w:r>
      <w:r w:rsidR="000A6C2E" w:rsidRPr="00154F1D">
        <w:t>r</w:t>
      </w:r>
      <w:r w:rsidRPr="00154F1D">
        <w:t>isk. The ter</w:t>
      </w:r>
      <w:r w:rsidR="000A6C2E" w:rsidRPr="00154F1D">
        <w:t>m</w:t>
      </w:r>
      <w:r w:rsidRPr="00154F1D">
        <w:t>s of [the provision] require a court to assess whether a person is ‘</w:t>
      </w:r>
      <w:r w:rsidRPr="00154F1D">
        <w:rPr>
          <w:i/>
        </w:rPr>
        <w:t xml:space="preserve">likely </w:t>
      </w:r>
      <w:r w:rsidRPr="00154F1D">
        <w:t xml:space="preserve">to endanger themselves or others’. This serves to emphasise that the focus is upon the extent </w:t>
      </w:r>
      <w:r w:rsidR="00430148" w:rsidRPr="00154F1D">
        <w:t>of the chance, risk or peril</w:t>
      </w:r>
      <w:r w:rsidRPr="00154F1D">
        <w:t xml:space="preserve"> of some harm materialising. If the harm or injury which is </w:t>
      </w:r>
      <w:r w:rsidR="00430148" w:rsidRPr="00154F1D">
        <w:t>like</w:t>
      </w:r>
      <w:r w:rsidRPr="00154F1D">
        <w:t xml:space="preserve">ly to result is </w:t>
      </w:r>
      <w:r w:rsidR="00430148" w:rsidRPr="00154F1D">
        <w:t>substantial</w:t>
      </w:r>
      <w:r w:rsidRPr="00154F1D">
        <w:t xml:space="preserve"> but the ‘chance’, ‘risk’ or ‘peril’ of it eventuat</w:t>
      </w:r>
      <w:r w:rsidR="000A6C2E" w:rsidRPr="00154F1D">
        <w:t>i</w:t>
      </w:r>
      <w:r w:rsidRPr="00154F1D">
        <w:t>ng is minimal, then a person subject to a supervision order is not necessarily ‘likely to enda</w:t>
      </w:r>
      <w:r w:rsidR="000A6C2E" w:rsidRPr="00154F1D">
        <w:t>ng</w:t>
      </w:r>
      <w:r w:rsidRPr="00154F1D">
        <w:t>er’ …</w:t>
      </w:r>
    </w:p>
    <w:p w14:paraId="365ADB46" w14:textId="569C8036" w:rsidR="00D072D4" w:rsidRPr="00154F1D" w:rsidRDefault="00D072D4" w:rsidP="0074267A">
      <w:pPr>
        <w:pStyle w:val="QuoteTLRI"/>
      </w:pPr>
      <w:r w:rsidRPr="00154F1D">
        <w:t>It is an assessment of the likelihood of the risk materialising and w</w:t>
      </w:r>
      <w:r w:rsidR="000A6C2E" w:rsidRPr="00154F1D">
        <w:t>he</w:t>
      </w:r>
      <w:r w:rsidRPr="00154F1D">
        <w:t>ther or not t</w:t>
      </w:r>
      <w:r w:rsidR="000A6C2E" w:rsidRPr="00154F1D">
        <w:t>h</w:t>
      </w:r>
      <w:r w:rsidRPr="00154F1D">
        <w:t>at risk is more than merely possible that is the critical consideration</w:t>
      </w:r>
      <w:r w:rsidR="00A10D2B" w:rsidRPr="00154F1D">
        <w:t xml:space="preserve">, </w:t>
      </w:r>
      <w:r w:rsidRPr="00154F1D">
        <w:t>not the gravity of the harm that may eventuate.</w:t>
      </w:r>
      <w:r w:rsidR="00430148" w:rsidRPr="00154F1D">
        <w:rPr>
          <w:rStyle w:val="FootnoteReference"/>
        </w:rPr>
        <w:footnoteReference w:id="678"/>
      </w:r>
    </w:p>
    <w:p w14:paraId="69598101" w14:textId="01AF4ADC" w:rsidR="00A10D2B" w:rsidRPr="00154F1D" w:rsidRDefault="00A10D2B" w:rsidP="00744FAA">
      <w:pPr>
        <w:pStyle w:val="NormalNumberedTextTLRI"/>
        <w:numPr>
          <w:ilvl w:val="0"/>
          <w:numId w:val="0"/>
        </w:numPr>
      </w:pPr>
      <w:r w:rsidRPr="00154F1D">
        <w:t xml:space="preserve">This interpretation reflects the approach evident in the decisions of the Court of Criminal Appeal in Tasmania, </w:t>
      </w:r>
      <w:r w:rsidR="001D4759" w:rsidRPr="00154F1D">
        <w:t>where</w:t>
      </w:r>
      <w:r w:rsidRPr="00154F1D">
        <w:t xml:space="preserve"> the focus is on the risk of danger rather than the </w:t>
      </w:r>
      <w:r w:rsidR="0093533D" w:rsidRPr="00154F1D">
        <w:t>magnitude</w:t>
      </w:r>
      <w:r w:rsidRPr="00154F1D">
        <w:t xml:space="preserve"> of the danger.</w:t>
      </w:r>
    </w:p>
    <w:p w14:paraId="7B1BB771" w14:textId="18A9FA80" w:rsidR="00146339" w:rsidRPr="00154F1D" w:rsidRDefault="00A10D2B" w:rsidP="00744FAA">
      <w:pPr>
        <w:pStyle w:val="NormalNumberedTextTLRI"/>
      </w:pPr>
      <w:r w:rsidRPr="00154F1D">
        <w:t xml:space="preserve">An additional issue considered in </w:t>
      </w:r>
      <w:r w:rsidRPr="00154F1D">
        <w:rPr>
          <w:i/>
        </w:rPr>
        <w:t>NOM v DPP</w:t>
      </w:r>
      <w:r w:rsidRPr="00154F1D">
        <w:rPr>
          <w:rStyle w:val="FootnoteReference"/>
        </w:rPr>
        <w:footnoteReference w:id="679"/>
      </w:r>
      <w:r w:rsidRPr="00154F1D">
        <w:rPr>
          <w:i/>
        </w:rPr>
        <w:t xml:space="preserve"> </w:t>
      </w:r>
      <w:r w:rsidRPr="00154F1D">
        <w:t>was the relevance of any change in the practical restrictions on the defendant arising from the re</w:t>
      </w:r>
      <w:r w:rsidR="00420FC6" w:rsidRPr="00154F1D">
        <w:t xml:space="preserve">moval of the supervision order in considering the balance between the safety of the community and the person’s freedom and autonomy. The primary judge had expressed the view that the continuation of the order would not impose any significant practical restrictions </w:t>
      </w:r>
      <w:r w:rsidR="003322C6" w:rsidRPr="00154F1D">
        <w:t xml:space="preserve">on the defendant </w:t>
      </w:r>
      <w:r w:rsidR="00420FC6" w:rsidRPr="00154F1D">
        <w:t xml:space="preserve">as his treatment </w:t>
      </w:r>
      <w:r w:rsidR="003322C6" w:rsidRPr="00154F1D">
        <w:t xml:space="preserve">would </w:t>
      </w:r>
      <w:r w:rsidR="00420FC6" w:rsidRPr="00154F1D">
        <w:t>remain the same with or without the order. However, the Court of Appeal accepted that ‘the finding that the nature and degree of the restrictions on the appellant’s freedom and auto</w:t>
      </w:r>
      <w:r w:rsidR="0093533D" w:rsidRPr="00154F1D">
        <w:t>nom</w:t>
      </w:r>
      <w:r w:rsidR="00420FC6" w:rsidRPr="00154F1D">
        <w:t>y would have no “significant practical effect” does not provide a basis for refusing to revoke the supervision order’.</w:t>
      </w:r>
      <w:r w:rsidR="00420FC6" w:rsidRPr="00154F1D">
        <w:rPr>
          <w:rStyle w:val="FootnoteReference"/>
        </w:rPr>
        <w:footnoteReference w:id="680"/>
      </w:r>
      <w:r w:rsidR="00420FC6" w:rsidRPr="00154F1D">
        <w:t xml:space="preserve"> The Court’s view was that </w:t>
      </w:r>
      <w:r w:rsidR="00E94335" w:rsidRPr="00154F1D">
        <w:t>supervision</w:t>
      </w:r>
      <w:r w:rsidR="00420FC6" w:rsidRPr="00154F1D">
        <w:t xml:space="preserve"> ‘is a rest</w:t>
      </w:r>
      <w:r w:rsidR="00E94335" w:rsidRPr="00154F1D">
        <w:t>ric</w:t>
      </w:r>
      <w:r w:rsidR="00420FC6" w:rsidRPr="00154F1D">
        <w:t>t</w:t>
      </w:r>
      <w:r w:rsidR="0093533D" w:rsidRPr="00154F1D">
        <w:t>i</w:t>
      </w:r>
      <w:r w:rsidR="00420FC6" w:rsidRPr="00154F1D">
        <w:t>on on liberty and autonomy and it can be justified only where it is found to be necessary</w:t>
      </w:r>
      <w:r w:rsidR="00E94335" w:rsidRPr="00154F1D">
        <w:t>’ and ‘if it was not necessary to impose any restriction on the appellant to ensure the safety of the community, the statutory regime, informed by the principle of parsimony, did not allow for the consideration of the degree of inconvenience to the appellant to justify non-revocation of the order’.</w:t>
      </w:r>
      <w:r w:rsidR="00E94335" w:rsidRPr="00154F1D">
        <w:rPr>
          <w:rStyle w:val="FootnoteReference"/>
        </w:rPr>
        <w:footnoteReference w:id="681"/>
      </w:r>
      <w:r w:rsidR="00B300C3" w:rsidRPr="00154F1D">
        <w:t xml:space="preserve"> This differs from the approach of the Court of Criminal Appeal in </w:t>
      </w:r>
      <w:r w:rsidR="00B300C3" w:rsidRPr="00154F1D">
        <w:rPr>
          <w:i/>
        </w:rPr>
        <w:t>CJS v Tasmania</w:t>
      </w:r>
      <w:r w:rsidR="00B300C3" w:rsidRPr="00154F1D">
        <w:t>.</w:t>
      </w:r>
      <w:r w:rsidR="00B300C3" w:rsidRPr="00154F1D">
        <w:rPr>
          <w:rStyle w:val="FootnoteReference"/>
        </w:rPr>
        <w:footnoteReference w:id="682"/>
      </w:r>
    </w:p>
    <w:p w14:paraId="1DB4B46D" w14:textId="4DA2CD75" w:rsidR="00EF71FB" w:rsidRPr="00154F1D" w:rsidRDefault="00EF71FB" w:rsidP="00352E49">
      <w:pPr>
        <w:pStyle w:val="Sub-HeadingTLRI"/>
      </w:pPr>
      <w:bookmarkStart w:id="196" w:name="_Toc535868980"/>
      <w:r w:rsidRPr="00154F1D">
        <w:t>Leave provisions</w:t>
      </w:r>
      <w:bookmarkEnd w:id="196"/>
    </w:p>
    <w:p w14:paraId="2D2E9355" w14:textId="03C9FE7A" w:rsidR="00B8296B" w:rsidRPr="00154F1D" w:rsidRDefault="00EF71FB" w:rsidP="00744FAA">
      <w:pPr>
        <w:pStyle w:val="NormalNumberedTextTLRI"/>
      </w:pPr>
      <w:r w:rsidRPr="00154F1D">
        <w:t xml:space="preserve">Under the </w:t>
      </w:r>
      <w:r w:rsidR="00F507C3" w:rsidRPr="00154F1D">
        <w:rPr>
          <w:i/>
        </w:rPr>
        <w:t>M</w:t>
      </w:r>
      <w:r w:rsidR="00EA3D8B" w:rsidRPr="00154F1D">
        <w:rPr>
          <w:i/>
        </w:rPr>
        <w:t xml:space="preserve">ental </w:t>
      </w:r>
      <w:r w:rsidR="00F507C3" w:rsidRPr="00154F1D">
        <w:rPr>
          <w:i/>
        </w:rPr>
        <w:t>H</w:t>
      </w:r>
      <w:r w:rsidR="00EA3D8B" w:rsidRPr="00154F1D">
        <w:rPr>
          <w:i/>
        </w:rPr>
        <w:t xml:space="preserve">ealth </w:t>
      </w:r>
      <w:r w:rsidR="00F507C3" w:rsidRPr="00154F1D">
        <w:rPr>
          <w:i/>
        </w:rPr>
        <w:t>A</w:t>
      </w:r>
      <w:r w:rsidR="00EA3D8B" w:rsidRPr="00154F1D">
        <w:rPr>
          <w:i/>
        </w:rPr>
        <w:t>ct</w:t>
      </w:r>
      <w:r w:rsidR="00F507C3" w:rsidRPr="00154F1D">
        <w:rPr>
          <w:i/>
        </w:rPr>
        <w:t xml:space="preserve"> 2013</w:t>
      </w:r>
      <w:r w:rsidR="00F507C3" w:rsidRPr="00154F1D">
        <w:t xml:space="preserve"> (Tas)</w:t>
      </w:r>
      <w:r w:rsidRPr="00154F1D">
        <w:t xml:space="preserve">, </w:t>
      </w:r>
      <w:r w:rsidR="00F507C3" w:rsidRPr="00154F1D">
        <w:t>the MHT may grant a forensic patient who is subject to a restriction order leave of absence from a secure mental health unit.</w:t>
      </w:r>
      <w:r w:rsidR="00F507C3" w:rsidRPr="00154F1D">
        <w:rPr>
          <w:rStyle w:val="FootnoteReference"/>
        </w:rPr>
        <w:footnoteReference w:id="683"/>
      </w:r>
      <w:r w:rsidRPr="00154F1D">
        <w:t xml:space="preserve"> </w:t>
      </w:r>
      <w:r w:rsidR="00B35242" w:rsidRPr="00154F1D">
        <w:t>The Chief Forensic Psychologist (CFP) may grant leave to a forensic patient who is not subject to a restriction order.</w:t>
      </w:r>
      <w:r w:rsidR="00B35242" w:rsidRPr="00154F1D">
        <w:rPr>
          <w:rStyle w:val="FootnoteReference"/>
        </w:rPr>
        <w:footnoteReference w:id="684"/>
      </w:r>
      <w:r w:rsidR="00B35242" w:rsidRPr="00154F1D">
        <w:t xml:space="preserve"> </w:t>
      </w:r>
      <w:r w:rsidR="00F507C3" w:rsidRPr="00154F1D">
        <w:t>Leave may be granted for clinical or personal reasons, for a particular purpose, or a particular period, or both and may be granted unconditionally or subject to cond</w:t>
      </w:r>
      <w:r w:rsidR="00CD4331" w:rsidRPr="00154F1D">
        <w:t>i</w:t>
      </w:r>
      <w:r w:rsidR="00F507C3" w:rsidRPr="00154F1D">
        <w:t>tions.</w:t>
      </w:r>
      <w:r w:rsidR="00CD4331" w:rsidRPr="00154F1D">
        <w:rPr>
          <w:rStyle w:val="FootnoteReference"/>
        </w:rPr>
        <w:footnoteReference w:id="685"/>
      </w:r>
      <w:r w:rsidR="00F507C3" w:rsidRPr="00154F1D">
        <w:t xml:space="preserve"> </w:t>
      </w:r>
      <w:r w:rsidR="009D09FD" w:rsidRPr="00154F1D">
        <w:t xml:space="preserve">The </w:t>
      </w:r>
      <w:r w:rsidR="00520DA1" w:rsidRPr="00154F1D">
        <w:t xml:space="preserve">criteria </w:t>
      </w:r>
      <w:r w:rsidR="00F4383A" w:rsidRPr="00154F1D">
        <w:t xml:space="preserve">set out in the </w:t>
      </w:r>
      <w:r w:rsidR="00EA3D8B" w:rsidRPr="00154F1D">
        <w:rPr>
          <w:i/>
          <w:iCs/>
        </w:rPr>
        <w:t xml:space="preserve">Criminal Justice (Mental Impairment) Act 1999 </w:t>
      </w:r>
      <w:r w:rsidR="00EA3D8B" w:rsidRPr="00154F1D">
        <w:rPr>
          <w:iCs/>
        </w:rPr>
        <w:t>(Tas)</w:t>
      </w:r>
      <w:r w:rsidR="00F4383A" w:rsidRPr="00154F1D">
        <w:t xml:space="preserve"> do not apply to </w:t>
      </w:r>
      <w:r w:rsidR="00520DA1" w:rsidRPr="00154F1D">
        <w:t>leave provisions</w:t>
      </w:r>
      <w:r w:rsidR="00F4383A" w:rsidRPr="00154F1D">
        <w:t xml:space="preserve">, with the MHT </w:t>
      </w:r>
      <w:r w:rsidR="00EE6A56" w:rsidRPr="00154F1D">
        <w:t xml:space="preserve">or the CFP </w:t>
      </w:r>
      <w:r w:rsidR="00F4383A" w:rsidRPr="00154F1D">
        <w:t xml:space="preserve">being required to exercise responsibility subject to the service delivery principles set out in </w:t>
      </w:r>
      <w:r w:rsidR="00CB1671" w:rsidRPr="00154F1D">
        <w:t>sch</w:t>
      </w:r>
      <w:r w:rsidR="00F4383A" w:rsidRPr="00154F1D">
        <w:t xml:space="preserve"> 1 of the </w:t>
      </w:r>
      <w:r w:rsidR="00EA3D8B" w:rsidRPr="00154F1D">
        <w:rPr>
          <w:i/>
        </w:rPr>
        <w:t>Mental Health Act 2013</w:t>
      </w:r>
      <w:r w:rsidR="00EA3D8B" w:rsidRPr="00154F1D">
        <w:t xml:space="preserve"> (Tas)</w:t>
      </w:r>
      <w:r w:rsidR="00F4383A" w:rsidRPr="00154F1D">
        <w:t>.</w:t>
      </w:r>
      <w:r w:rsidR="00F4383A" w:rsidRPr="00154F1D">
        <w:rPr>
          <w:rStyle w:val="FootnoteReference"/>
        </w:rPr>
        <w:footnoteReference w:id="686"/>
      </w:r>
      <w:r w:rsidR="007C2483" w:rsidRPr="00154F1D">
        <w:t xml:space="preserve"> </w:t>
      </w:r>
      <w:r w:rsidR="00B35242" w:rsidRPr="00154F1D">
        <w:t>This takes into account the need to respect, observe and promote the inherent rights, liberty, dignity, autonomy and self-respect of persons with mental illness and the need to ensure that the interference with or restriction of the rights of persons with mental illness is done in the least restrictive way and to the least extent consistent with the protection of the individual and the community.</w:t>
      </w:r>
      <w:r w:rsidR="00B35242" w:rsidRPr="00154F1D">
        <w:rPr>
          <w:rStyle w:val="FootnoteReference"/>
        </w:rPr>
        <w:footnoteReference w:id="687"/>
      </w:r>
      <w:r w:rsidR="00B35242" w:rsidRPr="00154F1D">
        <w:t xml:space="preserve"> </w:t>
      </w:r>
      <w:r w:rsidR="00967071" w:rsidRPr="00154F1D">
        <w:t>Table 8.9 sets out the number of leave applications determined by the MHT in the period 2014</w:t>
      </w:r>
      <w:r w:rsidR="00596478">
        <w:t>–20</w:t>
      </w:r>
      <w:r w:rsidR="00967071" w:rsidRPr="00154F1D">
        <w:t>15 to 2016</w:t>
      </w:r>
      <w:r w:rsidR="00596478">
        <w:t>–20</w:t>
      </w:r>
      <w:r w:rsidR="00967071" w:rsidRPr="00154F1D">
        <w:t>17.</w:t>
      </w:r>
    </w:p>
    <w:p w14:paraId="1153EF70" w14:textId="3ABF1B92" w:rsidR="00967071" w:rsidRPr="00596478" w:rsidRDefault="00967071" w:rsidP="00596478">
      <w:pPr>
        <w:pStyle w:val="NumberlessNormalText"/>
        <w:spacing w:after="40"/>
        <w:rPr>
          <w:b/>
        </w:rPr>
      </w:pPr>
      <w:r w:rsidRPr="00596478">
        <w:rPr>
          <w:b/>
        </w:rPr>
        <w:t>Table 8.9: Leave application requested and granted by the MHT, 2014</w:t>
      </w:r>
      <w:r w:rsidR="00596478">
        <w:rPr>
          <w:b/>
        </w:rPr>
        <w:t>–</w:t>
      </w:r>
      <w:r w:rsidRPr="00596478">
        <w:rPr>
          <w:b/>
        </w:rPr>
        <w:t>15 to 201</w:t>
      </w:r>
      <w:r w:rsidR="00421CE7" w:rsidRPr="00596478">
        <w:rPr>
          <w:b/>
        </w:rPr>
        <w:t>7</w:t>
      </w:r>
      <w:r w:rsidR="00596478">
        <w:rPr>
          <w:b/>
        </w:rPr>
        <w:t>–</w:t>
      </w:r>
      <w:r w:rsidRPr="00596478">
        <w:rPr>
          <w:b/>
        </w:rPr>
        <w:t>1</w:t>
      </w:r>
      <w:r w:rsidR="00421CE7" w:rsidRPr="00596478">
        <w:rPr>
          <w:b/>
        </w:rPr>
        <w:t>8</w:t>
      </w:r>
    </w:p>
    <w:tbl>
      <w:tblPr>
        <w:tblStyle w:val="TableGrid"/>
        <w:tblW w:w="5000" w:type="pct"/>
        <w:tblLook w:val="04A0" w:firstRow="1" w:lastRow="0" w:firstColumn="1" w:lastColumn="0" w:noHBand="0" w:noVBand="1"/>
      </w:tblPr>
      <w:tblGrid>
        <w:gridCol w:w="1556"/>
        <w:gridCol w:w="3370"/>
        <w:gridCol w:w="3370"/>
      </w:tblGrid>
      <w:tr w:rsidR="00564EAF" w:rsidRPr="00154F1D" w14:paraId="07B52498" w14:textId="37C06C13" w:rsidTr="00564EAF">
        <w:tc>
          <w:tcPr>
            <w:tcW w:w="938" w:type="pct"/>
          </w:tcPr>
          <w:p w14:paraId="738D74BA" w14:textId="1953D7A5" w:rsidR="00564EAF" w:rsidRPr="00154F1D" w:rsidRDefault="00564EAF" w:rsidP="00564EAF">
            <w:pPr>
              <w:pStyle w:val="NormalNumberedTextTLRI"/>
              <w:numPr>
                <w:ilvl w:val="0"/>
                <w:numId w:val="0"/>
              </w:numPr>
              <w:spacing w:before="40" w:after="40"/>
              <w:rPr>
                <w:b/>
                <w:sz w:val="20"/>
              </w:rPr>
            </w:pPr>
            <w:r w:rsidRPr="00154F1D">
              <w:rPr>
                <w:b/>
                <w:sz w:val="20"/>
              </w:rPr>
              <w:t xml:space="preserve">Year </w:t>
            </w:r>
          </w:p>
        </w:tc>
        <w:tc>
          <w:tcPr>
            <w:tcW w:w="2031" w:type="pct"/>
            <w:vAlign w:val="center"/>
          </w:tcPr>
          <w:p w14:paraId="14C3F278" w14:textId="5257E4CD" w:rsidR="00564EAF" w:rsidRPr="00154F1D" w:rsidRDefault="00564EAF" w:rsidP="00564EAF">
            <w:pPr>
              <w:pStyle w:val="NormalNumberedTextTLRI"/>
              <w:numPr>
                <w:ilvl w:val="0"/>
                <w:numId w:val="0"/>
              </w:numPr>
              <w:spacing w:before="40" w:after="40"/>
              <w:jc w:val="center"/>
              <w:rPr>
                <w:b/>
                <w:sz w:val="20"/>
              </w:rPr>
            </w:pPr>
            <w:r w:rsidRPr="00154F1D">
              <w:rPr>
                <w:b/>
                <w:sz w:val="20"/>
              </w:rPr>
              <w:t>Leave applications requested</w:t>
            </w:r>
          </w:p>
        </w:tc>
        <w:tc>
          <w:tcPr>
            <w:tcW w:w="2031" w:type="pct"/>
            <w:vAlign w:val="center"/>
          </w:tcPr>
          <w:p w14:paraId="3C39927A" w14:textId="13B7F253" w:rsidR="00564EAF" w:rsidRPr="00154F1D" w:rsidRDefault="00564EAF" w:rsidP="00564EAF">
            <w:pPr>
              <w:pStyle w:val="NormalNumberedTextTLRI"/>
              <w:numPr>
                <w:ilvl w:val="0"/>
                <w:numId w:val="0"/>
              </w:numPr>
              <w:spacing w:before="40" w:after="40"/>
              <w:jc w:val="center"/>
              <w:rPr>
                <w:b/>
                <w:sz w:val="20"/>
              </w:rPr>
            </w:pPr>
            <w:r w:rsidRPr="00154F1D">
              <w:rPr>
                <w:b/>
                <w:sz w:val="20"/>
              </w:rPr>
              <w:t>Leave applications granted</w:t>
            </w:r>
          </w:p>
        </w:tc>
      </w:tr>
      <w:tr w:rsidR="00564EAF" w:rsidRPr="00154F1D" w14:paraId="242CE2E7" w14:textId="2F6171F4" w:rsidTr="00564EAF">
        <w:tc>
          <w:tcPr>
            <w:tcW w:w="938" w:type="pct"/>
          </w:tcPr>
          <w:p w14:paraId="4B499FA1" w14:textId="32286282" w:rsidR="00564EAF" w:rsidRPr="00154F1D" w:rsidRDefault="00564EAF" w:rsidP="00564EAF">
            <w:pPr>
              <w:pStyle w:val="NormalNumberedTextTLRI"/>
              <w:numPr>
                <w:ilvl w:val="0"/>
                <w:numId w:val="0"/>
              </w:numPr>
              <w:spacing w:before="40" w:after="40"/>
              <w:rPr>
                <w:sz w:val="20"/>
              </w:rPr>
            </w:pPr>
            <w:r w:rsidRPr="00154F1D">
              <w:rPr>
                <w:sz w:val="20"/>
              </w:rPr>
              <w:t>2014–15</w:t>
            </w:r>
          </w:p>
        </w:tc>
        <w:tc>
          <w:tcPr>
            <w:tcW w:w="2031" w:type="pct"/>
            <w:vAlign w:val="center"/>
          </w:tcPr>
          <w:p w14:paraId="627DB71B" w14:textId="42B2BDE5" w:rsidR="00564EAF" w:rsidRPr="00154F1D" w:rsidRDefault="00564EAF" w:rsidP="00564EAF">
            <w:pPr>
              <w:pStyle w:val="NormalNumberedTextTLRI"/>
              <w:numPr>
                <w:ilvl w:val="0"/>
                <w:numId w:val="0"/>
              </w:numPr>
              <w:spacing w:before="40" w:after="40"/>
              <w:jc w:val="center"/>
              <w:rPr>
                <w:sz w:val="20"/>
              </w:rPr>
            </w:pPr>
            <w:r w:rsidRPr="00154F1D">
              <w:rPr>
                <w:sz w:val="20"/>
              </w:rPr>
              <w:t>6</w:t>
            </w:r>
          </w:p>
        </w:tc>
        <w:tc>
          <w:tcPr>
            <w:tcW w:w="2031" w:type="pct"/>
            <w:vAlign w:val="center"/>
          </w:tcPr>
          <w:p w14:paraId="0BE67BED" w14:textId="7F9FBD60" w:rsidR="00564EAF" w:rsidRPr="00154F1D" w:rsidRDefault="00564EAF" w:rsidP="00564EAF">
            <w:pPr>
              <w:pStyle w:val="NormalNumberedTextTLRI"/>
              <w:numPr>
                <w:ilvl w:val="0"/>
                <w:numId w:val="0"/>
              </w:numPr>
              <w:spacing w:before="40" w:after="40"/>
              <w:jc w:val="center"/>
              <w:rPr>
                <w:sz w:val="20"/>
              </w:rPr>
            </w:pPr>
            <w:r w:rsidRPr="00154F1D">
              <w:rPr>
                <w:sz w:val="20"/>
              </w:rPr>
              <w:t>6</w:t>
            </w:r>
          </w:p>
        </w:tc>
      </w:tr>
      <w:tr w:rsidR="00564EAF" w:rsidRPr="00154F1D" w14:paraId="58D878A1" w14:textId="43420C6D" w:rsidTr="00564EAF">
        <w:tc>
          <w:tcPr>
            <w:tcW w:w="938" w:type="pct"/>
          </w:tcPr>
          <w:p w14:paraId="69098D69" w14:textId="14B58B91" w:rsidR="00564EAF" w:rsidRPr="00154F1D" w:rsidRDefault="00564EAF" w:rsidP="00564EAF">
            <w:pPr>
              <w:pStyle w:val="NormalNumberedTextTLRI"/>
              <w:numPr>
                <w:ilvl w:val="0"/>
                <w:numId w:val="0"/>
              </w:numPr>
              <w:spacing w:before="40" w:after="40"/>
              <w:rPr>
                <w:sz w:val="20"/>
              </w:rPr>
            </w:pPr>
            <w:r w:rsidRPr="00154F1D">
              <w:rPr>
                <w:sz w:val="20"/>
              </w:rPr>
              <w:t xml:space="preserve">2015–16 </w:t>
            </w:r>
          </w:p>
        </w:tc>
        <w:tc>
          <w:tcPr>
            <w:tcW w:w="2031" w:type="pct"/>
            <w:vAlign w:val="center"/>
          </w:tcPr>
          <w:p w14:paraId="2E82D8A7" w14:textId="3A43C87B" w:rsidR="00564EAF" w:rsidRPr="00154F1D" w:rsidRDefault="00564EAF" w:rsidP="00564EAF">
            <w:pPr>
              <w:pStyle w:val="NormalNumberedTextTLRI"/>
              <w:numPr>
                <w:ilvl w:val="0"/>
                <w:numId w:val="0"/>
              </w:numPr>
              <w:spacing w:before="40" w:after="40"/>
              <w:jc w:val="center"/>
              <w:rPr>
                <w:sz w:val="20"/>
              </w:rPr>
            </w:pPr>
            <w:r w:rsidRPr="00154F1D">
              <w:rPr>
                <w:sz w:val="20"/>
              </w:rPr>
              <w:t>12</w:t>
            </w:r>
          </w:p>
        </w:tc>
        <w:tc>
          <w:tcPr>
            <w:tcW w:w="2031" w:type="pct"/>
            <w:vAlign w:val="center"/>
          </w:tcPr>
          <w:p w14:paraId="6CBE3A89" w14:textId="7B6297D5" w:rsidR="00564EAF" w:rsidRPr="00154F1D" w:rsidRDefault="00564EAF" w:rsidP="00564EAF">
            <w:pPr>
              <w:pStyle w:val="NormalNumberedTextTLRI"/>
              <w:numPr>
                <w:ilvl w:val="0"/>
                <w:numId w:val="0"/>
              </w:numPr>
              <w:spacing w:before="40" w:after="40"/>
              <w:jc w:val="center"/>
              <w:rPr>
                <w:sz w:val="20"/>
              </w:rPr>
            </w:pPr>
            <w:r w:rsidRPr="00154F1D">
              <w:rPr>
                <w:sz w:val="20"/>
              </w:rPr>
              <w:t>10</w:t>
            </w:r>
          </w:p>
        </w:tc>
      </w:tr>
      <w:tr w:rsidR="00564EAF" w:rsidRPr="00154F1D" w14:paraId="3547B95E" w14:textId="77777777" w:rsidTr="00564EAF">
        <w:tc>
          <w:tcPr>
            <w:tcW w:w="938" w:type="pct"/>
          </w:tcPr>
          <w:p w14:paraId="6ECD5659" w14:textId="7B7220B5" w:rsidR="00564EAF" w:rsidRPr="00154F1D" w:rsidRDefault="00564EAF" w:rsidP="00564EAF">
            <w:pPr>
              <w:pStyle w:val="NormalNumberedTextTLRI"/>
              <w:numPr>
                <w:ilvl w:val="0"/>
                <w:numId w:val="0"/>
              </w:numPr>
              <w:spacing w:before="40" w:after="40"/>
              <w:rPr>
                <w:sz w:val="20"/>
              </w:rPr>
            </w:pPr>
            <w:r w:rsidRPr="00154F1D">
              <w:rPr>
                <w:sz w:val="20"/>
              </w:rPr>
              <w:t>2016–17</w:t>
            </w:r>
          </w:p>
        </w:tc>
        <w:tc>
          <w:tcPr>
            <w:tcW w:w="2031" w:type="pct"/>
            <w:vAlign w:val="center"/>
          </w:tcPr>
          <w:p w14:paraId="56767ECE" w14:textId="412E1229" w:rsidR="00564EAF" w:rsidRPr="00154F1D" w:rsidRDefault="00564EAF" w:rsidP="00564EAF">
            <w:pPr>
              <w:pStyle w:val="NormalNumberedTextTLRI"/>
              <w:numPr>
                <w:ilvl w:val="0"/>
                <w:numId w:val="0"/>
              </w:numPr>
              <w:spacing w:before="40" w:after="40"/>
              <w:jc w:val="center"/>
              <w:rPr>
                <w:sz w:val="20"/>
              </w:rPr>
            </w:pPr>
            <w:r w:rsidRPr="00154F1D">
              <w:rPr>
                <w:sz w:val="20"/>
              </w:rPr>
              <w:t>6</w:t>
            </w:r>
          </w:p>
        </w:tc>
        <w:tc>
          <w:tcPr>
            <w:tcW w:w="2031" w:type="pct"/>
            <w:vAlign w:val="center"/>
          </w:tcPr>
          <w:p w14:paraId="1AEB8306" w14:textId="65524978" w:rsidR="00564EAF" w:rsidRPr="00154F1D" w:rsidRDefault="00564EAF" w:rsidP="00564EAF">
            <w:pPr>
              <w:pStyle w:val="NormalNumberedTextTLRI"/>
              <w:numPr>
                <w:ilvl w:val="0"/>
                <w:numId w:val="0"/>
              </w:numPr>
              <w:spacing w:before="40" w:after="40"/>
              <w:jc w:val="center"/>
              <w:rPr>
                <w:sz w:val="20"/>
              </w:rPr>
            </w:pPr>
            <w:r w:rsidRPr="00154F1D">
              <w:rPr>
                <w:sz w:val="20"/>
              </w:rPr>
              <w:t>6</w:t>
            </w:r>
          </w:p>
        </w:tc>
      </w:tr>
      <w:tr w:rsidR="00421CE7" w:rsidRPr="00154F1D" w14:paraId="3CFA29DD" w14:textId="77777777" w:rsidTr="00564EAF">
        <w:tc>
          <w:tcPr>
            <w:tcW w:w="938" w:type="pct"/>
          </w:tcPr>
          <w:p w14:paraId="10EC9E14" w14:textId="2CFB2410" w:rsidR="00421CE7" w:rsidRPr="00154F1D" w:rsidRDefault="00421CE7" w:rsidP="00564EAF">
            <w:pPr>
              <w:pStyle w:val="NormalNumberedTextTLRI"/>
              <w:numPr>
                <w:ilvl w:val="0"/>
                <w:numId w:val="0"/>
              </w:numPr>
              <w:spacing w:before="40" w:after="40"/>
              <w:rPr>
                <w:sz w:val="20"/>
              </w:rPr>
            </w:pPr>
            <w:r w:rsidRPr="00154F1D">
              <w:rPr>
                <w:sz w:val="20"/>
              </w:rPr>
              <w:t>2017</w:t>
            </w:r>
            <w:r w:rsidR="00596478">
              <w:rPr>
                <w:sz w:val="20"/>
              </w:rPr>
              <w:t>–</w:t>
            </w:r>
            <w:r w:rsidRPr="00154F1D">
              <w:rPr>
                <w:sz w:val="20"/>
              </w:rPr>
              <w:t>18</w:t>
            </w:r>
          </w:p>
        </w:tc>
        <w:tc>
          <w:tcPr>
            <w:tcW w:w="2031" w:type="pct"/>
            <w:vAlign w:val="center"/>
          </w:tcPr>
          <w:p w14:paraId="6079318A" w14:textId="3D01846E" w:rsidR="00421CE7" w:rsidRPr="00154F1D" w:rsidRDefault="00421CE7" w:rsidP="00564EAF">
            <w:pPr>
              <w:pStyle w:val="NormalNumberedTextTLRI"/>
              <w:numPr>
                <w:ilvl w:val="0"/>
                <w:numId w:val="0"/>
              </w:numPr>
              <w:spacing w:before="40" w:after="40"/>
              <w:jc w:val="center"/>
              <w:rPr>
                <w:sz w:val="20"/>
              </w:rPr>
            </w:pPr>
            <w:r w:rsidRPr="00154F1D">
              <w:rPr>
                <w:sz w:val="20"/>
              </w:rPr>
              <w:t>11</w:t>
            </w:r>
          </w:p>
        </w:tc>
        <w:tc>
          <w:tcPr>
            <w:tcW w:w="2031" w:type="pct"/>
            <w:vAlign w:val="center"/>
          </w:tcPr>
          <w:p w14:paraId="246E77E4" w14:textId="121CFDBF" w:rsidR="00421CE7" w:rsidRPr="00154F1D" w:rsidRDefault="00421CE7" w:rsidP="00564EAF">
            <w:pPr>
              <w:pStyle w:val="NormalNumberedTextTLRI"/>
              <w:numPr>
                <w:ilvl w:val="0"/>
                <w:numId w:val="0"/>
              </w:numPr>
              <w:spacing w:before="40" w:after="40"/>
              <w:jc w:val="center"/>
              <w:rPr>
                <w:sz w:val="20"/>
              </w:rPr>
            </w:pPr>
            <w:r w:rsidRPr="00154F1D">
              <w:rPr>
                <w:sz w:val="20"/>
              </w:rPr>
              <w:t>8</w:t>
            </w:r>
            <w:r w:rsidRPr="00154F1D">
              <w:rPr>
                <w:rStyle w:val="FootnoteReference"/>
              </w:rPr>
              <w:footnoteReference w:id="688"/>
            </w:r>
          </w:p>
        </w:tc>
      </w:tr>
    </w:tbl>
    <w:p w14:paraId="7DF9833C" w14:textId="1F0B5ABC" w:rsidR="00CF23A1" w:rsidRPr="00154F1D" w:rsidRDefault="00CF23A1" w:rsidP="00564EAF">
      <w:pPr>
        <w:pStyle w:val="NumberlessNormalText"/>
        <w:spacing w:before="40" w:after="220"/>
        <w:rPr>
          <w:i/>
          <w:sz w:val="18"/>
          <w:szCs w:val="18"/>
        </w:rPr>
      </w:pPr>
      <w:r w:rsidRPr="00154F1D">
        <w:rPr>
          <w:i/>
          <w:sz w:val="18"/>
          <w:szCs w:val="18"/>
        </w:rPr>
        <w:t>S</w:t>
      </w:r>
      <w:r w:rsidR="00EE310E" w:rsidRPr="00154F1D">
        <w:rPr>
          <w:i/>
          <w:sz w:val="18"/>
          <w:szCs w:val="18"/>
        </w:rPr>
        <w:t>o</w:t>
      </w:r>
      <w:r w:rsidRPr="00154F1D">
        <w:rPr>
          <w:i/>
          <w:sz w:val="18"/>
          <w:szCs w:val="18"/>
        </w:rPr>
        <w:t>urce: MHT Annual Rep</w:t>
      </w:r>
      <w:r w:rsidR="00887F0D" w:rsidRPr="00154F1D">
        <w:rPr>
          <w:i/>
          <w:sz w:val="18"/>
          <w:szCs w:val="18"/>
        </w:rPr>
        <w:t>or</w:t>
      </w:r>
      <w:r w:rsidRPr="00154F1D">
        <w:rPr>
          <w:i/>
          <w:sz w:val="18"/>
          <w:szCs w:val="18"/>
        </w:rPr>
        <w:t>t</w:t>
      </w:r>
    </w:p>
    <w:p w14:paraId="0D17473A" w14:textId="77777777" w:rsidR="00870A5F" w:rsidRPr="00154F1D" w:rsidRDefault="00870A5F" w:rsidP="00D80045">
      <w:pPr>
        <w:pStyle w:val="NumberedHeadingTLRI"/>
      </w:pPr>
      <w:bookmarkStart w:id="197" w:name="_Toc535868981"/>
      <w:r w:rsidRPr="00154F1D">
        <w:t>Issues for consideration</w:t>
      </w:r>
      <w:bookmarkEnd w:id="197"/>
    </w:p>
    <w:p w14:paraId="74FB9F19" w14:textId="47BF048D" w:rsidR="00811545" w:rsidRPr="00154F1D" w:rsidRDefault="00811545" w:rsidP="00811545">
      <w:pPr>
        <w:pStyle w:val="Sub-HeadingTLRI"/>
      </w:pPr>
      <w:bookmarkStart w:id="198" w:name="_Toc535868982"/>
      <w:r w:rsidRPr="00154F1D">
        <w:t xml:space="preserve">Indefinite nature of </w:t>
      </w:r>
      <w:r w:rsidR="00E56AF0" w:rsidRPr="00154F1D">
        <w:t xml:space="preserve">forensic </w:t>
      </w:r>
      <w:r w:rsidRPr="00154F1D">
        <w:t>orders</w:t>
      </w:r>
      <w:bookmarkEnd w:id="198"/>
    </w:p>
    <w:p w14:paraId="5573D257" w14:textId="77894358" w:rsidR="00E61C3C" w:rsidRPr="00154F1D" w:rsidRDefault="003E10C5" w:rsidP="00744FAA">
      <w:pPr>
        <w:pStyle w:val="NormalNumberedTextTLRI"/>
      </w:pPr>
      <w:r w:rsidRPr="00154F1D">
        <w:t xml:space="preserve">In Tasmania, restriction orders and supervision orders are indefinite, subject to review by the MHT and revocation or discharge by the Supreme Court. </w:t>
      </w:r>
      <w:r w:rsidR="00F64964" w:rsidRPr="00154F1D">
        <w:t>This aspect of the insanity and fitness to stand trial provisions has been the subject of significant criticism (as discussed below)</w:t>
      </w:r>
      <w:r w:rsidRPr="00154F1D">
        <w:t xml:space="preserve">. </w:t>
      </w:r>
      <w:r w:rsidR="00A01332" w:rsidRPr="00154F1D">
        <w:t>Although</w:t>
      </w:r>
      <w:r w:rsidRPr="00154F1D">
        <w:t xml:space="preserve"> the move away from the </w:t>
      </w:r>
      <w:r w:rsidR="00A01332" w:rsidRPr="00154F1D">
        <w:t xml:space="preserve">traditional ‘Governor’s Pleasure’ regime </w:t>
      </w:r>
      <w:r w:rsidR="000C0547" w:rsidRPr="00154F1D">
        <w:t xml:space="preserve">(in Tasmania and elsewhere) </w:t>
      </w:r>
      <w:r w:rsidR="00A01332" w:rsidRPr="00154F1D">
        <w:t xml:space="preserve">was intended to remove the arbitrary and political nature of </w:t>
      </w:r>
      <w:r w:rsidR="000C0547" w:rsidRPr="00154F1D">
        <w:t xml:space="preserve">indefinite </w:t>
      </w:r>
      <w:r w:rsidR="00A01332" w:rsidRPr="00154F1D">
        <w:t xml:space="preserve">detention, </w:t>
      </w:r>
      <w:r w:rsidR="000C0547" w:rsidRPr="00154F1D">
        <w:t>criticism</w:t>
      </w:r>
      <w:r w:rsidR="005A51ED" w:rsidRPr="00154F1D">
        <w:t xml:space="preserve"> </w:t>
      </w:r>
      <w:r w:rsidR="00D4304F">
        <w:t>has</w:t>
      </w:r>
      <w:r w:rsidR="005A51ED" w:rsidRPr="00154F1D">
        <w:t xml:space="preserve"> been directed at the Tasmanian system on the basis that the Govern</w:t>
      </w:r>
      <w:r w:rsidR="000C0547" w:rsidRPr="00154F1D">
        <w:t>or</w:t>
      </w:r>
      <w:r w:rsidR="005A51ED" w:rsidRPr="00154F1D">
        <w:t xml:space="preserve">’s </w:t>
      </w:r>
      <w:r w:rsidR="000C0547" w:rsidRPr="00154F1D">
        <w:t>Pleasure</w:t>
      </w:r>
      <w:r w:rsidR="005A51ED" w:rsidRPr="00154F1D">
        <w:t xml:space="preserve"> model is retained ‘in substance, if not in form’.</w:t>
      </w:r>
      <w:r w:rsidR="005A51ED" w:rsidRPr="00154F1D">
        <w:rPr>
          <w:rStyle w:val="FootnoteReference"/>
        </w:rPr>
        <w:footnoteReference w:id="689"/>
      </w:r>
      <w:r w:rsidR="00553E6A" w:rsidRPr="00154F1D">
        <w:t xml:space="preserve"> </w:t>
      </w:r>
      <w:r w:rsidR="00F17483" w:rsidRPr="00154F1D">
        <w:t xml:space="preserve">It can be argued that </w:t>
      </w:r>
      <w:r w:rsidR="00200CB7">
        <w:t>the current system</w:t>
      </w:r>
      <w:r w:rsidR="00200CB7" w:rsidRPr="00154F1D">
        <w:t xml:space="preserve"> </w:t>
      </w:r>
      <w:r w:rsidR="00F17483" w:rsidRPr="00154F1D">
        <w:t xml:space="preserve">is unfair to individuals and does not reflect the principles underlying the </w:t>
      </w:r>
      <w:r w:rsidR="00EA3D8B" w:rsidRPr="00154F1D">
        <w:rPr>
          <w:i/>
          <w:iCs/>
        </w:rPr>
        <w:t xml:space="preserve">Criminal Justice (Mental Impairment) Act 1999 </w:t>
      </w:r>
      <w:r w:rsidR="00EA3D8B" w:rsidRPr="00154F1D">
        <w:rPr>
          <w:iCs/>
        </w:rPr>
        <w:t>(Tas)</w:t>
      </w:r>
      <w:r w:rsidR="00F17483" w:rsidRPr="00154F1D">
        <w:t xml:space="preserve"> </w:t>
      </w:r>
      <w:r w:rsidR="001B5A4B" w:rsidRPr="00154F1D">
        <w:t>which</w:t>
      </w:r>
      <w:r w:rsidR="00F17483" w:rsidRPr="00154F1D">
        <w:t xml:space="preserve"> </w:t>
      </w:r>
      <w:r w:rsidR="001B5A4B" w:rsidRPr="00154F1D">
        <w:t xml:space="preserve">seek </w:t>
      </w:r>
      <w:r w:rsidR="00F17483" w:rsidRPr="00154F1D">
        <w:t>to provide an appropriate balance between individual freedom and autonomy and community safety.</w:t>
      </w:r>
    </w:p>
    <w:p w14:paraId="1F4D567C" w14:textId="01897194" w:rsidR="00811545" w:rsidRPr="00154F1D" w:rsidRDefault="00553E6A" w:rsidP="00744FAA">
      <w:pPr>
        <w:pStyle w:val="NormalNumberedTextTLRI"/>
      </w:pPr>
      <w:r w:rsidRPr="00154F1D">
        <w:t xml:space="preserve">It is also noted that </w:t>
      </w:r>
      <w:r w:rsidR="007A79BF" w:rsidRPr="00154F1D">
        <w:t xml:space="preserve">there is no statutory limit contained </w:t>
      </w:r>
      <w:r w:rsidR="00DB3B0D" w:rsidRPr="00154F1D">
        <w:t xml:space="preserve">in the </w:t>
      </w:r>
      <w:r w:rsidR="00EA3D8B" w:rsidRPr="00154F1D">
        <w:rPr>
          <w:i/>
          <w:iCs/>
        </w:rPr>
        <w:t xml:space="preserve">Criminal Justice (Mental Impairment) Act 1999 </w:t>
      </w:r>
      <w:r w:rsidR="00EA3D8B" w:rsidRPr="00154F1D">
        <w:rPr>
          <w:iCs/>
        </w:rPr>
        <w:t>(Tas)</w:t>
      </w:r>
      <w:r w:rsidR="00F67BF9" w:rsidRPr="00154F1D">
        <w:t xml:space="preserve"> for conditional release orders</w:t>
      </w:r>
      <w:r w:rsidR="00DB3B0D" w:rsidRPr="00154F1D">
        <w:t>.</w:t>
      </w:r>
      <w:r w:rsidR="007A79BF" w:rsidRPr="00154F1D">
        <w:t xml:space="preserve"> </w:t>
      </w:r>
      <w:r w:rsidR="00DB3B0D" w:rsidRPr="00154F1D">
        <w:t>This means that</w:t>
      </w:r>
      <w:r w:rsidR="007A79BF" w:rsidRPr="00154F1D">
        <w:t xml:space="preserve"> a conditional release order </w:t>
      </w:r>
      <w:r w:rsidRPr="00154F1D">
        <w:t>(or some conditions</w:t>
      </w:r>
      <w:r w:rsidR="00144353" w:rsidRPr="00154F1D">
        <w:t xml:space="preserve"> of</w:t>
      </w:r>
      <w:r w:rsidRPr="00154F1D">
        <w:t xml:space="preserve"> an order) </w:t>
      </w:r>
      <w:r w:rsidR="00144353" w:rsidRPr="00154F1D">
        <w:t>may</w:t>
      </w:r>
      <w:r w:rsidR="007A79BF" w:rsidRPr="00154F1D">
        <w:t xml:space="preserve"> be indefinite </w:t>
      </w:r>
      <w:r w:rsidR="00144353" w:rsidRPr="00154F1D">
        <w:t>and there is</w:t>
      </w:r>
      <w:r w:rsidR="007A79BF" w:rsidRPr="00154F1D">
        <w:t xml:space="preserve"> no provision </w:t>
      </w:r>
      <w:r w:rsidR="00DB3B0D" w:rsidRPr="00154F1D">
        <w:t xml:space="preserve">in the legislation </w:t>
      </w:r>
      <w:r w:rsidR="007A79BF" w:rsidRPr="00154F1D">
        <w:t xml:space="preserve">to have the conditions </w:t>
      </w:r>
      <w:r w:rsidR="00144353" w:rsidRPr="00154F1D">
        <w:t>varied or removed</w:t>
      </w:r>
      <w:r w:rsidR="00DB3B0D" w:rsidRPr="00154F1D">
        <w:t>.</w:t>
      </w:r>
      <w:r w:rsidR="00DB3B0D" w:rsidRPr="00154F1D">
        <w:rPr>
          <w:rStyle w:val="FootnoteReference"/>
        </w:rPr>
        <w:footnoteReference w:id="690"/>
      </w:r>
      <w:r w:rsidR="00F17483" w:rsidRPr="00154F1D">
        <w:t xml:space="preserve"> This would also appear to create the potential for unfairness and inflexibility.</w:t>
      </w:r>
    </w:p>
    <w:p w14:paraId="1FE02E1B" w14:textId="76558025" w:rsidR="00626B26" w:rsidRPr="00154F1D" w:rsidRDefault="00626B26" w:rsidP="00D84111">
      <w:pPr>
        <w:pStyle w:val="furhtersub-heading2"/>
      </w:pPr>
      <w:r w:rsidRPr="00154F1D">
        <w:t>Position in other jurisdictions</w:t>
      </w:r>
    </w:p>
    <w:p w14:paraId="03E48362" w14:textId="3EB6D3D7" w:rsidR="00D84111" w:rsidRPr="00154F1D" w:rsidRDefault="003E10C5" w:rsidP="00744FAA">
      <w:pPr>
        <w:pStyle w:val="NormalNumberedTextTLRI"/>
      </w:pPr>
      <w:r w:rsidRPr="00154F1D">
        <w:t xml:space="preserve">As shown in </w:t>
      </w:r>
      <w:r w:rsidRPr="00A15653">
        <w:t xml:space="preserve">Appendix </w:t>
      </w:r>
      <w:r w:rsidR="00FA72EA" w:rsidRPr="00A15653">
        <w:t xml:space="preserve">3 </w:t>
      </w:r>
      <w:r w:rsidRPr="00A15653">
        <w:t xml:space="preserve">Table </w:t>
      </w:r>
      <w:r w:rsidR="00FA72EA" w:rsidRPr="00154F1D">
        <w:t>A3.3</w:t>
      </w:r>
      <w:r w:rsidRPr="00154F1D">
        <w:t xml:space="preserve">, </w:t>
      </w:r>
      <w:r w:rsidR="009815C1" w:rsidRPr="00154F1D">
        <w:t>several</w:t>
      </w:r>
      <w:r w:rsidR="00D84111" w:rsidRPr="00154F1D">
        <w:t xml:space="preserve"> other Australian jurisdictions </w:t>
      </w:r>
      <w:r w:rsidRPr="00154F1D">
        <w:t>also provide for indefinite detention of forensic patients</w:t>
      </w:r>
      <w:r w:rsidR="00AE0550" w:rsidRPr="00154F1D">
        <w:t>,</w:t>
      </w:r>
      <w:r w:rsidR="006111DD" w:rsidRPr="00154F1D">
        <w:t xml:space="preserve"> </w:t>
      </w:r>
      <w:r w:rsidR="009815C1" w:rsidRPr="00154F1D">
        <w:t xml:space="preserve">subject to </w:t>
      </w:r>
      <w:r w:rsidR="002C684D" w:rsidRPr="00154F1D">
        <w:t xml:space="preserve">mechanisms for </w:t>
      </w:r>
      <w:r w:rsidR="009815C1" w:rsidRPr="00154F1D">
        <w:t>review</w:t>
      </w:r>
      <w:r w:rsidR="002C684D" w:rsidRPr="00154F1D">
        <w:t xml:space="preserve"> and ending the orders</w:t>
      </w:r>
      <w:r w:rsidR="00D84111" w:rsidRPr="00154F1D">
        <w:t>.</w:t>
      </w:r>
      <w:r w:rsidR="009815C1" w:rsidRPr="00154F1D">
        <w:t xml:space="preserve"> This is the position in New South Wales </w:t>
      </w:r>
      <w:r w:rsidR="006111DD" w:rsidRPr="00154F1D">
        <w:t>(</w:t>
      </w:r>
      <w:r w:rsidR="009815C1" w:rsidRPr="00154F1D">
        <w:t>for those found not guilty by reason of insanity</w:t>
      </w:r>
      <w:r w:rsidR="006111DD" w:rsidRPr="00154F1D">
        <w:t>)</w:t>
      </w:r>
      <w:r w:rsidR="009815C1" w:rsidRPr="00154F1D">
        <w:t xml:space="preserve">, </w:t>
      </w:r>
      <w:r w:rsidR="00BE065E" w:rsidRPr="00154F1D">
        <w:t xml:space="preserve">Victoria, </w:t>
      </w:r>
      <w:r w:rsidR="009815C1" w:rsidRPr="00154F1D">
        <w:t xml:space="preserve">Western Australia, Queensland and the Northern Territory. </w:t>
      </w:r>
      <w:r w:rsidR="00A313A7" w:rsidRPr="00154F1D">
        <w:t xml:space="preserve">In Victoria and the Northern Territory, a period is set for a major review of the order, referred to as a nominal term, either by reference to a </w:t>
      </w:r>
      <w:r w:rsidR="00EA3D8B" w:rsidRPr="00154F1D">
        <w:t xml:space="preserve">specified </w:t>
      </w:r>
      <w:r w:rsidR="00A313A7" w:rsidRPr="00154F1D">
        <w:t xml:space="preserve">statutory period (Victoria) or </w:t>
      </w:r>
      <w:r w:rsidR="00EA3D8B" w:rsidRPr="00154F1D">
        <w:t xml:space="preserve">by </w:t>
      </w:r>
      <w:r w:rsidR="00A313A7" w:rsidRPr="00154F1D">
        <w:t xml:space="preserve">the court (Northern Territory). </w:t>
      </w:r>
      <w:r w:rsidR="0009452E" w:rsidRPr="00154F1D">
        <w:t>At the major review, there is a presumption that the level of supervision will be reduced.</w:t>
      </w:r>
      <w:r w:rsidR="0009452E" w:rsidRPr="00154F1D">
        <w:rPr>
          <w:rStyle w:val="FootnoteReference"/>
        </w:rPr>
        <w:footnoteReference w:id="691"/>
      </w:r>
      <w:r w:rsidR="0009452E" w:rsidRPr="00154F1D">
        <w:t xml:space="preserve"> </w:t>
      </w:r>
      <w:r w:rsidR="00A313A7" w:rsidRPr="00154F1D">
        <w:t>In Q</w:t>
      </w:r>
      <w:r w:rsidR="0009452E" w:rsidRPr="00154F1D">
        <w:t xml:space="preserve">ueensland, </w:t>
      </w:r>
      <w:r w:rsidR="00A313A7" w:rsidRPr="00154F1D">
        <w:t xml:space="preserve">Western Australia </w:t>
      </w:r>
      <w:r w:rsidR="0009452E" w:rsidRPr="00154F1D">
        <w:t xml:space="preserve">and New South Wales </w:t>
      </w:r>
      <w:r w:rsidR="00A313A7" w:rsidRPr="00154F1D">
        <w:t xml:space="preserve">(as with Tasmania), there is provision for periodic reviews, which may result in the orders being varied or revoked. In Queensland, orders may be revoked or varied by the Mental Health Tribunal, subject to any non-revocation period that may have been set for prescribed offences. In Western Australia, an order may be revoked by the Governor on advice from the Minister following a recommendation from the Mental Impairment Accused Review Board. In New South Wales, </w:t>
      </w:r>
      <w:r w:rsidR="00871A9A" w:rsidRPr="00154F1D">
        <w:t xml:space="preserve">the court or the </w:t>
      </w:r>
      <w:r w:rsidR="007902DB" w:rsidRPr="00154F1D">
        <w:t xml:space="preserve">Mental Health Review Tribunal </w:t>
      </w:r>
      <w:r w:rsidR="00A26FF7" w:rsidRPr="00154F1D">
        <w:t xml:space="preserve">(MHRT) </w:t>
      </w:r>
      <w:r w:rsidR="007902DB" w:rsidRPr="00154F1D">
        <w:t xml:space="preserve">may </w:t>
      </w:r>
      <w:r w:rsidR="0009452E" w:rsidRPr="00154F1D">
        <w:t>make an order for releasing a person</w:t>
      </w:r>
      <w:r w:rsidR="00F302C1" w:rsidRPr="00154F1D">
        <w:t>.</w:t>
      </w:r>
      <w:r w:rsidR="00FA72EA" w:rsidRPr="00154F1D">
        <w:rPr>
          <w:rStyle w:val="FootnoteReference"/>
        </w:rPr>
        <w:footnoteReference w:id="692"/>
      </w:r>
    </w:p>
    <w:p w14:paraId="3B9EB0BC" w14:textId="7E018218" w:rsidR="00EA3D8B" w:rsidRPr="00154F1D" w:rsidRDefault="00AE0550" w:rsidP="00744FAA">
      <w:pPr>
        <w:pStyle w:val="NormalNumberedTextTLRI"/>
      </w:pPr>
      <w:r w:rsidRPr="00154F1D">
        <w:t>Other jurisdictions provide for finite terms through the use of limiting terms.</w:t>
      </w:r>
      <w:r w:rsidR="00FA72EA" w:rsidRPr="00154F1D">
        <w:rPr>
          <w:rStyle w:val="FootnoteReference"/>
        </w:rPr>
        <w:footnoteReference w:id="693"/>
      </w:r>
      <w:r w:rsidRPr="00154F1D">
        <w:t xml:space="preserve"> </w:t>
      </w:r>
      <w:r w:rsidR="00EA3D8B" w:rsidRPr="00154F1D">
        <w:t xml:space="preserve">In </w:t>
      </w:r>
      <w:r w:rsidR="00A313A7" w:rsidRPr="00154F1D">
        <w:t xml:space="preserve">New South Wales (for those found unfit and not acquitted following a special hearing), South </w:t>
      </w:r>
      <w:r w:rsidR="00F302C1" w:rsidRPr="00154F1D">
        <w:t>Australia</w:t>
      </w:r>
      <w:r w:rsidR="00A313A7" w:rsidRPr="00154F1D">
        <w:t xml:space="preserve">, </w:t>
      </w:r>
      <w:r w:rsidR="00F302C1" w:rsidRPr="00154F1D">
        <w:t xml:space="preserve">the Australian Capital Territory and the Commonwealth, </w:t>
      </w:r>
      <w:r w:rsidR="00A1064B" w:rsidRPr="00154F1D">
        <w:t xml:space="preserve">the court is </w:t>
      </w:r>
      <w:r w:rsidR="00F302C1" w:rsidRPr="00154F1D">
        <w:t>require</w:t>
      </w:r>
      <w:r w:rsidR="00A1064B" w:rsidRPr="00154F1D">
        <w:t>d</w:t>
      </w:r>
      <w:r w:rsidR="00F302C1" w:rsidRPr="00154F1D">
        <w:t xml:space="preserve"> to set a limiting term</w:t>
      </w:r>
      <w:r w:rsidR="00EA3D8B" w:rsidRPr="00154F1D">
        <w:t xml:space="preserve"> when imposing a detention or supervision order</w:t>
      </w:r>
      <w:r w:rsidR="00F302C1" w:rsidRPr="00154F1D">
        <w:t xml:space="preserve">. The limiting term </w:t>
      </w:r>
      <w:r w:rsidR="00EA3D8B" w:rsidRPr="00154F1D">
        <w:t>sets the longest</w:t>
      </w:r>
      <w:r w:rsidR="00F302C1" w:rsidRPr="00154F1D">
        <w:t xml:space="preserve"> period of detention </w:t>
      </w:r>
      <w:r w:rsidR="00EA3D8B" w:rsidRPr="00154F1D">
        <w:t>and there is a</w:t>
      </w:r>
      <w:r w:rsidR="00A1064B" w:rsidRPr="00154F1D">
        <w:t xml:space="preserve"> possibility that</w:t>
      </w:r>
      <w:r w:rsidR="00F302C1" w:rsidRPr="00154F1D">
        <w:t xml:space="preserve"> </w:t>
      </w:r>
      <w:r w:rsidR="00A1064B" w:rsidRPr="00154F1D">
        <w:t>the</w:t>
      </w:r>
      <w:r w:rsidR="00F302C1" w:rsidRPr="00154F1D">
        <w:t xml:space="preserve"> person may be released </w:t>
      </w:r>
      <w:r w:rsidR="00EA3D8B" w:rsidRPr="00154F1D">
        <w:t>before the expiry of the limiting term</w:t>
      </w:r>
      <w:r w:rsidR="00F302C1" w:rsidRPr="00154F1D">
        <w:t>.</w:t>
      </w:r>
      <w:r w:rsidR="00A1064B" w:rsidRPr="00154F1D">
        <w:t xml:space="preserve"> </w:t>
      </w:r>
      <w:r w:rsidR="00EA3D8B" w:rsidRPr="00154F1D">
        <w:t xml:space="preserve">However, evidence in New South Wales suggests release before the expiration of the limiting term is rare. The MHRT indicated that it did not know of any patients being unconditionally released prior to the expiry of their limiting terms </w:t>
      </w:r>
      <w:r w:rsidRPr="00154F1D">
        <w:t xml:space="preserve">and that </w:t>
      </w:r>
      <w:r w:rsidR="00EA3D8B" w:rsidRPr="00154F1D">
        <w:t xml:space="preserve">conditional release </w:t>
      </w:r>
      <w:r w:rsidRPr="00154F1D">
        <w:t xml:space="preserve">was </w:t>
      </w:r>
      <w:r w:rsidR="00EA3D8B" w:rsidRPr="00154F1D">
        <w:t>also rare.</w:t>
      </w:r>
      <w:r w:rsidR="00EA3D8B" w:rsidRPr="00154F1D">
        <w:rPr>
          <w:rStyle w:val="FootnoteReference"/>
        </w:rPr>
        <w:footnoteReference w:id="694"/>
      </w:r>
      <w:r w:rsidR="00EA3D8B" w:rsidRPr="00154F1D">
        <w:t xml:space="preserve"> </w:t>
      </w:r>
      <w:r w:rsidR="00A1064B" w:rsidRPr="00154F1D">
        <w:t>In New South Wales</w:t>
      </w:r>
      <w:r w:rsidR="00A26FF7" w:rsidRPr="00154F1D">
        <w:t>,</w:t>
      </w:r>
      <w:r w:rsidR="00A1064B" w:rsidRPr="00154F1D">
        <w:t xml:space="preserve"> the Australian Capital Territory and the Commonwealth, the limiting term is </w:t>
      </w:r>
      <w:r w:rsidRPr="00154F1D">
        <w:t>set by the court making a</w:t>
      </w:r>
      <w:r w:rsidR="00A1064B" w:rsidRPr="00154F1D">
        <w:t xml:space="preserve"> best estimate of the sentence that would have been considered appropriate in a normal trial. In South Australia, the limiting term is the </w:t>
      </w:r>
      <w:r w:rsidR="002856BC" w:rsidRPr="00154F1D">
        <w:t xml:space="preserve">equivalent to the period of imprisonment that would have been appropriate if the defendant had been convicted of the offence of which the objective elements have been established, without taking into account the defendant’s mental impairment. </w:t>
      </w:r>
    </w:p>
    <w:p w14:paraId="500FB57E" w14:textId="6F9A68CB" w:rsidR="00BA607D" w:rsidRPr="00154F1D" w:rsidRDefault="00AE0550" w:rsidP="00744FAA">
      <w:pPr>
        <w:pStyle w:val="NormalNumberedTextTLRI"/>
      </w:pPr>
      <w:r w:rsidRPr="00154F1D">
        <w:t xml:space="preserve">Some jurisdictions with limiting terms provide, in exceptional cases, for an extension of a person’s status following the expiry of the term. In </w:t>
      </w:r>
      <w:r w:rsidR="00EA3D8B" w:rsidRPr="00154F1D">
        <w:t>New South Wales</w:t>
      </w:r>
      <w:r w:rsidRPr="00154F1D">
        <w:t>,</w:t>
      </w:r>
      <w:r w:rsidR="00EA3D8B" w:rsidRPr="00154F1D">
        <w:t xml:space="preserve"> </w:t>
      </w:r>
      <w:r w:rsidR="00BB187A" w:rsidRPr="00154F1D">
        <w:t xml:space="preserve">the Supreme Court </w:t>
      </w:r>
      <w:r w:rsidRPr="00154F1D">
        <w:t>can</w:t>
      </w:r>
      <w:r w:rsidR="00BB187A" w:rsidRPr="00154F1D">
        <w:t xml:space="preserve"> extend a person’s status as a forensic patient beyond the </w:t>
      </w:r>
      <w:r w:rsidR="00EA3D8B" w:rsidRPr="00154F1D">
        <w:t xml:space="preserve">end of the </w:t>
      </w:r>
      <w:r w:rsidR="00D615CD" w:rsidRPr="00154F1D">
        <w:t>limiting</w:t>
      </w:r>
      <w:r w:rsidR="00B87DD8" w:rsidRPr="00154F1D">
        <w:t xml:space="preserve"> term </w:t>
      </w:r>
      <w:r w:rsidR="00EA3D8B" w:rsidRPr="00154F1D">
        <w:t xml:space="preserve">in circumstances where </w:t>
      </w:r>
      <w:r w:rsidR="00B87DD8" w:rsidRPr="00154F1D">
        <w:t>the court is satisfi</w:t>
      </w:r>
      <w:r w:rsidR="00BB187A" w:rsidRPr="00154F1D">
        <w:t>ed to a high degree of probability that the pa</w:t>
      </w:r>
      <w:r w:rsidR="00D615CD" w:rsidRPr="00154F1D">
        <w:t xml:space="preserve">tient </w:t>
      </w:r>
      <w:r w:rsidR="00BB187A" w:rsidRPr="00154F1D">
        <w:t>poses an unacceptable risk of causing serious harm to others if he or she ceased</w:t>
      </w:r>
      <w:r w:rsidR="00D615CD" w:rsidRPr="00154F1D">
        <w:t xml:space="preserve"> to be a </w:t>
      </w:r>
      <w:r w:rsidR="001D1E48" w:rsidRPr="00154F1D">
        <w:t>forensic</w:t>
      </w:r>
      <w:r w:rsidR="00D615CD" w:rsidRPr="00154F1D">
        <w:t xml:space="preserve"> </w:t>
      </w:r>
      <w:r w:rsidR="001D1E48" w:rsidRPr="00154F1D">
        <w:t>patient and th</w:t>
      </w:r>
      <w:r w:rsidR="00D615CD" w:rsidRPr="00154F1D">
        <w:t>e risk cannot be adequately managed by other less restrictive means.</w:t>
      </w:r>
      <w:r w:rsidR="00D615CD" w:rsidRPr="00154F1D">
        <w:rPr>
          <w:rStyle w:val="FootnoteReference"/>
        </w:rPr>
        <w:footnoteReference w:id="695"/>
      </w:r>
      <w:r w:rsidR="00B87DD8" w:rsidRPr="00154F1D">
        <w:t xml:space="preserve"> </w:t>
      </w:r>
      <w:r w:rsidR="00EA3D8B" w:rsidRPr="00154F1D">
        <w:t>Similarly, i</w:t>
      </w:r>
      <w:r w:rsidR="00B87DD8" w:rsidRPr="00154F1D">
        <w:t>n South Australia</w:t>
      </w:r>
      <w:r w:rsidR="00EA3D8B" w:rsidRPr="00154F1D">
        <w:t>,</w:t>
      </w:r>
      <w:r w:rsidR="00B87DD8" w:rsidRPr="00154F1D">
        <w:t xml:space="preserve"> amendments (yet to commence) to the </w:t>
      </w:r>
      <w:r w:rsidR="00B87DD8" w:rsidRPr="00154F1D">
        <w:rPr>
          <w:i/>
        </w:rPr>
        <w:t xml:space="preserve">Criminal Law Consolidation Act </w:t>
      </w:r>
      <w:r w:rsidR="00283520" w:rsidRPr="00154F1D">
        <w:rPr>
          <w:i/>
        </w:rPr>
        <w:t>1935</w:t>
      </w:r>
      <w:r w:rsidR="00B87DD8" w:rsidRPr="00154F1D">
        <w:rPr>
          <w:i/>
        </w:rPr>
        <w:t xml:space="preserve"> </w:t>
      </w:r>
      <w:r w:rsidR="00B87DD8" w:rsidRPr="00154F1D">
        <w:t xml:space="preserve">(SA), </w:t>
      </w:r>
      <w:r w:rsidR="006A122C" w:rsidRPr="00154F1D">
        <w:t>make provision for the Supreme Court to make a continuing supervision order where the court is satisfied, on the balance of probabilities, that the defendant could pose a serious risk to the safety of the community or a member of the community.</w:t>
      </w:r>
      <w:r w:rsidR="006A122C" w:rsidRPr="00154F1D">
        <w:rPr>
          <w:rStyle w:val="FootnoteReference"/>
        </w:rPr>
        <w:footnoteReference w:id="696"/>
      </w:r>
      <w:r w:rsidR="006A122C" w:rsidRPr="00154F1D">
        <w:t xml:space="preserve"> </w:t>
      </w:r>
      <w:r w:rsidR="00EA3D8B" w:rsidRPr="00154F1D">
        <w:t xml:space="preserve">Continued detention </w:t>
      </w:r>
      <w:r w:rsidR="009F0D95" w:rsidRPr="00154F1D">
        <w:t xml:space="preserve">is discussed further at </w:t>
      </w:r>
      <w:r w:rsidR="0081088A" w:rsidRPr="00154F1D">
        <w:t>[8.3.16]–[8.2.26]</w:t>
      </w:r>
      <w:r w:rsidR="009F0D95" w:rsidRPr="00154F1D">
        <w:t>.</w:t>
      </w:r>
    </w:p>
    <w:p w14:paraId="29E30473" w14:textId="3EE89EF3" w:rsidR="00F67BF9" w:rsidRPr="00154F1D" w:rsidRDefault="00F67BF9" w:rsidP="00744FAA">
      <w:pPr>
        <w:pStyle w:val="NormalNumberedTextTLRI"/>
      </w:pPr>
      <w:r w:rsidRPr="00154F1D">
        <w:t xml:space="preserve">In relation to conditional release orders, only New South Wales (for </w:t>
      </w:r>
      <w:r w:rsidR="004019C8">
        <w:t>defendant</w:t>
      </w:r>
      <w:r w:rsidR="004019C8" w:rsidRPr="00154F1D">
        <w:t xml:space="preserve">s </w:t>
      </w:r>
      <w:r w:rsidRPr="00154F1D">
        <w:t xml:space="preserve">where finding was made that unable to find not guilty following special hearing), Western Australia (for </w:t>
      </w:r>
      <w:r w:rsidR="004019C8">
        <w:t>defendant</w:t>
      </w:r>
      <w:r w:rsidR="004019C8" w:rsidRPr="00154F1D">
        <w:t xml:space="preserve">s </w:t>
      </w:r>
      <w:r w:rsidRPr="00154F1D">
        <w:t>found not guilty by reason of insanity) and the Commonwealth make provision for a conditional release order to be made by the court.</w:t>
      </w:r>
      <w:r w:rsidRPr="00154F1D">
        <w:rPr>
          <w:rStyle w:val="FootnoteReference"/>
        </w:rPr>
        <w:footnoteReference w:id="697"/>
      </w:r>
      <w:r w:rsidR="006E3E32" w:rsidRPr="00154F1D">
        <w:t xml:space="preserve"> A </w:t>
      </w:r>
      <w:r w:rsidR="00826473" w:rsidRPr="00154F1D">
        <w:t xml:space="preserve">bond may be made for </w:t>
      </w:r>
      <w:r w:rsidR="006E3E32" w:rsidRPr="00154F1D">
        <w:t xml:space="preserve">up to </w:t>
      </w:r>
      <w:r w:rsidR="00826473" w:rsidRPr="00154F1D">
        <w:t>five years</w:t>
      </w:r>
      <w:r w:rsidR="006E3E32" w:rsidRPr="00154F1D">
        <w:t xml:space="preserve"> in New South Wales, three years in the Commonwealth legislation and 24 months in Western Australia.</w:t>
      </w:r>
      <w:r w:rsidR="006E3E32" w:rsidRPr="00154F1D">
        <w:rPr>
          <w:rStyle w:val="FootnoteReference"/>
        </w:rPr>
        <w:footnoteReference w:id="698"/>
      </w:r>
      <w:r w:rsidR="00826473" w:rsidRPr="00154F1D">
        <w:t xml:space="preserve"> </w:t>
      </w:r>
      <w:r w:rsidR="006E3E32" w:rsidRPr="00154F1D">
        <w:t xml:space="preserve">In South Australia, </w:t>
      </w:r>
      <w:r w:rsidR="00323DB2" w:rsidRPr="00154F1D">
        <w:t>the</w:t>
      </w:r>
      <w:r w:rsidR="006E3E32" w:rsidRPr="00154F1D">
        <w:t xml:space="preserve"> court </w:t>
      </w:r>
      <w:r w:rsidR="00323DB2" w:rsidRPr="00154F1D">
        <w:t>can</w:t>
      </w:r>
      <w:r w:rsidR="006E3E32" w:rsidRPr="00154F1D">
        <w:t xml:space="preserve"> make a conditional release order for five years for summary and minor indictable offences.</w:t>
      </w:r>
      <w:r w:rsidR="006E3E32" w:rsidRPr="00154F1D">
        <w:rPr>
          <w:rStyle w:val="FootnoteReference"/>
        </w:rPr>
        <w:footnoteReference w:id="699"/>
      </w:r>
    </w:p>
    <w:p w14:paraId="6F8075A4" w14:textId="358494FF" w:rsidR="00D84111" w:rsidRPr="00154F1D" w:rsidRDefault="00D84111" w:rsidP="00D84111">
      <w:pPr>
        <w:pStyle w:val="furhtersub-heading2"/>
      </w:pPr>
      <w:r w:rsidRPr="00154F1D">
        <w:t>Options for reform</w:t>
      </w:r>
    </w:p>
    <w:p w14:paraId="5734A787" w14:textId="753AB402" w:rsidR="00B807E9" w:rsidRPr="00154F1D" w:rsidRDefault="00623760" w:rsidP="00744FAA">
      <w:pPr>
        <w:pStyle w:val="NormalNumberedTextTLRI"/>
      </w:pPr>
      <w:r w:rsidRPr="00154F1D">
        <w:t xml:space="preserve">In Tasmania, an option for reform would be to make detention subject to a limiting term as exists in New South Wales, the Australian Capital Territory, South Australia and the Commonwealth. </w:t>
      </w:r>
      <w:r w:rsidR="00B807E9" w:rsidRPr="00154F1D">
        <w:t>If a limiting term w</w:t>
      </w:r>
      <w:r w:rsidR="004457A5">
        <w:t>ere</w:t>
      </w:r>
      <w:r w:rsidR="00B807E9" w:rsidRPr="00154F1D">
        <w:t xml:space="preserve"> adopted, it would also be necessary to determine:</w:t>
      </w:r>
    </w:p>
    <w:p w14:paraId="59FAA0AB" w14:textId="01D64AE5" w:rsidR="00623760" w:rsidRPr="00154F1D" w:rsidRDefault="00B807E9" w:rsidP="00B862F6">
      <w:pPr>
        <w:pStyle w:val="NormalNumberedTextTLRI"/>
        <w:numPr>
          <w:ilvl w:val="0"/>
          <w:numId w:val="26"/>
        </w:numPr>
        <w:tabs>
          <w:tab w:val="clear" w:pos="851"/>
        </w:tabs>
        <w:ind w:left="851" w:hanging="425"/>
      </w:pPr>
      <w:r w:rsidRPr="00154F1D">
        <w:t xml:space="preserve">whether </w:t>
      </w:r>
      <w:r w:rsidR="00200CB7">
        <w:t>there would be</w:t>
      </w:r>
      <w:r w:rsidR="00623760" w:rsidRPr="00154F1D">
        <w:t xml:space="preserve"> an </w:t>
      </w:r>
      <w:r w:rsidR="00623760" w:rsidRPr="00154F1D">
        <w:rPr>
          <w:b/>
        </w:rPr>
        <w:t>absolute limit</w:t>
      </w:r>
      <w:r w:rsidR="00623760" w:rsidRPr="00154F1D">
        <w:t xml:space="preserve"> (as in the Australian Capital Territory and the Commonwealth) or a </w:t>
      </w:r>
      <w:r w:rsidR="00623760" w:rsidRPr="00154F1D">
        <w:rPr>
          <w:b/>
        </w:rPr>
        <w:t>limit imposed with provision to extend</w:t>
      </w:r>
      <w:r w:rsidR="00623760" w:rsidRPr="00154F1D">
        <w:t xml:space="preserve"> the period of restriction or supervision prior to the end of the limiting term (as exists in New South Wales a</w:t>
      </w:r>
      <w:r w:rsidRPr="00154F1D">
        <w:t>nd</w:t>
      </w:r>
      <w:r w:rsidR="004457A5">
        <w:t xml:space="preserve"> as is</w:t>
      </w:r>
      <w:r w:rsidRPr="00154F1D">
        <w:t xml:space="preserve"> proposed in South Australia);</w:t>
      </w:r>
    </w:p>
    <w:p w14:paraId="5A699A64" w14:textId="39E7FCA9" w:rsidR="00B807E9" w:rsidRPr="00154F1D" w:rsidRDefault="000D79FC" w:rsidP="00B862F6">
      <w:pPr>
        <w:pStyle w:val="NormalNumberedTextTLRI"/>
        <w:numPr>
          <w:ilvl w:val="0"/>
          <w:numId w:val="26"/>
        </w:numPr>
        <w:tabs>
          <w:tab w:val="clear" w:pos="851"/>
        </w:tabs>
        <w:ind w:left="851" w:hanging="425"/>
      </w:pPr>
      <w:r w:rsidRPr="00154F1D">
        <w:t>the mechanism for setting the</w:t>
      </w:r>
      <w:r w:rsidR="00B807E9" w:rsidRPr="00154F1D">
        <w:t xml:space="preserve"> limiting term.</w:t>
      </w:r>
    </w:p>
    <w:p w14:paraId="3CB001BF" w14:textId="40D5BAB9" w:rsidR="00722C63" w:rsidRPr="00154F1D" w:rsidRDefault="0098464E" w:rsidP="00744FAA">
      <w:pPr>
        <w:pStyle w:val="NormalNumberedTextTLRI"/>
      </w:pPr>
      <w:r w:rsidRPr="00154F1D">
        <w:t>Several law reform bodies have examined the period of supervision or detention that is appropriate for forensic patients following a finding of not guilty by reason of insanity or unfit to stand trial (and not acquitted at the special hearing). The NSWLR</w:t>
      </w:r>
      <w:r w:rsidR="006E7A62" w:rsidRPr="00154F1D">
        <w:t>C</w:t>
      </w:r>
      <w:r w:rsidR="005434FB" w:rsidRPr="00154F1D">
        <w:t xml:space="preserve"> recommended that a limiting term apply for </w:t>
      </w:r>
      <w:r w:rsidR="0082128C" w:rsidRPr="00154F1D">
        <w:t>defendants found not guilty by reason of insanity or following a finding that the person was unfit to stand trial (and not acquitted at the special hearing).</w:t>
      </w:r>
      <w:r w:rsidR="0082128C" w:rsidRPr="00154F1D">
        <w:rPr>
          <w:rStyle w:val="FootnoteReference"/>
        </w:rPr>
        <w:footnoteReference w:id="700"/>
      </w:r>
      <w:r w:rsidR="001D2018" w:rsidRPr="00154F1D">
        <w:t xml:space="preserve"> </w:t>
      </w:r>
      <w:r w:rsidR="00722C63" w:rsidRPr="00154F1D">
        <w:t>The view of the NSWLRC view was that there should be a time limit because it provides an important protection for forensic patients</w:t>
      </w:r>
      <w:r w:rsidR="00AA22FC">
        <w:t>.</w:t>
      </w:r>
      <w:r w:rsidR="00722C63" w:rsidRPr="00154F1D">
        <w:t xml:space="preserve"> </w:t>
      </w:r>
      <w:r w:rsidR="00AA22FC">
        <w:t>I</w:t>
      </w:r>
      <w:r w:rsidR="00722C63" w:rsidRPr="00154F1D">
        <w:t>n usual case</w:t>
      </w:r>
      <w:r w:rsidR="00F64964" w:rsidRPr="00154F1D">
        <w:t>s</w:t>
      </w:r>
      <w:r w:rsidR="00722C63" w:rsidRPr="00154F1D">
        <w:t xml:space="preserve">, concerns in relation to the safety of the community could be addressed by the civil mental health system at the end of the time limit and by </w:t>
      </w:r>
      <w:r w:rsidR="00C04DCE" w:rsidRPr="00154F1D">
        <w:t xml:space="preserve">also </w:t>
      </w:r>
      <w:r w:rsidR="00722C63" w:rsidRPr="00154F1D">
        <w:t>introducing a system that, with appropriate safeguards, would allow for continuing detention to be ordered.</w:t>
      </w:r>
      <w:r w:rsidR="00722C63" w:rsidRPr="00154F1D">
        <w:rPr>
          <w:rStyle w:val="FootnoteReference"/>
        </w:rPr>
        <w:footnoteReference w:id="701"/>
      </w:r>
      <w:r w:rsidR="00722C63" w:rsidRPr="00154F1D">
        <w:t xml:space="preserve"> </w:t>
      </w:r>
      <w:r w:rsidR="00F42B68" w:rsidRPr="00154F1D">
        <w:t>This model was an adaptation of the rules that apply to other high</w:t>
      </w:r>
      <w:r w:rsidR="00C04DCE" w:rsidRPr="00154F1D">
        <w:t>-</w:t>
      </w:r>
      <w:r w:rsidR="00F42B68" w:rsidRPr="00154F1D">
        <w:t xml:space="preserve">risk </w:t>
      </w:r>
      <w:r w:rsidR="004019C8">
        <w:t>individual</w:t>
      </w:r>
      <w:r w:rsidR="004019C8" w:rsidRPr="00154F1D">
        <w:t xml:space="preserve">s </w:t>
      </w:r>
      <w:r w:rsidR="00F42B68" w:rsidRPr="00154F1D">
        <w:t xml:space="preserve">subject to a sentence of imprisonment and would only be </w:t>
      </w:r>
      <w:r w:rsidR="00722C63" w:rsidRPr="00154F1D">
        <w:t>appropriate i</w:t>
      </w:r>
      <w:r w:rsidR="00C04DCE" w:rsidRPr="00154F1D">
        <w:t>n</w:t>
      </w:r>
      <w:r w:rsidR="00722C63" w:rsidRPr="00154F1D">
        <w:t xml:space="preserve"> cases where the civil system did not apply and the individual posed a significant risk to the public</w:t>
      </w:r>
      <w:r w:rsidR="00F42B68" w:rsidRPr="00154F1D">
        <w:t xml:space="preserve"> at the end of the limiting term</w:t>
      </w:r>
      <w:r w:rsidR="00722C63" w:rsidRPr="00154F1D">
        <w:t>.</w:t>
      </w:r>
      <w:r w:rsidR="00722C63" w:rsidRPr="00154F1D">
        <w:rPr>
          <w:rStyle w:val="FootnoteReference"/>
        </w:rPr>
        <w:footnoteReference w:id="702"/>
      </w:r>
      <w:r w:rsidR="00722C63" w:rsidRPr="00154F1D">
        <w:t xml:space="preserve"> The NSWLRC was concerned to stress that the </w:t>
      </w:r>
      <w:r w:rsidR="00C04DCE" w:rsidRPr="00154F1D">
        <w:t xml:space="preserve">proposed </w:t>
      </w:r>
      <w:r w:rsidR="00722C63" w:rsidRPr="00154F1D">
        <w:t>model should only apply in exceptional</w:t>
      </w:r>
      <w:r w:rsidR="006A3160" w:rsidRPr="00154F1D">
        <w:t xml:space="preserve"> cases</w:t>
      </w:r>
      <w:r w:rsidR="00722C63" w:rsidRPr="00154F1D">
        <w:t>.</w:t>
      </w:r>
      <w:r w:rsidR="00722C63" w:rsidRPr="00154F1D">
        <w:rPr>
          <w:rStyle w:val="FootnoteReference"/>
        </w:rPr>
        <w:footnoteReference w:id="703"/>
      </w:r>
      <w:r w:rsidR="00722C63" w:rsidRPr="00154F1D">
        <w:t xml:space="preserve"> </w:t>
      </w:r>
    </w:p>
    <w:p w14:paraId="07FA900B" w14:textId="38558381" w:rsidR="0098464E" w:rsidRPr="00154F1D" w:rsidRDefault="00F42B68" w:rsidP="00744FAA">
      <w:pPr>
        <w:pStyle w:val="NormalNumberedTextTLRI"/>
      </w:pPr>
      <w:r w:rsidRPr="00154F1D">
        <w:t>The</w:t>
      </w:r>
      <w:r w:rsidR="001D2018" w:rsidRPr="00154F1D">
        <w:t xml:space="preserve"> </w:t>
      </w:r>
      <w:r w:rsidR="00071A9B" w:rsidRPr="00154F1D">
        <w:rPr>
          <w:lang w:val="en-US"/>
        </w:rPr>
        <w:t>SASAC</w:t>
      </w:r>
      <w:r w:rsidR="000828BB" w:rsidRPr="00154F1D">
        <w:t xml:space="preserve">’s view was </w:t>
      </w:r>
      <w:r w:rsidRPr="00154F1D">
        <w:t xml:space="preserve">also </w:t>
      </w:r>
      <w:r w:rsidR="000828BB" w:rsidRPr="00154F1D">
        <w:t>that limiting terms should be retained</w:t>
      </w:r>
      <w:r w:rsidR="001D2018" w:rsidRPr="00154F1D">
        <w:t>.</w:t>
      </w:r>
      <w:r w:rsidR="000828BB" w:rsidRPr="00154F1D">
        <w:rPr>
          <w:rStyle w:val="FootnoteReference"/>
        </w:rPr>
        <w:footnoteReference w:id="704"/>
      </w:r>
      <w:r w:rsidR="001D2018" w:rsidRPr="00154F1D">
        <w:t xml:space="preserve"> </w:t>
      </w:r>
      <w:r w:rsidR="0034621C" w:rsidRPr="00154F1D">
        <w:t>A key recommendation of t</w:t>
      </w:r>
      <w:r w:rsidR="005F2E61" w:rsidRPr="00154F1D">
        <w:t xml:space="preserve">he ALRC </w:t>
      </w:r>
      <w:r w:rsidR="0034621C" w:rsidRPr="00154F1D">
        <w:t>was</w:t>
      </w:r>
      <w:r w:rsidR="005F2E61" w:rsidRPr="00154F1D">
        <w:t xml:space="preserve"> that there should be limits p</w:t>
      </w:r>
      <w:r w:rsidR="00D0570A" w:rsidRPr="00154F1D">
        <w:t>lac</w:t>
      </w:r>
      <w:r w:rsidR="005F2E61" w:rsidRPr="00154F1D">
        <w:t>ed on detention that can be imposed</w:t>
      </w:r>
      <w:r w:rsidR="00D0570A" w:rsidRPr="00154F1D">
        <w:t>.</w:t>
      </w:r>
      <w:r w:rsidR="00D0570A" w:rsidRPr="00154F1D">
        <w:rPr>
          <w:rStyle w:val="FootnoteReference"/>
        </w:rPr>
        <w:footnoteReference w:id="705"/>
      </w:r>
      <w:r w:rsidR="00071A9B" w:rsidRPr="00154F1D">
        <w:t xml:space="preserve"> </w:t>
      </w:r>
      <w:r w:rsidR="000828BB" w:rsidRPr="00154F1D">
        <w:t xml:space="preserve">This </w:t>
      </w:r>
      <w:r w:rsidR="00A46828" w:rsidRPr="00154F1D">
        <w:t xml:space="preserve">approach </w:t>
      </w:r>
      <w:r w:rsidR="000828BB" w:rsidRPr="00154F1D">
        <w:t>was also supported by the Senate Committee examining indefinite detention of people with cognitive and psychiatric impairment in Australia.</w:t>
      </w:r>
      <w:r w:rsidR="000828BB" w:rsidRPr="00154F1D">
        <w:rPr>
          <w:rStyle w:val="FootnoteReference"/>
        </w:rPr>
        <w:footnoteReference w:id="706"/>
      </w:r>
      <w:r w:rsidR="00D0570A" w:rsidRPr="00154F1D">
        <w:t xml:space="preserve"> </w:t>
      </w:r>
      <w:r w:rsidRPr="00154F1D">
        <w:t>Similarly, t</w:t>
      </w:r>
      <w:r w:rsidR="00037994" w:rsidRPr="00154F1D">
        <w:t xml:space="preserve">he </w:t>
      </w:r>
      <w:r w:rsidR="004F310D" w:rsidRPr="00154F1D">
        <w:t>LRCWA</w:t>
      </w:r>
      <w:r w:rsidR="006E016E" w:rsidRPr="00154F1D">
        <w:t xml:space="preserve"> </w:t>
      </w:r>
      <w:r w:rsidR="00037994" w:rsidRPr="00154F1D">
        <w:t>also recommended introducing the use of limiting terms.</w:t>
      </w:r>
      <w:r w:rsidR="00037994" w:rsidRPr="00154F1D">
        <w:rPr>
          <w:rStyle w:val="FootnoteReference"/>
        </w:rPr>
        <w:footnoteReference w:id="707"/>
      </w:r>
      <w:r w:rsidR="00037994" w:rsidRPr="00154F1D">
        <w:t xml:space="preserve"> </w:t>
      </w:r>
      <w:r w:rsidR="001D2018" w:rsidRPr="00154F1D">
        <w:t xml:space="preserve">In contrast, </w:t>
      </w:r>
      <w:r w:rsidR="007B0C25" w:rsidRPr="00154F1D">
        <w:t xml:space="preserve">the </w:t>
      </w:r>
      <w:r w:rsidR="001D2018" w:rsidRPr="00154F1D">
        <w:t xml:space="preserve">VLRC </w:t>
      </w:r>
      <w:r w:rsidR="007B0C25" w:rsidRPr="00154F1D">
        <w:t xml:space="preserve">and the Western Australian review conducted by the Department of the Attorney-General </w:t>
      </w:r>
      <w:r w:rsidR="00A46828" w:rsidRPr="00154F1D">
        <w:t>preferred to retain indefinite terms</w:t>
      </w:r>
      <w:r w:rsidR="00AE0550" w:rsidRPr="00154F1D">
        <w:t xml:space="preserve"> with regular reviews</w:t>
      </w:r>
      <w:r w:rsidR="00BE4DAE" w:rsidRPr="00154F1D">
        <w:t>. The VLRC considered this was the preferred approach in combination with reforms to ensure that ‘the decision-making framework in p</w:t>
      </w:r>
      <w:r w:rsidR="00AE0550" w:rsidRPr="00154F1D">
        <w:t>l</w:t>
      </w:r>
      <w:r w:rsidR="00BE4DAE" w:rsidRPr="00154F1D">
        <w:t>ace once an order is made is rigorous and ensures that the period a person is supervised closely reflects the minimum period necessary to address the person’s risk to the community’.</w:t>
      </w:r>
      <w:r w:rsidR="00BE4DAE" w:rsidRPr="00154F1D">
        <w:rPr>
          <w:rStyle w:val="FootnoteReference"/>
        </w:rPr>
        <w:footnoteReference w:id="708"/>
      </w:r>
      <w:r w:rsidR="00BE4DAE" w:rsidRPr="00154F1D">
        <w:t xml:space="preserve"> </w:t>
      </w:r>
    </w:p>
    <w:p w14:paraId="191D7F80" w14:textId="22EA16FC" w:rsidR="000749E2" w:rsidRPr="00154F1D" w:rsidRDefault="00F64964" w:rsidP="00744FAA">
      <w:pPr>
        <w:pStyle w:val="NormalNumberedTextTLRI"/>
      </w:pPr>
      <w:r w:rsidRPr="00154F1D">
        <w:t>Other jurisdictions have also considered the most</w:t>
      </w:r>
      <w:r w:rsidRPr="00154F1D" w:rsidDel="00F64964">
        <w:t xml:space="preserve"> </w:t>
      </w:r>
      <w:r w:rsidR="00143A13" w:rsidRPr="00154F1D">
        <w:t xml:space="preserve">appropriate method of setting the limiting term. </w:t>
      </w:r>
      <w:r w:rsidR="000749E2" w:rsidRPr="00154F1D">
        <w:t>In addressing this issue, the NSWLRC identified four basic models:</w:t>
      </w:r>
    </w:p>
    <w:p w14:paraId="1BB11E4E" w14:textId="1F94EB92" w:rsidR="000749E2" w:rsidRPr="00154F1D" w:rsidRDefault="000749E2" w:rsidP="00BD2257">
      <w:pPr>
        <w:pStyle w:val="NormalNumberedTextTLRI"/>
        <w:numPr>
          <w:ilvl w:val="0"/>
          <w:numId w:val="25"/>
        </w:numPr>
        <w:tabs>
          <w:tab w:val="clear" w:pos="851"/>
        </w:tabs>
        <w:ind w:left="851" w:hanging="425"/>
      </w:pPr>
      <w:r w:rsidRPr="00154F1D">
        <w:t xml:space="preserve">Using the </w:t>
      </w:r>
      <w:r w:rsidRPr="00154F1D">
        <w:rPr>
          <w:b/>
        </w:rPr>
        <w:t>hypothetical sentence</w:t>
      </w:r>
      <w:r w:rsidRPr="00154F1D">
        <w:t xml:space="preserve"> that would have been imposed had the person been convicted in the ordinary way of the offence.</w:t>
      </w:r>
      <w:r w:rsidR="006A3160" w:rsidRPr="00154F1D">
        <w:rPr>
          <w:rStyle w:val="FootnoteReference"/>
        </w:rPr>
        <w:footnoteReference w:id="709"/>
      </w:r>
      <w:r w:rsidRPr="00154F1D">
        <w:t xml:space="preserve"> This is the current approach in New South Wales, the Commonwealth and the Australian Capital Territory. </w:t>
      </w:r>
    </w:p>
    <w:p w14:paraId="74E450C7" w14:textId="13A0C1A9" w:rsidR="000749E2" w:rsidRPr="00154F1D" w:rsidRDefault="000749E2" w:rsidP="00BD2257">
      <w:pPr>
        <w:pStyle w:val="NormalNumberedTextTLRI"/>
        <w:numPr>
          <w:ilvl w:val="0"/>
          <w:numId w:val="25"/>
        </w:numPr>
        <w:tabs>
          <w:tab w:val="clear" w:pos="851"/>
        </w:tabs>
        <w:ind w:left="851" w:hanging="425"/>
      </w:pPr>
      <w:r w:rsidRPr="00154F1D">
        <w:t xml:space="preserve">Using a </w:t>
      </w:r>
      <w:r w:rsidRPr="00154F1D">
        <w:rPr>
          <w:b/>
        </w:rPr>
        <w:t xml:space="preserve">modified sentencing approach </w:t>
      </w:r>
      <w:r w:rsidRPr="00154F1D">
        <w:t xml:space="preserve">such as exists in South Australia, </w:t>
      </w:r>
      <w:r w:rsidR="00722C63" w:rsidRPr="00154F1D">
        <w:t>where</w:t>
      </w:r>
      <w:r w:rsidRPr="00154F1D">
        <w:t xml:space="preserve"> the </w:t>
      </w:r>
      <w:r w:rsidR="00722C63" w:rsidRPr="00154F1D">
        <w:t xml:space="preserve">hypothetical sentence </w:t>
      </w:r>
      <w:r w:rsidR="006A3160" w:rsidRPr="00154F1D">
        <w:t>is imposed on the basis of the objective facts only. Another variation would be to specify that it re</w:t>
      </w:r>
      <w:r w:rsidR="00E5192E" w:rsidRPr="00154F1D">
        <w:t>l</w:t>
      </w:r>
      <w:r w:rsidR="006A3160" w:rsidRPr="00154F1D">
        <w:t xml:space="preserve">ates to the </w:t>
      </w:r>
      <w:r w:rsidR="00E5192E" w:rsidRPr="00154F1D">
        <w:t>hypothetical</w:t>
      </w:r>
      <w:r w:rsidR="006A3160" w:rsidRPr="00154F1D">
        <w:t xml:space="preserve"> non-parole period </w:t>
      </w:r>
      <w:r w:rsidR="00E5192E" w:rsidRPr="00154F1D">
        <w:t>rather</w:t>
      </w:r>
      <w:r w:rsidR="006A3160" w:rsidRPr="00154F1D">
        <w:t xml:space="preserve"> than the to</w:t>
      </w:r>
      <w:r w:rsidR="00E5192E" w:rsidRPr="00154F1D">
        <w:t>t</w:t>
      </w:r>
      <w:r w:rsidR="006A3160" w:rsidRPr="00154F1D">
        <w:t>al sentence or to provide that certain mitigating factors are to be presumed (such as a guilty plea or remorse).</w:t>
      </w:r>
      <w:r w:rsidR="00E5192E" w:rsidRPr="00154F1D">
        <w:rPr>
          <w:rStyle w:val="FootnoteReference"/>
        </w:rPr>
        <w:footnoteReference w:id="710"/>
      </w:r>
      <w:r w:rsidR="006A3160" w:rsidRPr="00154F1D">
        <w:t xml:space="preserve"> </w:t>
      </w:r>
    </w:p>
    <w:p w14:paraId="75FBD634" w14:textId="33889455" w:rsidR="000749E2" w:rsidRPr="00154F1D" w:rsidRDefault="000749E2" w:rsidP="00BD2257">
      <w:pPr>
        <w:pStyle w:val="NormalNumberedTextTLRI"/>
        <w:numPr>
          <w:ilvl w:val="0"/>
          <w:numId w:val="25"/>
        </w:numPr>
        <w:tabs>
          <w:tab w:val="clear" w:pos="851"/>
        </w:tabs>
        <w:ind w:left="851" w:hanging="425"/>
      </w:pPr>
      <w:r w:rsidRPr="00154F1D">
        <w:t xml:space="preserve">Using a </w:t>
      </w:r>
      <w:r w:rsidRPr="00154F1D">
        <w:rPr>
          <w:b/>
        </w:rPr>
        <w:t xml:space="preserve">fixed statutory formula </w:t>
      </w:r>
      <w:r w:rsidR="001D3237" w:rsidRPr="00154F1D">
        <w:t>to determine the limiting term.</w:t>
      </w:r>
      <w:r w:rsidR="001D3237" w:rsidRPr="00154F1D">
        <w:rPr>
          <w:rStyle w:val="FootnoteReference"/>
        </w:rPr>
        <w:footnoteReference w:id="711"/>
      </w:r>
      <w:r w:rsidR="001D3237" w:rsidRPr="00154F1D">
        <w:t xml:space="preserve"> </w:t>
      </w:r>
    </w:p>
    <w:p w14:paraId="59558917" w14:textId="6235A78F" w:rsidR="000749E2" w:rsidRPr="00154F1D" w:rsidRDefault="000749E2" w:rsidP="00BD2257">
      <w:pPr>
        <w:pStyle w:val="NormalNumberedTextTLRI"/>
        <w:numPr>
          <w:ilvl w:val="0"/>
          <w:numId w:val="25"/>
        </w:numPr>
        <w:tabs>
          <w:tab w:val="clear" w:pos="851"/>
        </w:tabs>
        <w:ind w:left="851" w:hanging="425"/>
      </w:pPr>
      <w:r w:rsidRPr="00154F1D">
        <w:t xml:space="preserve">Using a </w:t>
      </w:r>
      <w:r w:rsidRPr="00154F1D">
        <w:rPr>
          <w:b/>
        </w:rPr>
        <w:t>time limit formulated by adopting a risk management approach</w:t>
      </w:r>
      <w:r w:rsidR="001D3237" w:rsidRPr="00154F1D">
        <w:rPr>
          <w:b/>
        </w:rPr>
        <w:t xml:space="preserve"> </w:t>
      </w:r>
      <w:r w:rsidR="001D3237" w:rsidRPr="00154F1D">
        <w:t>that determines a time limit taking into account ‘the likelihood of rehabilitation, the likely length and success of treatment (and impact on offending behaviour) and future risk</w:t>
      </w:r>
      <w:r w:rsidRPr="00154F1D">
        <w:t>.</w:t>
      </w:r>
      <w:r w:rsidR="00E07166" w:rsidRPr="00154F1D">
        <w:t>’</w:t>
      </w:r>
      <w:r w:rsidR="001D3237" w:rsidRPr="00154F1D">
        <w:rPr>
          <w:rStyle w:val="FootnoteReference"/>
        </w:rPr>
        <w:footnoteReference w:id="712"/>
      </w:r>
      <w:r w:rsidRPr="00154F1D">
        <w:t xml:space="preserve"> </w:t>
      </w:r>
    </w:p>
    <w:p w14:paraId="0F1B3D8E" w14:textId="46B65B82" w:rsidR="00015534" w:rsidRPr="00154F1D" w:rsidRDefault="00722C63" w:rsidP="00744FAA">
      <w:pPr>
        <w:pStyle w:val="NormalNumberedTextTLRI"/>
        <w:numPr>
          <w:ilvl w:val="0"/>
          <w:numId w:val="0"/>
        </w:numPr>
      </w:pPr>
      <w:r w:rsidRPr="00154F1D">
        <w:t>The NSWLRC recommended</w:t>
      </w:r>
      <w:r w:rsidR="001D3237" w:rsidRPr="00154F1D">
        <w:t>, acknowledging that this may not be possible to do with absolute precision, that the court should make an estimate of the sentence that it would have applied had the defendant been held criminally responsible at a normal trial.</w:t>
      </w:r>
      <w:r w:rsidR="001D3237" w:rsidRPr="00154F1D">
        <w:rPr>
          <w:rStyle w:val="FootnoteReference"/>
        </w:rPr>
        <w:footnoteReference w:id="713"/>
      </w:r>
      <w:r w:rsidRPr="00154F1D">
        <w:t>This was also the recommendation of the ALRC</w:t>
      </w:r>
      <w:r w:rsidRPr="00154F1D">
        <w:rPr>
          <w:rStyle w:val="FootnoteReference"/>
        </w:rPr>
        <w:footnoteReference w:id="714"/>
      </w:r>
      <w:r w:rsidR="00735857" w:rsidRPr="00154F1D">
        <w:t xml:space="preserve"> and the </w:t>
      </w:r>
      <w:r w:rsidR="004F310D" w:rsidRPr="00154F1D">
        <w:t>LRCWA</w:t>
      </w:r>
      <w:r w:rsidR="00735857" w:rsidRPr="00154F1D">
        <w:t>.</w:t>
      </w:r>
      <w:r w:rsidR="00735857" w:rsidRPr="00154F1D">
        <w:rPr>
          <w:rStyle w:val="FootnoteReference"/>
        </w:rPr>
        <w:footnoteReference w:id="715"/>
      </w:r>
      <w:r w:rsidR="00015534" w:rsidRPr="00154F1D">
        <w:t xml:space="preserve"> </w:t>
      </w:r>
    </w:p>
    <w:p w14:paraId="5BBB1C83" w14:textId="43F89CF5" w:rsidR="00143A13" w:rsidRPr="00154F1D" w:rsidRDefault="00243422" w:rsidP="009D733A">
      <w:pPr>
        <w:pStyle w:val="NormalNumberedTextTLRI"/>
        <w:keepNext/>
        <w:numPr>
          <w:ilvl w:val="0"/>
          <w:numId w:val="0"/>
        </w:numPr>
        <w:ind w:left="426" w:hanging="426"/>
        <w:rPr>
          <w:u w:val="single"/>
        </w:rPr>
      </w:pPr>
      <w:r w:rsidRPr="000E6D3B">
        <w:t>(1)</w:t>
      </w:r>
      <w:r w:rsidRPr="000E6D3B">
        <w:tab/>
      </w:r>
      <w:r w:rsidR="00143A13" w:rsidRPr="00154F1D">
        <w:rPr>
          <w:u w:val="single"/>
        </w:rPr>
        <w:t>Should there be a limiting term?</w:t>
      </w:r>
    </w:p>
    <w:p w14:paraId="492AF180" w14:textId="3441B6A4" w:rsidR="0098464E" w:rsidRPr="00154F1D" w:rsidRDefault="0098464E" w:rsidP="00744FAA">
      <w:pPr>
        <w:pStyle w:val="NormalNumberedTextTLRI"/>
        <w:rPr>
          <w:b/>
        </w:rPr>
      </w:pPr>
      <w:r w:rsidRPr="00154F1D">
        <w:rPr>
          <w:b/>
        </w:rPr>
        <w:t>Arguments in favour of making provision for a limiting term</w:t>
      </w:r>
      <w:r w:rsidR="00A54367" w:rsidRPr="0021161F">
        <w:t>.</w:t>
      </w:r>
      <w:r w:rsidR="00BD5E92" w:rsidRPr="00154F1D">
        <w:rPr>
          <w:b/>
        </w:rPr>
        <w:t xml:space="preserve"> </w:t>
      </w:r>
      <w:r w:rsidR="00BD5E92" w:rsidRPr="00154F1D">
        <w:t xml:space="preserve">The following arguments can be identified in </w:t>
      </w:r>
      <w:r w:rsidR="00C069BD" w:rsidRPr="00154F1D">
        <w:t>relation</w:t>
      </w:r>
      <w:r w:rsidR="00BD5E92" w:rsidRPr="00154F1D">
        <w:t xml:space="preserve"> to making provisions for a limiting term.</w:t>
      </w:r>
    </w:p>
    <w:p w14:paraId="4A156A6B" w14:textId="7B59A017" w:rsidR="00C069BD" w:rsidRPr="00154F1D" w:rsidRDefault="00C069BD" w:rsidP="00294B01">
      <w:pPr>
        <w:pStyle w:val="NormalNumberedTextTLRI"/>
        <w:numPr>
          <w:ilvl w:val="0"/>
          <w:numId w:val="23"/>
        </w:numPr>
        <w:tabs>
          <w:tab w:val="clear" w:pos="851"/>
        </w:tabs>
        <w:ind w:left="851" w:hanging="425"/>
      </w:pPr>
      <w:r w:rsidRPr="00154F1D">
        <w:t xml:space="preserve">An indefinite term creates uncertainty and this potentially is an incentive for innocent </w:t>
      </w:r>
      <w:r w:rsidR="00EB02C1" w:rsidRPr="00154F1D">
        <w:t>people</w:t>
      </w:r>
      <w:r w:rsidRPr="00154F1D">
        <w:t xml:space="preserve"> to plead guilty rather than rely on unfitness to stand trial/and or insanity.</w:t>
      </w:r>
      <w:r w:rsidRPr="00154F1D">
        <w:rPr>
          <w:rStyle w:val="FootnoteReference"/>
        </w:rPr>
        <w:footnoteReference w:id="716"/>
      </w:r>
      <w:r w:rsidRPr="00154F1D">
        <w:t xml:space="preserve"> </w:t>
      </w:r>
      <w:r w:rsidR="00DD1D15" w:rsidRPr="00154F1D">
        <w:t>The NSWLRC observed that ‘anecdotally it appears that the indeterminate orders may deter people with mental impairment from relying on the defence of mental illness’.</w:t>
      </w:r>
      <w:r w:rsidR="00DD1D15" w:rsidRPr="00154F1D">
        <w:rPr>
          <w:rStyle w:val="FootnoteReference"/>
        </w:rPr>
        <w:footnoteReference w:id="717"/>
      </w:r>
      <w:r w:rsidR="00DD1D15" w:rsidRPr="00154F1D">
        <w:t xml:space="preserve"> Further, it stated that </w:t>
      </w:r>
      <w:r w:rsidR="005411CE" w:rsidRPr="00154F1D">
        <w:t>‘</w:t>
      </w:r>
      <w:r w:rsidR="00DD1D15" w:rsidRPr="00154F1D">
        <w:t>[i]f this is correct, then it may lead to outcomes which fail to meet the interests of justice, public safety, or the person’s treatment needs’.</w:t>
      </w:r>
      <w:r w:rsidR="00DD1D15" w:rsidRPr="00154F1D">
        <w:rPr>
          <w:rStyle w:val="FootnoteReference"/>
        </w:rPr>
        <w:footnoteReference w:id="718"/>
      </w:r>
      <w:r w:rsidR="00DD1D15" w:rsidRPr="00154F1D">
        <w:t xml:space="preserve"> Conversely</w:t>
      </w:r>
      <w:r w:rsidR="00A54367" w:rsidRPr="00154F1D">
        <w:t xml:space="preserve">, the benefits of a limiting term are that </w:t>
      </w:r>
      <w:r w:rsidR="00070C5D" w:rsidRPr="00154F1D">
        <w:t xml:space="preserve">it </w:t>
      </w:r>
      <w:r w:rsidR="00A54367" w:rsidRPr="00154F1D">
        <w:t xml:space="preserve">facilitates fairness so that </w:t>
      </w:r>
      <w:r w:rsidR="008568F1" w:rsidRPr="00154F1D">
        <w:t>‘</w:t>
      </w:r>
      <w:r w:rsidR="00A54367" w:rsidRPr="00154F1D">
        <w:t>forensic patients are not detained or managed within the forensic system for longer than they would have been following conviction</w:t>
      </w:r>
      <w:r w:rsidR="00070C5D" w:rsidRPr="00154F1D">
        <w:t>.</w:t>
      </w:r>
      <w:r w:rsidR="008568F1" w:rsidRPr="00154F1D">
        <w:t>’</w:t>
      </w:r>
      <w:r w:rsidR="00D52024" w:rsidRPr="00154F1D">
        <w:rPr>
          <w:rStyle w:val="FootnoteReference"/>
        </w:rPr>
        <w:footnoteReference w:id="719"/>
      </w:r>
      <w:r w:rsidR="00A54367" w:rsidRPr="00154F1D">
        <w:t xml:space="preserve"> </w:t>
      </w:r>
      <w:r w:rsidR="00070C5D" w:rsidRPr="00154F1D">
        <w:t>T</w:t>
      </w:r>
      <w:r w:rsidR="00A54367" w:rsidRPr="00154F1D">
        <w:t>his may encourage people to raise unfitness to stand trial or the defence of insanity. In addition, it ensures that people who require treatment are able to access it given that these people should be managed in the forensic system rather than the correctional system.</w:t>
      </w:r>
      <w:r w:rsidR="00A54367" w:rsidRPr="00154F1D">
        <w:rPr>
          <w:rStyle w:val="FootnoteReference"/>
        </w:rPr>
        <w:footnoteReference w:id="720"/>
      </w:r>
    </w:p>
    <w:p w14:paraId="740BAF75" w14:textId="4CDAFEC6" w:rsidR="00491C90" w:rsidRPr="00154F1D" w:rsidRDefault="00EB02C1" w:rsidP="00294B01">
      <w:pPr>
        <w:pStyle w:val="NormalNumberedTextTLRI"/>
        <w:numPr>
          <w:ilvl w:val="0"/>
          <w:numId w:val="23"/>
        </w:numPr>
        <w:tabs>
          <w:tab w:val="clear" w:pos="851"/>
        </w:tabs>
        <w:ind w:left="851" w:hanging="425"/>
      </w:pPr>
      <w:r w:rsidRPr="00154F1D">
        <w:t>People</w:t>
      </w:r>
      <w:r w:rsidR="00C069BD" w:rsidRPr="00154F1D">
        <w:t xml:space="preserve"> who are detained indefinitely may spend longer under supervision tha</w:t>
      </w:r>
      <w:r w:rsidR="0021161F">
        <w:t>n</w:t>
      </w:r>
      <w:r w:rsidR="00C069BD" w:rsidRPr="00154F1D">
        <w:t xml:space="preserve"> if they had been sentenced following the usual process.</w:t>
      </w:r>
      <w:r w:rsidR="00C069BD" w:rsidRPr="00154F1D">
        <w:rPr>
          <w:rStyle w:val="FootnoteReference"/>
        </w:rPr>
        <w:footnoteReference w:id="721"/>
      </w:r>
      <w:r w:rsidR="00C069BD" w:rsidRPr="00154F1D">
        <w:t xml:space="preserve"> </w:t>
      </w:r>
      <w:r w:rsidR="00491C90" w:rsidRPr="00154F1D">
        <w:t>This has implications in relation to whether an individual would elect to rely on unfitness to stand trial/and or insanity. As observed by</w:t>
      </w:r>
      <w:r w:rsidR="00E75857" w:rsidRPr="00154F1D">
        <w:t xml:space="preserve"> the Office of Public Prosecution Vi</w:t>
      </w:r>
      <w:r w:rsidR="00070C5D" w:rsidRPr="00154F1D">
        <w:t>ctoria</w:t>
      </w:r>
      <w:r w:rsidR="00491C90" w:rsidRPr="00154F1D">
        <w:t>,</w:t>
      </w:r>
      <w:r w:rsidR="00070C5D" w:rsidRPr="00154F1D">
        <w:t xml:space="preserve"> ‘a person who is able to understand the process involved in a plea of guilty will often be better off being dealt with by a criminal sanction, rather than being placed on an indefinite supervision order’.</w:t>
      </w:r>
      <w:r w:rsidR="00070C5D" w:rsidRPr="00154F1D">
        <w:rPr>
          <w:rStyle w:val="FootnoteReference"/>
        </w:rPr>
        <w:footnoteReference w:id="722"/>
      </w:r>
      <w:r w:rsidR="00070C5D" w:rsidRPr="00154F1D">
        <w:t xml:space="preserve"> </w:t>
      </w:r>
      <w:r w:rsidR="00690F71" w:rsidRPr="00154F1D">
        <w:t xml:space="preserve">It also raises questions of fairness. </w:t>
      </w:r>
    </w:p>
    <w:p w14:paraId="31847411" w14:textId="718D1275" w:rsidR="00A429D1" w:rsidRPr="00154F1D" w:rsidRDefault="00C069BD" w:rsidP="005411CE">
      <w:pPr>
        <w:pStyle w:val="NormalNumberedTextTLRI"/>
        <w:numPr>
          <w:ilvl w:val="0"/>
          <w:numId w:val="0"/>
        </w:numPr>
        <w:tabs>
          <w:tab w:val="clear" w:pos="851"/>
        </w:tabs>
        <w:ind w:left="851"/>
      </w:pPr>
      <w:r w:rsidRPr="00154F1D">
        <w:t>Th</w:t>
      </w:r>
      <w:r w:rsidR="00A429D1" w:rsidRPr="00154F1D">
        <w:t>e</w:t>
      </w:r>
      <w:r w:rsidRPr="00154F1D">
        <w:t xml:space="preserve"> </w:t>
      </w:r>
      <w:r w:rsidR="00491C90" w:rsidRPr="00154F1D">
        <w:t>relationship between the time spent in</w:t>
      </w:r>
      <w:r w:rsidR="008457C3" w:rsidRPr="00154F1D">
        <w:t xml:space="preserve"> detention/under supervision compared to the sentence a person would have received had they been sentenced following a finding of guilty</w:t>
      </w:r>
      <w:r w:rsidR="00491C90" w:rsidRPr="00154F1D">
        <w:t xml:space="preserve"> </w:t>
      </w:r>
      <w:r w:rsidR="008C603A" w:rsidRPr="00154F1D">
        <w:t xml:space="preserve">has been </w:t>
      </w:r>
      <w:r w:rsidR="00F64964" w:rsidRPr="00154F1D">
        <w:t xml:space="preserve">examined </w:t>
      </w:r>
      <w:r w:rsidR="00540371" w:rsidRPr="00154F1D">
        <w:t>in Tasmania</w:t>
      </w:r>
      <w:r w:rsidR="008457C3" w:rsidRPr="00154F1D">
        <w:t>.</w:t>
      </w:r>
      <w:r w:rsidR="00540371" w:rsidRPr="00154F1D">
        <w:t xml:space="preserve"> </w:t>
      </w:r>
      <w:r w:rsidR="008457C3" w:rsidRPr="00154F1D">
        <w:t>R</w:t>
      </w:r>
      <w:r w:rsidR="00540371" w:rsidRPr="00154F1D">
        <w:t xml:space="preserve">esearch suggests that ‘the consequences of an insanity plea or unfitness to plead </w:t>
      </w:r>
      <w:r w:rsidR="000A3E59" w:rsidRPr="00154F1D">
        <w:t>[are]</w:t>
      </w:r>
      <w:r w:rsidR="00540371" w:rsidRPr="00154F1D">
        <w:t xml:space="preserve"> likely to restrict the liberty of the subject to a greater degree than an actual sentence in all cases except murder and rape’.</w:t>
      </w:r>
      <w:bookmarkStart w:id="199" w:name="_Ref535753746"/>
      <w:r w:rsidR="00540371" w:rsidRPr="00154F1D">
        <w:rPr>
          <w:rStyle w:val="FootnoteReference"/>
        </w:rPr>
        <w:footnoteReference w:id="723"/>
      </w:r>
      <w:bookmarkEnd w:id="199"/>
      <w:r w:rsidR="008C603A" w:rsidRPr="00154F1D">
        <w:t xml:space="preserve"> </w:t>
      </w:r>
      <w:r w:rsidR="005B6C3A" w:rsidRPr="00154F1D">
        <w:t>This is confirmed b</w:t>
      </w:r>
      <w:r w:rsidR="005E1BA3" w:rsidRPr="00154F1D">
        <w:t xml:space="preserve">y recent research undertaken by the TLRI with the assistance of the MHT, which shows that the period of restriction of liberty is considerably longer for </w:t>
      </w:r>
      <w:r w:rsidR="004019C8">
        <w:t>individual</w:t>
      </w:r>
      <w:r w:rsidR="004019C8" w:rsidRPr="00154F1D">
        <w:t xml:space="preserve">s </w:t>
      </w:r>
      <w:r w:rsidR="005E1BA3" w:rsidRPr="00154F1D">
        <w:t xml:space="preserve">subject to forensic orders following a finding of not guilty by reason of insanity or </w:t>
      </w:r>
      <w:r w:rsidR="008C217A" w:rsidRPr="00154F1D">
        <w:t xml:space="preserve">where </w:t>
      </w:r>
      <w:r w:rsidR="000A3E59" w:rsidRPr="00154F1D">
        <w:t xml:space="preserve">a finding could not be made that the defendant is not guilty </w:t>
      </w:r>
      <w:r w:rsidR="005E1BA3" w:rsidRPr="00154F1D">
        <w:t>at a special hearing</w:t>
      </w:r>
      <w:r w:rsidR="00454F69" w:rsidRPr="00154F1D">
        <w:t xml:space="preserve"> than for offenders sentenced following a finding of guilt</w:t>
      </w:r>
      <w:r w:rsidR="005E1BA3" w:rsidRPr="00154F1D">
        <w:t>.</w:t>
      </w:r>
      <w:r w:rsidR="005E1BA3" w:rsidRPr="00154F1D">
        <w:rPr>
          <w:rStyle w:val="FootnoteReference"/>
        </w:rPr>
        <w:footnoteReference w:id="724"/>
      </w:r>
      <w:r w:rsidR="005E1BA3" w:rsidRPr="00154F1D">
        <w:t xml:space="preserve"> </w:t>
      </w:r>
      <w:r w:rsidR="00D23D81" w:rsidRPr="00154F1D">
        <w:t xml:space="preserve">In addition, </w:t>
      </w:r>
      <w:r w:rsidR="000A3E59" w:rsidRPr="00154F1D">
        <w:t xml:space="preserve">it </w:t>
      </w:r>
      <w:r w:rsidR="005E1BA3" w:rsidRPr="00154F1D">
        <w:t>has been</w:t>
      </w:r>
      <w:r w:rsidR="00D23D81" w:rsidRPr="00154F1D">
        <w:t xml:space="preserve"> suggested that for persons subject to a supervision or restriction order ‘it is highly unlikely, for practical reasons, that any person could be discharged from an order in under in 2 years’.</w:t>
      </w:r>
      <w:r w:rsidR="00D23D81" w:rsidRPr="00154F1D">
        <w:rPr>
          <w:rStyle w:val="FootnoteReference"/>
        </w:rPr>
        <w:footnoteReference w:id="725"/>
      </w:r>
      <w:r w:rsidR="000414BD" w:rsidRPr="00154F1D">
        <w:t xml:space="preserve"> This was on the basis that the MHT will not review the order until the </w:t>
      </w:r>
      <w:r w:rsidR="00C0057C" w:rsidRPr="00154F1D">
        <w:t>person</w:t>
      </w:r>
      <w:r w:rsidR="000414BD" w:rsidRPr="00154F1D">
        <w:t xml:space="preserve"> is at or near the completion of the first twelve </w:t>
      </w:r>
      <w:r w:rsidR="002909D3" w:rsidRPr="00154F1D">
        <w:t>months</w:t>
      </w:r>
      <w:r w:rsidR="000414BD" w:rsidRPr="00154F1D">
        <w:t xml:space="preserve"> under the order and, if a certificate is issued, the experience has been that it takes 12 months after the certificate is issued for an application for </w:t>
      </w:r>
      <w:r w:rsidR="002909D3" w:rsidRPr="00154F1D">
        <w:t>discharge</w:t>
      </w:r>
      <w:r w:rsidR="000414BD" w:rsidRPr="00154F1D">
        <w:t xml:space="preserve"> to be filed with </w:t>
      </w:r>
      <w:r w:rsidR="002909D3" w:rsidRPr="00154F1D">
        <w:t xml:space="preserve">and considered by the </w:t>
      </w:r>
      <w:r w:rsidR="000414BD" w:rsidRPr="00154F1D">
        <w:t>cou</w:t>
      </w:r>
      <w:r w:rsidR="002909D3" w:rsidRPr="00154F1D">
        <w:t>rt.</w:t>
      </w:r>
      <w:r w:rsidR="002909D3" w:rsidRPr="00154F1D">
        <w:rPr>
          <w:rStyle w:val="FootnoteReference"/>
        </w:rPr>
        <w:footnoteReference w:id="726"/>
      </w:r>
      <w:r w:rsidR="006C7405" w:rsidRPr="00154F1D">
        <w:t xml:space="preserve"> </w:t>
      </w:r>
      <w:r w:rsidR="00AA3B5F" w:rsidRPr="00154F1D">
        <w:t xml:space="preserve">This appears contrary to the principle of least restriction consistent with community safety and fairness to the accused person that underpin the </w:t>
      </w:r>
      <w:r w:rsidR="00AE0550" w:rsidRPr="00154F1D">
        <w:rPr>
          <w:i/>
          <w:iCs/>
        </w:rPr>
        <w:t xml:space="preserve">Criminal Justice (Mental Impairment) Act 1999 </w:t>
      </w:r>
      <w:r w:rsidR="00AE0550" w:rsidRPr="00154F1D">
        <w:rPr>
          <w:iCs/>
        </w:rPr>
        <w:t>(Tas)</w:t>
      </w:r>
      <w:r w:rsidR="00AA3B5F" w:rsidRPr="00154F1D">
        <w:t xml:space="preserve">. </w:t>
      </w:r>
      <w:r w:rsidR="006C7405" w:rsidRPr="00154F1D">
        <w:t xml:space="preserve">Accordingly, it could be argued that </w:t>
      </w:r>
      <w:r w:rsidR="00AA3B5F" w:rsidRPr="00154F1D">
        <w:t>changes are necessary to ensure that the Act operates justly and consistently with the principles that underlie it.</w:t>
      </w:r>
    </w:p>
    <w:p w14:paraId="42E7054A" w14:textId="0888714B" w:rsidR="002909D3" w:rsidRPr="00154F1D" w:rsidRDefault="002909D3" w:rsidP="00294B01">
      <w:pPr>
        <w:pStyle w:val="NormalNumberedTextTLRI"/>
        <w:numPr>
          <w:ilvl w:val="0"/>
          <w:numId w:val="23"/>
        </w:numPr>
        <w:tabs>
          <w:tab w:val="clear" w:pos="851"/>
        </w:tabs>
        <w:ind w:left="851" w:hanging="425"/>
      </w:pPr>
      <w:r w:rsidRPr="00154F1D">
        <w:t>Indefinite detention may affect a forensic patient’s self-esteem and response to treatment.</w:t>
      </w:r>
      <w:r w:rsidRPr="00154F1D">
        <w:rPr>
          <w:rStyle w:val="FootnoteReference"/>
        </w:rPr>
        <w:footnoteReference w:id="727"/>
      </w:r>
      <w:r w:rsidRPr="00154F1D">
        <w:t xml:space="preserve"> It has been suggested that indefinite terms cause ‘supervised people to feel trapped or lack the motivation to get better’.</w:t>
      </w:r>
      <w:r w:rsidRPr="00154F1D">
        <w:rPr>
          <w:rStyle w:val="FootnoteReference"/>
        </w:rPr>
        <w:footnoteReference w:id="728"/>
      </w:r>
    </w:p>
    <w:p w14:paraId="2EA88C0D" w14:textId="0EDA5549" w:rsidR="002909D3" w:rsidRPr="00154F1D" w:rsidRDefault="002909D3" w:rsidP="00294B01">
      <w:pPr>
        <w:pStyle w:val="NormalNumberedTextTLRI"/>
        <w:numPr>
          <w:ilvl w:val="0"/>
          <w:numId w:val="23"/>
        </w:numPr>
        <w:tabs>
          <w:tab w:val="clear" w:pos="851"/>
        </w:tabs>
        <w:ind w:left="851" w:hanging="425"/>
      </w:pPr>
      <w:r w:rsidRPr="00154F1D">
        <w:t>Indefinite terms reinforce negative perceptions about a forensic patient’s criminality.</w:t>
      </w:r>
      <w:r w:rsidRPr="00154F1D">
        <w:rPr>
          <w:rStyle w:val="FootnoteReference"/>
        </w:rPr>
        <w:footnoteReference w:id="729"/>
      </w:r>
      <w:r w:rsidRPr="00154F1D">
        <w:t xml:space="preserve"> </w:t>
      </w:r>
    </w:p>
    <w:p w14:paraId="09A0F830" w14:textId="188A4BB9" w:rsidR="00D11568" w:rsidRPr="00154F1D" w:rsidRDefault="00D11568" w:rsidP="00294B01">
      <w:pPr>
        <w:pStyle w:val="NormalNumberedTextTLRI"/>
        <w:numPr>
          <w:ilvl w:val="0"/>
          <w:numId w:val="23"/>
        </w:numPr>
        <w:tabs>
          <w:tab w:val="clear" w:pos="851"/>
        </w:tabs>
        <w:ind w:left="851" w:hanging="425"/>
      </w:pPr>
      <w:r w:rsidRPr="00154F1D">
        <w:t>A limiting term may encourage the provision of resources and greater planning towards a person’s release from supervision in comparison to indefinite terms.</w:t>
      </w:r>
      <w:bookmarkStart w:id="200" w:name="_Ref535752582"/>
      <w:r w:rsidRPr="00154F1D">
        <w:rPr>
          <w:rStyle w:val="FootnoteReference"/>
        </w:rPr>
        <w:footnoteReference w:id="730"/>
      </w:r>
      <w:bookmarkEnd w:id="200"/>
    </w:p>
    <w:p w14:paraId="1065E13E" w14:textId="287ED23B" w:rsidR="00A54367" w:rsidRPr="00154F1D" w:rsidRDefault="00E71C78" w:rsidP="00294B01">
      <w:pPr>
        <w:pStyle w:val="NormalNumberedTextTLRI"/>
        <w:numPr>
          <w:ilvl w:val="0"/>
          <w:numId w:val="23"/>
        </w:numPr>
        <w:tabs>
          <w:tab w:val="clear" w:pos="851"/>
        </w:tabs>
        <w:ind w:left="851" w:hanging="425"/>
      </w:pPr>
      <w:r w:rsidRPr="00154F1D">
        <w:t>Indefinite terms are c</w:t>
      </w:r>
      <w:r w:rsidR="00A54367" w:rsidRPr="00154F1D">
        <w:t xml:space="preserve">ontrary to international obligations </w:t>
      </w:r>
      <w:r w:rsidRPr="00154F1D">
        <w:t xml:space="preserve">arising under the art </w:t>
      </w:r>
      <w:r w:rsidR="004D2D6E">
        <w:t>5</w:t>
      </w:r>
      <w:r w:rsidRPr="00154F1D">
        <w:t xml:space="preserve"> </w:t>
      </w:r>
      <w:r w:rsidR="00FA414E" w:rsidRPr="00154F1D">
        <w:t xml:space="preserve">(prohibition of disability-based discrimination) </w:t>
      </w:r>
      <w:r w:rsidRPr="00154F1D">
        <w:t xml:space="preserve">and art 14 </w:t>
      </w:r>
      <w:r w:rsidR="00FA414E" w:rsidRPr="00154F1D">
        <w:t xml:space="preserve">(rights to liberty and security of the person) </w:t>
      </w:r>
      <w:r w:rsidRPr="00154F1D">
        <w:t xml:space="preserve">of the </w:t>
      </w:r>
      <w:r w:rsidRPr="00154F1D">
        <w:rPr>
          <w:i/>
        </w:rPr>
        <w:t>CRPD</w:t>
      </w:r>
      <w:r w:rsidR="00FA414E" w:rsidRPr="00154F1D">
        <w:t>.</w:t>
      </w:r>
      <w:r w:rsidR="00FA414E" w:rsidRPr="00154F1D">
        <w:rPr>
          <w:rStyle w:val="FootnoteReference"/>
        </w:rPr>
        <w:footnoteReference w:id="731"/>
      </w:r>
      <w:r w:rsidR="00A74CD9" w:rsidRPr="00154F1D">
        <w:t xml:space="preserve"> </w:t>
      </w:r>
      <w:r w:rsidR="00CE759D" w:rsidRPr="00154F1D">
        <w:t xml:space="preserve">Gooding et al have </w:t>
      </w:r>
      <w:r w:rsidR="00A74CD9" w:rsidRPr="00154F1D">
        <w:t xml:space="preserve">argued that </w:t>
      </w:r>
      <w:r w:rsidR="002F33F6" w:rsidRPr="00154F1D">
        <w:t>indefinite</w:t>
      </w:r>
      <w:r w:rsidR="00A74CD9" w:rsidRPr="00154F1D">
        <w:t xml:space="preserve"> terms ‘clearly deviate from the </w:t>
      </w:r>
      <w:r w:rsidR="002F33F6" w:rsidRPr="00154F1D">
        <w:rPr>
          <w:i/>
        </w:rPr>
        <w:t>CRPD</w:t>
      </w:r>
      <w:r w:rsidR="002F33F6" w:rsidRPr="00154F1D">
        <w:t xml:space="preserve"> by </w:t>
      </w:r>
      <w:r w:rsidR="002D463A" w:rsidRPr="00154F1D">
        <w:t>establishing</w:t>
      </w:r>
      <w:r w:rsidR="002F33F6" w:rsidRPr="00154F1D">
        <w:t xml:space="preserve"> separate processe</w:t>
      </w:r>
      <w:r w:rsidR="002D463A" w:rsidRPr="00154F1D">
        <w:t>s with lesser safeguards to deprive the liberty of accused persons with disabilities deemed unfit to plead’.</w:t>
      </w:r>
      <w:r w:rsidR="00C663D2" w:rsidRPr="00154F1D">
        <w:rPr>
          <w:rStyle w:val="FootnoteReference"/>
        </w:rPr>
        <w:footnoteReference w:id="732"/>
      </w:r>
      <w:r w:rsidR="00BF7572" w:rsidRPr="00154F1D">
        <w:t xml:space="preserve"> </w:t>
      </w:r>
      <w:r w:rsidR="00CE759D" w:rsidRPr="00154F1D">
        <w:t>Arstein-Kerslake et al have suggested that c</w:t>
      </w:r>
      <w:r w:rsidR="00BF7572" w:rsidRPr="00154F1D">
        <w:t>ompliance with international obligations would require that procedures following a finding of unfitness to stand trial ‘must never result in a longer or more severe sentence than would have resulted if a standard trial had proceeded’.</w:t>
      </w:r>
      <w:r w:rsidR="00BF7572" w:rsidRPr="00154F1D">
        <w:rPr>
          <w:rStyle w:val="FootnoteReference"/>
        </w:rPr>
        <w:footnoteReference w:id="733"/>
      </w:r>
      <w:r w:rsidR="000F7BF0" w:rsidRPr="00154F1D">
        <w:t xml:space="preserve"> </w:t>
      </w:r>
      <w:r w:rsidR="00CE759D" w:rsidRPr="00154F1D">
        <w:t>Other commentators have argued</w:t>
      </w:r>
      <w:r w:rsidR="00070C5D" w:rsidRPr="00154F1D">
        <w:t xml:space="preserve">, </w:t>
      </w:r>
      <w:r w:rsidR="00CE759D" w:rsidRPr="00154F1D">
        <w:t xml:space="preserve">that all mental health detentions are contrary to the </w:t>
      </w:r>
      <w:r w:rsidR="00CE759D" w:rsidRPr="00154F1D">
        <w:rPr>
          <w:i/>
        </w:rPr>
        <w:t xml:space="preserve">CRPD </w:t>
      </w:r>
      <w:r w:rsidR="00C663D2" w:rsidRPr="00154F1D">
        <w:t>a</w:t>
      </w:r>
      <w:r w:rsidR="00CE759D" w:rsidRPr="00154F1D">
        <w:t xml:space="preserve">rt 14(b) </w:t>
      </w:r>
      <w:r w:rsidR="00C663D2" w:rsidRPr="00154F1D">
        <w:t>which</w:t>
      </w:r>
      <w:r w:rsidR="00CE759D" w:rsidRPr="00154F1D">
        <w:t xml:space="preserve"> provides that </w:t>
      </w:r>
      <w:r w:rsidR="00C663D2" w:rsidRPr="00154F1D">
        <w:t>‘</w:t>
      </w:r>
      <w:r w:rsidR="00CE759D" w:rsidRPr="00154F1D">
        <w:t>the existence of a disability shall in no case justify a deprivation of liberty’.</w:t>
      </w:r>
      <w:r w:rsidR="00CE759D" w:rsidRPr="00154F1D">
        <w:rPr>
          <w:rStyle w:val="FootnoteReference"/>
        </w:rPr>
        <w:footnoteReference w:id="734"/>
      </w:r>
      <w:r w:rsidR="00070C5D" w:rsidRPr="00154F1D">
        <w:t xml:space="preserve"> This is on the basis of views expressed by the </w:t>
      </w:r>
      <w:r w:rsidR="00AE0550" w:rsidRPr="00154F1D">
        <w:t>UN</w:t>
      </w:r>
      <w:r w:rsidR="00070C5D" w:rsidRPr="00154F1D">
        <w:t>CRPD that laws enabling involuntary detention should be abolished in cases where disability is a criterion, even if other criteria are used in making the assessment (such as dangerousness or risk).</w:t>
      </w:r>
      <w:r w:rsidR="00070C5D" w:rsidRPr="00154F1D">
        <w:rPr>
          <w:rStyle w:val="FootnoteReference"/>
        </w:rPr>
        <w:footnoteReference w:id="735"/>
      </w:r>
      <w:r w:rsidR="00CE759D" w:rsidRPr="00154F1D">
        <w:t xml:space="preserve"> </w:t>
      </w:r>
    </w:p>
    <w:p w14:paraId="2DDE8135" w14:textId="163ACEE2" w:rsidR="00A54367" w:rsidRPr="00154F1D" w:rsidRDefault="00A54367" w:rsidP="00744FAA">
      <w:pPr>
        <w:pStyle w:val="NormalNumberedTextTLRI"/>
      </w:pPr>
      <w:r w:rsidRPr="00154F1D">
        <w:rPr>
          <w:b/>
        </w:rPr>
        <w:t>Arguments against a limiting term</w:t>
      </w:r>
      <w:r w:rsidRPr="009F52A6">
        <w:t>.</w:t>
      </w:r>
      <w:r w:rsidRPr="00154F1D">
        <w:rPr>
          <w:b/>
        </w:rPr>
        <w:t xml:space="preserve"> </w:t>
      </w:r>
      <w:r w:rsidRPr="00154F1D">
        <w:t xml:space="preserve">The following arguments can be identified in relation to </w:t>
      </w:r>
      <w:r w:rsidR="006C7405" w:rsidRPr="00154F1D">
        <w:t xml:space="preserve">not introducing a limiting term and </w:t>
      </w:r>
      <w:r w:rsidRPr="00154F1D">
        <w:t>retaining indefinite detention:</w:t>
      </w:r>
    </w:p>
    <w:p w14:paraId="7C82ED9A" w14:textId="6CE8A4EF" w:rsidR="00857ECF" w:rsidRPr="00154F1D" w:rsidRDefault="006C7405" w:rsidP="00CF0788">
      <w:pPr>
        <w:pStyle w:val="NormalNumberedTextTLRI"/>
        <w:numPr>
          <w:ilvl w:val="0"/>
          <w:numId w:val="24"/>
        </w:numPr>
        <w:tabs>
          <w:tab w:val="clear" w:pos="851"/>
        </w:tabs>
        <w:ind w:left="851" w:hanging="425"/>
      </w:pPr>
      <w:r w:rsidRPr="00154F1D">
        <w:t xml:space="preserve">A limiting term may result in some </w:t>
      </w:r>
      <w:r w:rsidR="00C0057C" w:rsidRPr="00154F1D">
        <w:t>people</w:t>
      </w:r>
      <w:r w:rsidRPr="00154F1D">
        <w:t xml:space="preserve"> reaching the end of the time limit and being unconditionally released, </w:t>
      </w:r>
      <w:r w:rsidR="00857ECF" w:rsidRPr="00154F1D">
        <w:t>in circumstance</w:t>
      </w:r>
      <w:r w:rsidR="003D21FF" w:rsidRPr="00154F1D">
        <w:t>s</w:t>
      </w:r>
      <w:r w:rsidR="00857ECF" w:rsidRPr="00154F1D">
        <w:t xml:space="preserve"> where he or she is at risk of causing harm to the public.</w:t>
      </w:r>
      <w:r w:rsidRPr="00154F1D">
        <w:rPr>
          <w:rStyle w:val="FootnoteReference"/>
        </w:rPr>
        <w:footnoteReference w:id="736"/>
      </w:r>
      <w:r w:rsidR="00857ECF" w:rsidRPr="00154F1D">
        <w:t xml:space="preserve"> </w:t>
      </w:r>
      <w:r w:rsidR="00CA2B20" w:rsidRPr="00154F1D">
        <w:t>In addition, the length of the time limit is set at the time of disposition, when the progress of the defendant’s treatment and rehabilitation is hard to predict.</w:t>
      </w:r>
      <w:r w:rsidR="00CA2B20" w:rsidRPr="00154F1D">
        <w:rPr>
          <w:rStyle w:val="FootnoteReference"/>
        </w:rPr>
        <w:footnoteReference w:id="737"/>
      </w:r>
      <w:r w:rsidR="00CA2B20" w:rsidRPr="00154F1D">
        <w:t xml:space="preserve"> </w:t>
      </w:r>
      <w:r w:rsidR="00857ECF" w:rsidRPr="00154F1D">
        <w:t xml:space="preserve">However, </w:t>
      </w:r>
      <w:r w:rsidR="00DD1D15" w:rsidRPr="00154F1D">
        <w:t>this concern is true in relation to sentenced offenders, ‘who are ordinarily entitled to be released at the expiry of the sentence, even if they still pose a risk to others’.</w:t>
      </w:r>
      <w:r w:rsidR="00DD1D15" w:rsidRPr="00154F1D">
        <w:rPr>
          <w:rStyle w:val="FootnoteReference"/>
        </w:rPr>
        <w:footnoteReference w:id="738"/>
      </w:r>
      <w:r w:rsidR="00DD1D15" w:rsidRPr="00154F1D">
        <w:t xml:space="preserve"> In addition,</w:t>
      </w:r>
      <w:r w:rsidR="00857ECF" w:rsidRPr="00154F1D">
        <w:t xml:space="preserve"> </w:t>
      </w:r>
      <w:r w:rsidRPr="00154F1D">
        <w:t>concern</w:t>
      </w:r>
      <w:r w:rsidR="00DD1D15" w:rsidRPr="00154F1D">
        <w:t>s about community safety</w:t>
      </w:r>
      <w:r w:rsidRPr="00154F1D">
        <w:t xml:space="preserve"> </w:t>
      </w:r>
      <w:r w:rsidR="00DD1D15" w:rsidRPr="00154F1D">
        <w:t xml:space="preserve">at the end of the limiting term </w:t>
      </w:r>
      <w:r w:rsidRPr="00154F1D">
        <w:t xml:space="preserve">could </w:t>
      </w:r>
      <w:r w:rsidR="00857ECF" w:rsidRPr="00154F1D">
        <w:t>be managed within the civil mental health system.</w:t>
      </w:r>
      <w:r w:rsidRPr="00154F1D">
        <w:rPr>
          <w:rStyle w:val="FootnoteReference"/>
        </w:rPr>
        <w:footnoteReference w:id="739"/>
      </w:r>
      <w:r w:rsidRPr="00154F1D">
        <w:t xml:space="preserve"> </w:t>
      </w:r>
      <w:r w:rsidR="00DD1D15" w:rsidRPr="00154F1D">
        <w:t>Further</w:t>
      </w:r>
      <w:r w:rsidRPr="00154F1D">
        <w:t xml:space="preserve">, a system of continued restriction or supervision could </w:t>
      </w:r>
      <w:r w:rsidR="00AA3B5F" w:rsidRPr="00154F1D">
        <w:t>be introduced</w:t>
      </w:r>
      <w:r w:rsidRPr="00154F1D">
        <w:t xml:space="preserve"> </w:t>
      </w:r>
      <w:r w:rsidR="00AA3B5F" w:rsidRPr="00154F1D">
        <w:t xml:space="preserve">to address </w:t>
      </w:r>
      <w:r w:rsidR="00DD1D15" w:rsidRPr="00154F1D">
        <w:t>any</w:t>
      </w:r>
      <w:r w:rsidR="00AA3B5F" w:rsidRPr="00154F1D">
        <w:t xml:space="preserve"> concern about community safety </w:t>
      </w:r>
      <w:r w:rsidR="00DD1D15" w:rsidRPr="00154F1D">
        <w:t xml:space="preserve">in circumstances </w:t>
      </w:r>
      <w:r w:rsidR="00AA3B5F" w:rsidRPr="00154F1D">
        <w:t xml:space="preserve">where </w:t>
      </w:r>
      <w:r w:rsidR="00C0057C" w:rsidRPr="00154F1D">
        <w:t>a person</w:t>
      </w:r>
      <w:r w:rsidR="00AA3B5F" w:rsidRPr="00154F1D">
        <w:t xml:space="preserve"> poses a serious risk of harm to other people at the end of the limiting term.</w:t>
      </w:r>
      <w:r w:rsidRPr="00154F1D">
        <w:rPr>
          <w:rStyle w:val="FootnoteReference"/>
        </w:rPr>
        <w:footnoteReference w:id="740"/>
      </w:r>
      <w:r w:rsidR="00CA2B20" w:rsidRPr="00154F1D">
        <w:t xml:space="preserve"> </w:t>
      </w:r>
    </w:p>
    <w:p w14:paraId="7B990448" w14:textId="0830C0B9" w:rsidR="002225B7" w:rsidRPr="00154F1D" w:rsidRDefault="002225B7" w:rsidP="00CF0788">
      <w:pPr>
        <w:pStyle w:val="NormalNumberedTextTLRI"/>
        <w:numPr>
          <w:ilvl w:val="0"/>
          <w:numId w:val="24"/>
        </w:numPr>
        <w:tabs>
          <w:tab w:val="clear" w:pos="851"/>
        </w:tabs>
        <w:ind w:left="851" w:hanging="425"/>
      </w:pPr>
      <w:r w:rsidRPr="00154F1D">
        <w:t>The f</w:t>
      </w:r>
      <w:r w:rsidR="00857ECF" w:rsidRPr="00154F1D">
        <w:t>orensic system has quite different objectives to sentencing.</w:t>
      </w:r>
      <w:r w:rsidRPr="00154F1D">
        <w:rPr>
          <w:rStyle w:val="FootnoteReference"/>
        </w:rPr>
        <w:footnoteReference w:id="741"/>
      </w:r>
      <w:r w:rsidR="00857ECF" w:rsidRPr="00154F1D">
        <w:t xml:space="preserve"> It </w:t>
      </w:r>
      <w:r w:rsidRPr="00154F1D">
        <w:t xml:space="preserve">is concerned with </w:t>
      </w:r>
      <w:r w:rsidR="00C0057C" w:rsidRPr="00154F1D">
        <w:t>a person</w:t>
      </w:r>
      <w:r w:rsidRPr="00154F1D">
        <w:t>’s treatment and safety</w:t>
      </w:r>
      <w:r w:rsidR="009F52A6" w:rsidRPr="00154F1D">
        <w:t>,</w:t>
      </w:r>
      <w:r w:rsidRPr="00154F1D">
        <w:t xml:space="preserve"> and on this basis indefinite terms </w:t>
      </w:r>
      <w:r w:rsidR="009F0704" w:rsidRPr="00154F1D">
        <w:t>are</w:t>
      </w:r>
      <w:r w:rsidRPr="00154F1D">
        <w:t xml:space="preserve"> </w:t>
      </w:r>
      <w:r w:rsidR="009F0704" w:rsidRPr="00154F1D">
        <w:t>‘</w:t>
      </w:r>
      <w:r w:rsidRPr="00154F1D">
        <w:t xml:space="preserve">a way of recognising that [the] orders were based on </w:t>
      </w:r>
      <w:r w:rsidR="00862F67" w:rsidRPr="00154F1D">
        <w:t xml:space="preserve">a </w:t>
      </w:r>
      <w:r w:rsidRPr="00154F1D">
        <w:t>therapeutic framework, rather than one that is corrections-based (where orders have a definite term)</w:t>
      </w:r>
      <w:r w:rsidR="009F52A6" w:rsidRPr="00154F1D">
        <w:t>.</w:t>
      </w:r>
      <w:r w:rsidRPr="00154F1D">
        <w:t>’</w:t>
      </w:r>
      <w:r w:rsidRPr="00154F1D">
        <w:rPr>
          <w:rStyle w:val="FootnoteReference"/>
        </w:rPr>
        <w:footnoteReference w:id="742"/>
      </w:r>
      <w:r w:rsidR="00B10B4B" w:rsidRPr="00154F1D">
        <w:t xml:space="preserve"> The VLRC considered that:</w:t>
      </w:r>
    </w:p>
    <w:p w14:paraId="222B2B63" w14:textId="0EDAE2B7" w:rsidR="00B10B4B" w:rsidRPr="00154F1D" w:rsidRDefault="00B10B4B" w:rsidP="00192839">
      <w:pPr>
        <w:pStyle w:val="QuoteTLRI"/>
        <w:spacing w:after="120"/>
        <w:ind w:left="1418" w:right="788"/>
      </w:pPr>
      <w:r w:rsidRPr="00154F1D">
        <w:t>Indefinite term orders … are consistent with the therapeutic focus of the CMIA. Such orders are also consistent with the principle of community protection underlying the CMIA that recognises that the recovery of a supervised person should proceed on a gradual basis so that their risk can be managed to a point where they can ultimately be reintegrated into the community.</w:t>
      </w:r>
    </w:p>
    <w:p w14:paraId="32F8D39C" w14:textId="64B95479" w:rsidR="00B10B4B" w:rsidRPr="00154F1D" w:rsidRDefault="00B10B4B" w:rsidP="00192839">
      <w:pPr>
        <w:pStyle w:val="QuoteTLRI"/>
        <w:ind w:left="1418"/>
      </w:pPr>
      <w:r w:rsidRPr="00154F1D">
        <w:t>The supervision of people under the CMIA is justified on these principles and not on the basis of proportionality or deterrence which would form the basis of a criminal sentence. In the Commission’s view, the duration of orders should therefore be based on the time a supervised person needs to recover or progress through the system of gradual reintegration before they can safely return to the community. The length of time it takes for this to happen varies from person to person an is difficult to predict at the time of the making of a supervision order.</w:t>
      </w:r>
      <w:r w:rsidRPr="00154F1D">
        <w:rPr>
          <w:rStyle w:val="FootnoteReference"/>
        </w:rPr>
        <w:footnoteReference w:id="743"/>
      </w:r>
    </w:p>
    <w:p w14:paraId="4C2B9430" w14:textId="17D21F07" w:rsidR="00721330" w:rsidRPr="00154F1D" w:rsidRDefault="00721330" w:rsidP="00CF0788">
      <w:pPr>
        <w:pStyle w:val="NormalNumberedTextTLRI"/>
        <w:numPr>
          <w:ilvl w:val="0"/>
          <w:numId w:val="0"/>
        </w:numPr>
        <w:tabs>
          <w:tab w:val="clear" w:pos="851"/>
        </w:tabs>
        <w:ind w:left="851"/>
      </w:pPr>
      <w:r w:rsidRPr="00154F1D">
        <w:t>Similar concerns were expressed in submissions received by the SASAC that ‘the amount of time the defendant spends in custody should be determined by the defendant’s treatment needs and the protection of the community, rather than the nature of the offence committed’.</w:t>
      </w:r>
      <w:r w:rsidRPr="00154F1D">
        <w:rPr>
          <w:rStyle w:val="FootnoteReference"/>
        </w:rPr>
        <w:footnoteReference w:id="744"/>
      </w:r>
      <w:r w:rsidRPr="00154F1D">
        <w:t xml:space="preserve"> </w:t>
      </w:r>
      <w:r w:rsidR="00460AEB" w:rsidRPr="00154F1D">
        <w:t xml:space="preserve">This accords with the view of </w:t>
      </w:r>
      <w:r w:rsidR="00CA2B20" w:rsidRPr="00154F1D">
        <w:t>Boyd-Caine and Chappell, that indefinite detention is ‘able to respond to the individual needs of each patient on a forensic order</w:t>
      </w:r>
      <w:r w:rsidR="0053624B" w:rsidRPr="00154F1D">
        <w:t>.</w:t>
      </w:r>
      <w:r w:rsidR="00CA2B20" w:rsidRPr="00154F1D">
        <w:t>’ In contrast, ‘definite orders would not necessarily be capable of responding to the complexities of diagnoses, responsiveness to treatment, and access to leave privileges that are critical to the care, treatment and rehabilitation of forensic patients’.</w:t>
      </w:r>
      <w:bookmarkStart w:id="201" w:name="_Ref535744079"/>
      <w:r w:rsidR="00CA2B20" w:rsidRPr="00154F1D">
        <w:rPr>
          <w:rStyle w:val="FootnoteReference"/>
        </w:rPr>
        <w:footnoteReference w:id="745"/>
      </w:r>
      <w:bookmarkEnd w:id="201"/>
      <w:r w:rsidR="00CA2B20" w:rsidRPr="00154F1D">
        <w:t xml:space="preserve"> </w:t>
      </w:r>
      <w:r w:rsidR="00454F69" w:rsidRPr="00154F1D">
        <w:t xml:space="preserve">There may also be advantages for an unwell </w:t>
      </w:r>
      <w:r w:rsidR="008C217A" w:rsidRPr="00154F1D">
        <w:t xml:space="preserve">person </w:t>
      </w:r>
      <w:r w:rsidR="00454F69" w:rsidRPr="00154F1D">
        <w:t>in accessing services within the forensic mental health system given that the level of support and treatment may be more difficult to access in the civil mental health system.</w:t>
      </w:r>
    </w:p>
    <w:p w14:paraId="45E22AFA" w14:textId="28E7EF31" w:rsidR="00857ECF" w:rsidRPr="00154F1D" w:rsidRDefault="006C7405" w:rsidP="00CF0788">
      <w:pPr>
        <w:pStyle w:val="NormalNumberedTextTLRI"/>
        <w:numPr>
          <w:ilvl w:val="0"/>
          <w:numId w:val="24"/>
        </w:numPr>
        <w:ind w:left="851" w:hanging="425"/>
      </w:pPr>
      <w:r w:rsidRPr="00154F1D">
        <w:t>A related concern is that the use of a time limit set by reference to a hypothetical sentence may create the expectation that the time limit is a sentence.</w:t>
      </w:r>
      <w:r w:rsidR="00B10B4B" w:rsidRPr="00154F1D">
        <w:rPr>
          <w:rStyle w:val="FootnoteReference"/>
        </w:rPr>
        <w:footnoteReference w:id="746"/>
      </w:r>
      <w:r w:rsidR="00CA2B20" w:rsidRPr="00154F1D">
        <w:t xml:space="preserve"> A person who have been found not guilty by reason of insanity or if a finding cannot be made that the person is not guilty at a special hearing (following a finding of unfitness) is not found guilty of any offence and is not sentenced. However, in requiring the court to specify a limiting term, the court is engaged in an exercise ‘akin to sentencing’</w:t>
      </w:r>
      <w:r w:rsidR="00282579" w:rsidRPr="00154F1D">
        <w:t>, it may create an expectation that ‘the person is being punished, despite not having been tried and convicted of any offence’.</w:t>
      </w:r>
      <w:r w:rsidR="00282579" w:rsidRPr="00154F1D">
        <w:rPr>
          <w:rStyle w:val="FootnoteReference"/>
        </w:rPr>
        <w:footnoteReference w:id="747"/>
      </w:r>
    </w:p>
    <w:p w14:paraId="19C876E1" w14:textId="5F09D096" w:rsidR="00E2090F" w:rsidRPr="00154F1D" w:rsidRDefault="00E2090F" w:rsidP="00744FAA">
      <w:pPr>
        <w:pStyle w:val="NormalNumberedTextTLRI"/>
      </w:pPr>
      <w:r w:rsidRPr="00154F1D">
        <w:t xml:space="preserve">Other commentators have supported indefinite detention provided there are sufficient protections and supports to ensure that forensic patients are able to progress through the system and ultimately be released. </w:t>
      </w:r>
      <w:r w:rsidR="0045518E" w:rsidRPr="00154F1D">
        <w:t xml:space="preserve">The former President and </w:t>
      </w:r>
      <w:r w:rsidR="00115EBD" w:rsidRPr="00154F1D">
        <w:t xml:space="preserve">the </w:t>
      </w:r>
      <w:r w:rsidR="0045518E" w:rsidRPr="00154F1D">
        <w:t xml:space="preserve">former Forensic Team Leader of the MHRT in New South Wales have </w:t>
      </w:r>
      <w:r w:rsidR="005A4290" w:rsidRPr="00154F1D">
        <w:t xml:space="preserve">highlighted </w:t>
      </w:r>
      <w:r w:rsidR="00115EBD" w:rsidRPr="00154F1D">
        <w:t>that there is a</w:t>
      </w:r>
      <w:r w:rsidR="005A4290" w:rsidRPr="00154F1D">
        <w:t xml:space="preserve"> risk</w:t>
      </w:r>
      <w:r w:rsidR="0045518E" w:rsidRPr="00154F1D">
        <w:t xml:space="preserve"> that indefinite detention </w:t>
      </w:r>
      <w:r w:rsidR="00651E54" w:rsidRPr="00154F1D">
        <w:t>is</w:t>
      </w:r>
      <w:r w:rsidR="0045518E" w:rsidRPr="00154F1D">
        <w:t xml:space="preserve"> ‘susceptible to facilitating preventive detention</w:t>
      </w:r>
      <w:r w:rsidR="00651E54" w:rsidRPr="00154F1D">
        <w:t>’</w:t>
      </w:r>
      <w:r w:rsidR="0045518E" w:rsidRPr="00154F1D">
        <w:t xml:space="preserve"> </w:t>
      </w:r>
      <w:r w:rsidR="00651E54" w:rsidRPr="00154F1D">
        <w:t xml:space="preserve">as the forensic system is ‘susceptible to a privileging </w:t>
      </w:r>
      <w:r w:rsidR="0045518E" w:rsidRPr="00154F1D">
        <w:t>of preventative aims over therapeutic or rehabilitative aims</w:t>
      </w:r>
      <w:r w:rsidR="00651E54" w:rsidRPr="00154F1D">
        <w:t>’</w:t>
      </w:r>
      <w:r w:rsidR="0045518E" w:rsidRPr="00154F1D">
        <w:t>.</w:t>
      </w:r>
      <w:r w:rsidR="00651E54" w:rsidRPr="00154F1D">
        <w:rPr>
          <w:rStyle w:val="FootnoteReference"/>
        </w:rPr>
        <w:footnoteReference w:id="748"/>
      </w:r>
      <w:r w:rsidR="0045518E" w:rsidRPr="00154F1D">
        <w:t xml:space="preserve"> </w:t>
      </w:r>
      <w:r w:rsidR="00651E54" w:rsidRPr="00154F1D">
        <w:t xml:space="preserve">Ultimately, however, their view was that </w:t>
      </w:r>
      <w:r w:rsidR="0045518E" w:rsidRPr="00154F1D">
        <w:t xml:space="preserve">indefinite detention was appropriate as it was able </w:t>
      </w:r>
      <w:r w:rsidR="00651E54" w:rsidRPr="00154F1D">
        <w:t>to</w:t>
      </w:r>
      <w:r w:rsidR="0045518E" w:rsidRPr="00154F1D">
        <w:t xml:space="preserve"> respond to individual needs</w:t>
      </w:r>
      <w:r w:rsidR="00651E54" w:rsidRPr="00154F1D">
        <w:t xml:space="preserve"> whereas a definite order ‘would not necessarily be capable of responding to the complexities of diagnoses, responsiveness to treatment, and access to leave privileges that are critical to the care, treatment and rehabilitation of forensic patients</w:t>
      </w:r>
      <w:r w:rsidR="0045518E" w:rsidRPr="00154F1D">
        <w:t>.</w:t>
      </w:r>
      <w:r w:rsidR="00115EBD" w:rsidRPr="00154F1D">
        <w:t>’</w:t>
      </w:r>
      <w:r w:rsidR="0045518E" w:rsidRPr="00154F1D">
        <w:rPr>
          <w:rStyle w:val="FootnoteReference"/>
        </w:rPr>
        <w:footnoteReference w:id="749"/>
      </w:r>
      <w:r w:rsidRPr="00154F1D">
        <w:t xml:space="preserve"> The NSW Consumer Advisory Group (in its submission to the NSWLRC) argued that:</w:t>
      </w:r>
    </w:p>
    <w:p w14:paraId="09CC1FD3" w14:textId="1C64063A" w:rsidR="00E2090F" w:rsidRPr="00154F1D" w:rsidRDefault="00E2090F" w:rsidP="0074267A">
      <w:pPr>
        <w:pStyle w:val="QuoteTLRI"/>
      </w:pPr>
      <w:r w:rsidRPr="00154F1D">
        <w:t>step up and step down processes need to be enhanced to provide forensic patients with transparent avenues to progress though the system, which would also assist in developing goals and support a recovery focused system. That is, forensic patients need guidance and resources to access and understand pathways to unconditional release.</w:t>
      </w:r>
      <w:r w:rsidRPr="00154F1D">
        <w:rPr>
          <w:rStyle w:val="FootnoteReference"/>
        </w:rPr>
        <w:footnoteReference w:id="750"/>
      </w:r>
    </w:p>
    <w:p w14:paraId="0731641E" w14:textId="64778B83" w:rsidR="0045518E" w:rsidRPr="00154F1D" w:rsidRDefault="00E2090F" w:rsidP="00330CB6">
      <w:pPr>
        <w:pStyle w:val="NormalNumberedTextTLRI"/>
        <w:numPr>
          <w:ilvl w:val="0"/>
          <w:numId w:val="0"/>
        </w:numPr>
      </w:pPr>
      <w:r w:rsidRPr="00154F1D">
        <w:t xml:space="preserve">Similarly, it may be that concerns in relation to indefinite detention can be addressed by reforms to the review process and the management of forensic patients in Tasmania. This is further considered </w:t>
      </w:r>
      <w:r w:rsidR="00E4510B" w:rsidRPr="00154F1D">
        <w:t>below</w:t>
      </w:r>
      <w:r w:rsidRPr="00154F1D">
        <w:t>.</w:t>
      </w:r>
    </w:p>
    <w:p w14:paraId="2E9E4B1D" w14:textId="011AC634" w:rsidR="00DB3B0D" w:rsidRPr="00154F1D" w:rsidRDefault="00DB3B0D" w:rsidP="00744FAA">
      <w:pPr>
        <w:pStyle w:val="NormalNumberedTextTLRI"/>
      </w:pPr>
      <w:r w:rsidRPr="00154F1D">
        <w:t xml:space="preserve">In relation to conditional release orders under the </w:t>
      </w:r>
      <w:r w:rsidR="009F509B" w:rsidRPr="00154F1D">
        <w:rPr>
          <w:i/>
          <w:iCs/>
        </w:rPr>
        <w:t xml:space="preserve">Criminal Justice (Mental Impairment) Act 1999 </w:t>
      </w:r>
      <w:r w:rsidR="009F509B" w:rsidRPr="00154F1D">
        <w:rPr>
          <w:iCs/>
        </w:rPr>
        <w:t>(Tas)</w:t>
      </w:r>
      <w:r w:rsidRPr="00154F1D">
        <w:t xml:space="preserve"> s</w:t>
      </w:r>
      <w:r w:rsidR="00330CB6" w:rsidRPr="00154F1D">
        <w:t>s</w:t>
      </w:r>
      <w:r w:rsidRPr="00154F1D">
        <w:t xml:space="preserve"> 18(e) and 21(e), there appears to be a deficiency in the legislation as it does not provide a </w:t>
      </w:r>
      <w:r w:rsidR="00CC2D4A" w:rsidRPr="00154F1D">
        <w:t xml:space="preserve">limiting or </w:t>
      </w:r>
      <w:r w:rsidRPr="00154F1D">
        <w:t>maximum term for the bond or provide a</w:t>
      </w:r>
      <w:r w:rsidR="00CC2D4A" w:rsidRPr="00154F1D">
        <w:t>ny</w:t>
      </w:r>
      <w:r w:rsidRPr="00154F1D">
        <w:t xml:space="preserve"> mechanism </w:t>
      </w:r>
      <w:r w:rsidR="00CC2D4A" w:rsidRPr="00154F1D">
        <w:t>that would</w:t>
      </w:r>
      <w:r w:rsidRPr="00154F1D">
        <w:t xml:space="preserve"> allow </w:t>
      </w:r>
      <w:r w:rsidR="00C0057C" w:rsidRPr="00154F1D">
        <w:t>a person</w:t>
      </w:r>
      <w:r w:rsidRPr="00154F1D">
        <w:t xml:space="preserve"> to apply to have the terms of the conditional release order varied or discharged.</w:t>
      </w:r>
      <w:r w:rsidR="00CC2D4A" w:rsidRPr="00154F1D">
        <w:t xml:space="preserve"> So</w:t>
      </w:r>
      <w:r w:rsidR="00144353" w:rsidRPr="00154F1D">
        <w:t>,</w:t>
      </w:r>
      <w:r w:rsidR="00CC2D4A" w:rsidRPr="00154F1D">
        <w:t xml:space="preserve"> if a court wished, it could provide for </w:t>
      </w:r>
      <w:r w:rsidR="001E0CE7">
        <w:t>a person</w:t>
      </w:r>
      <w:r w:rsidR="00CC2D4A" w:rsidRPr="00154F1D">
        <w:t xml:space="preserve"> to be conditionally released into the community </w:t>
      </w:r>
      <w:r w:rsidR="00144353" w:rsidRPr="00154F1D">
        <w:t xml:space="preserve">under the supervision </w:t>
      </w:r>
      <w:r w:rsidR="0059468F">
        <w:t xml:space="preserve">of </w:t>
      </w:r>
      <w:r w:rsidR="00144353" w:rsidRPr="00154F1D">
        <w:t xml:space="preserve">Forensic Mental Services or the Chief Forensic Psychiatrist, </w:t>
      </w:r>
      <w:r w:rsidR="00CC2D4A" w:rsidRPr="00154F1D">
        <w:t xml:space="preserve">for example, </w:t>
      </w:r>
      <w:r w:rsidR="00B3197E">
        <w:t xml:space="preserve">or </w:t>
      </w:r>
      <w:r w:rsidR="00CC2D4A" w:rsidRPr="00154F1D">
        <w:t xml:space="preserve">to take medication, comply with medical treatment, </w:t>
      </w:r>
      <w:r w:rsidR="00144353" w:rsidRPr="00154F1D">
        <w:t>notify of a change of</w:t>
      </w:r>
      <w:r w:rsidR="00CC2D4A" w:rsidRPr="00154F1D">
        <w:t xml:space="preserve"> address</w:t>
      </w:r>
      <w:r w:rsidR="00144353" w:rsidRPr="00154F1D">
        <w:t>, employment or training</w:t>
      </w:r>
      <w:r w:rsidR="00330CB6" w:rsidRPr="00154F1D">
        <w:t xml:space="preserve"> or </w:t>
      </w:r>
      <w:r w:rsidR="00144353" w:rsidRPr="00154F1D">
        <w:t xml:space="preserve">comply with directions and these could be imposed indefinitely and with no option to have them removed or changed. In contrast, the term of a treatment order under the </w:t>
      </w:r>
      <w:r w:rsidR="00144353" w:rsidRPr="00154F1D">
        <w:rPr>
          <w:i/>
        </w:rPr>
        <w:t xml:space="preserve">Mental Health Act 2013 </w:t>
      </w:r>
      <w:r w:rsidR="00144353" w:rsidRPr="00154F1D">
        <w:t>(Tas) is six months and the limit for a conditional release order imposed by the court as a sentence is five years.</w:t>
      </w:r>
      <w:r w:rsidR="00821529" w:rsidRPr="00154F1D">
        <w:rPr>
          <w:rStyle w:val="FootnoteReference"/>
        </w:rPr>
        <w:footnoteReference w:id="751"/>
      </w:r>
      <w:r w:rsidR="00144353" w:rsidRPr="00154F1D">
        <w:t xml:space="preserve"> Other indefinite orders under the </w:t>
      </w:r>
      <w:r w:rsidR="009F509B" w:rsidRPr="00154F1D">
        <w:rPr>
          <w:i/>
          <w:iCs/>
        </w:rPr>
        <w:t xml:space="preserve">Criminal Justice (Mental Impairment) Act 1999 </w:t>
      </w:r>
      <w:r w:rsidR="009F509B" w:rsidRPr="00154F1D">
        <w:rPr>
          <w:iCs/>
        </w:rPr>
        <w:t>(Tas)</w:t>
      </w:r>
      <w:r w:rsidR="00144353" w:rsidRPr="00154F1D">
        <w:t xml:space="preserve"> have provision for review and revocation.</w:t>
      </w:r>
    </w:p>
    <w:p w14:paraId="34B1D07E" w14:textId="23D16281" w:rsidR="00834F23" w:rsidRPr="00154F1D" w:rsidRDefault="00834F23" w:rsidP="00744FAA">
      <w:pPr>
        <w:pStyle w:val="NormalNumberedTextTLRI"/>
      </w:pPr>
      <w:r w:rsidRPr="00154F1D">
        <w:t xml:space="preserve"> The TLRI seeks feedback in relation to whether a limiting term should be adopted i</w:t>
      </w:r>
      <w:r w:rsidR="009855A5" w:rsidRPr="00154F1D">
        <w:t>n Tasmania</w:t>
      </w:r>
      <w:r w:rsidR="00144353" w:rsidRPr="00154F1D">
        <w:t xml:space="preserve"> for supervision and restriction orders</w:t>
      </w:r>
      <w:r w:rsidR="009855A5" w:rsidRPr="00154F1D">
        <w:t xml:space="preserve">. Alternatively, it may be considered that </w:t>
      </w:r>
      <w:r w:rsidR="007A79BF" w:rsidRPr="00154F1D">
        <w:t xml:space="preserve">any </w:t>
      </w:r>
      <w:r w:rsidR="009855A5" w:rsidRPr="00154F1D">
        <w:t xml:space="preserve">concerns </w:t>
      </w:r>
      <w:r w:rsidR="007A79BF" w:rsidRPr="00154F1D">
        <w:t xml:space="preserve">arising </w:t>
      </w:r>
      <w:r w:rsidR="009855A5" w:rsidRPr="00154F1D">
        <w:t>in relation to the indefinite nature of the</w:t>
      </w:r>
      <w:r w:rsidR="00144353" w:rsidRPr="00154F1D">
        <w:t>se</w:t>
      </w:r>
      <w:r w:rsidR="009855A5" w:rsidRPr="00154F1D">
        <w:t xml:space="preserve"> order</w:t>
      </w:r>
      <w:r w:rsidR="00F13FE6" w:rsidRPr="00154F1D">
        <w:t>s</w:t>
      </w:r>
      <w:r w:rsidR="009855A5" w:rsidRPr="00154F1D">
        <w:t xml:space="preserve"> and the </w:t>
      </w:r>
      <w:r w:rsidR="007A79BF" w:rsidRPr="00154F1D">
        <w:t xml:space="preserve">balancing of the </w:t>
      </w:r>
      <w:r w:rsidR="009855A5" w:rsidRPr="00154F1D">
        <w:t>interests of the individual and the community are more appropriately dealt with through a system of indefinite detention with periodic reviews.</w:t>
      </w:r>
      <w:r w:rsidR="00144353" w:rsidRPr="00154F1D">
        <w:t xml:space="preserve"> In addition, the TLRI seeks feedback on whether a limiting term should be set for conditional release orders.</w:t>
      </w:r>
    </w:p>
    <w:p w14:paraId="01126AC8" w14:textId="77777777" w:rsidR="00683D28" w:rsidRPr="00154F1D" w:rsidRDefault="00683D28" w:rsidP="00243422">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b/>
        </w:rPr>
      </w:pPr>
      <w:bookmarkStart w:id="202" w:name="Q59"/>
      <w:r w:rsidRPr="00154F1D">
        <w:rPr>
          <w:b/>
        </w:rPr>
        <w:t>Questions</w:t>
      </w:r>
    </w:p>
    <w:bookmarkEnd w:id="202"/>
    <w:p w14:paraId="101AB9F9" w14:textId="487D45AD" w:rsidR="00143A13" w:rsidRPr="00154F1D" w:rsidRDefault="00F64964" w:rsidP="00243422">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59</w:t>
      </w:r>
      <w:r w:rsidR="00683D28" w:rsidRPr="00154F1D">
        <w:t>.</w:t>
      </w:r>
      <w:r w:rsidR="00243422" w:rsidRPr="00154F1D">
        <w:tab/>
      </w:r>
      <w:r w:rsidR="007A79BF" w:rsidRPr="00154F1D">
        <w:t xml:space="preserve">Should the </w:t>
      </w:r>
      <w:r w:rsidR="009F509B" w:rsidRPr="00154F1D">
        <w:rPr>
          <w:i/>
          <w:iCs/>
        </w:rPr>
        <w:t xml:space="preserve">Criminal Justice (Mental Impairment) Act 1999 </w:t>
      </w:r>
      <w:r w:rsidR="009F509B" w:rsidRPr="00154F1D">
        <w:rPr>
          <w:iCs/>
        </w:rPr>
        <w:t>(Tas)</w:t>
      </w:r>
      <w:r w:rsidR="007A79BF" w:rsidRPr="00154F1D">
        <w:t xml:space="preserve"> be amended to provide for a limiting term for restriction and supervision orders to replace the current indefinite nature of these orders?</w:t>
      </w:r>
    </w:p>
    <w:p w14:paraId="1489ED9E" w14:textId="08E6E5A1" w:rsidR="00DB3B0D" w:rsidRPr="00154F1D" w:rsidRDefault="00F64964" w:rsidP="00243422">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60</w:t>
      </w:r>
      <w:r w:rsidR="00683D28" w:rsidRPr="00154F1D">
        <w:t>.</w:t>
      </w:r>
      <w:r w:rsidR="00243422" w:rsidRPr="00154F1D">
        <w:tab/>
      </w:r>
      <w:r w:rsidR="00DB3B0D" w:rsidRPr="00154F1D">
        <w:t xml:space="preserve">Should the </w:t>
      </w:r>
      <w:r w:rsidR="009F509B" w:rsidRPr="00154F1D">
        <w:rPr>
          <w:i/>
          <w:iCs/>
        </w:rPr>
        <w:t xml:space="preserve">Criminal Justice (Mental Impairment) Act 1999 </w:t>
      </w:r>
      <w:r w:rsidR="009F509B" w:rsidRPr="00154F1D">
        <w:rPr>
          <w:iCs/>
        </w:rPr>
        <w:t>(Tas)</w:t>
      </w:r>
      <w:r w:rsidR="009F509B" w:rsidRPr="00154F1D">
        <w:t xml:space="preserve"> </w:t>
      </w:r>
      <w:r w:rsidR="00DB3B0D" w:rsidRPr="00154F1D">
        <w:t xml:space="preserve">be amended to provide for a </w:t>
      </w:r>
      <w:r w:rsidR="00144353" w:rsidRPr="00154F1D">
        <w:t>limiting term for a conditional release order to replace the current indefinite nature of these orders?</w:t>
      </w:r>
    </w:p>
    <w:p w14:paraId="2B9EF80D" w14:textId="64AC8644" w:rsidR="003711D6" w:rsidRPr="00154F1D" w:rsidRDefault="003711D6" w:rsidP="00243422">
      <w:pPr>
        <w:pStyle w:val="NormalNumberedTextTLRI"/>
        <w:numPr>
          <w:ilvl w:val="0"/>
          <w:numId w:val="0"/>
        </w:numPr>
        <w:spacing w:before="360"/>
        <w:ind w:left="426" w:hanging="426"/>
      </w:pPr>
      <w:r w:rsidRPr="00154F1D">
        <w:t>(2)</w:t>
      </w:r>
      <w:r w:rsidR="00243422" w:rsidRPr="00154F1D">
        <w:tab/>
      </w:r>
      <w:r w:rsidRPr="00154F1D">
        <w:rPr>
          <w:u w:val="single"/>
        </w:rPr>
        <w:t>If a limiting term is adopted</w:t>
      </w:r>
      <w:r w:rsidR="00CF7B0C" w:rsidRPr="00154F1D">
        <w:rPr>
          <w:u w:val="single"/>
        </w:rPr>
        <w:t xml:space="preserve"> for restriction and supervision orders</w:t>
      </w:r>
      <w:r w:rsidRPr="00154F1D">
        <w:rPr>
          <w:u w:val="single"/>
        </w:rPr>
        <w:t>, should there be provision for the order to be extended?</w:t>
      </w:r>
    </w:p>
    <w:p w14:paraId="62BB435D" w14:textId="66CC0761" w:rsidR="00CF7B0C" w:rsidRPr="00154F1D" w:rsidRDefault="00CF7B0C" w:rsidP="00744FAA">
      <w:pPr>
        <w:pStyle w:val="NormalNumberedTextTLRI"/>
      </w:pPr>
      <w:r w:rsidRPr="00154F1D">
        <w:t>As discussed, i</w:t>
      </w:r>
      <w:r w:rsidR="00760A0C" w:rsidRPr="00154F1D">
        <w:t xml:space="preserve">n New South Wales </w:t>
      </w:r>
      <w:r w:rsidR="00B45C49" w:rsidRPr="00154F1D">
        <w:t xml:space="preserve">provision </w:t>
      </w:r>
      <w:r w:rsidR="00F53948" w:rsidRPr="00154F1D">
        <w:t xml:space="preserve">was made </w:t>
      </w:r>
      <w:r w:rsidR="00B45C49" w:rsidRPr="00154F1D">
        <w:t xml:space="preserve">to </w:t>
      </w:r>
      <w:r w:rsidR="00F53948" w:rsidRPr="00154F1D">
        <w:t xml:space="preserve">allow the Supreme Court to make </w:t>
      </w:r>
      <w:r w:rsidR="00914544" w:rsidRPr="00154F1D">
        <w:t xml:space="preserve">extension orders for forensic patients in </w:t>
      </w:r>
      <w:r w:rsidR="00F53948" w:rsidRPr="00154F1D">
        <w:t xml:space="preserve">2013. </w:t>
      </w:r>
      <w:r w:rsidR="00F70DE4">
        <w:t>T</w:t>
      </w:r>
      <w:r w:rsidRPr="00154F1D">
        <w:t xml:space="preserve">he threshold in the </w:t>
      </w:r>
      <w:r w:rsidRPr="00154F1D">
        <w:rPr>
          <w:i/>
        </w:rPr>
        <w:t xml:space="preserve">Mental Health (Forensic Provisions) Act 1990 </w:t>
      </w:r>
      <w:r w:rsidRPr="00154F1D">
        <w:t xml:space="preserve">(NSW) </w:t>
      </w:r>
      <w:r w:rsidR="007E587D" w:rsidRPr="00154F1D">
        <w:t>sch</w:t>
      </w:r>
      <w:r w:rsidRPr="00154F1D">
        <w:t xml:space="preserve"> 1, </w:t>
      </w:r>
      <w:r w:rsidR="007E587D" w:rsidRPr="00154F1D">
        <w:t>pt</w:t>
      </w:r>
      <w:r w:rsidRPr="00154F1D">
        <w:t xml:space="preserve"> 1 </w:t>
      </w:r>
      <w:r w:rsidR="007E587D" w:rsidRPr="00154F1D">
        <w:t>cl</w:t>
      </w:r>
      <w:r w:rsidRPr="00154F1D">
        <w:t xml:space="preserve"> 2 is that an extension order can be made:</w:t>
      </w:r>
    </w:p>
    <w:p w14:paraId="06539E08" w14:textId="779CC632" w:rsidR="00CF7B0C" w:rsidRPr="00154F1D" w:rsidRDefault="00CF7B0C" w:rsidP="00125C21">
      <w:pPr>
        <w:pStyle w:val="QuoteTLRI"/>
        <w:spacing w:after="120"/>
        <w:ind w:left="1276" w:right="788" w:hanging="425"/>
      </w:pPr>
      <w:r w:rsidRPr="00154F1D">
        <w:t>(1)</w:t>
      </w:r>
      <w:r w:rsidR="007E587D" w:rsidRPr="00154F1D">
        <w:tab/>
      </w:r>
      <w:r w:rsidRPr="00154F1D">
        <w:t>… if and only if the Supreme Court is satisfied to a high degree of probability that:</w:t>
      </w:r>
    </w:p>
    <w:p w14:paraId="03989051" w14:textId="4444B976" w:rsidR="00CF7B0C" w:rsidRPr="00154F1D" w:rsidRDefault="00CF7B0C" w:rsidP="00125C21">
      <w:pPr>
        <w:pStyle w:val="QuoteTLRI"/>
        <w:spacing w:after="120"/>
        <w:ind w:left="1560" w:right="788" w:hanging="284"/>
      </w:pPr>
      <w:r w:rsidRPr="00154F1D">
        <w:t>(a)</w:t>
      </w:r>
      <w:r w:rsidR="007E587D" w:rsidRPr="00154F1D">
        <w:tab/>
      </w:r>
      <w:r w:rsidRPr="00154F1D">
        <w:t>the forensic patient poses an unacceptable risk of causing serious harm to others if he or she ceases being a forensic patient, and</w:t>
      </w:r>
    </w:p>
    <w:p w14:paraId="3515D9C6" w14:textId="3FBA90E3" w:rsidR="00CF7B0C" w:rsidRPr="00154F1D" w:rsidRDefault="00CF7B0C" w:rsidP="00125C21">
      <w:pPr>
        <w:pStyle w:val="QuoteTLRI"/>
        <w:spacing w:after="120"/>
        <w:ind w:left="1560" w:right="788" w:hanging="284"/>
      </w:pPr>
      <w:r w:rsidRPr="00154F1D">
        <w:t>(b)</w:t>
      </w:r>
      <w:r w:rsidR="007E587D" w:rsidRPr="00154F1D">
        <w:tab/>
      </w:r>
      <w:r w:rsidRPr="00154F1D">
        <w:t>the risk cannot be adequately managed by other less restrictive means.</w:t>
      </w:r>
    </w:p>
    <w:p w14:paraId="22506197" w14:textId="0FB2ACDE" w:rsidR="00CF7B0C" w:rsidRPr="00154F1D" w:rsidRDefault="00CF7B0C" w:rsidP="007E587D">
      <w:pPr>
        <w:pStyle w:val="QuoteTLRI"/>
        <w:ind w:left="1276" w:hanging="425"/>
      </w:pPr>
      <w:r w:rsidRPr="00154F1D">
        <w:t>(2)</w:t>
      </w:r>
      <w:r w:rsidR="007E587D" w:rsidRPr="00154F1D">
        <w:tab/>
      </w:r>
      <w:r w:rsidRPr="00154F1D">
        <w:t>The Supreme Court is not required to determine that the risk of a person causing serious harm to others is more likely than not in order to determine that the person poses an unacceptable risk of causing serious harm to others.</w:t>
      </w:r>
    </w:p>
    <w:p w14:paraId="27F63CA2" w14:textId="6B13129B" w:rsidR="009F0D95" w:rsidRPr="00154F1D" w:rsidRDefault="009F0D95" w:rsidP="007E587D">
      <w:pPr>
        <w:pStyle w:val="NormalNumberedTextTLRI"/>
        <w:numPr>
          <w:ilvl w:val="0"/>
          <w:numId w:val="0"/>
        </w:numPr>
      </w:pPr>
      <w:r w:rsidRPr="00154F1D">
        <w:t xml:space="preserve">This followed recommendations of the NSWLRC, which identified a gap in the ability to transfer some forensic patients to </w:t>
      </w:r>
      <w:r w:rsidR="00247137" w:rsidRPr="00154F1D">
        <w:t xml:space="preserve">the civil mental health system at the end of their limiting term in </w:t>
      </w:r>
      <w:r w:rsidR="002A2C4A" w:rsidRPr="00154F1D">
        <w:t>circumstances</w:t>
      </w:r>
      <w:r w:rsidR="00247137" w:rsidRPr="00154F1D">
        <w:t xml:space="preserve"> where they still presented a risk of ha</w:t>
      </w:r>
      <w:r w:rsidR="002A2C4A" w:rsidRPr="00154F1D">
        <w:t>r</w:t>
      </w:r>
      <w:r w:rsidR="00247137" w:rsidRPr="00154F1D">
        <w:t xml:space="preserve">m </w:t>
      </w:r>
      <w:r w:rsidR="002A2C4A" w:rsidRPr="00154F1D">
        <w:t>to</w:t>
      </w:r>
      <w:r w:rsidR="00247137" w:rsidRPr="00154F1D">
        <w:t xml:space="preserve"> the community. This related to individual</w:t>
      </w:r>
      <w:r w:rsidR="00C0057C" w:rsidRPr="00154F1D">
        <w:t>s</w:t>
      </w:r>
      <w:r w:rsidR="00247137" w:rsidRPr="00154F1D">
        <w:t xml:space="preserve"> who did n</w:t>
      </w:r>
      <w:r w:rsidR="002A2C4A" w:rsidRPr="00154F1D">
        <w:t>ot</w:t>
      </w:r>
      <w:r w:rsidR="00247137" w:rsidRPr="00154F1D">
        <w:t xml:space="preserve"> fall within the criteria for admission into the civil mental health system.</w:t>
      </w:r>
      <w:r w:rsidR="00C36616" w:rsidRPr="00154F1D">
        <w:rPr>
          <w:rStyle w:val="FootnoteReference"/>
        </w:rPr>
        <w:footnoteReference w:id="752"/>
      </w:r>
      <w:r w:rsidR="00247137" w:rsidRPr="00154F1D">
        <w:t xml:space="preserve"> In addition, the guardianship system </w:t>
      </w:r>
      <w:r w:rsidR="002A2C4A" w:rsidRPr="00154F1D">
        <w:t>does no</w:t>
      </w:r>
      <w:r w:rsidR="00C0057C" w:rsidRPr="00154F1D">
        <w:t>t provide a means to detain a person</w:t>
      </w:r>
      <w:r w:rsidR="002A2C4A" w:rsidRPr="00154F1D">
        <w:t xml:space="preserve"> on the basis of community safety.</w:t>
      </w:r>
      <w:r w:rsidR="002A2C4A" w:rsidRPr="00154F1D">
        <w:rPr>
          <w:rStyle w:val="FootnoteReference"/>
        </w:rPr>
        <w:footnoteReference w:id="753"/>
      </w:r>
    </w:p>
    <w:p w14:paraId="6E8AFBBC" w14:textId="64C556B3" w:rsidR="00C36616" w:rsidRPr="00154F1D" w:rsidRDefault="002A2C4A" w:rsidP="00744FAA">
      <w:pPr>
        <w:pStyle w:val="NormalNumberedTextTLRI"/>
      </w:pPr>
      <w:r w:rsidRPr="00154F1D">
        <w:t>In South Australia, amendments will make it possible for the Supreme Court to make a continuing supervision order.</w:t>
      </w:r>
      <w:r w:rsidRPr="00154F1D">
        <w:rPr>
          <w:rStyle w:val="FootnoteReference"/>
        </w:rPr>
        <w:footnoteReference w:id="754"/>
      </w:r>
      <w:r w:rsidRPr="00154F1D">
        <w:t xml:space="preserve"> </w:t>
      </w:r>
      <w:r w:rsidR="00FC7144" w:rsidRPr="00154F1D">
        <w:t>The test in Sout</w:t>
      </w:r>
      <w:r w:rsidRPr="00154F1D">
        <w:t>h Australia will be</w:t>
      </w:r>
      <w:r w:rsidR="00FC7144" w:rsidRPr="00154F1D">
        <w:t xml:space="preserve"> that the ‘court is satisfied, on the balance of probabilities, the defendant to whom the application relates could, if unsupervised, pose a serious risk to the safety of the community or a member of the community.</w:t>
      </w:r>
      <w:r w:rsidR="00125C21">
        <w:t>’</w:t>
      </w:r>
      <w:r w:rsidR="00FC7144" w:rsidRPr="00154F1D">
        <w:rPr>
          <w:rStyle w:val="FootnoteReference"/>
        </w:rPr>
        <w:footnoteReference w:id="755"/>
      </w:r>
      <w:r w:rsidR="00C36616" w:rsidRPr="00154F1D">
        <w:t xml:space="preserve"> Again, these provisions are intended to address concerns that a limited number of </w:t>
      </w:r>
      <w:r w:rsidR="00C0057C" w:rsidRPr="00154F1D">
        <w:t>people</w:t>
      </w:r>
      <w:r w:rsidR="00C36616" w:rsidRPr="00154F1D">
        <w:t xml:space="preserve"> may pose an unacceptable risk of causing harm to other people if released from supervision at the end of the limiting term, and that such a risk cannot be </w:t>
      </w:r>
      <w:r w:rsidR="00D636FC" w:rsidRPr="00154F1D">
        <w:t>adequately</w:t>
      </w:r>
      <w:r w:rsidR="00C36616" w:rsidRPr="00154F1D">
        <w:t xml:space="preserve"> managed under the civil mental health regime. </w:t>
      </w:r>
    </w:p>
    <w:p w14:paraId="0AB9CEA0" w14:textId="362F9266" w:rsidR="00C56EFD" w:rsidRPr="00154F1D" w:rsidRDefault="00C56EFD" w:rsidP="00744FAA">
      <w:pPr>
        <w:pStyle w:val="NormalNumberedTextTLRI"/>
      </w:pPr>
      <w:r w:rsidRPr="00154F1D">
        <w:t>In the Tasmanian context, if limiting terms are introduced for supervision and restriction orders, the following issue</w:t>
      </w:r>
      <w:r w:rsidR="00D636FC" w:rsidRPr="00154F1D">
        <w:t>s</w:t>
      </w:r>
      <w:r w:rsidRPr="00154F1D">
        <w:t xml:space="preserve"> need to be addressed:</w:t>
      </w:r>
    </w:p>
    <w:p w14:paraId="1C0B5D13" w14:textId="63FB783F" w:rsidR="00C56EFD" w:rsidRPr="00154F1D" w:rsidRDefault="00D636FC" w:rsidP="00D636FC">
      <w:pPr>
        <w:pStyle w:val="NormalNumberedTextTLRI"/>
        <w:numPr>
          <w:ilvl w:val="0"/>
          <w:numId w:val="0"/>
        </w:numPr>
        <w:tabs>
          <w:tab w:val="clear" w:pos="851"/>
        </w:tabs>
        <w:ind w:left="851" w:hanging="425"/>
      </w:pPr>
      <w:r w:rsidRPr="00154F1D">
        <w:t>(1)</w:t>
      </w:r>
      <w:r w:rsidRPr="00154F1D">
        <w:tab/>
      </w:r>
      <w:r w:rsidR="00C56EFD" w:rsidRPr="00154F1D">
        <w:t>whether there would be a need for a preventative detention scheme based on the limits o</w:t>
      </w:r>
      <w:r w:rsidRPr="00154F1D">
        <w:t>f</w:t>
      </w:r>
      <w:r w:rsidR="00C56EFD" w:rsidRPr="00154F1D">
        <w:t xml:space="preserve"> the civil mental health and disability regime;</w:t>
      </w:r>
    </w:p>
    <w:p w14:paraId="32E82464" w14:textId="146AEA03" w:rsidR="00C56EFD" w:rsidRPr="00154F1D" w:rsidRDefault="00D636FC" w:rsidP="00D636FC">
      <w:pPr>
        <w:pStyle w:val="NormalNumberedTextTLRI"/>
        <w:numPr>
          <w:ilvl w:val="0"/>
          <w:numId w:val="0"/>
        </w:numPr>
        <w:tabs>
          <w:tab w:val="clear" w:pos="851"/>
        </w:tabs>
        <w:ind w:left="851" w:hanging="425"/>
      </w:pPr>
      <w:r w:rsidRPr="00154F1D">
        <w:t>(2)</w:t>
      </w:r>
      <w:r w:rsidRPr="00154F1D">
        <w:tab/>
      </w:r>
      <w:r w:rsidR="00C56EFD" w:rsidRPr="00154F1D">
        <w:t>if so, should a preventative detention scheme be introduced; and</w:t>
      </w:r>
    </w:p>
    <w:p w14:paraId="0508F8BB" w14:textId="6955E654" w:rsidR="00C56EFD" w:rsidRPr="00154F1D" w:rsidRDefault="00D636FC" w:rsidP="00D636FC">
      <w:pPr>
        <w:pStyle w:val="NormalNumberedTextTLRI"/>
        <w:numPr>
          <w:ilvl w:val="0"/>
          <w:numId w:val="0"/>
        </w:numPr>
        <w:tabs>
          <w:tab w:val="clear" w:pos="851"/>
        </w:tabs>
        <w:ind w:left="851" w:hanging="425"/>
      </w:pPr>
      <w:r w:rsidRPr="00154F1D">
        <w:t>(3)</w:t>
      </w:r>
      <w:r w:rsidRPr="00154F1D">
        <w:tab/>
      </w:r>
      <w:r w:rsidR="00C56EFD" w:rsidRPr="00154F1D">
        <w:t>if so, how should it be structured</w:t>
      </w:r>
      <w:r w:rsidRPr="00154F1D">
        <w:t>?</w:t>
      </w:r>
    </w:p>
    <w:p w14:paraId="755E4C53" w14:textId="026D5556" w:rsidR="006003F9" w:rsidRPr="00154F1D" w:rsidRDefault="008C1E6B" w:rsidP="00744FAA">
      <w:pPr>
        <w:pStyle w:val="NormalNumberedTextTLRI"/>
      </w:pPr>
      <w:r w:rsidRPr="00154F1D">
        <w:rPr>
          <w:b/>
        </w:rPr>
        <w:t>Are there g</w:t>
      </w:r>
      <w:r w:rsidR="00C56EFD" w:rsidRPr="00154F1D">
        <w:rPr>
          <w:b/>
        </w:rPr>
        <w:t>aps in th</w:t>
      </w:r>
      <w:r w:rsidRPr="00154F1D">
        <w:rPr>
          <w:b/>
        </w:rPr>
        <w:t>e civil system?</w:t>
      </w:r>
      <w:r w:rsidR="00C56EFD" w:rsidRPr="00154F1D">
        <w:rPr>
          <w:b/>
        </w:rPr>
        <w:t xml:space="preserve"> </w:t>
      </w:r>
      <w:r w:rsidR="00C36616" w:rsidRPr="00154F1D">
        <w:t xml:space="preserve">In Tasmania, there is provision for the MHT to make a treatment order </w:t>
      </w:r>
      <w:r w:rsidR="00CA65CD" w:rsidRPr="00154F1D">
        <w:t xml:space="preserve">under the </w:t>
      </w:r>
      <w:r w:rsidR="00CA65CD" w:rsidRPr="00154F1D">
        <w:rPr>
          <w:i/>
        </w:rPr>
        <w:t>Mental Health Act</w:t>
      </w:r>
      <w:r w:rsidR="006003F9" w:rsidRPr="00154F1D">
        <w:rPr>
          <w:i/>
        </w:rPr>
        <w:t xml:space="preserve"> 2013</w:t>
      </w:r>
      <w:r w:rsidR="006003F9" w:rsidRPr="00154F1D">
        <w:t xml:space="preserve"> (Tas), which </w:t>
      </w:r>
      <w:r w:rsidR="0010401E" w:rsidRPr="00154F1D">
        <w:t>authorises treatment for an involuntary patient. A treatment order lasts for up to six months and sets out treatment in a treatment plan. This can take place in a hospital, in the community or a combination of both.</w:t>
      </w:r>
      <w:bookmarkStart w:id="203" w:name="_Ref535768290"/>
      <w:r w:rsidR="0010401E" w:rsidRPr="00154F1D">
        <w:rPr>
          <w:rStyle w:val="FootnoteReference"/>
        </w:rPr>
        <w:footnoteReference w:id="756"/>
      </w:r>
      <w:bookmarkEnd w:id="203"/>
      <w:r w:rsidR="0010401E" w:rsidRPr="00154F1D">
        <w:t xml:space="preserve"> </w:t>
      </w:r>
      <w:r w:rsidR="00C36616" w:rsidRPr="00154F1D">
        <w:t xml:space="preserve">The criteria </w:t>
      </w:r>
      <w:r w:rsidR="008E6715" w:rsidRPr="00154F1D">
        <w:t xml:space="preserve">that must be met for the MHT to make a treatment order </w:t>
      </w:r>
      <w:r w:rsidR="00BA1C1B" w:rsidRPr="00154F1D">
        <w:t>are that: the person has a mental illness; without treatment, the mental illness will, or is likely to, serious</w:t>
      </w:r>
      <w:r w:rsidR="007374E5" w:rsidRPr="00154F1D">
        <w:t>ly</w:t>
      </w:r>
      <w:r w:rsidR="00BA1C1B" w:rsidRPr="00154F1D">
        <w:t xml:space="preserve"> harm the person’s health or safety or the safety of other persons; the treatment will be appropriate and effective</w:t>
      </w:r>
      <w:r w:rsidR="00DE512F" w:rsidRPr="00154F1D">
        <w:t xml:space="preserve">; treatment cannot </w:t>
      </w:r>
      <w:r w:rsidR="0023682D" w:rsidRPr="00154F1D">
        <w:t xml:space="preserve">be adequately given except under a treatment order; and the person does not </w:t>
      </w:r>
      <w:r w:rsidR="00074089" w:rsidRPr="00154F1D">
        <w:t>have decision-making capacity.</w:t>
      </w:r>
      <w:r w:rsidR="00074089" w:rsidRPr="00154F1D">
        <w:rPr>
          <w:rStyle w:val="FootnoteReference"/>
        </w:rPr>
        <w:footnoteReference w:id="757"/>
      </w:r>
      <w:r w:rsidR="00074089" w:rsidRPr="00154F1D">
        <w:t xml:space="preserve"> </w:t>
      </w:r>
      <w:r w:rsidR="000828B1" w:rsidRPr="00154F1D">
        <w:t xml:space="preserve">Under the Act, an adult has decision-making capacity unless it is established that they are unable to make </w:t>
      </w:r>
      <w:r w:rsidR="007374E5" w:rsidRPr="00154F1D">
        <w:t xml:space="preserve">a </w:t>
      </w:r>
      <w:r w:rsidR="000828B1" w:rsidRPr="00154F1D">
        <w:t>decision because of an impairment of, or disturbance in, the function</w:t>
      </w:r>
      <w:r w:rsidR="002E04E6" w:rsidRPr="00154F1D">
        <w:t xml:space="preserve">ing </w:t>
      </w:r>
      <w:r w:rsidR="007374E5" w:rsidRPr="00154F1D">
        <w:t xml:space="preserve">of </w:t>
      </w:r>
      <w:r w:rsidR="000828B1" w:rsidRPr="00154F1D">
        <w:t>the brai</w:t>
      </w:r>
      <w:r w:rsidR="002E04E6" w:rsidRPr="00154F1D">
        <w:t>n</w:t>
      </w:r>
      <w:r w:rsidR="000828B1" w:rsidRPr="00154F1D">
        <w:t xml:space="preserve"> and he or she is unable to understand information relevant to the decision, retain information relevant to the decision, use or weigh information relevant to the decision or communicate the decision.</w:t>
      </w:r>
      <w:r w:rsidR="000828B1" w:rsidRPr="00154F1D">
        <w:rPr>
          <w:rStyle w:val="FootnoteReference"/>
        </w:rPr>
        <w:footnoteReference w:id="758"/>
      </w:r>
      <w:r w:rsidR="00C36616" w:rsidRPr="00154F1D">
        <w:t xml:space="preserve"> </w:t>
      </w:r>
      <w:r w:rsidR="00CA65CD" w:rsidRPr="00154F1D">
        <w:t>Accordingly</w:t>
      </w:r>
      <w:r w:rsidR="00C36616" w:rsidRPr="00154F1D">
        <w:t xml:space="preserve">, there may be </w:t>
      </w:r>
      <w:r w:rsidR="00C0057C" w:rsidRPr="00154F1D">
        <w:t>people</w:t>
      </w:r>
      <w:r w:rsidR="00C36616" w:rsidRPr="00154F1D">
        <w:t xml:space="preserve"> who </w:t>
      </w:r>
      <w:r w:rsidR="000828B1" w:rsidRPr="00154F1D">
        <w:t>refuse treatment but</w:t>
      </w:r>
      <w:r w:rsidR="00CA65CD" w:rsidRPr="00154F1D">
        <w:t xml:space="preserve"> </w:t>
      </w:r>
      <w:r w:rsidR="000828B1" w:rsidRPr="00154F1D">
        <w:t xml:space="preserve">do not lack </w:t>
      </w:r>
      <w:r w:rsidR="00CA65CD" w:rsidRPr="00154F1D">
        <w:t>decision</w:t>
      </w:r>
      <w:r w:rsidR="000828B1" w:rsidRPr="00154F1D">
        <w:t>-</w:t>
      </w:r>
      <w:r w:rsidR="00CA65CD" w:rsidRPr="00154F1D">
        <w:t xml:space="preserve">making capacity. </w:t>
      </w:r>
      <w:r w:rsidR="000828B1" w:rsidRPr="00154F1D">
        <w:t xml:space="preserve">Further, individuals may not meet the definition </w:t>
      </w:r>
      <w:r w:rsidR="003710D5" w:rsidRPr="00154F1D">
        <w:t xml:space="preserve">of mental illness, </w:t>
      </w:r>
      <w:r w:rsidR="00C0057C" w:rsidRPr="00154F1D">
        <w:t>such as a person</w:t>
      </w:r>
      <w:r w:rsidR="000828B1" w:rsidRPr="00154F1D">
        <w:t xml:space="preserve"> with</w:t>
      </w:r>
      <w:r w:rsidR="00C0057C" w:rsidRPr="00154F1D">
        <w:t xml:space="preserve"> an </w:t>
      </w:r>
      <w:r w:rsidR="000828B1" w:rsidRPr="00154F1D">
        <w:t>intellectual disa</w:t>
      </w:r>
      <w:r w:rsidR="003710D5" w:rsidRPr="00154F1D">
        <w:t>bility or acquired brain injury.</w:t>
      </w:r>
      <w:r w:rsidR="003710D5" w:rsidRPr="00154F1D">
        <w:rPr>
          <w:rStyle w:val="FootnoteReference"/>
        </w:rPr>
        <w:footnoteReference w:id="759"/>
      </w:r>
      <w:r w:rsidR="00D06A48" w:rsidRPr="00154F1D">
        <w:t xml:space="preserve"> </w:t>
      </w:r>
    </w:p>
    <w:p w14:paraId="6B2E86B5" w14:textId="01B17FF1" w:rsidR="005F7EAA" w:rsidRPr="00154F1D" w:rsidRDefault="006003F9" w:rsidP="00744FAA">
      <w:pPr>
        <w:pStyle w:val="NormalNumberedTextTLRI"/>
      </w:pPr>
      <w:r w:rsidRPr="00154F1D">
        <w:t>There a</w:t>
      </w:r>
      <w:r w:rsidR="00D41D93" w:rsidRPr="00154F1D">
        <w:t>r</w:t>
      </w:r>
      <w:r w:rsidRPr="00154F1D">
        <w:t>e also powers for intervention u</w:t>
      </w:r>
      <w:r w:rsidR="00903318" w:rsidRPr="00154F1D">
        <w:t xml:space="preserve">nder the </w:t>
      </w:r>
      <w:r w:rsidR="00EA7F13" w:rsidRPr="00154F1D">
        <w:rPr>
          <w:i/>
        </w:rPr>
        <w:t xml:space="preserve">Guardianship and Administration Act </w:t>
      </w:r>
      <w:r w:rsidR="005F7EAA" w:rsidRPr="00154F1D">
        <w:rPr>
          <w:i/>
        </w:rPr>
        <w:t xml:space="preserve">1995 </w:t>
      </w:r>
      <w:r w:rsidRPr="00154F1D">
        <w:t>(Tas). Under this Act,</w:t>
      </w:r>
      <w:r w:rsidR="00EA7F13" w:rsidRPr="00154F1D">
        <w:t xml:space="preserve"> there is power for the Guardianship and Administration Board to appoint a guardian, who can be provided with accommodation powers and health care powers.</w:t>
      </w:r>
      <w:r w:rsidR="00EA7F13" w:rsidRPr="00154F1D">
        <w:rPr>
          <w:rStyle w:val="FootnoteReference"/>
        </w:rPr>
        <w:footnoteReference w:id="760"/>
      </w:r>
      <w:r w:rsidR="00EA7F13" w:rsidRPr="00154F1D">
        <w:t xml:space="preserve"> </w:t>
      </w:r>
      <w:r w:rsidR="005F7EAA" w:rsidRPr="00154F1D">
        <w:t>Accommodation powers mean that the guardian has the authority to decide where and with whom the person lives. This might include accommodation in a group home or supported residential facility.</w:t>
      </w:r>
      <w:r w:rsidR="005F7EAA" w:rsidRPr="00154F1D">
        <w:rPr>
          <w:rStyle w:val="FootnoteReference"/>
        </w:rPr>
        <w:footnoteReference w:id="761"/>
      </w:r>
      <w:r w:rsidR="005F7EAA" w:rsidRPr="00154F1D">
        <w:t xml:space="preserve"> A guardian with health care powers can consent to me</w:t>
      </w:r>
      <w:r w:rsidRPr="00154F1D">
        <w:t>dic</w:t>
      </w:r>
      <w:r w:rsidR="005F7EAA" w:rsidRPr="00154F1D">
        <w:t xml:space="preserve">al </w:t>
      </w:r>
      <w:r w:rsidRPr="00154F1D">
        <w:t>treatment</w:t>
      </w:r>
      <w:r w:rsidR="005F7EAA" w:rsidRPr="00154F1D">
        <w:t xml:space="preserve"> as well </w:t>
      </w:r>
      <w:r w:rsidR="00EF7800" w:rsidRPr="00154F1D">
        <w:t xml:space="preserve">as </w:t>
      </w:r>
      <w:r w:rsidR="005F7EAA" w:rsidRPr="00154F1D">
        <w:t xml:space="preserve">care </w:t>
      </w:r>
      <w:r w:rsidRPr="00154F1D">
        <w:t>provided by allied medic</w:t>
      </w:r>
      <w:r w:rsidR="005F7EAA" w:rsidRPr="00154F1D">
        <w:t xml:space="preserve">al </w:t>
      </w:r>
      <w:r w:rsidRPr="00154F1D">
        <w:t>practitioners</w:t>
      </w:r>
      <w:r w:rsidR="005F7EAA" w:rsidRPr="00154F1D">
        <w:t xml:space="preserve"> but does not allow the guardian to </w:t>
      </w:r>
      <w:r w:rsidRPr="00154F1D">
        <w:t>authorise</w:t>
      </w:r>
      <w:r w:rsidR="005F7EAA" w:rsidRPr="00154F1D">
        <w:t xml:space="preserve"> psychiatric </w:t>
      </w:r>
      <w:r w:rsidRPr="00154F1D">
        <w:t>treatment</w:t>
      </w:r>
      <w:r w:rsidR="005F7EAA" w:rsidRPr="00154F1D">
        <w:t xml:space="preserve"> of a person with mental illness.</w:t>
      </w:r>
      <w:r w:rsidR="005F7EAA" w:rsidRPr="00154F1D">
        <w:rPr>
          <w:rStyle w:val="FootnoteReference"/>
        </w:rPr>
        <w:footnoteReference w:id="762"/>
      </w:r>
      <w:r w:rsidR="005F7EAA" w:rsidRPr="00154F1D">
        <w:t xml:space="preserve"> </w:t>
      </w:r>
      <w:r w:rsidRPr="00154F1D">
        <w:t xml:space="preserve">A guardian can also consent </w:t>
      </w:r>
      <w:r w:rsidR="00F85A5D" w:rsidRPr="00154F1D">
        <w:t xml:space="preserve">to </w:t>
      </w:r>
      <w:r w:rsidRPr="00154F1D">
        <w:t>or make decisions about a behaviour management plan.</w:t>
      </w:r>
      <w:r w:rsidRPr="00154F1D">
        <w:rPr>
          <w:rStyle w:val="FootnoteReference"/>
        </w:rPr>
        <w:footnoteReference w:id="763"/>
      </w:r>
      <w:r w:rsidRPr="00154F1D">
        <w:t xml:space="preserve"> However, a</w:t>
      </w:r>
      <w:r w:rsidR="005F7EAA" w:rsidRPr="00154F1D">
        <w:t xml:space="preserve"> guardian can only be appointed where a person has a disability and because of that disability they cannot make reasonable personal and lifestyle decisions and the person is in need of a guardian.</w:t>
      </w:r>
      <w:r w:rsidR="005F7EAA" w:rsidRPr="00154F1D">
        <w:rPr>
          <w:rStyle w:val="FootnoteReference"/>
        </w:rPr>
        <w:footnoteReference w:id="764"/>
      </w:r>
      <w:r w:rsidR="005F7EAA" w:rsidRPr="00154F1D">
        <w:t xml:space="preserve"> The Board must consider whether the needs of the person could be met by other means less restrictive of that person</w:t>
      </w:r>
      <w:r w:rsidR="00F85A5D" w:rsidRPr="00154F1D">
        <w:t>’</w:t>
      </w:r>
      <w:r w:rsidR="005F7EAA" w:rsidRPr="00154F1D">
        <w:t>s freedom of decision and action and must be satisfied that the order would be in the best interests of the person.</w:t>
      </w:r>
      <w:r w:rsidR="005F7EAA" w:rsidRPr="00154F1D">
        <w:rPr>
          <w:rStyle w:val="FootnoteReference"/>
        </w:rPr>
        <w:footnoteReference w:id="765"/>
      </w:r>
      <w:r w:rsidRPr="00154F1D">
        <w:t xml:space="preserve"> </w:t>
      </w:r>
      <w:r w:rsidR="009F509B" w:rsidRPr="00154F1D">
        <w:t>Further, as noted by the NSWLRC, the principles underpinning guardianship ‘focus solely on the best interests of the person subject to the order. The need for community protection is not a relevant principle’.</w:t>
      </w:r>
      <w:r w:rsidR="009F509B" w:rsidRPr="00154F1D">
        <w:rPr>
          <w:rStyle w:val="FootnoteReference"/>
        </w:rPr>
        <w:footnoteReference w:id="766"/>
      </w:r>
      <w:r w:rsidR="009F509B" w:rsidRPr="00154F1D">
        <w:t xml:space="preserve"> </w:t>
      </w:r>
      <w:r w:rsidR="0045207D" w:rsidRPr="00154F1D">
        <w:t>On this basis</w:t>
      </w:r>
      <w:r w:rsidR="009F509B" w:rsidRPr="00154F1D">
        <w:t xml:space="preserve">, </w:t>
      </w:r>
      <w:r w:rsidR="00125C21">
        <w:t>‘</w:t>
      </w:r>
      <w:r w:rsidR="009F509B" w:rsidRPr="00154F1D">
        <w:t>[i]t is not the guardian’s role to safeguard the community, although the guardian’s decisions may have that effect’.</w:t>
      </w:r>
      <w:r w:rsidR="009F509B" w:rsidRPr="00154F1D">
        <w:rPr>
          <w:rStyle w:val="FootnoteReference"/>
        </w:rPr>
        <w:footnoteReference w:id="767"/>
      </w:r>
      <w:r w:rsidR="00F85A5D" w:rsidRPr="00154F1D">
        <w:t xml:space="preserve"> </w:t>
      </w:r>
      <w:r w:rsidR="009F509B" w:rsidRPr="00154F1D">
        <w:t>Accordingly, t</w:t>
      </w:r>
      <w:r w:rsidRPr="00154F1D">
        <w:t xml:space="preserve">here are limitations in relation to the effectiveness of guardianship arrangements to provide an appropriate means to address concerns about community safety. </w:t>
      </w:r>
      <w:r w:rsidR="00A807C0" w:rsidRPr="00154F1D">
        <w:t>The</w:t>
      </w:r>
      <w:r w:rsidR="0045207D" w:rsidRPr="00154F1D">
        <w:t xml:space="preserve"> TLRI has made recommendations for reform in relation to the functions and powers of guardians</w:t>
      </w:r>
      <w:r w:rsidR="00F85A5D" w:rsidRPr="00154F1D">
        <w:t>.</w:t>
      </w:r>
      <w:r w:rsidR="0045207D" w:rsidRPr="00154F1D">
        <w:t xml:space="preserve"> </w:t>
      </w:r>
      <w:r w:rsidR="00F85A5D" w:rsidRPr="00154F1D">
        <w:t>T</w:t>
      </w:r>
      <w:r w:rsidR="00A807C0" w:rsidRPr="00154F1D">
        <w:t>hese reforms would allow guardian</w:t>
      </w:r>
      <w:r w:rsidR="00A65488" w:rsidRPr="00154F1D">
        <w:t>s</w:t>
      </w:r>
      <w:r w:rsidR="00A807C0" w:rsidRPr="00154F1D">
        <w:t xml:space="preserve"> to take into account harm to others as a relevant consideration when making representative decisions.</w:t>
      </w:r>
      <w:r w:rsidR="00A807C0" w:rsidRPr="00154F1D">
        <w:rPr>
          <w:rStyle w:val="FootnoteReference"/>
        </w:rPr>
        <w:footnoteReference w:id="768"/>
      </w:r>
      <w:r w:rsidR="00A807C0" w:rsidRPr="00154F1D">
        <w:t xml:space="preserve"> However, </w:t>
      </w:r>
      <w:r w:rsidR="00A65488" w:rsidRPr="00154F1D">
        <w:t xml:space="preserve">a </w:t>
      </w:r>
      <w:r w:rsidR="00A807C0" w:rsidRPr="00154F1D">
        <w:t>guardian could only exercise this decision</w:t>
      </w:r>
      <w:r w:rsidR="00F85A5D" w:rsidRPr="00154F1D">
        <w:t>-</w:t>
      </w:r>
      <w:r w:rsidR="00A807C0" w:rsidRPr="00154F1D">
        <w:t xml:space="preserve">making power if the person does not have the ability to make </w:t>
      </w:r>
      <w:r w:rsidR="00A65488" w:rsidRPr="00154F1D">
        <w:t xml:space="preserve">his/her </w:t>
      </w:r>
      <w:r w:rsidR="00A807C0" w:rsidRPr="00154F1D">
        <w:t xml:space="preserve">own decision or </w:t>
      </w:r>
      <w:r w:rsidR="00F85A5D" w:rsidRPr="00154F1D">
        <w:t xml:space="preserve">to </w:t>
      </w:r>
      <w:r w:rsidR="00A807C0" w:rsidRPr="00154F1D">
        <w:t>consent to the decision.</w:t>
      </w:r>
      <w:r w:rsidR="00524841" w:rsidRPr="00154F1D">
        <w:rPr>
          <w:rStyle w:val="FootnoteReference"/>
        </w:rPr>
        <w:footnoteReference w:id="769"/>
      </w:r>
    </w:p>
    <w:p w14:paraId="12DDE9EA" w14:textId="180246C3" w:rsidR="00BA0AFB" w:rsidRPr="00154F1D" w:rsidRDefault="00496AAB" w:rsidP="00744FAA">
      <w:pPr>
        <w:pStyle w:val="NormalNumberedTextTLRI"/>
      </w:pPr>
      <w:r w:rsidRPr="00154F1D">
        <w:rPr>
          <w:b/>
        </w:rPr>
        <w:t xml:space="preserve">Should a preventative detention scheme be introduced? </w:t>
      </w:r>
      <w:r w:rsidRPr="00154F1D">
        <w:t xml:space="preserve">As indicated above, in New South Wales a preventative detention scheme </w:t>
      </w:r>
      <w:r w:rsidR="00D03B9C" w:rsidRPr="00154F1D">
        <w:t xml:space="preserve">that would allow an extension of an individual’s forensic patient status </w:t>
      </w:r>
      <w:r w:rsidRPr="00154F1D">
        <w:t xml:space="preserve">was </w:t>
      </w:r>
      <w:r w:rsidR="00D03B9C" w:rsidRPr="00154F1D">
        <w:t>recommended. This was based on concer</w:t>
      </w:r>
      <w:r w:rsidRPr="00154F1D">
        <w:t>n</w:t>
      </w:r>
      <w:r w:rsidR="00D03B9C" w:rsidRPr="00154F1D">
        <w:t>s</w:t>
      </w:r>
      <w:r w:rsidRPr="00154F1D">
        <w:t xml:space="preserve"> that </w:t>
      </w:r>
      <w:r w:rsidR="00D03B9C" w:rsidRPr="00154F1D">
        <w:t xml:space="preserve">a small number of individuals </w:t>
      </w:r>
      <w:r w:rsidR="00712B57" w:rsidRPr="00154F1D">
        <w:t>‘</w:t>
      </w:r>
      <w:r w:rsidR="00D03B9C" w:rsidRPr="00154F1D">
        <w:t xml:space="preserve">may pose a </w:t>
      </w:r>
      <w:r w:rsidR="00712B57" w:rsidRPr="00154F1D">
        <w:t>significant risk to the public but who do not meet the criteria for transfer into the civil system’.</w:t>
      </w:r>
      <w:r w:rsidR="00712B57" w:rsidRPr="00154F1D">
        <w:rPr>
          <w:rStyle w:val="FootnoteReference"/>
        </w:rPr>
        <w:footnoteReference w:id="770"/>
      </w:r>
      <w:r w:rsidR="00EA2982" w:rsidRPr="00154F1D">
        <w:t xml:space="preserve"> The NSWLRC was concerned to </w:t>
      </w:r>
      <w:r w:rsidR="00B732A5" w:rsidRPr="00154F1D">
        <w:t xml:space="preserve">highlight </w:t>
      </w:r>
      <w:r w:rsidR="00EA2982" w:rsidRPr="00154F1D">
        <w:t xml:space="preserve">that </w:t>
      </w:r>
      <w:r w:rsidR="00F85A5D" w:rsidRPr="00154F1D">
        <w:t xml:space="preserve">this </w:t>
      </w:r>
      <w:r w:rsidR="00EA2982" w:rsidRPr="00154F1D">
        <w:t xml:space="preserve">power was exceptional and should be </w:t>
      </w:r>
      <w:r w:rsidR="00BA0AFB" w:rsidRPr="00154F1D">
        <w:t xml:space="preserve">exercised sparingly, </w:t>
      </w:r>
      <w:r w:rsidR="00EA2982" w:rsidRPr="00154F1D">
        <w:t>with strong justification</w:t>
      </w:r>
      <w:r w:rsidR="00BA0AFB" w:rsidRPr="00154F1D">
        <w:t xml:space="preserve"> and suitable protections</w:t>
      </w:r>
      <w:r w:rsidR="00EA2982" w:rsidRPr="00154F1D">
        <w:t>.</w:t>
      </w:r>
      <w:r w:rsidR="00EA2982" w:rsidRPr="00154F1D">
        <w:rPr>
          <w:rStyle w:val="FootnoteReference"/>
        </w:rPr>
        <w:footnoteReference w:id="771"/>
      </w:r>
      <w:r w:rsidR="00EA2982" w:rsidRPr="00154F1D">
        <w:t xml:space="preserve"> </w:t>
      </w:r>
      <w:r w:rsidR="00B732A5" w:rsidRPr="00154F1D">
        <w:t>It stressed that the only justification for the making of the order should be need to protect the community and an order should not be made for the purposes of treatment or punishment.</w:t>
      </w:r>
      <w:r w:rsidR="00B732A5" w:rsidRPr="00154F1D">
        <w:rPr>
          <w:rStyle w:val="FootnoteReference"/>
        </w:rPr>
        <w:footnoteReference w:id="772"/>
      </w:r>
      <w:r w:rsidR="00B732A5" w:rsidRPr="00154F1D">
        <w:t xml:space="preserve"> On this basis, it</w:t>
      </w:r>
      <w:r w:rsidR="00EA2982" w:rsidRPr="00154F1D">
        <w:t xml:space="preserve"> considered that </w:t>
      </w:r>
      <w:r w:rsidR="00B732A5" w:rsidRPr="00154F1D">
        <w:t>this</w:t>
      </w:r>
      <w:r w:rsidR="00EA2982" w:rsidRPr="00154F1D">
        <w:t xml:space="preserve"> was </w:t>
      </w:r>
      <w:r w:rsidR="00BA0AFB" w:rsidRPr="00154F1D">
        <w:t xml:space="preserve">necessary for community protection and was </w:t>
      </w:r>
      <w:r w:rsidR="00EA2982" w:rsidRPr="00154F1D">
        <w:t>‘an appropriate counterbalance to our recommendation that limiting terms be applied to people found NGMI’.</w:t>
      </w:r>
      <w:r w:rsidR="00EA2982" w:rsidRPr="00154F1D">
        <w:rPr>
          <w:rStyle w:val="FootnoteReference"/>
        </w:rPr>
        <w:footnoteReference w:id="773"/>
      </w:r>
      <w:r w:rsidR="00EA2982" w:rsidRPr="00154F1D">
        <w:t xml:space="preserve"> This </w:t>
      </w:r>
      <w:r w:rsidR="00BA0AFB" w:rsidRPr="00154F1D">
        <w:t xml:space="preserve">cautious approach </w:t>
      </w:r>
      <w:r w:rsidR="00EA2982" w:rsidRPr="00154F1D">
        <w:t>reflected the principles that appl</w:t>
      </w:r>
      <w:r w:rsidR="00B732A5" w:rsidRPr="00154F1D">
        <w:t>y</w:t>
      </w:r>
      <w:r w:rsidR="00EA2982" w:rsidRPr="00154F1D">
        <w:t xml:space="preserve"> to </w:t>
      </w:r>
      <w:r w:rsidR="00BA0AFB" w:rsidRPr="00154F1D">
        <w:t xml:space="preserve">preventative detention </w:t>
      </w:r>
      <w:r w:rsidR="00B732A5" w:rsidRPr="00154F1D">
        <w:t>for</w:t>
      </w:r>
      <w:r w:rsidR="00BA0AFB" w:rsidRPr="00154F1D">
        <w:t xml:space="preserve"> </w:t>
      </w:r>
      <w:r w:rsidR="00EA2982" w:rsidRPr="00154F1D">
        <w:t>offender’s sentenced following a finding of guilt</w:t>
      </w:r>
      <w:r w:rsidR="00BA0AFB" w:rsidRPr="00154F1D">
        <w:t>,</w:t>
      </w:r>
      <w:r w:rsidR="00EA2982" w:rsidRPr="00154F1D">
        <w:t xml:space="preserve"> where there </w:t>
      </w:r>
      <w:r w:rsidR="00B732A5" w:rsidRPr="00154F1D">
        <w:t>i</w:t>
      </w:r>
      <w:r w:rsidR="00EA2982" w:rsidRPr="00154F1D">
        <w:t xml:space="preserve">s </w:t>
      </w:r>
      <w:r w:rsidR="00BA0AFB" w:rsidRPr="00154F1D">
        <w:t xml:space="preserve">only </w:t>
      </w:r>
      <w:r w:rsidR="00EA2982" w:rsidRPr="00154F1D">
        <w:t>provision for hi</w:t>
      </w:r>
      <w:r w:rsidR="00250524" w:rsidRPr="00154F1D">
        <w:t>g</w:t>
      </w:r>
      <w:r w:rsidR="00EA2982" w:rsidRPr="00154F1D">
        <w:t>h</w:t>
      </w:r>
      <w:r w:rsidR="007C3813" w:rsidRPr="00154F1D">
        <w:t>-</w:t>
      </w:r>
      <w:r w:rsidR="00EA2982" w:rsidRPr="00154F1D">
        <w:t xml:space="preserve">risk </w:t>
      </w:r>
      <w:r w:rsidR="00BA0AFB" w:rsidRPr="00154F1D">
        <w:t xml:space="preserve">sex and violent </w:t>
      </w:r>
      <w:r w:rsidR="00EA2982" w:rsidRPr="00154F1D">
        <w:t>offender</w:t>
      </w:r>
      <w:r w:rsidR="007C3813" w:rsidRPr="00154F1D">
        <w:t>s</w:t>
      </w:r>
      <w:r w:rsidR="00EA2982" w:rsidRPr="00154F1D">
        <w:t xml:space="preserve"> </w:t>
      </w:r>
      <w:r w:rsidR="00BA0AFB" w:rsidRPr="00154F1D">
        <w:t>to be detained at the end of their sentence where the Supreme Court considered there to be an unacceptable risk of serious offending.</w:t>
      </w:r>
      <w:r w:rsidR="00BA0AFB" w:rsidRPr="00154F1D">
        <w:rPr>
          <w:rStyle w:val="FootnoteReference"/>
        </w:rPr>
        <w:footnoteReference w:id="774"/>
      </w:r>
      <w:r w:rsidR="00BA0AFB" w:rsidRPr="00154F1D">
        <w:t xml:space="preserve"> </w:t>
      </w:r>
    </w:p>
    <w:p w14:paraId="4E663016" w14:textId="5139F9A9" w:rsidR="0087591B" w:rsidRPr="00154F1D" w:rsidRDefault="009F509B" w:rsidP="00744FAA">
      <w:pPr>
        <w:pStyle w:val="NormalNumberedTextTLRI"/>
      </w:pPr>
      <w:r w:rsidRPr="00154F1D">
        <w:t>There are strong a</w:t>
      </w:r>
      <w:r w:rsidR="00BA0AFB" w:rsidRPr="00154F1D">
        <w:t>rguments against a preventative detention scheme</w:t>
      </w:r>
      <w:r w:rsidRPr="00154F1D">
        <w:t>, including</w:t>
      </w:r>
      <w:r w:rsidR="00BA0AFB" w:rsidRPr="00154F1D">
        <w:t xml:space="preserve"> that </w:t>
      </w:r>
      <w:r w:rsidR="00BC2C05" w:rsidRPr="00154F1D">
        <w:t xml:space="preserve">forensic patients ‘should not be subject to further restriction on their liberty following the expiry of their limiting term, </w:t>
      </w:r>
      <w:r w:rsidRPr="00154F1D">
        <w:t>a</w:t>
      </w:r>
      <w:r w:rsidR="00BC2C05" w:rsidRPr="00154F1D">
        <w:t>part from those that may be imposed under the civil regimes’.</w:t>
      </w:r>
      <w:r w:rsidR="00BC2C05" w:rsidRPr="00154F1D">
        <w:rPr>
          <w:rStyle w:val="FootnoteReference"/>
        </w:rPr>
        <w:footnoteReference w:id="775"/>
      </w:r>
      <w:r w:rsidR="00BA0AFB" w:rsidRPr="00154F1D">
        <w:t xml:space="preserve"> </w:t>
      </w:r>
      <w:r w:rsidR="00C052E4" w:rsidRPr="00154F1D">
        <w:t xml:space="preserve">On this basis, many stakeholders in the NSW review process expressed </w:t>
      </w:r>
      <w:r w:rsidRPr="00154F1D">
        <w:t xml:space="preserve">considerable </w:t>
      </w:r>
      <w:r w:rsidR="00C052E4" w:rsidRPr="00154F1D">
        <w:t>concern</w:t>
      </w:r>
      <w:r w:rsidRPr="00154F1D">
        <w:t xml:space="preserve"> about the creation of </w:t>
      </w:r>
      <w:r w:rsidR="00D079CC" w:rsidRPr="00154F1D">
        <w:t xml:space="preserve">a </w:t>
      </w:r>
      <w:r w:rsidRPr="00154F1D">
        <w:t>preventative detention scheme</w:t>
      </w:r>
      <w:r w:rsidR="00C052E4" w:rsidRPr="00154F1D">
        <w:t>.</w:t>
      </w:r>
      <w:r w:rsidR="00C052E4" w:rsidRPr="00154F1D">
        <w:rPr>
          <w:rStyle w:val="FootnoteReference"/>
        </w:rPr>
        <w:footnoteReference w:id="776"/>
      </w:r>
      <w:r w:rsidR="00C052E4" w:rsidRPr="00154F1D">
        <w:t xml:space="preserve"> </w:t>
      </w:r>
      <w:r w:rsidR="00D0271E" w:rsidRPr="00154F1D">
        <w:t>Further, p</w:t>
      </w:r>
      <w:r w:rsidR="00BC2C05" w:rsidRPr="00154F1D">
        <w:t xml:space="preserve">reventative detention schemes </w:t>
      </w:r>
      <w:r w:rsidR="00C04CBB" w:rsidRPr="00154F1D">
        <w:t>for forensic patients</w:t>
      </w:r>
      <w:r w:rsidR="00D0271E" w:rsidRPr="00154F1D">
        <w:t xml:space="preserve"> are said to violate </w:t>
      </w:r>
      <w:r w:rsidR="00824948" w:rsidRPr="00154F1D">
        <w:t xml:space="preserve">art 14 of </w:t>
      </w:r>
      <w:r w:rsidR="00D0271E" w:rsidRPr="00154F1D">
        <w:t xml:space="preserve">the </w:t>
      </w:r>
      <w:r w:rsidR="00D0271E" w:rsidRPr="00154F1D">
        <w:rPr>
          <w:i/>
        </w:rPr>
        <w:t>CRPD</w:t>
      </w:r>
      <w:r w:rsidR="00D0271E" w:rsidRPr="00154F1D">
        <w:t xml:space="preserve"> </w:t>
      </w:r>
      <w:r w:rsidR="00D079CC" w:rsidRPr="00154F1D">
        <w:t>which</w:t>
      </w:r>
      <w:r w:rsidR="00C052E4" w:rsidRPr="00154F1D">
        <w:t xml:space="preserve"> </w:t>
      </w:r>
      <w:r w:rsidR="00F443D8" w:rsidRPr="00154F1D">
        <w:t>‘prohibits the deprivation of liberty on the basis of actual or perceived impairment even if additional factors or criteria are also used to justify the deprivation of liberty’.</w:t>
      </w:r>
      <w:r w:rsidR="00F443D8" w:rsidRPr="00154F1D">
        <w:rPr>
          <w:rStyle w:val="FootnoteReference"/>
        </w:rPr>
        <w:footnoteReference w:id="777"/>
      </w:r>
      <w:r w:rsidR="00F443D8" w:rsidRPr="00154F1D">
        <w:t xml:space="preserve"> More generally, </w:t>
      </w:r>
      <w:r w:rsidR="00A42246" w:rsidRPr="00154F1D">
        <w:t>preventative</w:t>
      </w:r>
      <w:r w:rsidR="00F443D8" w:rsidRPr="00154F1D">
        <w:t xml:space="preserve"> detention schemes </w:t>
      </w:r>
      <w:r w:rsidR="006E5F1A" w:rsidRPr="00154F1D">
        <w:t xml:space="preserve">that apply to convicted offenders </w:t>
      </w:r>
      <w:r w:rsidR="00F443D8" w:rsidRPr="00154F1D">
        <w:t>are</w:t>
      </w:r>
      <w:r w:rsidR="00D0271E" w:rsidRPr="00154F1D">
        <w:t xml:space="preserve"> </w:t>
      </w:r>
      <w:r w:rsidR="00BC2C05" w:rsidRPr="00154F1D">
        <w:t xml:space="preserve">controversial </w:t>
      </w:r>
      <w:r w:rsidR="00AF3554" w:rsidRPr="00154F1D">
        <w:t xml:space="preserve">on the basis that they offend against the principle of proportionality and finality in sentencing, that they amount to double </w:t>
      </w:r>
      <w:r w:rsidR="00710823" w:rsidRPr="00154F1D">
        <w:t>punishment</w:t>
      </w:r>
      <w:r w:rsidR="00AF3554" w:rsidRPr="00154F1D">
        <w:t xml:space="preserve"> and tha</w:t>
      </w:r>
      <w:r w:rsidR="00710823" w:rsidRPr="00154F1D">
        <w:t>t</w:t>
      </w:r>
      <w:r w:rsidR="00AF3554" w:rsidRPr="00154F1D">
        <w:t xml:space="preserve"> </w:t>
      </w:r>
      <w:r w:rsidR="00710823" w:rsidRPr="00154F1D">
        <w:t xml:space="preserve">prediction </w:t>
      </w:r>
      <w:r w:rsidR="00AF3554" w:rsidRPr="00154F1D">
        <w:t>of f</w:t>
      </w:r>
      <w:r w:rsidR="00710823" w:rsidRPr="00154F1D">
        <w:t>uture</w:t>
      </w:r>
      <w:r w:rsidR="00AF3554" w:rsidRPr="00154F1D">
        <w:t xml:space="preserve"> risk is problematic.</w:t>
      </w:r>
      <w:r w:rsidR="00AF3554" w:rsidRPr="00154F1D">
        <w:rPr>
          <w:rStyle w:val="FootnoteReference"/>
        </w:rPr>
        <w:footnoteReference w:id="778"/>
      </w:r>
      <w:r w:rsidR="00710823" w:rsidRPr="00154F1D">
        <w:t xml:space="preserve"> </w:t>
      </w:r>
      <w:r w:rsidR="0087591B" w:rsidRPr="00154F1D">
        <w:t>As the TLRI has previously written:</w:t>
      </w:r>
    </w:p>
    <w:p w14:paraId="38C5083A" w14:textId="5324E3E2" w:rsidR="0087591B" w:rsidRPr="00154F1D" w:rsidRDefault="0087591B" w:rsidP="0074267A">
      <w:pPr>
        <w:pStyle w:val="QuoteTLRI"/>
        <w:rPr>
          <w:rFonts w:ascii="Helvetica" w:eastAsiaTheme="minorEastAsia" w:hAnsi="Helvetica"/>
          <w:sz w:val="17"/>
          <w:szCs w:val="17"/>
          <w:lang w:val="en-US"/>
        </w:rPr>
      </w:pPr>
      <w:r w:rsidRPr="00154F1D">
        <w:t>an assessment of the merits and the use of indefinite and preventative detention regimes necessarily involves the balancing of potentially conflicting rights of</w:t>
      </w:r>
      <w:r w:rsidRPr="00154F1D">
        <w:rPr>
          <w:rFonts w:ascii="Helvetica" w:eastAsiaTheme="minorEastAsia" w:hAnsi="Helvetica"/>
          <w:sz w:val="17"/>
          <w:szCs w:val="17"/>
          <w:lang w:val="en-US"/>
        </w:rPr>
        <w:t xml:space="preserve"> </w:t>
      </w:r>
      <w:r w:rsidRPr="00154F1D">
        <w:t>victims, offenders, and society as a whole. This conflict of rights unsurprisingly results in tensions at</w:t>
      </w:r>
      <w:r w:rsidRPr="00154F1D">
        <w:rPr>
          <w:rFonts w:ascii="Helvetica" w:eastAsiaTheme="minorEastAsia" w:hAnsi="Helvetica"/>
          <w:sz w:val="17"/>
          <w:szCs w:val="17"/>
          <w:lang w:val="en-US"/>
        </w:rPr>
        <w:t xml:space="preserve"> </w:t>
      </w:r>
      <w:r w:rsidRPr="00154F1D">
        <w:t>the policy level, as Parliament and the judiciary must grapple with the balance of ostensibly</w:t>
      </w:r>
      <w:r w:rsidRPr="00154F1D">
        <w:rPr>
          <w:rFonts w:ascii="Helvetica" w:eastAsiaTheme="minorEastAsia" w:hAnsi="Helvetica"/>
          <w:sz w:val="17"/>
          <w:szCs w:val="17"/>
          <w:lang w:val="en-US"/>
        </w:rPr>
        <w:t xml:space="preserve"> </w:t>
      </w:r>
      <w:r w:rsidRPr="00154F1D">
        <w:t>irreconcilable interests. Secondly, indefinite and preventative detention regimes are justified as a means of preventing future harm, but the task of predicting future dangerousness is fraught with uncertainty and predictive models have been extensively criticised for a tendency to over-predict risk.</w:t>
      </w:r>
      <w:r w:rsidRPr="00154F1D">
        <w:rPr>
          <w:rStyle w:val="FootnoteReference"/>
        </w:rPr>
        <w:footnoteReference w:id="779"/>
      </w:r>
    </w:p>
    <w:p w14:paraId="503F8A8E" w14:textId="489E63DB" w:rsidR="0087591B" w:rsidRPr="00154F1D" w:rsidRDefault="00B732A5" w:rsidP="00744FAA">
      <w:pPr>
        <w:pStyle w:val="NormalNumberedTextTLRI"/>
        <w:numPr>
          <w:ilvl w:val="0"/>
          <w:numId w:val="0"/>
        </w:numPr>
        <w:rPr>
          <w:lang w:val="en-US"/>
        </w:rPr>
      </w:pPr>
      <w:r w:rsidRPr="00154F1D">
        <w:rPr>
          <w:lang w:val="en-US"/>
        </w:rPr>
        <w:t>Such schemes are also criticised on the basis that they are contrary to international human rights instruments, and for this reason the courts and international tribunal</w:t>
      </w:r>
      <w:r w:rsidR="004D71CE" w:rsidRPr="00154F1D">
        <w:rPr>
          <w:lang w:val="en-US"/>
        </w:rPr>
        <w:t>s</w:t>
      </w:r>
      <w:r w:rsidRPr="00154F1D">
        <w:rPr>
          <w:lang w:val="en-US"/>
        </w:rPr>
        <w:t xml:space="preserve"> have stressed that the power must be exercised only in exceptional circumstances.</w:t>
      </w:r>
      <w:r w:rsidRPr="00154F1D">
        <w:rPr>
          <w:rStyle w:val="FootnoteReference"/>
          <w:lang w:val="en-US"/>
        </w:rPr>
        <w:footnoteReference w:id="780"/>
      </w:r>
    </w:p>
    <w:p w14:paraId="38A7CB14" w14:textId="108D8701" w:rsidR="00467274" w:rsidRPr="00154F1D" w:rsidRDefault="00B732A5" w:rsidP="00744FAA">
      <w:pPr>
        <w:pStyle w:val="NormalNumberedTextTLRI"/>
        <w:rPr>
          <w:b/>
        </w:rPr>
      </w:pPr>
      <w:r w:rsidRPr="00154F1D">
        <w:rPr>
          <w:b/>
        </w:rPr>
        <w:t xml:space="preserve">If a preventative detention scheme is introduced, how should it be structured? </w:t>
      </w:r>
      <w:r w:rsidRPr="00154F1D">
        <w:t xml:space="preserve">This issue was considered in detail by the NSWLRC, which </w:t>
      </w:r>
      <w:r w:rsidR="008C1E6B" w:rsidRPr="00154F1D">
        <w:t>considered four possible mod</w:t>
      </w:r>
      <w:r w:rsidR="00467274" w:rsidRPr="00154F1D">
        <w:t xml:space="preserve">els as set out in Table </w:t>
      </w:r>
      <w:r w:rsidR="003A56C1" w:rsidRPr="00154F1D">
        <w:t>8.</w:t>
      </w:r>
      <w:r w:rsidR="00EE78D8">
        <w:t>10</w:t>
      </w:r>
      <w:r w:rsidR="00467274" w:rsidRPr="00154F1D">
        <w:t>.</w:t>
      </w:r>
      <w:r w:rsidR="00467274" w:rsidRPr="00154F1D">
        <w:rPr>
          <w:rStyle w:val="FootnoteReference"/>
        </w:rPr>
        <w:footnoteReference w:id="781"/>
      </w:r>
    </w:p>
    <w:p w14:paraId="111F2D83" w14:textId="26C8F00E" w:rsidR="00467274" w:rsidRPr="00154F1D" w:rsidRDefault="00467274" w:rsidP="00600DAE">
      <w:pPr>
        <w:pStyle w:val="NumberlessNormalText"/>
        <w:spacing w:after="40"/>
        <w:rPr>
          <w:b/>
        </w:rPr>
      </w:pPr>
      <w:r w:rsidRPr="00154F1D">
        <w:rPr>
          <w:b/>
        </w:rPr>
        <w:t xml:space="preserve">Table </w:t>
      </w:r>
      <w:r w:rsidR="003A56C1" w:rsidRPr="00154F1D">
        <w:rPr>
          <w:b/>
        </w:rPr>
        <w:t>8.</w:t>
      </w:r>
      <w:r w:rsidR="00EE78D8">
        <w:rPr>
          <w:b/>
        </w:rPr>
        <w:t>10</w:t>
      </w:r>
      <w:r w:rsidRPr="00154F1D">
        <w:rPr>
          <w:b/>
        </w:rPr>
        <w:t>:</w:t>
      </w:r>
      <w:r w:rsidR="008266AB" w:rsidRPr="00154F1D">
        <w:rPr>
          <w:b/>
        </w:rPr>
        <w:t xml:space="preserve"> Advantages and disadvantages of models of preventative detention</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82"/>
        <w:gridCol w:w="3159"/>
        <w:gridCol w:w="3159"/>
      </w:tblGrid>
      <w:tr w:rsidR="00F9241A" w:rsidRPr="00154F1D" w14:paraId="081D8CE9" w14:textId="77777777" w:rsidTr="00600DAE">
        <w:trPr>
          <w:tblHeader/>
        </w:trPr>
        <w:tc>
          <w:tcPr>
            <w:tcW w:w="1194" w:type="pct"/>
            <w:vAlign w:val="center"/>
          </w:tcPr>
          <w:p w14:paraId="5F654013" w14:textId="3D053C30" w:rsidR="00467274" w:rsidRPr="00154F1D" w:rsidRDefault="00467274" w:rsidP="004D71CE">
            <w:pPr>
              <w:pStyle w:val="NormalNumberedTextTLRI"/>
              <w:numPr>
                <w:ilvl w:val="0"/>
                <w:numId w:val="0"/>
              </w:numPr>
              <w:spacing w:before="20" w:after="20"/>
              <w:jc w:val="center"/>
              <w:rPr>
                <w:b/>
                <w:sz w:val="20"/>
              </w:rPr>
            </w:pPr>
            <w:r w:rsidRPr="00154F1D">
              <w:rPr>
                <w:b/>
                <w:sz w:val="20"/>
              </w:rPr>
              <w:t>Model</w:t>
            </w:r>
          </w:p>
        </w:tc>
        <w:tc>
          <w:tcPr>
            <w:tcW w:w="1903" w:type="pct"/>
            <w:vAlign w:val="center"/>
          </w:tcPr>
          <w:p w14:paraId="4A5803F9" w14:textId="1F37FEDC" w:rsidR="00467274" w:rsidRPr="00154F1D" w:rsidRDefault="00467274" w:rsidP="004D71CE">
            <w:pPr>
              <w:pStyle w:val="NormalNumberedTextTLRI"/>
              <w:numPr>
                <w:ilvl w:val="0"/>
                <w:numId w:val="0"/>
              </w:numPr>
              <w:spacing w:before="20" w:after="20"/>
              <w:jc w:val="center"/>
              <w:rPr>
                <w:b/>
                <w:sz w:val="20"/>
              </w:rPr>
            </w:pPr>
            <w:r w:rsidRPr="00154F1D">
              <w:rPr>
                <w:b/>
                <w:sz w:val="20"/>
              </w:rPr>
              <w:t>Details</w:t>
            </w:r>
          </w:p>
        </w:tc>
        <w:tc>
          <w:tcPr>
            <w:tcW w:w="1903" w:type="pct"/>
            <w:vAlign w:val="center"/>
          </w:tcPr>
          <w:p w14:paraId="2D9D56F4" w14:textId="70C2EE13" w:rsidR="00467274" w:rsidRPr="00154F1D" w:rsidRDefault="003643B8" w:rsidP="004D71CE">
            <w:pPr>
              <w:pStyle w:val="NormalNumberedTextTLRI"/>
              <w:numPr>
                <w:ilvl w:val="0"/>
                <w:numId w:val="0"/>
              </w:numPr>
              <w:spacing w:before="20" w:after="20"/>
              <w:jc w:val="center"/>
              <w:rPr>
                <w:b/>
                <w:sz w:val="20"/>
              </w:rPr>
            </w:pPr>
            <w:r w:rsidRPr="00154F1D">
              <w:rPr>
                <w:b/>
                <w:sz w:val="20"/>
              </w:rPr>
              <w:t>Advantages/disadvantages of model</w:t>
            </w:r>
          </w:p>
        </w:tc>
      </w:tr>
      <w:tr w:rsidR="00F9241A" w:rsidRPr="00154F1D" w14:paraId="7D01A031" w14:textId="77777777" w:rsidTr="00600DAE">
        <w:tc>
          <w:tcPr>
            <w:tcW w:w="1194" w:type="pct"/>
          </w:tcPr>
          <w:p w14:paraId="70B377F2" w14:textId="45E2E2CA" w:rsidR="00467274" w:rsidRPr="00154F1D" w:rsidRDefault="00467274" w:rsidP="004D71CE">
            <w:pPr>
              <w:pStyle w:val="NormalNumberedTextTLRI"/>
              <w:numPr>
                <w:ilvl w:val="0"/>
                <w:numId w:val="0"/>
              </w:numPr>
              <w:spacing w:before="20" w:after="20"/>
              <w:jc w:val="left"/>
              <w:rPr>
                <w:b/>
                <w:sz w:val="20"/>
              </w:rPr>
            </w:pPr>
            <w:r w:rsidRPr="00154F1D">
              <w:rPr>
                <w:sz w:val="20"/>
              </w:rPr>
              <w:t>Apply or adapt the scheme for continued supervision of high</w:t>
            </w:r>
            <w:r w:rsidR="007D3B83" w:rsidRPr="00154F1D">
              <w:rPr>
                <w:sz w:val="20"/>
              </w:rPr>
              <w:t>-</w:t>
            </w:r>
            <w:r w:rsidRPr="00154F1D">
              <w:rPr>
                <w:sz w:val="20"/>
              </w:rPr>
              <w:t>risk offenders</w:t>
            </w:r>
            <w:r w:rsidR="007D3B83" w:rsidRPr="00154F1D">
              <w:rPr>
                <w:sz w:val="20"/>
              </w:rPr>
              <w:t>.</w:t>
            </w:r>
          </w:p>
        </w:tc>
        <w:tc>
          <w:tcPr>
            <w:tcW w:w="1903" w:type="pct"/>
          </w:tcPr>
          <w:p w14:paraId="79F920CC" w14:textId="2E714511" w:rsidR="00467274" w:rsidRPr="00154F1D" w:rsidRDefault="00F9241A" w:rsidP="004D71CE">
            <w:pPr>
              <w:pStyle w:val="NormalNumberedTextTLRI"/>
              <w:numPr>
                <w:ilvl w:val="0"/>
                <w:numId w:val="33"/>
              </w:numPr>
              <w:spacing w:before="20" w:after="20"/>
              <w:ind w:left="318" w:hanging="318"/>
              <w:jc w:val="left"/>
              <w:rPr>
                <w:sz w:val="20"/>
              </w:rPr>
            </w:pPr>
            <w:r w:rsidRPr="00154F1D">
              <w:rPr>
                <w:sz w:val="20"/>
              </w:rPr>
              <w:t xml:space="preserve">The </w:t>
            </w:r>
            <w:r w:rsidRPr="00154F1D">
              <w:rPr>
                <w:i/>
                <w:sz w:val="20"/>
              </w:rPr>
              <w:t xml:space="preserve">Crimes (High Risk Offenders) Act 2006 </w:t>
            </w:r>
            <w:r w:rsidRPr="00154F1D">
              <w:rPr>
                <w:sz w:val="20"/>
              </w:rPr>
              <w:t>(NSW) provides for the continued supervision or detention for high</w:t>
            </w:r>
            <w:r w:rsidR="007D3B83" w:rsidRPr="00154F1D">
              <w:rPr>
                <w:sz w:val="20"/>
              </w:rPr>
              <w:t>-</w:t>
            </w:r>
            <w:r w:rsidRPr="00154F1D">
              <w:rPr>
                <w:sz w:val="20"/>
              </w:rPr>
              <w:t xml:space="preserve">risk sex or violent offenders who are due to be released. </w:t>
            </w:r>
          </w:p>
          <w:p w14:paraId="300D6CAF" w14:textId="18E8D722" w:rsidR="000C5509" w:rsidRPr="00154F1D" w:rsidRDefault="00BA2E28" w:rsidP="004D71CE">
            <w:pPr>
              <w:pStyle w:val="NormalNumberedTextTLRI"/>
              <w:numPr>
                <w:ilvl w:val="0"/>
                <w:numId w:val="33"/>
              </w:numPr>
              <w:spacing w:before="20" w:after="20"/>
              <w:ind w:left="318" w:hanging="318"/>
              <w:jc w:val="left"/>
              <w:rPr>
                <w:sz w:val="20"/>
              </w:rPr>
            </w:pPr>
            <w:r w:rsidRPr="00154F1D">
              <w:rPr>
                <w:sz w:val="20"/>
              </w:rPr>
              <w:t>This model could be adapted to manage forensic patients who present a risk of harm</w:t>
            </w:r>
            <w:r w:rsidR="003643B8" w:rsidRPr="00154F1D">
              <w:rPr>
                <w:sz w:val="20"/>
              </w:rPr>
              <w:t>.</w:t>
            </w:r>
            <w:r w:rsidR="000C5509" w:rsidRPr="00154F1D">
              <w:rPr>
                <w:sz w:val="20"/>
              </w:rPr>
              <w:t xml:space="preserve"> The nature of the risk would need to be differently framed given that forensic patients have not been convicted of an offence.</w:t>
            </w:r>
          </w:p>
        </w:tc>
        <w:tc>
          <w:tcPr>
            <w:tcW w:w="1903" w:type="pct"/>
          </w:tcPr>
          <w:p w14:paraId="5203BB56" w14:textId="77777777" w:rsidR="00467274" w:rsidRPr="00154F1D" w:rsidRDefault="003643B8" w:rsidP="004D71CE">
            <w:pPr>
              <w:pStyle w:val="NormalNumberedTextTLRI"/>
              <w:numPr>
                <w:ilvl w:val="0"/>
                <w:numId w:val="33"/>
              </w:numPr>
              <w:spacing w:before="20" w:after="20"/>
              <w:ind w:left="283" w:hanging="283"/>
              <w:jc w:val="left"/>
              <w:rPr>
                <w:sz w:val="20"/>
              </w:rPr>
            </w:pPr>
            <w:r w:rsidRPr="00154F1D">
              <w:rPr>
                <w:sz w:val="20"/>
              </w:rPr>
              <w:t>Decision to extend detention is made by Supreme Court.</w:t>
            </w:r>
          </w:p>
          <w:p w14:paraId="2F6DD056" w14:textId="6B223016" w:rsidR="003643B8" w:rsidRPr="00154F1D" w:rsidRDefault="003643B8" w:rsidP="004D71CE">
            <w:pPr>
              <w:pStyle w:val="NormalNumberedTextTLRI"/>
              <w:numPr>
                <w:ilvl w:val="0"/>
                <w:numId w:val="33"/>
              </w:numPr>
              <w:spacing w:before="20" w:after="20"/>
              <w:ind w:left="283" w:hanging="283"/>
              <w:jc w:val="left"/>
              <w:rPr>
                <w:sz w:val="20"/>
              </w:rPr>
            </w:pPr>
            <w:r w:rsidRPr="00154F1D">
              <w:rPr>
                <w:sz w:val="20"/>
              </w:rPr>
              <w:t>Safeguards having two independent experts review the person and high threshold for making the order</w:t>
            </w:r>
            <w:r w:rsidR="007D3B83" w:rsidRPr="00154F1D">
              <w:rPr>
                <w:sz w:val="20"/>
              </w:rPr>
              <w:t>.</w:t>
            </w:r>
          </w:p>
          <w:p w14:paraId="0E0F5376" w14:textId="7FA6C888" w:rsidR="003643B8" w:rsidRPr="00154F1D" w:rsidRDefault="003643B8" w:rsidP="004D71CE">
            <w:pPr>
              <w:pStyle w:val="NormalNumberedTextTLRI"/>
              <w:numPr>
                <w:ilvl w:val="0"/>
                <w:numId w:val="33"/>
              </w:numPr>
              <w:spacing w:before="20" w:after="20"/>
              <w:ind w:left="283" w:hanging="283"/>
              <w:jc w:val="left"/>
              <w:rPr>
                <w:sz w:val="20"/>
              </w:rPr>
            </w:pPr>
            <w:r w:rsidRPr="00154F1D">
              <w:rPr>
                <w:sz w:val="20"/>
              </w:rPr>
              <w:t>Consistency in processes and procedure between forensic patients and convicted offenders</w:t>
            </w:r>
            <w:r w:rsidR="007D3B83" w:rsidRPr="00154F1D">
              <w:rPr>
                <w:sz w:val="20"/>
              </w:rPr>
              <w:t>.</w:t>
            </w:r>
          </w:p>
        </w:tc>
      </w:tr>
      <w:tr w:rsidR="00F9241A" w:rsidRPr="00154F1D" w14:paraId="37BED8FA" w14:textId="77777777" w:rsidTr="00600DAE">
        <w:tc>
          <w:tcPr>
            <w:tcW w:w="1194" w:type="pct"/>
          </w:tcPr>
          <w:p w14:paraId="426B7F32" w14:textId="22DE3661" w:rsidR="00467274" w:rsidRPr="00154F1D" w:rsidRDefault="00467274" w:rsidP="004D71CE">
            <w:pPr>
              <w:pStyle w:val="NormalNumberedTextTLRI"/>
              <w:numPr>
                <w:ilvl w:val="0"/>
                <w:numId w:val="0"/>
              </w:numPr>
              <w:spacing w:before="20" w:after="20"/>
              <w:jc w:val="left"/>
              <w:rPr>
                <w:b/>
                <w:sz w:val="20"/>
              </w:rPr>
            </w:pPr>
            <w:r w:rsidRPr="00154F1D">
              <w:rPr>
                <w:sz w:val="20"/>
              </w:rPr>
              <w:t>Allow the Mental Health Review Tribunal to classify the person as a ‘compulsory patient’ to provide for continued detention or supervision in the community.</w:t>
            </w:r>
          </w:p>
        </w:tc>
        <w:tc>
          <w:tcPr>
            <w:tcW w:w="1903" w:type="pct"/>
          </w:tcPr>
          <w:p w14:paraId="30FB83B2" w14:textId="55959D9C" w:rsidR="00467274" w:rsidRPr="00154F1D" w:rsidRDefault="003643B8" w:rsidP="004D71CE">
            <w:pPr>
              <w:pStyle w:val="NormalNumberedTextTLRI"/>
              <w:numPr>
                <w:ilvl w:val="0"/>
                <w:numId w:val="33"/>
              </w:numPr>
              <w:spacing w:before="20" w:after="20"/>
              <w:ind w:left="318" w:hanging="318"/>
              <w:jc w:val="left"/>
              <w:rPr>
                <w:sz w:val="20"/>
              </w:rPr>
            </w:pPr>
            <w:r w:rsidRPr="00154F1D">
              <w:rPr>
                <w:sz w:val="20"/>
              </w:rPr>
              <w:t>Allow the MHRT to make the decision to classify the person as a ‘compulsory patient’ to allow for continued detention in a mental health facility or discharge into the community under supervision.</w:t>
            </w:r>
          </w:p>
        </w:tc>
        <w:tc>
          <w:tcPr>
            <w:tcW w:w="1903" w:type="pct"/>
          </w:tcPr>
          <w:p w14:paraId="2EB5CD1F" w14:textId="77777777" w:rsidR="00467274" w:rsidRPr="00154F1D" w:rsidRDefault="003643B8" w:rsidP="004D71CE">
            <w:pPr>
              <w:pStyle w:val="NormalNumberedTextTLRI"/>
              <w:numPr>
                <w:ilvl w:val="0"/>
                <w:numId w:val="33"/>
              </w:numPr>
              <w:spacing w:before="20" w:after="20"/>
              <w:ind w:left="283" w:hanging="283"/>
              <w:jc w:val="left"/>
              <w:rPr>
                <w:sz w:val="20"/>
              </w:rPr>
            </w:pPr>
            <w:r w:rsidRPr="00154F1D">
              <w:rPr>
                <w:sz w:val="20"/>
              </w:rPr>
              <w:t xml:space="preserve">Concerns </w:t>
            </w:r>
            <w:r w:rsidR="00BC20C3" w:rsidRPr="00154F1D">
              <w:rPr>
                <w:sz w:val="20"/>
              </w:rPr>
              <w:t>regarding lack of judicial safeguard.</w:t>
            </w:r>
          </w:p>
          <w:p w14:paraId="70E6D64E" w14:textId="5D949E84" w:rsidR="00BC20C3" w:rsidRPr="00154F1D" w:rsidRDefault="00BC20C3" w:rsidP="004D71CE">
            <w:pPr>
              <w:pStyle w:val="NormalNumberedTextTLRI"/>
              <w:numPr>
                <w:ilvl w:val="0"/>
                <w:numId w:val="33"/>
              </w:numPr>
              <w:spacing w:before="20" w:after="20"/>
              <w:ind w:left="283" w:hanging="283"/>
              <w:jc w:val="left"/>
              <w:rPr>
                <w:sz w:val="20"/>
              </w:rPr>
            </w:pPr>
            <w:r w:rsidRPr="00154F1D">
              <w:rPr>
                <w:sz w:val="20"/>
              </w:rPr>
              <w:t>No general system of preventative detention for convicted offenders who pose a risk of harm at the end of their sentence and so a system for forensic patient may operate to treat people with cognitive and mental health impairments in a discriminatory manner.</w:t>
            </w:r>
          </w:p>
          <w:p w14:paraId="42127F24" w14:textId="7F05E612" w:rsidR="00BC20C3" w:rsidRPr="00154F1D" w:rsidRDefault="00BC20C3" w:rsidP="004D71CE">
            <w:pPr>
              <w:pStyle w:val="NormalNumberedTextTLRI"/>
              <w:numPr>
                <w:ilvl w:val="0"/>
                <w:numId w:val="33"/>
              </w:numPr>
              <w:spacing w:before="20" w:after="20"/>
              <w:ind w:left="283" w:hanging="283"/>
              <w:jc w:val="left"/>
              <w:rPr>
                <w:sz w:val="20"/>
              </w:rPr>
            </w:pPr>
            <w:r w:rsidRPr="00154F1D">
              <w:rPr>
                <w:sz w:val="20"/>
              </w:rPr>
              <w:t>However, this model would be developed specially for forensic patients rather than being an adaption of a scheme designed for convicted high</w:t>
            </w:r>
            <w:r w:rsidR="007D3B83" w:rsidRPr="00154F1D">
              <w:rPr>
                <w:sz w:val="20"/>
              </w:rPr>
              <w:t>-</w:t>
            </w:r>
            <w:r w:rsidRPr="00154F1D">
              <w:rPr>
                <w:sz w:val="20"/>
              </w:rPr>
              <w:t>risk offenders.</w:t>
            </w:r>
          </w:p>
          <w:p w14:paraId="3BF81809" w14:textId="2689EB48" w:rsidR="00BC20C3" w:rsidRPr="00154F1D" w:rsidRDefault="00BC20C3" w:rsidP="004D71CE">
            <w:pPr>
              <w:pStyle w:val="NormalNumberedTextTLRI"/>
              <w:numPr>
                <w:ilvl w:val="0"/>
                <w:numId w:val="33"/>
              </w:numPr>
              <w:spacing w:before="20" w:after="20"/>
              <w:ind w:left="283" w:hanging="283"/>
              <w:jc w:val="left"/>
              <w:rPr>
                <w:sz w:val="20"/>
              </w:rPr>
            </w:pPr>
            <w:r w:rsidRPr="00154F1D">
              <w:rPr>
                <w:sz w:val="20"/>
              </w:rPr>
              <w:t>Allows for ongoing supervision and review by the MHRT</w:t>
            </w:r>
            <w:r w:rsidR="001961C6" w:rsidRPr="00154F1D">
              <w:rPr>
                <w:sz w:val="20"/>
              </w:rPr>
              <w:t>.</w:t>
            </w:r>
          </w:p>
        </w:tc>
      </w:tr>
      <w:tr w:rsidR="00F9241A" w:rsidRPr="00154F1D" w14:paraId="413EED43" w14:textId="77777777" w:rsidTr="00600DAE">
        <w:tc>
          <w:tcPr>
            <w:tcW w:w="1194" w:type="pct"/>
          </w:tcPr>
          <w:p w14:paraId="2F96C224" w14:textId="3FCA8ED7" w:rsidR="00467274" w:rsidRPr="00154F1D" w:rsidRDefault="00467274" w:rsidP="004D71CE">
            <w:pPr>
              <w:pStyle w:val="NormalNumberedTextTLRI"/>
              <w:numPr>
                <w:ilvl w:val="0"/>
                <w:numId w:val="0"/>
              </w:numPr>
              <w:spacing w:before="20" w:after="20"/>
              <w:jc w:val="left"/>
              <w:rPr>
                <w:b/>
                <w:sz w:val="20"/>
              </w:rPr>
            </w:pPr>
            <w:r w:rsidRPr="00154F1D">
              <w:rPr>
                <w:sz w:val="20"/>
              </w:rPr>
              <w:t>Amend the limiting term provision to provide that the court must release a patient unless satisfied that the release of the person will seriously endanger the public</w:t>
            </w:r>
            <w:r w:rsidR="007D3B83" w:rsidRPr="00154F1D">
              <w:rPr>
                <w:sz w:val="20"/>
              </w:rPr>
              <w:t>.</w:t>
            </w:r>
          </w:p>
        </w:tc>
        <w:tc>
          <w:tcPr>
            <w:tcW w:w="1903" w:type="pct"/>
          </w:tcPr>
          <w:p w14:paraId="45A2B851" w14:textId="1185EAD0" w:rsidR="00467274" w:rsidRPr="00154F1D" w:rsidRDefault="006573A0" w:rsidP="004D71CE">
            <w:pPr>
              <w:pStyle w:val="NormalNumberedTextTLRI"/>
              <w:numPr>
                <w:ilvl w:val="0"/>
                <w:numId w:val="34"/>
              </w:numPr>
              <w:spacing w:before="20" w:after="20"/>
              <w:ind w:left="318" w:hanging="318"/>
              <w:jc w:val="left"/>
              <w:rPr>
                <w:sz w:val="20"/>
              </w:rPr>
            </w:pPr>
            <w:r w:rsidRPr="00154F1D">
              <w:rPr>
                <w:sz w:val="20"/>
              </w:rPr>
              <w:t>P</w:t>
            </w:r>
            <w:r w:rsidR="001961C6" w:rsidRPr="00154F1D">
              <w:rPr>
                <w:sz w:val="20"/>
              </w:rPr>
              <w:t xml:space="preserve">rovides the </w:t>
            </w:r>
            <w:r w:rsidRPr="00154F1D">
              <w:rPr>
                <w:sz w:val="20"/>
              </w:rPr>
              <w:t>MHRT</w:t>
            </w:r>
            <w:r w:rsidR="001961C6" w:rsidRPr="00154F1D">
              <w:rPr>
                <w:sz w:val="20"/>
              </w:rPr>
              <w:t xml:space="preserve"> with a discretion to </w:t>
            </w:r>
            <w:r w:rsidRPr="00154F1D">
              <w:rPr>
                <w:sz w:val="20"/>
              </w:rPr>
              <w:t xml:space="preserve">extend the limiting term for </w:t>
            </w:r>
            <w:r w:rsidR="001E0CE7">
              <w:rPr>
                <w:sz w:val="20"/>
              </w:rPr>
              <w:t>individuals</w:t>
            </w:r>
            <w:r w:rsidR="001E0CE7" w:rsidRPr="00154F1D">
              <w:rPr>
                <w:sz w:val="20"/>
              </w:rPr>
              <w:t xml:space="preserve"> </w:t>
            </w:r>
            <w:r w:rsidRPr="00154F1D">
              <w:rPr>
                <w:sz w:val="20"/>
              </w:rPr>
              <w:t>if they present a clear risk</w:t>
            </w:r>
            <w:r w:rsidR="007D3B83" w:rsidRPr="00154F1D">
              <w:rPr>
                <w:sz w:val="20"/>
              </w:rPr>
              <w:t>.</w:t>
            </w:r>
          </w:p>
        </w:tc>
        <w:tc>
          <w:tcPr>
            <w:tcW w:w="1903" w:type="pct"/>
          </w:tcPr>
          <w:p w14:paraId="383233F4" w14:textId="0ADA87D8" w:rsidR="00467274" w:rsidRPr="00154F1D" w:rsidRDefault="006573A0" w:rsidP="004D71CE">
            <w:pPr>
              <w:pStyle w:val="NormalNumberedTextTLRI"/>
              <w:numPr>
                <w:ilvl w:val="0"/>
                <w:numId w:val="34"/>
              </w:numPr>
              <w:spacing w:before="20" w:after="20"/>
              <w:ind w:left="283" w:hanging="283"/>
              <w:jc w:val="left"/>
              <w:rPr>
                <w:sz w:val="20"/>
              </w:rPr>
            </w:pPr>
            <w:r w:rsidRPr="00154F1D">
              <w:rPr>
                <w:sz w:val="20"/>
              </w:rPr>
              <w:t>Greater flexibility tha</w:t>
            </w:r>
            <w:r w:rsidR="007D3B83" w:rsidRPr="00154F1D">
              <w:rPr>
                <w:sz w:val="20"/>
              </w:rPr>
              <w:t>n</w:t>
            </w:r>
            <w:r w:rsidRPr="00154F1D">
              <w:rPr>
                <w:sz w:val="20"/>
              </w:rPr>
              <w:t xml:space="preserve"> having a limiting term tha</w:t>
            </w:r>
            <w:r w:rsidR="007D3B83" w:rsidRPr="00154F1D">
              <w:rPr>
                <w:sz w:val="20"/>
              </w:rPr>
              <w:t>t</w:t>
            </w:r>
            <w:r w:rsidRPr="00154F1D">
              <w:rPr>
                <w:sz w:val="20"/>
              </w:rPr>
              <w:t xml:space="preserve"> cannot be extended.</w:t>
            </w:r>
          </w:p>
          <w:p w14:paraId="0E85E215" w14:textId="60DA65CE" w:rsidR="006573A0" w:rsidRPr="00154F1D" w:rsidRDefault="006573A0" w:rsidP="004D71CE">
            <w:pPr>
              <w:pStyle w:val="NormalNumberedTextTLRI"/>
              <w:numPr>
                <w:ilvl w:val="0"/>
                <w:numId w:val="34"/>
              </w:numPr>
              <w:spacing w:before="20" w:after="20"/>
              <w:ind w:left="283" w:hanging="283"/>
              <w:jc w:val="left"/>
              <w:rPr>
                <w:sz w:val="20"/>
              </w:rPr>
            </w:pPr>
            <w:r w:rsidRPr="00154F1D">
              <w:rPr>
                <w:sz w:val="20"/>
              </w:rPr>
              <w:t>However, may be viewed as effectively removing the limiting term as there will no longer be a definite end date for release for any forensic patients.</w:t>
            </w:r>
          </w:p>
        </w:tc>
      </w:tr>
      <w:tr w:rsidR="00F9241A" w:rsidRPr="00154F1D" w14:paraId="2C6705F6" w14:textId="77777777" w:rsidTr="00600DAE">
        <w:tc>
          <w:tcPr>
            <w:tcW w:w="1194" w:type="pct"/>
          </w:tcPr>
          <w:p w14:paraId="2620EE92" w14:textId="4320E4B4" w:rsidR="00467274" w:rsidRPr="00154F1D" w:rsidRDefault="00467274" w:rsidP="004D71CE">
            <w:pPr>
              <w:pStyle w:val="NormalNumberedTextTLRI"/>
              <w:numPr>
                <w:ilvl w:val="0"/>
                <w:numId w:val="0"/>
              </w:numPr>
              <w:spacing w:before="20" w:after="20"/>
              <w:jc w:val="left"/>
              <w:rPr>
                <w:b/>
                <w:sz w:val="20"/>
              </w:rPr>
            </w:pPr>
            <w:r w:rsidRPr="00154F1D">
              <w:rPr>
                <w:sz w:val="20"/>
              </w:rPr>
              <w:t>Change the civil scheme of involuntary detention to include people with cognitive impairments</w:t>
            </w:r>
            <w:r w:rsidR="003E385B">
              <w:rPr>
                <w:sz w:val="20"/>
              </w:rPr>
              <w:t>.</w:t>
            </w:r>
          </w:p>
        </w:tc>
        <w:tc>
          <w:tcPr>
            <w:tcW w:w="1903" w:type="pct"/>
          </w:tcPr>
          <w:p w14:paraId="586D189A" w14:textId="787D661F" w:rsidR="00467274" w:rsidRPr="00154F1D" w:rsidRDefault="006573A0" w:rsidP="004D71CE">
            <w:pPr>
              <w:pStyle w:val="NormalNumberedTextTLRI"/>
              <w:numPr>
                <w:ilvl w:val="0"/>
                <w:numId w:val="35"/>
              </w:numPr>
              <w:spacing w:before="20" w:after="20"/>
              <w:ind w:left="318" w:hanging="318"/>
              <w:jc w:val="left"/>
              <w:rPr>
                <w:sz w:val="20"/>
              </w:rPr>
            </w:pPr>
            <w:r w:rsidRPr="00154F1D">
              <w:rPr>
                <w:sz w:val="20"/>
              </w:rPr>
              <w:t>Amend the civil scheme of involuntary detention for people with cognitive impairments by allowing for a parallel scheme for involuntary detention</w:t>
            </w:r>
            <w:r w:rsidR="009D5213" w:rsidRPr="00154F1D">
              <w:rPr>
                <w:sz w:val="20"/>
              </w:rPr>
              <w:t>.</w:t>
            </w:r>
            <w:r w:rsidR="009D5213" w:rsidRPr="00154F1D">
              <w:rPr>
                <w:rStyle w:val="FootnoteReference"/>
              </w:rPr>
              <w:footnoteReference w:id="782"/>
            </w:r>
          </w:p>
        </w:tc>
        <w:tc>
          <w:tcPr>
            <w:tcW w:w="1903" w:type="pct"/>
          </w:tcPr>
          <w:p w14:paraId="6C55A34F" w14:textId="123CA656" w:rsidR="00467274" w:rsidRPr="00154F1D" w:rsidRDefault="006573A0" w:rsidP="004D71CE">
            <w:pPr>
              <w:pStyle w:val="NormalNumberedTextTLRI"/>
              <w:numPr>
                <w:ilvl w:val="0"/>
                <w:numId w:val="0"/>
              </w:numPr>
              <w:spacing w:before="20" w:after="20"/>
              <w:jc w:val="left"/>
              <w:rPr>
                <w:sz w:val="20"/>
              </w:rPr>
            </w:pPr>
            <w:r w:rsidRPr="00154F1D">
              <w:rPr>
                <w:sz w:val="20"/>
              </w:rPr>
              <w:t xml:space="preserve">Significant resource implications to create a civil </w:t>
            </w:r>
            <w:r w:rsidR="00304FFE" w:rsidRPr="00154F1D">
              <w:rPr>
                <w:sz w:val="20"/>
              </w:rPr>
              <w:t xml:space="preserve">detention </w:t>
            </w:r>
            <w:r w:rsidRPr="00154F1D">
              <w:rPr>
                <w:sz w:val="20"/>
              </w:rPr>
              <w:t>scheme for the involuntary detention of people with cognitive impairments</w:t>
            </w:r>
            <w:r w:rsidR="000C5509" w:rsidRPr="00154F1D">
              <w:rPr>
                <w:sz w:val="20"/>
              </w:rPr>
              <w:t>.</w:t>
            </w:r>
          </w:p>
        </w:tc>
      </w:tr>
    </w:tbl>
    <w:p w14:paraId="0F43D09C" w14:textId="7CDADF06" w:rsidR="009F509B" w:rsidRPr="00154F1D" w:rsidRDefault="000B279C" w:rsidP="00744FAA">
      <w:pPr>
        <w:pStyle w:val="NormalNumberedTextTLRI"/>
        <w:rPr>
          <w:b/>
        </w:rPr>
      </w:pPr>
      <w:r w:rsidRPr="00154F1D">
        <w:t xml:space="preserve">After considering these options, the NSWLRC recommended (and the </w:t>
      </w:r>
      <w:r w:rsidR="003E385B">
        <w:t>P</w:t>
      </w:r>
      <w:r w:rsidRPr="00154F1D">
        <w:t>arliament adopted) a model that was consistent with the provisions that apply to offenders who are subject to a sentence of imprisonment but adapted to accommodate the management of forensic patients. This was a hybrid of the scheme that applied for continued supervision of high</w:t>
      </w:r>
      <w:r w:rsidR="00CF2B73" w:rsidRPr="00154F1D">
        <w:t>-</w:t>
      </w:r>
      <w:r w:rsidRPr="00154F1D">
        <w:t>risk offenders and the scheme that would have decision-making power rest with the Mental Health Review Tribunal</w:t>
      </w:r>
      <w:r w:rsidR="000C5509" w:rsidRPr="00154F1D">
        <w:t xml:space="preserve"> (as outlined above)</w:t>
      </w:r>
      <w:r w:rsidRPr="00154F1D">
        <w:t>.</w:t>
      </w:r>
      <w:r w:rsidRPr="00154F1D">
        <w:rPr>
          <w:rStyle w:val="FootnoteReference"/>
        </w:rPr>
        <w:footnoteReference w:id="783"/>
      </w:r>
      <w:r w:rsidRPr="00154F1D">
        <w:t xml:space="preserve"> </w:t>
      </w:r>
    </w:p>
    <w:p w14:paraId="3792015A" w14:textId="1D29BD1E" w:rsidR="000C5509" w:rsidRPr="00154F1D" w:rsidRDefault="001961C6" w:rsidP="00744FAA">
      <w:pPr>
        <w:pStyle w:val="NormalNumberedTextTLRI"/>
        <w:rPr>
          <w:b/>
        </w:rPr>
      </w:pPr>
      <w:r w:rsidRPr="00154F1D">
        <w:t xml:space="preserve">Key features </w:t>
      </w:r>
      <w:r w:rsidR="009F509B" w:rsidRPr="00154F1D">
        <w:t xml:space="preserve">of the NSW model </w:t>
      </w:r>
      <w:r w:rsidRPr="00154F1D">
        <w:t>are that</w:t>
      </w:r>
      <w:r w:rsidR="000C5509" w:rsidRPr="00154F1D">
        <w:t>:</w:t>
      </w:r>
    </w:p>
    <w:p w14:paraId="0857BAA0" w14:textId="2F74753E" w:rsidR="000C5509" w:rsidRPr="00154F1D" w:rsidRDefault="001961C6" w:rsidP="00CF2B73">
      <w:pPr>
        <w:pStyle w:val="DotPointTLRI"/>
        <w:ind w:left="851" w:hanging="425"/>
      </w:pPr>
      <w:r w:rsidRPr="00154F1D">
        <w:t xml:space="preserve">the Supreme Court makes the order on the basis of </w:t>
      </w:r>
      <w:r w:rsidR="000C5509" w:rsidRPr="00154F1D">
        <w:t>a twofold assessment of the unacceptable risk of serious harm to others posed by the forensic patient if released from detention or supervision and the inadequacy of other less restrict</w:t>
      </w:r>
      <w:r w:rsidR="009F509B" w:rsidRPr="00154F1D">
        <w:t>ive means of managing the risk</w:t>
      </w:r>
      <w:r w:rsidRPr="00154F1D">
        <w:t xml:space="preserve">. </w:t>
      </w:r>
    </w:p>
    <w:p w14:paraId="1021D37D" w14:textId="2164BF2D" w:rsidR="000C5509" w:rsidRPr="00154F1D" w:rsidRDefault="00446A5B" w:rsidP="00CF2B73">
      <w:pPr>
        <w:pStyle w:val="DotPointTLRI"/>
        <w:ind w:left="851" w:hanging="425"/>
        <w:rPr>
          <w:rStyle w:val="FootnoteReference"/>
          <w:rFonts w:eastAsia="Times"/>
          <w:sz w:val="22"/>
          <w:vertAlign w:val="baseline"/>
        </w:rPr>
      </w:pPr>
      <w:r w:rsidRPr="00154F1D">
        <w:t>considerations</w:t>
      </w:r>
      <w:r w:rsidR="000C5509" w:rsidRPr="00154F1D">
        <w:t xml:space="preserve"> that the court has regard to include: the saf</w:t>
      </w:r>
      <w:r w:rsidRPr="00154F1D">
        <w:t>e</w:t>
      </w:r>
      <w:r w:rsidR="000C5509" w:rsidRPr="00154F1D">
        <w:t>ty of the community, expert reports, any orders or decisions of the MHRT, the person’s level of compliance with any obligations imposed while they are a forensic pa</w:t>
      </w:r>
      <w:r w:rsidRPr="00154F1D">
        <w:t>ti</w:t>
      </w:r>
      <w:r w:rsidR="000C5509" w:rsidRPr="00154F1D">
        <w:t xml:space="preserve">ent, </w:t>
      </w:r>
      <w:r w:rsidRPr="00154F1D">
        <w:t>especially</w:t>
      </w:r>
      <w:r w:rsidR="000C5509" w:rsidRPr="00154F1D">
        <w:t xml:space="preserve"> </w:t>
      </w:r>
      <w:r w:rsidRPr="00154F1D">
        <w:t>while</w:t>
      </w:r>
      <w:r w:rsidR="000C5509" w:rsidRPr="00154F1D">
        <w:t xml:space="preserve"> they were on leave or </w:t>
      </w:r>
      <w:r w:rsidRPr="00154F1D">
        <w:t>conditional</w:t>
      </w:r>
      <w:r w:rsidR="000C5509" w:rsidRPr="00154F1D">
        <w:t xml:space="preserve"> rel</w:t>
      </w:r>
      <w:r w:rsidRPr="00154F1D">
        <w:t>e</w:t>
      </w:r>
      <w:r w:rsidR="000C5509" w:rsidRPr="00154F1D">
        <w:t xml:space="preserve">ase; the view </w:t>
      </w:r>
      <w:r w:rsidRPr="00154F1D">
        <w:t>of</w:t>
      </w:r>
      <w:r w:rsidR="000C5509" w:rsidRPr="00154F1D">
        <w:t xml:space="preserve"> the </w:t>
      </w:r>
      <w:r w:rsidRPr="00154F1D">
        <w:t>court</w:t>
      </w:r>
      <w:r w:rsidR="000C5509" w:rsidRPr="00154F1D">
        <w:t xml:space="preserve"> at the time the lim</w:t>
      </w:r>
      <w:r w:rsidRPr="00154F1D">
        <w:t>i</w:t>
      </w:r>
      <w:r w:rsidR="000C5509" w:rsidRPr="00154F1D">
        <w:t xml:space="preserve">ting term was imposed and a report from the forensic patient’s </w:t>
      </w:r>
      <w:r w:rsidRPr="00154F1D">
        <w:t>treatment</w:t>
      </w:r>
      <w:r w:rsidR="000C5509" w:rsidRPr="00154F1D">
        <w:t xml:space="preserve"> team which would </w:t>
      </w:r>
      <w:r w:rsidRPr="00154F1D">
        <w:t>inc</w:t>
      </w:r>
      <w:r w:rsidR="000C5509" w:rsidRPr="00154F1D">
        <w:t>lude in</w:t>
      </w:r>
      <w:r w:rsidRPr="00154F1D">
        <w:t>f</w:t>
      </w:r>
      <w:r w:rsidR="000C5509" w:rsidRPr="00154F1D">
        <w:t>o</w:t>
      </w:r>
      <w:r w:rsidRPr="00154F1D">
        <w:t>rm</w:t>
      </w:r>
      <w:r w:rsidR="000C5509" w:rsidRPr="00154F1D">
        <w:t xml:space="preserve">ation about the need for ongoing </w:t>
      </w:r>
      <w:r w:rsidRPr="00154F1D">
        <w:t xml:space="preserve">management </w:t>
      </w:r>
      <w:r w:rsidR="000C5509" w:rsidRPr="00154F1D">
        <w:t xml:space="preserve">of the person and the reasons why </w:t>
      </w:r>
      <w:r w:rsidRPr="00154F1D">
        <w:t>arrangements</w:t>
      </w:r>
      <w:r w:rsidR="000C5509" w:rsidRPr="00154F1D">
        <w:t xml:space="preserve"> that do not involve continued </w:t>
      </w:r>
      <w:r w:rsidRPr="00154F1D">
        <w:t>supervision</w:t>
      </w:r>
      <w:r w:rsidR="000C5509" w:rsidRPr="00154F1D">
        <w:t xml:space="preserve"> nor </w:t>
      </w:r>
      <w:r w:rsidR="00CF2B73" w:rsidRPr="00154F1D">
        <w:t xml:space="preserve">detention </w:t>
      </w:r>
      <w:r w:rsidR="000C5509" w:rsidRPr="00154F1D">
        <w:t xml:space="preserve">are not </w:t>
      </w:r>
      <w:r w:rsidRPr="00154F1D">
        <w:t>appropriate</w:t>
      </w:r>
      <w:r w:rsidR="000C5509" w:rsidRPr="00154F1D">
        <w:rPr>
          <w:rStyle w:val="FootnoteReference"/>
          <w:rFonts w:eastAsia="Times"/>
          <w:sz w:val="22"/>
          <w:vertAlign w:val="baseline"/>
        </w:rPr>
        <w:t>.</w:t>
      </w:r>
      <w:r w:rsidR="000C5509" w:rsidRPr="00154F1D">
        <w:rPr>
          <w:rStyle w:val="FootnoteReference"/>
          <w:rFonts w:eastAsia="Times"/>
        </w:rPr>
        <w:footnoteReference w:id="784"/>
      </w:r>
    </w:p>
    <w:p w14:paraId="12C8E3C0" w14:textId="193E4F47" w:rsidR="00446A5B" w:rsidRPr="00154F1D" w:rsidRDefault="00446A5B" w:rsidP="00CF2B73">
      <w:pPr>
        <w:pStyle w:val="DotPointTLRI"/>
        <w:ind w:left="851" w:hanging="425"/>
      </w:pPr>
      <w:r w:rsidRPr="00154F1D">
        <w:t>the term of extension order is five years subject to further extension.</w:t>
      </w:r>
    </w:p>
    <w:p w14:paraId="4DFA5FE9" w14:textId="5672602D" w:rsidR="00446A5B" w:rsidRPr="00154F1D" w:rsidRDefault="00446A5B" w:rsidP="00CF2B73">
      <w:pPr>
        <w:pStyle w:val="DotPointTLRI"/>
        <w:ind w:left="851" w:hanging="425"/>
      </w:pPr>
      <w:r w:rsidRPr="00154F1D">
        <w:t>the MHRT conducts regular revi</w:t>
      </w:r>
      <w:r w:rsidR="001D0C94" w:rsidRPr="00154F1D">
        <w:t>ews.</w:t>
      </w:r>
    </w:p>
    <w:p w14:paraId="462361F9" w14:textId="4AE5CD3C" w:rsidR="001D0C94" w:rsidRPr="00154F1D" w:rsidRDefault="001D0C94" w:rsidP="00CF2B73">
      <w:pPr>
        <w:pStyle w:val="DotPointTLRI"/>
        <w:ind w:left="851" w:hanging="425"/>
      </w:pPr>
      <w:r w:rsidRPr="00154F1D">
        <w:t>the Supreme Court can revoke the extension order on the ground that circumstances have changed significantly so as to render the extension order unnecessary.</w:t>
      </w:r>
    </w:p>
    <w:p w14:paraId="26FCE97D" w14:textId="7D00D5F7" w:rsidR="0087591B" w:rsidRPr="00154F1D" w:rsidRDefault="00AD1985" w:rsidP="00744FAA">
      <w:pPr>
        <w:pStyle w:val="NormalNumberedTextTLRI"/>
        <w:numPr>
          <w:ilvl w:val="0"/>
          <w:numId w:val="0"/>
        </w:numPr>
      </w:pPr>
      <w:r w:rsidRPr="00154F1D">
        <w:t xml:space="preserve">The relevant NSW legislation is set out in </w:t>
      </w:r>
      <w:r w:rsidR="00446A5B" w:rsidRPr="00154F1D">
        <w:t xml:space="preserve">full in Appendix </w:t>
      </w:r>
      <w:r w:rsidR="00E4510B" w:rsidRPr="00154F1D">
        <w:t>6</w:t>
      </w:r>
      <w:r w:rsidR="00446A5B" w:rsidRPr="00154F1D">
        <w:t>.</w:t>
      </w:r>
    </w:p>
    <w:p w14:paraId="6B8CF335" w14:textId="04D581B8" w:rsidR="00103E6C" w:rsidRPr="00154F1D" w:rsidRDefault="00103E6C" w:rsidP="00744FAA">
      <w:pPr>
        <w:pStyle w:val="NormalNumberedTextTLRI"/>
      </w:pPr>
      <w:r w:rsidRPr="00154F1D">
        <w:t xml:space="preserve">The TLRI seeks feedback in relation to whether, </w:t>
      </w:r>
      <w:r w:rsidR="000E0FB9" w:rsidRPr="00154F1D">
        <w:t xml:space="preserve">if </w:t>
      </w:r>
      <w:r w:rsidRPr="00154F1D">
        <w:t xml:space="preserve">a limiting term is adopted, there is a need for a preventative scheme that would allow for an extension of supervision or detention or </w:t>
      </w:r>
      <w:r w:rsidR="00C52E9B">
        <w:t>whether</w:t>
      </w:r>
      <w:r w:rsidR="00C52E9B" w:rsidRPr="00154F1D">
        <w:t xml:space="preserve"> </w:t>
      </w:r>
      <w:r w:rsidRPr="00154F1D">
        <w:t xml:space="preserve">the Tasmanian current civil arrangements sufficient to manage the risk to community safety. If a </w:t>
      </w:r>
      <w:r w:rsidR="00545215" w:rsidRPr="00154F1D">
        <w:t>preventative</w:t>
      </w:r>
      <w:r w:rsidRPr="00154F1D">
        <w:t xml:space="preserve"> </w:t>
      </w:r>
      <w:r w:rsidR="00545215" w:rsidRPr="00154F1D">
        <w:t xml:space="preserve">detention </w:t>
      </w:r>
      <w:r w:rsidR="00B370C7" w:rsidRPr="00154F1D">
        <w:t xml:space="preserve">scheme </w:t>
      </w:r>
      <w:r w:rsidR="00545215" w:rsidRPr="00154F1D">
        <w:t xml:space="preserve">is adopted, feedback is also sought as to the most appropriate model. </w:t>
      </w:r>
      <w:r w:rsidR="00571D0C" w:rsidRPr="00154F1D">
        <w:t xml:space="preserve">The scheme </w:t>
      </w:r>
      <w:r w:rsidR="00545215" w:rsidRPr="00154F1D">
        <w:t>could be based on the models set out by the NSWLRC or some other model proposed by stakeholders. For example, a model based on the NSWLRC approach would allow an application to be made to the Supreme Court to extend the order</w:t>
      </w:r>
      <w:r w:rsidR="00571D0C" w:rsidRPr="00154F1D">
        <w:t>.</w:t>
      </w:r>
      <w:r w:rsidR="00545215" w:rsidRPr="00154F1D">
        <w:t xml:space="preserve"> This would </w:t>
      </w:r>
      <w:r w:rsidR="006275EE" w:rsidRPr="00154F1D">
        <w:t>involve</w:t>
      </w:r>
      <w:r w:rsidR="00545215" w:rsidRPr="00154F1D">
        <w:t xml:space="preserve"> a </w:t>
      </w:r>
      <w:r w:rsidR="006275EE" w:rsidRPr="00154F1D">
        <w:t>consideration</w:t>
      </w:r>
      <w:r w:rsidR="00545215" w:rsidRPr="00154F1D">
        <w:t xml:space="preserve"> of the threshold </w:t>
      </w:r>
      <w:r w:rsidR="006275EE" w:rsidRPr="00154F1D">
        <w:t>test for extension</w:t>
      </w:r>
      <w:r w:rsidR="00545215" w:rsidRPr="00154F1D">
        <w:t xml:space="preserve"> </w:t>
      </w:r>
      <w:r w:rsidR="006275EE" w:rsidRPr="00154F1D">
        <w:t xml:space="preserve">and </w:t>
      </w:r>
      <w:r w:rsidR="00545215" w:rsidRPr="00154F1D">
        <w:t>the term of the extension</w:t>
      </w:r>
      <w:r w:rsidR="006275EE" w:rsidRPr="00154F1D">
        <w:t xml:space="preserve"> order. The </w:t>
      </w:r>
      <w:r w:rsidR="00722B02" w:rsidRPr="00154F1D">
        <w:t>Supreme Court could also be given a power to revoke the extension order and the MHT</w:t>
      </w:r>
      <w:r w:rsidR="006275EE" w:rsidRPr="00154F1D">
        <w:t xml:space="preserve"> </w:t>
      </w:r>
      <w:r w:rsidR="00722B02" w:rsidRPr="00154F1D">
        <w:t>could have responsibility for ongoing review</w:t>
      </w:r>
      <w:r w:rsidR="006275EE" w:rsidRPr="00154F1D">
        <w:t>.</w:t>
      </w:r>
    </w:p>
    <w:p w14:paraId="423A1791" w14:textId="75C61C91" w:rsidR="00683D28" w:rsidRPr="00154F1D" w:rsidRDefault="00683D28" w:rsidP="00571D0C">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b/>
        </w:rPr>
      </w:pPr>
      <w:bookmarkStart w:id="204" w:name="Q61"/>
      <w:r w:rsidRPr="00154F1D">
        <w:rPr>
          <w:b/>
        </w:rPr>
        <w:t>Questions</w:t>
      </w:r>
    </w:p>
    <w:bookmarkEnd w:id="204"/>
    <w:p w14:paraId="33C017D7" w14:textId="470AD54E" w:rsidR="00545215" w:rsidRPr="00154F1D" w:rsidRDefault="00F64964" w:rsidP="00571D0C">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61</w:t>
      </w:r>
      <w:r w:rsidR="00683D28" w:rsidRPr="00154F1D">
        <w:t>.</w:t>
      </w:r>
      <w:r w:rsidR="00571D0C" w:rsidRPr="00154F1D">
        <w:tab/>
      </w:r>
      <w:r w:rsidR="00545215" w:rsidRPr="00154F1D">
        <w:t xml:space="preserve">If the </w:t>
      </w:r>
      <w:r w:rsidR="009F509B" w:rsidRPr="00154F1D">
        <w:rPr>
          <w:i/>
          <w:iCs/>
        </w:rPr>
        <w:t xml:space="preserve">Criminal Justice (Mental Impairment) Act 1999 </w:t>
      </w:r>
      <w:r w:rsidR="009F509B" w:rsidRPr="00154F1D">
        <w:rPr>
          <w:iCs/>
        </w:rPr>
        <w:t>(Tas)</w:t>
      </w:r>
      <w:r w:rsidR="00545215" w:rsidRPr="00154F1D">
        <w:t xml:space="preserve"> is amended to provide for a limiting term for restriction and supervision orders, is it necessary and appropriate to introduce a preventative detention scheme that would allow for an extension of the person’s forensic patient status?</w:t>
      </w:r>
    </w:p>
    <w:p w14:paraId="6E4A6FD4" w14:textId="4C218DA7" w:rsidR="00545215" w:rsidRPr="00154F1D" w:rsidRDefault="00F64964" w:rsidP="00571D0C">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62</w:t>
      </w:r>
      <w:r w:rsidR="00683D28" w:rsidRPr="00154F1D">
        <w:t>.</w:t>
      </w:r>
      <w:r w:rsidR="00571D0C" w:rsidRPr="00154F1D">
        <w:tab/>
      </w:r>
      <w:r w:rsidR="00545215" w:rsidRPr="00154F1D">
        <w:t xml:space="preserve">If a </w:t>
      </w:r>
      <w:r w:rsidR="00722B02" w:rsidRPr="00154F1D">
        <w:t>preventative detention scheme is introduced, what model should be used? What should the threshold test for an extension order be and how long should an extension order operate?</w:t>
      </w:r>
    </w:p>
    <w:p w14:paraId="0059E5D7" w14:textId="55D6AEC9" w:rsidR="006E569F" w:rsidRPr="00154F1D" w:rsidRDefault="00143A13" w:rsidP="006E569F">
      <w:pPr>
        <w:pStyle w:val="NormalNumberedTextTLRI"/>
        <w:numPr>
          <w:ilvl w:val="0"/>
          <w:numId w:val="0"/>
        </w:numPr>
        <w:spacing w:before="360"/>
        <w:ind w:left="425" w:hanging="425"/>
        <w:rPr>
          <w:u w:val="single"/>
        </w:rPr>
      </w:pPr>
      <w:r w:rsidRPr="00B24334">
        <w:t>(</w:t>
      </w:r>
      <w:r w:rsidR="003711D6" w:rsidRPr="00B24334">
        <w:t>3</w:t>
      </w:r>
      <w:r w:rsidRPr="00B24334">
        <w:t>)</w:t>
      </w:r>
      <w:r w:rsidR="006E569F" w:rsidRPr="00B24334">
        <w:tab/>
      </w:r>
      <w:r w:rsidRPr="00154F1D">
        <w:rPr>
          <w:u w:val="single"/>
        </w:rPr>
        <w:t>If a limiting term is adopted, how should the limiting term be set?</w:t>
      </w:r>
      <w:r w:rsidR="00A429D1" w:rsidRPr="00154F1D">
        <w:rPr>
          <w:u w:val="single"/>
        </w:rPr>
        <w:t xml:space="preserve"> </w:t>
      </w:r>
    </w:p>
    <w:p w14:paraId="2511F659" w14:textId="37E25168" w:rsidR="00A429D1" w:rsidRPr="00154F1D" w:rsidRDefault="00A429D1" w:rsidP="006E569F">
      <w:pPr>
        <w:pStyle w:val="NormalNumberedTextTLRI"/>
      </w:pPr>
      <w:r w:rsidRPr="00154F1D">
        <w:t xml:space="preserve">A related matter for determination is how </w:t>
      </w:r>
      <w:r w:rsidR="00526CC8" w:rsidRPr="00154F1D">
        <w:t>the limiting term should be set</w:t>
      </w:r>
      <w:r w:rsidRPr="00154F1D">
        <w:t xml:space="preserve"> if a limiting term is adopted in Tasmania for forensic orders (restriction and supervision orders) and/or conditional release orders. </w:t>
      </w:r>
    </w:p>
    <w:p w14:paraId="010F8D5D" w14:textId="0DDE2B1E" w:rsidR="00A429D1" w:rsidRPr="00154F1D" w:rsidRDefault="00A429D1" w:rsidP="00744FAA">
      <w:pPr>
        <w:pStyle w:val="NormalNumberedTextTLRI"/>
      </w:pPr>
      <w:r w:rsidRPr="00154F1D">
        <w:t xml:space="preserve">In relation to forensic orders, the preferred approach in other jurisdictions is to set the term by reference to the sentence of imprisonment the court would have imposed if the </w:t>
      </w:r>
      <w:r w:rsidR="001E0CE7">
        <w:t>person</w:t>
      </w:r>
      <w:r w:rsidR="001E0CE7" w:rsidRPr="00154F1D">
        <w:t xml:space="preserve"> </w:t>
      </w:r>
      <w:r w:rsidRPr="00154F1D">
        <w:t>had been found guilty in an ordinary criminal trial. This means, so far as is possible, general sentencing principles such as retribution, denunciation, proportionality apply ‘as well as special principles that apply when sentencing offenders with cognitive and mental health impairments’.</w:t>
      </w:r>
      <w:r w:rsidRPr="00154F1D">
        <w:rPr>
          <w:rStyle w:val="FootnoteReference"/>
        </w:rPr>
        <w:footnoteReference w:id="785"/>
      </w:r>
      <w:r w:rsidRPr="00154F1D">
        <w:t xml:space="preserve"> However, as noted, it is recognised that this approach is ‘not without difficulties, both conceptually and in practice’.</w:t>
      </w:r>
      <w:r w:rsidRPr="00154F1D">
        <w:rPr>
          <w:rStyle w:val="FootnoteReference"/>
        </w:rPr>
        <w:footnoteReference w:id="786"/>
      </w:r>
      <w:r w:rsidRPr="00154F1D">
        <w:t xml:space="preserve"> </w:t>
      </w:r>
    </w:p>
    <w:p w14:paraId="2E507EE2" w14:textId="545485C7" w:rsidR="00015534" w:rsidRPr="00154F1D" w:rsidRDefault="00015534" w:rsidP="00744FAA">
      <w:pPr>
        <w:pStyle w:val="NormalNumberedTextTLRI"/>
      </w:pPr>
      <w:r w:rsidRPr="00154F1D">
        <w:t xml:space="preserve">Table </w:t>
      </w:r>
      <w:r w:rsidR="003A56C1" w:rsidRPr="00154F1D">
        <w:t>8.</w:t>
      </w:r>
      <w:r w:rsidR="00EE78D8">
        <w:t>11</w:t>
      </w:r>
      <w:r w:rsidRPr="00154F1D">
        <w:t xml:space="preserve"> sets out a</w:t>
      </w:r>
      <w:r w:rsidR="009778D2" w:rsidRPr="00154F1D">
        <w:t xml:space="preserve">rguments in favour </w:t>
      </w:r>
      <w:r w:rsidRPr="00154F1D">
        <w:t>and against the different models considered by the NSWLRC for setting the limiting terms.</w:t>
      </w:r>
      <w:r w:rsidR="00B41D72" w:rsidRPr="00154F1D">
        <w:rPr>
          <w:rStyle w:val="FootnoteReference"/>
        </w:rPr>
        <w:footnoteReference w:id="787"/>
      </w:r>
    </w:p>
    <w:p w14:paraId="4C42E049" w14:textId="55A434F6" w:rsidR="00683D28" w:rsidRPr="00154F1D" w:rsidRDefault="00683D28" w:rsidP="00B24334">
      <w:pPr>
        <w:pStyle w:val="NumberlessNormalText"/>
        <w:keepNext/>
        <w:spacing w:after="40"/>
        <w:rPr>
          <w:b/>
        </w:rPr>
      </w:pPr>
      <w:r w:rsidRPr="00154F1D">
        <w:rPr>
          <w:b/>
        </w:rPr>
        <w:t>Table 8.</w:t>
      </w:r>
      <w:r w:rsidR="00EE78D8">
        <w:rPr>
          <w:b/>
        </w:rPr>
        <w:t>11</w:t>
      </w:r>
      <w:r w:rsidR="006E569F" w:rsidRPr="00154F1D">
        <w:rPr>
          <w:b/>
        </w:rPr>
        <w:t>:</w:t>
      </w:r>
      <w:r w:rsidRPr="00154F1D">
        <w:rPr>
          <w:b/>
        </w:rPr>
        <w:t xml:space="preserve"> Models identified by the NSWLRC for setting limiting terms</w:t>
      </w:r>
    </w:p>
    <w:tbl>
      <w:tblPr>
        <w:tblStyle w:val="TableGrid"/>
        <w:tblW w:w="5000" w:type="pct"/>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589"/>
        <w:gridCol w:w="3232"/>
        <w:gridCol w:w="3479"/>
      </w:tblGrid>
      <w:tr w:rsidR="00B41D72" w:rsidRPr="00154F1D" w14:paraId="1F10C39D" w14:textId="77777777" w:rsidTr="00AF195E">
        <w:trPr>
          <w:tblHeader/>
        </w:trPr>
        <w:tc>
          <w:tcPr>
            <w:tcW w:w="957" w:type="pct"/>
            <w:vAlign w:val="center"/>
          </w:tcPr>
          <w:p w14:paraId="1696CA30" w14:textId="5DFCA949" w:rsidR="00015534" w:rsidRPr="00154F1D" w:rsidRDefault="00015534" w:rsidP="00AF195E">
            <w:pPr>
              <w:pStyle w:val="NormalNumberedTextTLRI"/>
              <w:keepNext/>
              <w:numPr>
                <w:ilvl w:val="0"/>
                <w:numId w:val="0"/>
              </w:numPr>
              <w:spacing w:before="20" w:after="20"/>
              <w:jc w:val="center"/>
              <w:rPr>
                <w:b/>
                <w:sz w:val="20"/>
              </w:rPr>
            </w:pPr>
            <w:r w:rsidRPr="00154F1D">
              <w:rPr>
                <w:b/>
                <w:sz w:val="20"/>
              </w:rPr>
              <w:t>Model</w:t>
            </w:r>
          </w:p>
        </w:tc>
        <w:tc>
          <w:tcPr>
            <w:tcW w:w="1947" w:type="pct"/>
            <w:vAlign w:val="center"/>
          </w:tcPr>
          <w:p w14:paraId="31D73DFF" w14:textId="16CD70E6" w:rsidR="00015534" w:rsidRPr="00154F1D" w:rsidRDefault="00015534" w:rsidP="00AF195E">
            <w:pPr>
              <w:pStyle w:val="NormalNumberedTextTLRI"/>
              <w:keepNext/>
              <w:numPr>
                <w:ilvl w:val="0"/>
                <w:numId w:val="0"/>
              </w:numPr>
              <w:spacing w:before="20" w:after="20"/>
              <w:jc w:val="center"/>
              <w:rPr>
                <w:b/>
                <w:sz w:val="20"/>
              </w:rPr>
            </w:pPr>
            <w:r w:rsidRPr="00154F1D">
              <w:rPr>
                <w:b/>
                <w:sz w:val="20"/>
              </w:rPr>
              <w:t>Arguments in favour</w:t>
            </w:r>
          </w:p>
        </w:tc>
        <w:tc>
          <w:tcPr>
            <w:tcW w:w="2096" w:type="pct"/>
            <w:vAlign w:val="center"/>
          </w:tcPr>
          <w:p w14:paraId="29724012" w14:textId="6270DC27" w:rsidR="00015534" w:rsidRPr="00154F1D" w:rsidRDefault="00015534" w:rsidP="00AF195E">
            <w:pPr>
              <w:pStyle w:val="NormalNumberedTextTLRI"/>
              <w:keepNext/>
              <w:numPr>
                <w:ilvl w:val="0"/>
                <w:numId w:val="0"/>
              </w:numPr>
              <w:spacing w:before="20" w:after="20"/>
              <w:jc w:val="center"/>
              <w:rPr>
                <w:b/>
                <w:sz w:val="20"/>
              </w:rPr>
            </w:pPr>
            <w:r w:rsidRPr="00154F1D">
              <w:rPr>
                <w:b/>
                <w:sz w:val="20"/>
              </w:rPr>
              <w:t>Arguments against</w:t>
            </w:r>
          </w:p>
        </w:tc>
      </w:tr>
      <w:tr w:rsidR="00B41D72" w:rsidRPr="00154F1D" w14:paraId="0C63C2B8" w14:textId="77777777" w:rsidTr="00AF195E">
        <w:tc>
          <w:tcPr>
            <w:tcW w:w="957" w:type="pct"/>
          </w:tcPr>
          <w:p w14:paraId="612D260A" w14:textId="13F7F225" w:rsidR="00015534" w:rsidRPr="00154F1D" w:rsidRDefault="00B41D72" w:rsidP="00AF195E">
            <w:pPr>
              <w:pStyle w:val="NormalNumberedTextTLRI"/>
              <w:keepNext/>
              <w:numPr>
                <w:ilvl w:val="0"/>
                <w:numId w:val="0"/>
              </w:numPr>
              <w:spacing w:before="20" w:after="20"/>
              <w:jc w:val="left"/>
              <w:rPr>
                <w:sz w:val="20"/>
              </w:rPr>
            </w:pPr>
            <w:r w:rsidRPr="00154F1D">
              <w:rPr>
                <w:sz w:val="20"/>
              </w:rPr>
              <w:t>Hypothetical sentence</w:t>
            </w:r>
            <w:r w:rsidR="00526CC8" w:rsidRPr="00154F1D">
              <w:rPr>
                <w:sz w:val="20"/>
              </w:rPr>
              <w:t xml:space="preserve"> </w:t>
            </w:r>
            <w:r w:rsidRPr="00154F1D">
              <w:rPr>
                <w:sz w:val="20"/>
              </w:rPr>
              <w:t>based approach</w:t>
            </w:r>
          </w:p>
        </w:tc>
        <w:tc>
          <w:tcPr>
            <w:tcW w:w="1947" w:type="pct"/>
          </w:tcPr>
          <w:p w14:paraId="392D35E5" w14:textId="6262BAF8" w:rsidR="00B41D72" w:rsidRPr="00154F1D" w:rsidRDefault="00B41D72" w:rsidP="00AF195E">
            <w:pPr>
              <w:pStyle w:val="NormalNumberedTextTLRI"/>
              <w:keepNext/>
              <w:numPr>
                <w:ilvl w:val="0"/>
                <w:numId w:val="27"/>
              </w:numPr>
              <w:spacing w:before="20" w:after="20"/>
              <w:ind w:left="139" w:hanging="205"/>
              <w:jc w:val="left"/>
              <w:rPr>
                <w:sz w:val="20"/>
              </w:rPr>
            </w:pPr>
            <w:r w:rsidRPr="00154F1D">
              <w:rPr>
                <w:sz w:val="20"/>
              </w:rPr>
              <w:t>Approach that courts are familiar with.</w:t>
            </w:r>
          </w:p>
          <w:p w14:paraId="51077032" w14:textId="77777777" w:rsidR="00026AFD" w:rsidRPr="00154F1D" w:rsidRDefault="00026AFD" w:rsidP="00AF195E">
            <w:pPr>
              <w:pStyle w:val="NormalNumberedTextTLRI"/>
              <w:keepNext/>
              <w:numPr>
                <w:ilvl w:val="0"/>
                <w:numId w:val="27"/>
              </w:numPr>
              <w:spacing w:before="20" w:after="20"/>
              <w:ind w:left="139" w:hanging="205"/>
              <w:jc w:val="left"/>
              <w:rPr>
                <w:sz w:val="20"/>
              </w:rPr>
            </w:pPr>
            <w:r w:rsidRPr="00154F1D">
              <w:rPr>
                <w:sz w:val="20"/>
              </w:rPr>
              <w:t>Fairness requires that forensic patients should not been detained for longer that if convicted in a normal trial.</w:t>
            </w:r>
          </w:p>
          <w:p w14:paraId="7B06CDE3" w14:textId="77777777" w:rsidR="00026AFD" w:rsidRPr="00154F1D" w:rsidRDefault="00026AFD" w:rsidP="00AF195E">
            <w:pPr>
              <w:pStyle w:val="NormalNumberedTextTLRI"/>
              <w:keepNext/>
              <w:numPr>
                <w:ilvl w:val="0"/>
                <w:numId w:val="27"/>
              </w:numPr>
              <w:spacing w:before="20" w:after="20"/>
              <w:ind w:left="139" w:hanging="205"/>
              <w:jc w:val="left"/>
              <w:rPr>
                <w:sz w:val="20"/>
              </w:rPr>
            </w:pPr>
            <w:r w:rsidRPr="00154F1D">
              <w:rPr>
                <w:sz w:val="20"/>
              </w:rPr>
              <w:t>Sentencing principles recognise the interests of the community and the victims</w:t>
            </w:r>
            <w:r w:rsidR="00D003B6" w:rsidRPr="00154F1D">
              <w:rPr>
                <w:sz w:val="20"/>
              </w:rPr>
              <w:t>.</w:t>
            </w:r>
          </w:p>
          <w:p w14:paraId="1C193CD4" w14:textId="07B66D1C" w:rsidR="00D003B6" w:rsidRPr="00154F1D" w:rsidRDefault="00D003B6" w:rsidP="00AF195E">
            <w:pPr>
              <w:pStyle w:val="NormalNumberedTextTLRI"/>
              <w:keepNext/>
              <w:numPr>
                <w:ilvl w:val="0"/>
                <w:numId w:val="27"/>
              </w:numPr>
              <w:spacing w:before="20" w:after="20"/>
              <w:ind w:left="139" w:hanging="205"/>
              <w:jc w:val="left"/>
              <w:rPr>
                <w:sz w:val="20"/>
              </w:rPr>
            </w:pPr>
            <w:r w:rsidRPr="00154F1D">
              <w:rPr>
                <w:sz w:val="20"/>
              </w:rPr>
              <w:t>This is the least arbitrary.</w:t>
            </w:r>
          </w:p>
        </w:tc>
        <w:tc>
          <w:tcPr>
            <w:tcW w:w="2096" w:type="pct"/>
          </w:tcPr>
          <w:p w14:paraId="1F82B7DA" w14:textId="77777777" w:rsidR="00B41D72" w:rsidRPr="00154F1D" w:rsidRDefault="00B41D72" w:rsidP="00AF195E">
            <w:pPr>
              <w:pStyle w:val="NormalNumberedTextTLRI"/>
              <w:keepNext/>
              <w:numPr>
                <w:ilvl w:val="0"/>
                <w:numId w:val="27"/>
              </w:numPr>
              <w:spacing w:before="20" w:after="20"/>
              <w:ind w:left="193" w:hanging="247"/>
              <w:jc w:val="left"/>
              <w:rPr>
                <w:sz w:val="20"/>
              </w:rPr>
            </w:pPr>
            <w:r w:rsidRPr="00154F1D">
              <w:rPr>
                <w:sz w:val="20"/>
              </w:rPr>
              <w:t>Sentencing principles may not appropriate as defendants who are unfit to stand trial or not guilty by reason of insanity require treatment not punishment. Under sentencing principles, proportionality is constrained by community safety.</w:t>
            </w:r>
          </w:p>
          <w:p w14:paraId="74D3E79B" w14:textId="77777777" w:rsidR="00B41D72" w:rsidRPr="00154F1D" w:rsidRDefault="00B41D72" w:rsidP="00AF195E">
            <w:pPr>
              <w:pStyle w:val="NormalNumberedTextTLRI"/>
              <w:keepNext/>
              <w:numPr>
                <w:ilvl w:val="0"/>
                <w:numId w:val="27"/>
              </w:numPr>
              <w:spacing w:before="20" w:after="20"/>
              <w:ind w:left="193" w:hanging="247"/>
              <w:jc w:val="left"/>
              <w:rPr>
                <w:sz w:val="20"/>
              </w:rPr>
            </w:pPr>
            <w:r w:rsidRPr="00154F1D">
              <w:rPr>
                <w:sz w:val="20"/>
              </w:rPr>
              <w:t>Sentencing principles cannot be applied with reasonable accuracy given the artificiality of the imposing sentence of a person who has not been found guilty.</w:t>
            </w:r>
          </w:p>
          <w:p w14:paraId="7C84792D" w14:textId="42D572B0" w:rsidR="00015534" w:rsidRPr="00154F1D" w:rsidRDefault="00B41D72" w:rsidP="00AF195E">
            <w:pPr>
              <w:pStyle w:val="NormalNumberedTextTLRI"/>
              <w:keepNext/>
              <w:numPr>
                <w:ilvl w:val="0"/>
                <w:numId w:val="27"/>
              </w:numPr>
              <w:spacing w:before="20" w:after="20"/>
              <w:ind w:left="193" w:hanging="247"/>
              <w:jc w:val="left"/>
              <w:rPr>
                <w:sz w:val="20"/>
              </w:rPr>
            </w:pPr>
            <w:r w:rsidRPr="00154F1D">
              <w:rPr>
                <w:sz w:val="20"/>
              </w:rPr>
              <w:t>Limiting terms do not achieve outcomes commensurate with sentences given that the person does not get a benefit from an early guilty plea, may not be able to put all the facts before the court and focuses on the total sentence (not taking account of the fact that sentenced offenders may be eligible for parole</w:t>
            </w:r>
            <w:r w:rsidR="002E515E" w:rsidRPr="00154F1D">
              <w:rPr>
                <w:sz w:val="20"/>
              </w:rPr>
              <w:t>)</w:t>
            </w:r>
            <w:r w:rsidRPr="00154F1D">
              <w:rPr>
                <w:sz w:val="20"/>
              </w:rPr>
              <w:t>.</w:t>
            </w:r>
          </w:p>
          <w:p w14:paraId="00ABB781" w14:textId="452D1C61" w:rsidR="00D003B6" w:rsidRPr="00154F1D" w:rsidRDefault="00D003B6" w:rsidP="00AF195E">
            <w:pPr>
              <w:pStyle w:val="NormalNumberedTextTLRI"/>
              <w:keepNext/>
              <w:numPr>
                <w:ilvl w:val="0"/>
                <w:numId w:val="27"/>
              </w:numPr>
              <w:spacing w:before="20" w:after="20"/>
              <w:ind w:left="193" w:hanging="247"/>
              <w:jc w:val="left"/>
              <w:rPr>
                <w:sz w:val="20"/>
              </w:rPr>
            </w:pPr>
            <w:r w:rsidRPr="00154F1D">
              <w:rPr>
                <w:sz w:val="20"/>
              </w:rPr>
              <w:t>Creates the impression that the person is being punished, despite not having been found guilty of an offence.</w:t>
            </w:r>
            <w:r w:rsidR="00476214" w:rsidRPr="00154F1D">
              <w:rPr>
                <w:sz w:val="20"/>
              </w:rPr>
              <w:t xml:space="preserve"> Hunyor writes that ‘this approach suggests that there is a desire to hold people responsible and see them punished that needs to be satisfied such that a person isn’t perceived to </w:t>
            </w:r>
            <w:r w:rsidR="002E515E" w:rsidRPr="00154F1D">
              <w:rPr>
                <w:sz w:val="20"/>
              </w:rPr>
              <w:t>“</w:t>
            </w:r>
            <w:r w:rsidR="00476214" w:rsidRPr="00154F1D">
              <w:rPr>
                <w:sz w:val="20"/>
              </w:rPr>
              <w:t>get off more lightly.”’</w:t>
            </w:r>
            <w:r w:rsidR="00476214" w:rsidRPr="00154F1D">
              <w:rPr>
                <w:rStyle w:val="FootnoteReference"/>
              </w:rPr>
              <w:footnoteReference w:id="788"/>
            </w:r>
          </w:p>
          <w:p w14:paraId="0F3F59C6" w14:textId="3CF06671" w:rsidR="009F7BCB" w:rsidRPr="00154F1D" w:rsidRDefault="009842E0" w:rsidP="00AF195E">
            <w:pPr>
              <w:pStyle w:val="NormalNumberedTextTLRI"/>
              <w:keepNext/>
              <w:numPr>
                <w:ilvl w:val="0"/>
                <w:numId w:val="27"/>
              </w:numPr>
              <w:spacing w:before="20" w:after="20"/>
              <w:ind w:left="193" w:hanging="247"/>
              <w:jc w:val="left"/>
              <w:rPr>
                <w:sz w:val="20"/>
              </w:rPr>
            </w:pPr>
            <w:r w:rsidRPr="00154F1D">
              <w:rPr>
                <w:sz w:val="20"/>
              </w:rPr>
              <w:t>Encourages the development of informal tariffs related to just deserts for the offence.</w:t>
            </w:r>
            <w:r w:rsidRPr="00154F1D">
              <w:rPr>
                <w:rStyle w:val="FootnoteReference"/>
              </w:rPr>
              <w:footnoteReference w:id="789"/>
            </w:r>
          </w:p>
        </w:tc>
      </w:tr>
      <w:tr w:rsidR="00B41D72" w:rsidRPr="00154F1D" w14:paraId="5286ECF5" w14:textId="77777777" w:rsidTr="00AF195E">
        <w:tc>
          <w:tcPr>
            <w:tcW w:w="957" w:type="pct"/>
          </w:tcPr>
          <w:p w14:paraId="4592FFB2" w14:textId="4F1585AF" w:rsidR="00B41D72" w:rsidRPr="00154F1D" w:rsidRDefault="00B41D72" w:rsidP="006E569F">
            <w:pPr>
              <w:pStyle w:val="NormalNumberedTextTLRI"/>
              <w:numPr>
                <w:ilvl w:val="0"/>
                <w:numId w:val="0"/>
              </w:numPr>
              <w:spacing w:before="20" w:after="20"/>
              <w:jc w:val="left"/>
              <w:rPr>
                <w:sz w:val="20"/>
              </w:rPr>
            </w:pPr>
            <w:r w:rsidRPr="00154F1D">
              <w:rPr>
                <w:sz w:val="20"/>
              </w:rPr>
              <w:t>Modified sentencing approach</w:t>
            </w:r>
          </w:p>
        </w:tc>
        <w:tc>
          <w:tcPr>
            <w:tcW w:w="1947" w:type="pct"/>
          </w:tcPr>
          <w:p w14:paraId="5E323F8A" w14:textId="77777777" w:rsidR="00B41D72" w:rsidRPr="00154F1D" w:rsidRDefault="00B41D72" w:rsidP="006E569F">
            <w:pPr>
              <w:pStyle w:val="NormalNumberedTextTLRI"/>
              <w:numPr>
                <w:ilvl w:val="0"/>
                <w:numId w:val="28"/>
              </w:numPr>
              <w:spacing w:before="20" w:after="20"/>
              <w:ind w:left="139" w:hanging="205"/>
              <w:jc w:val="left"/>
              <w:rPr>
                <w:sz w:val="20"/>
              </w:rPr>
            </w:pPr>
            <w:r w:rsidRPr="00154F1D">
              <w:rPr>
                <w:sz w:val="20"/>
              </w:rPr>
              <w:t>Could address some of the limitations identified with the hypothetical sentence model by imposing a time limit equivalent to a hypothetical non-parole period.</w:t>
            </w:r>
          </w:p>
          <w:p w14:paraId="33682A54" w14:textId="0B968DED" w:rsidR="00B41D72" w:rsidRPr="00154F1D" w:rsidRDefault="00B41D72" w:rsidP="006E569F">
            <w:pPr>
              <w:pStyle w:val="NormalNumberedTextTLRI"/>
              <w:numPr>
                <w:ilvl w:val="0"/>
                <w:numId w:val="28"/>
              </w:numPr>
              <w:spacing w:before="20" w:after="20"/>
              <w:ind w:left="139" w:hanging="205"/>
              <w:jc w:val="left"/>
              <w:rPr>
                <w:sz w:val="20"/>
              </w:rPr>
            </w:pPr>
            <w:r w:rsidRPr="00154F1D">
              <w:rPr>
                <w:sz w:val="20"/>
              </w:rPr>
              <w:t xml:space="preserve">Could provide that certain mitigating factors are presumed or provide for a percentage-based discount </w:t>
            </w:r>
            <w:r w:rsidR="0018555A" w:rsidRPr="00154F1D">
              <w:rPr>
                <w:sz w:val="20"/>
              </w:rPr>
              <w:t>for unknown mit</w:t>
            </w:r>
            <w:r w:rsidRPr="00154F1D">
              <w:rPr>
                <w:sz w:val="20"/>
              </w:rPr>
              <w:t>i</w:t>
            </w:r>
            <w:r w:rsidR="0018555A" w:rsidRPr="00154F1D">
              <w:rPr>
                <w:sz w:val="20"/>
              </w:rPr>
              <w:t>gating</w:t>
            </w:r>
            <w:r w:rsidRPr="00154F1D">
              <w:rPr>
                <w:sz w:val="20"/>
              </w:rPr>
              <w:t xml:space="preserve"> factors</w:t>
            </w:r>
            <w:r w:rsidR="002E515E" w:rsidRPr="00154F1D">
              <w:rPr>
                <w:sz w:val="20"/>
              </w:rPr>
              <w:t>.</w:t>
            </w:r>
          </w:p>
        </w:tc>
        <w:tc>
          <w:tcPr>
            <w:tcW w:w="2096" w:type="pct"/>
          </w:tcPr>
          <w:p w14:paraId="0CFA3DE8" w14:textId="77777777" w:rsidR="00B41D72" w:rsidRPr="00154F1D" w:rsidRDefault="00B41D72" w:rsidP="006E569F">
            <w:pPr>
              <w:pStyle w:val="NormalNumberedTextTLRI"/>
              <w:numPr>
                <w:ilvl w:val="0"/>
                <w:numId w:val="28"/>
              </w:numPr>
              <w:spacing w:before="20" w:after="20"/>
              <w:ind w:left="193" w:hanging="247"/>
              <w:jc w:val="left"/>
              <w:rPr>
                <w:sz w:val="20"/>
              </w:rPr>
            </w:pPr>
            <w:r w:rsidRPr="00154F1D">
              <w:rPr>
                <w:sz w:val="20"/>
              </w:rPr>
              <w:t>Using a non-parole period ignores the role of supervision on release on parole.</w:t>
            </w:r>
          </w:p>
          <w:p w14:paraId="3E2CAA1D" w14:textId="35BECD1A" w:rsidR="00B41D72" w:rsidRPr="00154F1D" w:rsidRDefault="00B41D72" w:rsidP="006E569F">
            <w:pPr>
              <w:pStyle w:val="NormalNumberedTextTLRI"/>
              <w:numPr>
                <w:ilvl w:val="0"/>
                <w:numId w:val="28"/>
              </w:numPr>
              <w:spacing w:before="20" w:after="20"/>
              <w:ind w:left="193" w:hanging="247"/>
              <w:jc w:val="left"/>
              <w:rPr>
                <w:sz w:val="20"/>
              </w:rPr>
            </w:pPr>
            <w:r w:rsidRPr="00154F1D">
              <w:rPr>
                <w:sz w:val="20"/>
              </w:rPr>
              <w:t xml:space="preserve">Presuming </w:t>
            </w:r>
            <w:r w:rsidR="00890540" w:rsidRPr="00154F1D">
              <w:rPr>
                <w:sz w:val="20"/>
              </w:rPr>
              <w:t>mitigating</w:t>
            </w:r>
            <w:r w:rsidRPr="00154F1D">
              <w:rPr>
                <w:sz w:val="20"/>
              </w:rPr>
              <w:t xml:space="preserve"> factors would be very </w:t>
            </w:r>
            <w:r w:rsidR="00890540" w:rsidRPr="00154F1D">
              <w:rPr>
                <w:sz w:val="20"/>
              </w:rPr>
              <w:t>artificial</w:t>
            </w:r>
            <w:r w:rsidR="0018555A" w:rsidRPr="00154F1D">
              <w:rPr>
                <w:sz w:val="20"/>
              </w:rPr>
              <w:t>.</w:t>
            </w:r>
          </w:p>
        </w:tc>
      </w:tr>
      <w:tr w:rsidR="00B41D72" w:rsidRPr="00154F1D" w14:paraId="4E511F15" w14:textId="77777777" w:rsidTr="00AF195E">
        <w:tc>
          <w:tcPr>
            <w:tcW w:w="957" w:type="pct"/>
          </w:tcPr>
          <w:p w14:paraId="6A31D2C0" w14:textId="2894CECF" w:rsidR="00015534" w:rsidRPr="00154F1D" w:rsidRDefault="0018555A" w:rsidP="00B24334">
            <w:pPr>
              <w:pStyle w:val="NormalNumberedTextTLRI"/>
              <w:keepNext/>
              <w:numPr>
                <w:ilvl w:val="0"/>
                <w:numId w:val="0"/>
              </w:numPr>
              <w:spacing w:before="20" w:after="20"/>
              <w:jc w:val="left"/>
              <w:rPr>
                <w:sz w:val="20"/>
              </w:rPr>
            </w:pPr>
            <w:r w:rsidRPr="00154F1D">
              <w:rPr>
                <w:sz w:val="20"/>
              </w:rPr>
              <w:t>Fixed statutory time limits (often based on maximum penalties)</w:t>
            </w:r>
            <w:r w:rsidRPr="00154F1D">
              <w:rPr>
                <w:rStyle w:val="FootnoteReference"/>
              </w:rPr>
              <w:footnoteReference w:id="790"/>
            </w:r>
          </w:p>
        </w:tc>
        <w:tc>
          <w:tcPr>
            <w:tcW w:w="1947" w:type="pct"/>
          </w:tcPr>
          <w:p w14:paraId="146EFBA6" w14:textId="6974C02A" w:rsidR="00015534" w:rsidRPr="00154F1D" w:rsidRDefault="0018555A" w:rsidP="00B24334">
            <w:pPr>
              <w:pStyle w:val="NormalNumberedTextTLRI"/>
              <w:keepNext/>
              <w:numPr>
                <w:ilvl w:val="0"/>
                <w:numId w:val="29"/>
              </w:numPr>
              <w:spacing w:before="20" w:after="20"/>
              <w:ind w:left="139" w:hanging="205"/>
              <w:jc w:val="left"/>
              <w:rPr>
                <w:sz w:val="20"/>
              </w:rPr>
            </w:pPr>
            <w:r w:rsidRPr="00154F1D">
              <w:rPr>
                <w:sz w:val="20"/>
              </w:rPr>
              <w:t>Certainty and consistency</w:t>
            </w:r>
            <w:r w:rsidR="002E515E" w:rsidRPr="00154F1D">
              <w:rPr>
                <w:sz w:val="20"/>
              </w:rPr>
              <w:t>.</w:t>
            </w:r>
          </w:p>
        </w:tc>
        <w:tc>
          <w:tcPr>
            <w:tcW w:w="2096" w:type="pct"/>
          </w:tcPr>
          <w:p w14:paraId="4F8FDF12" w14:textId="77777777" w:rsidR="00015534" w:rsidRPr="00154F1D" w:rsidRDefault="0018555A" w:rsidP="00B24334">
            <w:pPr>
              <w:pStyle w:val="NormalNumberedTextTLRI"/>
              <w:keepNext/>
              <w:numPr>
                <w:ilvl w:val="0"/>
                <w:numId w:val="29"/>
              </w:numPr>
              <w:spacing w:before="20" w:after="20"/>
              <w:ind w:left="193" w:hanging="247"/>
              <w:jc w:val="left"/>
              <w:rPr>
                <w:sz w:val="20"/>
              </w:rPr>
            </w:pPr>
            <w:r w:rsidRPr="00154F1D">
              <w:rPr>
                <w:sz w:val="20"/>
              </w:rPr>
              <w:t xml:space="preserve">Difficult to apply in Tasmania as all offences under the </w:t>
            </w:r>
            <w:r w:rsidRPr="00154F1D">
              <w:rPr>
                <w:i/>
                <w:sz w:val="20"/>
              </w:rPr>
              <w:t>Criminal Code</w:t>
            </w:r>
            <w:r w:rsidRPr="00154F1D">
              <w:rPr>
                <w:sz w:val="20"/>
              </w:rPr>
              <w:t xml:space="preserve"> (other than murder and treason) have the same maximum penalty.</w:t>
            </w:r>
          </w:p>
          <w:p w14:paraId="2BCED28B" w14:textId="77777777" w:rsidR="0018555A" w:rsidRPr="00154F1D" w:rsidRDefault="0018555A" w:rsidP="00B24334">
            <w:pPr>
              <w:pStyle w:val="NormalNumberedTextTLRI"/>
              <w:keepNext/>
              <w:numPr>
                <w:ilvl w:val="0"/>
                <w:numId w:val="29"/>
              </w:numPr>
              <w:spacing w:before="20" w:after="20"/>
              <w:ind w:left="193" w:hanging="247"/>
              <w:jc w:val="left"/>
              <w:rPr>
                <w:sz w:val="20"/>
              </w:rPr>
            </w:pPr>
            <w:r w:rsidRPr="00154F1D">
              <w:rPr>
                <w:sz w:val="20"/>
              </w:rPr>
              <w:t>Ignores the range of sentences imposed for offences.</w:t>
            </w:r>
          </w:p>
          <w:p w14:paraId="00B8D85D" w14:textId="675BEA15" w:rsidR="001017D3" w:rsidRPr="00154F1D" w:rsidRDefault="001017D3" w:rsidP="00B24334">
            <w:pPr>
              <w:pStyle w:val="NormalNumberedTextTLRI"/>
              <w:keepNext/>
              <w:numPr>
                <w:ilvl w:val="0"/>
                <w:numId w:val="29"/>
              </w:numPr>
              <w:spacing w:before="20" w:after="20"/>
              <w:ind w:left="193" w:hanging="247"/>
              <w:jc w:val="left"/>
              <w:rPr>
                <w:sz w:val="20"/>
              </w:rPr>
            </w:pPr>
            <w:r w:rsidRPr="00154F1D">
              <w:rPr>
                <w:sz w:val="20"/>
              </w:rPr>
              <w:t>The relationship between the time limit and the offending conduct ceases to be proportionate and becomes arbitrary</w:t>
            </w:r>
            <w:r w:rsidR="009C5DE2" w:rsidRPr="00154F1D">
              <w:rPr>
                <w:sz w:val="20"/>
              </w:rPr>
              <w:t>.</w:t>
            </w:r>
          </w:p>
        </w:tc>
      </w:tr>
      <w:tr w:rsidR="00B41D72" w:rsidRPr="00154F1D" w14:paraId="3E83B67D" w14:textId="77777777" w:rsidTr="00AF195E">
        <w:tc>
          <w:tcPr>
            <w:tcW w:w="957" w:type="pct"/>
          </w:tcPr>
          <w:p w14:paraId="1922446C" w14:textId="0F2B68B9" w:rsidR="00015534" w:rsidRPr="00154F1D" w:rsidRDefault="0018555A" w:rsidP="006E569F">
            <w:pPr>
              <w:pStyle w:val="NormalNumberedTextTLRI"/>
              <w:numPr>
                <w:ilvl w:val="0"/>
                <w:numId w:val="0"/>
              </w:numPr>
              <w:spacing w:before="20" w:after="20"/>
              <w:jc w:val="left"/>
              <w:rPr>
                <w:sz w:val="20"/>
              </w:rPr>
            </w:pPr>
            <w:r w:rsidRPr="00154F1D">
              <w:rPr>
                <w:sz w:val="20"/>
              </w:rPr>
              <w:t>Risk management approach</w:t>
            </w:r>
          </w:p>
        </w:tc>
        <w:tc>
          <w:tcPr>
            <w:tcW w:w="1947" w:type="pct"/>
          </w:tcPr>
          <w:p w14:paraId="59397FBD" w14:textId="77777777" w:rsidR="00015534" w:rsidRPr="00154F1D" w:rsidRDefault="0018555A" w:rsidP="006E569F">
            <w:pPr>
              <w:pStyle w:val="NormalNumberedTextTLRI"/>
              <w:numPr>
                <w:ilvl w:val="0"/>
                <w:numId w:val="31"/>
              </w:numPr>
              <w:spacing w:before="20" w:after="20"/>
              <w:ind w:left="139" w:hanging="205"/>
              <w:jc w:val="left"/>
              <w:rPr>
                <w:sz w:val="20"/>
              </w:rPr>
            </w:pPr>
            <w:r w:rsidRPr="00154F1D">
              <w:rPr>
                <w:sz w:val="20"/>
              </w:rPr>
              <w:t>This would be able to take into account the likelihood of rehabilitation, the likely length and success of treatment (and impact on offending behaviour).</w:t>
            </w:r>
          </w:p>
          <w:p w14:paraId="52A78F5E" w14:textId="4BF9FCB6" w:rsidR="00D11568" w:rsidRPr="00154F1D" w:rsidRDefault="00D11568" w:rsidP="006E569F">
            <w:pPr>
              <w:pStyle w:val="NormalNumberedTextTLRI"/>
              <w:numPr>
                <w:ilvl w:val="0"/>
                <w:numId w:val="31"/>
              </w:numPr>
              <w:spacing w:before="20" w:after="20"/>
              <w:ind w:left="139" w:hanging="205"/>
              <w:jc w:val="left"/>
              <w:rPr>
                <w:sz w:val="20"/>
              </w:rPr>
            </w:pPr>
            <w:r w:rsidRPr="00154F1D">
              <w:rPr>
                <w:sz w:val="20"/>
              </w:rPr>
              <w:t>The length of the term should be set by the need to protect the community balanced against the principle that a person’s liberty should be subject to the minimum restriction necessary.</w:t>
            </w:r>
            <w:r w:rsidRPr="00154F1D">
              <w:rPr>
                <w:rStyle w:val="FootnoteReference"/>
              </w:rPr>
              <w:footnoteReference w:id="791"/>
            </w:r>
            <w:r w:rsidRPr="00154F1D">
              <w:rPr>
                <w:sz w:val="20"/>
              </w:rPr>
              <w:t xml:space="preserve"> </w:t>
            </w:r>
          </w:p>
        </w:tc>
        <w:tc>
          <w:tcPr>
            <w:tcW w:w="2096" w:type="pct"/>
          </w:tcPr>
          <w:p w14:paraId="457B1D45" w14:textId="77777777" w:rsidR="00015534" w:rsidRPr="00154F1D" w:rsidRDefault="0018555A" w:rsidP="006E569F">
            <w:pPr>
              <w:pStyle w:val="NormalNumberedTextTLRI"/>
              <w:numPr>
                <w:ilvl w:val="0"/>
                <w:numId w:val="30"/>
              </w:numPr>
              <w:spacing w:before="20" w:after="20"/>
              <w:ind w:left="193" w:hanging="247"/>
              <w:jc w:val="left"/>
              <w:rPr>
                <w:sz w:val="20"/>
              </w:rPr>
            </w:pPr>
            <w:r w:rsidRPr="00154F1D">
              <w:rPr>
                <w:sz w:val="20"/>
              </w:rPr>
              <w:t>Not an approach that the court is familiar with.</w:t>
            </w:r>
          </w:p>
          <w:p w14:paraId="0133E278" w14:textId="4E1D2A1C" w:rsidR="0018555A" w:rsidRPr="00154F1D" w:rsidRDefault="0018555A" w:rsidP="006E569F">
            <w:pPr>
              <w:pStyle w:val="NormalNumberedTextTLRI"/>
              <w:numPr>
                <w:ilvl w:val="0"/>
                <w:numId w:val="30"/>
              </w:numPr>
              <w:spacing w:before="20" w:after="20"/>
              <w:ind w:left="193" w:hanging="247"/>
              <w:jc w:val="left"/>
              <w:rPr>
                <w:sz w:val="20"/>
              </w:rPr>
            </w:pPr>
            <w:r w:rsidRPr="00154F1D">
              <w:rPr>
                <w:sz w:val="20"/>
              </w:rPr>
              <w:t>Predictions of risk factors may be difficult at an early stage.</w:t>
            </w:r>
          </w:p>
        </w:tc>
      </w:tr>
    </w:tbl>
    <w:p w14:paraId="4C0D1D01" w14:textId="7C6E2013" w:rsidR="0066462D" w:rsidRPr="00154F1D" w:rsidRDefault="00C96A25" w:rsidP="00744FAA">
      <w:pPr>
        <w:pStyle w:val="NormalNumberedTextTLRI"/>
      </w:pPr>
      <w:r w:rsidRPr="00154F1D">
        <w:t>As indicated, the application of the hypothetical sentence approach is the preferred approach in other jurisdictions. This was reaffirmed as the most appropriate approach by the NSWLRC. However, to address some of the limitations of the model, t</w:t>
      </w:r>
      <w:r w:rsidR="0066462D" w:rsidRPr="00154F1D">
        <w:t>he NSWLRC also recommended the following measures to make sure that the hypothetical sentence approach did not overestimate the commensurate sentence:</w:t>
      </w:r>
    </w:p>
    <w:p w14:paraId="2E1E9890" w14:textId="77777777" w:rsidR="0066462D" w:rsidRPr="00154F1D" w:rsidRDefault="0066462D" w:rsidP="00290482">
      <w:pPr>
        <w:pStyle w:val="DotPointTLRI"/>
        <w:ind w:left="851" w:hanging="425"/>
      </w:pPr>
      <w:r w:rsidRPr="00154F1D">
        <w:t>The court should estimate the sentence as if the person had been found guilty at a normal trial, and so taking into account the person’s cognitive or mental health impairment; and</w:t>
      </w:r>
    </w:p>
    <w:p w14:paraId="66970E51" w14:textId="66CFA70C" w:rsidR="0066462D" w:rsidRPr="00154F1D" w:rsidRDefault="0066462D" w:rsidP="00290482">
      <w:pPr>
        <w:pStyle w:val="DotPointTLRI"/>
        <w:ind w:left="851" w:hanging="425"/>
      </w:pPr>
      <w:r w:rsidRPr="00154F1D">
        <w:t>In order to make sure that the limiting term is fair in comparison with those found guilty at a normal trial, the court should have a broad discretion to discount the sentence taking into account that it may not be possible to demonstrate particular mitigating factors such as remorse or a guilty plea.</w:t>
      </w:r>
      <w:r w:rsidRPr="00154F1D">
        <w:rPr>
          <w:rStyle w:val="FootnoteReference"/>
        </w:rPr>
        <w:footnoteReference w:id="792"/>
      </w:r>
    </w:p>
    <w:p w14:paraId="70375B43" w14:textId="2C3C2BC4" w:rsidR="00015534" w:rsidRPr="00154F1D" w:rsidRDefault="00D003B6" w:rsidP="00744FAA">
      <w:pPr>
        <w:pStyle w:val="NormalNumberedTextTLRI"/>
      </w:pPr>
      <w:r w:rsidRPr="00154F1D">
        <w:t xml:space="preserve">In relation to the conditional release orders, </w:t>
      </w:r>
      <w:r w:rsidR="00956251" w:rsidRPr="00154F1D">
        <w:t>in other jurisdictions the period of the order is generally the same as the limit for good behaviour bonds/conditional release orders imposed as a sentence and range from 24 months to five years.</w:t>
      </w:r>
      <w:r w:rsidR="00956251" w:rsidRPr="00154F1D">
        <w:rPr>
          <w:rStyle w:val="FootnoteReference"/>
        </w:rPr>
        <w:footnoteReference w:id="793"/>
      </w:r>
      <w:r w:rsidR="00956251" w:rsidRPr="00154F1D">
        <w:t xml:space="preserve"> These have not been the subject of review in other jurisdictions. In Tasmania, an option would be to have the time limit for a conditional release order under the </w:t>
      </w:r>
      <w:r w:rsidR="009F509B" w:rsidRPr="00154F1D">
        <w:rPr>
          <w:i/>
          <w:iCs/>
        </w:rPr>
        <w:t xml:space="preserve">Criminal Justice (Mental Impairment) Act 1999 </w:t>
      </w:r>
      <w:r w:rsidR="009F509B" w:rsidRPr="00154F1D">
        <w:rPr>
          <w:iCs/>
        </w:rPr>
        <w:t>(Tas)</w:t>
      </w:r>
      <w:r w:rsidR="00956251" w:rsidRPr="00154F1D">
        <w:t xml:space="preserve"> equivalent to the period for a conditional undertaking under the </w:t>
      </w:r>
      <w:r w:rsidR="00956251" w:rsidRPr="00154F1D">
        <w:rPr>
          <w:i/>
        </w:rPr>
        <w:t xml:space="preserve">Sentencing Act 1997 </w:t>
      </w:r>
      <w:r w:rsidR="00956251" w:rsidRPr="00154F1D">
        <w:t>(Tas) s</w:t>
      </w:r>
      <w:r w:rsidR="002C3A99" w:rsidRPr="00154F1D">
        <w:t> </w:t>
      </w:r>
      <w:r w:rsidR="00956251" w:rsidRPr="00154F1D">
        <w:t>7(f), that is</w:t>
      </w:r>
      <w:r w:rsidR="001017D3" w:rsidRPr="00154F1D">
        <w:t>,</w:t>
      </w:r>
      <w:r w:rsidR="00956251" w:rsidRPr="00154F1D">
        <w:t xml:space="preserve"> five years.</w:t>
      </w:r>
    </w:p>
    <w:p w14:paraId="7A48F1F2" w14:textId="70194881" w:rsidR="00C96A25" w:rsidRPr="00154F1D" w:rsidRDefault="00C96A25" w:rsidP="00744FAA">
      <w:pPr>
        <w:pStyle w:val="NormalNumberedTextTLRI"/>
      </w:pPr>
      <w:r w:rsidRPr="00154F1D">
        <w:t xml:space="preserve">The TLRI seeks feedback in relation to how a limiting term should be set for supervision and restriction orders if one is adopted in Tasmania. In addition, the TLRI seeks feedback on whether the limiting term for conditional release orders should be the same as the conditional undertaking under the </w:t>
      </w:r>
      <w:r w:rsidRPr="00154F1D">
        <w:rPr>
          <w:i/>
        </w:rPr>
        <w:t xml:space="preserve">Sentencing Act 1997 </w:t>
      </w:r>
      <w:r w:rsidRPr="00154F1D">
        <w:t>(Tas) s 7(f) (five years).</w:t>
      </w:r>
    </w:p>
    <w:p w14:paraId="67E0BBA7" w14:textId="77777777" w:rsidR="00683D28" w:rsidRPr="00154F1D" w:rsidRDefault="00683D28" w:rsidP="00F77A6D">
      <w:pPr>
        <w:pStyle w:val="NormalNumberedTextTLRI"/>
        <w:keepNext/>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b/>
        </w:rPr>
      </w:pPr>
      <w:bookmarkStart w:id="205" w:name="Q63"/>
      <w:r w:rsidRPr="00154F1D">
        <w:rPr>
          <w:b/>
        </w:rPr>
        <w:t>Questions</w:t>
      </w:r>
    </w:p>
    <w:bookmarkEnd w:id="205"/>
    <w:p w14:paraId="4A4CB605" w14:textId="4472DD0E" w:rsidR="00143A13" w:rsidRPr="00154F1D" w:rsidRDefault="00F64964" w:rsidP="00F77A6D">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63</w:t>
      </w:r>
      <w:r w:rsidR="00E32917" w:rsidRPr="00154F1D">
        <w:t>.</w:t>
      </w:r>
      <w:r w:rsidR="00683D28" w:rsidRPr="00154F1D">
        <w:t xml:space="preserve"> </w:t>
      </w:r>
      <w:r w:rsidR="003F4DA0" w:rsidRPr="00154F1D">
        <w:t>If there is a time limit for restriction and supervision orders</w:t>
      </w:r>
      <w:r w:rsidR="009F509B" w:rsidRPr="00154F1D">
        <w:t xml:space="preserve"> under the </w:t>
      </w:r>
      <w:r w:rsidR="009F509B" w:rsidRPr="00154F1D">
        <w:rPr>
          <w:i/>
          <w:iCs/>
        </w:rPr>
        <w:t xml:space="preserve">Criminal Justice (Mental Impairment) Act 1999 </w:t>
      </w:r>
      <w:r w:rsidR="009F509B" w:rsidRPr="00154F1D">
        <w:rPr>
          <w:iCs/>
        </w:rPr>
        <w:t>(Tas)</w:t>
      </w:r>
      <w:r w:rsidR="003F4DA0" w:rsidRPr="00154F1D">
        <w:t>, on what basis should it be determined?</w:t>
      </w:r>
    </w:p>
    <w:p w14:paraId="5E46B33C" w14:textId="1721D66B" w:rsidR="003F4DA0" w:rsidRPr="00154F1D" w:rsidRDefault="00F64964" w:rsidP="00F77A6D">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64</w:t>
      </w:r>
      <w:r w:rsidR="00683D28" w:rsidRPr="00154F1D">
        <w:t xml:space="preserve">. </w:t>
      </w:r>
      <w:r w:rsidR="003F4DA0" w:rsidRPr="00154F1D">
        <w:t>If there is a time limit for conditional release orders</w:t>
      </w:r>
      <w:r w:rsidR="009F509B" w:rsidRPr="00154F1D">
        <w:t xml:space="preserve"> under the </w:t>
      </w:r>
      <w:r w:rsidR="009F509B" w:rsidRPr="00154F1D">
        <w:rPr>
          <w:i/>
          <w:iCs/>
        </w:rPr>
        <w:t xml:space="preserve">Criminal Justice (Mental Impairment) Act 1999 </w:t>
      </w:r>
      <w:r w:rsidR="009F509B" w:rsidRPr="00154F1D">
        <w:rPr>
          <w:iCs/>
        </w:rPr>
        <w:t>(Tas)</w:t>
      </w:r>
      <w:r w:rsidR="003F4DA0" w:rsidRPr="00154F1D">
        <w:t xml:space="preserve">, </w:t>
      </w:r>
      <w:r w:rsidR="00956251" w:rsidRPr="00154F1D">
        <w:t xml:space="preserve">should it be the same as the conditional undertaking under the </w:t>
      </w:r>
      <w:r w:rsidR="00956251" w:rsidRPr="00154F1D">
        <w:rPr>
          <w:i/>
        </w:rPr>
        <w:t xml:space="preserve">Sentencing Act 1997 </w:t>
      </w:r>
      <w:r w:rsidR="00956251" w:rsidRPr="00154F1D">
        <w:t xml:space="preserve">(Tas) s 7(f) (five years)? If not, </w:t>
      </w:r>
      <w:r w:rsidR="003F4DA0" w:rsidRPr="00154F1D">
        <w:t>on what basis should it be determined?</w:t>
      </w:r>
    </w:p>
    <w:p w14:paraId="043BDE81" w14:textId="32FC58F5" w:rsidR="007C58B6" w:rsidRPr="00154F1D" w:rsidRDefault="007C58B6" w:rsidP="00C060BA">
      <w:pPr>
        <w:pStyle w:val="Sub-HeadingTLRI"/>
      </w:pPr>
      <w:bookmarkStart w:id="206" w:name="_Toc535868983"/>
      <w:r w:rsidRPr="00154F1D">
        <w:t xml:space="preserve">Test for making, varying, discharging or revoking orders under the </w:t>
      </w:r>
      <w:r w:rsidR="00435E77" w:rsidRPr="00154F1D">
        <w:rPr>
          <w:iCs/>
        </w:rPr>
        <w:t>Criminal Justice (Mental Impairment) Act 1999</w:t>
      </w:r>
      <w:r w:rsidR="00435E77" w:rsidRPr="00154F1D">
        <w:rPr>
          <w:i w:val="0"/>
          <w:iCs/>
        </w:rPr>
        <w:t xml:space="preserve"> </w:t>
      </w:r>
      <w:r w:rsidR="00435E77" w:rsidRPr="00154F1D">
        <w:rPr>
          <w:iCs/>
        </w:rPr>
        <w:t>(Tas)</w:t>
      </w:r>
      <w:bookmarkEnd w:id="206"/>
    </w:p>
    <w:p w14:paraId="41F02547" w14:textId="15C5F826" w:rsidR="00435E77" w:rsidRPr="00154F1D" w:rsidRDefault="00A20B05" w:rsidP="00744FAA">
      <w:pPr>
        <w:pStyle w:val="NormalNumberedTextTLRI"/>
      </w:pPr>
      <w:r w:rsidRPr="00154F1D">
        <w:t>In</w:t>
      </w:r>
      <w:r w:rsidR="00E5479E" w:rsidRPr="00154F1D">
        <w:t xml:space="preserve"> Tasmania, </w:t>
      </w:r>
      <w:r w:rsidRPr="00154F1D">
        <w:t xml:space="preserve">the </w:t>
      </w:r>
      <w:r w:rsidR="009F509B" w:rsidRPr="00154F1D">
        <w:rPr>
          <w:i/>
          <w:iCs/>
        </w:rPr>
        <w:t xml:space="preserve">Criminal Justice (Mental Impairment) Act 1999 </w:t>
      </w:r>
      <w:r w:rsidR="009F509B" w:rsidRPr="00154F1D">
        <w:rPr>
          <w:iCs/>
        </w:rPr>
        <w:t>(Tas)</w:t>
      </w:r>
      <w:r w:rsidRPr="00154F1D">
        <w:t xml:space="preserve"> sets out the test for the Supreme Court to apply when making, varying, discharging or revoking order</w:t>
      </w:r>
      <w:r w:rsidR="00E04C92">
        <w:t>s</w:t>
      </w:r>
      <w:r w:rsidRPr="00154F1D">
        <w:t>. Th</w:t>
      </w:r>
      <w:r w:rsidR="00A350C0" w:rsidRPr="00154F1D">
        <w:t xml:space="preserve">e </w:t>
      </w:r>
      <w:r w:rsidR="002F38D6" w:rsidRPr="00154F1D">
        <w:t xml:space="preserve">same principles apply to all decision-making </w:t>
      </w:r>
      <w:r w:rsidR="0063160E" w:rsidRPr="00154F1D">
        <w:t xml:space="preserve">by the Supreme Court </w:t>
      </w:r>
      <w:r w:rsidR="002F38D6" w:rsidRPr="00154F1D">
        <w:t xml:space="preserve">and are </w:t>
      </w:r>
      <w:r w:rsidRPr="00154F1D">
        <w:t xml:space="preserve">discussed </w:t>
      </w:r>
      <w:r w:rsidR="009B2DB3" w:rsidRPr="00154F1D">
        <w:t xml:space="preserve">in detail </w:t>
      </w:r>
      <w:r w:rsidRPr="00154F1D">
        <w:t xml:space="preserve">at </w:t>
      </w:r>
      <w:r w:rsidR="00A94524" w:rsidRPr="00154F1D">
        <w:t>[8.2.9] and [8.2.22]–[8.2.27]</w:t>
      </w:r>
      <w:r w:rsidRPr="00154F1D">
        <w:t xml:space="preserve">. </w:t>
      </w:r>
      <w:r w:rsidR="003E21E6" w:rsidRPr="00154F1D">
        <w:t xml:space="preserve">As noted, </w:t>
      </w:r>
      <w:r w:rsidR="00435E77" w:rsidRPr="00154F1D">
        <w:t xml:space="preserve">the provisions aim to </w:t>
      </w:r>
      <w:r w:rsidR="00911395" w:rsidRPr="00154F1D">
        <w:t>provid</w:t>
      </w:r>
      <w:r w:rsidR="00435E77" w:rsidRPr="00154F1D">
        <w:t>e</w:t>
      </w:r>
      <w:r w:rsidR="00911395" w:rsidRPr="00154F1D">
        <w:t xml:space="preserve"> an appropriate balance between the need to protect the safety of the community and the principle of least restriction with the defendant’s freedom and personal autonomy. In making this assessment, </w:t>
      </w:r>
      <w:r w:rsidR="003E21E6" w:rsidRPr="00154F1D">
        <w:t xml:space="preserve">there is a focus </w:t>
      </w:r>
      <w:r w:rsidR="00435E77" w:rsidRPr="00154F1D">
        <w:t xml:space="preserve">in the legislation (and by the court) </w:t>
      </w:r>
      <w:r w:rsidR="003E21E6" w:rsidRPr="00154F1D">
        <w:t xml:space="preserve">on the likely danger that </w:t>
      </w:r>
      <w:r w:rsidR="00911395" w:rsidRPr="00154F1D">
        <w:t xml:space="preserve">the defendant </w:t>
      </w:r>
      <w:r w:rsidR="009B2DB3" w:rsidRPr="00154F1D">
        <w:t>poses to other people if released</w:t>
      </w:r>
      <w:r w:rsidR="003E21E6" w:rsidRPr="00154F1D">
        <w:t xml:space="preserve">. </w:t>
      </w:r>
    </w:p>
    <w:p w14:paraId="3354DDD2" w14:textId="30559BA8" w:rsidR="00B521CE" w:rsidRPr="00154F1D" w:rsidRDefault="009B2DB3" w:rsidP="00744FAA">
      <w:pPr>
        <w:pStyle w:val="NormalNumberedTextTLRI"/>
      </w:pPr>
      <w:r w:rsidRPr="00154F1D">
        <w:t xml:space="preserve">This </w:t>
      </w:r>
      <w:r w:rsidR="007E53F6" w:rsidRPr="00154F1D">
        <w:t>section</w:t>
      </w:r>
      <w:r w:rsidRPr="00154F1D">
        <w:t xml:space="preserve"> </w:t>
      </w:r>
      <w:r w:rsidR="00435E77" w:rsidRPr="00154F1D">
        <w:t xml:space="preserve">of the </w:t>
      </w:r>
      <w:r w:rsidR="00A1713B" w:rsidRPr="00154F1D">
        <w:t>Issues Paper</w:t>
      </w:r>
      <w:r w:rsidR="00435E77" w:rsidRPr="00154F1D">
        <w:t xml:space="preserve"> </w:t>
      </w:r>
      <w:r w:rsidRPr="00154F1D">
        <w:t xml:space="preserve">focuses on whether there is a need to reform the test </w:t>
      </w:r>
      <w:r w:rsidR="00435E77" w:rsidRPr="00154F1D">
        <w:t xml:space="preserve">contained in the </w:t>
      </w:r>
      <w:r w:rsidR="00435E77" w:rsidRPr="00154F1D">
        <w:rPr>
          <w:i/>
          <w:iCs/>
        </w:rPr>
        <w:t xml:space="preserve">Criminal Justice (Mental Impairment) Act 1999 </w:t>
      </w:r>
      <w:r w:rsidR="00435E77" w:rsidRPr="00154F1D">
        <w:rPr>
          <w:iCs/>
        </w:rPr>
        <w:t xml:space="preserve">(Tas) </w:t>
      </w:r>
      <w:r w:rsidRPr="00154F1D">
        <w:t>for making an assessment of whether to detain a p</w:t>
      </w:r>
      <w:r w:rsidR="00435E77" w:rsidRPr="00154F1D">
        <w:t xml:space="preserve">erson under a supervision order, </w:t>
      </w:r>
      <w:r w:rsidRPr="00154F1D">
        <w:t>impose a supervision order</w:t>
      </w:r>
      <w:r w:rsidR="00435E77" w:rsidRPr="00154F1D">
        <w:t xml:space="preserve"> or a treatment order or release a person conditionally or unconditionally</w:t>
      </w:r>
      <w:r w:rsidRPr="00154F1D">
        <w:t xml:space="preserve">. In addition, it considers the basis on which a forensic patient should be </w:t>
      </w:r>
      <w:r w:rsidR="00435E77" w:rsidRPr="00154F1D">
        <w:t>released</w:t>
      </w:r>
      <w:r w:rsidRPr="00154F1D">
        <w:t xml:space="preserve"> from detention or supervision. </w:t>
      </w:r>
      <w:r w:rsidR="00435E77" w:rsidRPr="00154F1D">
        <w:t>It also</w:t>
      </w:r>
      <w:r w:rsidRPr="00154F1D">
        <w:t xml:space="preserve"> addresses concerns </w:t>
      </w:r>
      <w:r w:rsidR="00012ABC" w:rsidRPr="00154F1D">
        <w:t xml:space="preserve">that have been raised </w:t>
      </w:r>
      <w:r w:rsidRPr="00154F1D">
        <w:t xml:space="preserve">about the difficulties that arise for forensic patients in having </w:t>
      </w:r>
      <w:r w:rsidR="00435E77" w:rsidRPr="00154F1D">
        <w:t xml:space="preserve">these </w:t>
      </w:r>
      <w:r w:rsidRPr="00154F1D">
        <w:t>order</w:t>
      </w:r>
      <w:r w:rsidR="00012ABC" w:rsidRPr="00154F1D">
        <w:t>s</w:t>
      </w:r>
      <w:r w:rsidRPr="00154F1D">
        <w:t xml:space="preserve"> discharged.</w:t>
      </w:r>
      <w:r w:rsidR="00A429D1" w:rsidRPr="00154F1D">
        <w:t xml:space="preserve"> </w:t>
      </w:r>
      <w:r w:rsidR="00435E77" w:rsidRPr="00154F1D">
        <w:t>These issues will require resolution in Tasmania, e</w:t>
      </w:r>
      <w:r w:rsidR="00A429D1" w:rsidRPr="00154F1D">
        <w:t xml:space="preserve">ven if </w:t>
      </w:r>
      <w:r w:rsidR="00A1713B" w:rsidRPr="00154F1D">
        <w:t xml:space="preserve">a </w:t>
      </w:r>
      <w:r w:rsidR="00A429D1" w:rsidRPr="00154F1D">
        <w:t>limiting term</w:t>
      </w:r>
      <w:r w:rsidRPr="00154F1D">
        <w:t xml:space="preserve"> is introduced in Tasmania for forensic patients</w:t>
      </w:r>
      <w:r w:rsidR="00A429D1" w:rsidRPr="00154F1D">
        <w:t xml:space="preserve">, </w:t>
      </w:r>
      <w:r w:rsidR="00435E77" w:rsidRPr="00154F1D">
        <w:t xml:space="preserve">as </w:t>
      </w:r>
      <w:r w:rsidRPr="00154F1D">
        <w:t xml:space="preserve">it will </w:t>
      </w:r>
      <w:r w:rsidR="00435E77" w:rsidRPr="00154F1D">
        <w:t xml:space="preserve">still </w:t>
      </w:r>
      <w:r w:rsidRPr="00154F1D">
        <w:t xml:space="preserve">be </w:t>
      </w:r>
      <w:r w:rsidR="00A429D1" w:rsidRPr="00154F1D">
        <w:t xml:space="preserve">necessary to decide on what basis </w:t>
      </w:r>
      <w:r w:rsidR="00C2383F" w:rsidRPr="00154F1D">
        <w:t xml:space="preserve">the </w:t>
      </w:r>
      <w:r w:rsidR="00435E77" w:rsidRPr="00154F1D">
        <w:t xml:space="preserve">order should be made and on what basis </w:t>
      </w:r>
      <w:r w:rsidR="00A429D1" w:rsidRPr="00154F1D">
        <w:t xml:space="preserve">a person can be discharged </w:t>
      </w:r>
      <w:r w:rsidRPr="00154F1D">
        <w:t xml:space="preserve">or </w:t>
      </w:r>
      <w:r w:rsidR="00435E77" w:rsidRPr="00154F1D">
        <w:t xml:space="preserve">have </w:t>
      </w:r>
      <w:r w:rsidRPr="00154F1D">
        <w:t xml:space="preserve">an order varied </w:t>
      </w:r>
      <w:r w:rsidR="00A429D1" w:rsidRPr="00154F1D">
        <w:t xml:space="preserve">prior to </w:t>
      </w:r>
      <w:r w:rsidRPr="00154F1D">
        <w:t>the expiry of the limiting term.</w:t>
      </w:r>
    </w:p>
    <w:p w14:paraId="07C66B27" w14:textId="0343530E" w:rsidR="00B467E1" w:rsidRPr="00154F1D" w:rsidRDefault="003B34F1" w:rsidP="00744FAA">
      <w:pPr>
        <w:pStyle w:val="NormalNumberedTextTLRI"/>
      </w:pPr>
      <w:r w:rsidRPr="00154F1D">
        <w:t>Previous a</w:t>
      </w:r>
      <w:r w:rsidR="00012ABC" w:rsidRPr="00154F1D">
        <w:t>nalysis</w:t>
      </w:r>
      <w:r w:rsidRPr="00154F1D">
        <w:t xml:space="preserve"> of the Tasmanian forensic mental health system has </w:t>
      </w:r>
      <w:r w:rsidR="00012ABC" w:rsidRPr="00154F1D">
        <w:t xml:space="preserve">raised </w:t>
      </w:r>
      <w:r w:rsidRPr="00154F1D">
        <w:t xml:space="preserve">concerns </w:t>
      </w:r>
      <w:r w:rsidR="00012ABC" w:rsidRPr="00154F1D">
        <w:t>about</w:t>
      </w:r>
      <w:r w:rsidRPr="00154F1D">
        <w:t xml:space="preserve"> the difficulty that patients experience</w:t>
      </w:r>
      <w:r w:rsidR="00012ABC" w:rsidRPr="00154F1D">
        <w:t xml:space="preserve"> in having a fore</w:t>
      </w:r>
      <w:r w:rsidR="00DB20D2" w:rsidRPr="00154F1D">
        <w:t>ns</w:t>
      </w:r>
      <w:r w:rsidR="00012ABC" w:rsidRPr="00154F1D">
        <w:t>i</w:t>
      </w:r>
      <w:r w:rsidR="00DB20D2" w:rsidRPr="00154F1D">
        <w:t>c</w:t>
      </w:r>
      <w:r w:rsidRPr="00154F1D">
        <w:t xml:space="preserve"> order discharged. As noted at </w:t>
      </w:r>
      <w:r w:rsidR="00A94524" w:rsidRPr="00154F1D">
        <w:t>[8.3.11]</w:t>
      </w:r>
      <w:r w:rsidRPr="00154F1D">
        <w:t xml:space="preserve">, there </w:t>
      </w:r>
      <w:r w:rsidR="00DB20D2" w:rsidRPr="00154F1D">
        <w:t>are</w:t>
      </w:r>
      <w:r w:rsidRPr="00154F1D">
        <w:t xml:space="preserve"> concern</w:t>
      </w:r>
      <w:r w:rsidR="00DB20D2" w:rsidRPr="00154F1D">
        <w:t>s</w:t>
      </w:r>
      <w:r w:rsidRPr="00154F1D">
        <w:t xml:space="preserve"> that under restriction orders, forensic patients are detained for ‘substantially more than what [they] would have been if they had been found guilty of the offence’ (other than in cases of murder).</w:t>
      </w:r>
      <w:r w:rsidRPr="00154F1D">
        <w:rPr>
          <w:rStyle w:val="FootnoteReference"/>
        </w:rPr>
        <w:footnoteReference w:id="794"/>
      </w:r>
      <w:r w:rsidRPr="00154F1D">
        <w:t xml:space="preserve"> Similar observations have been made in relation to supervision orders</w:t>
      </w:r>
      <w:r w:rsidR="00435E77" w:rsidRPr="00154F1D">
        <w:t>, where concerns have been raised about the length of time that a forensic patient is subject to supervision</w:t>
      </w:r>
      <w:r w:rsidRPr="00154F1D">
        <w:t>.</w:t>
      </w:r>
      <w:r w:rsidRPr="00154F1D">
        <w:rPr>
          <w:rStyle w:val="FootnoteReference"/>
        </w:rPr>
        <w:footnoteReference w:id="795"/>
      </w:r>
      <w:r w:rsidRPr="00154F1D">
        <w:t xml:space="preserve"> </w:t>
      </w:r>
      <w:r w:rsidR="00B467E1" w:rsidRPr="00154F1D">
        <w:t xml:space="preserve">The Anti-Discrimination Commissioner has illustrated </w:t>
      </w:r>
      <w:r w:rsidR="00435E77" w:rsidRPr="00154F1D">
        <w:t xml:space="preserve">the </w:t>
      </w:r>
      <w:r w:rsidR="00DB20D2" w:rsidRPr="00154F1D">
        <w:t>issues that exist in relation to having an order discharged with</w:t>
      </w:r>
      <w:r w:rsidR="00B467E1" w:rsidRPr="00154F1D">
        <w:t xml:space="preserve"> </w:t>
      </w:r>
      <w:r w:rsidR="00290056" w:rsidRPr="00154F1D">
        <w:t>a case study</w:t>
      </w:r>
      <w:r w:rsidR="00435E77" w:rsidRPr="00154F1D">
        <w:t xml:space="preserve">. </w:t>
      </w:r>
    </w:p>
    <w:p w14:paraId="1DB79457" w14:textId="1D3AA819" w:rsidR="00B467E1" w:rsidRPr="008D0215" w:rsidRDefault="00B467E1" w:rsidP="008D0215">
      <w:pPr>
        <w:pStyle w:val="NormalNumberedTextTLRI"/>
        <w:numPr>
          <w:ilvl w:val="0"/>
          <w:numId w:val="0"/>
        </w:numPr>
        <w:pBdr>
          <w:top w:val="single" w:sz="2" w:space="1" w:color="000000"/>
          <w:left w:val="single" w:sz="2" w:space="1" w:color="000000"/>
          <w:bottom w:val="single" w:sz="2" w:space="1" w:color="000000"/>
          <w:right w:val="single" w:sz="2" w:space="1" w:color="000000"/>
        </w:pBdr>
        <w:spacing w:after="120"/>
        <w:ind w:left="57" w:right="57"/>
      </w:pPr>
      <w:r w:rsidRPr="008D0215">
        <w:t xml:space="preserve">Case </w:t>
      </w:r>
      <w:r w:rsidR="00012ABC" w:rsidRPr="008D0215">
        <w:t>Example</w:t>
      </w:r>
    </w:p>
    <w:p w14:paraId="3A610338" w14:textId="5AAC28D9" w:rsidR="00B467E1" w:rsidRPr="00154F1D" w:rsidRDefault="00B467E1" w:rsidP="008D0215">
      <w:pPr>
        <w:pStyle w:val="NormalNumberedTextTLRI"/>
        <w:numPr>
          <w:ilvl w:val="0"/>
          <w:numId w:val="0"/>
        </w:numPr>
        <w:pBdr>
          <w:top w:val="single" w:sz="2" w:space="1" w:color="000000"/>
          <w:left w:val="single" w:sz="2" w:space="1" w:color="000000"/>
          <w:bottom w:val="single" w:sz="2" w:space="1" w:color="000000"/>
          <w:right w:val="single" w:sz="2" w:space="1" w:color="000000"/>
        </w:pBdr>
        <w:spacing w:before="120"/>
        <w:ind w:left="57" w:right="57"/>
      </w:pPr>
      <w:r w:rsidRPr="00154F1D">
        <w:t>A man was subject to a restriction order for 16 years. Despite reports f</w:t>
      </w:r>
      <w:r w:rsidR="00DB20D2" w:rsidRPr="00154F1D">
        <w:t>ro</w:t>
      </w:r>
      <w:r w:rsidRPr="00154F1D">
        <w:t xml:space="preserve">m the Tasmanian Forensic Review Tribunal suggesting that the restriction order be lifted and replaced by a supervision order allowing him to reside in the community subject to the supervision of the Chief Forensic Psychiatrist, the courts </w:t>
      </w:r>
      <w:r w:rsidR="00CA7AD6">
        <w:t>were</w:t>
      </w:r>
      <w:r w:rsidRPr="00154F1D">
        <w:t xml:space="preserve"> reluctant to revoke the restriction order on the basis that they </w:t>
      </w:r>
      <w:r w:rsidR="00CA7AD6">
        <w:t>had</w:t>
      </w:r>
      <w:r w:rsidR="00CA7AD6" w:rsidRPr="00154F1D">
        <w:t xml:space="preserve"> </w:t>
      </w:r>
      <w:r w:rsidRPr="00154F1D">
        <w:t xml:space="preserve">no evidence of how the person </w:t>
      </w:r>
      <w:r w:rsidR="00CA7AD6">
        <w:t>would</w:t>
      </w:r>
      <w:r w:rsidR="00CA7AD6" w:rsidRPr="00154F1D">
        <w:t xml:space="preserve"> </w:t>
      </w:r>
      <w:r w:rsidRPr="00154F1D">
        <w:t>operate in the community.</w:t>
      </w:r>
    </w:p>
    <w:p w14:paraId="6DBBD830" w14:textId="588B4805" w:rsidR="00435E77" w:rsidRPr="00154F1D" w:rsidRDefault="00435E77" w:rsidP="00491910">
      <w:pPr>
        <w:pStyle w:val="NormalNumberedTextTLRI"/>
        <w:numPr>
          <w:ilvl w:val="0"/>
          <w:numId w:val="0"/>
        </w:numPr>
      </w:pPr>
      <w:r w:rsidRPr="00154F1D">
        <w:t>This was described as presenting a ‘catch 22’ situation given that it would be ‘almost impossible to gather evidence to present to the court to demonstrate how they would operate in a different setting’.</w:t>
      </w:r>
      <w:r w:rsidRPr="00154F1D">
        <w:rPr>
          <w:rStyle w:val="FootnoteReference"/>
        </w:rPr>
        <w:footnoteReference w:id="796"/>
      </w:r>
    </w:p>
    <w:p w14:paraId="474FC7B4" w14:textId="5FC1E521" w:rsidR="00213022" w:rsidRPr="00154F1D" w:rsidRDefault="00290056" w:rsidP="00744FAA">
      <w:pPr>
        <w:pStyle w:val="NormalNumberedTextTLRI"/>
      </w:pPr>
      <w:r w:rsidRPr="00154F1D">
        <w:t xml:space="preserve">There also appears to be a </w:t>
      </w:r>
      <w:r w:rsidR="007F7A59" w:rsidRPr="00154F1D">
        <w:t xml:space="preserve">traditional </w:t>
      </w:r>
      <w:r w:rsidRPr="00154F1D">
        <w:t xml:space="preserve">reluctance for the </w:t>
      </w:r>
      <w:r w:rsidR="00336C79" w:rsidRPr="00154F1D">
        <w:t>Supreme</w:t>
      </w:r>
      <w:r w:rsidRPr="00154F1D">
        <w:t xml:space="preserve"> Court to allow an </w:t>
      </w:r>
      <w:r w:rsidR="001E0CE7">
        <w:t>individual</w:t>
      </w:r>
      <w:r w:rsidR="001E0CE7" w:rsidRPr="00154F1D">
        <w:t xml:space="preserve"> </w:t>
      </w:r>
      <w:r w:rsidRPr="00154F1D">
        <w:t>to transition from a</w:t>
      </w:r>
      <w:r w:rsidR="004A1B22" w:rsidRPr="00154F1D">
        <w:t>n</w:t>
      </w:r>
      <w:r w:rsidRPr="00154F1D">
        <w:t xml:space="preserve"> </w:t>
      </w:r>
      <w:r w:rsidR="004A1B22" w:rsidRPr="00154F1D">
        <w:t xml:space="preserve">indefinite </w:t>
      </w:r>
      <w:r w:rsidRPr="00154F1D">
        <w:t xml:space="preserve">supervision order to a </w:t>
      </w:r>
      <w:r w:rsidR="004A1B22" w:rsidRPr="00154F1D">
        <w:t xml:space="preserve">limited term </w:t>
      </w:r>
      <w:r w:rsidRPr="00154F1D">
        <w:t xml:space="preserve">treatment order in cases where </w:t>
      </w:r>
      <w:r w:rsidR="00C0057C" w:rsidRPr="00154F1D">
        <w:t>a person</w:t>
      </w:r>
      <w:r w:rsidRPr="00154F1D">
        <w:t xml:space="preserve"> has a mental illness that requires long</w:t>
      </w:r>
      <w:r w:rsidR="00891FDF">
        <w:t>-</w:t>
      </w:r>
      <w:r w:rsidRPr="00154F1D">
        <w:t>term (potentially life-long) treatment</w:t>
      </w:r>
      <w:r w:rsidR="00336C79" w:rsidRPr="00154F1D">
        <w:t>, such as schizophrenia</w:t>
      </w:r>
      <w:r w:rsidRPr="00154F1D">
        <w:t xml:space="preserve">. This is illustrated in the cases of </w:t>
      </w:r>
      <w:r w:rsidRPr="00154F1D">
        <w:rPr>
          <w:i/>
        </w:rPr>
        <w:t>CJS v Tasmania</w:t>
      </w:r>
      <w:r w:rsidRPr="00154F1D">
        <w:t xml:space="preserve"> and </w:t>
      </w:r>
      <w:r w:rsidRPr="00154F1D">
        <w:rPr>
          <w:i/>
        </w:rPr>
        <w:t>Secretary of the Department of Health and Human Services v Horacek</w:t>
      </w:r>
      <w:r w:rsidRPr="00154F1D">
        <w:t xml:space="preserve">, where </w:t>
      </w:r>
      <w:r w:rsidR="004B5E4B" w:rsidRPr="00154F1D">
        <w:t xml:space="preserve">in both cases </w:t>
      </w:r>
      <w:r w:rsidRPr="00154F1D">
        <w:t xml:space="preserve">the </w:t>
      </w:r>
      <w:r w:rsidR="00C0057C" w:rsidRPr="00154F1D">
        <w:t xml:space="preserve">person </w:t>
      </w:r>
      <w:r w:rsidRPr="00154F1D">
        <w:t xml:space="preserve">committed an offence while unmedicated and, on the evidence, was not a danger </w:t>
      </w:r>
      <w:r w:rsidR="00BF766C" w:rsidRPr="00154F1D">
        <w:t>to the</w:t>
      </w:r>
      <w:r w:rsidRPr="00154F1D">
        <w:t xml:space="preserve"> community while medicated. However, the concern </w:t>
      </w:r>
      <w:r w:rsidR="00435E77" w:rsidRPr="00154F1D">
        <w:t xml:space="preserve">expressed by the court </w:t>
      </w:r>
      <w:r w:rsidRPr="00154F1D">
        <w:t>was that the person may be</w:t>
      </w:r>
      <w:r w:rsidR="00BF766C" w:rsidRPr="00154F1D">
        <w:t>come</w:t>
      </w:r>
      <w:r w:rsidRPr="00154F1D">
        <w:t xml:space="preserve"> non-compliant with a medication regime once the supervision order was revoked, and so the potential for danger to the community would re-emerge. While under both a supervision order and a treatment order there is power for a compulsory medication regime, the court was concerned about need to renew a treatment order (in contrast to the indefinite nature of the supervision order) and the lack of judicial oversight. In these circumstances, it was considered that the long-term </w:t>
      </w:r>
      <w:r w:rsidR="00435E77" w:rsidRPr="00154F1D">
        <w:t>management</w:t>
      </w:r>
      <w:r w:rsidRPr="00154F1D">
        <w:t xml:space="preserve"> regime provided by a supervision order was necessary. Again</w:t>
      </w:r>
      <w:r w:rsidR="00164CC3" w:rsidRPr="00154F1D">
        <w:t>,</w:t>
      </w:r>
      <w:r w:rsidRPr="00154F1D">
        <w:t xml:space="preserve"> there appears to the </w:t>
      </w:r>
      <w:r w:rsidR="00164CC3" w:rsidRPr="00154F1D">
        <w:t xml:space="preserve">‘catch 22’ </w:t>
      </w:r>
      <w:r w:rsidR="00435E77" w:rsidRPr="00154F1D">
        <w:t>given that there is little ability for a forensic patient to demonstrate compliance with treatment without a supervision order, until provided with this opportunity</w:t>
      </w:r>
      <w:r w:rsidR="00336C79" w:rsidRPr="00154F1D">
        <w:t xml:space="preserve">. Further, Smith has argued that </w:t>
      </w:r>
      <w:r w:rsidR="00435E77" w:rsidRPr="00154F1D">
        <w:t xml:space="preserve">these cases show that </w:t>
      </w:r>
      <w:r w:rsidR="00BF766C" w:rsidRPr="00154F1D">
        <w:t>‘</w:t>
      </w:r>
      <w:r w:rsidR="00336C79" w:rsidRPr="00154F1D">
        <w:t xml:space="preserve">too little weight is attached to the fact that the commission of the offences occurred when a person was undiagnosed and untreated’ with the ‘single most important aspect </w:t>
      </w:r>
      <w:r w:rsidR="00435E77" w:rsidRPr="00154F1D">
        <w:t>[from the court’s point of view]</w:t>
      </w:r>
      <w:r w:rsidR="00336C79" w:rsidRPr="00154F1D">
        <w:t xml:space="preserve"> with respect to schizophrenia is that it requires lifelong treatment and, in their view, mandatory treatment’.</w:t>
      </w:r>
      <w:r w:rsidR="00336C79" w:rsidRPr="00154F1D">
        <w:rPr>
          <w:rStyle w:val="FootnoteReference"/>
        </w:rPr>
        <w:footnoteReference w:id="797"/>
      </w:r>
      <w:r w:rsidR="00336C79" w:rsidRPr="00154F1D">
        <w:t xml:space="preserve"> </w:t>
      </w:r>
      <w:r w:rsidR="00E840FD" w:rsidRPr="00154F1D">
        <w:t xml:space="preserve">This approach </w:t>
      </w:r>
      <w:r w:rsidR="008050DE">
        <w:t>i</w:t>
      </w:r>
      <w:r w:rsidR="008050DE" w:rsidRPr="00154F1D">
        <w:t xml:space="preserve">s </w:t>
      </w:r>
      <w:r w:rsidR="00E840FD" w:rsidRPr="00154F1D">
        <w:t xml:space="preserve">evident in other decisions of the Supreme Court where applications to revoke supervision orders were rejected on the basis the </w:t>
      </w:r>
      <w:r w:rsidR="001E0CE7">
        <w:t>person</w:t>
      </w:r>
      <w:r w:rsidR="001E0CE7" w:rsidRPr="00154F1D">
        <w:t xml:space="preserve"> </w:t>
      </w:r>
      <w:r w:rsidR="00E840FD" w:rsidRPr="00154F1D">
        <w:t>had a chronic mental health condition and that there was a concern about the suitability of a treatment order as a mean</w:t>
      </w:r>
      <w:r w:rsidR="00852AB8">
        <w:t xml:space="preserve">s </w:t>
      </w:r>
      <w:r w:rsidR="00E840FD" w:rsidRPr="00154F1D">
        <w:t>to ensure compliance with medication requirements.</w:t>
      </w:r>
    </w:p>
    <w:p w14:paraId="7F12EE52" w14:textId="72705BC8" w:rsidR="00893DE3" w:rsidRPr="00154F1D" w:rsidRDefault="00893DE3" w:rsidP="00744FAA">
      <w:pPr>
        <w:pStyle w:val="NormalNumberedTextTLRI"/>
      </w:pPr>
      <w:r w:rsidRPr="00154F1D">
        <w:t xml:space="preserve">However, more recently, </w:t>
      </w:r>
      <w:r w:rsidR="008C217A" w:rsidRPr="00154F1D">
        <w:t xml:space="preserve">people </w:t>
      </w:r>
      <w:r w:rsidRPr="00154F1D">
        <w:t>with schizophrenia or a schizoaffective disorder</w:t>
      </w:r>
      <w:r w:rsidR="00476B0D" w:rsidRPr="00154F1D">
        <w:t xml:space="preserve"> have had </w:t>
      </w:r>
      <w:r w:rsidRPr="00154F1D">
        <w:t>supervision order</w:t>
      </w:r>
      <w:r w:rsidR="00BD2360" w:rsidRPr="00154F1D">
        <w:t>s</w:t>
      </w:r>
      <w:r w:rsidRPr="00154F1D">
        <w:t xml:space="preserve"> revoked. Data from the MHT show that since November 2010, there have been </w:t>
      </w:r>
      <w:r w:rsidR="00F763AC" w:rsidRPr="00154F1D">
        <w:t>six</w:t>
      </w:r>
      <w:r w:rsidRPr="00154F1D">
        <w:t xml:space="preserve"> </w:t>
      </w:r>
      <w:r w:rsidR="00537908" w:rsidRPr="00154F1D">
        <w:t xml:space="preserve">people </w:t>
      </w:r>
      <w:r w:rsidRPr="00154F1D">
        <w:t>with schizophrenia or a schizoaffective disorder who have had their supervision order</w:t>
      </w:r>
      <w:r w:rsidR="00476B0D" w:rsidRPr="00154F1D">
        <w:t>s</w:t>
      </w:r>
      <w:r w:rsidRPr="00154F1D">
        <w:t xml:space="preserve"> revoked. </w:t>
      </w:r>
      <w:r w:rsidR="00476B0D" w:rsidRPr="00154F1D">
        <w:t xml:space="preserve">Other orders revoked since 2010 included four </w:t>
      </w:r>
      <w:r w:rsidR="00537908" w:rsidRPr="00154F1D">
        <w:t xml:space="preserve">people </w:t>
      </w:r>
      <w:r w:rsidR="00476B0D" w:rsidRPr="00154F1D">
        <w:t xml:space="preserve">with a primary diagnosis of intellectual disability and two with acquired brain injury. </w:t>
      </w:r>
      <w:r w:rsidR="00BD2360" w:rsidRPr="00154F1D">
        <w:t xml:space="preserve">In this period, there have also been </w:t>
      </w:r>
      <w:r w:rsidR="00F763AC" w:rsidRPr="00154F1D">
        <w:t>three</w:t>
      </w:r>
      <w:r w:rsidR="00BD2360" w:rsidRPr="00154F1D">
        <w:t xml:space="preserve"> </w:t>
      </w:r>
      <w:r w:rsidR="00537908" w:rsidRPr="00154F1D">
        <w:t xml:space="preserve">people </w:t>
      </w:r>
      <w:r w:rsidR="00BD2360" w:rsidRPr="00154F1D">
        <w:t xml:space="preserve">with schizophrenia or a schizoaffective disorder and </w:t>
      </w:r>
      <w:r w:rsidR="00F763AC" w:rsidRPr="00154F1D">
        <w:t>two</w:t>
      </w:r>
      <w:r w:rsidR="00BD2360" w:rsidRPr="00154F1D">
        <w:t xml:space="preserve"> with intellectual disability who have had restriction orders discharged and supervision orders made. </w:t>
      </w:r>
    </w:p>
    <w:p w14:paraId="5D546685" w14:textId="0D30138A" w:rsidR="00F211F5" w:rsidRPr="00154F1D" w:rsidRDefault="00F211F5" w:rsidP="00744FAA">
      <w:pPr>
        <w:pStyle w:val="NormalNumberedTextTLRI"/>
      </w:pPr>
      <w:r w:rsidRPr="00154F1D">
        <w:t>Concerns have also been raised about the inconsistency in outcomes between decision</w:t>
      </w:r>
      <w:r w:rsidR="00DB0349" w:rsidRPr="00154F1D">
        <w:t>s</w:t>
      </w:r>
      <w:r w:rsidRPr="00154F1D">
        <w:t xml:space="preserve"> of the MHT </w:t>
      </w:r>
      <w:r w:rsidR="00DB0349" w:rsidRPr="00154F1D">
        <w:t>in issuing</w:t>
      </w:r>
      <w:r w:rsidRPr="00154F1D">
        <w:t xml:space="preserve"> certificates and the </w:t>
      </w:r>
      <w:r w:rsidR="00852AB8" w:rsidRPr="00154F1D">
        <w:t>Supreme Court</w:t>
      </w:r>
      <w:r w:rsidR="00852AB8">
        <w:t xml:space="preserve"> </w:t>
      </w:r>
      <w:r w:rsidR="00852AB8" w:rsidRPr="00154F1D">
        <w:t>in refusing to discharge the order</w:t>
      </w:r>
      <w:r w:rsidR="00852AB8">
        <w:t xml:space="preserve"> </w:t>
      </w:r>
      <w:r w:rsidR="00852AB8" w:rsidRPr="00154F1D">
        <w:t xml:space="preserve">once an application </w:t>
      </w:r>
      <w:r w:rsidR="00D664E9">
        <w:t>has been</w:t>
      </w:r>
      <w:r w:rsidR="00852AB8" w:rsidRPr="00154F1D">
        <w:t xml:space="preserve"> made</w:t>
      </w:r>
      <w:r w:rsidRPr="00154F1D">
        <w:t>. Smith, then President of the Guardianship and Administration Board and ex officio member of the Forensic Tribunal, highlighted the ‘marked difference between the approaches of the Forensic Tribunal in issuing the certificate and the Supreme Court in considering discharge’.</w:t>
      </w:r>
      <w:r w:rsidRPr="00154F1D">
        <w:rPr>
          <w:rStyle w:val="FootnoteReference"/>
        </w:rPr>
        <w:footnoteReference w:id="798"/>
      </w:r>
      <w:r w:rsidRPr="00154F1D">
        <w:t xml:space="preserve"> This </w:t>
      </w:r>
      <w:r w:rsidR="00BF766C" w:rsidRPr="00154F1D">
        <w:t xml:space="preserve">difference </w:t>
      </w:r>
      <w:r w:rsidRPr="00154F1D">
        <w:t xml:space="preserve">was attributed to the different legislative considerations for each body (see </w:t>
      </w:r>
      <w:r w:rsidR="00B93A98" w:rsidRPr="00154F1D">
        <w:t>[8.2.12]</w:t>
      </w:r>
      <w:r w:rsidRPr="00154F1D">
        <w:t>) but also the different experience</w:t>
      </w:r>
      <w:r w:rsidR="00BF766C" w:rsidRPr="00154F1D">
        <w:t>s</w:t>
      </w:r>
      <w:r w:rsidRPr="00154F1D">
        <w:t xml:space="preserve"> of the Forensic Tribunal and the Supreme Court:</w:t>
      </w:r>
    </w:p>
    <w:p w14:paraId="7E02F9A6" w14:textId="484E7115" w:rsidR="00F211F5" w:rsidRPr="00154F1D" w:rsidRDefault="00F211F5" w:rsidP="0074267A">
      <w:pPr>
        <w:pStyle w:val="QuoteTLRI"/>
      </w:pPr>
      <w:r w:rsidRPr="00154F1D">
        <w:t xml:space="preserve">the members of the Tribunal, unlike the Court, regularly see a range of people with more severe or more acute levels of disability than the person who </w:t>
      </w:r>
      <w:r w:rsidR="00852AB8">
        <w:t>is</w:t>
      </w:r>
      <w:r w:rsidR="00852AB8" w:rsidRPr="00154F1D">
        <w:t xml:space="preserve"> </w:t>
      </w:r>
      <w:r w:rsidRPr="00154F1D">
        <w:t>the subject of forensic orders. Such people also require lifelong treatment and Tribunal members are familiar with the non-punitive facilities which exist to ensure that they have it.</w:t>
      </w:r>
      <w:r w:rsidRPr="00154F1D">
        <w:rPr>
          <w:rStyle w:val="FootnoteReference"/>
        </w:rPr>
        <w:footnoteReference w:id="799"/>
      </w:r>
      <w:r w:rsidRPr="00154F1D">
        <w:t xml:space="preserve"> </w:t>
      </w:r>
    </w:p>
    <w:p w14:paraId="6310186E" w14:textId="04147173" w:rsidR="007C3C1A" w:rsidRPr="00154F1D" w:rsidRDefault="007C3C1A" w:rsidP="00B67AD1">
      <w:pPr>
        <w:pStyle w:val="NormalNumberedTextTLRI"/>
        <w:numPr>
          <w:ilvl w:val="0"/>
          <w:numId w:val="0"/>
        </w:numPr>
      </w:pPr>
      <w:r w:rsidRPr="00154F1D">
        <w:t xml:space="preserve">However, it may be that </w:t>
      </w:r>
      <w:r w:rsidR="008A429C" w:rsidRPr="00154F1D">
        <w:t xml:space="preserve">there has been a narrowing of the division between the approach of the MHT and the Supreme Court given that </w:t>
      </w:r>
      <w:r w:rsidRPr="00154F1D">
        <w:t xml:space="preserve">there are no </w:t>
      </w:r>
      <w:r w:rsidR="00537908" w:rsidRPr="00154F1D">
        <w:t xml:space="preserve">people </w:t>
      </w:r>
      <w:r w:rsidRPr="00154F1D">
        <w:t xml:space="preserve">on restriction orders who have a current certificate and </w:t>
      </w:r>
      <w:r w:rsidR="00F763AC" w:rsidRPr="00154F1D">
        <w:t xml:space="preserve">eight </w:t>
      </w:r>
      <w:r w:rsidR="00537908" w:rsidRPr="00154F1D">
        <w:t xml:space="preserve">people </w:t>
      </w:r>
      <w:r w:rsidR="008A429C" w:rsidRPr="00154F1D">
        <w:t xml:space="preserve">with current certificates on supervision orders and four of those have current applications to revoke the supervision order. </w:t>
      </w:r>
    </w:p>
    <w:p w14:paraId="1F16F0DB" w14:textId="3954F1D7" w:rsidR="00F211F5" w:rsidRPr="00154F1D" w:rsidRDefault="008A429C" w:rsidP="00744FAA">
      <w:pPr>
        <w:pStyle w:val="NormalNumberedTextTLRI"/>
      </w:pPr>
      <w:r w:rsidRPr="00154F1D">
        <w:t>C</w:t>
      </w:r>
      <w:r w:rsidR="00F211F5" w:rsidRPr="00154F1D">
        <w:t>oncerns</w:t>
      </w:r>
      <w:r w:rsidR="00992EFD" w:rsidRPr="00154F1D">
        <w:t xml:space="preserve"> have been raised in other </w:t>
      </w:r>
      <w:r w:rsidR="00154BA5" w:rsidRPr="00154F1D">
        <w:t>jurisdictions</w:t>
      </w:r>
      <w:r w:rsidR="00992EFD" w:rsidRPr="00154F1D">
        <w:t>, wh</w:t>
      </w:r>
      <w:r w:rsidR="00154BA5" w:rsidRPr="00154F1D">
        <w:t>e</w:t>
      </w:r>
      <w:r w:rsidR="00992EFD" w:rsidRPr="00154F1D">
        <w:t xml:space="preserve">re commentators have identified </w:t>
      </w:r>
      <w:r w:rsidR="00154BA5" w:rsidRPr="00154F1D">
        <w:t>‘over-cautiousness or undue “conservatism” in the approach of people involved in the system, from psychiatrists to the Forensic Leave Panel [Victoria] and the court’.</w:t>
      </w:r>
      <w:bookmarkStart w:id="207" w:name="_Ref535763568"/>
      <w:r w:rsidR="00154BA5" w:rsidRPr="00154F1D">
        <w:rPr>
          <w:rStyle w:val="FootnoteReference"/>
        </w:rPr>
        <w:footnoteReference w:id="800"/>
      </w:r>
      <w:bookmarkEnd w:id="207"/>
      <w:r w:rsidR="00F211F5" w:rsidRPr="00154F1D">
        <w:t xml:space="preserve"> </w:t>
      </w:r>
      <w:r w:rsidR="004B5E4B" w:rsidRPr="00154F1D">
        <w:t>In Victoria, it has been observed that one of the main obstacles in the progression of a forensic patient towards release is the complete revocation of the non-custodial supervision order</w:t>
      </w:r>
      <w:r w:rsidR="00154BA5" w:rsidRPr="00154F1D">
        <w:t>.</w:t>
      </w:r>
      <w:r w:rsidR="00154BA5" w:rsidRPr="00154F1D">
        <w:rPr>
          <w:rStyle w:val="FootnoteReference"/>
        </w:rPr>
        <w:footnoteReference w:id="801"/>
      </w:r>
      <w:r w:rsidR="00FD756D" w:rsidRPr="00154F1D">
        <w:t xml:space="preserve"> </w:t>
      </w:r>
      <w:r w:rsidR="00154BA5" w:rsidRPr="00154F1D">
        <w:t xml:space="preserve">Freckelton </w:t>
      </w:r>
      <w:r w:rsidR="004B5E4B" w:rsidRPr="00154F1D">
        <w:t xml:space="preserve">notes </w:t>
      </w:r>
      <w:r w:rsidR="00154BA5" w:rsidRPr="00154F1D">
        <w:t xml:space="preserve">that ‘the </w:t>
      </w:r>
      <w:r w:rsidR="003B7063" w:rsidRPr="00154F1D">
        <w:t xml:space="preserve">[Victorian] </w:t>
      </w:r>
      <w:r w:rsidR="00154BA5" w:rsidRPr="00154F1D">
        <w:t>Supr</w:t>
      </w:r>
      <w:r w:rsidR="004D57E9" w:rsidRPr="00154F1D">
        <w:t>e</w:t>
      </w:r>
      <w:r w:rsidR="00154BA5" w:rsidRPr="00154F1D">
        <w:t>me Court has been more liberal in varying orders from a custodial supervision order to non-</w:t>
      </w:r>
      <w:r w:rsidR="004D57E9" w:rsidRPr="00154F1D">
        <w:t>custodial</w:t>
      </w:r>
      <w:r w:rsidR="00154BA5" w:rsidRPr="00154F1D">
        <w:t xml:space="preserve"> supervision order than in </w:t>
      </w:r>
      <w:r w:rsidR="004D57E9" w:rsidRPr="00154F1D">
        <w:t>revoking</w:t>
      </w:r>
      <w:r w:rsidR="00154BA5" w:rsidRPr="00154F1D">
        <w:t xml:space="preserve"> supervisory status </w:t>
      </w:r>
      <w:r w:rsidR="004D57E9" w:rsidRPr="00154F1D">
        <w:t>completely</w:t>
      </w:r>
      <w:r w:rsidR="00154BA5" w:rsidRPr="00154F1D">
        <w:t>’.</w:t>
      </w:r>
      <w:bookmarkStart w:id="208" w:name="_Ref535755484"/>
      <w:r w:rsidR="00154BA5" w:rsidRPr="00154F1D">
        <w:rPr>
          <w:rStyle w:val="FootnoteReference"/>
        </w:rPr>
        <w:footnoteReference w:id="802"/>
      </w:r>
      <w:bookmarkEnd w:id="208"/>
      <w:r w:rsidR="00FD756D" w:rsidRPr="00154F1D">
        <w:t xml:space="preserve"> </w:t>
      </w:r>
      <w:r w:rsidR="001560B5" w:rsidRPr="00154F1D">
        <w:t>This is on the basis that under a non-custodial supervision order, the court still retains a ‘continued capacity … to order acquittees to return to inpatient status if they breach the terms of a non-custodial supervision order’. In contrast, ‘if the court revokes an acquittee’s supervisory status, he or she reverts to being simply another patient in the community with a diagnosis of a mental illness’.</w:t>
      </w:r>
      <w:r w:rsidR="001560B5" w:rsidRPr="00154F1D">
        <w:rPr>
          <w:rStyle w:val="FootnoteReference"/>
        </w:rPr>
        <w:footnoteReference w:id="803"/>
      </w:r>
    </w:p>
    <w:p w14:paraId="072E3B07" w14:textId="190634F0" w:rsidR="00BB26C5" w:rsidRPr="00154F1D" w:rsidRDefault="004D57E9" w:rsidP="00744FAA">
      <w:pPr>
        <w:pStyle w:val="NormalNumberedTextTLRI"/>
      </w:pPr>
      <w:r w:rsidRPr="00154F1D">
        <w:t xml:space="preserve">The </w:t>
      </w:r>
      <w:r w:rsidR="003B7063" w:rsidRPr="00154F1D">
        <w:t xml:space="preserve">Tasmanian </w:t>
      </w:r>
      <w:r w:rsidRPr="00154F1D">
        <w:t>Supreme Court has also</w:t>
      </w:r>
      <w:r w:rsidR="004C6E85" w:rsidRPr="00154F1D">
        <w:t xml:space="preserve"> commented on the differ</w:t>
      </w:r>
      <w:r w:rsidRPr="00154F1D">
        <w:t xml:space="preserve">ing approach of the MHT and the </w:t>
      </w:r>
      <w:r w:rsidR="00514E01" w:rsidRPr="00154F1D">
        <w:t>C</w:t>
      </w:r>
      <w:r w:rsidRPr="00154F1D">
        <w:t xml:space="preserve">ourt to the revocation of supervision orders </w:t>
      </w:r>
      <w:r w:rsidR="004C6E85" w:rsidRPr="00154F1D">
        <w:t xml:space="preserve">and </w:t>
      </w:r>
      <w:r w:rsidR="00514E01" w:rsidRPr="00154F1D">
        <w:t xml:space="preserve">has </w:t>
      </w:r>
      <w:r w:rsidR="004C6E85" w:rsidRPr="00154F1D">
        <w:t>been critical</w:t>
      </w:r>
      <w:r w:rsidR="00F211F5" w:rsidRPr="00154F1D">
        <w:t xml:space="preserve"> of MHT for </w:t>
      </w:r>
      <w:r w:rsidR="004C6E85" w:rsidRPr="00154F1D">
        <w:t xml:space="preserve">its </w:t>
      </w:r>
      <w:r w:rsidR="00F211F5" w:rsidRPr="00154F1D">
        <w:t>‘lenient approach to the issue of certificates’.</w:t>
      </w:r>
      <w:r w:rsidR="00F211F5" w:rsidRPr="00154F1D">
        <w:rPr>
          <w:rStyle w:val="FootnoteReference"/>
        </w:rPr>
        <w:footnoteReference w:id="804"/>
      </w:r>
      <w:r w:rsidR="00F211F5" w:rsidRPr="00154F1D">
        <w:t xml:space="preserve"> In </w:t>
      </w:r>
      <w:r w:rsidR="00E840FD" w:rsidRPr="00154F1D">
        <w:t>one case</w:t>
      </w:r>
      <w:r w:rsidR="00481E2C" w:rsidRPr="00154F1D">
        <w:t xml:space="preserve">, </w:t>
      </w:r>
      <w:r w:rsidR="00F211F5" w:rsidRPr="00154F1D">
        <w:t xml:space="preserve">Evans J expressed concern that ‘this is the fourth occasion since March 2008 on which I have formed a different view to the Forensic Tribunal on whether a supervision order should be removed’. </w:t>
      </w:r>
      <w:r w:rsidR="00BB26C5" w:rsidRPr="00154F1D">
        <w:t>His Honour stated that:</w:t>
      </w:r>
    </w:p>
    <w:p w14:paraId="5330446C" w14:textId="6A3ADDDC" w:rsidR="00F211F5" w:rsidRPr="00154F1D" w:rsidRDefault="00F211F5" w:rsidP="0074267A">
      <w:pPr>
        <w:pStyle w:val="QuoteTLRI"/>
      </w:pPr>
      <w:r w:rsidRPr="00154F1D">
        <w:t>Where the primary purpose for a supervision order or a community treatment order is to imp</w:t>
      </w:r>
      <w:r w:rsidR="00644124" w:rsidRPr="00154F1D">
        <w:t>ose an indefinite requirement on</w:t>
      </w:r>
      <w:r w:rsidRPr="00154F1D">
        <w:t xml:space="preserve"> the subject of the order to take medication, those involved in the supervision and annual review of the order may well deem those tasks to be an unwarranted burden. My experience is that notwithstanding that the person subject to a supervision order is content with its continuance, that person may be encouraged to apply for its discharge: b</w:t>
      </w:r>
      <w:r w:rsidR="004C6E85" w:rsidRPr="00154F1D">
        <w:t>y</w:t>
      </w:r>
      <w:r w:rsidRPr="00154F1D">
        <w:t xml:space="preserve"> those involved in its supervision or review; and on the basis of a misunderstanding of the effects of the order or the likely effects of a community treatme</w:t>
      </w:r>
      <w:r w:rsidR="00644124" w:rsidRPr="00154F1D">
        <w:t>nt order which might replace it</w:t>
      </w:r>
      <w:r w:rsidRPr="00154F1D">
        <w:t>.</w:t>
      </w:r>
    </w:p>
    <w:p w14:paraId="2736ADAB" w14:textId="229CF724" w:rsidR="007259E2" w:rsidRPr="00154F1D" w:rsidRDefault="002D0A94" w:rsidP="00054195">
      <w:pPr>
        <w:pStyle w:val="NormalNumberedTextTLRI"/>
        <w:numPr>
          <w:ilvl w:val="0"/>
          <w:numId w:val="0"/>
        </w:numPr>
      </w:pPr>
      <w:r w:rsidRPr="00154F1D">
        <w:t xml:space="preserve">The view seems to have been taken that from the point of view of the patient, there is little practical difference in a compulsory treatment regime imposed by a supervision order or a treatment order. Accordingly, community safety warrants retaining the indefinite order rather than </w:t>
      </w:r>
      <w:r w:rsidR="00076004" w:rsidRPr="00154F1D">
        <w:t xml:space="preserve">imposing </w:t>
      </w:r>
      <w:r w:rsidRPr="00154F1D">
        <w:t xml:space="preserve">an order that will expire. However, this </w:t>
      </w:r>
      <w:r w:rsidR="00C21D07" w:rsidRPr="00154F1D">
        <w:t xml:space="preserve">approach </w:t>
      </w:r>
      <w:r w:rsidRPr="00154F1D">
        <w:t xml:space="preserve">overlooks the prospect of the </w:t>
      </w:r>
      <w:r w:rsidR="00C0057C" w:rsidRPr="00154F1D">
        <w:t>person</w:t>
      </w:r>
      <w:r w:rsidRPr="00154F1D">
        <w:t xml:space="preserve"> progressing to a treatment regime outside of the forensic context.</w:t>
      </w:r>
    </w:p>
    <w:p w14:paraId="2A38C03E" w14:textId="78DFFE92" w:rsidR="00E840FD" w:rsidRPr="00154F1D" w:rsidRDefault="00E840FD" w:rsidP="00744FAA">
      <w:pPr>
        <w:pStyle w:val="NormalNumberedTextTLRI"/>
      </w:pPr>
      <w:r w:rsidRPr="00154F1D">
        <w:t xml:space="preserve">More recently, however, decisions of the Supreme Court have accepted that the revocation of a supervision order may be appropriate even if the </w:t>
      </w:r>
      <w:r w:rsidR="001E0CE7">
        <w:t>person</w:t>
      </w:r>
      <w:r w:rsidR="001E0CE7" w:rsidRPr="00154F1D">
        <w:t xml:space="preserve"> </w:t>
      </w:r>
      <w:r w:rsidRPr="00154F1D">
        <w:t xml:space="preserve">has an enduring mental impairment and will require life-long medication. There has been acceptance that Community Mental Health Services are able to </w:t>
      </w:r>
      <w:r w:rsidR="003D765E" w:rsidRPr="00154F1D">
        <w:t>manage these conditions through life</w:t>
      </w:r>
      <w:r w:rsidR="00C3365A" w:rsidRPr="00154F1D">
        <w:t>-</w:t>
      </w:r>
      <w:r w:rsidR="003D765E" w:rsidRPr="00154F1D">
        <w:t>long treatment and assertive case management and support as required, and that the ongoing supervision of the court is not required. The court has noted the importance of comprehensive information about future care and treatment being provided to satisfy the requirement that the revocation of the order is consistent with community safety.</w:t>
      </w:r>
    </w:p>
    <w:p w14:paraId="04127F9A" w14:textId="6FD3C72E" w:rsidR="00213022" w:rsidRPr="00154F1D" w:rsidRDefault="00336C79" w:rsidP="00744FAA">
      <w:pPr>
        <w:pStyle w:val="NormalNumberedTextTLRI"/>
      </w:pPr>
      <w:r w:rsidRPr="00154F1D">
        <w:t>An additional concern raised by Smith was the lack of statistical information about the operation of the forensic mental health orders.</w:t>
      </w:r>
      <w:r w:rsidRPr="00154F1D">
        <w:rPr>
          <w:rStyle w:val="FootnoteReference"/>
        </w:rPr>
        <w:footnoteReference w:id="805"/>
      </w:r>
      <w:r w:rsidRPr="00154F1D">
        <w:t xml:space="preserve"> It is difficult to access information that allows for an assessment to be made of the period of restriction or supervision for forensic patients. While the MHT reports on the number of certificates issued, it is not known </w:t>
      </w:r>
      <w:r w:rsidR="003D765E" w:rsidRPr="00154F1D">
        <w:t xml:space="preserve">publicly </w:t>
      </w:r>
      <w:r w:rsidRPr="00154F1D">
        <w:t xml:space="preserve">how may certificates result in a discharge or revocation of order by the Supreme Court (other than if the MHT reports on this). </w:t>
      </w:r>
      <w:r w:rsidR="002D0A94" w:rsidRPr="00154F1D">
        <w:t>Although</w:t>
      </w:r>
      <w:r w:rsidR="00E43E3A" w:rsidRPr="00154F1D">
        <w:t xml:space="preserve"> some </w:t>
      </w:r>
      <w:r w:rsidR="002D0A94" w:rsidRPr="00154F1D">
        <w:t xml:space="preserve">applications for discharge are </w:t>
      </w:r>
      <w:r w:rsidR="003D765E" w:rsidRPr="00154F1D">
        <w:t>publicly</w:t>
      </w:r>
      <w:r w:rsidR="00FA7A73" w:rsidRPr="00154F1D">
        <w:t xml:space="preserve"> </w:t>
      </w:r>
      <w:r w:rsidR="002D0A94" w:rsidRPr="00154F1D">
        <w:t xml:space="preserve">available (either on the Inglis Clark sentencing database or in appeal decisions), it would appear that many are not </w:t>
      </w:r>
      <w:r w:rsidR="003D765E" w:rsidRPr="00154F1D">
        <w:t>publicly</w:t>
      </w:r>
      <w:r w:rsidR="002D0A94" w:rsidRPr="00154F1D">
        <w:t xml:space="preserve"> available.</w:t>
      </w:r>
      <w:r w:rsidR="002D0A94" w:rsidRPr="00154F1D">
        <w:rPr>
          <w:rStyle w:val="FootnoteReference"/>
        </w:rPr>
        <w:footnoteReference w:id="806"/>
      </w:r>
      <w:r w:rsidR="002D0A94" w:rsidRPr="00154F1D">
        <w:t xml:space="preserve"> </w:t>
      </w:r>
      <w:r w:rsidR="003D765E" w:rsidRPr="00154F1D">
        <w:t xml:space="preserve">While this is understandable given the </w:t>
      </w:r>
      <w:r w:rsidR="004B5E4B" w:rsidRPr="00154F1D">
        <w:t xml:space="preserve">sensitive nature </w:t>
      </w:r>
      <w:r w:rsidR="003D765E" w:rsidRPr="00154F1D">
        <w:t>of the cases, t</w:t>
      </w:r>
      <w:r w:rsidRPr="00154F1D">
        <w:t xml:space="preserve">his makes it difficult for legal practitioners to provide advice to their clients </w:t>
      </w:r>
      <w:r w:rsidR="00891957" w:rsidRPr="00154F1D">
        <w:t>about the likely consequence of relying on insanity or fitness to stand trial, beyond needing to ‘be mindful of how difficult it can be to discharge a forensic order’.</w:t>
      </w:r>
      <w:r w:rsidR="00891957" w:rsidRPr="00154F1D">
        <w:rPr>
          <w:rStyle w:val="FootnoteReference"/>
        </w:rPr>
        <w:footnoteReference w:id="807"/>
      </w:r>
    </w:p>
    <w:p w14:paraId="59CEA05F" w14:textId="6F061F9E" w:rsidR="00B521CE" w:rsidRPr="00154F1D" w:rsidRDefault="00B521CE" w:rsidP="00B521CE">
      <w:pPr>
        <w:pStyle w:val="furhtersub-heading2"/>
      </w:pPr>
      <w:r w:rsidRPr="00154F1D">
        <w:t>Position in other jurisdictions</w:t>
      </w:r>
    </w:p>
    <w:p w14:paraId="32C828D0" w14:textId="75917F48" w:rsidR="00F8708E" w:rsidRPr="00154F1D" w:rsidRDefault="008C779D" w:rsidP="00744FAA">
      <w:pPr>
        <w:pStyle w:val="NormalNumberedTextTLRI"/>
      </w:pPr>
      <w:r w:rsidRPr="00154F1D">
        <w:t>While t</w:t>
      </w:r>
      <w:r w:rsidR="009B73CC" w:rsidRPr="00154F1D">
        <w:t>here are difference</w:t>
      </w:r>
      <w:r w:rsidRPr="00154F1D">
        <w:t>s</w:t>
      </w:r>
      <w:r w:rsidR="009B73CC" w:rsidRPr="00154F1D">
        <w:t xml:space="preserve"> in the process for making orders</w:t>
      </w:r>
      <w:r w:rsidR="00F7559C">
        <w:t>,</w:t>
      </w:r>
      <w:r w:rsidR="009B73CC" w:rsidRPr="00154F1D">
        <w:t xml:space="preserve"> the management </w:t>
      </w:r>
      <w:r w:rsidR="006E452A" w:rsidRPr="00154F1D">
        <w:t xml:space="preserve">and </w:t>
      </w:r>
      <w:r w:rsidR="009B73CC" w:rsidRPr="00154F1D">
        <w:t xml:space="preserve">review of forensic patients </w:t>
      </w:r>
      <w:r w:rsidR="006E452A" w:rsidRPr="00154F1D">
        <w:t>and the discharge of order</w:t>
      </w:r>
      <w:r w:rsidR="00C21D07" w:rsidRPr="00154F1D">
        <w:t>s</w:t>
      </w:r>
      <w:r w:rsidR="006E452A" w:rsidRPr="00154F1D">
        <w:t xml:space="preserve"> </w:t>
      </w:r>
      <w:r w:rsidR="009B73CC" w:rsidRPr="00154F1D">
        <w:t xml:space="preserve">in other </w:t>
      </w:r>
      <w:r w:rsidRPr="00154F1D">
        <w:t>Australian</w:t>
      </w:r>
      <w:r w:rsidR="009B73CC" w:rsidRPr="00154F1D">
        <w:t xml:space="preserve"> jurisdictions</w:t>
      </w:r>
      <w:r w:rsidRPr="00154F1D">
        <w:t xml:space="preserve">, there are some broad similarities that are useful </w:t>
      </w:r>
      <w:r w:rsidR="00852AB8">
        <w:t>in the context of this review</w:t>
      </w:r>
      <w:r w:rsidRPr="00154F1D">
        <w:t xml:space="preserve">. </w:t>
      </w:r>
      <w:r w:rsidR="00210209" w:rsidRPr="00154F1D">
        <w:t xml:space="preserve">A brief summary </w:t>
      </w:r>
      <w:r w:rsidR="00FF1207" w:rsidRPr="00154F1D">
        <w:t xml:space="preserve">of the approach in other jurisdictions </w:t>
      </w:r>
      <w:r w:rsidR="00210209" w:rsidRPr="00154F1D">
        <w:t xml:space="preserve">is provided in </w:t>
      </w:r>
      <w:r w:rsidR="00210209" w:rsidRPr="00A15653">
        <w:t xml:space="preserve">Appendix </w:t>
      </w:r>
      <w:r w:rsidR="00B93A98" w:rsidRPr="00154F1D">
        <w:t>3</w:t>
      </w:r>
      <w:r w:rsidR="00210209" w:rsidRPr="00154F1D">
        <w:t xml:space="preserve">. </w:t>
      </w:r>
      <w:r w:rsidR="002C4072" w:rsidRPr="00154F1D">
        <w:t xml:space="preserve">In particular, </w:t>
      </w:r>
      <w:r w:rsidR="00FF1207" w:rsidRPr="00154F1D">
        <w:t xml:space="preserve">it can be seen that </w:t>
      </w:r>
      <w:r w:rsidR="002C4072" w:rsidRPr="00154F1D">
        <w:t xml:space="preserve">the </w:t>
      </w:r>
      <w:r w:rsidR="00F967EC" w:rsidRPr="00154F1D">
        <w:t>concept of endangerment</w:t>
      </w:r>
      <w:r w:rsidR="002C4072" w:rsidRPr="00154F1D">
        <w:t xml:space="preserve"> is </w:t>
      </w:r>
      <w:r w:rsidR="00F8708E" w:rsidRPr="00154F1D">
        <w:t>often</w:t>
      </w:r>
      <w:r w:rsidR="00F967EC" w:rsidRPr="00154F1D">
        <w:t xml:space="preserve"> used as </w:t>
      </w:r>
      <w:r w:rsidR="00210209" w:rsidRPr="00154F1D">
        <w:t>a decision-making criterion for making, varying or revoking</w:t>
      </w:r>
      <w:r w:rsidR="00FF1207" w:rsidRPr="00154F1D">
        <w:t xml:space="preserve"> forensic orders</w:t>
      </w:r>
      <w:r w:rsidR="00F967EC" w:rsidRPr="00154F1D">
        <w:t>.</w:t>
      </w:r>
      <w:r w:rsidR="00210209" w:rsidRPr="00154F1D">
        <w:t xml:space="preserve"> </w:t>
      </w:r>
      <w:r w:rsidR="00357994" w:rsidRPr="00154F1D">
        <w:t>However,</w:t>
      </w:r>
      <w:r w:rsidR="00AA0A76" w:rsidRPr="00154F1D">
        <w:t xml:space="preserve"> </w:t>
      </w:r>
      <w:r w:rsidR="00CE0F3D" w:rsidRPr="00154F1D">
        <w:t xml:space="preserve">as shown in Table </w:t>
      </w:r>
      <w:r w:rsidR="00BA4488" w:rsidRPr="00154F1D">
        <w:t>8</w:t>
      </w:r>
      <w:r w:rsidR="00CE0F3D" w:rsidRPr="00154F1D">
        <w:t>.</w:t>
      </w:r>
      <w:r w:rsidR="003A56C1" w:rsidRPr="00154F1D">
        <w:t>1</w:t>
      </w:r>
      <w:r w:rsidR="00274D7F">
        <w:t>2</w:t>
      </w:r>
      <w:r w:rsidR="00CE0F3D" w:rsidRPr="00154F1D">
        <w:t xml:space="preserve">, </w:t>
      </w:r>
      <w:r w:rsidR="00AA0A76" w:rsidRPr="00154F1D">
        <w:t>the way in which the</w:t>
      </w:r>
      <w:r w:rsidR="00F8708E" w:rsidRPr="00154F1D">
        <w:t xml:space="preserve"> test </w:t>
      </w:r>
      <w:r w:rsidR="00357994" w:rsidRPr="00154F1D">
        <w:t>of</w:t>
      </w:r>
      <w:r w:rsidR="00AA0A76" w:rsidRPr="00154F1D">
        <w:t xml:space="preserve"> endangerment </w:t>
      </w:r>
      <w:r w:rsidR="00F8708E" w:rsidRPr="00154F1D">
        <w:t>is framed differ</w:t>
      </w:r>
      <w:r w:rsidR="00AA0A76" w:rsidRPr="00154F1D">
        <w:t>s</w:t>
      </w:r>
      <w:r w:rsidR="00F8708E" w:rsidRPr="00154F1D">
        <w:t xml:space="preserve"> between jurisdictions</w:t>
      </w:r>
      <w:r w:rsidR="00AA0A76" w:rsidRPr="00154F1D">
        <w:t xml:space="preserve"> and </w:t>
      </w:r>
      <w:r w:rsidR="00CE0F3D" w:rsidRPr="00154F1D">
        <w:t xml:space="preserve">also varies at different </w:t>
      </w:r>
      <w:r w:rsidR="00AA0A76" w:rsidRPr="00154F1D">
        <w:t>decision-making stage</w:t>
      </w:r>
      <w:r w:rsidR="00CE0F3D" w:rsidRPr="00154F1D">
        <w:t>s.</w:t>
      </w:r>
    </w:p>
    <w:p w14:paraId="7FBC7CDC" w14:textId="71E96023" w:rsidR="00683D28" w:rsidRPr="00154F1D" w:rsidRDefault="00683D28" w:rsidP="007644FE">
      <w:pPr>
        <w:pStyle w:val="NumberlessNormalText"/>
        <w:keepNext/>
        <w:keepLines/>
        <w:spacing w:after="40"/>
        <w:rPr>
          <w:b/>
        </w:rPr>
      </w:pPr>
      <w:r w:rsidRPr="00154F1D">
        <w:rPr>
          <w:b/>
        </w:rPr>
        <w:t>Table 8.</w:t>
      </w:r>
      <w:r w:rsidR="003A56C1" w:rsidRPr="00154F1D">
        <w:rPr>
          <w:b/>
        </w:rPr>
        <w:t>1</w:t>
      </w:r>
      <w:r w:rsidR="00274D7F">
        <w:rPr>
          <w:b/>
        </w:rPr>
        <w:t>2</w:t>
      </w:r>
      <w:r w:rsidR="00030F8B" w:rsidRPr="00154F1D">
        <w:rPr>
          <w:b/>
        </w:rPr>
        <w:t>:</w:t>
      </w:r>
      <w:r w:rsidRPr="00154F1D">
        <w:rPr>
          <w:b/>
        </w:rPr>
        <w:t xml:space="preserve"> Comparison of tests for making and discharging forensic orders, Australian jurisdictions</w:t>
      </w:r>
    </w:p>
    <w:tbl>
      <w:tblPr>
        <w:tblStyle w:val="TableGrid"/>
        <w:tblW w:w="5000" w:type="pct"/>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2550"/>
        <w:gridCol w:w="2875"/>
        <w:gridCol w:w="2875"/>
      </w:tblGrid>
      <w:tr w:rsidR="00357994" w:rsidRPr="00154F1D" w14:paraId="45173C8F" w14:textId="77777777" w:rsidTr="00AF195E">
        <w:trPr>
          <w:tblHeader/>
        </w:trPr>
        <w:tc>
          <w:tcPr>
            <w:tcW w:w="1536" w:type="pct"/>
          </w:tcPr>
          <w:p w14:paraId="59388270" w14:textId="63FFB2E0" w:rsidR="00357994" w:rsidRPr="00154F1D" w:rsidRDefault="00357994" w:rsidP="007644FE">
            <w:pPr>
              <w:pStyle w:val="NormalNumberedTextTLRI"/>
              <w:keepNext/>
              <w:keepLines/>
              <w:numPr>
                <w:ilvl w:val="0"/>
                <w:numId w:val="0"/>
              </w:numPr>
              <w:spacing w:before="20" w:after="20"/>
              <w:jc w:val="left"/>
              <w:rPr>
                <w:b/>
                <w:sz w:val="20"/>
              </w:rPr>
            </w:pPr>
            <w:r w:rsidRPr="00154F1D">
              <w:rPr>
                <w:b/>
                <w:sz w:val="20"/>
              </w:rPr>
              <w:t>Test</w:t>
            </w:r>
          </w:p>
        </w:tc>
        <w:tc>
          <w:tcPr>
            <w:tcW w:w="1732" w:type="pct"/>
          </w:tcPr>
          <w:p w14:paraId="67F0DA6D" w14:textId="3CEA687D" w:rsidR="00357994" w:rsidRPr="00154F1D" w:rsidRDefault="00357994" w:rsidP="007644FE">
            <w:pPr>
              <w:pStyle w:val="NormalNumberedTextTLRI"/>
              <w:keepNext/>
              <w:keepLines/>
              <w:numPr>
                <w:ilvl w:val="0"/>
                <w:numId w:val="0"/>
              </w:numPr>
              <w:spacing w:before="20" w:after="20"/>
              <w:jc w:val="left"/>
              <w:rPr>
                <w:b/>
                <w:sz w:val="20"/>
              </w:rPr>
            </w:pPr>
            <w:r w:rsidRPr="00154F1D">
              <w:rPr>
                <w:b/>
                <w:sz w:val="20"/>
              </w:rPr>
              <w:t>Making orders</w:t>
            </w:r>
          </w:p>
        </w:tc>
        <w:tc>
          <w:tcPr>
            <w:tcW w:w="1732" w:type="pct"/>
          </w:tcPr>
          <w:p w14:paraId="1DF87C57" w14:textId="1FF4AE42" w:rsidR="00357994" w:rsidRPr="00154F1D" w:rsidRDefault="00357994" w:rsidP="007644FE">
            <w:pPr>
              <w:pStyle w:val="NormalNumberedTextTLRI"/>
              <w:keepNext/>
              <w:keepLines/>
              <w:numPr>
                <w:ilvl w:val="0"/>
                <w:numId w:val="0"/>
              </w:numPr>
              <w:spacing w:before="20" w:after="20"/>
              <w:jc w:val="left"/>
              <w:rPr>
                <w:b/>
                <w:sz w:val="20"/>
              </w:rPr>
            </w:pPr>
            <w:r w:rsidRPr="00154F1D">
              <w:rPr>
                <w:b/>
                <w:sz w:val="20"/>
              </w:rPr>
              <w:t>Varying or discharging orders</w:t>
            </w:r>
          </w:p>
        </w:tc>
      </w:tr>
      <w:tr w:rsidR="00357994" w:rsidRPr="00154F1D" w14:paraId="605D3AFC" w14:textId="77777777" w:rsidTr="00AF195E">
        <w:tc>
          <w:tcPr>
            <w:tcW w:w="1536" w:type="pct"/>
          </w:tcPr>
          <w:p w14:paraId="277B1B95" w14:textId="5763701F" w:rsidR="00357994" w:rsidRPr="00154F1D" w:rsidRDefault="00357994" w:rsidP="00AF195E">
            <w:pPr>
              <w:pStyle w:val="NormalNumberedTextTLRI"/>
              <w:keepNext/>
              <w:keepLines/>
              <w:numPr>
                <w:ilvl w:val="0"/>
                <w:numId w:val="0"/>
              </w:numPr>
              <w:spacing w:before="20" w:after="20"/>
              <w:rPr>
                <w:sz w:val="20"/>
              </w:rPr>
            </w:pPr>
            <w:r w:rsidRPr="00154F1D">
              <w:rPr>
                <w:sz w:val="20"/>
              </w:rPr>
              <w:t>Serious endangerment</w:t>
            </w:r>
          </w:p>
        </w:tc>
        <w:tc>
          <w:tcPr>
            <w:tcW w:w="1732" w:type="pct"/>
          </w:tcPr>
          <w:p w14:paraId="38DDF09B" w14:textId="6A1592CC" w:rsidR="00357994" w:rsidRPr="00154F1D" w:rsidRDefault="00357994" w:rsidP="00AF195E">
            <w:pPr>
              <w:pStyle w:val="NormalNumberedTextTLRI"/>
              <w:keepNext/>
              <w:keepLines/>
              <w:numPr>
                <w:ilvl w:val="0"/>
                <w:numId w:val="0"/>
              </w:numPr>
              <w:spacing w:before="20" w:after="20"/>
              <w:rPr>
                <w:sz w:val="20"/>
              </w:rPr>
            </w:pPr>
            <w:r w:rsidRPr="00154F1D">
              <w:rPr>
                <w:sz w:val="20"/>
              </w:rPr>
              <w:t>New South Wales (NGMI)</w:t>
            </w:r>
          </w:p>
        </w:tc>
        <w:tc>
          <w:tcPr>
            <w:tcW w:w="1732" w:type="pct"/>
          </w:tcPr>
          <w:p w14:paraId="1E30BB9E" w14:textId="77777777" w:rsidR="00357994" w:rsidRPr="00154F1D" w:rsidRDefault="00357994" w:rsidP="00AF195E">
            <w:pPr>
              <w:pStyle w:val="NormalNumberedTextTLRI"/>
              <w:keepNext/>
              <w:keepLines/>
              <w:numPr>
                <w:ilvl w:val="0"/>
                <w:numId w:val="0"/>
              </w:numPr>
              <w:spacing w:before="20" w:after="20"/>
              <w:rPr>
                <w:sz w:val="20"/>
              </w:rPr>
            </w:pPr>
            <w:r w:rsidRPr="00154F1D">
              <w:rPr>
                <w:sz w:val="20"/>
              </w:rPr>
              <w:t>New South Wales</w:t>
            </w:r>
          </w:p>
          <w:p w14:paraId="60197B4F" w14:textId="29797591" w:rsidR="00861376" w:rsidRPr="00154F1D" w:rsidRDefault="00861376" w:rsidP="00AF195E">
            <w:pPr>
              <w:pStyle w:val="NormalNumberedTextTLRI"/>
              <w:keepNext/>
              <w:keepLines/>
              <w:numPr>
                <w:ilvl w:val="0"/>
                <w:numId w:val="0"/>
              </w:numPr>
              <w:spacing w:before="20" w:after="20"/>
              <w:rPr>
                <w:sz w:val="20"/>
              </w:rPr>
            </w:pPr>
            <w:r w:rsidRPr="00154F1D">
              <w:rPr>
                <w:sz w:val="20"/>
              </w:rPr>
              <w:t>Victoria</w:t>
            </w:r>
            <w:r w:rsidR="00DD69BD" w:rsidRPr="00154F1D">
              <w:rPr>
                <w:rStyle w:val="FootnoteReference"/>
              </w:rPr>
              <w:footnoteReference w:id="808"/>
            </w:r>
          </w:p>
          <w:p w14:paraId="35643D1B" w14:textId="4C9C6E86" w:rsidR="00324CA4" w:rsidRPr="00154F1D" w:rsidRDefault="00324CA4" w:rsidP="00AF195E">
            <w:pPr>
              <w:pStyle w:val="NormalNumberedTextTLRI"/>
              <w:keepNext/>
              <w:keepLines/>
              <w:numPr>
                <w:ilvl w:val="0"/>
                <w:numId w:val="0"/>
              </w:numPr>
              <w:spacing w:before="20" w:after="20"/>
              <w:rPr>
                <w:sz w:val="20"/>
              </w:rPr>
            </w:pPr>
            <w:r w:rsidRPr="00154F1D">
              <w:rPr>
                <w:sz w:val="20"/>
              </w:rPr>
              <w:t>South Australia</w:t>
            </w:r>
          </w:p>
        </w:tc>
      </w:tr>
      <w:tr w:rsidR="00357994" w:rsidRPr="00154F1D" w14:paraId="33B669A5" w14:textId="77777777" w:rsidTr="00AF195E">
        <w:tc>
          <w:tcPr>
            <w:tcW w:w="1536" w:type="pct"/>
          </w:tcPr>
          <w:p w14:paraId="73ACCD48" w14:textId="5CEA8ECF" w:rsidR="00357994" w:rsidRPr="00154F1D" w:rsidRDefault="00357994" w:rsidP="009B421C">
            <w:pPr>
              <w:pStyle w:val="NormalNumberedTextTLRI"/>
              <w:numPr>
                <w:ilvl w:val="0"/>
                <w:numId w:val="0"/>
              </w:numPr>
              <w:spacing w:before="20" w:after="20"/>
              <w:rPr>
                <w:sz w:val="20"/>
              </w:rPr>
            </w:pPr>
            <w:r w:rsidRPr="00154F1D">
              <w:rPr>
                <w:sz w:val="20"/>
              </w:rPr>
              <w:t>Likely to endanger</w:t>
            </w:r>
          </w:p>
        </w:tc>
        <w:tc>
          <w:tcPr>
            <w:tcW w:w="1732" w:type="pct"/>
          </w:tcPr>
          <w:p w14:paraId="3286AFE0" w14:textId="77777777" w:rsidR="00357994" w:rsidRPr="00154F1D" w:rsidRDefault="00357994" w:rsidP="009B421C">
            <w:pPr>
              <w:pStyle w:val="NormalNumberedTextTLRI"/>
              <w:numPr>
                <w:ilvl w:val="0"/>
                <w:numId w:val="0"/>
              </w:numPr>
              <w:spacing w:before="20" w:after="20"/>
              <w:rPr>
                <w:sz w:val="20"/>
              </w:rPr>
            </w:pPr>
            <w:r w:rsidRPr="00154F1D">
              <w:rPr>
                <w:sz w:val="20"/>
              </w:rPr>
              <w:t xml:space="preserve">Tasmania </w:t>
            </w:r>
          </w:p>
          <w:p w14:paraId="2D757796" w14:textId="77777777" w:rsidR="00357994" w:rsidRPr="00154F1D" w:rsidRDefault="00357994" w:rsidP="009B421C">
            <w:pPr>
              <w:pStyle w:val="NormalNumberedTextTLRI"/>
              <w:numPr>
                <w:ilvl w:val="0"/>
                <w:numId w:val="0"/>
              </w:numPr>
              <w:spacing w:before="20" w:after="20"/>
              <w:rPr>
                <w:sz w:val="20"/>
              </w:rPr>
            </w:pPr>
            <w:r w:rsidRPr="00154F1D">
              <w:rPr>
                <w:sz w:val="20"/>
              </w:rPr>
              <w:t>South Australia</w:t>
            </w:r>
          </w:p>
          <w:p w14:paraId="6845E401" w14:textId="76EC7C68" w:rsidR="00357994" w:rsidRPr="00154F1D" w:rsidRDefault="00357994" w:rsidP="009B421C">
            <w:pPr>
              <w:pStyle w:val="NormalNumberedTextTLRI"/>
              <w:numPr>
                <w:ilvl w:val="0"/>
                <w:numId w:val="0"/>
              </w:numPr>
              <w:spacing w:before="20" w:after="20"/>
              <w:rPr>
                <w:sz w:val="20"/>
              </w:rPr>
            </w:pPr>
            <w:r w:rsidRPr="00154F1D">
              <w:rPr>
                <w:sz w:val="20"/>
              </w:rPr>
              <w:t>Northern Territory</w:t>
            </w:r>
          </w:p>
          <w:p w14:paraId="1F15C665" w14:textId="438137AD" w:rsidR="00357994" w:rsidRPr="00154F1D" w:rsidRDefault="00357994" w:rsidP="009B421C">
            <w:pPr>
              <w:pStyle w:val="NormalNumberedTextTLRI"/>
              <w:numPr>
                <w:ilvl w:val="0"/>
                <w:numId w:val="0"/>
              </w:numPr>
              <w:spacing w:before="20" w:after="20"/>
              <w:rPr>
                <w:sz w:val="20"/>
              </w:rPr>
            </w:pPr>
            <w:r w:rsidRPr="00154F1D">
              <w:rPr>
                <w:sz w:val="20"/>
              </w:rPr>
              <w:t>Victoria</w:t>
            </w:r>
            <w:r w:rsidR="00DD69BD" w:rsidRPr="00154F1D">
              <w:rPr>
                <w:rStyle w:val="FootnoteReference"/>
              </w:rPr>
              <w:footnoteReference w:id="809"/>
            </w:r>
          </w:p>
          <w:p w14:paraId="474C2709" w14:textId="4C068E1C" w:rsidR="00357994" w:rsidRPr="00154F1D" w:rsidRDefault="00357994" w:rsidP="009B421C">
            <w:pPr>
              <w:pStyle w:val="NormalNumberedTextTLRI"/>
              <w:numPr>
                <w:ilvl w:val="0"/>
                <w:numId w:val="0"/>
              </w:numPr>
              <w:spacing w:before="20" w:after="20"/>
              <w:rPr>
                <w:sz w:val="20"/>
              </w:rPr>
            </w:pPr>
            <w:r w:rsidRPr="00154F1D">
              <w:rPr>
                <w:sz w:val="20"/>
              </w:rPr>
              <w:t>Australian Capital Territory</w:t>
            </w:r>
          </w:p>
        </w:tc>
        <w:tc>
          <w:tcPr>
            <w:tcW w:w="1732" w:type="pct"/>
          </w:tcPr>
          <w:p w14:paraId="4F82630E" w14:textId="6C2A130C" w:rsidR="00357994" w:rsidRPr="00154F1D" w:rsidRDefault="00357994" w:rsidP="00030F8B">
            <w:pPr>
              <w:pStyle w:val="NormalNumberedTextTLRI"/>
              <w:numPr>
                <w:ilvl w:val="0"/>
                <w:numId w:val="0"/>
              </w:numPr>
              <w:spacing w:before="20" w:after="20"/>
              <w:rPr>
                <w:sz w:val="20"/>
              </w:rPr>
            </w:pPr>
            <w:r w:rsidRPr="00154F1D">
              <w:rPr>
                <w:sz w:val="20"/>
              </w:rPr>
              <w:t>Tasmania</w:t>
            </w:r>
          </w:p>
        </w:tc>
      </w:tr>
      <w:tr w:rsidR="00357994" w:rsidRPr="00154F1D" w14:paraId="6CFD8884" w14:textId="77777777" w:rsidTr="00AF195E">
        <w:tc>
          <w:tcPr>
            <w:tcW w:w="1536" w:type="pct"/>
          </w:tcPr>
          <w:p w14:paraId="77FF9F87" w14:textId="24043C1C" w:rsidR="00357994" w:rsidRPr="00154F1D" w:rsidRDefault="00357994" w:rsidP="009B421C">
            <w:pPr>
              <w:pStyle w:val="NormalNumberedTextTLRI"/>
              <w:numPr>
                <w:ilvl w:val="0"/>
                <w:numId w:val="0"/>
              </w:numPr>
              <w:spacing w:before="20" w:after="20"/>
              <w:rPr>
                <w:sz w:val="20"/>
              </w:rPr>
            </w:pPr>
            <w:r w:rsidRPr="00154F1D">
              <w:rPr>
                <w:sz w:val="20"/>
              </w:rPr>
              <w:t>Unacceptable risk to the safety of the community</w:t>
            </w:r>
          </w:p>
        </w:tc>
        <w:tc>
          <w:tcPr>
            <w:tcW w:w="1732" w:type="pct"/>
          </w:tcPr>
          <w:p w14:paraId="2497EDEA" w14:textId="22A7430D" w:rsidR="00357994" w:rsidRPr="00154F1D" w:rsidRDefault="00357994" w:rsidP="009B421C">
            <w:pPr>
              <w:pStyle w:val="NormalNumberedTextTLRI"/>
              <w:numPr>
                <w:ilvl w:val="0"/>
                <w:numId w:val="0"/>
              </w:numPr>
              <w:spacing w:before="20" w:after="20"/>
              <w:rPr>
                <w:sz w:val="20"/>
              </w:rPr>
            </w:pPr>
            <w:r w:rsidRPr="00154F1D">
              <w:rPr>
                <w:sz w:val="20"/>
              </w:rPr>
              <w:t>Queensland</w:t>
            </w:r>
          </w:p>
        </w:tc>
        <w:tc>
          <w:tcPr>
            <w:tcW w:w="1732" w:type="pct"/>
          </w:tcPr>
          <w:p w14:paraId="738EE4D3" w14:textId="5182B398" w:rsidR="00357994" w:rsidRPr="00154F1D" w:rsidRDefault="00861376" w:rsidP="009B421C">
            <w:pPr>
              <w:pStyle w:val="NormalNumberedTextTLRI"/>
              <w:numPr>
                <w:ilvl w:val="0"/>
                <w:numId w:val="0"/>
              </w:numPr>
              <w:spacing w:before="20" w:after="20"/>
              <w:rPr>
                <w:sz w:val="20"/>
              </w:rPr>
            </w:pPr>
            <w:r w:rsidRPr="00154F1D">
              <w:rPr>
                <w:sz w:val="20"/>
              </w:rPr>
              <w:t>Queensland</w:t>
            </w:r>
          </w:p>
        </w:tc>
      </w:tr>
      <w:tr w:rsidR="00357994" w:rsidRPr="00154F1D" w14:paraId="479A6F73" w14:textId="77777777" w:rsidTr="00AF195E">
        <w:tc>
          <w:tcPr>
            <w:tcW w:w="1536" w:type="pct"/>
          </w:tcPr>
          <w:p w14:paraId="556B22E4" w14:textId="55B3D83B" w:rsidR="00357994" w:rsidRPr="00154F1D" w:rsidRDefault="00861376" w:rsidP="009B421C">
            <w:pPr>
              <w:pStyle w:val="NormalNumberedTextTLRI"/>
              <w:numPr>
                <w:ilvl w:val="0"/>
                <w:numId w:val="0"/>
              </w:numPr>
              <w:spacing w:before="20" w:after="20"/>
              <w:rPr>
                <w:sz w:val="20"/>
              </w:rPr>
            </w:pPr>
            <w:r w:rsidRPr="00154F1D">
              <w:rPr>
                <w:sz w:val="20"/>
              </w:rPr>
              <w:t>Not a threat or danger</w:t>
            </w:r>
          </w:p>
        </w:tc>
        <w:tc>
          <w:tcPr>
            <w:tcW w:w="1732" w:type="pct"/>
          </w:tcPr>
          <w:p w14:paraId="0A26773F" w14:textId="77777777" w:rsidR="00357994" w:rsidRPr="00154F1D" w:rsidRDefault="00357994" w:rsidP="009B421C">
            <w:pPr>
              <w:pStyle w:val="NormalNumberedTextTLRI"/>
              <w:numPr>
                <w:ilvl w:val="0"/>
                <w:numId w:val="0"/>
              </w:numPr>
              <w:spacing w:before="20" w:after="20"/>
              <w:rPr>
                <w:sz w:val="20"/>
              </w:rPr>
            </w:pPr>
          </w:p>
        </w:tc>
        <w:tc>
          <w:tcPr>
            <w:tcW w:w="1732" w:type="pct"/>
          </w:tcPr>
          <w:p w14:paraId="00B96D61" w14:textId="6F7B2EE4" w:rsidR="00357994" w:rsidRPr="00154F1D" w:rsidRDefault="00861376" w:rsidP="009B421C">
            <w:pPr>
              <w:pStyle w:val="NormalNumberedTextTLRI"/>
              <w:numPr>
                <w:ilvl w:val="0"/>
                <w:numId w:val="0"/>
              </w:numPr>
              <w:spacing w:before="20" w:after="20"/>
              <w:rPr>
                <w:sz w:val="20"/>
              </w:rPr>
            </w:pPr>
            <w:r w:rsidRPr="00154F1D">
              <w:rPr>
                <w:sz w:val="20"/>
              </w:rPr>
              <w:t>Commonwealth</w:t>
            </w:r>
          </w:p>
        </w:tc>
      </w:tr>
      <w:tr w:rsidR="00861376" w:rsidRPr="00154F1D" w14:paraId="0E0E600D" w14:textId="77777777" w:rsidTr="00AF195E">
        <w:tc>
          <w:tcPr>
            <w:tcW w:w="1536" w:type="pct"/>
          </w:tcPr>
          <w:p w14:paraId="6CA1AD69" w14:textId="106CB536" w:rsidR="00861376" w:rsidRPr="00154F1D" w:rsidRDefault="00861376" w:rsidP="009B421C">
            <w:pPr>
              <w:pStyle w:val="NormalNumberedTextTLRI"/>
              <w:numPr>
                <w:ilvl w:val="0"/>
                <w:numId w:val="0"/>
              </w:numPr>
              <w:spacing w:before="20" w:after="20"/>
              <w:rPr>
                <w:sz w:val="20"/>
              </w:rPr>
            </w:pPr>
            <w:r w:rsidRPr="00154F1D">
              <w:rPr>
                <w:sz w:val="20"/>
              </w:rPr>
              <w:t>Safety will or is likely to be seriously at risk</w:t>
            </w:r>
          </w:p>
        </w:tc>
        <w:tc>
          <w:tcPr>
            <w:tcW w:w="1732" w:type="pct"/>
          </w:tcPr>
          <w:p w14:paraId="11867D13" w14:textId="77777777" w:rsidR="00861376" w:rsidRPr="00154F1D" w:rsidRDefault="00861376" w:rsidP="009B421C">
            <w:pPr>
              <w:pStyle w:val="NormalNumberedTextTLRI"/>
              <w:numPr>
                <w:ilvl w:val="0"/>
                <w:numId w:val="0"/>
              </w:numPr>
              <w:spacing w:before="20" w:after="20"/>
              <w:rPr>
                <w:sz w:val="20"/>
              </w:rPr>
            </w:pPr>
          </w:p>
        </w:tc>
        <w:tc>
          <w:tcPr>
            <w:tcW w:w="1732" w:type="pct"/>
          </w:tcPr>
          <w:p w14:paraId="6F78F2FA" w14:textId="764DDC2A" w:rsidR="00861376" w:rsidRPr="00154F1D" w:rsidRDefault="00861376" w:rsidP="009B421C">
            <w:pPr>
              <w:pStyle w:val="NormalNumberedTextTLRI"/>
              <w:numPr>
                <w:ilvl w:val="0"/>
                <w:numId w:val="0"/>
              </w:numPr>
              <w:spacing w:before="20" w:after="20"/>
              <w:rPr>
                <w:sz w:val="20"/>
              </w:rPr>
            </w:pPr>
            <w:r w:rsidRPr="00154F1D">
              <w:rPr>
                <w:sz w:val="20"/>
              </w:rPr>
              <w:t>Northern Territory</w:t>
            </w:r>
          </w:p>
        </w:tc>
      </w:tr>
      <w:tr w:rsidR="00861376" w:rsidRPr="00154F1D" w14:paraId="0D5E6718" w14:textId="77777777" w:rsidTr="00AF195E">
        <w:tc>
          <w:tcPr>
            <w:tcW w:w="1536" w:type="pct"/>
          </w:tcPr>
          <w:p w14:paraId="6546C578" w14:textId="79A5C414" w:rsidR="00861376" w:rsidRPr="00154F1D" w:rsidRDefault="00861376" w:rsidP="009B421C">
            <w:pPr>
              <w:pStyle w:val="NormalNumberedTextTLRI"/>
              <w:numPr>
                <w:ilvl w:val="0"/>
                <w:numId w:val="0"/>
              </w:numPr>
              <w:spacing w:before="20" w:after="20"/>
              <w:rPr>
                <w:sz w:val="20"/>
              </w:rPr>
            </w:pPr>
            <w:r w:rsidRPr="00154F1D">
              <w:rPr>
                <w:sz w:val="20"/>
              </w:rPr>
              <w:t>Degree of risk</w:t>
            </w:r>
          </w:p>
        </w:tc>
        <w:tc>
          <w:tcPr>
            <w:tcW w:w="1732" w:type="pct"/>
          </w:tcPr>
          <w:p w14:paraId="67128A06" w14:textId="77777777" w:rsidR="00861376" w:rsidRPr="00154F1D" w:rsidRDefault="00861376" w:rsidP="009B421C">
            <w:pPr>
              <w:pStyle w:val="NormalNumberedTextTLRI"/>
              <w:numPr>
                <w:ilvl w:val="0"/>
                <w:numId w:val="0"/>
              </w:numPr>
              <w:spacing w:before="20" w:after="20"/>
              <w:rPr>
                <w:sz w:val="20"/>
              </w:rPr>
            </w:pPr>
          </w:p>
        </w:tc>
        <w:tc>
          <w:tcPr>
            <w:tcW w:w="1732" w:type="pct"/>
          </w:tcPr>
          <w:p w14:paraId="4D45E491" w14:textId="4C70945B" w:rsidR="00861376" w:rsidRPr="00154F1D" w:rsidRDefault="00CE0F3D" w:rsidP="009B421C">
            <w:pPr>
              <w:pStyle w:val="NormalNumberedTextTLRI"/>
              <w:numPr>
                <w:ilvl w:val="0"/>
                <w:numId w:val="0"/>
              </w:numPr>
              <w:spacing w:before="20" w:after="20"/>
              <w:rPr>
                <w:sz w:val="20"/>
              </w:rPr>
            </w:pPr>
            <w:r w:rsidRPr="00154F1D">
              <w:rPr>
                <w:sz w:val="20"/>
              </w:rPr>
              <w:t>Western Australia</w:t>
            </w:r>
          </w:p>
        </w:tc>
      </w:tr>
    </w:tbl>
    <w:p w14:paraId="4F1F1ADA" w14:textId="50C26837" w:rsidR="002815F2" w:rsidRPr="00154F1D" w:rsidRDefault="00980C39" w:rsidP="00744FAA">
      <w:pPr>
        <w:pStyle w:val="NormalNumberedTextTLRI"/>
      </w:pPr>
      <w:r w:rsidRPr="00154F1D">
        <w:t xml:space="preserve">A key difference (as seen in Table </w:t>
      </w:r>
      <w:r w:rsidR="00EA255E" w:rsidRPr="00154F1D">
        <w:t>8</w:t>
      </w:r>
      <w:r w:rsidRPr="00154F1D">
        <w:t>.</w:t>
      </w:r>
      <w:r w:rsidR="003A56C1" w:rsidRPr="00154F1D">
        <w:t>1</w:t>
      </w:r>
      <w:r w:rsidR="00274D7F">
        <w:t>2</w:t>
      </w:r>
      <w:r w:rsidRPr="00154F1D">
        <w:t xml:space="preserve">) is that some jurisdictions have adopted the requirement </w:t>
      </w:r>
      <w:r w:rsidR="006E4ED4">
        <w:t xml:space="preserve">that </w:t>
      </w:r>
      <w:r w:rsidR="00E066C9" w:rsidRPr="00154F1D">
        <w:t>the court consider whether public safety would be</w:t>
      </w:r>
      <w:r w:rsidRPr="00154F1D">
        <w:t xml:space="preserve"> serious</w:t>
      </w:r>
      <w:r w:rsidR="00E066C9" w:rsidRPr="00154F1D">
        <w:t>ly</w:t>
      </w:r>
      <w:r w:rsidRPr="00154F1D">
        <w:t xml:space="preserve"> en</w:t>
      </w:r>
      <w:r w:rsidR="00E066C9" w:rsidRPr="00154F1D">
        <w:t>dang</w:t>
      </w:r>
      <w:r w:rsidRPr="00154F1D">
        <w:t>e</w:t>
      </w:r>
      <w:r w:rsidR="00E066C9" w:rsidRPr="00154F1D">
        <w:t xml:space="preserve">red by the </w:t>
      </w:r>
      <w:r w:rsidR="001E0CE7">
        <w:t>person</w:t>
      </w:r>
      <w:r w:rsidR="001E0CE7" w:rsidRPr="00154F1D">
        <w:t xml:space="preserve">’s </w:t>
      </w:r>
      <w:r w:rsidR="00E066C9" w:rsidRPr="00154F1D">
        <w:t xml:space="preserve">release </w:t>
      </w:r>
      <w:r w:rsidRPr="00154F1D">
        <w:t xml:space="preserve">(rather than ‘likely to endanger’) as the threshold test for the release of an </w:t>
      </w:r>
      <w:r w:rsidR="001E0CE7">
        <w:t>individual</w:t>
      </w:r>
      <w:r w:rsidRPr="00154F1D">
        <w:t>.</w:t>
      </w:r>
      <w:r w:rsidRPr="00154F1D">
        <w:rPr>
          <w:rStyle w:val="FootnoteReference"/>
        </w:rPr>
        <w:footnoteReference w:id="810"/>
      </w:r>
      <w:r w:rsidRPr="00154F1D">
        <w:t xml:space="preserve"> </w:t>
      </w:r>
      <w:r w:rsidR="00E066C9" w:rsidRPr="00154F1D">
        <w:t>The ‘s</w:t>
      </w:r>
      <w:r w:rsidRPr="00154F1D">
        <w:t xml:space="preserve">erious </w:t>
      </w:r>
      <w:r w:rsidR="00E066C9" w:rsidRPr="00154F1D">
        <w:t xml:space="preserve">endangerment’ </w:t>
      </w:r>
      <w:r w:rsidR="00420E0B" w:rsidRPr="00154F1D">
        <w:t>test encompasses ‘concepts of the degree of harm and the degree of risk’.</w:t>
      </w:r>
      <w:r w:rsidR="00420E0B" w:rsidRPr="00154F1D">
        <w:rPr>
          <w:rStyle w:val="FootnoteReference"/>
        </w:rPr>
        <w:footnoteReference w:id="811"/>
      </w:r>
      <w:r w:rsidR="00420E0B" w:rsidRPr="00154F1D">
        <w:t xml:space="preserve"> In other words, ‘it encompasses the gravity of the possible harm in the event that the risk eventuates’.</w:t>
      </w:r>
      <w:r w:rsidR="00420E0B" w:rsidRPr="00154F1D">
        <w:rPr>
          <w:rStyle w:val="FootnoteReference"/>
        </w:rPr>
        <w:footnoteReference w:id="812"/>
      </w:r>
      <w:r w:rsidR="00D73B70" w:rsidRPr="00154F1D">
        <w:t xml:space="preserve"> So ‘a small risk of serious harm occurring may amount to serious endangerment, while a high risk of relatively trivial harm may not’.</w:t>
      </w:r>
      <w:r w:rsidR="00D73B70" w:rsidRPr="00154F1D">
        <w:rPr>
          <w:rStyle w:val="FootnoteReference"/>
        </w:rPr>
        <w:footnoteReference w:id="813"/>
      </w:r>
      <w:r w:rsidR="00C21D07" w:rsidRPr="00154F1D">
        <w:t xml:space="preserve"> </w:t>
      </w:r>
      <w:r w:rsidR="00FA7A73" w:rsidRPr="00154F1D">
        <w:t xml:space="preserve">In </w:t>
      </w:r>
      <w:r w:rsidR="00FA7A73" w:rsidRPr="00154F1D">
        <w:rPr>
          <w:i/>
        </w:rPr>
        <w:t>State of New South Wales v XY</w:t>
      </w:r>
      <w:r w:rsidR="00FA7A73" w:rsidRPr="00154F1D">
        <w:t>,</w:t>
      </w:r>
      <w:r w:rsidR="00FA7A73" w:rsidRPr="00154F1D">
        <w:rPr>
          <w:rStyle w:val="FootnoteReference"/>
        </w:rPr>
        <w:footnoteReference w:id="814"/>
      </w:r>
      <w:r w:rsidR="00FA7A73" w:rsidRPr="00154F1D">
        <w:t xml:space="preserve"> the Court of Appeal confirmed that </w:t>
      </w:r>
      <w:r w:rsidR="00037D34" w:rsidRPr="00154F1D">
        <w:t xml:space="preserve">the test involves a consideration of the gravity of the risk and the likelihood of the risk: </w:t>
      </w:r>
      <w:r w:rsidR="007373AA" w:rsidRPr="00154F1D">
        <w:t xml:space="preserve">this </w:t>
      </w:r>
      <w:r w:rsidR="00037D34" w:rsidRPr="00154F1D">
        <w:t>means that it is necessary ‘to identify the nature of the harm which might follow from release, and the chance of the harm eventuating’.</w:t>
      </w:r>
      <w:r w:rsidR="00037D34" w:rsidRPr="00154F1D">
        <w:rPr>
          <w:rStyle w:val="FootnoteReference"/>
        </w:rPr>
        <w:footnoteReference w:id="815"/>
      </w:r>
      <w:r w:rsidR="00FA7A73" w:rsidRPr="00154F1D">
        <w:t xml:space="preserve"> </w:t>
      </w:r>
      <w:r w:rsidR="00037D34" w:rsidRPr="00154F1D">
        <w:t>It was indicated that if the conduct ‘which may occur would probably not have serious consequences for any member of the public if it did occur, a reasonably high chance of occurrence would be tolerable’.</w:t>
      </w:r>
      <w:r w:rsidR="00037D34" w:rsidRPr="00154F1D">
        <w:rPr>
          <w:rStyle w:val="FootnoteReference"/>
        </w:rPr>
        <w:footnoteReference w:id="816"/>
      </w:r>
      <w:r w:rsidR="00037D34" w:rsidRPr="00154F1D">
        <w:t xml:space="preserve"> However, </w:t>
      </w:r>
      <w:r w:rsidR="00425D95" w:rsidRPr="00154F1D">
        <w:t>if ‘the anticipated conduct … involved serious p</w:t>
      </w:r>
      <w:r w:rsidR="00820A4D" w:rsidRPr="00154F1D">
        <w:t>hys</w:t>
      </w:r>
      <w:r w:rsidR="00425D95" w:rsidRPr="00154F1D">
        <w:t>ical harm and possibly homicide, a much lower level of risk of occurrence would need to be established’.</w:t>
      </w:r>
      <w:bookmarkStart w:id="209" w:name="_Ref535786605"/>
      <w:r w:rsidR="00425D95" w:rsidRPr="00154F1D">
        <w:rPr>
          <w:rStyle w:val="FootnoteReference"/>
        </w:rPr>
        <w:footnoteReference w:id="817"/>
      </w:r>
      <w:bookmarkEnd w:id="209"/>
      <w:r w:rsidR="00425D95" w:rsidRPr="00154F1D">
        <w:t xml:space="preserve"> </w:t>
      </w:r>
      <w:r w:rsidR="00C21D07" w:rsidRPr="00154F1D">
        <w:t xml:space="preserve">In contrast, as set out at </w:t>
      </w:r>
      <w:r w:rsidR="0031749B" w:rsidRPr="00154F1D">
        <w:t>[8.2.26]</w:t>
      </w:r>
      <w:r w:rsidR="00C21D07" w:rsidRPr="00154F1D">
        <w:t xml:space="preserve">, ‘likely to endanger’ is predominately concerned with the degree of risk of harm occurring rather than its gravity. ‘Likely to endanger’ involves an assessment of the risk of harm </w:t>
      </w:r>
      <w:r w:rsidR="007373AA" w:rsidRPr="00154F1D">
        <w:t>—</w:t>
      </w:r>
      <w:r w:rsidR="00C21D07" w:rsidRPr="00154F1D">
        <w:t xml:space="preserve"> ‘both the probability of the harm occurring and the gravity of the possible harm are relevant to assessing the nature of the risk, but the probability of a risk occurring is the “critical concept of endangerment”’.</w:t>
      </w:r>
      <w:r w:rsidR="00C21D07" w:rsidRPr="00154F1D">
        <w:rPr>
          <w:rStyle w:val="FootnoteReference"/>
        </w:rPr>
        <w:footnoteReference w:id="818"/>
      </w:r>
    </w:p>
    <w:p w14:paraId="0BB81FDB" w14:textId="78F3D3B0" w:rsidR="008C779D" w:rsidRPr="00154F1D" w:rsidRDefault="00124652" w:rsidP="00744FAA">
      <w:pPr>
        <w:pStyle w:val="NormalNumberedTextTLRI"/>
      </w:pPr>
      <w:r w:rsidRPr="00154F1D">
        <w:t>Another difference that exists between jurisdictions is the existence of statutory p</w:t>
      </w:r>
      <w:r w:rsidR="00642314" w:rsidRPr="00154F1D">
        <w:t xml:space="preserve">resumptions </w:t>
      </w:r>
      <w:r w:rsidRPr="00154F1D">
        <w:t xml:space="preserve">in favour of release or detention. </w:t>
      </w:r>
      <w:r w:rsidR="005355F5" w:rsidRPr="00154F1D">
        <w:t xml:space="preserve">For example, in New South Wales, </w:t>
      </w:r>
      <w:r w:rsidR="006F7B71" w:rsidRPr="00154F1D">
        <w:t>in relation to the release of a forensic patient, the MHRT must not rel</w:t>
      </w:r>
      <w:r w:rsidR="00F11296" w:rsidRPr="00154F1D">
        <w:t>e</w:t>
      </w:r>
      <w:r w:rsidR="006F7B71" w:rsidRPr="00154F1D">
        <w:t xml:space="preserve">ase a patient unless it is satisfied that </w:t>
      </w:r>
      <w:r w:rsidR="00F11296" w:rsidRPr="00154F1D">
        <w:t>the public will not be seriously endangered.</w:t>
      </w:r>
      <w:r w:rsidR="00EC3760" w:rsidRPr="00154F1D">
        <w:t xml:space="preserve"> </w:t>
      </w:r>
      <w:r w:rsidRPr="00154F1D">
        <w:t xml:space="preserve">This creates a presumption in favour of detention unless the decision-maker is satisfied that the public will </w:t>
      </w:r>
      <w:r w:rsidR="00C21D07" w:rsidRPr="00154F1D">
        <w:t>not</w:t>
      </w:r>
      <w:r w:rsidRPr="00154F1D">
        <w:t xml:space="preserve"> be seriously endangered. </w:t>
      </w:r>
      <w:r w:rsidR="00944E5A" w:rsidRPr="00154F1D">
        <w:t xml:space="preserve">This is also the case under the </w:t>
      </w:r>
      <w:r w:rsidR="00944E5A" w:rsidRPr="00154F1D">
        <w:rPr>
          <w:i/>
        </w:rPr>
        <w:t xml:space="preserve">Crimes Act 1914 </w:t>
      </w:r>
      <w:r w:rsidR="00944E5A" w:rsidRPr="00154F1D">
        <w:t>(Cth) and in Queensland.</w:t>
      </w:r>
      <w:r w:rsidR="00944E5A" w:rsidRPr="00154F1D">
        <w:rPr>
          <w:rStyle w:val="FootnoteReference"/>
        </w:rPr>
        <w:footnoteReference w:id="819"/>
      </w:r>
      <w:r w:rsidR="00944E5A" w:rsidRPr="00154F1D">
        <w:t xml:space="preserve"> It is also the case in Victoria during the nominal term.</w:t>
      </w:r>
      <w:r w:rsidR="00944E5A" w:rsidRPr="00154F1D">
        <w:rPr>
          <w:rStyle w:val="FootnoteReference"/>
        </w:rPr>
        <w:footnoteReference w:id="820"/>
      </w:r>
      <w:r w:rsidR="00944E5A" w:rsidRPr="00154F1D">
        <w:t xml:space="preserve"> </w:t>
      </w:r>
      <w:r w:rsidR="00EC3760" w:rsidRPr="00154F1D">
        <w:t>In contrast</w:t>
      </w:r>
      <w:r w:rsidR="00944E5A" w:rsidRPr="00154F1D">
        <w:t>,</w:t>
      </w:r>
      <w:r w:rsidR="00EC3760" w:rsidRPr="00154F1D">
        <w:t xml:space="preserve"> in </w:t>
      </w:r>
      <w:r w:rsidR="00944E5A" w:rsidRPr="00154F1D">
        <w:t>some</w:t>
      </w:r>
      <w:r w:rsidR="00F8708E" w:rsidRPr="00154F1D">
        <w:t xml:space="preserve"> </w:t>
      </w:r>
      <w:r w:rsidR="00DF5E2D" w:rsidRPr="00154F1D">
        <w:t>jurisdictions</w:t>
      </w:r>
      <w:r w:rsidR="00F8708E" w:rsidRPr="00154F1D">
        <w:t xml:space="preserve"> the </w:t>
      </w:r>
      <w:r w:rsidR="00DF5E2D" w:rsidRPr="00154F1D">
        <w:t>decision</w:t>
      </w:r>
      <w:r w:rsidR="007373AA" w:rsidRPr="00154F1D">
        <w:t>-</w:t>
      </w:r>
      <w:r w:rsidR="00F8708E" w:rsidRPr="00154F1D">
        <w:t xml:space="preserve">maker must order the </w:t>
      </w:r>
      <w:r w:rsidR="00DF5E2D" w:rsidRPr="00154F1D">
        <w:t>release</w:t>
      </w:r>
      <w:r w:rsidR="00F8708E" w:rsidRPr="00154F1D">
        <w:t xml:space="preserve"> of a fore</w:t>
      </w:r>
      <w:r w:rsidR="00DF5E2D" w:rsidRPr="00154F1D">
        <w:t>nsic patien</w:t>
      </w:r>
      <w:r w:rsidR="00F8708E" w:rsidRPr="00154F1D">
        <w:t>t</w:t>
      </w:r>
      <w:r w:rsidR="00944E5A" w:rsidRPr="00154F1D">
        <w:t xml:space="preserve"> unless satisfied that the person poses a risk (as defined in that jurisdiction)</w:t>
      </w:r>
      <w:r w:rsidR="00F8708E" w:rsidRPr="00154F1D">
        <w:t xml:space="preserve">. </w:t>
      </w:r>
      <w:r w:rsidRPr="00154F1D">
        <w:t xml:space="preserve">This creates a presumption in favour of release. </w:t>
      </w:r>
      <w:r w:rsidR="00944E5A" w:rsidRPr="00154F1D">
        <w:t>This is the case in the Northern Territory and in Victoria (after the expiry of the nominal term).</w:t>
      </w:r>
      <w:r w:rsidR="00944E5A" w:rsidRPr="00154F1D">
        <w:rPr>
          <w:rStyle w:val="FootnoteReference"/>
        </w:rPr>
        <w:footnoteReference w:id="821"/>
      </w:r>
      <w:r w:rsidR="002729A6">
        <w:t xml:space="preserve"> </w:t>
      </w:r>
      <w:r w:rsidR="00944E5A" w:rsidRPr="00154F1D">
        <w:t>In some jurisdictions there is no presumption i</w:t>
      </w:r>
      <w:r w:rsidR="001F1FF5" w:rsidRPr="00154F1D">
        <w:t>n</w:t>
      </w:r>
      <w:r w:rsidR="00944E5A" w:rsidRPr="00154F1D">
        <w:t xml:space="preserve"> favour of release or detention </w:t>
      </w:r>
      <w:r w:rsidR="002729A6">
        <w:t>—</w:t>
      </w:r>
      <w:r w:rsidR="00944E5A" w:rsidRPr="00154F1D">
        <w:t xml:space="preserve"> </w:t>
      </w:r>
      <w:r w:rsidR="002729A6">
        <w:t>this is the case</w:t>
      </w:r>
      <w:r w:rsidR="002729A6" w:rsidRPr="00154F1D">
        <w:t xml:space="preserve"> </w:t>
      </w:r>
      <w:r w:rsidR="00FD7618" w:rsidRPr="00154F1D">
        <w:t>in</w:t>
      </w:r>
      <w:r w:rsidR="00944E5A" w:rsidRPr="00154F1D">
        <w:t xml:space="preserve"> Tasmania and Western Australia.</w:t>
      </w:r>
      <w:r w:rsidR="00944E5A" w:rsidRPr="00154F1D">
        <w:rPr>
          <w:rStyle w:val="FootnoteReference"/>
        </w:rPr>
        <w:footnoteReference w:id="822"/>
      </w:r>
      <w:r w:rsidR="006E17B4" w:rsidRPr="00154F1D">
        <w:t xml:space="preserve"> </w:t>
      </w:r>
    </w:p>
    <w:p w14:paraId="58F7D9BF" w14:textId="37695D36" w:rsidR="00B521CE" w:rsidRPr="00154F1D" w:rsidRDefault="00B521CE" w:rsidP="00B521CE">
      <w:pPr>
        <w:pStyle w:val="furhtersub-heading2"/>
      </w:pPr>
      <w:r w:rsidRPr="00154F1D">
        <w:t>Options for reform</w:t>
      </w:r>
    </w:p>
    <w:p w14:paraId="2FC582F8" w14:textId="3695D04F" w:rsidR="000077F6" w:rsidRPr="00154F1D" w:rsidRDefault="00FB4CDD" w:rsidP="00744FAA">
      <w:pPr>
        <w:pStyle w:val="NormalNumberedTextTLRI"/>
      </w:pPr>
      <w:r>
        <w:t>There are s</w:t>
      </w:r>
      <w:r w:rsidR="000077F6" w:rsidRPr="00154F1D">
        <w:t>everal reform</w:t>
      </w:r>
      <w:r w:rsidR="004B5E4B" w:rsidRPr="00154F1D">
        <w:t xml:space="preserve"> options</w:t>
      </w:r>
      <w:r w:rsidR="000077F6" w:rsidRPr="00154F1D">
        <w:t xml:space="preserve"> that could be considered in the context of the Tasmanian forensic mental </w:t>
      </w:r>
      <w:r w:rsidR="004B5E4B" w:rsidRPr="00154F1D">
        <w:t xml:space="preserve">health </w:t>
      </w:r>
      <w:r w:rsidR="000077F6" w:rsidRPr="00154F1D">
        <w:t xml:space="preserve">system. </w:t>
      </w:r>
      <w:r w:rsidR="00D73B70" w:rsidRPr="00154F1D">
        <w:t>These include:</w:t>
      </w:r>
    </w:p>
    <w:p w14:paraId="0F873822" w14:textId="684CF656" w:rsidR="00D73B70" w:rsidRPr="00154F1D" w:rsidRDefault="009C3931" w:rsidP="009C3931">
      <w:pPr>
        <w:pStyle w:val="DotPointTLRI"/>
        <w:ind w:left="851" w:hanging="425"/>
      </w:pPr>
      <w:r w:rsidRPr="00154F1D">
        <w:t>r</w:t>
      </w:r>
      <w:r w:rsidR="00D73B70" w:rsidRPr="00154F1D">
        <w:t>evisiting the role of dangerousness in making, varying and revoking orders;</w:t>
      </w:r>
    </w:p>
    <w:p w14:paraId="17C786C3" w14:textId="4BD15736" w:rsidR="00D73B70" w:rsidRPr="00154F1D" w:rsidRDefault="009C3931" w:rsidP="009C3931">
      <w:pPr>
        <w:pStyle w:val="DotPointTLRI"/>
        <w:ind w:left="851" w:hanging="425"/>
      </w:pPr>
      <w:r w:rsidRPr="00154F1D">
        <w:t>i</w:t>
      </w:r>
      <w:r w:rsidR="00124652" w:rsidRPr="00154F1D">
        <w:t>ncluding statutory presumptions in relation to the detention or release of defendants;</w:t>
      </w:r>
    </w:p>
    <w:p w14:paraId="587255AF" w14:textId="6FB808CB" w:rsidR="002E44D3" w:rsidRPr="00154F1D" w:rsidRDefault="009C3931" w:rsidP="009C3931">
      <w:pPr>
        <w:pStyle w:val="DotPointTLRI"/>
        <w:ind w:left="851" w:hanging="425"/>
      </w:pPr>
      <w:r w:rsidRPr="00154F1D">
        <w:t>m</w:t>
      </w:r>
      <w:r w:rsidR="002E44D3" w:rsidRPr="00154F1D">
        <w:t>aking changes to the model of decision-making;</w:t>
      </w:r>
      <w:r w:rsidRPr="00154F1D">
        <w:t xml:space="preserve"> </w:t>
      </w:r>
    </w:p>
    <w:p w14:paraId="0CA45225" w14:textId="2B7817CE" w:rsidR="00124652" w:rsidRPr="00154F1D" w:rsidRDefault="009C3931" w:rsidP="009C3931">
      <w:pPr>
        <w:pStyle w:val="DotPointTLRI"/>
        <w:ind w:left="851" w:hanging="425"/>
      </w:pPr>
      <w:r w:rsidRPr="00154F1D">
        <w:t>m</w:t>
      </w:r>
      <w:r w:rsidR="00124652" w:rsidRPr="00154F1D">
        <w:t>aking changes to the leave system</w:t>
      </w:r>
      <w:r w:rsidR="00C21D07" w:rsidRPr="00154F1D">
        <w:t>.</w:t>
      </w:r>
    </w:p>
    <w:p w14:paraId="5AE01261" w14:textId="7F287897" w:rsidR="008354CF" w:rsidRPr="00154F1D" w:rsidRDefault="000077F6" w:rsidP="00744FAA">
      <w:pPr>
        <w:pStyle w:val="NormalNumberedTextTLRI"/>
      </w:pPr>
      <w:r w:rsidRPr="00154F1D">
        <w:rPr>
          <w:b/>
        </w:rPr>
        <w:t xml:space="preserve">The </w:t>
      </w:r>
      <w:r w:rsidR="001E5E39" w:rsidRPr="00154F1D">
        <w:rPr>
          <w:b/>
        </w:rPr>
        <w:t>role of dangerousness</w:t>
      </w:r>
      <w:r w:rsidR="001E5E39" w:rsidRPr="00154F1D">
        <w:t xml:space="preserve">. </w:t>
      </w:r>
      <w:r w:rsidR="00294F2C" w:rsidRPr="00154F1D">
        <w:t>As the NSWLRC has identified, there are two common features in cases following a finding at a special hearing o</w:t>
      </w:r>
      <w:r w:rsidR="009C3931" w:rsidRPr="00154F1D">
        <w:t>f</w:t>
      </w:r>
      <w:r w:rsidR="00294F2C" w:rsidRPr="00154F1D">
        <w:t xml:space="preserve"> </w:t>
      </w:r>
      <w:r w:rsidR="008354CF" w:rsidRPr="00154F1D">
        <w:t>not guilty by reason of insanity:</w:t>
      </w:r>
    </w:p>
    <w:p w14:paraId="0F886A26" w14:textId="3D23C19B" w:rsidR="008354CF" w:rsidRPr="00154F1D" w:rsidRDefault="008354CF" w:rsidP="009C3931">
      <w:pPr>
        <w:pStyle w:val="DotPointTLRI"/>
        <w:ind w:left="851" w:hanging="425"/>
      </w:pPr>
      <w:r w:rsidRPr="00154F1D">
        <w:t>the absence of established criminal responsibility, and therefore the absence of any principled basis for punishment; and</w:t>
      </w:r>
    </w:p>
    <w:p w14:paraId="56466042" w14:textId="15346CF7" w:rsidR="00294F2C" w:rsidRPr="00154F1D" w:rsidRDefault="008354CF" w:rsidP="009C3931">
      <w:pPr>
        <w:pStyle w:val="DotPointTLRI"/>
        <w:ind w:left="851" w:hanging="425"/>
      </w:pPr>
      <w:r w:rsidRPr="00154F1D">
        <w:t>the possibility that the person’s cognitive or mental health impairment may give rise to a risk of harm, and a consequent need for restrictions on the person’s liberty to ensure the safety of the community …</w:t>
      </w:r>
      <w:r w:rsidRPr="00154F1D">
        <w:rPr>
          <w:rStyle w:val="FootnoteReference"/>
        </w:rPr>
        <w:footnoteReference w:id="823"/>
      </w:r>
    </w:p>
    <w:p w14:paraId="28FE6A4E" w14:textId="72372E9D" w:rsidR="00DD4F1F" w:rsidRPr="00154F1D" w:rsidRDefault="003B6B17" w:rsidP="00744FAA">
      <w:pPr>
        <w:pStyle w:val="NormalNumberedTextTLRI"/>
        <w:numPr>
          <w:ilvl w:val="0"/>
          <w:numId w:val="0"/>
        </w:numPr>
      </w:pPr>
      <w:r w:rsidRPr="00154F1D">
        <w:t>This means that punishment should not have application in these cases. Accordingly, t</w:t>
      </w:r>
      <w:r w:rsidR="008354CF" w:rsidRPr="00154F1D">
        <w:t xml:space="preserve">he limits of the </w:t>
      </w:r>
      <w:r w:rsidR="009C3931" w:rsidRPr="00154F1D">
        <w:t xml:space="preserve">person’s </w:t>
      </w:r>
      <w:r w:rsidR="008354CF" w:rsidRPr="00154F1D">
        <w:t xml:space="preserve">detention are guided by </w:t>
      </w:r>
      <w:r w:rsidR="009C3931" w:rsidRPr="00154F1D">
        <w:t xml:space="preserve">the </w:t>
      </w:r>
      <w:r w:rsidR="008354CF" w:rsidRPr="00154F1D">
        <w:t>requirement to achieve a balance between community safety and the individual’s freedom and personal autonomy</w:t>
      </w:r>
      <w:r w:rsidR="00745B02" w:rsidRPr="00154F1D">
        <w:t>,</w:t>
      </w:r>
      <w:r w:rsidR="006F336D" w:rsidRPr="00154F1D">
        <w:rPr>
          <w:rStyle w:val="FootnoteReference"/>
        </w:rPr>
        <w:footnoteReference w:id="824"/>
      </w:r>
      <w:r w:rsidRPr="00154F1D">
        <w:t xml:space="preserve"> </w:t>
      </w:r>
      <w:r w:rsidR="00745B02" w:rsidRPr="00154F1D">
        <w:t>informed by the concept of risk. However, a</w:t>
      </w:r>
      <w:r w:rsidRPr="00154F1D">
        <w:t xml:space="preserve">s </w:t>
      </w:r>
      <w:r w:rsidR="00DD4F1F" w:rsidRPr="00154F1D">
        <w:t xml:space="preserve">McSherry </w:t>
      </w:r>
      <w:r w:rsidR="008354CF" w:rsidRPr="00154F1D">
        <w:t xml:space="preserve">has written, </w:t>
      </w:r>
      <w:r w:rsidR="00DD4F1F" w:rsidRPr="00154F1D">
        <w:t>‘</w:t>
      </w:r>
      <w:r w:rsidR="008354CF" w:rsidRPr="00154F1D">
        <w:t>t</w:t>
      </w:r>
      <w:r w:rsidR="00DD4F1F" w:rsidRPr="00154F1D">
        <w:t xml:space="preserve">he problem really lies in drawing up appropriate criteria which will lead to the detention of those who really may do harm in the future, whilst allowing for the absolute </w:t>
      </w:r>
      <w:r w:rsidR="00642314" w:rsidRPr="00154F1D">
        <w:t>discharge</w:t>
      </w:r>
      <w:r w:rsidR="00DD4F1F" w:rsidRPr="00154F1D">
        <w:t xml:space="preserve"> of those who do not pose a risk to the public’.</w:t>
      </w:r>
      <w:r w:rsidR="00DD4F1F" w:rsidRPr="00154F1D">
        <w:rPr>
          <w:rStyle w:val="FootnoteReference"/>
        </w:rPr>
        <w:footnoteReference w:id="825"/>
      </w:r>
      <w:r w:rsidR="00745B02" w:rsidRPr="00154F1D">
        <w:t xml:space="preserve"> Other jurisdictions have reviewed the circumstances in which a person may be made a forensic patient and the process by which the order is able to be varied or discharged, and have examined the principles and factors that should be considered by the court. This discussion has generally focused on the concepts of risk of harm and dangerousness.</w:t>
      </w:r>
    </w:p>
    <w:p w14:paraId="609EC10B" w14:textId="3B874064" w:rsidR="00585DD7" w:rsidRPr="00154F1D" w:rsidRDefault="00980C39" w:rsidP="00744FAA">
      <w:pPr>
        <w:pStyle w:val="NormalNumberedTextTLRI"/>
      </w:pPr>
      <w:r w:rsidRPr="00154F1D">
        <w:t xml:space="preserve">In Victoria, the </w:t>
      </w:r>
      <w:r w:rsidR="000077F6" w:rsidRPr="00154F1D">
        <w:t>VLRC sought feedback on whether endangerment was appropriate as the basis for the court’s assessment</w:t>
      </w:r>
      <w:r w:rsidR="00D73B70" w:rsidRPr="00154F1D">
        <w:t xml:space="preserve"> </w:t>
      </w:r>
      <w:r w:rsidR="00931975">
        <w:t>of</w:t>
      </w:r>
      <w:r w:rsidR="00931975" w:rsidRPr="00154F1D">
        <w:t xml:space="preserve"> </w:t>
      </w:r>
      <w:r w:rsidR="00F31B14">
        <w:t xml:space="preserve">whether to </w:t>
      </w:r>
      <w:r w:rsidR="00D73B70" w:rsidRPr="00154F1D">
        <w:t xml:space="preserve">detain or </w:t>
      </w:r>
      <w:r w:rsidR="00F31B14" w:rsidRPr="00154F1D">
        <w:t>releas</w:t>
      </w:r>
      <w:r w:rsidR="00F31B14">
        <w:t>e</w:t>
      </w:r>
      <w:r w:rsidR="00F31B14" w:rsidRPr="00154F1D">
        <w:t xml:space="preserve"> </w:t>
      </w:r>
      <w:r w:rsidR="00D73B70" w:rsidRPr="00154F1D">
        <w:t>a forensic patient</w:t>
      </w:r>
      <w:r w:rsidR="000077F6" w:rsidRPr="00154F1D">
        <w:t xml:space="preserve">. </w:t>
      </w:r>
      <w:r w:rsidR="00D73B70" w:rsidRPr="00154F1D">
        <w:t>The view was expressed that ‘endangerment’ was an imprecise concept that allowed too much subjective interpretation.</w:t>
      </w:r>
      <w:r w:rsidR="00D73B70" w:rsidRPr="00154F1D">
        <w:rPr>
          <w:rStyle w:val="FootnoteReference"/>
        </w:rPr>
        <w:footnoteReference w:id="826"/>
      </w:r>
      <w:r w:rsidR="00D73B70" w:rsidRPr="00154F1D">
        <w:t xml:space="preserve"> The NSWLRC considered that endangerment provided ‘very little guidance on what this phrase meant’.</w:t>
      </w:r>
      <w:r w:rsidR="00D73B70" w:rsidRPr="00154F1D">
        <w:rPr>
          <w:rStyle w:val="FootnoteReference"/>
        </w:rPr>
        <w:footnoteReference w:id="827"/>
      </w:r>
      <w:r w:rsidR="00D73B70" w:rsidRPr="00154F1D">
        <w:t xml:space="preserve"> </w:t>
      </w:r>
      <w:r w:rsidR="00017E3A" w:rsidRPr="00154F1D">
        <w:t>Similarly, o</w:t>
      </w:r>
      <w:r w:rsidR="001E5E39" w:rsidRPr="00154F1D">
        <w:t>ther commentators ha</w:t>
      </w:r>
      <w:r w:rsidR="00D73B70" w:rsidRPr="00154F1D">
        <w:t>ve</w:t>
      </w:r>
      <w:r w:rsidR="001E5E39" w:rsidRPr="00154F1D">
        <w:t xml:space="preserve"> observed that the f</w:t>
      </w:r>
      <w:r w:rsidR="00585DD7" w:rsidRPr="00154F1D">
        <w:t xml:space="preserve">ocus on dangerousness </w:t>
      </w:r>
      <w:r w:rsidR="001E5E39" w:rsidRPr="00154F1D">
        <w:t>provided</w:t>
      </w:r>
      <w:r w:rsidR="00585DD7" w:rsidRPr="00154F1D">
        <w:t xml:space="preserve"> little guidance as to how the court should exercise broad discretion and </w:t>
      </w:r>
      <w:r w:rsidR="00D73B70" w:rsidRPr="00154F1D">
        <w:t xml:space="preserve">have argued that this has resulted in the </w:t>
      </w:r>
      <w:r w:rsidR="00585DD7" w:rsidRPr="00154F1D">
        <w:t xml:space="preserve">courts </w:t>
      </w:r>
      <w:r w:rsidR="00D73B70" w:rsidRPr="00154F1D">
        <w:t>according</w:t>
      </w:r>
      <w:r w:rsidR="00585DD7" w:rsidRPr="00154F1D">
        <w:t xml:space="preserve"> </w:t>
      </w:r>
      <w:r w:rsidR="00D73B70" w:rsidRPr="00154F1D">
        <w:t>‘</w:t>
      </w:r>
      <w:r w:rsidR="00585DD7" w:rsidRPr="00154F1D">
        <w:t>higher weight to factors relating to community protection than factors related to treatment and ongoing evidence of mental disorder’.</w:t>
      </w:r>
      <w:r w:rsidR="001E5E39" w:rsidRPr="00154F1D">
        <w:rPr>
          <w:rStyle w:val="FootnoteReference"/>
        </w:rPr>
        <w:footnoteReference w:id="828"/>
      </w:r>
      <w:r w:rsidR="00585DD7" w:rsidRPr="00154F1D">
        <w:t xml:space="preserve"> </w:t>
      </w:r>
      <w:r w:rsidR="00017E3A" w:rsidRPr="00154F1D">
        <w:t xml:space="preserve">The NSWLRC also considered that a test based on an assessment of dangerousness was inadequate as it was inconsistent with the test for determining the detention of a patient in the civil mental </w:t>
      </w:r>
      <w:r w:rsidR="006A116E">
        <w:t xml:space="preserve">health </w:t>
      </w:r>
      <w:r w:rsidR="00017E3A" w:rsidRPr="00154F1D">
        <w:t xml:space="preserve">system (which required </w:t>
      </w:r>
      <w:r w:rsidR="006C2318" w:rsidRPr="00154F1D">
        <w:t xml:space="preserve">an assessment of </w:t>
      </w:r>
      <w:r w:rsidR="00017E3A" w:rsidRPr="00154F1D">
        <w:t>whether it was necessary for the protection of the person or others from serious harm) and it was inconsistent with contemporary language of risk assessment.</w:t>
      </w:r>
      <w:r w:rsidR="00017E3A" w:rsidRPr="00154F1D">
        <w:rPr>
          <w:rStyle w:val="FootnoteReference"/>
        </w:rPr>
        <w:footnoteReference w:id="829"/>
      </w:r>
      <w:r w:rsidR="00017E3A" w:rsidRPr="00154F1D">
        <w:t xml:space="preserve"> Dangerousness was said to be inappropriate because it was ‘a vague and unhelpful way of expressing the risk of a particular individual causing harm’.</w:t>
      </w:r>
      <w:r w:rsidR="00017E3A" w:rsidRPr="00154F1D">
        <w:rPr>
          <w:rStyle w:val="FootnoteReference"/>
        </w:rPr>
        <w:footnoteReference w:id="830"/>
      </w:r>
      <w:r w:rsidR="00B61CF9" w:rsidRPr="00154F1D">
        <w:t xml:space="preserve"> Instead, </w:t>
      </w:r>
      <w:r w:rsidR="00C21D07" w:rsidRPr="00154F1D">
        <w:t xml:space="preserve">its view was that </w:t>
      </w:r>
      <w:r w:rsidR="00B61CF9" w:rsidRPr="00154F1D">
        <w:t xml:space="preserve">the language of risk </w:t>
      </w:r>
      <w:r w:rsidR="00C21D07" w:rsidRPr="00154F1D">
        <w:t>better reflected</w:t>
      </w:r>
      <w:r w:rsidR="00B61CF9" w:rsidRPr="00154F1D">
        <w:t xml:space="preserve"> the approach taken by clinicians and health professionals in the mental health field.</w:t>
      </w:r>
      <w:r w:rsidR="00B61CF9" w:rsidRPr="00154F1D">
        <w:rPr>
          <w:rStyle w:val="FootnoteReference"/>
        </w:rPr>
        <w:footnoteReference w:id="831"/>
      </w:r>
      <w:r w:rsidR="00B61CF9" w:rsidRPr="00154F1D">
        <w:t xml:space="preserve"> </w:t>
      </w:r>
    </w:p>
    <w:p w14:paraId="3E151C4E" w14:textId="63E0D2FE" w:rsidR="00585EF8" w:rsidRPr="00154F1D" w:rsidRDefault="00B61CF9" w:rsidP="00744FAA">
      <w:pPr>
        <w:pStyle w:val="NormalNumberedTextTLRI"/>
      </w:pPr>
      <w:r w:rsidRPr="00154F1D">
        <w:t>In response</w:t>
      </w:r>
      <w:r w:rsidR="00C21D07" w:rsidRPr="00154F1D">
        <w:t xml:space="preserve"> to concerns about the inadequacy of the current test</w:t>
      </w:r>
      <w:r w:rsidRPr="00154F1D">
        <w:t>, the NSWLRC recommended a ‘a risk-based threshold for release [that] should require that there be no significant risk of serious harm’.</w:t>
      </w:r>
      <w:r w:rsidRPr="00154F1D">
        <w:rPr>
          <w:rStyle w:val="FootnoteReference"/>
        </w:rPr>
        <w:footnoteReference w:id="832"/>
      </w:r>
      <w:r w:rsidRPr="00154F1D">
        <w:t xml:space="preserve"> The ‘significant’ risk of ‘serious’ harm was viewed as an appropriate hurdle to protect community safety and the interests of the individual.</w:t>
      </w:r>
      <w:r w:rsidRPr="00154F1D">
        <w:rPr>
          <w:rStyle w:val="FootnoteReference"/>
        </w:rPr>
        <w:footnoteReference w:id="833"/>
      </w:r>
      <w:r w:rsidR="00722482" w:rsidRPr="00154F1D">
        <w:t xml:space="preserve"> In Victoria, a different approach was recommended to address concerns about the language of ‘dangerousness’ and to move to a ‘risk’</w:t>
      </w:r>
      <w:r w:rsidR="009762AE" w:rsidRPr="00154F1D">
        <w:t>-</w:t>
      </w:r>
      <w:r w:rsidR="00722482" w:rsidRPr="00154F1D">
        <w:t>based test. The VLRC’s view was that ‘an “unacceptable risk” [was] an appropriate measure of the likelihood of risk the supervised person pose[s]</w:t>
      </w:r>
      <w:r w:rsidR="009762AE" w:rsidRPr="00154F1D">
        <w:t>.</w:t>
      </w:r>
      <w:r w:rsidR="00722482" w:rsidRPr="00154F1D">
        <w:t>’</w:t>
      </w:r>
      <w:r w:rsidR="00722482" w:rsidRPr="00154F1D">
        <w:rPr>
          <w:rStyle w:val="FootnoteReference"/>
        </w:rPr>
        <w:footnoteReference w:id="834"/>
      </w:r>
      <w:r w:rsidR="00722482" w:rsidRPr="00154F1D">
        <w:t xml:space="preserve"> This was proposed for </w:t>
      </w:r>
      <w:r w:rsidR="00585EF8" w:rsidRPr="00154F1D">
        <w:t>four</w:t>
      </w:r>
      <w:r w:rsidR="00722482" w:rsidRPr="00154F1D">
        <w:t xml:space="preserve"> reasons: </w:t>
      </w:r>
    </w:p>
    <w:p w14:paraId="4E7F5C1E" w14:textId="00152AB1" w:rsidR="00585EF8" w:rsidRPr="00154F1D" w:rsidRDefault="00722482" w:rsidP="008C4D79">
      <w:pPr>
        <w:pStyle w:val="NormalNumberedTextTLRI"/>
        <w:numPr>
          <w:ilvl w:val="0"/>
          <w:numId w:val="0"/>
        </w:numPr>
        <w:tabs>
          <w:tab w:val="clear" w:pos="851"/>
        </w:tabs>
        <w:ind w:left="851" w:hanging="425"/>
      </w:pPr>
      <w:r w:rsidRPr="00154F1D">
        <w:t>(1)</w:t>
      </w:r>
      <w:r w:rsidR="008C4D79" w:rsidRPr="00154F1D">
        <w:tab/>
      </w:r>
      <w:r w:rsidRPr="00154F1D">
        <w:t>it demonstrates that ‘there is some level of risk that will be acceptable and will counteract any assumption that person must prove that they pose no risk before their level of supervision can be reduced’;</w:t>
      </w:r>
      <w:r w:rsidRPr="00154F1D">
        <w:rPr>
          <w:rStyle w:val="FootnoteReference"/>
        </w:rPr>
        <w:footnoteReference w:id="835"/>
      </w:r>
      <w:r w:rsidRPr="00154F1D">
        <w:t xml:space="preserve"> </w:t>
      </w:r>
    </w:p>
    <w:p w14:paraId="4EB3CC60" w14:textId="3D33D2A5" w:rsidR="00585EF8" w:rsidRPr="00154F1D" w:rsidRDefault="00722482" w:rsidP="008C4D79">
      <w:pPr>
        <w:pStyle w:val="NormalNumberedTextTLRI"/>
        <w:numPr>
          <w:ilvl w:val="0"/>
          <w:numId w:val="0"/>
        </w:numPr>
        <w:tabs>
          <w:tab w:val="clear" w:pos="851"/>
        </w:tabs>
        <w:ind w:left="851" w:hanging="425"/>
      </w:pPr>
      <w:r w:rsidRPr="00154F1D">
        <w:t>(2)</w:t>
      </w:r>
      <w:r w:rsidR="008C4D79" w:rsidRPr="00154F1D">
        <w:tab/>
      </w:r>
      <w:r w:rsidRPr="00154F1D">
        <w:t xml:space="preserve">it ‘recognises </w:t>
      </w:r>
      <w:r w:rsidR="00585EF8" w:rsidRPr="00154F1D">
        <w:t>that assessing risk requires a level of subjective judgment by the decision</w:t>
      </w:r>
      <w:r w:rsidR="008C4D79" w:rsidRPr="00154F1D">
        <w:t>-</w:t>
      </w:r>
      <w:r w:rsidR="00585EF8" w:rsidRPr="00154F1D">
        <w:t>maker on the level of risk that society is prepared to accept when balanced against the supervised person’s right to liberty and freedom’;</w:t>
      </w:r>
      <w:r w:rsidR="00585EF8" w:rsidRPr="00154F1D">
        <w:rPr>
          <w:rStyle w:val="FootnoteReference"/>
        </w:rPr>
        <w:footnoteReference w:id="836"/>
      </w:r>
      <w:r w:rsidR="00585EF8" w:rsidRPr="00154F1D">
        <w:t xml:space="preserve"> </w:t>
      </w:r>
    </w:p>
    <w:p w14:paraId="3F682BDD" w14:textId="1F025EC4" w:rsidR="00585EF8" w:rsidRPr="00154F1D" w:rsidRDefault="00585EF8" w:rsidP="008C4D79">
      <w:pPr>
        <w:pStyle w:val="NormalNumberedTextTLRI"/>
        <w:numPr>
          <w:ilvl w:val="0"/>
          <w:numId w:val="0"/>
        </w:numPr>
        <w:tabs>
          <w:tab w:val="clear" w:pos="851"/>
        </w:tabs>
        <w:ind w:left="851" w:hanging="425"/>
      </w:pPr>
      <w:r w:rsidRPr="00154F1D">
        <w:t>(3)</w:t>
      </w:r>
      <w:r w:rsidR="008C4D79" w:rsidRPr="00154F1D">
        <w:tab/>
      </w:r>
      <w:r w:rsidRPr="00154F1D">
        <w:t>although ‘it incorporates some level of social judgement. A test based on unacceptable risk is more in line with modern risk assessment that than a test based on dangerousness’;</w:t>
      </w:r>
      <w:r w:rsidRPr="00154F1D">
        <w:rPr>
          <w:rStyle w:val="FootnoteReference"/>
        </w:rPr>
        <w:footnoteReference w:id="837"/>
      </w:r>
      <w:r w:rsidRPr="00154F1D">
        <w:t xml:space="preserve"> and </w:t>
      </w:r>
    </w:p>
    <w:p w14:paraId="2D523634" w14:textId="4A1B1B1D" w:rsidR="00B61CF9" w:rsidRPr="00154F1D" w:rsidRDefault="00585EF8" w:rsidP="008C4D79">
      <w:pPr>
        <w:pStyle w:val="NormalNumberedTextTLRI"/>
        <w:numPr>
          <w:ilvl w:val="0"/>
          <w:numId w:val="0"/>
        </w:numPr>
        <w:tabs>
          <w:tab w:val="clear" w:pos="851"/>
        </w:tabs>
        <w:ind w:left="851" w:hanging="425"/>
      </w:pPr>
      <w:r w:rsidRPr="00154F1D">
        <w:t>(4)</w:t>
      </w:r>
      <w:r w:rsidR="008C4D79" w:rsidRPr="00154F1D">
        <w:tab/>
      </w:r>
      <w:r w:rsidRPr="00154F1D">
        <w:t>it ‘will encourage decision</w:t>
      </w:r>
      <w:r w:rsidR="0033361B">
        <w:t>-</w:t>
      </w:r>
      <w:r w:rsidRPr="00154F1D">
        <w:t>makers to engage in more nuanced assessments of a supervised person’s risk, rather than a “black and white” assessment of whether a person is “dangerous” or “not dangerous”’.</w:t>
      </w:r>
      <w:r w:rsidRPr="00154F1D">
        <w:rPr>
          <w:rStyle w:val="FootnoteReference"/>
        </w:rPr>
        <w:footnoteReference w:id="838"/>
      </w:r>
    </w:p>
    <w:p w14:paraId="626C005B" w14:textId="1E1F73EE" w:rsidR="00585EF8" w:rsidRPr="00154F1D" w:rsidRDefault="00585EF8" w:rsidP="00744FAA">
      <w:pPr>
        <w:pStyle w:val="NormalNumberedTextTLRI"/>
      </w:pPr>
      <w:r w:rsidRPr="00154F1D">
        <w:t xml:space="preserve">The VLRC also considered that the test should specify the type of harm required to provide more clarity to decision-makers and experts applying the test. Accordingly, it recommended a test based on physical or psychological </w:t>
      </w:r>
      <w:r w:rsidR="00A32DE9" w:rsidRPr="00154F1D">
        <w:t>harm to a person.</w:t>
      </w:r>
      <w:r w:rsidR="00A32DE9" w:rsidRPr="00154F1D">
        <w:rPr>
          <w:rStyle w:val="FootnoteReference"/>
        </w:rPr>
        <w:footnoteReference w:id="839"/>
      </w:r>
      <w:r w:rsidR="002D275D" w:rsidRPr="00154F1D">
        <w:t xml:space="preserve"> In New South Wales, ‘serious harm’ was the degree of harm </w:t>
      </w:r>
      <w:r w:rsidR="00C21D07" w:rsidRPr="00154F1D">
        <w:t xml:space="preserve">that was specified </w:t>
      </w:r>
      <w:r w:rsidR="002D275D" w:rsidRPr="00154F1D">
        <w:t>given that it aligned more closely with the civil mental health system.</w:t>
      </w:r>
      <w:r w:rsidR="002D275D" w:rsidRPr="00154F1D">
        <w:rPr>
          <w:rStyle w:val="FootnoteReference"/>
        </w:rPr>
        <w:footnoteReference w:id="840"/>
      </w:r>
      <w:r w:rsidR="002D275D" w:rsidRPr="00154F1D">
        <w:t xml:space="preserve"> </w:t>
      </w:r>
      <w:r w:rsidR="001D4834" w:rsidRPr="00154F1D">
        <w:t>Similarly, i</w:t>
      </w:r>
      <w:r w:rsidR="002D275D" w:rsidRPr="00154F1D">
        <w:t>n Tasmania, under the civil mental health system</w:t>
      </w:r>
      <w:r w:rsidR="001D4834" w:rsidRPr="00154F1D">
        <w:t>, ‘serious harm’ form</w:t>
      </w:r>
      <w:r w:rsidR="00C21D07" w:rsidRPr="00154F1D">
        <w:t>s</w:t>
      </w:r>
      <w:r w:rsidR="001D4834" w:rsidRPr="00154F1D">
        <w:t xml:space="preserve"> part of the treatment </w:t>
      </w:r>
      <w:r w:rsidR="00DB00EE" w:rsidRPr="00154F1D">
        <w:t xml:space="preserve">criteria </w:t>
      </w:r>
      <w:r w:rsidR="00C21D07" w:rsidRPr="00154F1D">
        <w:t xml:space="preserve">for the MHT </w:t>
      </w:r>
      <w:r w:rsidR="00DB00EE" w:rsidRPr="00154F1D">
        <w:t>in making a</w:t>
      </w:r>
      <w:r w:rsidR="001D4834" w:rsidRPr="00154F1D">
        <w:t xml:space="preserve"> treatment order.</w:t>
      </w:r>
      <w:r w:rsidR="001D4834" w:rsidRPr="00154F1D">
        <w:rPr>
          <w:rStyle w:val="FootnoteReference"/>
        </w:rPr>
        <w:footnoteReference w:id="841"/>
      </w:r>
      <w:r w:rsidR="001D4834" w:rsidRPr="00154F1D">
        <w:t xml:space="preserve"> </w:t>
      </w:r>
    </w:p>
    <w:p w14:paraId="2A50E2F1" w14:textId="7039815F" w:rsidR="00DB00EE" w:rsidRPr="00154F1D" w:rsidRDefault="00DB00EE" w:rsidP="00744FAA">
      <w:pPr>
        <w:pStyle w:val="NormalNumberedTextTLRI"/>
      </w:pPr>
      <w:r w:rsidRPr="00154F1D">
        <w:t xml:space="preserve">Other factors </w:t>
      </w:r>
      <w:r w:rsidR="00AB78CA" w:rsidRPr="00154F1D">
        <w:t xml:space="preserve">that </w:t>
      </w:r>
      <w:r w:rsidR="00F401AD" w:rsidRPr="00154F1D">
        <w:t>may be necessary to provide more guidance to the court in relation to making, varying and revoking orders w</w:t>
      </w:r>
      <w:r w:rsidR="00C21D07" w:rsidRPr="00154F1D">
        <w:t>ere also</w:t>
      </w:r>
      <w:r w:rsidR="00F401AD" w:rsidRPr="00154F1D">
        <w:t xml:space="preserve"> considered by the </w:t>
      </w:r>
      <w:r w:rsidRPr="00154F1D">
        <w:t>VLRC</w:t>
      </w:r>
      <w:r w:rsidR="00F401AD" w:rsidRPr="00154F1D">
        <w:t xml:space="preserve">. </w:t>
      </w:r>
      <w:r w:rsidR="00AB78CA" w:rsidRPr="00154F1D">
        <w:t xml:space="preserve">It recommended that </w:t>
      </w:r>
      <w:r w:rsidR="00C21D07" w:rsidRPr="00154F1D">
        <w:t xml:space="preserve">the </w:t>
      </w:r>
      <w:r w:rsidR="00AB78CA" w:rsidRPr="00154F1D">
        <w:t>legislation should be amended to require consideration of an individual’s recovery and progress, in terms of treatment and personal improvement</w:t>
      </w:r>
      <w:r w:rsidR="00477D08">
        <w:t>,</w:t>
      </w:r>
      <w:r w:rsidR="00AE71FE" w:rsidRPr="00154F1D">
        <w:t xml:space="preserve"> to be taken into account in making a decision about whether to change a person’s status from a custodial supervision order to a non-custodial supervision order or release the person from a non-custodial supervision order</w:t>
      </w:r>
      <w:r w:rsidR="00AB78CA" w:rsidRPr="00154F1D">
        <w:t>.</w:t>
      </w:r>
      <w:r w:rsidR="00AB78CA" w:rsidRPr="00154F1D">
        <w:rPr>
          <w:rStyle w:val="FootnoteReference"/>
        </w:rPr>
        <w:footnoteReference w:id="842"/>
      </w:r>
      <w:r w:rsidR="00AB78CA" w:rsidRPr="00154F1D">
        <w:t xml:space="preserve"> This </w:t>
      </w:r>
      <w:r w:rsidR="00AE71FE" w:rsidRPr="00154F1D">
        <w:t xml:space="preserve">change was recommended </w:t>
      </w:r>
      <w:r w:rsidR="00AB78CA" w:rsidRPr="00154F1D">
        <w:t>to allow the test to be more responsive to people with intellectual disability or other cognitive impairments, and to recognise more positive aspects of a person’s recovery or progress.</w:t>
      </w:r>
      <w:r w:rsidR="00AB78CA" w:rsidRPr="00154F1D">
        <w:rPr>
          <w:rStyle w:val="FootnoteReference"/>
        </w:rPr>
        <w:footnoteReference w:id="843"/>
      </w:r>
      <w:r w:rsidRPr="00154F1D">
        <w:t xml:space="preserve"> </w:t>
      </w:r>
    </w:p>
    <w:p w14:paraId="4CA248CC" w14:textId="1FE3AFA6" w:rsidR="00722482" w:rsidRPr="00154F1D" w:rsidRDefault="00B61CF9" w:rsidP="00744FAA">
      <w:pPr>
        <w:pStyle w:val="NormalNumberedTextTLRI"/>
      </w:pPr>
      <w:r w:rsidRPr="00154F1D">
        <w:t xml:space="preserve">The </w:t>
      </w:r>
      <w:r w:rsidR="00722482" w:rsidRPr="00154F1D">
        <w:t>TLRI seeks feedback on the wording</w:t>
      </w:r>
      <w:r w:rsidRPr="00154F1D">
        <w:t xml:space="preserve"> of the Tasmania test </w:t>
      </w:r>
      <w:r w:rsidR="00AE71FE" w:rsidRPr="00154F1D">
        <w:t xml:space="preserve">contained in the </w:t>
      </w:r>
      <w:r w:rsidR="006E0930" w:rsidRPr="00154F1D">
        <w:rPr>
          <w:i/>
          <w:iCs/>
        </w:rPr>
        <w:t xml:space="preserve">Criminal Justice (Mental Impairment) Act 1999 </w:t>
      </w:r>
      <w:r w:rsidR="006E0930" w:rsidRPr="00154F1D">
        <w:rPr>
          <w:iCs/>
        </w:rPr>
        <w:t>(Tas)</w:t>
      </w:r>
      <w:r w:rsidR="006E0930" w:rsidRPr="00154F1D">
        <w:t xml:space="preserve"> </w:t>
      </w:r>
      <w:r w:rsidRPr="00154F1D">
        <w:t xml:space="preserve">and </w:t>
      </w:r>
      <w:r w:rsidR="00722482" w:rsidRPr="00154F1D">
        <w:t>any concerns that exist about its operation</w:t>
      </w:r>
      <w:r w:rsidR="006E0930" w:rsidRPr="00154F1D">
        <w:t xml:space="preserve"> either generally or in the context of particular types of individuals, such as those with cognitive impairment or those with long-term mental illness</w:t>
      </w:r>
      <w:r w:rsidR="00722482" w:rsidRPr="00154F1D">
        <w:t xml:space="preserve">. In particular, the TLRI seeks feedback on </w:t>
      </w:r>
      <w:r w:rsidRPr="00154F1D">
        <w:t xml:space="preserve">whether there should be a change to the threshold for making, varying or discharging an order </w:t>
      </w:r>
      <w:r w:rsidR="006E0930" w:rsidRPr="00154F1D">
        <w:t xml:space="preserve">under the </w:t>
      </w:r>
      <w:r w:rsidR="006E0930" w:rsidRPr="00154F1D">
        <w:rPr>
          <w:i/>
          <w:iCs/>
        </w:rPr>
        <w:t xml:space="preserve">Criminal Justice (Mental Impairment) Act 1999 </w:t>
      </w:r>
      <w:r w:rsidR="006E0930" w:rsidRPr="00154F1D">
        <w:rPr>
          <w:iCs/>
        </w:rPr>
        <w:t>(Tas)</w:t>
      </w:r>
      <w:r w:rsidR="006E0930" w:rsidRPr="00154F1D">
        <w:t xml:space="preserve"> </w:t>
      </w:r>
      <w:r w:rsidRPr="00154F1D">
        <w:t xml:space="preserve">to more appropriately balance the risk to the community and the interests of the individual. </w:t>
      </w:r>
    </w:p>
    <w:p w14:paraId="0E58A616" w14:textId="77777777" w:rsidR="00683D28" w:rsidRPr="00154F1D" w:rsidRDefault="00683D28" w:rsidP="00AF195E">
      <w:pPr>
        <w:pStyle w:val="NormalNumberedTextTLRI"/>
        <w:keepNext/>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spacing w:after="120"/>
        <w:ind w:left="426" w:right="57" w:hanging="369"/>
        <w:rPr>
          <w:b/>
        </w:rPr>
      </w:pPr>
      <w:bookmarkStart w:id="210" w:name="Q65"/>
      <w:r w:rsidRPr="00154F1D">
        <w:rPr>
          <w:b/>
        </w:rPr>
        <w:t>Questions</w:t>
      </w:r>
    </w:p>
    <w:bookmarkEnd w:id="210"/>
    <w:p w14:paraId="3FB794AF" w14:textId="6925063B" w:rsidR="00722482" w:rsidRPr="00154F1D" w:rsidRDefault="004B5E4B" w:rsidP="00F34F75">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spacing w:before="120" w:after="120"/>
        <w:ind w:left="426" w:right="57" w:hanging="369"/>
      </w:pPr>
      <w:r w:rsidRPr="00154F1D">
        <w:t>65</w:t>
      </w:r>
      <w:r w:rsidR="00683D28" w:rsidRPr="00154F1D">
        <w:t>.</w:t>
      </w:r>
      <w:r w:rsidR="00F34F75" w:rsidRPr="00154F1D">
        <w:tab/>
      </w:r>
      <w:r w:rsidR="00722482" w:rsidRPr="00154F1D">
        <w:t xml:space="preserve">Are there any difficulties that exist under the </w:t>
      </w:r>
      <w:r w:rsidR="006E0930" w:rsidRPr="00154F1D">
        <w:rPr>
          <w:i/>
          <w:iCs/>
        </w:rPr>
        <w:t xml:space="preserve">Criminal Justice (Mental Impairment) Act 1999 </w:t>
      </w:r>
      <w:r w:rsidR="006E0930" w:rsidRPr="00154F1D">
        <w:rPr>
          <w:iCs/>
        </w:rPr>
        <w:t>(Tas)</w:t>
      </w:r>
      <w:r w:rsidR="006E0930" w:rsidRPr="00154F1D">
        <w:t xml:space="preserve"> </w:t>
      </w:r>
      <w:r w:rsidR="00722482" w:rsidRPr="00154F1D">
        <w:t>in relation to the making, varying or discharging of orders for forensic patients?</w:t>
      </w:r>
    </w:p>
    <w:p w14:paraId="533A77FE" w14:textId="1CAB728C" w:rsidR="00FF0CEC" w:rsidRPr="00154F1D" w:rsidRDefault="004B5E4B" w:rsidP="00F34F75">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spacing w:before="120" w:after="120"/>
        <w:ind w:left="426" w:right="57" w:hanging="369"/>
      </w:pPr>
      <w:r w:rsidRPr="00154F1D">
        <w:t>66</w:t>
      </w:r>
      <w:r w:rsidR="000329C0" w:rsidRPr="00154F1D">
        <w:t>.</w:t>
      </w:r>
      <w:r w:rsidR="00F34F75" w:rsidRPr="00154F1D">
        <w:tab/>
      </w:r>
      <w:r w:rsidR="000329C0" w:rsidRPr="00154F1D">
        <w:t>Is</w:t>
      </w:r>
      <w:r w:rsidR="00FF0CEC" w:rsidRPr="00154F1D">
        <w:t xml:space="preserve"> the current approach </w:t>
      </w:r>
      <w:r w:rsidR="000329C0" w:rsidRPr="00154F1D">
        <w:t>to decision</w:t>
      </w:r>
      <w:r w:rsidR="00964DD1" w:rsidRPr="00154F1D">
        <w:t>-</w:t>
      </w:r>
      <w:r w:rsidR="000329C0" w:rsidRPr="00154F1D">
        <w:t xml:space="preserve">making </w:t>
      </w:r>
      <w:r w:rsidR="00852AB8">
        <w:t xml:space="preserve">in relation to </w:t>
      </w:r>
      <w:r w:rsidR="001E0CE7">
        <w:t>individual</w:t>
      </w:r>
      <w:r w:rsidR="001E0CE7" w:rsidRPr="00154F1D">
        <w:t xml:space="preserve">s </w:t>
      </w:r>
      <w:r w:rsidR="000329C0" w:rsidRPr="00154F1D">
        <w:t xml:space="preserve">subject </w:t>
      </w:r>
      <w:r w:rsidR="00477D08">
        <w:t>to</w:t>
      </w:r>
      <w:r w:rsidR="00477D08" w:rsidRPr="00154F1D">
        <w:t xml:space="preserve"> </w:t>
      </w:r>
      <w:r w:rsidR="000329C0" w:rsidRPr="00154F1D">
        <w:t xml:space="preserve">forensic orders overly cautious? For example, is too much emphasis placed on the risk to the community and too little emphasis placed on the interests of the </w:t>
      </w:r>
      <w:r w:rsidR="001E0CE7">
        <w:t>person</w:t>
      </w:r>
      <w:r w:rsidR="000329C0" w:rsidRPr="00154F1D">
        <w:t>?</w:t>
      </w:r>
    </w:p>
    <w:p w14:paraId="05F4A581" w14:textId="01DD0149" w:rsidR="00B61CF9" w:rsidRPr="00154F1D" w:rsidRDefault="004B5E4B" w:rsidP="00F34F75">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spacing w:before="120" w:after="120"/>
        <w:ind w:left="426" w:right="57" w:hanging="369"/>
      </w:pPr>
      <w:r w:rsidRPr="00154F1D">
        <w:t>67</w:t>
      </w:r>
      <w:r w:rsidR="00683D28" w:rsidRPr="00154F1D">
        <w:t>.</w:t>
      </w:r>
      <w:r w:rsidR="00F34F75" w:rsidRPr="00154F1D">
        <w:tab/>
      </w:r>
      <w:r w:rsidR="00722482" w:rsidRPr="00154F1D">
        <w:t xml:space="preserve">Do you think that the test contained in the </w:t>
      </w:r>
      <w:r w:rsidR="006E0930" w:rsidRPr="00154F1D">
        <w:rPr>
          <w:i/>
          <w:iCs/>
        </w:rPr>
        <w:t xml:space="preserve">Criminal Justice (Mental Impairment) Act 1999 </w:t>
      </w:r>
      <w:r w:rsidR="006E0930" w:rsidRPr="00154F1D">
        <w:rPr>
          <w:iCs/>
        </w:rPr>
        <w:t>(Tas)</w:t>
      </w:r>
      <w:r w:rsidR="006E0930" w:rsidRPr="00154F1D">
        <w:t xml:space="preserve"> </w:t>
      </w:r>
      <w:r w:rsidR="00722482" w:rsidRPr="00154F1D">
        <w:t>s 35(1)(b) referring to ‘likely to endanger’ s</w:t>
      </w:r>
      <w:r w:rsidR="00B61CF9" w:rsidRPr="00154F1D">
        <w:t xml:space="preserve">hould be </w:t>
      </w:r>
      <w:r w:rsidR="00722482" w:rsidRPr="00154F1D">
        <w:t>changed</w:t>
      </w:r>
      <w:r w:rsidR="00B61CF9" w:rsidRPr="00154F1D">
        <w:t xml:space="preserve"> to refer to </w:t>
      </w:r>
      <w:r w:rsidR="00722482" w:rsidRPr="00154F1D">
        <w:t>a ‘</w:t>
      </w:r>
      <w:r w:rsidR="00B61CF9" w:rsidRPr="00154F1D">
        <w:t>significant risk of serious harm’</w:t>
      </w:r>
      <w:r w:rsidR="00722482" w:rsidRPr="00154F1D">
        <w:t xml:space="preserve">, an </w:t>
      </w:r>
      <w:r w:rsidR="002D275D" w:rsidRPr="00154F1D">
        <w:t>‘</w:t>
      </w:r>
      <w:r w:rsidR="00722482" w:rsidRPr="00154F1D">
        <w:t xml:space="preserve">unacceptable risk of causing physical or psychological harm’ or some other test? </w:t>
      </w:r>
      <w:r w:rsidR="002D275D" w:rsidRPr="00154F1D">
        <w:t>Are there any other factors</w:t>
      </w:r>
      <w:r w:rsidR="00B61CF9" w:rsidRPr="00154F1D">
        <w:t xml:space="preserve"> </w:t>
      </w:r>
      <w:r w:rsidR="006E0930" w:rsidRPr="00154F1D">
        <w:t xml:space="preserve">that should be included or removed from </w:t>
      </w:r>
      <w:r w:rsidR="002D275D" w:rsidRPr="00154F1D">
        <w:t xml:space="preserve">the </w:t>
      </w:r>
      <w:r w:rsidR="006E0930" w:rsidRPr="00154F1D">
        <w:rPr>
          <w:i/>
          <w:iCs/>
        </w:rPr>
        <w:t xml:space="preserve">Criminal Justice (Mental Impairment) Act 1999 </w:t>
      </w:r>
      <w:r w:rsidR="006E0930" w:rsidRPr="00154F1D">
        <w:rPr>
          <w:iCs/>
        </w:rPr>
        <w:t>(Tas)</w:t>
      </w:r>
      <w:r w:rsidR="006E0930" w:rsidRPr="00154F1D">
        <w:t xml:space="preserve"> </w:t>
      </w:r>
      <w:r w:rsidR="002D275D" w:rsidRPr="00154F1D">
        <w:t>s 35?</w:t>
      </w:r>
    </w:p>
    <w:p w14:paraId="6245ABF0" w14:textId="3E7631F5" w:rsidR="008266AB" w:rsidRPr="00154F1D" w:rsidRDefault="00A32DE9" w:rsidP="00744FAA">
      <w:pPr>
        <w:pStyle w:val="NormalNumberedTextTLRI"/>
        <w:rPr>
          <w:b/>
        </w:rPr>
      </w:pPr>
      <w:r w:rsidRPr="00154F1D">
        <w:rPr>
          <w:b/>
        </w:rPr>
        <w:t>Need for statutory presumptions in relation to detention or release</w:t>
      </w:r>
      <w:r w:rsidR="00AB78CA" w:rsidRPr="00154F1D">
        <w:rPr>
          <w:b/>
        </w:rPr>
        <w:t xml:space="preserve">. </w:t>
      </w:r>
      <w:r w:rsidR="00AB78CA" w:rsidRPr="00154F1D">
        <w:t>In the NSWLRC’s review of forensic orders, it considered whether the presumption in favour of detention should be retained when making decisions about release. This presumption applies in the context of a limiting term where prior to the expiry of the limiting term, a ‘person will remain in detention unless it can be positively established that their release ... will not present a serious danger’.</w:t>
      </w:r>
      <w:r w:rsidR="00AB78CA" w:rsidRPr="00154F1D">
        <w:rPr>
          <w:rStyle w:val="FootnoteReference"/>
        </w:rPr>
        <w:footnoteReference w:id="844"/>
      </w:r>
      <w:r w:rsidR="00BF2549" w:rsidRPr="00154F1D">
        <w:t xml:space="preserve"> </w:t>
      </w:r>
      <w:r w:rsidR="00B9394B" w:rsidRPr="00154F1D">
        <w:t>The NSWLRC recommende</w:t>
      </w:r>
      <w:r w:rsidR="00122BE4" w:rsidRPr="00154F1D">
        <w:t>d that this</w:t>
      </w:r>
      <w:r w:rsidR="00B9394B" w:rsidRPr="00154F1D">
        <w:t xml:space="preserve"> presumption </w:t>
      </w:r>
      <w:r w:rsidR="00122BE4" w:rsidRPr="00154F1D">
        <w:t>should</w:t>
      </w:r>
      <w:r w:rsidR="00B9394B" w:rsidRPr="00154F1D">
        <w:t xml:space="preserve"> be retained because it considered that this was necessary for community safety.</w:t>
      </w:r>
      <w:r w:rsidR="00B9394B" w:rsidRPr="00154F1D">
        <w:rPr>
          <w:rStyle w:val="FootnoteReference"/>
        </w:rPr>
        <w:footnoteReference w:id="845"/>
      </w:r>
      <w:r w:rsidR="00AB78CA" w:rsidRPr="00154F1D">
        <w:t xml:space="preserve"> </w:t>
      </w:r>
      <w:r w:rsidR="00B9394B" w:rsidRPr="00154F1D">
        <w:t>In Victoria</w:t>
      </w:r>
      <w:r w:rsidR="00672841" w:rsidRPr="00154F1D">
        <w:t>, different presumptions apply at different stage</w:t>
      </w:r>
      <w:r w:rsidR="00B9394B" w:rsidRPr="00154F1D">
        <w:t>s of the</w:t>
      </w:r>
      <w:r w:rsidR="00672841" w:rsidRPr="00154F1D">
        <w:t xml:space="preserve"> </w:t>
      </w:r>
      <w:r w:rsidR="00B9394B" w:rsidRPr="00154F1D">
        <w:t>forensic mental health process (eit</w:t>
      </w:r>
      <w:r w:rsidR="00672841" w:rsidRPr="00154F1D">
        <w:t>h</w:t>
      </w:r>
      <w:r w:rsidR="00B9394B" w:rsidRPr="00154F1D">
        <w:t>e</w:t>
      </w:r>
      <w:r w:rsidR="00672841" w:rsidRPr="00154F1D">
        <w:t xml:space="preserve">r in favour of </w:t>
      </w:r>
      <w:r w:rsidR="00B9394B" w:rsidRPr="00154F1D">
        <w:t>detention, release or no presumption)</w:t>
      </w:r>
      <w:r w:rsidR="00672841" w:rsidRPr="00154F1D">
        <w:t>,</w:t>
      </w:r>
      <w:r w:rsidR="00B9394B" w:rsidRPr="00154F1D">
        <w:rPr>
          <w:rStyle w:val="FootnoteReference"/>
        </w:rPr>
        <w:footnoteReference w:id="846"/>
      </w:r>
      <w:r w:rsidR="00672841" w:rsidRPr="00154F1D">
        <w:t xml:space="preserve"> and these were </w:t>
      </w:r>
      <w:r w:rsidR="00122BE4" w:rsidRPr="00154F1D">
        <w:t xml:space="preserve">also </w:t>
      </w:r>
      <w:r w:rsidR="00672841" w:rsidRPr="00154F1D">
        <w:t>reviewed by the VLRC.</w:t>
      </w:r>
      <w:r w:rsidR="00672841" w:rsidRPr="00154F1D">
        <w:rPr>
          <w:rStyle w:val="FootnoteReference"/>
        </w:rPr>
        <w:footnoteReference w:id="847"/>
      </w:r>
      <w:r w:rsidR="00B9394B" w:rsidRPr="00154F1D">
        <w:t xml:space="preserve"> </w:t>
      </w:r>
    </w:p>
    <w:p w14:paraId="5466C0DB" w14:textId="25E20874" w:rsidR="00A32DE9" w:rsidRPr="00154F1D" w:rsidRDefault="00122BE4" w:rsidP="00744FAA">
      <w:pPr>
        <w:pStyle w:val="NormalNumberedTextTLRI"/>
        <w:rPr>
          <w:b/>
        </w:rPr>
      </w:pPr>
      <w:r w:rsidRPr="00154F1D">
        <w:t>The</w:t>
      </w:r>
      <w:r w:rsidR="00B9394B" w:rsidRPr="00154F1D">
        <w:t xml:space="preserve"> VLRC’s view was that the state should be required to justify continued detention given that the person had not been found to be criminally responsible.</w:t>
      </w:r>
      <w:r w:rsidR="00B9394B" w:rsidRPr="00154F1D">
        <w:rPr>
          <w:rStyle w:val="FootnoteReference"/>
        </w:rPr>
        <w:footnoteReference w:id="848"/>
      </w:r>
      <w:r w:rsidR="00B9394B" w:rsidRPr="00154F1D">
        <w:t xml:space="preserve"> </w:t>
      </w:r>
      <w:r w:rsidR="00847E0C" w:rsidRPr="00154F1D">
        <w:t xml:space="preserve">It was the VLRC’s view that placing the onus on the supervised </w:t>
      </w:r>
      <w:r w:rsidRPr="00154F1D">
        <w:t xml:space="preserve">person </w:t>
      </w:r>
      <w:r w:rsidR="00847E0C" w:rsidRPr="00154F1D">
        <w:t>had the effect of slowing down the progression of the person through the forensic mental health system and also was inconsistent with the principle of least restriction.</w:t>
      </w:r>
      <w:r w:rsidR="00847E0C" w:rsidRPr="00154F1D">
        <w:rPr>
          <w:rStyle w:val="FootnoteReference"/>
        </w:rPr>
        <w:footnoteReference w:id="849"/>
      </w:r>
      <w:r w:rsidR="00847E0C" w:rsidRPr="00154F1D">
        <w:t xml:space="preserve"> For this reason, the VLRC recommended that there </w:t>
      </w:r>
      <w:r w:rsidRPr="00154F1D">
        <w:t xml:space="preserve">should </w:t>
      </w:r>
      <w:r w:rsidR="00847E0C" w:rsidRPr="00154F1D">
        <w:t xml:space="preserve">only be a presumption that a person’s level of supervision </w:t>
      </w:r>
      <w:r w:rsidRPr="00154F1D">
        <w:t xml:space="preserve">should </w:t>
      </w:r>
      <w:r w:rsidR="00847E0C" w:rsidRPr="00154F1D">
        <w:t>not be reduced if a person applied for a variation of a custodial supervision order before the first progress review at five years. It recommended ‘a neutral assessment, with no presumption that the level of supervision be reduced, at the first progress review (at five years)’ and a presumption in favour of a reduced level of supervision for all subsequent progress reviews’.</w:t>
      </w:r>
      <w:r w:rsidR="00847E0C" w:rsidRPr="00154F1D">
        <w:rPr>
          <w:rStyle w:val="FootnoteReference"/>
        </w:rPr>
        <w:footnoteReference w:id="850"/>
      </w:r>
      <w:r w:rsidR="00847E0C" w:rsidRPr="00154F1D">
        <w:t xml:space="preserve"> </w:t>
      </w:r>
      <w:r w:rsidR="00744C6A" w:rsidRPr="00154F1D">
        <w:t>In relation to custodial supervision orders, at the second progress review (and reviews thereafter), there was a presumption that the court would vary the custodial supervision order to a non-custodial supervision order unless satisfied on the evidence that the person would pose an unacceptable risk of causing physical or psychological harm. In relation to non-custodial supervision orders, at the second progress review (and reviews thereafter), it was recommended that the court must revoke the supervision order</w:t>
      </w:r>
      <w:r w:rsidR="00666487" w:rsidRPr="00154F1D">
        <w:t xml:space="preserve"> unless sat</w:t>
      </w:r>
      <w:r w:rsidR="00A65B50" w:rsidRPr="00154F1D">
        <w:t>is</w:t>
      </w:r>
      <w:r w:rsidR="00666487" w:rsidRPr="00154F1D">
        <w:t xml:space="preserve">fied of </w:t>
      </w:r>
      <w:r w:rsidR="00A65B50" w:rsidRPr="00154F1D">
        <w:t xml:space="preserve">an unacceptable </w:t>
      </w:r>
      <w:r w:rsidR="00666487" w:rsidRPr="00154F1D">
        <w:t>risk</w:t>
      </w:r>
      <w:r w:rsidR="00744C6A" w:rsidRPr="00154F1D">
        <w:t>.</w:t>
      </w:r>
      <w:r w:rsidR="00744C6A" w:rsidRPr="00154F1D">
        <w:rPr>
          <w:rStyle w:val="FootnoteReference"/>
        </w:rPr>
        <w:footnoteReference w:id="851"/>
      </w:r>
      <w:r w:rsidR="00744C6A" w:rsidRPr="00154F1D">
        <w:t xml:space="preserve"> </w:t>
      </w:r>
      <w:r w:rsidR="00A65B50" w:rsidRPr="00154F1D">
        <w:t xml:space="preserve">The VLRC also recommended that the requirement be retained that a custodial supervision </w:t>
      </w:r>
      <w:r w:rsidRPr="00154F1D">
        <w:t>order not be varied unless a 12-</w:t>
      </w:r>
      <w:r w:rsidR="00A65B50" w:rsidRPr="00154F1D">
        <w:t>month period of extended leave had been completed.</w:t>
      </w:r>
      <w:r w:rsidR="00A65B50" w:rsidRPr="00154F1D">
        <w:rPr>
          <w:rStyle w:val="FootnoteReference"/>
        </w:rPr>
        <w:footnoteReference w:id="852"/>
      </w:r>
    </w:p>
    <w:p w14:paraId="64703ECA" w14:textId="32096F16" w:rsidR="00940D0D" w:rsidRPr="00154F1D" w:rsidRDefault="00847E0C" w:rsidP="00744FAA">
      <w:pPr>
        <w:pStyle w:val="NormalNumberedTextTLRI"/>
        <w:rPr>
          <w:b/>
        </w:rPr>
      </w:pPr>
      <w:r w:rsidRPr="00154F1D">
        <w:t>In Tasmania, there is currently no presumption in favour of release or detention</w:t>
      </w:r>
      <w:r w:rsidR="00122BE4" w:rsidRPr="00154F1D">
        <w:t xml:space="preserve"> contained in the </w:t>
      </w:r>
      <w:r w:rsidR="00122BE4" w:rsidRPr="00154F1D">
        <w:rPr>
          <w:i/>
          <w:iCs/>
        </w:rPr>
        <w:t xml:space="preserve">Criminal Justice (Mental Impairment) Act 1999 </w:t>
      </w:r>
      <w:r w:rsidR="00122BE4" w:rsidRPr="00154F1D">
        <w:rPr>
          <w:iCs/>
        </w:rPr>
        <w:t>(Tas)</w:t>
      </w:r>
      <w:r w:rsidRPr="00154F1D">
        <w:t xml:space="preserve">. Instead, the court takes into account the factors </w:t>
      </w:r>
      <w:r w:rsidR="00122BE4" w:rsidRPr="00154F1D">
        <w:t xml:space="preserve">that are </w:t>
      </w:r>
      <w:r w:rsidRPr="00154F1D">
        <w:t xml:space="preserve">identified in the legislation in making its decision. </w:t>
      </w:r>
      <w:r w:rsidR="00DA7836" w:rsidRPr="00154F1D">
        <w:t xml:space="preserve">If the current </w:t>
      </w:r>
      <w:r w:rsidRPr="00154F1D">
        <w:t>system of indefinite detention or supervision with reviews</w:t>
      </w:r>
      <w:r w:rsidR="00DA7836" w:rsidRPr="00154F1D">
        <w:t xml:space="preserve"> is retained</w:t>
      </w:r>
      <w:r w:rsidRPr="00154F1D">
        <w:t>, an option for reform may be to create a presumption in favour of a reduced level of supervision in circumstance</w:t>
      </w:r>
      <w:r w:rsidR="00940D0D" w:rsidRPr="00154F1D">
        <w:t xml:space="preserve">s where the </w:t>
      </w:r>
      <w:r w:rsidR="00BF2549" w:rsidRPr="00154F1D">
        <w:t>MHT</w:t>
      </w:r>
      <w:r w:rsidR="00940D0D" w:rsidRPr="00154F1D">
        <w:t xml:space="preserve"> has issued a certificate. This may be appropriate to address concerns that there are unnecessary barriers for </w:t>
      </w:r>
      <w:r w:rsidR="00C0057C" w:rsidRPr="00154F1D">
        <w:t>people</w:t>
      </w:r>
      <w:r w:rsidR="00940D0D" w:rsidRPr="00154F1D">
        <w:t xml:space="preserve"> progressing through the system and allow</w:t>
      </w:r>
      <w:r w:rsidR="00BF2549" w:rsidRPr="00154F1D">
        <w:t>s</w:t>
      </w:r>
      <w:r w:rsidR="00940D0D" w:rsidRPr="00154F1D">
        <w:t xml:space="preserve"> greater weight to be attached to the decision-making process </w:t>
      </w:r>
      <w:r w:rsidR="00DA7836" w:rsidRPr="00154F1D">
        <w:t xml:space="preserve">undertaken by </w:t>
      </w:r>
      <w:r w:rsidR="00940D0D" w:rsidRPr="00154F1D">
        <w:t xml:space="preserve">the MHT. If a system of limiting terms is adopted in Tasmania, </w:t>
      </w:r>
      <w:r w:rsidR="004427C8" w:rsidRPr="00A16AAC">
        <w:t>consideration could also be given to introducing statutory presumptions</w:t>
      </w:r>
      <w:r w:rsidR="00DA7836" w:rsidRPr="00154F1D">
        <w:t xml:space="preserve"> such as </w:t>
      </w:r>
      <w:r w:rsidR="00940D0D" w:rsidRPr="00154F1D">
        <w:t>a presumption against release or reduced supervision prior to the expiry of the limiting term and then a presumption in favour of release from detention/discharge from supervision after the expiry of the limiting term.</w:t>
      </w:r>
    </w:p>
    <w:p w14:paraId="2B6F95C3" w14:textId="77777777" w:rsidR="00683D28" w:rsidRPr="00154F1D" w:rsidRDefault="00683D28" w:rsidP="00FB10EC">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b/>
        </w:rPr>
      </w:pPr>
      <w:bookmarkStart w:id="211" w:name="Q68"/>
      <w:r w:rsidRPr="00154F1D">
        <w:rPr>
          <w:b/>
        </w:rPr>
        <w:t>Questions</w:t>
      </w:r>
    </w:p>
    <w:bookmarkEnd w:id="211"/>
    <w:p w14:paraId="723A10C5" w14:textId="2EF75E75" w:rsidR="00847E0C" w:rsidRPr="00154F1D" w:rsidRDefault="004B5E4B" w:rsidP="00FB10EC">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68</w:t>
      </w:r>
      <w:r w:rsidR="00683D28" w:rsidRPr="00154F1D">
        <w:t>.</w:t>
      </w:r>
      <w:r w:rsidR="00FB10EC" w:rsidRPr="00154F1D">
        <w:tab/>
      </w:r>
      <w:r w:rsidR="007435D3" w:rsidRPr="00154F1D">
        <w:t xml:space="preserve">If the current system of indefinite detention or supervision with reviews is retained in Tasmania, should the </w:t>
      </w:r>
      <w:r w:rsidR="00DA7836" w:rsidRPr="00154F1D">
        <w:rPr>
          <w:i/>
          <w:iCs/>
        </w:rPr>
        <w:t xml:space="preserve">Criminal Justice (Mental Impairment) Act 1999 </w:t>
      </w:r>
      <w:r w:rsidR="00DA7836" w:rsidRPr="00154F1D">
        <w:rPr>
          <w:iCs/>
        </w:rPr>
        <w:t>(Tas)</w:t>
      </w:r>
      <w:r w:rsidR="00DA7836" w:rsidRPr="00154F1D">
        <w:t xml:space="preserve"> </w:t>
      </w:r>
      <w:r w:rsidR="007435D3" w:rsidRPr="00154F1D">
        <w:t>be amended to create a presumption in favour of a reduced level of supervision in circumstances where the Mental Health Tribunal has issued a certificate?</w:t>
      </w:r>
    </w:p>
    <w:p w14:paraId="3947AB65" w14:textId="62EF8292" w:rsidR="007435D3" w:rsidRPr="00154F1D" w:rsidRDefault="004B5E4B" w:rsidP="00FB10EC">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pPr>
      <w:r w:rsidRPr="00154F1D">
        <w:t>69</w:t>
      </w:r>
      <w:r w:rsidR="00683D28" w:rsidRPr="00154F1D">
        <w:t>.</w:t>
      </w:r>
      <w:r w:rsidR="00FB10EC" w:rsidRPr="00154F1D">
        <w:tab/>
      </w:r>
      <w:r w:rsidR="007435D3" w:rsidRPr="00154F1D">
        <w:t>If a system of limiting terms is adopted in Tasmania, should a presumption against release or reduced supervision be created prior to the expiry of the limiting term and then a presumption in favour of release from detention/discharge from supervision after the expiry of the limiting term?</w:t>
      </w:r>
      <w:r w:rsidR="00DA7836" w:rsidRPr="00154F1D">
        <w:t xml:space="preserve"> </w:t>
      </w:r>
    </w:p>
    <w:p w14:paraId="19C4DAFE" w14:textId="196D1C5D" w:rsidR="00AF0885" w:rsidRPr="00154F1D" w:rsidRDefault="00FF0CEC" w:rsidP="00744FAA">
      <w:pPr>
        <w:pStyle w:val="NormalNumberedTextTLRI"/>
        <w:rPr>
          <w:rStyle w:val="NormalNumberedTextTLRIChar"/>
          <w:b/>
        </w:rPr>
      </w:pPr>
      <w:r w:rsidRPr="00154F1D">
        <w:rPr>
          <w:rStyle w:val="NormalNumberedTextTLRIChar"/>
          <w:b/>
        </w:rPr>
        <w:t xml:space="preserve">Making changes to the current decision making model. </w:t>
      </w:r>
      <w:r w:rsidRPr="00154F1D">
        <w:rPr>
          <w:rStyle w:val="NormalNumberedTextTLRIChar"/>
        </w:rPr>
        <w:t>In Tasmania,</w:t>
      </w:r>
      <w:r w:rsidRPr="00154F1D">
        <w:rPr>
          <w:rStyle w:val="NormalNumberedTextTLRIChar"/>
          <w:b/>
        </w:rPr>
        <w:t xml:space="preserve"> </w:t>
      </w:r>
      <w:r w:rsidRPr="00154F1D">
        <w:rPr>
          <w:rStyle w:val="NormalNumberedTextTLRIChar"/>
        </w:rPr>
        <w:t>as indicated, the MHT reviews forensic orders within 12 months of the making of the order and then in each 12 month period</w:t>
      </w:r>
      <w:r w:rsidR="00E91EC7" w:rsidRPr="00154F1D">
        <w:rPr>
          <w:rStyle w:val="NormalNumberedTextTLRIChar"/>
        </w:rPr>
        <w:t xml:space="preserve"> afterwards</w:t>
      </w:r>
      <w:r w:rsidRPr="00154F1D">
        <w:rPr>
          <w:rStyle w:val="NormalNumberedTextTLRIChar"/>
        </w:rPr>
        <w:t xml:space="preserve">. The MHT can issue a certificate if it determines that a forensic order is no longer warranted or that the conditions of the order are not appropriate. However, it does not have the power </w:t>
      </w:r>
      <w:r w:rsidR="00E91EC7" w:rsidRPr="00154F1D">
        <w:rPr>
          <w:rStyle w:val="NormalNumberedTextTLRIChar"/>
        </w:rPr>
        <w:t xml:space="preserve">itself </w:t>
      </w:r>
      <w:r w:rsidRPr="00154F1D">
        <w:rPr>
          <w:rStyle w:val="NormalNumberedTextTLRIChar"/>
        </w:rPr>
        <w:t>to discharge or vary the forensic order. This can only be done by the Supreme Court.</w:t>
      </w:r>
      <w:r w:rsidR="005B08CB" w:rsidRPr="00154F1D">
        <w:rPr>
          <w:rStyle w:val="FootnoteReference"/>
        </w:rPr>
        <w:footnoteReference w:id="853"/>
      </w:r>
      <w:r w:rsidRPr="00154F1D">
        <w:rPr>
          <w:rStyle w:val="NormalNumberedTextTLRIChar"/>
        </w:rPr>
        <w:t xml:space="preserve"> </w:t>
      </w:r>
      <w:r w:rsidR="004E1C69" w:rsidRPr="00154F1D">
        <w:rPr>
          <w:rStyle w:val="NormalNumberedTextTLRIChar"/>
        </w:rPr>
        <w:t xml:space="preserve">Accordingly, there is </w:t>
      </w:r>
      <w:r w:rsidR="008B416A" w:rsidRPr="00154F1D">
        <w:rPr>
          <w:rStyle w:val="NormalNumberedTextTLRIChar"/>
        </w:rPr>
        <w:t xml:space="preserve">usually </w:t>
      </w:r>
      <w:r w:rsidR="004E1C69" w:rsidRPr="00154F1D">
        <w:rPr>
          <w:rStyle w:val="NormalNumberedTextTLRIChar"/>
        </w:rPr>
        <w:t xml:space="preserve">a two-step process (MHT review and Supreme Court hearing) to revoke or discharge forensic orders, and this may operate as a barrier for forensic patients making an application to the Supreme Court to revoke or discharge </w:t>
      </w:r>
      <w:r w:rsidR="004427C8">
        <w:rPr>
          <w:rStyle w:val="NormalNumberedTextTLRIChar"/>
        </w:rPr>
        <w:t>an</w:t>
      </w:r>
      <w:r w:rsidR="004427C8" w:rsidRPr="00154F1D">
        <w:rPr>
          <w:rStyle w:val="NormalNumberedTextTLRIChar"/>
        </w:rPr>
        <w:t xml:space="preserve"> </w:t>
      </w:r>
      <w:r w:rsidR="004E1C69" w:rsidRPr="00154F1D">
        <w:rPr>
          <w:rStyle w:val="NormalNumberedTextTLRIChar"/>
        </w:rPr>
        <w:t>order.</w:t>
      </w:r>
      <w:r w:rsidR="008B416A" w:rsidRPr="00154F1D">
        <w:rPr>
          <w:rStyle w:val="FootnoteReference"/>
        </w:rPr>
        <w:footnoteReference w:id="854"/>
      </w:r>
      <w:r w:rsidR="004E1C69" w:rsidRPr="00154F1D">
        <w:rPr>
          <w:rStyle w:val="NormalNumberedTextTLRIChar"/>
        </w:rPr>
        <w:t xml:space="preserve"> </w:t>
      </w:r>
      <w:r w:rsidR="00305BE1" w:rsidRPr="00154F1D">
        <w:rPr>
          <w:rStyle w:val="NormalNumberedTextTLRIChar"/>
        </w:rPr>
        <w:t xml:space="preserve">Data from the MHT show that it is not uncommon for a person to have received several certificates at reviews conducted by the MHT before an application is made to discharge the restriction or supervision order. </w:t>
      </w:r>
      <w:r w:rsidR="00A21D51" w:rsidRPr="00154F1D">
        <w:rPr>
          <w:rStyle w:val="NormalNumberedTextTLRIChar"/>
        </w:rPr>
        <w:t>Further, t</w:t>
      </w:r>
      <w:r w:rsidR="00305BE1" w:rsidRPr="00154F1D">
        <w:rPr>
          <w:rStyle w:val="NormalNumberedTextTLRIChar"/>
        </w:rPr>
        <w:t xml:space="preserve">here are some individuals on </w:t>
      </w:r>
      <w:r w:rsidR="00A21D51" w:rsidRPr="00154F1D">
        <w:rPr>
          <w:rStyle w:val="NormalNumberedTextTLRIChar"/>
        </w:rPr>
        <w:t xml:space="preserve">supervision </w:t>
      </w:r>
      <w:r w:rsidR="00305BE1" w:rsidRPr="00154F1D">
        <w:rPr>
          <w:rStyle w:val="NormalNumberedTextTLRIChar"/>
        </w:rPr>
        <w:t>orders who have received numerous certificates</w:t>
      </w:r>
      <w:r w:rsidR="00A21D51" w:rsidRPr="00154F1D">
        <w:rPr>
          <w:rStyle w:val="NormalNumberedTextTLRIChar"/>
        </w:rPr>
        <w:t xml:space="preserve"> from the MHT</w:t>
      </w:r>
      <w:r w:rsidR="00305BE1" w:rsidRPr="00154F1D">
        <w:rPr>
          <w:rStyle w:val="NormalNumberedTextTLRIChar"/>
        </w:rPr>
        <w:t xml:space="preserve"> and have not made application to the Supreme Court for the revocation of their order. </w:t>
      </w:r>
      <w:r w:rsidR="004E1C69" w:rsidRPr="00154F1D">
        <w:rPr>
          <w:rStyle w:val="NormalNumberedTextTLRIChar"/>
        </w:rPr>
        <w:t xml:space="preserve">Alternatively, the two-step process may be viewed as providing an additional safeguard given </w:t>
      </w:r>
      <w:r w:rsidR="00A65488" w:rsidRPr="00154F1D">
        <w:rPr>
          <w:rStyle w:val="NormalNumberedTextTLRIChar"/>
        </w:rPr>
        <w:t xml:space="preserve">that </w:t>
      </w:r>
      <w:r w:rsidR="004E1C69" w:rsidRPr="00154F1D">
        <w:rPr>
          <w:rStyle w:val="NormalNumberedTextTLRIChar"/>
        </w:rPr>
        <w:t xml:space="preserve">a person’s mental health may fluctuate. </w:t>
      </w:r>
      <w:r w:rsidR="00A21D51" w:rsidRPr="00154F1D">
        <w:rPr>
          <w:rStyle w:val="NormalNumberedTextTLRIChar"/>
        </w:rPr>
        <w:t xml:space="preserve">In this context, it is noted that the MHT data show that there are some patients who receive a certificate at </w:t>
      </w:r>
      <w:r w:rsidR="00E438D5" w:rsidRPr="00154F1D">
        <w:rPr>
          <w:rStyle w:val="NormalNumberedTextTLRIChar"/>
        </w:rPr>
        <w:t>the</w:t>
      </w:r>
      <w:r w:rsidR="00A21D51" w:rsidRPr="00154F1D">
        <w:rPr>
          <w:rStyle w:val="NormalNumberedTextTLRIChar"/>
        </w:rPr>
        <w:t xml:space="preserve"> MHT review (and who remain on the forensic order) </w:t>
      </w:r>
      <w:r w:rsidR="00FB10EC" w:rsidRPr="00154F1D">
        <w:rPr>
          <w:rStyle w:val="NormalNumberedTextTLRIChar"/>
        </w:rPr>
        <w:t xml:space="preserve">and </w:t>
      </w:r>
      <w:r w:rsidR="00A21D51" w:rsidRPr="00154F1D">
        <w:rPr>
          <w:rStyle w:val="NormalNumberedTextTLRIChar"/>
        </w:rPr>
        <w:t xml:space="preserve">subsequently </w:t>
      </w:r>
      <w:r w:rsidR="00E438D5" w:rsidRPr="00154F1D">
        <w:rPr>
          <w:rStyle w:val="NormalNumberedTextTLRIChar"/>
        </w:rPr>
        <w:t xml:space="preserve">have a review hearing where no certificate is issued by the MHT. </w:t>
      </w:r>
      <w:r w:rsidR="004E1C69" w:rsidRPr="00154F1D">
        <w:rPr>
          <w:rStyle w:val="NormalNumberedTextTLRIChar"/>
        </w:rPr>
        <w:t>In addition, as noted by the TLRI, differing approaches to the issue of certificates by the MHT and the discharge of orders by the Supreme Court have been identified.</w:t>
      </w:r>
      <w:r w:rsidR="004E1C69" w:rsidRPr="00154F1D">
        <w:rPr>
          <w:rStyle w:val="FootnoteReference"/>
        </w:rPr>
        <w:footnoteReference w:id="855"/>
      </w:r>
    </w:p>
    <w:p w14:paraId="111F545B" w14:textId="1C698122" w:rsidR="005C223B" w:rsidRPr="00154F1D" w:rsidRDefault="005C223B" w:rsidP="00744FAA">
      <w:pPr>
        <w:pStyle w:val="NormalNumberedTextTLRI"/>
        <w:rPr>
          <w:rStyle w:val="NormalNumberedTextTLRIChar"/>
          <w:b/>
        </w:rPr>
      </w:pPr>
      <w:r w:rsidRPr="00154F1D">
        <w:rPr>
          <w:rStyle w:val="NormalNumberedTextTLRIChar"/>
        </w:rPr>
        <w:t>A possible approach to address concerns in relation to the difficulties of varying or discharging forensic orders would be to adopt a different approach to the judicial model of decision</w:t>
      </w:r>
      <w:r w:rsidR="00FB10EC" w:rsidRPr="00154F1D">
        <w:rPr>
          <w:rStyle w:val="NormalNumberedTextTLRIChar"/>
        </w:rPr>
        <w:t>-making</w:t>
      </w:r>
      <w:r w:rsidRPr="00154F1D">
        <w:rPr>
          <w:rStyle w:val="NormalNumberedTextTLRIChar"/>
        </w:rPr>
        <w:t xml:space="preserve"> and allow for the MHT to have the power to vary, discharge or revoke orders made under the </w:t>
      </w:r>
      <w:r w:rsidRPr="00154F1D">
        <w:rPr>
          <w:rStyle w:val="NormalNumberedTextTLRIChar"/>
          <w:i/>
        </w:rPr>
        <w:t xml:space="preserve">Criminal Justice (Mental Impairment) 1999 </w:t>
      </w:r>
      <w:r w:rsidRPr="00154F1D">
        <w:rPr>
          <w:rStyle w:val="NormalNumberedTextTLRIChar"/>
        </w:rPr>
        <w:t>(Tas). The MHT already has power to make, vary, renew and discharge treatment orders and to determine leave from the SMHU for patients subject to restriction orders.</w:t>
      </w:r>
      <w:r w:rsidRPr="00154F1D">
        <w:rPr>
          <w:rStyle w:val="FootnoteReference"/>
        </w:rPr>
        <w:footnoteReference w:id="856"/>
      </w:r>
      <w:r w:rsidRPr="00154F1D">
        <w:rPr>
          <w:rStyle w:val="NormalNumberedTextTLRIChar"/>
        </w:rPr>
        <w:t xml:space="preserve"> Extending the power of the MHT would remove unnecessary duplication by having the MHT review a matter and issue a certificate and then have the forensic patient apply to the Supreme Court. This could be supported by an avenue of appeal in event that concerns arose in relation to </w:t>
      </w:r>
      <w:r w:rsidR="006B5729">
        <w:rPr>
          <w:rStyle w:val="NormalNumberedTextTLRIChar"/>
        </w:rPr>
        <w:t xml:space="preserve">a </w:t>
      </w:r>
      <w:r w:rsidRPr="00154F1D">
        <w:rPr>
          <w:rStyle w:val="NormalNumberedTextTLRIChar"/>
        </w:rPr>
        <w:t xml:space="preserve">decision of </w:t>
      </w:r>
      <w:r w:rsidR="006B5729">
        <w:rPr>
          <w:rStyle w:val="NormalNumberedTextTLRIChar"/>
        </w:rPr>
        <w:t xml:space="preserve">the </w:t>
      </w:r>
      <w:r w:rsidRPr="00154F1D">
        <w:rPr>
          <w:rStyle w:val="NormalNumberedTextTLRIChar"/>
        </w:rPr>
        <w:t xml:space="preserve">MHT. This would also accord with the approach in many other jurisdictions, as recognised by the </w:t>
      </w:r>
      <w:r w:rsidR="006B5729">
        <w:rPr>
          <w:rStyle w:val="NormalNumberedTextTLRIChar"/>
        </w:rPr>
        <w:t>NZLC</w:t>
      </w:r>
      <w:r w:rsidRPr="00154F1D">
        <w:rPr>
          <w:rStyle w:val="NormalNumberedTextTLRIChar"/>
        </w:rPr>
        <w:t>.</w:t>
      </w:r>
      <w:r w:rsidRPr="00154F1D">
        <w:rPr>
          <w:rStyle w:val="FootnoteReference"/>
        </w:rPr>
        <w:footnoteReference w:id="857"/>
      </w:r>
      <w:r w:rsidRPr="00154F1D">
        <w:rPr>
          <w:rStyle w:val="NormalNumberedTextTLRIChar"/>
        </w:rPr>
        <w:t xml:space="preserve"> </w:t>
      </w:r>
    </w:p>
    <w:p w14:paraId="6BE52F26" w14:textId="1686FB87" w:rsidR="000329C0" w:rsidRPr="00154F1D" w:rsidRDefault="000329C0" w:rsidP="00744FAA">
      <w:pPr>
        <w:pStyle w:val="NormalNumberedTextTLRI"/>
        <w:rPr>
          <w:rStyle w:val="NormalNumberedTextTLRIChar"/>
          <w:b/>
        </w:rPr>
      </w:pPr>
      <w:r w:rsidRPr="00154F1D">
        <w:rPr>
          <w:rStyle w:val="NormalNumberedTextTLRIChar"/>
        </w:rPr>
        <w:t>Other models of decision</w:t>
      </w:r>
      <w:r w:rsidR="00EF083B" w:rsidRPr="00154F1D">
        <w:rPr>
          <w:rStyle w:val="NormalNumberedTextTLRIChar"/>
        </w:rPr>
        <w:t>-</w:t>
      </w:r>
      <w:r w:rsidRPr="00154F1D">
        <w:rPr>
          <w:rStyle w:val="NormalNumberedTextTLRIChar"/>
        </w:rPr>
        <w:t>making in relation to the review and release of people subject to forensic order</w:t>
      </w:r>
      <w:r w:rsidR="006B5729">
        <w:rPr>
          <w:rStyle w:val="NormalNumberedTextTLRIChar"/>
        </w:rPr>
        <w:t>s</w:t>
      </w:r>
      <w:r w:rsidRPr="00154F1D">
        <w:rPr>
          <w:rStyle w:val="NormalNumberedTextTLRIChar"/>
        </w:rPr>
        <w:t xml:space="preserve"> have been adopted </w:t>
      </w:r>
      <w:r w:rsidR="00D66678" w:rsidRPr="00154F1D">
        <w:rPr>
          <w:rStyle w:val="NormalNumberedTextTLRIChar"/>
        </w:rPr>
        <w:t xml:space="preserve">in </w:t>
      </w:r>
      <w:r w:rsidRPr="00154F1D">
        <w:rPr>
          <w:rStyle w:val="NormalNumberedTextTLRIChar"/>
        </w:rPr>
        <w:t>Australian jurisdictions.</w:t>
      </w:r>
      <w:r w:rsidR="009E2BB7" w:rsidRPr="00154F1D">
        <w:rPr>
          <w:rStyle w:val="FootnoteReference"/>
        </w:rPr>
        <w:footnoteReference w:id="858"/>
      </w:r>
      <w:r w:rsidR="00D66678" w:rsidRPr="00154F1D">
        <w:rPr>
          <w:rStyle w:val="NormalNumberedTextTLRIChar"/>
        </w:rPr>
        <w:t xml:space="preserve"> In Quee</w:t>
      </w:r>
      <w:r w:rsidR="00F35CD1" w:rsidRPr="00154F1D">
        <w:rPr>
          <w:rStyle w:val="NormalNumberedTextTLRIChar"/>
        </w:rPr>
        <w:t xml:space="preserve">nsland, the Mental Health Court makes the initial order and the Mental Health Review Tribunal can confirm or revoke a forensic order. </w:t>
      </w:r>
      <w:r w:rsidR="004B5E4B" w:rsidRPr="00154F1D">
        <w:rPr>
          <w:rStyle w:val="NormalNumberedTextTLRIChar"/>
        </w:rPr>
        <w:t xml:space="preserve">The Tribunal </w:t>
      </w:r>
      <w:r w:rsidR="00F35CD1" w:rsidRPr="00154F1D">
        <w:rPr>
          <w:rStyle w:val="NormalNumberedTextTLRIChar"/>
        </w:rPr>
        <w:t xml:space="preserve">is also able to make orders in relation to the category of forensic order, the conditions that are </w:t>
      </w:r>
      <w:r w:rsidR="00820A4D" w:rsidRPr="00154F1D">
        <w:rPr>
          <w:rStyle w:val="NormalNumberedTextTLRIChar"/>
        </w:rPr>
        <w:t xml:space="preserve">in </w:t>
      </w:r>
      <w:r w:rsidR="00F35CD1" w:rsidRPr="00154F1D">
        <w:rPr>
          <w:rStyle w:val="NormalNumberedTextTLRIChar"/>
        </w:rPr>
        <w:t xml:space="preserve">place on the order, whether </w:t>
      </w:r>
      <w:r w:rsidR="001E0CE7">
        <w:rPr>
          <w:rStyle w:val="NormalNumberedTextTLRIChar"/>
        </w:rPr>
        <w:t>a person</w:t>
      </w:r>
      <w:r w:rsidR="00F35CD1" w:rsidRPr="00154F1D">
        <w:rPr>
          <w:rStyle w:val="NormalNumberedTextTLRIChar"/>
        </w:rPr>
        <w:t xml:space="preserve"> should have community treatment and any other orders including revoking the forensic order and making a Treatment Support Order or a Treatment Authority.</w:t>
      </w:r>
      <w:r w:rsidR="00F35CD1" w:rsidRPr="00154F1D">
        <w:rPr>
          <w:rStyle w:val="FootnoteReference"/>
        </w:rPr>
        <w:footnoteReference w:id="859"/>
      </w:r>
      <w:r w:rsidR="009E2BB7" w:rsidRPr="00154F1D">
        <w:rPr>
          <w:rStyle w:val="NormalNumberedTextTLRIChar"/>
        </w:rPr>
        <w:t xml:space="preserve"> The Mental Health Review Tribunal consists of three members </w:t>
      </w:r>
      <w:r w:rsidR="00006B04" w:rsidRPr="00154F1D">
        <w:rPr>
          <w:rStyle w:val="NormalNumberedTextTLRIChar"/>
        </w:rPr>
        <w:t>—</w:t>
      </w:r>
      <w:r w:rsidR="009E2BB7" w:rsidRPr="00154F1D">
        <w:rPr>
          <w:rStyle w:val="NormalNumberedTextTLRIChar"/>
        </w:rPr>
        <w:t xml:space="preserve"> a legal member, a medical member and a community member. In New South Wales, the court makes the initial order but a separate tribunal (the Forensic Division of the Mental Health Review Tribunal) has the power to review the forensic order </w:t>
      </w:r>
      <w:r w:rsidR="00006B04" w:rsidRPr="00154F1D">
        <w:rPr>
          <w:rStyle w:val="NormalNumberedTextTLRIChar"/>
        </w:rPr>
        <w:t xml:space="preserve">and </w:t>
      </w:r>
      <w:r w:rsidR="009E2BB7" w:rsidRPr="00154F1D">
        <w:rPr>
          <w:rStyle w:val="NormalNumberedTextTLRIChar"/>
        </w:rPr>
        <w:t>can release a forensic patient either unconditionally or conditionally</w:t>
      </w:r>
      <w:r w:rsidR="00C851EB" w:rsidRPr="00154F1D">
        <w:rPr>
          <w:rStyle w:val="NormalNumberedTextTLRIChar"/>
        </w:rPr>
        <w:t xml:space="preserve"> before the end of the limiting term</w:t>
      </w:r>
      <w:r w:rsidR="009E2BB7" w:rsidRPr="00154F1D">
        <w:rPr>
          <w:rStyle w:val="NormalNumberedTextTLRIChar"/>
        </w:rPr>
        <w:t>.</w:t>
      </w:r>
      <w:r w:rsidR="009E2BB7" w:rsidRPr="00154F1D">
        <w:rPr>
          <w:rStyle w:val="FootnoteReference"/>
        </w:rPr>
        <w:footnoteReference w:id="860"/>
      </w:r>
      <w:r w:rsidR="00C851EB" w:rsidRPr="00154F1D">
        <w:rPr>
          <w:rStyle w:val="NormalNumberedTextTLRIChar"/>
        </w:rPr>
        <w:t xml:space="preserve"> The Tribunal cannot order the release of a forensic patient unless the Tribunal is constituted by at least one member, including the President or Deputy President, who is the holder or the former holder of judicial office.</w:t>
      </w:r>
      <w:r w:rsidR="00C851EB" w:rsidRPr="00154F1D">
        <w:rPr>
          <w:rStyle w:val="FootnoteReference"/>
        </w:rPr>
        <w:footnoteReference w:id="861"/>
      </w:r>
      <w:r w:rsidR="008D36B4" w:rsidRPr="00154F1D">
        <w:rPr>
          <w:rStyle w:val="NormalNumberedTextTLRIChar"/>
        </w:rPr>
        <w:t xml:space="preserve"> The New Zealand Law Commission also recommended that the </w:t>
      </w:r>
      <w:r w:rsidR="003B1A72" w:rsidRPr="00154F1D">
        <w:rPr>
          <w:rStyle w:val="NormalNumberedTextTLRIChar"/>
        </w:rPr>
        <w:t xml:space="preserve">decision-maker should be a specialised independent </w:t>
      </w:r>
      <w:r w:rsidR="008D36B4" w:rsidRPr="00154F1D">
        <w:rPr>
          <w:rStyle w:val="NormalNumberedTextTLRIChar"/>
        </w:rPr>
        <w:t xml:space="preserve">Tribunal </w:t>
      </w:r>
      <w:r w:rsidR="003B1A72" w:rsidRPr="00154F1D">
        <w:rPr>
          <w:rStyle w:val="NormalNumberedTextTLRIChar"/>
        </w:rPr>
        <w:t xml:space="preserve">and that it </w:t>
      </w:r>
      <w:r w:rsidR="008D36B4" w:rsidRPr="00154F1D">
        <w:rPr>
          <w:rStyle w:val="NormalNumberedTextTLRIChar"/>
        </w:rPr>
        <w:t>should be chaired by a current or former judge.</w:t>
      </w:r>
      <w:r w:rsidR="008D36B4" w:rsidRPr="00154F1D">
        <w:rPr>
          <w:rStyle w:val="FootnoteReference"/>
        </w:rPr>
        <w:footnoteReference w:id="862"/>
      </w:r>
      <w:r w:rsidR="00C851EB" w:rsidRPr="00154F1D">
        <w:rPr>
          <w:rStyle w:val="NormalNumberedTextTLRIChar"/>
        </w:rPr>
        <w:t xml:space="preserve"> </w:t>
      </w:r>
      <w:r w:rsidR="009E2BB7" w:rsidRPr="00154F1D">
        <w:rPr>
          <w:rStyle w:val="NormalNumberedTextTLRIChar"/>
        </w:rPr>
        <w:t xml:space="preserve">In the </w:t>
      </w:r>
      <w:r w:rsidR="005B08CB" w:rsidRPr="00154F1D">
        <w:rPr>
          <w:rStyle w:val="NormalNumberedTextTLRIChar"/>
        </w:rPr>
        <w:t>Australian</w:t>
      </w:r>
      <w:r w:rsidR="009E2BB7" w:rsidRPr="00154F1D">
        <w:rPr>
          <w:rStyle w:val="NormalNumberedTextTLRIChar"/>
        </w:rPr>
        <w:t xml:space="preserve"> Capital Territory, th</w:t>
      </w:r>
      <w:r w:rsidR="00DD72CE" w:rsidRPr="00154F1D">
        <w:rPr>
          <w:rStyle w:val="NormalNumberedTextTLRIChar"/>
        </w:rPr>
        <w:t>e</w:t>
      </w:r>
      <w:r w:rsidR="009E2BB7" w:rsidRPr="00154F1D">
        <w:rPr>
          <w:rStyle w:val="NormalNumberedTextTLRIChar"/>
        </w:rPr>
        <w:t xml:space="preserve"> hearing proceeds in court </w:t>
      </w:r>
      <w:r w:rsidR="00563021" w:rsidRPr="00154F1D">
        <w:rPr>
          <w:rStyle w:val="NormalNumberedTextTLRIChar"/>
        </w:rPr>
        <w:t xml:space="preserve">and the court orders detention and indicates a nominated term </w:t>
      </w:r>
      <w:r w:rsidR="009E2BB7" w:rsidRPr="00154F1D">
        <w:rPr>
          <w:rStyle w:val="NormalNumberedTextTLRIChar"/>
        </w:rPr>
        <w:t>but an administrative tribunal (the Civil and Administrative Trib</w:t>
      </w:r>
      <w:r w:rsidR="005B08CB" w:rsidRPr="00154F1D">
        <w:rPr>
          <w:rStyle w:val="NormalNumberedTextTLRIChar"/>
        </w:rPr>
        <w:t>u</w:t>
      </w:r>
      <w:r w:rsidR="009E2BB7" w:rsidRPr="00154F1D">
        <w:rPr>
          <w:rStyle w:val="NormalNumberedTextTLRIChar"/>
        </w:rPr>
        <w:t>nal) reviews</w:t>
      </w:r>
      <w:r w:rsidR="00563021" w:rsidRPr="00154F1D">
        <w:rPr>
          <w:rStyle w:val="NormalNumberedTextTLRIChar"/>
        </w:rPr>
        <w:t xml:space="preserve"> detention under</w:t>
      </w:r>
      <w:r w:rsidR="009E2BB7" w:rsidRPr="00154F1D">
        <w:rPr>
          <w:rStyle w:val="NormalNumberedTextTLRIChar"/>
        </w:rPr>
        <w:t xml:space="preserve"> the </w:t>
      </w:r>
      <w:r w:rsidR="00563021" w:rsidRPr="00154F1D">
        <w:rPr>
          <w:rStyle w:val="NormalNumberedTextTLRIChar"/>
        </w:rPr>
        <w:t xml:space="preserve">court </w:t>
      </w:r>
      <w:r w:rsidR="009E2BB7" w:rsidRPr="00154F1D">
        <w:rPr>
          <w:rStyle w:val="NormalNumberedTextTLRIChar"/>
        </w:rPr>
        <w:t>order</w:t>
      </w:r>
      <w:r w:rsidR="00DD72CE" w:rsidRPr="00154F1D">
        <w:rPr>
          <w:rStyle w:val="NormalNumberedTextTLRIChar"/>
        </w:rPr>
        <w:t xml:space="preserve"> and has the power to </w:t>
      </w:r>
      <w:r w:rsidR="00563021" w:rsidRPr="00154F1D">
        <w:rPr>
          <w:rStyle w:val="NormalNumberedTextTLRIChar"/>
        </w:rPr>
        <w:t>order the release of a person from detention</w:t>
      </w:r>
      <w:r w:rsidR="009E2BB7" w:rsidRPr="00154F1D">
        <w:rPr>
          <w:rStyle w:val="NormalNumberedTextTLRIChar"/>
        </w:rPr>
        <w:t>.</w:t>
      </w:r>
      <w:r w:rsidR="009E2BB7" w:rsidRPr="00154F1D">
        <w:rPr>
          <w:rStyle w:val="FootnoteReference"/>
        </w:rPr>
        <w:footnoteReference w:id="863"/>
      </w:r>
      <w:r w:rsidR="00DD72CE" w:rsidRPr="00154F1D">
        <w:rPr>
          <w:rStyle w:val="NormalNumberedTextTLRIChar"/>
        </w:rPr>
        <w:t xml:space="preserve"> </w:t>
      </w:r>
    </w:p>
    <w:p w14:paraId="7FEE4ECB" w14:textId="3B0424F3" w:rsidR="00FF0CEC" w:rsidRPr="00154F1D" w:rsidRDefault="005B08CB" w:rsidP="00744FAA">
      <w:pPr>
        <w:pStyle w:val="NormalNumberedTextTLRI"/>
        <w:rPr>
          <w:rStyle w:val="NormalNumberedTextTLRIChar"/>
          <w:b/>
        </w:rPr>
      </w:pPr>
      <w:r w:rsidRPr="00154F1D">
        <w:rPr>
          <w:rStyle w:val="NormalNumberedTextTLRIChar"/>
        </w:rPr>
        <w:t xml:space="preserve">This matter was considered by the </w:t>
      </w:r>
      <w:r w:rsidR="009E2BB7" w:rsidRPr="00154F1D">
        <w:rPr>
          <w:rStyle w:val="NormalNumberedTextTLRIChar"/>
        </w:rPr>
        <w:t>VLRC</w:t>
      </w:r>
      <w:r w:rsidR="00C74426">
        <w:rPr>
          <w:rStyle w:val="NormalNumberedTextTLRIChar"/>
        </w:rPr>
        <w:t>,</w:t>
      </w:r>
      <w:r w:rsidRPr="00154F1D">
        <w:rPr>
          <w:rStyle w:val="NormalNumberedTextTLRIChar"/>
        </w:rPr>
        <w:t xml:space="preserve"> and the </w:t>
      </w:r>
      <w:r w:rsidR="009E2BB7" w:rsidRPr="00154F1D">
        <w:rPr>
          <w:rStyle w:val="NormalNumberedTextTLRIChar"/>
        </w:rPr>
        <w:t>following advantages</w:t>
      </w:r>
      <w:r w:rsidR="00006B04" w:rsidRPr="00154F1D">
        <w:rPr>
          <w:rStyle w:val="NormalNumberedTextTLRIChar"/>
        </w:rPr>
        <w:t xml:space="preserve"> to</w:t>
      </w:r>
      <w:r w:rsidR="009E2BB7" w:rsidRPr="00154F1D">
        <w:rPr>
          <w:rStyle w:val="NormalNumberedTextTLRIChar"/>
        </w:rPr>
        <w:t xml:space="preserve"> </w:t>
      </w:r>
      <w:r w:rsidR="00006B04" w:rsidRPr="00154F1D">
        <w:rPr>
          <w:rStyle w:val="NormalNumberedTextTLRIChar"/>
        </w:rPr>
        <w:t xml:space="preserve">using a mental health court or tribunal </w:t>
      </w:r>
      <w:r w:rsidRPr="00154F1D">
        <w:rPr>
          <w:rStyle w:val="NormalNumberedTextTLRIChar"/>
        </w:rPr>
        <w:t>were identified</w:t>
      </w:r>
      <w:r w:rsidR="009E2BB7" w:rsidRPr="00154F1D">
        <w:rPr>
          <w:rStyle w:val="NormalNumberedTextTLRIChar"/>
        </w:rPr>
        <w:t>:</w:t>
      </w:r>
      <w:r w:rsidRPr="00154F1D">
        <w:rPr>
          <w:rStyle w:val="FootnoteReference"/>
        </w:rPr>
        <w:footnoteReference w:id="864"/>
      </w:r>
    </w:p>
    <w:p w14:paraId="7D71595B" w14:textId="6649C6B3" w:rsidR="009E2BB7" w:rsidRPr="00154F1D" w:rsidRDefault="005B08CB" w:rsidP="007067A9">
      <w:pPr>
        <w:pStyle w:val="DotPointTLRI"/>
        <w:ind w:left="851" w:hanging="425"/>
        <w:rPr>
          <w:rStyle w:val="NormalNumberedTextTLRIChar"/>
        </w:rPr>
      </w:pPr>
      <w:r w:rsidRPr="00154F1D">
        <w:rPr>
          <w:rStyle w:val="NormalNumberedTextTLRIChar"/>
        </w:rPr>
        <w:t>Potentially</w:t>
      </w:r>
      <w:r w:rsidR="009E2BB7" w:rsidRPr="00154F1D">
        <w:rPr>
          <w:rStyle w:val="NormalNumberedTextTLRIChar"/>
        </w:rPr>
        <w:t xml:space="preserve"> </w:t>
      </w:r>
      <w:r w:rsidRPr="00154F1D">
        <w:rPr>
          <w:rStyle w:val="NormalNumberedTextTLRIChar"/>
        </w:rPr>
        <w:t>ameliorating over-cau</w:t>
      </w:r>
      <w:r w:rsidR="009E2BB7" w:rsidRPr="00154F1D">
        <w:rPr>
          <w:rStyle w:val="NormalNumberedTextTLRIChar"/>
        </w:rPr>
        <w:t>tio</w:t>
      </w:r>
      <w:r w:rsidRPr="00154F1D">
        <w:rPr>
          <w:rStyle w:val="NormalNumberedTextTLRIChar"/>
        </w:rPr>
        <w:t>us</w:t>
      </w:r>
      <w:r w:rsidR="009E2BB7" w:rsidRPr="00154F1D">
        <w:rPr>
          <w:rStyle w:val="NormalNumberedTextTLRIChar"/>
        </w:rPr>
        <w:t>ness in decision making</w:t>
      </w:r>
      <w:r w:rsidRPr="00154F1D">
        <w:rPr>
          <w:rStyle w:val="NormalNumberedTextTLRIChar"/>
        </w:rPr>
        <w:t>;</w:t>
      </w:r>
    </w:p>
    <w:p w14:paraId="347513C1" w14:textId="5BCE822A" w:rsidR="005B08CB" w:rsidRPr="00154F1D" w:rsidRDefault="005B08CB" w:rsidP="007067A9">
      <w:pPr>
        <w:pStyle w:val="DotPointTLRI"/>
        <w:ind w:left="851" w:hanging="425"/>
        <w:rPr>
          <w:rStyle w:val="NormalNumberedTextTLRIChar"/>
        </w:rPr>
      </w:pPr>
      <w:r w:rsidRPr="00154F1D">
        <w:rPr>
          <w:rStyle w:val="NormalNumberedTextTLRIChar"/>
        </w:rPr>
        <w:t>Providing i</w:t>
      </w:r>
      <w:r w:rsidR="009E2BB7" w:rsidRPr="00154F1D">
        <w:rPr>
          <w:rStyle w:val="NormalNumberedTextTLRIChar"/>
        </w:rPr>
        <w:t>nformality</w:t>
      </w:r>
      <w:r w:rsidRPr="00154F1D">
        <w:rPr>
          <w:rStyle w:val="NormalNumberedTextTLRIChar"/>
        </w:rPr>
        <w:t xml:space="preserve"> and</w:t>
      </w:r>
      <w:r w:rsidR="009E2BB7" w:rsidRPr="00154F1D">
        <w:rPr>
          <w:rStyle w:val="NormalNumberedTextTLRIChar"/>
        </w:rPr>
        <w:t xml:space="preserve"> </w:t>
      </w:r>
      <w:r w:rsidRPr="00154F1D">
        <w:rPr>
          <w:rStyle w:val="NormalNumberedTextTLRIChar"/>
        </w:rPr>
        <w:t>an inquisitorial</w:t>
      </w:r>
      <w:r w:rsidR="009E2BB7" w:rsidRPr="00154F1D">
        <w:rPr>
          <w:rStyle w:val="NormalNumberedTextTLRIChar"/>
        </w:rPr>
        <w:t xml:space="preserve"> nature</w:t>
      </w:r>
      <w:r w:rsidRPr="00154F1D">
        <w:rPr>
          <w:rStyle w:val="NormalNumberedTextTLRIChar"/>
        </w:rPr>
        <w:t xml:space="preserve"> to the procee</w:t>
      </w:r>
      <w:r w:rsidR="009E2BB7" w:rsidRPr="00154F1D">
        <w:rPr>
          <w:rStyle w:val="NormalNumberedTextTLRIChar"/>
        </w:rPr>
        <w:t>ding</w:t>
      </w:r>
      <w:r w:rsidRPr="00154F1D">
        <w:rPr>
          <w:rStyle w:val="NormalNumberedTextTLRIChar"/>
        </w:rPr>
        <w:t xml:space="preserve">s. The advantages of an inquisitorial </w:t>
      </w:r>
      <w:r w:rsidR="00EE70D0" w:rsidRPr="00154F1D">
        <w:rPr>
          <w:rStyle w:val="NormalNumberedTextTLRIChar"/>
        </w:rPr>
        <w:t>model</w:t>
      </w:r>
      <w:r w:rsidRPr="00154F1D">
        <w:rPr>
          <w:rStyle w:val="NormalNumberedTextTLRIChar"/>
        </w:rPr>
        <w:t xml:space="preserve"> w</w:t>
      </w:r>
      <w:r w:rsidR="00A03957" w:rsidRPr="00154F1D">
        <w:rPr>
          <w:rStyle w:val="NormalNumberedTextTLRIChar"/>
        </w:rPr>
        <w:t>ere</w:t>
      </w:r>
      <w:r w:rsidRPr="00154F1D">
        <w:rPr>
          <w:rStyle w:val="NormalNumberedTextTLRIChar"/>
        </w:rPr>
        <w:t xml:space="preserve"> set out by Freckelton:</w:t>
      </w:r>
    </w:p>
    <w:p w14:paraId="03234136" w14:textId="2548DDBF" w:rsidR="009E2BB7" w:rsidRPr="00154F1D" w:rsidRDefault="007067A9" w:rsidP="008B09A5">
      <w:pPr>
        <w:pStyle w:val="QuoteTLRI"/>
        <w:spacing w:after="120"/>
        <w:ind w:left="1276" w:right="788"/>
        <w:rPr>
          <w:rStyle w:val="NormalNumberedTextTLRIChar"/>
          <w:sz w:val="20"/>
          <w:lang w:val="en-US" w:eastAsia="ja-JP"/>
        </w:rPr>
      </w:pPr>
      <w:r w:rsidRPr="00154F1D">
        <w:rPr>
          <w:lang w:val="en-US"/>
        </w:rPr>
        <w:t>In</w:t>
      </w:r>
      <w:r w:rsidR="005B08CB" w:rsidRPr="00154F1D">
        <w:rPr>
          <w:lang w:val="en-US"/>
        </w:rPr>
        <w:t>quisitorial review bodies constituted by lawyers experienced in mental health, psychiatrists and community members with lengthy experience in mental health generally enjoy a significant advantage over the courts in exploring the dangerousness of persons with mental illness and assimilating the presentation of such patients. Adversarial courts are ill-suited to such a process and risk being insensitive to psychiatric illness realities and also to being counter-therapeutic in their outcome.</w:t>
      </w:r>
      <w:r w:rsidR="005B08CB" w:rsidRPr="00154F1D">
        <w:rPr>
          <w:rStyle w:val="FootnoteReference"/>
          <w:rFonts w:eastAsiaTheme="minorEastAsia"/>
          <w:lang w:val="en-US"/>
        </w:rPr>
        <w:footnoteReference w:id="865"/>
      </w:r>
    </w:p>
    <w:p w14:paraId="3FB43423" w14:textId="7B96D1C4" w:rsidR="008D36B4" w:rsidRPr="00154F1D" w:rsidRDefault="008D36B4" w:rsidP="00FD1424">
      <w:pPr>
        <w:pStyle w:val="DotPointTLRI"/>
        <w:ind w:left="851" w:hanging="425"/>
        <w:rPr>
          <w:rStyle w:val="NormalNumberedTextTLRIChar"/>
        </w:rPr>
      </w:pPr>
      <w:r w:rsidRPr="00154F1D">
        <w:rPr>
          <w:rStyle w:val="NormalNumberedTextTLRIChar"/>
        </w:rPr>
        <w:t>The membership of a Tribunal (including medical and legal expertise) ensures that it has specialist expertise.</w:t>
      </w:r>
    </w:p>
    <w:p w14:paraId="3FE385D8" w14:textId="1BD46F08" w:rsidR="009E2BB7" w:rsidRPr="00154F1D" w:rsidRDefault="009E2BB7" w:rsidP="008B09A5">
      <w:pPr>
        <w:pStyle w:val="DotPointTLRI"/>
        <w:spacing w:after="80"/>
        <w:ind w:left="850" w:hanging="425"/>
        <w:rPr>
          <w:rStyle w:val="NormalNumberedTextTLRIChar"/>
        </w:rPr>
      </w:pPr>
      <w:r w:rsidRPr="00154F1D">
        <w:rPr>
          <w:rStyle w:val="NormalNumberedTextTLRIChar"/>
        </w:rPr>
        <w:t>More resource effective</w:t>
      </w:r>
      <w:r w:rsidR="005B08CB" w:rsidRPr="00154F1D">
        <w:rPr>
          <w:rStyle w:val="NormalNumberedTextTLRIChar"/>
        </w:rPr>
        <w:t>.</w:t>
      </w:r>
    </w:p>
    <w:p w14:paraId="7EEA5BFE" w14:textId="3FBCABCA" w:rsidR="008D36B4" w:rsidRPr="00154F1D" w:rsidRDefault="008D36B4" w:rsidP="008D36B4">
      <w:pPr>
        <w:pStyle w:val="DotPointTLRI"/>
        <w:numPr>
          <w:ilvl w:val="0"/>
          <w:numId w:val="0"/>
        </w:numPr>
        <w:rPr>
          <w:rStyle w:val="NormalNumberedTextTLRIChar"/>
        </w:rPr>
      </w:pPr>
      <w:r w:rsidRPr="00154F1D">
        <w:rPr>
          <w:rStyle w:val="NormalNumberedTextTLRIChar"/>
        </w:rPr>
        <w:t>Many of these advantages were also recognised by the New Zealand Law Commission.</w:t>
      </w:r>
      <w:r w:rsidRPr="00154F1D">
        <w:rPr>
          <w:rStyle w:val="FootnoteReference"/>
          <w:rFonts w:eastAsia="Times"/>
          <w:szCs w:val="20"/>
        </w:rPr>
        <w:footnoteReference w:id="866"/>
      </w:r>
    </w:p>
    <w:p w14:paraId="508E22AF" w14:textId="73DF9B01" w:rsidR="0035344E" w:rsidRPr="00154F1D" w:rsidRDefault="0035344E" w:rsidP="00744FAA">
      <w:pPr>
        <w:pStyle w:val="NormalNumberedTextTLRI"/>
        <w:rPr>
          <w:rStyle w:val="NormalNumberedTextTLRIChar"/>
        </w:rPr>
      </w:pPr>
      <w:r w:rsidRPr="00154F1D">
        <w:rPr>
          <w:rStyle w:val="NormalNumberedTextTLRIChar"/>
        </w:rPr>
        <w:t>The VLRC also identified benefits of retaining the existing judicial model of decision-making including the ‘value of the jurisprudence and the expertise that has developed within the current judicial model’.</w:t>
      </w:r>
      <w:r w:rsidRPr="00154F1D">
        <w:rPr>
          <w:rStyle w:val="FootnoteReference"/>
        </w:rPr>
        <w:footnoteReference w:id="867"/>
      </w:r>
      <w:r w:rsidRPr="00154F1D">
        <w:rPr>
          <w:rStyle w:val="NormalNumberedTextTLRIChar"/>
        </w:rPr>
        <w:t xml:space="preserve"> The judicial model was said to provide a continuity of approach and was ‘a forum that is more open to public scrutiny’.</w:t>
      </w:r>
      <w:r w:rsidRPr="00154F1D">
        <w:rPr>
          <w:rStyle w:val="FootnoteReference"/>
        </w:rPr>
        <w:footnoteReference w:id="868"/>
      </w:r>
      <w:r w:rsidRPr="00154F1D">
        <w:rPr>
          <w:rStyle w:val="NormalNumberedTextTLRIChar"/>
        </w:rPr>
        <w:t xml:space="preserve"> Courts were said to ‘</w:t>
      </w:r>
      <w:r w:rsidR="005B08CB" w:rsidRPr="00154F1D">
        <w:rPr>
          <w:rStyle w:val="NormalNumberedTextTLRIChar"/>
        </w:rPr>
        <w:t>confer</w:t>
      </w:r>
      <w:r w:rsidRPr="00154F1D">
        <w:rPr>
          <w:rStyle w:val="NormalNumberedTextTLRIChar"/>
        </w:rPr>
        <w:t xml:space="preserve"> a certain “degree of authority”, which may be more effective at reassuring victims that their interests are important and being meaningfully </w:t>
      </w:r>
      <w:r w:rsidR="005B08CB" w:rsidRPr="00154F1D">
        <w:rPr>
          <w:rStyle w:val="NormalNumberedTextTLRIChar"/>
        </w:rPr>
        <w:t>represented</w:t>
      </w:r>
      <w:r w:rsidRPr="00154F1D">
        <w:rPr>
          <w:rStyle w:val="NormalNumberedTextTLRIChar"/>
        </w:rPr>
        <w:t>’.</w:t>
      </w:r>
      <w:r w:rsidRPr="00154F1D">
        <w:rPr>
          <w:rStyle w:val="FootnoteReference"/>
        </w:rPr>
        <w:footnoteReference w:id="869"/>
      </w:r>
    </w:p>
    <w:p w14:paraId="02592FAA" w14:textId="704222FE" w:rsidR="0035344E" w:rsidRPr="00154F1D" w:rsidRDefault="0035344E" w:rsidP="00744FAA">
      <w:pPr>
        <w:pStyle w:val="NormalNumberedTextTLRI"/>
        <w:rPr>
          <w:rStyle w:val="NormalNumberedTextTLRIChar"/>
        </w:rPr>
      </w:pPr>
      <w:r w:rsidRPr="00154F1D">
        <w:rPr>
          <w:rStyle w:val="NormalNumberedTextTLRIChar"/>
        </w:rPr>
        <w:t xml:space="preserve">In its final report, the VLRC considered that the benefits of the </w:t>
      </w:r>
      <w:r w:rsidR="005B08CB" w:rsidRPr="00154F1D">
        <w:rPr>
          <w:rStyle w:val="NormalNumberedTextTLRIChar"/>
        </w:rPr>
        <w:t>judicial</w:t>
      </w:r>
      <w:r w:rsidRPr="00154F1D">
        <w:rPr>
          <w:rStyle w:val="NormalNumberedTextTLRIChar"/>
        </w:rPr>
        <w:t xml:space="preserve"> model of decision</w:t>
      </w:r>
      <w:r w:rsidR="009C193D" w:rsidRPr="00154F1D">
        <w:rPr>
          <w:rStyle w:val="NormalNumberedTextTLRIChar"/>
        </w:rPr>
        <w:t>-</w:t>
      </w:r>
      <w:r w:rsidRPr="00154F1D">
        <w:rPr>
          <w:rStyle w:val="NormalNumberedTextTLRIChar"/>
        </w:rPr>
        <w:t xml:space="preserve">making currently outweighed the </w:t>
      </w:r>
      <w:r w:rsidR="005B08CB" w:rsidRPr="00154F1D">
        <w:rPr>
          <w:rStyle w:val="NormalNumberedTextTLRIChar"/>
        </w:rPr>
        <w:t>benefits</w:t>
      </w:r>
      <w:r w:rsidRPr="00154F1D">
        <w:rPr>
          <w:rStyle w:val="NormalNumberedTextTLRIChar"/>
        </w:rPr>
        <w:t xml:space="preserve"> of an alternative model. In particular, </w:t>
      </w:r>
      <w:r w:rsidR="005B08CB" w:rsidRPr="00154F1D">
        <w:rPr>
          <w:rStyle w:val="NormalNumberedTextTLRIChar"/>
        </w:rPr>
        <w:t>it</w:t>
      </w:r>
      <w:r w:rsidRPr="00154F1D">
        <w:rPr>
          <w:rStyle w:val="NormalNumberedTextTLRIChar"/>
        </w:rPr>
        <w:t xml:space="preserve"> was </w:t>
      </w:r>
      <w:r w:rsidR="005B08CB" w:rsidRPr="00154F1D">
        <w:rPr>
          <w:rStyle w:val="NormalNumberedTextTLRIChar"/>
        </w:rPr>
        <w:t>considered</w:t>
      </w:r>
      <w:r w:rsidRPr="00154F1D">
        <w:rPr>
          <w:rStyle w:val="NormalNumberedTextTLRIChar"/>
        </w:rPr>
        <w:t xml:space="preserve"> that this was appropriate given the public dimension of the </w:t>
      </w:r>
      <w:r w:rsidR="005B08CB" w:rsidRPr="00154F1D">
        <w:rPr>
          <w:rStyle w:val="NormalNumberedTextTLRIChar"/>
        </w:rPr>
        <w:t>order (the order was made by a court and should go back to the court for discharge).</w:t>
      </w:r>
      <w:r w:rsidR="005B08CB" w:rsidRPr="00154F1D">
        <w:rPr>
          <w:rStyle w:val="FootnoteReference"/>
        </w:rPr>
        <w:footnoteReference w:id="870"/>
      </w:r>
      <w:r w:rsidR="005B08CB" w:rsidRPr="00154F1D">
        <w:rPr>
          <w:rStyle w:val="NormalNumberedTextTLRIChar"/>
        </w:rPr>
        <w:t xml:space="preserve"> It was also considered to confer legitimacy and authority on the decision and provide for public confidence.</w:t>
      </w:r>
      <w:r w:rsidR="005B08CB" w:rsidRPr="00154F1D">
        <w:rPr>
          <w:rStyle w:val="FootnoteReference"/>
        </w:rPr>
        <w:footnoteReference w:id="871"/>
      </w:r>
      <w:r w:rsidR="008D36B4" w:rsidRPr="00154F1D">
        <w:rPr>
          <w:rStyle w:val="NormalNumberedTextTLRIChar"/>
        </w:rPr>
        <w:t xml:space="preserve"> In contrast, the </w:t>
      </w:r>
      <w:r w:rsidR="009C193D" w:rsidRPr="00154F1D">
        <w:rPr>
          <w:rStyle w:val="NormalNumberedTextTLRIChar"/>
        </w:rPr>
        <w:t>NZLC</w:t>
      </w:r>
      <w:r w:rsidR="008D36B4" w:rsidRPr="00154F1D">
        <w:rPr>
          <w:rStyle w:val="NormalNumberedTextTLRIChar"/>
        </w:rPr>
        <w:t xml:space="preserve"> recommended that a tribunal (rather than the court) was the preferred decision</w:t>
      </w:r>
      <w:r w:rsidR="009C193D" w:rsidRPr="00154F1D">
        <w:rPr>
          <w:rStyle w:val="NormalNumberedTextTLRIChar"/>
        </w:rPr>
        <w:t>-</w:t>
      </w:r>
      <w:r w:rsidR="008D36B4" w:rsidRPr="00154F1D">
        <w:rPr>
          <w:rStyle w:val="NormalNumberedTextTLRIChar"/>
        </w:rPr>
        <w:t>making body for the review and discharge or orders.</w:t>
      </w:r>
      <w:r w:rsidR="008D36B4" w:rsidRPr="00154F1D">
        <w:rPr>
          <w:rStyle w:val="FootnoteReference"/>
        </w:rPr>
        <w:footnoteReference w:id="872"/>
      </w:r>
    </w:p>
    <w:p w14:paraId="15B76796" w14:textId="2494809F" w:rsidR="00820A4D" w:rsidRPr="00A15653" w:rsidRDefault="002713DF" w:rsidP="00744FAA">
      <w:pPr>
        <w:pStyle w:val="NormalNumberedTextTLRI"/>
        <w:rPr>
          <w:rStyle w:val="NormalNumberedTextTLRIChar"/>
        </w:rPr>
      </w:pPr>
      <w:r w:rsidRPr="00154F1D">
        <w:rPr>
          <w:rStyle w:val="NormalNumberedTextTLRIChar"/>
        </w:rPr>
        <w:t>If the decision</w:t>
      </w:r>
      <w:r w:rsidR="009C193D" w:rsidRPr="00154F1D">
        <w:rPr>
          <w:rStyle w:val="NormalNumberedTextTLRIChar"/>
        </w:rPr>
        <w:t>-</w:t>
      </w:r>
      <w:r w:rsidRPr="00154F1D">
        <w:rPr>
          <w:rStyle w:val="NormalNumberedTextTLRIChar"/>
        </w:rPr>
        <w:t xml:space="preserve">making model to discharge, revoke or vary orders </w:t>
      </w:r>
      <w:r w:rsidR="000E746A">
        <w:rPr>
          <w:rStyle w:val="NormalNumberedTextTLRIChar"/>
        </w:rPr>
        <w:t>is</w:t>
      </w:r>
      <w:r w:rsidRPr="00154F1D">
        <w:rPr>
          <w:rStyle w:val="NormalNumberedTextTLRIChar"/>
        </w:rPr>
        <w:t xml:space="preserve"> altered in Tasmania, further issues </w:t>
      </w:r>
      <w:r w:rsidR="000E746A">
        <w:rPr>
          <w:rStyle w:val="NormalNumberedTextTLRIChar"/>
        </w:rPr>
        <w:t xml:space="preserve">will </w:t>
      </w:r>
      <w:r w:rsidRPr="00154F1D">
        <w:rPr>
          <w:rStyle w:val="NormalNumberedTextTLRIChar"/>
        </w:rPr>
        <w:t>arise in relation to the composition of the MHT for the purposes of these decisions</w:t>
      </w:r>
      <w:r w:rsidR="009F691F" w:rsidRPr="00154F1D">
        <w:rPr>
          <w:rStyle w:val="NormalNumberedTextTLRIChar"/>
        </w:rPr>
        <w:t>. There is a need for rigorous and consistent decision</w:t>
      </w:r>
      <w:r w:rsidR="009C193D" w:rsidRPr="00154F1D">
        <w:rPr>
          <w:rStyle w:val="NormalNumberedTextTLRIChar"/>
        </w:rPr>
        <w:t>-</w:t>
      </w:r>
      <w:r w:rsidR="009F691F" w:rsidRPr="00154F1D">
        <w:rPr>
          <w:rStyle w:val="NormalNumberedTextTLRIChar"/>
        </w:rPr>
        <w:t>making.</w:t>
      </w:r>
      <w:r w:rsidRPr="00154F1D">
        <w:rPr>
          <w:rStyle w:val="NormalNumberedTextTLRIChar"/>
        </w:rPr>
        <w:t xml:space="preserve"> </w:t>
      </w:r>
      <w:r w:rsidR="00F252FE" w:rsidRPr="00154F1D">
        <w:rPr>
          <w:rStyle w:val="NormalNumberedTextTLRIChar"/>
        </w:rPr>
        <w:t xml:space="preserve">In Tasmania, </w:t>
      </w:r>
      <w:r w:rsidR="005C223B" w:rsidRPr="00154F1D">
        <w:rPr>
          <w:rStyle w:val="NormalNumberedTextTLRIChar"/>
        </w:rPr>
        <w:t>hearings</w:t>
      </w:r>
      <w:r w:rsidR="00F252FE" w:rsidRPr="00154F1D">
        <w:rPr>
          <w:rStyle w:val="NormalNumberedTextTLRIChar"/>
        </w:rPr>
        <w:t xml:space="preserve"> of the </w:t>
      </w:r>
      <w:r w:rsidR="009C193D" w:rsidRPr="00154F1D">
        <w:rPr>
          <w:rStyle w:val="NormalNumberedTextTLRIChar"/>
        </w:rPr>
        <w:t>MHT</w:t>
      </w:r>
      <w:r w:rsidR="00F252FE" w:rsidRPr="00154F1D">
        <w:rPr>
          <w:rStyle w:val="NormalNumberedTextTLRIChar"/>
        </w:rPr>
        <w:t xml:space="preserve"> are </w:t>
      </w:r>
      <w:r w:rsidR="005C223B" w:rsidRPr="00154F1D">
        <w:rPr>
          <w:rStyle w:val="NormalNumberedTextTLRIChar"/>
        </w:rPr>
        <w:t>constituted by a panel of three people: a chairperson (who is a lawyer), a psychiatrist and a person with experience in mental health</w:t>
      </w:r>
      <w:r w:rsidR="00F252FE" w:rsidRPr="00154F1D">
        <w:rPr>
          <w:rStyle w:val="NormalNumberedTextTLRIChar"/>
        </w:rPr>
        <w:t>.</w:t>
      </w:r>
      <w:r w:rsidR="005C223B" w:rsidRPr="00154F1D">
        <w:rPr>
          <w:rStyle w:val="FootnoteReference"/>
        </w:rPr>
        <w:footnoteReference w:id="873"/>
      </w:r>
      <w:r w:rsidR="00F252FE" w:rsidRPr="00154F1D">
        <w:rPr>
          <w:rStyle w:val="NormalNumberedTextTLRIChar"/>
        </w:rPr>
        <w:t xml:space="preserve"> </w:t>
      </w:r>
      <w:r w:rsidR="005C223B" w:rsidRPr="00154F1D">
        <w:rPr>
          <w:rStyle w:val="NormalNumberedTextTLRIChar"/>
        </w:rPr>
        <w:t xml:space="preserve">This is similar to the composition of the Mental Health Review Panel in Queensland. In contrast, in New South Wales, decisions </w:t>
      </w:r>
      <w:r w:rsidR="000E746A">
        <w:rPr>
          <w:rStyle w:val="NormalNumberedTextTLRIChar"/>
        </w:rPr>
        <w:t>about whether</w:t>
      </w:r>
      <w:r w:rsidR="000E746A" w:rsidRPr="00154F1D">
        <w:rPr>
          <w:rStyle w:val="NormalNumberedTextTLRIChar"/>
        </w:rPr>
        <w:t xml:space="preserve"> </w:t>
      </w:r>
      <w:r w:rsidR="005C223B" w:rsidRPr="00154F1D">
        <w:rPr>
          <w:rStyle w:val="NormalNumberedTextTLRIChar"/>
        </w:rPr>
        <w:t>to release a forensic patient must be made by a panel which includes the President or Deputy President, who is the holder or the former holder of judicial office</w:t>
      </w:r>
      <w:r w:rsidR="00F252FE" w:rsidRPr="00154F1D">
        <w:rPr>
          <w:rStyle w:val="NormalNumberedTextTLRIChar"/>
        </w:rPr>
        <w:t>.</w:t>
      </w:r>
      <w:r w:rsidRPr="00154F1D">
        <w:rPr>
          <w:rStyle w:val="NormalNumberedTextTLRIChar"/>
        </w:rPr>
        <w:t xml:space="preserve"> </w:t>
      </w:r>
    </w:p>
    <w:p w14:paraId="7FE2FE84" w14:textId="6AEF0996" w:rsidR="0035344E" w:rsidRPr="00154F1D" w:rsidRDefault="0035344E" w:rsidP="00AF195E">
      <w:pPr>
        <w:pStyle w:val="NormalNumberedTextTLRI"/>
        <w:keepNext/>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rStyle w:val="NormalNumberedTextTLRIChar"/>
          <w:b/>
        </w:rPr>
      </w:pPr>
      <w:bookmarkStart w:id="212" w:name="Q70"/>
      <w:r w:rsidRPr="00154F1D">
        <w:rPr>
          <w:rStyle w:val="NormalNumberedTextTLRIChar"/>
          <w:b/>
        </w:rPr>
        <w:t>Question</w:t>
      </w:r>
      <w:r w:rsidR="009C193D" w:rsidRPr="00154F1D">
        <w:rPr>
          <w:rStyle w:val="NormalNumberedTextTLRIChar"/>
          <w:b/>
        </w:rPr>
        <w:t>s</w:t>
      </w:r>
    </w:p>
    <w:bookmarkEnd w:id="212"/>
    <w:p w14:paraId="1AC9D661" w14:textId="625CB4AC" w:rsidR="0035344E" w:rsidRPr="00154F1D" w:rsidRDefault="004B5E4B" w:rsidP="009C193D">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rStyle w:val="NormalNumberedTextTLRIChar"/>
        </w:rPr>
      </w:pPr>
      <w:r w:rsidRPr="00154F1D">
        <w:rPr>
          <w:rStyle w:val="NormalNumberedTextTLRIChar"/>
        </w:rPr>
        <w:t>70</w:t>
      </w:r>
      <w:r w:rsidR="0035344E" w:rsidRPr="00154F1D">
        <w:rPr>
          <w:rStyle w:val="NormalNumberedTextTLRIChar"/>
        </w:rPr>
        <w:t>.</w:t>
      </w:r>
      <w:r w:rsidR="009C193D" w:rsidRPr="00154F1D">
        <w:rPr>
          <w:rStyle w:val="NormalNumberedTextTLRIChar"/>
        </w:rPr>
        <w:tab/>
      </w:r>
      <w:r w:rsidR="0035344E" w:rsidRPr="00154F1D">
        <w:rPr>
          <w:rStyle w:val="NormalNumberedTextTLRIChar"/>
        </w:rPr>
        <w:t>Should there be a change in the judicial model of decision</w:t>
      </w:r>
      <w:r w:rsidR="009C193D" w:rsidRPr="00154F1D">
        <w:rPr>
          <w:rStyle w:val="NormalNumberedTextTLRIChar"/>
        </w:rPr>
        <w:t>-</w:t>
      </w:r>
      <w:r w:rsidR="0035344E" w:rsidRPr="00154F1D">
        <w:rPr>
          <w:rStyle w:val="NormalNumberedTextTLRIChar"/>
        </w:rPr>
        <w:t xml:space="preserve">making to allow the Mental Health Tribunal to exercise powers of variation, discharge or revocation of forensic orders under the </w:t>
      </w:r>
      <w:r w:rsidR="0035344E" w:rsidRPr="00154F1D">
        <w:rPr>
          <w:rStyle w:val="NormalNumberedTextTLRIChar"/>
          <w:i/>
        </w:rPr>
        <w:t xml:space="preserve">Criminal Justice (Mental Impairment) Act 1999 </w:t>
      </w:r>
      <w:r w:rsidR="0035344E" w:rsidRPr="00154F1D">
        <w:rPr>
          <w:rStyle w:val="NormalNumberedTextTLRIChar"/>
        </w:rPr>
        <w:t>(Tas)?</w:t>
      </w:r>
    </w:p>
    <w:p w14:paraId="47D8069E" w14:textId="198C188F" w:rsidR="00F252FE" w:rsidRPr="00154F1D" w:rsidRDefault="009C193D" w:rsidP="009C193D">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rStyle w:val="NormalNumberedTextTLRIChar"/>
        </w:rPr>
      </w:pPr>
      <w:r w:rsidRPr="00154F1D">
        <w:rPr>
          <w:rStyle w:val="NormalNumberedTextTLRIChar"/>
        </w:rPr>
        <w:t>7</w:t>
      </w:r>
      <w:r w:rsidR="004B5E4B" w:rsidRPr="00154F1D">
        <w:rPr>
          <w:rStyle w:val="NormalNumberedTextTLRIChar"/>
        </w:rPr>
        <w:t>1</w:t>
      </w:r>
      <w:r w:rsidR="00F252FE" w:rsidRPr="00154F1D">
        <w:rPr>
          <w:rStyle w:val="NormalNumberedTextTLRIChar"/>
        </w:rPr>
        <w:t>.</w:t>
      </w:r>
      <w:r w:rsidRPr="00154F1D">
        <w:rPr>
          <w:rStyle w:val="NormalNumberedTextTLRIChar"/>
        </w:rPr>
        <w:tab/>
      </w:r>
      <w:r w:rsidR="00F252FE" w:rsidRPr="00154F1D">
        <w:rPr>
          <w:rStyle w:val="NormalNumberedTextTLRIChar"/>
        </w:rPr>
        <w:t>If there is a change to the decision-making model</w:t>
      </w:r>
      <w:r w:rsidR="009F691F" w:rsidRPr="00154F1D">
        <w:rPr>
          <w:rStyle w:val="NormalNumberedTextTLRIChar"/>
        </w:rPr>
        <w:t xml:space="preserve"> in Tasmania</w:t>
      </w:r>
      <w:r w:rsidR="00F252FE" w:rsidRPr="00154F1D">
        <w:rPr>
          <w:rStyle w:val="NormalNumberedTextTLRIChar"/>
        </w:rPr>
        <w:t xml:space="preserve">, </w:t>
      </w:r>
      <w:r w:rsidR="009F691F" w:rsidRPr="00154F1D">
        <w:rPr>
          <w:rStyle w:val="NormalNumberedTextTLRIChar"/>
        </w:rPr>
        <w:t xml:space="preserve">is it necessary to </w:t>
      </w:r>
      <w:r w:rsidR="00AF33EB" w:rsidRPr="00154F1D">
        <w:rPr>
          <w:rStyle w:val="NormalNumberedTextTLRIChar"/>
        </w:rPr>
        <w:t xml:space="preserve">make changes in relation to the composition of the panel that is constituted to make decisions to discharge, revoke or vary forensic orders under the </w:t>
      </w:r>
      <w:r w:rsidR="00AF33EB" w:rsidRPr="00154F1D">
        <w:rPr>
          <w:rStyle w:val="NormalNumberedTextTLRIChar"/>
          <w:i/>
        </w:rPr>
        <w:t xml:space="preserve">Criminal Justice (Mental Impairment) Act 1999 </w:t>
      </w:r>
      <w:r w:rsidR="00AF33EB" w:rsidRPr="00154F1D">
        <w:rPr>
          <w:rStyle w:val="NormalNumberedTextTLRIChar"/>
        </w:rPr>
        <w:t>(Tas)?</w:t>
      </w:r>
    </w:p>
    <w:p w14:paraId="4E76424F" w14:textId="4E09A1FC" w:rsidR="00E12143" w:rsidRPr="00CB7A25" w:rsidRDefault="00722482" w:rsidP="00E12143">
      <w:pPr>
        <w:pStyle w:val="Sub-HeadingTLRI"/>
      </w:pPr>
      <w:bookmarkStart w:id="213" w:name="_Toc535868984"/>
      <w:r w:rsidRPr="00CB7A25">
        <w:rPr>
          <w:rStyle w:val="NormalNumberedTextTLRIChar"/>
        </w:rPr>
        <w:t>Transition from forensic patient status</w:t>
      </w:r>
      <w:bookmarkEnd w:id="213"/>
      <w:r w:rsidR="003C6660" w:rsidRPr="00CB7A25">
        <w:t xml:space="preserve"> </w:t>
      </w:r>
    </w:p>
    <w:p w14:paraId="0300805A" w14:textId="12EDFF1B" w:rsidR="00722482" w:rsidRPr="00154F1D" w:rsidRDefault="003B0544" w:rsidP="00744FAA">
      <w:pPr>
        <w:pStyle w:val="NormalNumberedTextTLRI"/>
      </w:pPr>
      <w:r>
        <w:t>I</w:t>
      </w:r>
      <w:r w:rsidR="004B5E4B" w:rsidRPr="00154F1D">
        <w:t>n Tasmania, there is concern</w:t>
      </w:r>
      <w:r w:rsidR="003B1A72" w:rsidRPr="00154F1D">
        <w:t xml:space="preserve"> </w:t>
      </w:r>
      <w:r w:rsidR="003C6660" w:rsidRPr="00154F1D">
        <w:t xml:space="preserve">about the difficulty </w:t>
      </w:r>
      <w:r w:rsidR="002D1D0E">
        <w:t>that</w:t>
      </w:r>
      <w:r w:rsidR="002D1D0E" w:rsidRPr="00154F1D">
        <w:t xml:space="preserve"> </w:t>
      </w:r>
      <w:r w:rsidR="003C6660" w:rsidRPr="00154F1D">
        <w:t>forensic patient</w:t>
      </w:r>
      <w:r w:rsidR="002D1D0E">
        <w:t>s</w:t>
      </w:r>
      <w:r w:rsidR="003C6660" w:rsidRPr="00154F1D">
        <w:t xml:space="preserve"> </w:t>
      </w:r>
      <w:r w:rsidR="002D1D0E">
        <w:t>encounter</w:t>
      </w:r>
      <w:r>
        <w:t xml:space="preserve"> </w:t>
      </w:r>
      <w:r w:rsidR="002D1D0E">
        <w:t xml:space="preserve">when </w:t>
      </w:r>
      <w:r w:rsidR="003C6660" w:rsidRPr="00154F1D">
        <w:t>transitioning from a restriction order to a supervision order or from a supervision order to treatment under the</w:t>
      </w:r>
      <w:r w:rsidR="00DA7836" w:rsidRPr="00154F1D">
        <w:rPr>
          <w:i/>
        </w:rPr>
        <w:t xml:space="preserve"> Mental Health Act 2013 </w:t>
      </w:r>
      <w:r w:rsidR="00DA7836" w:rsidRPr="00154F1D">
        <w:t>(Tas)</w:t>
      </w:r>
      <w:r w:rsidR="003C6660" w:rsidRPr="00154F1D">
        <w:t>. T</w:t>
      </w:r>
      <w:r w:rsidR="000234E5">
        <w:t>his</w:t>
      </w:r>
      <w:r w:rsidR="002D1D0E">
        <w:t xml:space="preserve"> difficult</w:t>
      </w:r>
      <w:r w:rsidR="000234E5">
        <w:t>y</w:t>
      </w:r>
      <w:r w:rsidR="002D1D0E">
        <w:t xml:space="preserve"> stem</w:t>
      </w:r>
      <w:r w:rsidR="000234E5">
        <w:t>s</w:t>
      </w:r>
      <w:r w:rsidR="002D1D0E">
        <w:t xml:space="preserve"> from what </w:t>
      </w:r>
      <w:r w:rsidR="003C6660" w:rsidRPr="00154F1D">
        <w:t xml:space="preserve">has been described as a ‘catch-22’ situation </w:t>
      </w:r>
      <w:r w:rsidR="002D1D0E">
        <w:t>as</w:t>
      </w:r>
      <w:r w:rsidR="002D1D0E" w:rsidRPr="00154F1D">
        <w:t xml:space="preserve"> </w:t>
      </w:r>
      <w:r w:rsidR="003C6660" w:rsidRPr="00154F1D">
        <w:t>a forensic patient is not able to demonstrate how they may behave with a lower level of supervision and so are not granted a lower level of supervision.</w:t>
      </w:r>
      <w:r w:rsidR="003C6660" w:rsidRPr="00154F1D">
        <w:rPr>
          <w:rStyle w:val="FootnoteReference"/>
        </w:rPr>
        <w:footnoteReference w:id="874"/>
      </w:r>
      <w:r w:rsidR="003C6660" w:rsidRPr="00154F1D">
        <w:t xml:space="preserve"> </w:t>
      </w:r>
    </w:p>
    <w:p w14:paraId="4D2B86E3" w14:textId="648EFA2C" w:rsidR="00247DF9" w:rsidRPr="00154F1D" w:rsidRDefault="00F41B62" w:rsidP="00744FAA">
      <w:pPr>
        <w:pStyle w:val="NormalNumberedTextTLRI"/>
      </w:pPr>
      <w:r w:rsidRPr="00154F1D">
        <w:t xml:space="preserve">There also appear to be difficulties in providing ‘step-up’ and ‘step-down’ options for </w:t>
      </w:r>
      <w:r w:rsidR="001E0CE7">
        <w:t>a forensic patient</w:t>
      </w:r>
      <w:r w:rsidRPr="00154F1D">
        <w:t xml:space="preserve"> seeking to transition from a restriction order (</w:t>
      </w:r>
      <w:r w:rsidR="00B30712" w:rsidRPr="00154F1D">
        <w:t>with</w:t>
      </w:r>
      <w:r w:rsidRPr="00154F1D">
        <w:t xml:space="preserve"> det</w:t>
      </w:r>
      <w:r w:rsidR="00B30712" w:rsidRPr="00154F1D">
        <w:t>ention</w:t>
      </w:r>
      <w:r w:rsidRPr="00154F1D">
        <w:t xml:space="preserve"> at the Wilfred Lopes Centre) to </w:t>
      </w:r>
      <w:r w:rsidR="004F4F20" w:rsidRPr="00154F1D">
        <w:t>detention</w:t>
      </w:r>
      <w:r w:rsidRPr="00154F1D">
        <w:t xml:space="preserve"> in a community-based facility. </w:t>
      </w:r>
      <w:r w:rsidR="009D2833" w:rsidRPr="00154F1D">
        <w:t xml:space="preserve">In </w:t>
      </w:r>
      <w:r w:rsidR="009D2833" w:rsidRPr="00154F1D">
        <w:rPr>
          <w:i/>
        </w:rPr>
        <w:t>Secretary of the Department of Health and Human Service v Horacek</w:t>
      </w:r>
      <w:r w:rsidR="009D2833" w:rsidRPr="00154F1D">
        <w:t>,</w:t>
      </w:r>
      <w:r w:rsidR="009D2833" w:rsidRPr="00154F1D">
        <w:rPr>
          <w:rStyle w:val="FootnoteReference"/>
        </w:rPr>
        <w:footnoteReference w:id="875"/>
      </w:r>
      <w:r w:rsidR="009D2833" w:rsidRPr="00154F1D">
        <w:t xml:space="preserve"> </w:t>
      </w:r>
      <w:r w:rsidRPr="00154F1D">
        <w:t>the judge attempted to construct a release order that would allow for the defendant to move from the Wilfred Lopes Centre to Tyenna Blue</w:t>
      </w:r>
      <w:r w:rsidR="00B30712" w:rsidRPr="00154F1D">
        <w:t xml:space="preserve"> but with an option to have the defendant moved back to Wilfred Lopes if necessary</w:t>
      </w:r>
      <w:r w:rsidR="008136B8" w:rsidRPr="00154F1D">
        <w:t>.</w:t>
      </w:r>
      <w:r w:rsidR="00B30712" w:rsidRPr="00154F1D">
        <w:rPr>
          <w:rStyle w:val="FootnoteReference"/>
        </w:rPr>
        <w:footnoteReference w:id="876"/>
      </w:r>
      <w:r w:rsidR="00B30712" w:rsidRPr="00154F1D">
        <w:t xml:space="preserve"> His Honour outlined the dilemma:</w:t>
      </w:r>
    </w:p>
    <w:p w14:paraId="4D5ABBF6" w14:textId="0899D1AE" w:rsidR="00B30712" w:rsidRPr="00154F1D" w:rsidRDefault="00B30712" w:rsidP="0074267A">
      <w:pPr>
        <w:pStyle w:val="QuoteTLRI"/>
      </w:pPr>
      <w:r w:rsidRPr="00154F1D">
        <w:t>The dilemma can be readily stated. The aim is to permit greater flexibility in the treatment of the applicant without the present level of incarceration. That flexibility requires compulsory return to the Wilfred Lopes Centre if the regime is found to be unworkable. Release to a less intensive institution or centre is desirable if the Chief Forensic Psychiatrist believes, as a consequence of medical judgment, such a course to be apposite. Return to the community simpliciter is not a present option. The Court is reluctant to leave the present order in force without variation.</w:t>
      </w:r>
      <w:r w:rsidRPr="00154F1D">
        <w:rPr>
          <w:rStyle w:val="FootnoteReference"/>
        </w:rPr>
        <w:footnoteReference w:id="877"/>
      </w:r>
    </w:p>
    <w:p w14:paraId="7A994F1A" w14:textId="42A513B5" w:rsidR="00E01B71" w:rsidRPr="00154F1D" w:rsidRDefault="00B30712" w:rsidP="00744FAA">
      <w:pPr>
        <w:pStyle w:val="NormalNumberedTextTLRI"/>
        <w:numPr>
          <w:ilvl w:val="0"/>
          <w:numId w:val="0"/>
        </w:numPr>
      </w:pPr>
      <w:r w:rsidRPr="00154F1D">
        <w:t>However, the Court of Criminal Appeal found that the orders of the judge</w:t>
      </w:r>
      <w:r w:rsidR="00DA7836" w:rsidRPr="00154F1D">
        <w:t xml:space="preserve">, in attempting to permit, </w:t>
      </w:r>
      <w:r w:rsidRPr="00154F1D">
        <w:t xml:space="preserve">at the direction of the </w:t>
      </w:r>
      <w:r w:rsidR="00296411" w:rsidRPr="00154F1D">
        <w:t>Chief Forensic Psychiatrist</w:t>
      </w:r>
      <w:r w:rsidRPr="00154F1D">
        <w:t xml:space="preserve">, the movement of the defendant in and out of the </w:t>
      </w:r>
      <w:r w:rsidR="00DA7836" w:rsidRPr="00154F1D">
        <w:t>SMHU</w:t>
      </w:r>
      <w:r w:rsidRPr="00154F1D">
        <w:t xml:space="preserve"> as deemed necessary and treatment as an involuntary patient under the </w:t>
      </w:r>
      <w:r w:rsidR="00DA7836" w:rsidRPr="00154F1D">
        <w:rPr>
          <w:i/>
        </w:rPr>
        <w:t xml:space="preserve">Mental Health Act 2013 </w:t>
      </w:r>
      <w:r w:rsidR="00DA7836" w:rsidRPr="00154F1D">
        <w:t>(Tas)</w:t>
      </w:r>
      <w:r w:rsidRPr="00154F1D">
        <w:t xml:space="preserve"> was not lawful</w:t>
      </w:r>
      <w:r w:rsidR="00F41B62" w:rsidRPr="00154F1D">
        <w:t>.</w:t>
      </w:r>
      <w:r w:rsidRPr="00154F1D">
        <w:rPr>
          <w:rStyle w:val="FootnoteReference"/>
        </w:rPr>
        <w:footnoteReference w:id="878"/>
      </w:r>
      <w:r w:rsidR="00F41B62" w:rsidRPr="00154F1D">
        <w:t xml:space="preserve"> </w:t>
      </w:r>
      <w:r w:rsidR="00BD5BC3" w:rsidRPr="00154F1D">
        <w:t>It held that it was not possible to use the conditions attached to a supervision order ‘as a means of expanding the role of a supervision order, and creating a hybrid order somewhere between a supervision and restriction order’.</w:t>
      </w:r>
      <w:r w:rsidR="00BD5BC3" w:rsidRPr="00154F1D">
        <w:rPr>
          <w:rStyle w:val="FootnoteReference"/>
        </w:rPr>
        <w:footnoteReference w:id="879"/>
      </w:r>
    </w:p>
    <w:p w14:paraId="6B7C73A1" w14:textId="2CE45744" w:rsidR="0054216E" w:rsidRPr="00154F1D" w:rsidRDefault="005903F7" w:rsidP="00744FAA">
      <w:pPr>
        <w:pStyle w:val="NormalNumberedTextTLRI"/>
      </w:pPr>
      <w:r w:rsidRPr="00154F1D">
        <w:t xml:space="preserve">Features of forensic mental health systems in other jurisdictions may provide </w:t>
      </w:r>
      <w:r w:rsidR="008A0964" w:rsidRPr="00154F1D">
        <w:t>possible models to address concerns that exist in relation to the Tasmanian system.</w:t>
      </w:r>
      <w:r w:rsidR="00287224" w:rsidRPr="00154F1D">
        <w:t xml:space="preserve"> These include </w:t>
      </w:r>
      <w:r w:rsidR="00A12E61" w:rsidRPr="00154F1D">
        <w:t>amendments to leave provisions</w:t>
      </w:r>
      <w:r w:rsidR="00E12143" w:rsidRPr="00154F1D">
        <w:t>, the use of technology to better supervise forensic patients on leave or conditional release</w:t>
      </w:r>
      <w:r w:rsidR="00A12E61" w:rsidRPr="00154F1D">
        <w:t xml:space="preserve"> and/or the creation of step-up and step</w:t>
      </w:r>
      <w:r w:rsidR="00DD1010">
        <w:t>-</w:t>
      </w:r>
      <w:r w:rsidR="00A12E61" w:rsidRPr="00154F1D">
        <w:t>down facilities.</w:t>
      </w:r>
    </w:p>
    <w:p w14:paraId="4FFD1484" w14:textId="6B1DCFE2" w:rsidR="00287224" w:rsidRPr="00154F1D" w:rsidRDefault="00287224" w:rsidP="00744FAA">
      <w:pPr>
        <w:pStyle w:val="NormalNumberedTextTLRI"/>
      </w:pPr>
      <w:r w:rsidRPr="00154F1D">
        <w:rPr>
          <w:b/>
        </w:rPr>
        <w:t xml:space="preserve">Amendment to leave provisions. </w:t>
      </w:r>
      <w:r w:rsidRPr="00154F1D">
        <w:t>Boyd-Caine and Chappell have observed that leave privileges:</w:t>
      </w:r>
    </w:p>
    <w:p w14:paraId="62FC4508" w14:textId="287656F3" w:rsidR="00287224" w:rsidRPr="00154F1D" w:rsidRDefault="00287224" w:rsidP="0074267A">
      <w:pPr>
        <w:pStyle w:val="QuoteTLRI"/>
      </w:pPr>
      <w:r w:rsidRPr="00154F1D">
        <w:t>are critical to the patient’s ability to progress through the forensic system towards release. In the first instance, leave privileges provide an opportunity for patients to be test in terms of responsibility, trust, insight into their illness, and the general progress of their rehabilitation. Leave privileges are also gradual steps towards greater liberty and access to family, friends and the broader community.</w:t>
      </w:r>
      <w:r w:rsidRPr="00154F1D">
        <w:rPr>
          <w:rStyle w:val="FootnoteReference"/>
        </w:rPr>
        <w:footnoteReference w:id="880"/>
      </w:r>
      <w:r w:rsidRPr="00154F1D">
        <w:t xml:space="preserve"> </w:t>
      </w:r>
    </w:p>
    <w:p w14:paraId="019F18A7" w14:textId="7556C6D7" w:rsidR="005022E2" w:rsidRPr="00154F1D" w:rsidRDefault="008D36B4" w:rsidP="00744FAA">
      <w:pPr>
        <w:pStyle w:val="NormalNumberedTextTLRI"/>
        <w:numPr>
          <w:ilvl w:val="0"/>
          <w:numId w:val="0"/>
        </w:numPr>
      </w:pPr>
      <w:r w:rsidRPr="00154F1D">
        <w:t xml:space="preserve">Leave in Tasmania is </w:t>
      </w:r>
      <w:r w:rsidR="0034561B" w:rsidRPr="00154F1D">
        <w:t xml:space="preserve">also a central to rehabilitation of forensic patients and operates over the longer term with the aim of supporting and facilitating the discharge of </w:t>
      </w:r>
      <w:r w:rsidR="0047375A">
        <w:t xml:space="preserve">a </w:t>
      </w:r>
      <w:r w:rsidR="0034561B" w:rsidRPr="00154F1D">
        <w:t xml:space="preserve">restriction order. However, this is not explicitly recognised in the </w:t>
      </w:r>
      <w:r w:rsidR="0034561B" w:rsidRPr="00154F1D">
        <w:rPr>
          <w:i/>
        </w:rPr>
        <w:t xml:space="preserve">Mental Health Act 2013 </w:t>
      </w:r>
      <w:r w:rsidR="0034561B" w:rsidRPr="00154F1D">
        <w:t>(Tas).</w:t>
      </w:r>
      <w:r w:rsidR="0034561B" w:rsidRPr="00154F1D">
        <w:rPr>
          <w:i/>
        </w:rPr>
        <w:t xml:space="preserve"> </w:t>
      </w:r>
      <w:r w:rsidR="00287224" w:rsidRPr="00154F1D">
        <w:t xml:space="preserve">An option for reform in Tasmania may be to make changes to the leave system so that there are more options in relation to the type of leave available, including the ability of the </w:t>
      </w:r>
      <w:r w:rsidR="00FE7A6D" w:rsidRPr="00154F1D">
        <w:t>MHT</w:t>
      </w:r>
      <w:r w:rsidR="00287224" w:rsidRPr="00154F1D">
        <w:t xml:space="preserve"> to make extended leave orders to provide </w:t>
      </w:r>
      <w:r w:rsidR="005022E2" w:rsidRPr="00154F1D">
        <w:t>forensic patients with an opportunity</w:t>
      </w:r>
      <w:r w:rsidR="00694540" w:rsidRPr="00154F1D">
        <w:t xml:space="preserve"> to demonstrate their progress towards rehabilitation</w:t>
      </w:r>
      <w:r w:rsidR="00287224" w:rsidRPr="00154F1D">
        <w:t xml:space="preserve">. </w:t>
      </w:r>
      <w:r w:rsidR="005022E2" w:rsidRPr="00154F1D">
        <w:t xml:space="preserve">This reflects </w:t>
      </w:r>
      <w:r w:rsidR="00694540" w:rsidRPr="00154F1D">
        <w:t>a graduated approach to release from detention</w:t>
      </w:r>
      <w:r w:rsidR="005022E2" w:rsidRPr="00154F1D">
        <w:t xml:space="preserve"> and is closely tied to rehabilitation </w:t>
      </w:r>
      <w:r w:rsidR="00694540" w:rsidRPr="00154F1D">
        <w:t>and</w:t>
      </w:r>
      <w:r w:rsidR="005022E2" w:rsidRPr="00154F1D">
        <w:t xml:space="preserve"> </w:t>
      </w:r>
      <w:r w:rsidR="00694540" w:rsidRPr="00154F1D">
        <w:t>reintegration</w:t>
      </w:r>
      <w:r w:rsidR="005022E2" w:rsidRPr="00154F1D">
        <w:t>.</w:t>
      </w:r>
      <w:r w:rsidR="005022E2" w:rsidRPr="00154F1D">
        <w:rPr>
          <w:rStyle w:val="FootnoteReference"/>
        </w:rPr>
        <w:footnoteReference w:id="881"/>
      </w:r>
      <w:r w:rsidR="0034561B" w:rsidRPr="00154F1D">
        <w:t xml:space="preserve"> It would also address the concerns raised by the court in </w:t>
      </w:r>
      <w:r w:rsidR="0034561B" w:rsidRPr="00154F1D">
        <w:rPr>
          <w:i/>
        </w:rPr>
        <w:t xml:space="preserve">Horacek </w:t>
      </w:r>
      <w:r w:rsidR="0034561B" w:rsidRPr="00154F1D">
        <w:t xml:space="preserve">about the limitations of the supervision order as it would allow </w:t>
      </w:r>
      <w:r w:rsidR="001E0CE7">
        <w:t>a person</w:t>
      </w:r>
      <w:r w:rsidR="0034561B" w:rsidRPr="00154F1D">
        <w:t xml:space="preserve"> on a restriction order to live </w:t>
      </w:r>
      <w:r w:rsidR="00FE7A6D" w:rsidRPr="00154F1D">
        <w:t xml:space="preserve">outside the secure mental health unit </w:t>
      </w:r>
      <w:r w:rsidR="0034561B" w:rsidRPr="00154F1D">
        <w:t xml:space="preserve">for extended periods of time (with the ability to move the </w:t>
      </w:r>
      <w:r w:rsidR="001E0CE7">
        <w:t>person</w:t>
      </w:r>
      <w:r w:rsidR="001E0CE7" w:rsidRPr="00154F1D">
        <w:t xml:space="preserve"> </w:t>
      </w:r>
      <w:r w:rsidR="0034561B" w:rsidRPr="00154F1D">
        <w:t>back to the SMHU if required).</w:t>
      </w:r>
    </w:p>
    <w:p w14:paraId="236C193A" w14:textId="4F8169AD" w:rsidR="00287224" w:rsidRPr="00154F1D" w:rsidRDefault="005903F7" w:rsidP="00744FAA">
      <w:pPr>
        <w:pStyle w:val="NormalNumberedTextTLRI"/>
      </w:pPr>
      <w:r w:rsidRPr="00154F1D">
        <w:t xml:space="preserve">In Victoria, there is a unique system of leave </w:t>
      </w:r>
      <w:r w:rsidR="008A0964" w:rsidRPr="00154F1D">
        <w:t>that ‘specifies the type of leave that is available based on the location and duration of the leave’.</w:t>
      </w:r>
      <w:r w:rsidR="008A0964" w:rsidRPr="00154F1D">
        <w:rPr>
          <w:rStyle w:val="FootnoteReference"/>
        </w:rPr>
        <w:footnoteReference w:id="882"/>
      </w:r>
      <w:r w:rsidR="00287224" w:rsidRPr="00154F1D">
        <w:t xml:space="preserve"> The VLRC summarised the types of leave as follows:</w:t>
      </w:r>
      <w:r w:rsidR="00287224" w:rsidRPr="00154F1D">
        <w:rPr>
          <w:rStyle w:val="FootnoteReference"/>
        </w:rPr>
        <w:footnoteReference w:id="883"/>
      </w:r>
    </w:p>
    <w:p w14:paraId="17A2524B" w14:textId="14B84119" w:rsidR="005903F7" w:rsidRPr="00154F1D" w:rsidRDefault="00675C82" w:rsidP="00695170">
      <w:pPr>
        <w:pStyle w:val="DotPointTLRI"/>
        <w:ind w:left="851" w:hanging="425"/>
      </w:pPr>
      <w:r w:rsidRPr="00154F1D">
        <w:t>S</w:t>
      </w:r>
      <w:r w:rsidR="00287224" w:rsidRPr="00154F1D">
        <w:t xml:space="preserve">pecial leave – this allows a forensic patient on a custodial supervision order to leave their place of detention and receive services for a </w:t>
      </w:r>
      <w:r w:rsidR="00C40C92" w:rsidRPr="00154F1D">
        <w:t xml:space="preserve">period </w:t>
      </w:r>
      <w:r w:rsidR="00287224" w:rsidRPr="00154F1D">
        <w:t>not exceeding seven days for the purposes of receiving medical treatment, or 24 hours for non-medical treatment purposes. This can be granted by an authorised psychiatrist and can be suspended by the Chief Psychiatrist</w:t>
      </w:r>
      <w:r w:rsidRPr="00154F1D">
        <w:t>.</w:t>
      </w:r>
    </w:p>
    <w:p w14:paraId="6F14FA51" w14:textId="54034458" w:rsidR="00287224" w:rsidRPr="00154F1D" w:rsidRDefault="00675C82" w:rsidP="00695170">
      <w:pPr>
        <w:pStyle w:val="DotPointTLRI"/>
        <w:ind w:left="851" w:hanging="425"/>
      </w:pPr>
      <w:r w:rsidRPr="00154F1D">
        <w:t>O</w:t>
      </w:r>
      <w:r w:rsidR="00287224" w:rsidRPr="00154F1D">
        <w:t>n-ground leave – this allows a forensic pa</w:t>
      </w:r>
      <w:r w:rsidR="005022E2" w:rsidRPr="00154F1D">
        <w:t>ti</w:t>
      </w:r>
      <w:r w:rsidR="00287224" w:rsidRPr="00154F1D">
        <w:t xml:space="preserve">ent to leave their place of </w:t>
      </w:r>
      <w:r w:rsidR="005022E2" w:rsidRPr="00154F1D">
        <w:t>detention</w:t>
      </w:r>
      <w:r w:rsidR="00287224" w:rsidRPr="00154F1D">
        <w:t xml:space="preserve"> and rec</w:t>
      </w:r>
      <w:r w:rsidR="005022E2" w:rsidRPr="00154F1D">
        <w:t>e</w:t>
      </w:r>
      <w:r w:rsidR="00287224" w:rsidRPr="00154F1D">
        <w:t xml:space="preserve">ive </w:t>
      </w:r>
      <w:r w:rsidR="005022E2" w:rsidRPr="00154F1D">
        <w:t>services</w:t>
      </w:r>
      <w:r w:rsidR="00287224" w:rsidRPr="00154F1D">
        <w:t xml:space="preserve"> but requires them to </w:t>
      </w:r>
      <w:r w:rsidR="005022E2" w:rsidRPr="00154F1D">
        <w:t>remain</w:t>
      </w:r>
      <w:r w:rsidR="00287224" w:rsidRPr="00154F1D">
        <w:t xml:space="preserve"> ‘within t</w:t>
      </w:r>
      <w:r w:rsidR="005022E2" w:rsidRPr="00154F1D">
        <w:t>h</w:t>
      </w:r>
      <w:r w:rsidR="00287224" w:rsidRPr="00154F1D">
        <w:t>e su</w:t>
      </w:r>
      <w:r w:rsidR="005022E2" w:rsidRPr="00154F1D">
        <w:t>rr</w:t>
      </w:r>
      <w:r w:rsidR="00287224" w:rsidRPr="00154F1D">
        <w:t>ounds’ of the pl</w:t>
      </w:r>
      <w:r w:rsidR="005022E2" w:rsidRPr="00154F1D">
        <w:t>ace of detention. It can be aut</w:t>
      </w:r>
      <w:r w:rsidR="00287224" w:rsidRPr="00154F1D">
        <w:t>ho</w:t>
      </w:r>
      <w:r w:rsidR="005022E2" w:rsidRPr="00154F1D">
        <w:t>ri</w:t>
      </w:r>
      <w:r w:rsidR="00287224" w:rsidRPr="00154F1D">
        <w:t xml:space="preserve">sed by the </w:t>
      </w:r>
      <w:r w:rsidR="005022E2" w:rsidRPr="00154F1D">
        <w:t>Forensic</w:t>
      </w:r>
      <w:r w:rsidR="00287224" w:rsidRPr="00154F1D">
        <w:t xml:space="preserve"> Leave Panel and suspended by the Chief </w:t>
      </w:r>
      <w:r w:rsidR="005022E2" w:rsidRPr="00154F1D">
        <w:t>Psychiatrist.</w:t>
      </w:r>
    </w:p>
    <w:p w14:paraId="10ABEAA7" w14:textId="138F47FD" w:rsidR="005022E2" w:rsidRPr="00154F1D" w:rsidRDefault="00675C82" w:rsidP="00695170">
      <w:pPr>
        <w:pStyle w:val="DotPointTLRI"/>
        <w:ind w:left="851" w:hanging="425"/>
      </w:pPr>
      <w:r w:rsidRPr="00154F1D">
        <w:t>L</w:t>
      </w:r>
      <w:r w:rsidR="005022E2" w:rsidRPr="00154F1D">
        <w:t>imited off-ground leave – this allows a forensic patient, for a maximum of six months, to leave their place of detention between the hours of 6</w:t>
      </w:r>
      <w:r w:rsidR="001A60EC">
        <w:t xml:space="preserve"> </w:t>
      </w:r>
      <w:r w:rsidR="005022E2" w:rsidRPr="00154F1D">
        <w:t>am and 9</w:t>
      </w:r>
      <w:r w:rsidR="001A60EC">
        <w:t xml:space="preserve"> </w:t>
      </w:r>
      <w:r w:rsidR="005022E2" w:rsidRPr="00154F1D">
        <w:t>pm and outside those hours on a maximum of three days in any seven-day period. It can be authorised by the Forensic Leave Panel and suspended by the Chief Psychiatrist</w:t>
      </w:r>
      <w:r w:rsidRPr="00154F1D">
        <w:t>.</w:t>
      </w:r>
    </w:p>
    <w:p w14:paraId="6A90B918" w14:textId="612E99F9" w:rsidR="00694540" w:rsidRPr="00154F1D" w:rsidRDefault="00675C82" w:rsidP="00695170">
      <w:pPr>
        <w:pStyle w:val="DotPointTLRI"/>
        <w:ind w:left="851" w:hanging="425"/>
      </w:pPr>
      <w:r w:rsidRPr="00154F1D">
        <w:t>E</w:t>
      </w:r>
      <w:r w:rsidR="005022E2" w:rsidRPr="00154F1D">
        <w:t xml:space="preserve">xtended leave – this allows a forensic </w:t>
      </w:r>
      <w:r w:rsidR="006F4B4C" w:rsidRPr="00154F1D">
        <w:t>patient</w:t>
      </w:r>
      <w:r w:rsidR="005022E2" w:rsidRPr="00154F1D">
        <w:t xml:space="preserve"> to leave the place where they are b</w:t>
      </w:r>
      <w:r w:rsidR="006F4B4C" w:rsidRPr="00154F1D">
        <w:t>e</w:t>
      </w:r>
      <w:r w:rsidR="005022E2" w:rsidRPr="00154F1D">
        <w:t>ing detained for a</w:t>
      </w:r>
      <w:r w:rsidR="006F4B4C" w:rsidRPr="00154F1D">
        <w:t xml:space="preserve"> </w:t>
      </w:r>
      <w:r w:rsidR="005022E2" w:rsidRPr="00154F1D">
        <w:t xml:space="preserve">period </w:t>
      </w:r>
      <w:r w:rsidR="006F4B4C" w:rsidRPr="00154F1D">
        <w:t>of</w:t>
      </w:r>
      <w:r w:rsidR="005022E2" w:rsidRPr="00154F1D">
        <w:t xml:space="preserve"> time not exceeding 12 </w:t>
      </w:r>
      <w:r w:rsidR="006F4B4C" w:rsidRPr="00154F1D">
        <w:t xml:space="preserve">months. The </w:t>
      </w:r>
      <w:r w:rsidR="00694540" w:rsidRPr="00154F1D">
        <w:t>Supreme</w:t>
      </w:r>
      <w:r w:rsidR="006F4B4C" w:rsidRPr="00154F1D">
        <w:t xml:space="preserve"> Court can make an extended leave order and it can be revoked by the Chief Psychiatrist.</w:t>
      </w:r>
    </w:p>
    <w:p w14:paraId="42F91E60" w14:textId="31186EB9" w:rsidR="00A94EA8" w:rsidRPr="00154F1D" w:rsidRDefault="00E12143" w:rsidP="00744FAA">
      <w:pPr>
        <w:pStyle w:val="NormalNumberedTextTLRI"/>
      </w:pPr>
      <w:r w:rsidRPr="00154F1D">
        <w:rPr>
          <w:b/>
        </w:rPr>
        <w:t xml:space="preserve">Use of technology. </w:t>
      </w:r>
      <w:r w:rsidRPr="00154F1D">
        <w:t xml:space="preserve">In New South Wales, there are changes being introduced with a view </w:t>
      </w:r>
      <w:r w:rsidR="009E5716" w:rsidRPr="00154F1D">
        <w:t xml:space="preserve">to </w:t>
      </w:r>
      <w:r w:rsidRPr="00154F1D">
        <w:t xml:space="preserve">ensuring that </w:t>
      </w:r>
      <w:r w:rsidR="001E0CE7">
        <w:t>people</w:t>
      </w:r>
      <w:r w:rsidR="001E0CE7" w:rsidRPr="00154F1D">
        <w:t xml:space="preserve"> </w:t>
      </w:r>
      <w:r w:rsidRPr="00154F1D">
        <w:t xml:space="preserve">with cognitive and mental health impairments are </w:t>
      </w:r>
      <w:r w:rsidR="004B5E4B" w:rsidRPr="00154F1D">
        <w:t xml:space="preserve">better </w:t>
      </w:r>
      <w:r w:rsidRPr="00154F1D">
        <w:t>managed to improve community safety.</w:t>
      </w:r>
      <w:r w:rsidRPr="00154F1D">
        <w:rPr>
          <w:rStyle w:val="FootnoteReference"/>
        </w:rPr>
        <w:footnoteReference w:id="884"/>
      </w:r>
      <w:r w:rsidRPr="00154F1D">
        <w:t xml:space="preserve"> One </w:t>
      </w:r>
      <w:r w:rsidR="009E5716" w:rsidRPr="00154F1D">
        <w:t xml:space="preserve">of </w:t>
      </w:r>
      <w:r w:rsidRPr="00154F1D">
        <w:t>the changes foreshadowed is the use of GPS technology by</w:t>
      </w:r>
      <w:r w:rsidR="00067771" w:rsidRPr="00154F1D">
        <w:t xml:space="preserve"> treating teams and the Mental H</w:t>
      </w:r>
      <w:r w:rsidRPr="00154F1D">
        <w:t>ealth Review Tribunal ‘to better supervise forensic patients on leave or conditional release’.</w:t>
      </w:r>
      <w:r w:rsidRPr="00154F1D">
        <w:rPr>
          <w:rStyle w:val="FootnoteReference"/>
        </w:rPr>
        <w:footnoteReference w:id="885"/>
      </w:r>
      <w:r w:rsidR="00067771" w:rsidRPr="00154F1D">
        <w:t xml:space="preserve"> </w:t>
      </w:r>
      <w:r w:rsidR="00A94EA8" w:rsidRPr="00154F1D">
        <w:t>This reflects a review of the operation of the Mental Health Review Tribunal that proposed the amendment of the Forensic Mental Health Services Policy ‘to recognise advances in technology and</w:t>
      </w:r>
      <w:r w:rsidR="00D15255" w:rsidRPr="00154F1D">
        <w:t xml:space="preserve"> </w:t>
      </w:r>
      <w:r w:rsidR="00A94EA8" w:rsidRPr="00154F1D">
        <w:t>the readily available non-obtrusive technological solutions, including potential for the use of mobile phone apps, which enable supervision of patients via GPS’.</w:t>
      </w:r>
      <w:r w:rsidR="00A94EA8" w:rsidRPr="00154F1D">
        <w:rPr>
          <w:rStyle w:val="FootnoteReference"/>
        </w:rPr>
        <w:footnoteReference w:id="886"/>
      </w:r>
      <w:r w:rsidR="00A94EA8" w:rsidRPr="00154F1D">
        <w:t xml:space="preserve"> It was also </w:t>
      </w:r>
      <w:r w:rsidR="009E5716" w:rsidRPr="00154F1D">
        <w:t xml:space="preserve">recommended </w:t>
      </w:r>
      <w:r w:rsidR="00A94EA8" w:rsidRPr="00154F1D">
        <w:t>that:</w:t>
      </w:r>
    </w:p>
    <w:p w14:paraId="4858290A" w14:textId="278FCC08" w:rsidR="00E12143" w:rsidRPr="00154F1D" w:rsidRDefault="00A94EA8" w:rsidP="004371C3">
      <w:pPr>
        <w:pStyle w:val="QuoteTLRI"/>
        <w:rPr>
          <w:rFonts w:eastAsiaTheme="minorEastAsia"/>
          <w:sz w:val="18"/>
          <w:szCs w:val="18"/>
          <w:lang w:val="en-US"/>
        </w:rPr>
      </w:pPr>
      <w:r w:rsidRPr="00154F1D">
        <w:t>additional GPS mechanisms for supervising patients, and other technological options as may be appropriate, be considered by treating teams and the Tribunal for use in developing the risk-management plan for supervising patients on leave or conditional release; and that the Tribunal have the power and discretion to direct the use of GPS monitoring through mobile apps. These options are intended to enhance community and victim confidence in the supervision of patients on leave</w:t>
      </w:r>
      <w:r w:rsidRPr="00154F1D">
        <w:rPr>
          <w:rFonts w:eastAsiaTheme="minorEastAsia"/>
          <w:sz w:val="18"/>
          <w:szCs w:val="18"/>
          <w:lang w:val="en-US"/>
        </w:rPr>
        <w:t>.</w:t>
      </w:r>
      <w:r w:rsidRPr="00154F1D">
        <w:rPr>
          <w:rStyle w:val="FootnoteReference"/>
          <w:rFonts w:eastAsiaTheme="minorEastAsia"/>
          <w:szCs w:val="18"/>
          <w:lang w:val="en-US"/>
        </w:rPr>
        <w:footnoteReference w:id="887"/>
      </w:r>
    </w:p>
    <w:p w14:paraId="5E74FA1B" w14:textId="708D2FE9" w:rsidR="00E12143" w:rsidRPr="00154F1D" w:rsidRDefault="00A94EA8" w:rsidP="00A94EA8">
      <w:pPr>
        <w:autoSpaceDE w:val="0"/>
        <w:autoSpaceDN w:val="0"/>
        <w:adjustRightInd w:val="0"/>
      </w:pPr>
      <w:r w:rsidRPr="00154F1D">
        <w:rPr>
          <w:rFonts w:eastAsia="Times"/>
          <w:sz w:val="22"/>
          <w:szCs w:val="20"/>
        </w:rPr>
        <w:t xml:space="preserve">However, it was not recommended that </w:t>
      </w:r>
      <w:r w:rsidR="004F455C" w:rsidRPr="00154F1D">
        <w:rPr>
          <w:rFonts w:eastAsia="Times"/>
          <w:sz w:val="22"/>
          <w:szCs w:val="20"/>
        </w:rPr>
        <w:t>permanent</w:t>
      </w:r>
      <w:r w:rsidRPr="00154F1D">
        <w:rPr>
          <w:rFonts w:eastAsia="Times"/>
          <w:sz w:val="22"/>
          <w:szCs w:val="20"/>
        </w:rPr>
        <w:t xml:space="preserve"> ankle bracelets be used</w:t>
      </w:r>
      <w:r w:rsidRPr="00154F1D">
        <w:t>.</w:t>
      </w:r>
      <w:r w:rsidRPr="00154F1D">
        <w:rPr>
          <w:rStyle w:val="FootnoteReference"/>
        </w:rPr>
        <w:footnoteReference w:id="888"/>
      </w:r>
    </w:p>
    <w:p w14:paraId="26671B8D" w14:textId="05571B5E" w:rsidR="002670AB" w:rsidRPr="00154F1D" w:rsidRDefault="00407CEC" w:rsidP="00744FAA">
      <w:pPr>
        <w:pStyle w:val="NormalNumberedTextTLRI"/>
      </w:pPr>
      <w:r w:rsidRPr="00154F1D">
        <w:rPr>
          <w:b/>
        </w:rPr>
        <w:t>Ste</w:t>
      </w:r>
      <w:r w:rsidR="00694540" w:rsidRPr="00154F1D">
        <w:rPr>
          <w:b/>
        </w:rPr>
        <w:t>p</w:t>
      </w:r>
      <w:r w:rsidRPr="00154F1D">
        <w:rPr>
          <w:b/>
        </w:rPr>
        <w:t>-down/step</w:t>
      </w:r>
      <w:r w:rsidR="001A60EC">
        <w:rPr>
          <w:b/>
        </w:rPr>
        <w:t>-</w:t>
      </w:r>
      <w:r w:rsidRPr="00154F1D">
        <w:rPr>
          <w:b/>
        </w:rPr>
        <w:t>up facilities</w:t>
      </w:r>
      <w:r w:rsidR="00694540" w:rsidRPr="00154F1D">
        <w:rPr>
          <w:b/>
        </w:rPr>
        <w:t>.</w:t>
      </w:r>
      <w:r w:rsidRPr="00154F1D">
        <w:rPr>
          <w:b/>
        </w:rPr>
        <w:t xml:space="preserve"> </w:t>
      </w:r>
      <w:r w:rsidR="00694540" w:rsidRPr="00154F1D">
        <w:t>Reviews conducted in o</w:t>
      </w:r>
      <w:r w:rsidRPr="00154F1D">
        <w:t>ther j</w:t>
      </w:r>
      <w:r w:rsidR="00694540" w:rsidRPr="00154F1D">
        <w:t xml:space="preserve">urisdictions have highlighted the need </w:t>
      </w:r>
      <w:r w:rsidR="006F5A27" w:rsidRPr="00154F1D">
        <w:t xml:space="preserve">for </w:t>
      </w:r>
      <w:r w:rsidR="00694540" w:rsidRPr="00154F1D">
        <w:t>step-down and step</w:t>
      </w:r>
      <w:r w:rsidR="006F5A27" w:rsidRPr="00154F1D">
        <w:t>-</w:t>
      </w:r>
      <w:r w:rsidR="00694540" w:rsidRPr="00154F1D">
        <w:t>up facilities</w:t>
      </w:r>
      <w:r w:rsidR="00726CE1" w:rsidRPr="00154F1D">
        <w:t xml:space="preserve"> for </w:t>
      </w:r>
      <w:r w:rsidR="00A15AE6" w:rsidRPr="00154F1D">
        <w:t xml:space="preserve">forensic patients </w:t>
      </w:r>
      <w:r w:rsidR="00726CE1" w:rsidRPr="00154F1D">
        <w:t>leaving custodial supervision</w:t>
      </w:r>
      <w:r w:rsidR="00694540" w:rsidRPr="00154F1D">
        <w:t xml:space="preserve">. </w:t>
      </w:r>
    </w:p>
    <w:p w14:paraId="4D5AFB59" w14:textId="7565EE71" w:rsidR="002A7196" w:rsidRPr="00154F1D" w:rsidRDefault="00726CE1" w:rsidP="00744FAA">
      <w:pPr>
        <w:pStyle w:val="NormalNumberedTextTLRI"/>
      </w:pPr>
      <w:r w:rsidRPr="00154F1D">
        <w:t xml:space="preserve">In South Australia, the </w:t>
      </w:r>
      <w:r w:rsidR="006F5A27" w:rsidRPr="00154F1D">
        <w:t>SA</w:t>
      </w:r>
      <w:r w:rsidRPr="00154F1D">
        <w:t xml:space="preserve">SAC reported that there was a recognised need for an intermediate step between secure forensic mental health detention and being released </w:t>
      </w:r>
      <w:r w:rsidR="006F5A27" w:rsidRPr="00154F1D">
        <w:t>—</w:t>
      </w:r>
      <w:r w:rsidRPr="00154F1D">
        <w:t xml:space="preserve"> either conditionally or unconditionally </w:t>
      </w:r>
      <w:r w:rsidR="006F5A27" w:rsidRPr="00154F1D">
        <w:t>—</w:t>
      </w:r>
      <w:r w:rsidRPr="00154F1D">
        <w:t xml:space="preserve"> into the community.</w:t>
      </w:r>
      <w:r w:rsidRPr="00154F1D">
        <w:rPr>
          <w:rStyle w:val="FootnoteReference"/>
        </w:rPr>
        <w:footnoteReference w:id="889"/>
      </w:r>
      <w:r w:rsidR="00C822C7" w:rsidRPr="00154F1D">
        <w:t xml:space="preserve"> The secure forensic facility in South Australia is James Nash House and it has a ‘step-down’ unit (Ashton House). </w:t>
      </w:r>
      <w:r w:rsidR="00DA7836" w:rsidRPr="00154F1D">
        <w:t>However, while t</w:t>
      </w:r>
      <w:r w:rsidR="00AB343B" w:rsidRPr="00154F1D">
        <w:t xml:space="preserve">he </w:t>
      </w:r>
      <w:r w:rsidR="00540E44" w:rsidRPr="00154F1D">
        <w:t xml:space="preserve">court </w:t>
      </w:r>
      <w:r w:rsidR="00DA7836" w:rsidRPr="00154F1D">
        <w:t>wa</w:t>
      </w:r>
      <w:r w:rsidR="00540E44" w:rsidRPr="00154F1D">
        <w:t xml:space="preserve">s able to </w:t>
      </w:r>
      <w:r w:rsidR="00E052D9" w:rsidRPr="00154F1D">
        <w:t xml:space="preserve">order the release of a person </w:t>
      </w:r>
      <w:r w:rsidR="00A15AE6" w:rsidRPr="00154F1D">
        <w:t>from detention to release under licence in the community to reside at Ashton House</w:t>
      </w:r>
      <w:r w:rsidR="00DA7836" w:rsidRPr="00154F1D">
        <w:t xml:space="preserve">, </w:t>
      </w:r>
      <w:r w:rsidR="00A15AE6" w:rsidRPr="00154F1D">
        <w:t xml:space="preserve">Ashton House </w:t>
      </w:r>
      <w:r w:rsidR="00DA7836" w:rsidRPr="00154F1D">
        <w:t>did</w:t>
      </w:r>
      <w:r w:rsidR="00A15AE6" w:rsidRPr="00154F1D">
        <w:t xml:space="preserve"> not operate as a step</w:t>
      </w:r>
      <w:r w:rsidR="00861FB9">
        <w:t>-</w:t>
      </w:r>
      <w:r w:rsidR="00C822C7" w:rsidRPr="00154F1D">
        <w:t>up unit</w:t>
      </w:r>
      <w:r w:rsidR="00DA7836" w:rsidRPr="00154F1D">
        <w:t>.</w:t>
      </w:r>
      <w:r w:rsidR="00DA7836" w:rsidRPr="00154F1D">
        <w:rPr>
          <w:rStyle w:val="FootnoteReference"/>
        </w:rPr>
        <w:footnoteReference w:id="890"/>
      </w:r>
      <w:r w:rsidR="00C822C7" w:rsidRPr="00154F1D">
        <w:t xml:space="preserve"> </w:t>
      </w:r>
      <w:r w:rsidR="00DA7836" w:rsidRPr="00154F1D">
        <w:t>There wa</w:t>
      </w:r>
      <w:r w:rsidR="00C822C7" w:rsidRPr="00154F1D">
        <w:t xml:space="preserve">s no provision for the Clinical Director to return a person to </w:t>
      </w:r>
      <w:r w:rsidR="00A15AE6" w:rsidRPr="00154F1D">
        <w:t>James Nash House</w:t>
      </w:r>
      <w:r w:rsidR="00C822C7" w:rsidRPr="00154F1D">
        <w:t xml:space="preserve"> without applying to the court to suspend or revoke a licence.</w:t>
      </w:r>
      <w:r w:rsidR="00C822C7" w:rsidRPr="00154F1D">
        <w:rPr>
          <w:rStyle w:val="FootnoteReference"/>
        </w:rPr>
        <w:footnoteReference w:id="891"/>
      </w:r>
      <w:r w:rsidR="00E20C21" w:rsidRPr="00154F1D">
        <w:t xml:space="preserve"> </w:t>
      </w:r>
      <w:r w:rsidR="00A15AE6" w:rsidRPr="00154F1D">
        <w:t xml:space="preserve">Accordingly, </w:t>
      </w:r>
      <w:r w:rsidR="00397414" w:rsidRPr="00154F1D">
        <w:t xml:space="preserve">the </w:t>
      </w:r>
      <w:r w:rsidR="00A15AE6" w:rsidRPr="00154F1D">
        <w:t>SASAC c</w:t>
      </w:r>
      <w:r w:rsidR="00E20C21" w:rsidRPr="00154F1D">
        <w:t xml:space="preserve">oncluded that there needed to be more flexibility to allow licensees to be easily transferred between </w:t>
      </w:r>
      <w:r w:rsidR="00A15AE6" w:rsidRPr="00154F1D">
        <w:t>James Nash House</w:t>
      </w:r>
      <w:r w:rsidR="00E20C21" w:rsidRPr="00154F1D">
        <w:t xml:space="preserve"> and A</w:t>
      </w:r>
      <w:r w:rsidR="00A15AE6" w:rsidRPr="00154F1D">
        <w:t xml:space="preserve">shton </w:t>
      </w:r>
      <w:r w:rsidR="00E20C21" w:rsidRPr="00154F1D">
        <w:t>H</w:t>
      </w:r>
      <w:r w:rsidR="00A15AE6" w:rsidRPr="00154F1D">
        <w:t>ouse</w:t>
      </w:r>
      <w:r w:rsidR="00E20C21" w:rsidRPr="00154F1D">
        <w:t xml:space="preserve"> according to clinical need</w:t>
      </w:r>
      <w:r w:rsidR="00A15AE6" w:rsidRPr="00154F1D">
        <w:t xml:space="preserve"> with the </w:t>
      </w:r>
      <w:r w:rsidR="00E20C21" w:rsidRPr="00154F1D">
        <w:t xml:space="preserve">MHT </w:t>
      </w:r>
      <w:r w:rsidR="00A15AE6" w:rsidRPr="00154F1D">
        <w:t xml:space="preserve">being </w:t>
      </w:r>
      <w:r w:rsidR="00E20C21" w:rsidRPr="00154F1D">
        <w:t xml:space="preserve">empowered to assist with the efficient operation of the step-up and step-down process without need to apply to </w:t>
      </w:r>
      <w:r w:rsidR="00861FB9">
        <w:t xml:space="preserve">the </w:t>
      </w:r>
      <w:r w:rsidR="00E20C21" w:rsidRPr="00154F1D">
        <w:t>court.</w:t>
      </w:r>
      <w:r w:rsidR="00E20C21" w:rsidRPr="00154F1D">
        <w:rPr>
          <w:rStyle w:val="FootnoteReference"/>
        </w:rPr>
        <w:footnoteReference w:id="892"/>
      </w:r>
    </w:p>
    <w:p w14:paraId="27B9FED0" w14:textId="5C50695D" w:rsidR="00CF1188" w:rsidRPr="00154F1D" w:rsidRDefault="004B5E4B" w:rsidP="00744FAA">
      <w:pPr>
        <w:pStyle w:val="NormalNumberedTextTLRI"/>
      </w:pPr>
      <w:r w:rsidRPr="00154F1D">
        <w:t>The VLRC also considered that incorporating more flexibility in terms of accommodation options and the type of order that could be made could assist in supporting the person and would be consistent with recovery oriented practice</w:t>
      </w:r>
      <w:r w:rsidR="006373A4" w:rsidRPr="00154F1D">
        <w:t>.</w:t>
      </w:r>
      <w:r w:rsidR="00CF1188" w:rsidRPr="00154F1D">
        <w:rPr>
          <w:rStyle w:val="FootnoteReference"/>
        </w:rPr>
        <w:footnoteReference w:id="893"/>
      </w:r>
      <w:r w:rsidR="006373A4" w:rsidRPr="00154F1D">
        <w:t xml:space="preserve"> </w:t>
      </w:r>
      <w:r w:rsidR="00EC0127" w:rsidRPr="00154F1D">
        <w:t>It recommended the ‘</w:t>
      </w:r>
      <w:r w:rsidR="00371DF4" w:rsidRPr="00154F1D">
        <w:t>establishment</w:t>
      </w:r>
      <w:r w:rsidR="00EC0127" w:rsidRPr="00154F1D">
        <w:t xml:space="preserve"> of a medium-secure facility as an approved mental</w:t>
      </w:r>
      <w:r w:rsidR="00371DF4" w:rsidRPr="00154F1D">
        <w:t xml:space="preserve"> </w:t>
      </w:r>
      <w:r w:rsidR="00EC0127" w:rsidRPr="00154F1D">
        <w:t>health service under the CMIA to provide an intermediate step between the high-</w:t>
      </w:r>
      <w:r w:rsidRPr="00154F1D">
        <w:t xml:space="preserve">security </w:t>
      </w:r>
      <w:r w:rsidR="00EC0127" w:rsidRPr="00154F1D">
        <w:t xml:space="preserve">facility of Thomas Embling </w:t>
      </w:r>
      <w:r w:rsidR="00371DF4" w:rsidRPr="00154F1D">
        <w:t>Hospital</w:t>
      </w:r>
      <w:r w:rsidR="00EC0127" w:rsidRPr="00154F1D">
        <w:t xml:space="preserve"> and community accommodation’.</w:t>
      </w:r>
      <w:r w:rsidR="00EC0127" w:rsidRPr="00154F1D">
        <w:rPr>
          <w:rStyle w:val="FootnoteReference"/>
        </w:rPr>
        <w:footnoteReference w:id="894"/>
      </w:r>
      <w:r w:rsidR="003E425F" w:rsidRPr="00154F1D">
        <w:t xml:space="preserve"> It could also be used where people have breached conditions of a non-custodial supervision order.</w:t>
      </w:r>
      <w:r w:rsidR="003E425F" w:rsidRPr="00154F1D">
        <w:rPr>
          <w:rStyle w:val="FootnoteReference"/>
        </w:rPr>
        <w:footnoteReference w:id="895"/>
      </w:r>
    </w:p>
    <w:p w14:paraId="0AA51EF7" w14:textId="66735932" w:rsidR="00501A1E" w:rsidRPr="00154F1D" w:rsidRDefault="00501A1E" w:rsidP="00744FAA">
      <w:pPr>
        <w:pStyle w:val="NormalNumberedTextTLRI"/>
      </w:pPr>
      <w:r w:rsidRPr="00154F1D">
        <w:t>In Tasmania, the Anti-Discrimination Commissioner has argued that a step-down unit o</w:t>
      </w:r>
      <w:r w:rsidR="00DA7836" w:rsidRPr="00154F1D">
        <w:t>r</w:t>
      </w:r>
      <w:r w:rsidRPr="00154F1D">
        <w:t xml:space="preserve"> other forms of transitional facilities would enable forensic patients </w:t>
      </w:r>
      <w:r w:rsidR="00397414" w:rsidRPr="00154F1D">
        <w:t xml:space="preserve">to </w:t>
      </w:r>
      <w:r w:rsidRPr="00154F1D">
        <w:t>transition back to the community.</w:t>
      </w:r>
      <w:r w:rsidRPr="00154F1D">
        <w:rPr>
          <w:rStyle w:val="FootnoteReference"/>
        </w:rPr>
        <w:footnoteReference w:id="896"/>
      </w:r>
      <w:r w:rsidRPr="00154F1D">
        <w:t xml:space="preserve"> This ‘would help to ensure that people are not kept on orders unnecessarily and diminish the risk of breaching Australian obligations under the </w:t>
      </w:r>
      <w:r w:rsidRPr="00154F1D">
        <w:rPr>
          <w:i/>
        </w:rPr>
        <w:t>ICCPR</w:t>
      </w:r>
      <w:r w:rsidRPr="00154F1D">
        <w:t xml:space="preserve"> and the </w:t>
      </w:r>
      <w:r w:rsidRPr="00154F1D">
        <w:rPr>
          <w:i/>
        </w:rPr>
        <w:t>UNCRPD</w:t>
      </w:r>
      <w:r w:rsidRPr="00154F1D">
        <w:t>’.</w:t>
      </w:r>
      <w:r w:rsidRPr="00154F1D">
        <w:rPr>
          <w:rStyle w:val="FootnoteReference"/>
        </w:rPr>
        <w:footnoteReference w:id="897"/>
      </w:r>
      <w:r w:rsidRPr="00154F1D">
        <w:t xml:space="preserve"> </w:t>
      </w:r>
      <w:r w:rsidR="00F922C7" w:rsidRPr="00154F1D">
        <w:t xml:space="preserve">In Tasmania, there are resourcing difficulties that exist in using leave as a step towards discharge of a restriction order as there is a lack of appropriate accommodation in the community (such as a step-down unit). There are also difficulties with staffing so that forensic patients may have leave cancelled due to a lack of available staff to escort the person on supervised leave and this has potential implications for the length of time that a patient is </w:t>
      </w:r>
      <w:r w:rsidR="006C2562" w:rsidRPr="00154F1D">
        <w:t>subject to a supervision</w:t>
      </w:r>
      <w:r w:rsidR="00F922C7" w:rsidRPr="00154F1D">
        <w:t xml:space="preserve"> order. </w:t>
      </w:r>
    </w:p>
    <w:p w14:paraId="5D59DC63" w14:textId="74B38434" w:rsidR="00081B7A" w:rsidRPr="00154F1D" w:rsidRDefault="004B5E4B" w:rsidP="00744FAA">
      <w:pPr>
        <w:pStyle w:val="NormalNumberedTextTLRI"/>
      </w:pPr>
      <w:r w:rsidRPr="00154F1D">
        <w:t>The</w:t>
      </w:r>
      <w:r w:rsidR="00A12E61" w:rsidRPr="00154F1D">
        <w:t xml:space="preserve"> TLRI seeks feedback in relation to whether the </w:t>
      </w:r>
      <w:r w:rsidR="00DA7836" w:rsidRPr="00154F1D">
        <w:rPr>
          <w:i/>
          <w:iCs/>
        </w:rPr>
        <w:t xml:space="preserve">Criminal Justice (Mental Impairment) Act 1999 </w:t>
      </w:r>
      <w:r w:rsidR="00DA7836" w:rsidRPr="00154F1D">
        <w:rPr>
          <w:iCs/>
        </w:rPr>
        <w:t>(Tas)</w:t>
      </w:r>
      <w:r w:rsidR="00A12E61" w:rsidRPr="00154F1D">
        <w:t xml:space="preserve"> </w:t>
      </w:r>
      <w:r w:rsidR="00F922C7" w:rsidRPr="00154F1D">
        <w:t xml:space="preserve">and the leave provision in the </w:t>
      </w:r>
      <w:r w:rsidR="00F922C7" w:rsidRPr="00154F1D">
        <w:rPr>
          <w:i/>
        </w:rPr>
        <w:t xml:space="preserve">Mental Health Act 2013 </w:t>
      </w:r>
      <w:r w:rsidR="00F922C7" w:rsidRPr="00154F1D">
        <w:t xml:space="preserve">(Tas) </w:t>
      </w:r>
      <w:r w:rsidR="00A12E61" w:rsidRPr="00154F1D">
        <w:t xml:space="preserve">currently provides an appropriate pathway for gradual reintegration of a forensic patient into the community, consistent with the principles of least restriction and community safety. In this regard, options for reform could include changing the conditions that may attach to a supervision order, making changes to the leave provisions and the creation of step-down/step-up facilities to provide for appropriate levels of supervision and flexibility to respond to patient need. </w:t>
      </w:r>
    </w:p>
    <w:p w14:paraId="6BB729FD" w14:textId="77777777" w:rsidR="00181268" w:rsidRPr="00154F1D" w:rsidRDefault="00181268" w:rsidP="00782EBA">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b/>
        </w:rPr>
      </w:pPr>
      <w:bookmarkStart w:id="214" w:name="Q72"/>
      <w:r w:rsidRPr="00154F1D">
        <w:rPr>
          <w:b/>
        </w:rPr>
        <w:t>Questions</w:t>
      </w:r>
    </w:p>
    <w:bookmarkEnd w:id="214"/>
    <w:p w14:paraId="025A6A6D" w14:textId="25ACF58C" w:rsidR="00F922C7" w:rsidRPr="00154F1D" w:rsidRDefault="004B5E4B" w:rsidP="00525A74">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spacing w:before="120" w:after="120"/>
        <w:ind w:left="426" w:right="57" w:hanging="369"/>
      </w:pPr>
      <w:r w:rsidRPr="00154F1D">
        <w:t>72</w:t>
      </w:r>
      <w:r w:rsidR="00683D28" w:rsidRPr="00154F1D">
        <w:t>.</w:t>
      </w:r>
      <w:r w:rsidR="00782EBA" w:rsidRPr="00154F1D">
        <w:tab/>
      </w:r>
      <w:r w:rsidR="00F922C7" w:rsidRPr="00154F1D">
        <w:rPr>
          <w:lang w:val="en-US"/>
        </w:rPr>
        <w:t xml:space="preserve">Are there any difficulties with the operation of the leave provisions </w:t>
      </w:r>
      <w:r w:rsidR="006C2562" w:rsidRPr="00154F1D">
        <w:rPr>
          <w:lang w:val="en-US"/>
        </w:rPr>
        <w:t xml:space="preserve">under the </w:t>
      </w:r>
      <w:r w:rsidR="006C2562" w:rsidRPr="00154F1D">
        <w:rPr>
          <w:i/>
          <w:lang w:val="en-US"/>
        </w:rPr>
        <w:t xml:space="preserve">Mental Health 2013 </w:t>
      </w:r>
      <w:r w:rsidR="006C2562" w:rsidRPr="00154F1D">
        <w:rPr>
          <w:lang w:val="en-US"/>
        </w:rPr>
        <w:t>(Tas) that limit its utility in providing an appropriate pathway for the gradual reintegration of a forensic patient into the community?</w:t>
      </w:r>
      <w:r w:rsidR="00F922C7" w:rsidRPr="00154F1D">
        <w:rPr>
          <w:lang w:val="en-US"/>
        </w:rPr>
        <w:t xml:space="preserve"> </w:t>
      </w:r>
    </w:p>
    <w:p w14:paraId="5B68B248" w14:textId="608855A5" w:rsidR="00081B7A" w:rsidRPr="00154F1D" w:rsidRDefault="004B5E4B" w:rsidP="00525A74">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spacing w:before="120" w:after="120"/>
        <w:ind w:left="426" w:right="57" w:hanging="369"/>
      </w:pPr>
      <w:r w:rsidRPr="00154F1D">
        <w:t>73</w:t>
      </w:r>
      <w:r w:rsidR="00F922C7" w:rsidRPr="00154F1D">
        <w:t>.</w:t>
      </w:r>
      <w:r w:rsidR="00782EBA" w:rsidRPr="00154F1D">
        <w:tab/>
      </w:r>
      <w:r w:rsidR="00081B7A" w:rsidRPr="00154F1D">
        <w:t xml:space="preserve">Does the </w:t>
      </w:r>
      <w:r w:rsidR="00DA7836" w:rsidRPr="00154F1D">
        <w:rPr>
          <w:i/>
          <w:iCs/>
        </w:rPr>
        <w:t xml:space="preserve">Criminal Justice (Mental Impairment) Act 1999 </w:t>
      </w:r>
      <w:r w:rsidR="00DA7836" w:rsidRPr="00154F1D">
        <w:rPr>
          <w:iCs/>
        </w:rPr>
        <w:t>(Tas)</w:t>
      </w:r>
      <w:r w:rsidR="00081B7A" w:rsidRPr="00154F1D">
        <w:t xml:space="preserve"> provide an appropriate pathway for gradual reintegration of a </w:t>
      </w:r>
      <w:r w:rsidR="00CF1188" w:rsidRPr="00154F1D">
        <w:t xml:space="preserve">forensic </w:t>
      </w:r>
      <w:r w:rsidR="00081B7A" w:rsidRPr="00154F1D">
        <w:t>patient into the community?</w:t>
      </w:r>
    </w:p>
    <w:p w14:paraId="31713690" w14:textId="694A7B72" w:rsidR="00782EBA" w:rsidRPr="00154F1D" w:rsidRDefault="004B5E4B" w:rsidP="00525A74">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spacing w:before="120" w:after="120"/>
        <w:ind w:left="426" w:right="57" w:hanging="369"/>
      </w:pPr>
      <w:r w:rsidRPr="00154F1D">
        <w:t>74</w:t>
      </w:r>
      <w:r w:rsidR="00683D28" w:rsidRPr="00154F1D">
        <w:t>.</w:t>
      </w:r>
      <w:r w:rsidR="00782EBA" w:rsidRPr="00154F1D">
        <w:tab/>
      </w:r>
      <w:r w:rsidR="00407CEC" w:rsidRPr="00154F1D">
        <w:t xml:space="preserve">If not, </w:t>
      </w:r>
    </w:p>
    <w:p w14:paraId="7CEAE5FF" w14:textId="4DAD5DB1" w:rsidR="00407CEC" w:rsidRPr="00154F1D" w:rsidRDefault="00782EBA" w:rsidP="00525A74">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spacing w:before="120" w:after="120"/>
        <w:ind w:left="426" w:right="57" w:hanging="369"/>
      </w:pPr>
      <w:r w:rsidRPr="00154F1D">
        <w:tab/>
      </w:r>
      <w:r w:rsidR="00407CEC" w:rsidRPr="00154F1D">
        <w:t>(a)</w:t>
      </w:r>
      <w:r w:rsidR="00702843" w:rsidRPr="00154F1D">
        <w:t xml:space="preserve"> </w:t>
      </w:r>
      <w:r w:rsidR="00D31A25" w:rsidRPr="00154F1D">
        <w:t xml:space="preserve">Are the provisions regarding the conditions that may attach to a supervision order adequate and appropriate? If not, what changes should be made? For example, </w:t>
      </w:r>
      <w:r w:rsidR="00407CEC" w:rsidRPr="00154F1D">
        <w:t xml:space="preserve">would it be desirable for the provisions in relation to supervision orders in the </w:t>
      </w:r>
      <w:r w:rsidR="00DA7836" w:rsidRPr="00154F1D">
        <w:rPr>
          <w:i/>
          <w:iCs/>
        </w:rPr>
        <w:t xml:space="preserve">Criminal Justice (Mental Impairment) Act 1999 </w:t>
      </w:r>
      <w:r w:rsidR="00DA7836" w:rsidRPr="00154F1D">
        <w:rPr>
          <w:iCs/>
        </w:rPr>
        <w:t>(Tas)</w:t>
      </w:r>
      <w:r w:rsidR="00407CEC" w:rsidRPr="00154F1D">
        <w:t xml:space="preserve"> to be amended to allow the court to impose conditions that the person reside in an approved hospital if directed by the Chief Forensic Psychiatrist or the Mental Health Tribunal?</w:t>
      </w:r>
    </w:p>
    <w:p w14:paraId="251399ED" w14:textId="4137BFD0" w:rsidR="00407CEC" w:rsidRPr="00154F1D" w:rsidRDefault="00702843" w:rsidP="00525A74">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spacing w:before="120" w:after="120"/>
        <w:ind w:left="426" w:right="57" w:hanging="369"/>
      </w:pPr>
      <w:r w:rsidRPr="00154F1D">
        <w:tab/>
      </w:r>
      <w:r w:rsidR="00407CEC" w:rsidRPr="00154F1D">
        <w:t>(b) Would changes to the leave provisions, such as providing for extended leave, provide a more appropriate pathway for gradual reintegration of a patient into the community?</w:t>
      </w:r>
    </w:p>
    <w:p w14:paraId="7E6CF6D4" w14:textId="019110A7" w:rsidR="008A79F8" w:rsidRPr="00154F1D" w:rsidRDefault="00CE7C93" w:rsidP="00525A74">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spacing w:before="120" w:after="120"/>
        <w:ind w:left="426" w:right="57" w:hanging="369"/>
      </w:pPr>
      <w:r w:rsidRPr="00154F1D">
        <w:tab/>
      </w:r>
      <w:r w:rsidR="00407CEC" w:rsidRPr="00154F1D">
        <w:t>(c) Is there a need for a m</w:t>
      </w:r>
      <w:r w:rsidR="008A79F8" w:rsidRPr="00154F1D">
        <w:t xml:space="preserve">edium secure </w:t>
      </w:r>
      <w:r w:rsidR="00407CEC" w:rsidRPr="00154F1D">
        <w:t>environment</w:t>
      </w:r>
      <w:r w:rsidR="008A79F8" w:rsidRPr="00154F1D">
        <w:t xml:space="preserve"> </w:t>
      </w:r>
      <w:r w:rsidR="00540E44" w:rsidRPr="00154F1D">
        <w:t xml:space="preserve">to operate as a step-down/step-up facility </w:t>
      </w:r>
      <w:r w:rsidR="008A79F8" w:rsidRPr="00154F1D">
        <w:t xml:space="preserve">for </w:t>
      </w:r>
      <w:r w:rsidR="00407CEC" w:rsidRPr="00154F1D">
        <w:t>patients</w:t>
      </w:r>
      <w:r w:rsidR="008A79F8" w:rsidRPr="00154F1D">
        <w:t xml:space="preserve"> who are subject to </w:t>
      </w:r>
      <w:r w:rsidR="006847E9" w:rsidRPr="00154F1D">
        <w:t xml:space="preserve">a </w:t>
      </w:r>
      <w:r w:rsidR="008A79F8" w:rsidRPr="00154F1D">
        <w:t>restriction order?</w:t>
      </w:r>
      <w:r w:rsidR="00E052D9" w:rsidRPr="00154F1D">
        <w:t xml:space="preserve"> If so, should the </w:t>
      </w:r>
      <w:r w:rsidRPr="00154F1D">
        <w:t>Chief Forensic Psychiatrist</w:t>
      </w:r>
      <w:r w:rsidR="00E052D9" w:rsidRPr="00154F1D">
        <w:t xml:space="preserve">, the </w:t>
      </w:r>
      <w:r w:rsidRPr="00154F1D">
        <w:t>Mental Health Tribunal</w:t>
      </w:r>
      <w:r w:rsidR="00E052D9" w:rsidRPr="00154F1D">
        <w:t xml:space="preserve"> and/or the court have the ability to move a forensic pat</w:t>
      </w:r>
      <w:r w:rsidR="008B416A" w:rsidRPr="00154F1D">
        <w:t>i</w:t>
      </w:r>
      <w:r w:rsidR="00E052D9" w:rsidRPr="00154F1D">
        <w:t>ent between Wilfred Lopes and the medium secure facility? On what basis?</w:t>
      </w:r>
    </w:p>
    <w:p w14:paraId="37315CEC" w14:textId="442E3A18" w:rsidR="008B416A" w:rsidRPr="00154F1D" w:rsidRDefault="00574472" w:rsidP="00525A74">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spacing w:before="120" w:after="120"/>
        <w:ind w:left="426" w:right="57" w:hanging="369"/>
      </w:pPr>
      <w:r w:rsidRPr="00154F1D">
        <w:tab/>
      </w:r>
      <w:r w:rsidR="008B416A" w:rsidRPr="00154F1D">
        <w:t>(d)</w:t>
      </w:r>
      <w:r w:rsidRPr="00154F1D">
        <w:t xml:space="preserve"> </w:t>
      </w:r>
      <w:r w:rsidR="008B416A" w:rsidRPr="00154F1D">
        <w:t xml:space="preserve">Is there a technological solution that may be used to </w:t>
      </w:r>
      <w:r w:rsidR="004F455C" w:rsidRPr="00154F1D">
        <w:t xml:space="preserve">monitor forensic patients to </w:t>
      </w:r>
      <w:r w:rsidR="008B416A" w:rsidRPr="00154F1D">
        <w:t>address concerns in relation to risk</w:t>
      </w:r>
      <w:r w:rsidR="004F455C" w:rsidRPr="00154F1D">
        <w:t xml:space="preserve"> and community safety</w:t>
      </w:r>
      <w:r w:rsidR="008B416A" w:rsidRPr="00154F1D">
        <w:t>?</w:t>
      </w:r>
    </w:p>
    <w:p w14:paraId="20CD0658" w14:textId="625F1F73" w:rsidR="00181268" w:rsidRPr="00154F1D" w:rsidRDefault="00525A74" w:rsidP="00782EBA">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lang w:val="en-US"/>
        </w:rPr>
      </w:pPr>
      <w:r w:rsidRPr="00154F1D">
        <w:tab/>
      </w:r>
      <w:r w:rsidR="00181268" w:rsidRPr="00154F1D">
        <w:t>(</w:t>
      </w:r>
      <w:r w:rsidR="008B416A" w:rsidRPr="00154F1D">
        <w:t>e)</w:t>
      </w:r>
      <w:r w:rsidRPr="00154F1D">
        <w:t xml:space="preserve"> </w:t>
      </w:r>
      <w:r w:rsidR="00181268" w:rsidRPr="00154F1D">
        <w:rPr>
          <w:lang w:val="en-US"/>
        </w:rPr>
        <w:t>What are the cost implications of making these changes, including the costs of supervision and of treatment services?</w:t>
      </w:r>
    </w:p>
    <w:p w14:paraId="729DFA67" w14:textId="2B166E94" w:rsidR="003E501B" w:rsidRPr="00154F1D" w:rsidRDefault="00B521CE" w:rsidP="00B521CE">
      <w:pPr>
        <w:pStyle w:val="Sub-HeadingTLRI"/>
      </w:pPr>
      <w:bookmarkStart w:id="215" w:name="_Toc535868985"/>
      <w:r w:rsidRPr="00154F1D">
        <w:t xml:space="preserve">The appropriateness of orders under the </w:t>
      </w:r>
      <w:r w:rsidR="00460D34" w:rsidRPr="00154F1D">
        <w:rPr>
          <w:iCs/>
        </w:rPr>
        <w:t>Criminal Justice (Mental Impairment) Act 1999</w:t>
      </w:r>
      <w:r w:rsidR="00460D34" w:rsidRPr="00154F1D">
        <w:rPr>
          <w:i w:val="0"/>
          <w:iCs/>
        </w:rPr>
        <w:t xml:space="preserve"> </w:t>
      </w:r>
      <w:r w:rsidR="00460D34" w:rsidRPr="00154F1D">
        <w:rPr>
          <w:iCs/>
        </w:rPr>
        <w:t>(Tas)</w:t>
      </w:r>
      <w:r w:rsidRPr="00154F1D">
        <w:t xml:space="preserve"> for p</w:t>
      </w:r>
      <w:r w:rsidR="003E501B" w:rsidRPr="00154F1D">
        <w:t>eople with intellectual disabilities</w:t>
      </w:r>
      <w:bookmarkEnd w:id="215"/>
      <w:r w:rsidR="003E501B" w:rsidRPr="00154F1D">
        <w:t xml:space="preserve"> </w:t>
      </w:r>
    </w:p>
    <w:p w14:paraId="46C7EC8F" w14:textId="733FF937" w:rsidR="00AB5FCB" w:rsidRPr="00154F1D" w:rsidRDefault="00AB5FCB" w:rsidP="00744FAA">
      <w:pPr>
        <w:pStyle w:val="NormalNumberedTextTLRI"/>
      </w:pPr>
      <w:r w:rsidRPr="00154F1D">
        <w:t xml:space="preserve">The Tasmanian forensic mental health system has been criticised for failing to provide a </w:t>
      </w:r>
      <w:r w:rsidR="00F4658B" w:rsidRPr="00154F1D">
        <w:t xml:space="preserve">suitable </w:t>
      </w:r>
      <w:r w:rsidRPr="00154F1D">
        <w:t xml:space="preserve">framework for people with </w:t>
      </w:r>
      <w:r w:rsidR="00501A1E" w:rsidRPr="00154F1D">
        <w:t xml:space="preserve">intellectual </w:t>
      </w:r>
      <w:r w:rsidRPr="00154F1D">
        <w:t>disability.</w:t>
      </w:r>
      <w:r w:rsidRPr="00154F1D">
        <w:rPr>
          <w:rStyle w:val="FootnoteReference"/>
        </w:rPr>
        <w:footnoteReference w:id="898"/>
      </w:r>
      <w:r w:rsidRPr="00154F1D">
        <w:t xml:space="preserve"> </w:t>
      </w:r>
      <w:r w:rsidR="00501A1E" w:rsidRPr="00154F1D">
        <w:t xml:space="preserve">It has been argued that </w:t>
      </w:r>
      <w:r w:rsidR="00C0057C" w:rsidRPr="00154F1D">
        <w:t>people</w:t>
      </w:r>
      <w:r w:rsidR="00501A1E" w:rsidRPr="00154F1D">
        <w:t xml:space="preserve"> with intellectual disability ‘can sometimes be subject to a restriction order largely as a result of the failure to provide an appropriate level community support to prevent offending behaviours’.</w:t>
      </w:r>
      <w:r w:rsidR="00501A1E" w:rsidRPr="00154F1D">
        <w:rPr>
          <w:rStyle w:val="FootnoteReference"/>
        </w:rPr>
        <w:footnoteReference w:id="899"/>
      </w:r>
      <w:r w:rsidR="007C6BA7" w:rsidRPr="00154F1D">
        <w:t xml:space="preserve"> In addition, a failure to provide appropriate services in the community may result in </w:t>
      </w:r>
      <w:r w:rsidR="00292E46" w:rsidRPr="00154F1D">
        <w:t>a person on a supervision order</w:t>
      </w:r>
      <w:r w:rsidR="007C6BA7" w:rsidRPr="00154F1D">
        <w:t xml:space="preserve"> behaving ‘in a manner that places both themselves and others at substantial risk’ and being apprehended and detained at the SMHU.</w:t>
      </w:r>
      <w:r w:rsidR="007C6BA7" w:rsidRPr="00154F1D">
        <w:rPr>
          <w:rStyle w:val="FootnoteReference"/>
        </w:rPr>
        <w:footnoteReference w:id="900"/>
      </w:r>
      <w:r w:rsidR="007C6BA7" w:rsidRPr="00154F1D">
        <w:t xml:space="preserve"> </w:t>
      </w:r>
      <w:r w:rsidR="00D6192B" w:rsidRPr="00154F1D">
        <w:t>Further, there are issues in relation to patient</w:t>
      </w:r>
      <w:r w:rsidR="008D5B47" w:rsidRPr="00154F1D">
        <w:t>s</w:t>
      </w:r>
      <w:r w:rsidR="00D6192B" w:rsidRPr="00154F1D">
        <w:t xml:space="preserve"> with intellectual disability being able to discharge an order given that ‘the behavioural manifestations of their intellectual disability … are unlikely over time to be seriously modified and thus the level of risk to the community is unlikely to substantially decline. It is only with appropriate levels of supervision that the risk of reoffending can be mitigated’.</w:t>
      </w:r>
      <w:r w:rsidR="00D6192B" w:rsidRPr="00154F1D">
        <w:rPr>
          <w:rStyle w:val="FootnoteReference"/>
        </w:rPr>
        <w:footnoteReference w:id="901"/>
      </w:r>
      <w:r w:rsidR="00D6192B" w:rsidRPr="00154F1D">
        <w:t xml:space="preserve"> </w:t>
      </w:r>
      <w:r w:rsidR="007C6BA7" w:rsidRPr="00154F1D">
        <w:t>On this basis, the Forensic Mental Health Tribunal expressed concern ‘that Tasmania’s secure mental health facility is effectively being used to “warehouse” people for whom the State is unable to provide support’.</w:t>
      </w:r>
      <w:r w:rsidR="007C6BA7" w:rsidRPr="00154F1D">
        <w:rPr>
          <w:rStyle w:val="FootnoteReference"/>
        </w:rPr>
        <w:footnoteReference w:id="902"/>
      </w:r>
    </w:p>
    <w:p w14:paraId="7ECB0A74" w14:textId="5862AB7A" w:rsidR="00AB5FCB" w:rsidRPr="00154F1D" w:rsidRDefault="00AB5FCB" w:rsidP="00F4658B">
      <w:pPr>
        <w:pStyle w:val="NormalNumberedTextTLRI"/>
        <w:numPr>
          <w:ilvl w:val="0"/>
          <w:numId w:val="0"/>
        </w:numPr>
        <w:pBdr>
          <w:top w:val="single" w:sz="2" w:space="1" w:color="000000"/>
          <w:left w:val="single" w:sz="2" w:space="1" w:color="000000"/>
          <w:bottom w:val="single" w:sz="2" w:space="1" w:color="000000"/>
          <w:right w:val="single" w:sz="2" w:space="1" w:color="000000"/>
        </w:pBdr>
        <w:spacing w:before="120" w:after="120"/>
        <w:ind w:left="57" w:right="57"/>
      </w:pPr>
      <w:r w:rsidRPr="00F4658B">
        <w:t xml:space="preserve">Case </w:t>
      </w:r>
      <w:r w:rsidR="00501A1E" w:rsidRPr="00F4658B">
        <w:t>example</w:t>
      </w:r>
      <w:r w:rsidR="007C6BA7" w:rsidRPr="00154F1D">
        <w:rPr>
          <w:rStyle w:val="FootnoteReference"/>
        </w:rPr>
        <w:footnoteReference w:id="903"/>
      </w:r>
    </w:p>
    <w:p w14:paraId="4E5D028B" w14:textId="0906A42D" w:rsidR="00AB5FCB" w:rsidRPr="00154F1D" w:rsidRDefault="00501A1E" w:rsidP="00F4658B">
      <w:pPr>
        <w:pStyle w:val="NormalNumberedTextTLRI"/>
        <w:numPr>
          <w:ilvl w:val="0"/>
          <w:numId w:val="0"/>
        </w:numPr>
        <w:pBdr>
          <w:top w:val="single" w:sz="2" w:space="1" w:color="000000"/>
          <w:left w:val="single" w:sz="2" w:space="1" w:color="000000"/>
          <w:bottom w:val="single" w:sz="2" w:space="1" w:color="000000"/>
          <w:right w:val="single" w:sz="2" w:space="1" w:color="000000"/>
        </w:pBdr>
        <w:spacing w:before="120" w:after="120"/>
        <w:ind w:left="57" w:right="57"/>
      </w:pPr>
      <w:r w:rsidRPr="00154F1D">
        <w:t>B</w:t>
      </w:r>
      <w:r w:rsidR="00AB5FCB" w:rsidRPr="00154F1D">
        <w:t xml:space="preserve"> was placed on a supervision order after being found unit to stand trial for a change of arson. He had a well-established history of moderate intellectual disability. He does not suffer from a major mental illness.</w:t>
      </w:r>
    </w:p>
    <w:p w14:paraId="613778D1" w14:textId="18D01A21" w:rsidR="00AB5FCB" w:rsidRPr="00154F1D" w:rsidRDefault="00501A1E" w:rsidP="00F4658B">
      <w:pPr>
        <w:pStyle w:val="NormalNumberedTextTLRI"/>
        <w:numPr>
          <w:ilvl w:val="0"/>
          <w:numId w:val="0"/>
        </w:numPr>
        <w:pBdr>
          <w:top w:val="single" w:sz="2" w:space="1" w:color="000000"/>
          <w:left w:val="single" w:sz="2" w:space="1" w:color="000000"/>
          <w:bottom w:val="single" w:sz="2" w:space="1" w:color="000000"/>
          <w:right w:val="single" w:sz="2" w:space="1" w:color="000000"/>
        </w:pBdr>
        <w:spacing w:before="120" w:after="120"/>
        <w:ind w:left="57" w:right="57"/>
      </w:pPr>
      <w:r w:rsidRPr="00154F1D">
        <w:t>B</w:t>
      </w:r>
      <w:r w:rsidR="003C6660" w:rsidRPr="00154F1D">
        <w:t xml:space="preserve"> worked in a full-</w:t>
      </w:r>
      <w:r w:rsidR="00AB5FCB" w:rsidRPr="00154F1D">
        <w:t>time capacity and was a reliable worker. He maintained stable accommodation in a shared flat over 15 months. He was successful in adhering to his supervision order for a period of approximately two years. During this period, a 24 hour on</w:t>
      </w:r>
      <w:r w:rsidR="00A91C4B" w:rsidRPr="00154F1D">
        <w:t>e</w:t>
      </w:r>
      <w:r w:rsidR="00AB5FCB" w:rsidRPr="00154F1D">
        <w:t>-to-one care package was in place.</w:t>
      </w:r>
    </w:p>
    <w:p w14:paraId="2822E077" w14:textId="4F37C0A3" w:rsidR="00AB5FCB" w:rsidRPr="00154F1D" w:rsidRDefault="00AB5FCB" w:rsidP="00F4658B">
      <w:pPr>
        <w:pStyle w:val="NormalNumberedTextTLRI"/>
        <w:numPr>
          <w:ilvl w:val="0"/>
          <w:numId w:val="0"/>
        </w:numPr>
        <w:pBdr>
          <w:top w:val="single" w:sz="2" w:space="1" w:color="000000"/>
          <w:left w:val="single" w:sz="2" w:space="1" w:color="000000"/>
          <w:bottom w:val="single" w:sz="2" w:space="1" w:color="000000"/>
          <w:right w:val="single" w:sz="2" w:space="1" w:color="000000"/>
        </w:pBdr>
        <w:spacing w:before="120" w:after="120"/>
        <w:ind w:left="57" w:right="57"/>
      </w:pPr>
      <w:r w:rsidRPr="00154F1D">
        <w:t xml:space="preserve">According to reports received by the Tribunal, </w:t>
      </w:r>
      <w:r w:rsidR="00501A1E" w:rsidRPr="00154F1D">
        <w:t>B</w:t>
      </w:r>
      <w:r w:rsidRPr="00154F1D">
        <w:t xml:space="preserve"> only began to breach his order when his support funding was pared back, resulting in reduced supervision. As a result, he absconded from his supervision progra</w:t>
      </w:r>
      <w:r w:rsidR="00A91C4B" w:rsidRPr="00154F1D">
        <w:t>m</w:t>
      </w:r>
      <w:r w:rsidRPr="00154F1D">
        <w:t xml:space="preserve"> for five or so week</w:t>
      </w:r>
      <w:r w:rsidR="00A91C4B" w:rsidRPr="00154F1D">
        <w:t>s</w:t>
      </w:r>
      <w:r w:rsidRPr="00154F1D">
        <w:t xml:space="preserve"> culminating in his apprehension and detention at Wilfred Lopes Centre.</w:t>
      </w:r>
    </w:p>
    <w:p w14:paraId="5D09F657" w14:textId="77777777" w:rsidR="00AB5FCB" w:rsidRPr="00154F1D" w:rsidRDefault="00AB5FCB" w:rsidP="00F4658B">
      <w:pPr>
        <w:pStyle w:val="NormalNumberedTextTLRI"/>
        <w:numPr>
          <w:ilvl w:val="0"/>
          <w:numId w:val="0"/>
        </w:numPr>
        <w:pBdr>
          <w:top w:val="single" w:sz="2" w:space="1" w:color="000000"/>
          <w:left w:val="single" w:sz="2" w:space="1" w:color="000000"/>
          <w:bottom w:val="single" w:sz="2" w:space="1" w:color="000000"/>
          <w:right w:val="single" w:sz="2" w:space="1" w:color="000000"/>
        </w:pBdr>
        <w:spacing w:before="120"/>
        <w:ind w:left="57" w:right="57"/>
      </w:pPr>
      <w:r w:rsidRPr="00154F1D">
        <w:t>He remained in detention for a period of 16 months until an adequate support package was made available.</w:t>
      </w:r>
    </w:p>
    <w:p w14:paraId="4D88A0AF" w14:textId="572001DB" w:rsidR="003C6660" w:rsidRPr="00154F1D" w:rsidRDefault="007C6BA7" w:rsidP="00744FAA">
      <w:pPr>
        <w:pStyle w:val="NormalNumberedTextTLRI"/>
      </w:pPr>
      <w:r w:rsidRPr="00154F1D">
        <w:t xml:space="preserve">Recently, amendments have been made to the </w:t>
      </w:r>
      <w:r w:rsidR="00DA7836" w:rsidRPr="00154F1D">
        <w:rPr>
          <w:i/>
          <w:iCs/>
        </w:rPr>
        <w:t xml:space="preserve">Criminal Justice (Mental Impairment) Act 1999 </w:t>
      </w:r>
      <w:r w:rsidR="00DA7836" w:rsidRPr="00154F1D">
        <w:rPr>
          <w:iCs/>
        </w:rPr>
        <w:t>(Tas)</w:t>
      </w:r>
      <w:r w:rsidRPr="00154F1D">
        <w:t xml:space="preserve"> to provide enforcement provisions in relation to conditional release orders made under </w:t>
      </w:r>
      <w:r w:rsidR="00DA7836" w:rsidRPr="00154F1D">
        <w:rPr>
          <w:i/>
          <w:iCs/>
        </w:rPr>
        <w:t xml:space="preserve">Criminal Justice (Mental Impairment) Act 1999 </w:t>
      </w:r>
      <w:r w:rsidR="00DA7836" w:rsidRPr="00154F1D">
        <w:rPr>
          <w:iCs/>
        </w:rPr>
        <w:t>(Tas)</w:t>
      </w:r>
      <w:r w:rsidRPr="00154F1D">
        <w:t xml:space="preserve"> s</w:t>
      </w:r>
      <w:r w:rsidR="00A91C4B" w:rsidRPr="00154F1D">
        <w:t>s</w:t>
      </w:r>
      <w:r w:rsidRPr="00154F1D">
        <w:t xml:space="preserve"> 18 or 21. In the second reading </w:t>
      </w:r>
      <w:r w:rsidR="003C6660" w:rsidRPr="00154F1D">
        <w:t>speech, it was stated that:</w:t>
      </w:r>
    </w:p>
    <w:p w14:paraId="65CDC0ED" w14:textId="7F7FAEBB" w:rsidR="003C6660" w:rsidRPr="00154F1D" w:rsidRDefault="003C6660" w:rsidP="0074267A">
      <w:pPr>
        <w:pStyle w:val="QuoteTLRI"/>
      </w:pPr>
      <w:r w:rsidRPr="00154F1D">
        <w:t>Forensic orders are often not appropriate options for defendants who have an intellectual disability. In such case, release on conditions may be appropriate orders for the court to consider but the absence of a mechanism to enforce the conditions imposed is problematic and means judicial officers rarely use this section.</w:t>
      </w:r>
      <w:r w:rsidRPr="00154F1D">
        <w:rPr>
          <w:rStyle w:val="FootnoteReference"/>
        </w:rPr>
        <w:footnoteReference w:id="904"/>
      </w:r>
    </w:p>
    <w:p w14:paraId="275A1AEE" w14:textId="76DDCFFF" w:rsidR="00AB5FCB" w:rsidRPr="00154F1D" w:rsidRDefault="003C6660" w:rsidP="00744FAA">
      <w:pPr>
        <w:pStyle w:val="NormalNumberedTextTLRI"/>
        <w:numPr>
          <w:ilvl w:val="0"/>
          <w:numId w:val="0"/>
        </w:numPr>
      </w:pPr>
      <w:r w:rsidRPr="00154F1D">
        <w:t>As noted, the TLRI’s examination of fitness to stand trial and insanity cases</w:t>
      </w:r>
      <w:r w:rsidR="00F763AC" w:rsidRPr="00154F1D">
        <w:t xml:space="preserve"> between 2005 and June 2018</w:t>
      </w:r>
      <w:r w:rsidRPr="00154F1D">
        <w:t xml:space="preserve">, identified </w:t>
      </w:r>
      <w:r w:rsidR="00F763AC" w:rsidRPr="00154F1D">
        <w:t xml:space="preserve">12 </w:t>
      </w:r>
      <w:r w:rsidRPr="00154F1D">
        <w:t xml:space="preserve">cases </w:t>
      </w:r>
      <w:r w:rsidR="00292E46" w:rsidRPr="00154F1D">
        <w:t xml:space="preserve">in the Supreme Court </w:t>
      </w:r>
      <w:r w:rsidR="00DA7836" w:rsidRPr="00154F1D">
        <w:t xml:space="preserve">involving </w:t>
      </w:r>
      <w:r w:rsidR="001E0CE7">
        <w:t>individual</w:t>
      </w:r>
      <w:r w:rsidR="001E0CE7" w:rsidRPr="00154F1D">
        <w:t xml:space="preserve">s </w:t>
      </w:r>
      <w:r w:rsidRPr="00154F1D">
        <w:t xml:space="preserve">with intellectual disabilities with </w:t>
      </w:r>
      <w:r w:rsidR="00292E46" w:rsidRPr="00154F1D">
        <w:t>conditional release orders being imposed in two cases</w:t>
      </w:r>
      <w:r w:rsidR="00F763AC" w:rsidRPr="00154F1D">
        <w:t>, restriction orders imposed in one case</w:t>
      </w:r>
      <w:r w:rsidR="00292E46" w:rsidRPr="00154F1D">
        <w:t xml:space="preserve"> and supervision orders being imposed </w:t>
      </w:r>
      <w:r w:rsidR="00F763AC" w:rsidRPr="00154F1D">
        <w:t xml:space="preserve">in nine </w:t>
      </w:r>
      <w:r w:rsidR="00292E46" w:rsidRPr="00154F1D">
        <w:t>cases</w:t>
      </w:r>
      <w:r w:rsidR="00F763AC" w:rsidRPr="00154F1D">
        <w:t>.</w:t>
      </w:r>
    </w:p>
    <w:p w14:paraId="063AF066" w14:textId="68E9DD88" w:rsidR="00A56EE5" w:rsidRPr="00154F1D" w:rsidRDefault="00D6192B" w:rsidP="00744FAA">
      <w:pPr>
        <w:pStyle w:val="NormalNumberedTextTLRI"/>
      </w:pPr>
      <w:r w:rsidRPr="00154F1D">
        <w:t>Concerns have been raised in other jurisdictions in relation to the appropriateness of forensic orders for people with cognitive impairments</w:t>
      </w:r>
      <w:r w:rsidR="00DA7836" w:rsidRPr="00154F1D">
        <w:t>,</w:t>
      </w:r>
      <w:r w:rsidRPr="00154F1D">
        <w:t xml:space="preserve"> as </w:t>
      </w:r>
      <w:r w:rsidR="00A8173F" w:rsidRPr="00154F1D">
        <w:t>have</w:t>
      </w:r>
      <w:r w:rsidRPr="00154F1D">
        <w:t xml:space="preserve"> concerns that </w:t>
      </w:r>
      <w:r w:rsidR="00213022" w:rsidRPr="00154F1D">
        <w:t>facilities and services designed primarily for people with menta</w:t>
      </w:r>
      <w:r w:rsidRPr="00154F1D">
        <w:t>l illnesses are not appropriate.</w:t>
      </w:r>
      <w:r w:rsidR="00D20427" w:rsidRPr="00154F1D">
        <w:t xml:space="preserve"> This </w:t>
      </w:r>
      <w:r w:rsidR="00A8173F" w:rsidRPr="00154F1D">
        <w:t xml:space="preserve">latter issue </w:t>
      </w:r>
      <w:r w:rsidR="00D20427" w:rsidRPr="00154F1D">
        <w:t xml:space="preserve">was raised in South Australia where the </w:t>
      </w:r>
      <w:r w:rsidR="00A217C9">
        <w:t>SA</w:t>
      </w:r>
      <w:r w:rsidR="00D20427" w:rsidRPr="00154F1D">
        <w:t>SAC expressed the view that there needed to be a dedicated secure facility for people with cognitive impairments, as well as ‘suitable purpose-built facilities or accommodation for licensees with cognitive impairments’.</w:t>
      </w:r>
      <w:r w:rsidRPr="00154F1D">
        <w:rPr>
          <w:rStyle w:val="FootnoteReference"/>
        </w:rPr>
        <w:footnoteReference w:id="905"/>
      </w:r>
      <w:r w:rsidRPr="00154F1D">
        <w:t xml:space="preserve"> </w:t>
      </w:r>
      <w:r w:rsidR="004B5E4B" w:rsidRPr="00154F1D">
        <w:t xml:space="preserve">The </w:t>
      </w:r>
      <w:r w:rsidR="00A217C9">
        <w:t>SA</w:t>
      </w:r>
      <w:r w:rsidR="004B5E4B" w:rsidRPr="00154F1D">
        <w:t>SAC also considered measures that could be put in place in</w:t>
      </w:r>
      <w:r w:rsidR="00D20427" w:rsidRPr="00154F1D">
        <w:t xml:space="preserve"> the absence of a purpose-built facility</w:t>
      </w:r>
      <w:r w:rsidR="009E7522" w:rsidRPr="00154F1D">
        <w:t xml:space="preserve"> and stated that it was ‘essential that supported accommodation be tailored to the needs of individuals with cognitive </w:t>
      </w:r>
      <w:r w:rsidR="009E1210" w:rsidRPr="00154F1D">
        <w:t>impairments</w:t>
      </w:r>
      <w:r w:rsidR="009E7522" w:rsidRPr="00154F1D">
        <w:t xml:space="preserve"> be developed’</w:t>
      </w:r>
      <w:r w:rsidR="00D20427" w:rsidRPr="00154F1D">
        <w:t>.</w:t>
      </w:r>
      <w:r w:rsidR="009E7522" w:rsidRPr="00154F1D">
        <w:rPr>
          <w:rStyle w:val="FootnoteReference"/>
        </w:rPr>
        <w:footnoteReference w:id="906"/>
      </w:r>
      <w:r w:rsidR="00D20427" w:rsidRPr="00154F1D">
        <w:t xml:space="preserve"> </w:t>
      </w:r>
      <w:r w:rsidR="00A236B1" w:rsidRPr="00154F1D">
        <w:t xml:space="preserve">In Queensland, the Butler Report highlighted the </w:t>
      </w:r>
      <w:r w:rsidR="00FA5E28" w:rsidRPr="00154F1D">
        <w:t>inappropriateness</w:t>
      </w:r>
      <w:r w:rsidR="00A236B1" w:rsidRPr="00154F1D">
        <w:t xml:space="preserve"> of forensic orders </w:t>
      </w:r>
      <w:r w:rsidR="00FA5E28" w:rsidRPr="00154F1D">
        <w:t xml:space="preserve">and detention in mental health units for people with an intellectual disability and pointed to the lack of appropriate facilities for </w:t>
      </w:r>
      <w:r w:rsidR="004B5E4B" w:rsidRPr="00154F1D">
        <w:t xml:space="preserve">such </w:t>
      </w:r>
      <w:r w:rsidR="00FA5E28" w:rsidRPr="00154F1D">
        <w:t>people.</w:t>
      </w:r>
      <w:r w:rsidR="00FA5E28" w:rsidRPr="00154F1D">
        <w:rPr>
          <w:rStyle w:val="FootnoteReference"/>
        </w:rPr>
        <w:footnoteReference w:id="907"/>
      </w:r>
    </w:p>
    <w:p w14:paraId="0EA96CA0" w14:textId="067063E7" w:rsidR="00D20427" w:rsidRPr="00154F1D" w:rsidRDefault="009E1210" w:rsidP="00744FAA">
      <w:pPr>
        <w:pStyle w:val="NormalNumberedTextTLRI"/>
      </w:pPr>
      <w:r w:rsidRPr="00154F1D">
        <w:t>Similarly</w:t>
      </w:r>
      <w:r w:rsidR="006156B1" w:rsidRPr="00154F1D">
        <w:t>,</w:t>
      </w:r>
      <w:r w:rsidRPr="00154F1D">
        <w:t xml:space="preserve"> in Victoria, the VLRC highlighted concerns about the suitability of the system for people with intellectual or other cognitive impairment</w:t>
      </w:r>
      <w:r w:rsidR="005F7DBE" w:rsidRPr="00154F1D">
        <w:t>:</w:t>
      </w:r>
    </w:p>
    <w:p w14:paraId="5AA2E79B" w14:textId="77777777" w:rsidR="005F7DBE" w:rsidRPr="00154F1D" w:rsidRDefault="005F7DBE" w:rsidP="00080933">
      <w:pPr>
        <w:pStyle w:val="QuoteTLRI"/>
        <w:spacing w:after="120"/>
        <w:ind w:right="788"/>
        <w:rPr>
          <w:lang w:val="en-US"/>
        </w:rPr>
      </w:pPr>
      <w:r w:rsidRPr="00154F1D">
        <w:rPr>
          <w:lang w:val="en-US"/>
        </w:rPr>
        <w:t>While arrangements for mental health treatment for people on supervision orders are relatively well established, the same does not exist for people with an intellectual disability under the CMIA. Unlike people with a mental illness, people with an intellectual disability under the CMIA:</w:t>
      </w:r>
    </w:p>
    <w:p w14:paraId="29DF7325" w14:textId="5DC4C01C" w:rsidR="005F7DBE" w:rsidRPr="00154F1D" w:rsidRDefault="005F7DBE" w:rsidP="00EC5D1A">
      <w:pPr>
        <w:pStyle w:val="DotPointTLRI"/>
        <w:ind w:right="787"/>
        <w:rPr>
          <w:sz w:val="20"/>
          <w:szCs w:val="20"/>
        </w:rPr>
      </w:pPr>
      <w:r w:rsidRPr="00154F1D">
        <w:rPr>
          <w:sz w:val="20"/>
          <w:szCs w:val="20"/>
        </w:rPr>
        <w:t>rarely have their supervision order revoked</w:t>
      </w:r>
    </w:p>
    <w:p w14:paraId="460C9599" w14:textId="744D57B6" w:rsidR="005F7DBE" w:rsidRPr="00154F1D" w:rsidRDefault="005F7DBE" w:rsidP="00EC5D1A">
      <w:pPr>
        <w:pStyle w:val="DotPointTLRI"/>
        <w:ind w:right="787"/>
        <w:rPr>
          <w:sz w:val="20"/>
          <w:szCs w:val="20"/>
        </w:rPr>
      </w:pPr>
      <w:r w:rsidRPr="00154F1D">
        <w:rPr>
          <w:sz w:val="20"/>
          <w:szCs w:val="20"/>
        </w:rPr>
        <w:t>lack a clear treatment pathway</w:t>
      </w:r>
    </w:p>
    <w:p w14:paraId="5A6B0CAD" w14:textId="22F98196" w:rsidR="005F7DBE" w:rsidRPr="00154F1D" w:rsidRDefault="005F7DBE" w:rsidP="00EC5D1A">
      <w:pPr>
        <w:pStyle w:val="DotPointTLRI"/>
        <w:ind w:right="787"/>
        <w:rPr>
          <w:sz w:val="20"/>
          <w:szCs w:val="20"/>
        </w:rPr>
      </w:pPr>
      <w:r w:rsidRPr="00154F1D">
        <w:rPr>
          <w:sz w:val="20"/>
          <w:szCs w:val="20"/>
        </w:rPr>
        <w:t>are not subject to clinical oversight by the Senior Practitioner</w:t>
      </w:r>
    </w:p>
    <w:p w14:paraId="6CE76875" w14:textId="3CD13A95" w:rsidR="005F7DBE" w:rsidRPr="00154F1D" w:rsidRDefault="005F7DBE" w:rsidP="00EC5D1A">
      <w:pPr>
        <w:pStyle w:val="DotPointTLRI"/>
        <w:ind w:right="787"/>
        <w:rPr>
          <w:sz w:val="20"/>
          <w:szCs w:val="20"/>
        </w:rPr>
      </w:pPr>
      <w:r w:rsidRPr="00154F1D">
        <w:rPr>
          <w:sz w:val="20"/>
          <w:szCs w:val="20"/>
        </w:rPr>
        <w:t>lack secure accommodation facilities and accommodation options in the community.</w:t>
      </w:r>
      <w:r w:rsidRPr="00154F1D">
        <w:rPr>
          <w:rStyle w:val="FootnoteReference"/>
        </w:rPr>
        <w:footnoteReference w:id="908"/>
      </w:r>
    </w:p>
    <w:p w14:paraId="417E20F1" w14:textId="7015906F" w:rsidR="005F7DBE" w:rsidRPr="00154F1D" w:rsidRDefault="00A56EE5" w:rsidP="00A563AD">
      <w:pPr>
        <w:pStyle w:val="NormalNumberedTextTLRI"/>
        <w:numPr>
          <w:ilvl w:val="0"/>
          <w:numId w:val="0"/>
        </w:numPr>
        <w:tabs>
          <w:tab w:val="clear" w:pos="851"/>
        </w:tabs>
      </w:pPr>
      <w:r w:rsidRPr="00154F1D">
        <w:t xml:space="preserve">In response, </w:t>
      </w:r>
      <w:r w:rsidR="00600ED4" w:rsidRPr="00154F1D">
        <w:t>the VLRC made recommendations that would clarify supervision responsibility for people with a cognitive impairment and mandate the preparation of a treatment plan</w:t>
      </w:r>
      <w:r w:rsidRPr="00154F1D">
        <w:t>.</w:t>
      </w:r>
      <w:r w:rsidR="00600ED4" w:rsidRPr="00154F1D">
        <w:rPr>
          <w:rStyle w:val="FootnoteReference"/>
        </w:rPr>
        <w:footnoteReference w:id="909"/>
      </w:r>
      <w:r w:rsidRPr="00154F1D">
        <w:t xml:space="preserve"> </w:t>
      </w:r>
    </w:p>
    <w:p w14:paraId="6B405EDD" w14:textId="030D1C73" w:rsidR="00F36F8B" w:rsidRPr="00154F1D" w:rsidRDefault="004D369E" w:rsidP="00744FAA">
      <w:pPr>
        <w:pStyle w:val="NormalNumberedTextTLRI"/>
      </w:pPr>
      <w:r w:rsidRPr="00154F1D">
        <w:t xml:space="preserve">The NSWLRC observed that ‘[a]n issue that has arisen repeatedly </w:t>
      </w:r>
      <w:r w:rsidR="00852AB8">
        <w:t>…</w:t>
      </w:r>
      <w:r w:rsidRPr="00154F1D">
        <w:t xml:space="preserve"> is that the criminal justice and forensic systems do not deal effectively with people with cognitive impairment’.</w:t>
      </w:r>
      <w:r w:rsidRPr="00154F1D">
        <w:rPr>
          <w:rStyle w:val="FootnoteReference"/>
        </w:rPr>
        <w:footnoteReference w:id="910"/>
      </w:r>
      <w:r w:rsidR="00A60DDD" w:rsidRPr="00154F1D">
        <w:t xml:space="preserve"> </w:t>
      </w:r>
      <w:r w:rsidR="00081E40" w:rsidRPr="00154F1D">
        <w:t>In the context of dispositional orders, these inadequacies were said to relate to the very limited nature of services for people with cognitive impairment in the community, such as secure accommodation.</w:t>
      </w:r>
      <w:r w:rsidR="00081E40" w:rsidRPr="00154F1D">
        <w:rPr>
          <w:rStyle w:val="FootnoteReference"/>
        </w:rPr>
        <w:footnoteReference w:id="911"/>
      </w:r>
      <w:r w:rsidR="00081E40" w:rsidRPr="00154F1D">
        <w:t xml:space="preserve"> The NSWLRC expressed the view that many of the issues were primarily operational rather than legal, and accordingly recommended the development of a working group to ‘develop an action plan to deal with detention, care and community support of forensic patients with cognitive impairment’.</w:t>
      </w:r>
      <w:r w:rsidR="00081E40" w:rsidRPr="00154F1D">
        <w:rPr>
          <w:rStyle w:val="FootnoteReference"/>
        </w:rPr>
        <w:footnoteReference w:id="912"/>
      </w:r>
      <w:r w:rsidR="00081E40" w:rsidRPr="00154F1D">
        <w:t xml:space="preserve"> It also made recommendations to acknowledge cognitive </w:t>
      </w:r>
      <w:r w:rsidR="00421948" w:rsidRPr="00154F1D">
        <w:t>impairment in the law including</w:t>
      </w:r>
      <w:r w:rsidR="00081E40" w:rsidRPr="00154F1D">
        <w:t xml:space="preserve"> renaming the relevant legislation the </w:t>
      </w:r>
      <w:r w:rsidR="00081E40" w:rsidRPr="00154F1D">
        <w:rPr>
          <w:i/>
        </w:rPr>
        <w:t>Mental Health and Cognitive Impairment (</w:t>
      </w:r>
      <w:r w:rsidR="00421948" w:rsidRPr="00154F1D">
        <w:rPr>
          <w:i/>
        </w:rPr>
        <w:t>Forensic Provisions) Act</w:t>
      </w:r>
      <w:r w:rsidR="00421948" w:rsidRPr="00154F1D">
        <w:t>.</w:t>
      </w:r>
      <w:r w:rsidR="00421948" w:rsidRPr="00154F1D">
        <w:rPr>
          <w:rStyle w:val="FootnoteReference"/>
        </w:rPr>
        <w:footnoteReference w:id="913"/>
      </w:r>
    </w:p>
    <w:p w14:paraId="225FB909" w14:textId="77777777" w:rsidR="00181268" w:rsidRPr="00154F1D" w:rsidRDefault="00181268" w:rsidP="004D02A0">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b/>
          <w:lang w:val="en-US"/>
        </w:rPr>
      </w:pPr>
      <w:bookmarkStart w:id="216" w:name="Q75"/>
      <w:r w:rsidRPr="00154F1D">
        <w:rPr>
          <w:b/>
          <w:lang w:val="en-US"/>
        </w:rPr>
        <w:t>Questions</w:t>
      </w:r>
    </w:p>
    <w:bookmarkEnd w:id="216"/>
    <w:p w14:paraId="0E8EEB18" w14:textId="2EDBDC1A" w:rsidR="008D5F8D" w:rsidRPr="00154F1D" w:rsidRDefault="004B5E4B" w:rsidP="004D02A0">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lang w:val="en-US"/>
        </w:rPr>
      </w:pPr>
      <w:r w:rsidRPr="00154F1D">
        <w:rPr>
          <w:lang w:val="en-US"/>
        </w:rPr>
        <w:t>75</w:t>
      </w:r>
      <w:r w:rsidR="00683D28" w:rsidRPr="00154F1D">
        <w:rPr>
          <w:lang w:val="en-US"/>
        </w:rPr>
        <w:t>.</w:t>
      </w:r>
      <w:r w:rsidR="004D02A0" w:rsidRPr="00154F1D">
        <w:rPr>
          <w:lang w:val="en-US"/>
        </w:rPr>
        <w:tab/>
      </w:r>
      <w:r w:rsidR="008D5F8D" w:rsidRPr="00154F1D">
        <w:rPr>
          <w:lang w:val="en-US"/>
        </w:rPr>
        <w:t xml:space="preserve">Are the orders available following a finding of not guilty by reason of insanity or that a finding cannot be made that the defendant was not guilty of the offence charged under the </w:t>
      </w:r>
      <w:r w:rsidR="00F36F8B" w:rsidRPr="00154F1D">
        <w:rPr>
          <w:lang w:val="en-US"/>
        </w:rPr>
        <w:t xml:space="preserve">current </w:t>
      </w:r>
      <w:r w:rsidR="00EE0443" w:rsidRPr="00154F1D">
        <w:rPr>
          <w:i/>
          <w:iCs/>
        </w:rPr>
        <w:t xml:space="preserve">Criminal Justice (Mental Impairment) Act 1999 </w:t>
      </w:r>
      <w:r w:rsidR="00EE0443" w:rsidRPr="00154F1D">
        <w:rPr>
          <w:iCs/>
        </w:rPr>
        <w:t>(Tas)</w:t>
      </w:r>
      <w:r w:rsidR="00F36F8B" w:rsidRPr="00154F1D">
        <w:rPr>
          <w:lang w:val="en-US"/>
        </w:rPr>
        <w:t xml:space="preserve"> model appropriate for people with an intellectual disability or cognitive impairment?</w:t>
      </w:r>
    </w:p>
    <w:p w14:paraId="08628507" w14:textId="4397A5D1" w:rsidR="008D5F8D" w:rsidRPr="00154F1D" w:rsidRDefault="00A3750D" w:rsidP="004D02A0">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lang w:val="en-US"/>
        </w:rPr>
      </w:pPr>
      <w:r w:rsidRPr="00154F1D">
        <w:rPr>
          <w:lang w:val="en-US"/>
        </w:rPr>
        <w:t>76</w:t>
      </w:r>
      <w:r w:rsidR="00683D28" w:rsidRPr="00154F1D">
        <w:rPr>
          <w:lang w:val="en-US"/>
        </w:rPr>
        <w:t>.</w:t>
      </w:r>
      <w:r w:rsidR="004D02A0" w:rsidRPr="00154F1D">
        <w:rPr>
          <w:lang w:val="en-US"/>
        </w:rPr>
        <w:tab/>
      </w:r>
      <w:r w:rsidR="00F36F8B" w:rsidRPr="00154F1D">
        <w:rPr>
          <w:lang w:val="en-US"/>
        </w:rPr>
        <w:t xml:space="preserve">Are changes needed to the </w:t>
      </w:r>
      <w:r w:rsidR="00EE0443" w:rsidRPr="00154F1D">
        <w:rPr>
          <w:i/>
          <w:iCs/>
        </w:rPr>
        <w:t xml:space="preserve">Criminal Justice (Mental Impairment) Act 1999 </w:t>
      </w:r>
      <w:r w:rsidR="00EE0443" w:rsidRPr="00154F1D">
        <w:rPr>
          <w:iCs/>
        </w:rPr>
        <w:t>(Tas)</w:t>
      </w:r>
      <w:r w:rsidR="00F36F8B" w:rsidRPr="00154F1D">
        <w:rPr>
          <w:lang w:val="en-US"/>
        </w:rPr>
        <w:t xml:space="preserve"> </w:t>
      </w:r>
      <w:r w:rsidR="008D5F8D" w:rsidRPr="00154F1D">
        <w:rPr>
          <w:lang w:val="en-US"/>
        </w:rPr>
        <w:t xml:space="preserve">in terms of the orders available and the process to vary or discharge an order </w:t>
      </w:r>
      <w:r w:rsidR="00F36F8B" w:rsidRPr="00154F1D">
        <w:rPr>
          <w:lang w:val="en-US"/>
        </w:rPr>
        <w:t>to better meet the</w:t>
      </w:r>
      <w:r w:rsidR="008D5F8D" w:rsidRPr="00154F1D">
        <w:rPr>
          <w:lang w:val="en-US"/>
        </w:rPr>
        <w:t xml:space="preserve"> </w:t>
      </w:r>
      <w:r w:rsidR="00F36F8B" w:rsidRPr="00154F1D">
        <w:rPr>
          <w:lang w:val="en-US"/>
        </w:rPr>
        <w:t>needs of people with an intellectual disability or cognitive impairment?</w:t>
      </w:r>
      <w:r w:rsidR="00181268" w:rsidRPr="00154F1D">
        <w:rPr>
          <w:lang w:val="en-US"/>
        </w:rPr>
        <w:t xml:space="preserve"> What are the likely cost implication</w:t>
      </w:r>
      <w:r w:rsidR="00300B44" w:rsidRPr="00154F1D">
        <w:rPr>
          <w:lang w:val="en-US"/>
        </w:rPr>
        <w:t>s</w:t>
      </w:r>
      <w:r w:rsidR="00181268" w:rsidRPr="00154F1D">
        <w:rPr>
          <w:lang w:val="en-US"/>
        </w:rPr>
        <w:t xml:space="preserve"> of making these changes?</w:t>
      </w:r>
    </w:p>
    <w:p w14:paraId="57A65D74" w14:textId="2BC10AA2" w:rsidR="00F36F8B" w:rsidRPr="00154F1D" w:rsidRDefault="00A3750D" w:rsidP="004D02A0">
      <w:pPr>
        <w:pStyle w:val="NormalNumberedTextTLRI"/>
        <w:numPr>
          <w:ilvl w:val="0"/>
          <w:numId w:val="0"/>
        </w:numPr>
        <w:pBdr>
          <w:top w:val="single" w:sz="2" w:space="1" w:color="000000"/>
          <w:left w:val="single" w:sz="2" w:space="1" w:color="000000"/>
          <w:bottom w:val="single" w:sz="2" w:space="1" w:color="000000"/>
          <w:right w:val="single" w:sz="2" w:space="1" w:color="000000"/>
        </w:pBdr>
        <w:shd w:val="clear" w:color="auto" w:fill="D9D9D9" w:themeFill="background1" w:themeFillShade="D9"/>
        <w:ind w:left="426" w:right="57" w:hanging="369"/>
        <w:rPr>
          <w:lang w:val="en-US"/>
        </w:rPr>
      </w:pPr>
      <w:r w:rsidRPr="00154F1D">
        <w:rPr>
          <w:lang w:val="en-US"/>
        </w:rPr>
        <w:t>77</w:t>
      </w:r>
      <w:r w:rsidR="00683D28" w:rsidRPr="00154F1D">
        <w:rPr>
          <w:lang w:val="en-US"/>
        </w:rPr>
        <w:t>.</w:t>
      </w:r>
      <w:r w:rsidR="004D02A0" w:rsidRPr="00154F1D">
        <w:rPr>
          <w:lang w:val="en-US"/>
        </w:rPr>
        <w:tab/>
      </w:r>
      <w:r w:rsidR="00F36F8B" w:rsidRPr="00154F1D">
        <w:rPr>
          <w:lang w:val="en-US"/>
        </w:rPr>
        <w:t xml:space="preserve">Are changes needed to the services that support the </w:t>
      </w:r>
      <w:r w:rsidR="00EE0443" w:rsidRPr="00154F1D">
        <w:rPr>
          <w:i/>
          <w:iCs/>
        </w:rPr>
        <w:t xml:space="preserve">Criminal Justice (Mental Impairment) Act 1999 </w:t>
      </w:r>
      <w:r w:rsidR="00EE0443" w:rsidRPr="00154F1D">
        <w:rPr>
          <w:iCs/>
        </w:rPr>
        <w:t>(Tas)</w:t>
      </w:r>
      <w:r w:rsidR="008D5F8D" w:rsidRPr="00154F1D">
        <w:rPr>
          <w:lang w:val="en-US"/>
        </w:rPr>
        <w:t xml:space="preserve"> </w:t>
      </w:r>
      <w:r w:rsidR="00F36F8B" w:rsidRPr="00154F1D">
        <w:rPr>
          <w:lang w:val="en-US"/>
        </w:rPr>
        <w:t>model to ensure that it meets the needs of people with an</w:t>
      </w:r>
      <w:r w:rsidR="008D5F8D" w:rsidRPr="00154F1D">
        <w:rPr>
          <w:lang w:val="en-US"/>
        </w:rPr>
        <w:t xml:space="preserve"> </w:t>
      </w:r>
      <w:r w:rsidR="00F36F8B" w:rsidRPr="00154F1D">
        <w:rPr>
          <w:lang w:val="en-US"/>
        </w:rPr>
        <w:t>intellectual disability or cognitive impairment?</w:t>
      </w:r>
      <w:r w:rsidR="00181268" w:rsidRPr="00154F1D">
        <w:rPr>
          <w:lang w:val="en-US"/>
        </w:rPr>
        <w:t xml:space="preserve"> What </w:t>
      </w:r>
      <w:r w:rsidR="00300B44" w:rsidRPr="00154F1D">
        <w:rPr>
          <w:lang w:val="en-US"/>
        </w:rPr>
        <w:t xml:space="preserve">are </w:t>
      </w:r>
      <w:r w:rsidR="003A56C1" w:rsidRPr="00154F1D">
        <w:rPr>
          <w:lang w:val="en-US"/>
        </w:rPr>
        <w:t>the likely cost</w:t>
      </w:r>
      <w:r w:rsidR="00181268" w:rsidRPr="00154F1D">
        <w:rPr>
          <w:lang w:val="en-US"/>
        </w:rPr>
        <w:t xml:space="preserve"> implication</w:t>
      </w:r>
      <w:r w:rsidR="00300B44" w:rsidRPr="00154F1D">
        <w:rPr>
          <w:lang w:val="en-US"/>
        </w:rPr>
        <w:t>s</w:t>
      </w:r>
      <w:r w:rsidR="00181268" w:rsidRPr="00154F1D">
        <w:rPr>
          <w:lang w:val="en-US"/>
        </w:rPr>
        <w:t xml:space="preserve"> of making these changes?</w:t>
      </w:r>
    </w:p>
    <w:p w14:paraId="19CE6F26" w14:textId="02E29E8E" w:rsidR="00E72AEA" w:rsidRPr="00154F1D" w:rsidRDefault="00E72AEA" w:rsidP="00E72AEA">
      <w:pPr>
        <w:pStyle w:val="NumberlessNormalText"/>
      </w:pPr>
    </w:p>
    <w:p w14:paraId="4AE953A6" w14:textId="06FBCF0E" w:rsidR="00E72AEA" w:rsidRPr="00154F1D" w:rsidRDefault="00E72AEA" w:rsidP="00E72AEA">
      <w:pPr>
        <w:pStyle w:val="NumberlessNormalText"/>
      </w:pPr>
    </w:p>
    <w:p w14:paraId="2DDBCAC7" w14:textId="77777777" w:rsidR="00E72AEA" w:rsidRPr="00154F1D" w:rsidRDefault="00E72AEA" w:rsidP="00E72AEA">
      <w:pPr>
        <w:pStyle w:val="NumberlessNormalText"/>
        <w:sectPr w:rsidR="00E72AEA" w:rsidRPr="00154F1D" w:rsidSect="00D44CC5">
          <w:headerReference w:type="default" r:id="rId40"/>
          <w:headerReference w:type="first" r:id="rId41"/>
          <w:pgSz w:w="11900" w:h="16840"/>
          <w:pgMar w:top="1440" w:right="1797" w:bottom="1440" w:left="1797" w:header="709" w:footer="709" w:gutter="0"/>
          <w:cols w:space="708"/>
          <w:titlePg/>
          <w:docGrid w:linePitch="360"/>
        </w:sectPr>
      </w:pPr>
    </w:p>
    <w:p w14:paraId="73EBAE18" w14:textId="3C6308B4" w:rsidR="00E97E1F" w:rsidRPr="00154F1D" w:rsidRDefault="00587C75" w:rsidP="004702CA">
      <w:pPr>
        <w:pStyle w:val="NumberlessSectionHeading"/>
        <w:spacing w:before="0"/>
        <w:rPr>
          <w:lang w:val="en-US"/>
        </w:rPr>
      </w:pPr>
      <w:bookmarkStart w:id="217" w:name="_Toc535868986"/>
      <w:r w:rsidRPr="00154F1D">
        <w:rPr>
          <w:lang w:val="en-US"/>
        </w:rPr>
        <w:t xml:space="preserve">Appendix </w:t>
      </w:r>
      <w:r w:rsidR="00BA4488" w:rsidRPr="00154F1D">
        <w:rPr>
          <w:lang w:val="en-US"/>
        </w:rPr>
        <w:t>1</w:t>
      </w:r>
      <w:r w:rsidR="0046741D" w:rsidRPr="00154F1D">
        <w:rPr>
          <w:lang w:val="en-US"/>
        </w:rPr>
        <w:t xml:space="preserve">: </w:t>
      </w:r>
      <w:bookmarkEnd w:id="217"/>
      <w:r w:rsidR="00A3750D" w:rsidRPr="00154F1D">
        <w:rPr>
          <w:lang w:val="en-US"/>
        </w:rPr>
        <w:t xml:space="preserve">Proposed </w:t>
      </w:r>
      <w:r w:rsidR="003B1A72" w:rsidRPr="00154F1D">
        <w:rPr>
          <w:lang w:val="en-US"/>
        </w:rPr>
        <w:t xml:space="preserve">reforms to </w:t>
      </w:r>
      <w:r w:rsidR="0046741D" w:rsidRPr="00154F1D">
        <w:rPr>
          <w:lang w:val="en-US"/>
        </w:rPr>
        <w:t>unfitness to stand trial test</w:t>
      </w:r>
    </w:p>
    <w:p w14:paraId="315A0F37" w14:textId="437C8210" w:rsidR="00587C75" w:rsidRPr="00154F1D" w:rsidRDefault="00241CD7" w:rsidP="003629FB">
      <w:pPr>
        <w:pStyle w:val="NumberlessNormalText"/>
      </w:pPr>
      <w:r w:rsidRPr="00154F1D">
        <w:rPr>
          <w:b/>
          <w:u w:val="single"/>
        </w:rPr>
        <w:t>England and Wales</w:t>
      </w:r>
      <w:r w:rsidR="003629FB" w:rsidRPr="00154F1D">
        <w:t xml:space="preserve"> –</w:t>
      </w:r>
      <w:r w:rsidR="00A3750D" w:rsidRPr="00885EF8">
        <w:t xml:space="preserve"> </w:t>
      </w:r>
      <w:r w:rsidR="00587C75" w:rsidRPr="00154F1D">
        <w:rPr>
          <w:i/>
        </w:rPr>
        <w:t>Criminal Procedure (Lack of Capacity) Bill</w:t>
      </w:r>
      <w:r w:rsidR="00587C75" w:rsidRPr="00154F1D">
        <w:t xml:space="preserve"> </w:t>
      </w:r>
    </w:p>
    <w:p w14:paraId="3FA056DA" w14:textId="67067E61" w:rsidR="00587C75" w:rsidRPr="00154F1D" w:rsidRDefault="00587C75" w:rsidP="003629FB">
      <w:pPr>
        <w:pStyle w:val="NumberlessNormalText"/>
        <w:rPr>
          <w:b/>
        </w:rPr>
      </w:pPr>
      <w:r w:rsidRPr="00154F1D">
        <w:rPr>
          <w:b/>
        </w:rPr>
        <w:t>3. Capacity to participate effectively in a trial</w:t>
      </w:r>
    </w:p>
    <w:p w14:paraId="0530B267" w14:textId="6F48A10A" w:rsidR="00587C75" w:rsidRPr="00154F1D" w:rsidRDefault="00587C75" w:rsidP="003629FB">
      <w:pPr>
        <w:pStyle w:val="NumberlessNormalText"/>
        <w:ind w:left="426" w:hanging="426"/>
      </w:pPr>
      <w:r w:rsidRPr="00154F1D">
        <w:t>(1)</w:t>
      </w:r>
      <w:r w:rsidR="003629FB" w:rsidRPr="00154F1D">
        <w:tab/>
      </w:r>
      <w:r w:rsidRPr="00154F1D">
        <w:t>This section has effect for the purposes of section 1.</w:t>
      </w:r>
    </w:p>
    <w:p w14:paraId="79C16446" w14:textId="2C242AE8" w:rsidR="00587C75" w:rsidRPr="00154F1D" w:rsidRDefault="00587C75" w:rsidP="003629FB">
      <w:pPr>
        <w:pStyle w:val="NumberlessNormalText"/>
        <w:ind w:left="426" w:hanging="426"/>
      </w:pPr>
      <w:r w:rsidRPr="00154F1D">
        <w:t>(2)</w:t>
      </w:r>
      <w:r w:rsidR="003629FB" w:rsidRPr="00154F1D">
        <w:tab/>
      </w:r>
      <w:r w:rsidRPr="00154F1D">
        <w:t>A defendant is to be regarded as lacking the capacity to participate effectively in a trial if the defendant’s relevant abilities are not, taken together, sufficient to enable the defendant to participate effectively in the proceedings on the offence or offences charged.</w:t>
      </w:r>
    </w:p>
    <w:p w14:paraId="6C4895C4" w14:textId="601AE971" w:rsidR="00587C75" w:rsidRPr="00154F1D" w:rsidRDefault="00587C75" w:rsidP="003629FB">
      <w:pPr>
        <w:pStyle w:val="NumberlessNormalText"/>
        <w:ind w:left="426" w:hanging="426"/>
      </w:pPr>
      <w:r w:rsidRPr="00154F1D">
        <w:t>(3)</w:t>
      </w:r>
      <w:r w:rsidR="003629FB" w:rsidRPr="00154F1D">
        <w:tab/>
      </w:r>
      <w:r w:rsidRPr="00154F1D">
        <w:t>In determining that question, the court must take into account the assistance available to the defendant as regards the proceedings.</w:t>
      </w:r>
    </w:p>
    <w:p w14:paraId="37A65F5D" w14:textId="4083AA74" w:rsidR="00587C75" w:rsidRPr="00154F1D" w:rsidRDefault="00587C75" w:rsidP="003629FB">
      <w:pPr>
        <w:pStyle w:val="NumberlessNormalText"/>
        <w:ind w:left="426" w:hanging="426"/>
      </w:pPr>
      <w:r w:rsidRPr="00154F1D">
        <w:t>(4)</w:t>
      </w:r>
      <w:r w:rsidR="003629FB" w:rsidRPr="00154F1D">
        <w:tab/>
      </w:r>
      <w:r w:rsidRPr="00154F1D">
        <w:t>The following are relevant abilities—</w:t>
      </w:r>
    </w:p>
    <w:p w14:paraId="04A540A4" w14:textId="25B6FFC9" w:rsidR="00587C75" w:rsidRPr="00154F1D" w:rsidRDefault="00587C75" w:rsidP="003629FB">
      <w:pPr>
        <w:pStyle w:val="NumberlessNormalText"/>
        <w:ind w:left="851" w:hanging="425"/>
      </w:pPr>
      <w:r w:rsidRPr="00154F1D">
        <w:t>(a)</w:t>
      </w:r>
      <w:r w:rsidR="003629FB" w:rsidRPr="00154F1D">
        <w:tab/>
      </w:r>
      <w:r w:rsidRPr="00154F1D">
        <w:t>an ability to understand the nature of the charge;</w:t>
      </w:r>
    </w:p>
    <w:p w14:paraId="648DA7FE" w14:textId="01088B7A" w:rsidR="00587C75" w:rsidRPr="00154F1D" w:rsidRDefault="00587C75" w:rsidP="003629FB">
      <w:pPr>
        <w:pStyle w:val="NumberlessNormalText"/>
        <w:ind w:left="851" w:hanging="425"/>
      </w:pPr>
      <w:r w:rsidRPr="00154F1D">
        <w:t>(b)</w:t>
      </w:r>
      <w:r w:rsidR="003629FB" w:rsidRPr="00154F1D">
        <w:tab/>
      </w:r>
      <w:r w:rsidRPr="00154F1D">
        <w:t>an ability to understand the evidence adduced as evidence of the commission of the offence;</w:t>
      </w:r>
    </w:p>
    <w:p w14:paraId="2C95A249" w14:textId="70625D85" w:rsidR="00587C75" w:rsidRPr="00154F1D" w:rsidRDefault="00587C75" w:rsidP="003629FB">
      <w:pPr>
        <w:pStyle w:val="NumberlessNormalText"/>
        <w:ind w:left="851" w:hanging="425"/>
      </w:pPr>
      <w:r w:rsidRPr="00154F1D">
        <w:t>(c)</w:t>
      </w:r>
      <w:r w:rsidR="003629FB" w:rsidRPr="00154F1D">
        <w:tab/>
      </w:r>
      <w:r w:rsidRPr="00154F1D">
        <w:t>an ability to understand the trial process and the consequences of being convicted;</w:t>
      </w:r>
    </w:p>
    <w:p w14:paraId="037F941A" w14:textId="51043B1E" w:rsidR="00587C75" w:rsidRPr="00154F1D" w:rsidRDefault="00587C75" w:rsidP="003629FB">
      <w:pPr>
        <w:pStyle w:val="NumberlessNormalText"/>
        <w:ind w:left="851" w:hanging="425"/>
      </w:pPr>
      <w:r w:rsidRPr="00154F1D">
        <w:t>(d)</w:t>
      </w:r>
      <w:r w:rsidR="003629FB" w:rsidRPr="00154F1D">
        <w:tab/>
      </w:r>
      <w:r w:rsidRPr="00154F1D">
        <w:t>an ability to give instructions to a legal representative;</w:t>
      </w:r>
    </w:p>
    <w:p w14:paraId="4458C2D6" w14:textId="2C4C0682" w:rsidR="00587C75" w:rsidRPr="00154F1D" w:rsidRDefault="00587C75" w:rsidP="003629FB">
      <w:pPr>
        <w:pStyle w:val="NumberlessNormalText"/>
        <w:ind w:left="851" w:hanging="425"/>
      </w:pPr>
      <w:r w:rsidRPr="00154F1D">
        <w:t>(e)</w:t>
      </w:r>
      <w:r w:rsidR="003629FB" w:rsidRPr="00154F1D">
        <w:tab/>
      </w:r>
      <w:r w:rsidRPr="00154F1D">
        <w:t>an ability to make a decision about whether to plead guilty or not guilty;</w:t>
      </w:r>
    </w:p>
    <w:p w14:paraId="1C375566" w14:textId="6FEE9EDC" w:rsidR="00587C75" w:rsidRPr="00154F1D" w:rsidRDefault="00587C75" w:rsidP="003629FB">
      <w:pPr>
        <w:pStyle w:val="NumberlessNormalText"/>
        <w:ind w:left="851" w:hanging="425"/>
      </w:pPr>
      <w:r w:rsidRPr="00154F1D">
        <w:t>(f)</w:t>
      </w:r>
      <w:r w:rsidR="003629FB" w:rsidRPr="00154F1D">
        <w:tab/>
      </w:r>
      <w:r w:rsidRPr="00154F1D">
        <w:t>an ability to make a decision about whether to give evidence;</w:t>
      </w:r>
    </w:p>
    <w:p w14:paraId="0B13F77C" w14:textId="6EA42CC1" w:rsidR="00587C75" w:rsidRPr="00154F1D" w:rsidRDefault="00587C75" w:rsidP="003629FB">
      <w:pPr>
        <w:pStyle w:val="NumberlessNormalText"/>
        <w:ind w:left="851" w:hanging="425"/>
      </w:pPr>
      <w:r w:rsidRPr="00154F1D">
        <w:t>(g)</w:t>
      </w:r>
      <w:r w:rsidR="003629FB" w:rsidRPr="00154F1D">
        <w:tab/>
      </w:r>
      <w:r w:rsidRPr="00154F1D">
        <w:t>an ability to make other decisions that might need to be made by the defendant in connection with the trial;</w:t>
      </w:r>
    </w:p>
    <w:p w14:paraId="1809F3B7" w14:textId="3D020D96" w:rsidR="00587C75" w:rsidRPr="00154F1D" w:rsidRDefault="00587C75" w:rsidP="003629FB">
      <w:pPr>
        <w:pStyle w:val="NumberlessNormalText"/>
        <w:ind w:left="851" w:hanging="425"/>
      </w:pPr>
      <w:r w:rsidRPr="00154F1D">
        <w:t>(h)</w:t>
      </w:r>
      <w:r w:rsidR="003629FB" w:rsidRPr="00154F1D">
        <w:tab/>
      </w:r>
      <w:r w:rsidRPr="00154F1D">
        <w:t>an ability to follow the proceedings in court on the offence;</w:t>
      </w:r>
    </w:p>
    <w:p w14:paraId="50D778A3" w14:textId="2C48BC84" w:rsidR="00587C75" w:rsidRPr="00154F1D" w:rsidRDefault="00587C75" w:rsidP="003629FB">
      <w:pPr>
        <w:pStyle w:val="NumberlessNormalText"/>
        <w:ind w:left="851" w:hanging="425"/>
      </w:pPr>
      <w:r w:rsidRPr="00154F1D">
        <w:t>(i)</w:t>
      </w:r>
      <w:r w:rsidR="003629FB" w:rsidRPr="00154F1D">
        <w:tab/>
      </w:r>
      <w:r w:rsidRPr="00154F1D">
        <w:t>an ability to give evidence;</w:t>
      </w:r>
    </w:p>
    <w:p w14:paraId="18ABE270" w14:textId="1AF1DB68" w:rsidR="00587C75" w:rsidRPr="00154F1D" w:rsidRDefault="00587C75" w:rsidP="003629FB">
      <w:pPr>
        <w:pStyle w:val="NumberlessNormalText"/>
        <w:ind w:left="851" w:hanging="425"/>
      </w:pPr>
      <w:r w:rsidRPr="00154F1D">
        <w:t>(j)</w:t>
      </w:r>
      <w:r w:rsidR="003629FB" w:rsidRPr="00154F1D">
        <w:tab/>
      </w:r>
      <w:r w:rsidRPr="00154F1D">
        <w:t>any other ability that appears to the court to be relevant in the particular case.</w:t>
      </w:r>
    </w:p>
    <w:p w14:paraId="38055AAC" w14:textId="0DD05E43" w:rsidR="00587C75" w:rsidRPr="00154F1D" w:rsidRDefault="00587C75" w:rsidP="003629FB">
      <w:pPr>
        <w:pStyle w:val="NumberlessNormalText"/>
        <w:ind w:left="426" w:hanging="426"/>
      </w:pPr>
      <w:r w:rsidRPr="00154F1D">
        <w:t>(5)</w:t>
      </w:r>
      <w:r w:rsidR="003629FB" w:rsidRPr="00154F1D">
        <w:tab/>
      </w:r>
      <w:r w:rsidRPr="00154F1D">
        <w:t>For the purposes of subsection (4)(e) to (g), an ability to make a decision is to</w:t>
      </w:r>
      <w:r w:rsidR="003629FB" w:rsidRPr="00154F1D">
        <w:t xml:space="preserve"> </w:t>
      </w:r>
      <w:r w:rsidRPr="00154F1D">
        <w:t>be regarded as consisting of—</w:t>
      </w:r>
    </w:p>
    <w:p w14:paraId="407449A2" w14:textId="5E6A1231" w:rsidR="00587C75" w:rsidRPr="00154F1D" w:rsidRDefault="00587C75" w:rsidP="003629FB">
      <w:pPr>
        <w:pStyle w:val="NumberlessNormalText"/>
        <w:ind w:left="851" w:hanging="425"/>
      </w:pPr>
      <w:r w:rsidRPr="00154F1D">
        <w:t>(a)</w:t>
      </w:r>
      <w:r w:rsidR="003629FB" w:rsidRPr="00154F1D">
        <w:tab/>
      </w:r>
      <w:r w:rsidRPr="00154F1D">
        <w:t>an ability to understand information relevant to the decision,</w:t>
      </w:r>
    </w:p>
    <w:p w14:paraId="4921D2AF" w14:textId="3652A299" w:rsidR="00587C75" w:rsidRPr="00154F1D" w:rsidRDefault="00587C75" w:rsidP="003629FB">
      <w:pPr>
        <w:pStyle w:val="NumberlessNormalText"/>
        <w:ind w:left="851" w:hanging="425"/>
      </w:pPr>
      <w:r w:rsidRPr="00154F1D">
        <w:t>(b)</w:t>
      </w:r>
      <w:r w:rsidR="003629FB" w:rsidRPr="00154F1D">
        <w:tab/>
      </w:r>
      <w:r w:rsidRPr="00154F1D">
        <w:t>an ability to retain that information,</w:t>
      </w:r>
    </w:p>
    <w:p w14:paraId="5473D74D" w14:textId="2D03056F" w:rsidR="00587C75" w:rsidRPr="00154F1D" w:rsidRDefault="00587C75" w:rsidP="003629FB">
      <w:pPr>
        <w:pStyle w:val="NumberlessNormalText"/>
        <w:ind w:left="851" w:hanging="425"/>
      </w:pPr>
      <w:r w:rsidRPr="00154F1D">
        <w:t>(c)</w:t>
      </w:r>
      <w:r w:rsidR="003629FB" w:rsidRPr="00154F1D">
        <w:tab/>
      </w:r>
      <w:r w:rsidRPr="00154F1D">
        <w:t>an ability to use and to weigh the information when making the decision, and</w:t>
      </w:r>
    </w:p>
    <w:p w14:paraId="7B17992F" w14:textId="61BE9415" w:rsidR="00587C75" w:rsidRPr="00154F1D" w:rsidRDefault="00587C75" w:rsidP="003629FB">
      <w:pPr>
        <w:pStyle w:val="NumberlessNormalText"/>
        <w:ind w:left="851" w:hanging="425"/>
      </w:pPr>
      <w:r w:rsidRPr="00154F1D">
        <w:t>(d)</w:t>
      </w:r>
      <w:r w:rsidR="003629FB" w:rsidRPr="00154F1D">
        <w:tab/>
      </w:r>
      <w:r w:rsidRPr="00154F1D">
        <w:t>an ability to communicate the decision.</w:t>
      </w:r>
      <w:r w:rsidR="00241CD7" w:rsidRPr="00154F1D">
        <w:rPr>
          <w:rStyle w:val="FootnoteReference"/>
        </w:rPr>
        <w:footnoteReference w:id="914"/>
      </w:r>
    </w:p>
    <w:p w14:paraId="33B60ED1" w14:textId="3048637E" w:rsidR="00241CD7" w:rsidRPr="00154F1D" w:rsidRDefault="00241CD7" w:rsidP="003629FB">
      <w:pPr>
        <w:pStyle w:val="NumberlessNormalText"/>
        <w:spacing w:before="360"/>
      </w:pPr>
      <w:r w:rsidRPr="00154F1D">
        <w:rPr>
          <w:b/>
          <w:u w:val="single"/>
        </w:rPr>
        <w:t>New South Wales</w:t>
      </w:r>
      <w:r w:rsidR="003629FB" w:rsidRPr="00154F1D">
        <w:t xml:space="preserve"> – </w:t>
      </w:r>
      <w:r w:rsidRPr="00154F1D">
        <w:t>The</w:t>
      </w:r>
      <w:r w:rsidRPr="00154F1D">
        <w:rPr>
          <w:i/>
        </w:rPr>
        <w:t xml:space="preserve"> Mental Health (Forensic Provisions) Act 1990</w:t>
      </w:r>
      <w:r w:rsidRPr="00154F1D">
        <w:t xml:space="preserve"> (NSW) should be amended to include a statutory fitness test, as follows:</w:t>
      </w:r>
    </w:p>
    <w:p w14:paraId="47745374" w14:textId="003AA986" w:rsidR="00241CD7" w:rsidRPr="00154F1D" w:rsidRDefault="00241CD7" w:rsidP="003629FB">
      <w:pPr>
        <w:pStyle w:val="NumberlessNormalText"/>
      </w:pPr>
      <w:r w:rsidRPr="00154F1D">
        <w:t>A person is unfit to stand trial if the person cannot be afforded a fair trial because it is established on the balance of probabilities that the person is unable to do any one or more of the following:</w:t>
      </w:r>
    </w:p>
    <w:p w14:paraId="54B273EA" w14:textId="7AF50A67" w:rsidR="00241CD7" w:rsidRPr="00154F1D" w:rsidRDefault="00241CD7" w:rsidP="00F560F6">
      <w:pPr>
        <w:pStyle w:val="NumberlessNormalText"/>
        <w:ind w:left="851" w:hanging="425"/>
      </w:pPr>
      <w:r w:rsidRPr="00154F1D">
        <w:t>(a)</w:t>
      </w:r>
      <w:r w:rsidR="00F560F6" w:rsidRPr="00154F1D">
        <w:tab/>
      </w:r>
      <w:r w:rsidRPr="00154F1D">
        <w:t>understand the offence with which the person is charged</w:t>
      </w:r>
    </w:p>
    <w:p w14:paraId="1D3D1055" w14:textId="37ADA9B4" w:rsidR="00241CD7" w:rsidRPr="00154F1D" w:rsidRDefault="00241CD7" w:rsidP="00F560F6">
      <w:pPr>
        <w:pStyle w:val="NumberlessNormalText"/>
        <w:ind w:left="851" w:hanging="425"/>
      </w:pPr>
      <w:r w:rsidRPr="00154F1D">
        <w:t>(b)</w:t>
      </w:r>
      <w:r w:rsidR="00F560F6" w:rsidRPr="00154F1D">
        <w:tab/>
      </w:r>
      <w:r w:rsidRPr="00154F1D">
        <w:t>understand generally the nature of the proceeding as an inquiry into whether it has been proved that the person committed the offence charged</w:t>
      </w:r>
    </w:p>
    <w:p w14:paraId="3312FC3C" w14:textId="36C109F4" w:rsidR="00241CD7" w:rsidRPr="00154F1D" w:rsidRDefault="00241CD7" w:rsidP="00F560F6">
      <w:pPr>
        <w:pStyle w:val="NumberlessNormalText"/>
        <w:ind w:left="851" w:hanging="425"/>
      </w:pPr>
      <w:r w:rsidRPr="00154F1D">
        <w:t>(c)</w:t>
      </w:r>
      <w:r w:rsidR="00F560F6" w:rsidRPr="00154F1D">
        <w:tab/>
      </w:r>
      <w:r w:rsidRPr="00154F1D">
        <w:t>follow the course of proceedings and understand what is going on in a general sense</w:t>
      </w:r>
    </w:p>
    <w:p w14:paraId="4D74699E" w14:textId="6D7FF775" w:rsidR="00241CD7" w:rsidRPr="00154F1D" w:rsidRDefault="00241CD7" w:rsidP="00F560F6">
      <w:pPr>
        <w:pStyle w:val="NumberlessNormalText"/>
        <w:ind w:left="851" w:hanging="425"/>
      </w:pPr>
      <w:r w:rsidRPr="00154F1D">
        <w:t>(d)</w:t>
      </w:r>
      <w:r w:rsidR="00F560F6" w:rsidRPr="00154F1D">
        <w:tab/>
      </w:r>
      <w:r w:rsidRPr="00154F1D">
        <w:t>understand the substantial effect of any evidence that may be given against the person</w:t>
      </w:r>
    </w:p>
    <w:p w14:paraId="17AB8BF5" w14:textId="2472D252" w:rsidR="00241CD7" w:rsidRPr="00154F1D" w:rsidRDefault="00241CD7" w:rsidP="00F560F6">
      <w:pPr>
        <w:pStyle w:val="NumberlessNormalText"/>
        <w:ind w:left="851" w:hanging="425"/>
      </w:pPr>
      <w:r w:rsidRPr="00154F1D">
        <w:t>(e)</w:t>
      </w:r>
      <w:r w:rsidR="00F560F6" w:rsidRPr="00154F1D">
        <w:tab/>
      </w:r>
      <w:r w:rsidRPr="00154F1D">
        <w:t>understand the information relevant to the decisions that the person will have to make before and during the trial, and use that information as part of a rational decision making process</w:t>
      </w:r>
    </w:p>
    <w:p w14:paraId="450383FD" w14:textId="1DB34E46" w:rsidR="00241CD7" w:rsidRPr="00154F1D" w:rsidRDefault="00241CD7" w:rsidP="00F560F6">
      <w:pPr>
        <w:pStyle w:val="NumberlessNormalText"/>
        <w:ind w:left="851" w:hanging="425"/>
      </w:pPr>
      <w:r w:rsidRPr="00154F1D">
        <w:t>(f)</w:t>
      </w:r>
      <w:r w:rsidR="00F560F6" w:rsidRPr="00154F1D">
        <w:tab/>
      </w:r>
      <w:r w:rsidRPr="00154F1D">
        <w:t>communicate effectively with, and understand advice given by, legal representatives, and</w:t>
      </w:r>
    </w:p>
    <w:p w14:paraId="0B97B752" w14:textId="6C70F3BB" w:rsidR="00241CD7" w:rsidRPr="00154F1D" w:rsidRDefault="00241CD7" w:rsidP="00F560F6">
      <w:pPr>
        <w:pStyle w:val="NumberlessNormalText"/>
        <w:ind w:left="851" w:hanging="425"/>
      </w:pPr>
      <w:r w:rsidRPr="00154F1D">
        <w:t>(g)</w:t>
      </w:r>
      <w:r w:rsidR="00F560F6" w:rsidRPr="00154F1D">
        <w:tab/>
      </w:r>
      <w:r w:rsidRPr="00154F1D">
        <w:t>provide the person’s version of the facts to the court, if necessary.</w:t>
      </w:r>
      <w:r w:rsidRPr="00154F1D">
        <w:rPr>
          <w:rStyle w:val="FootnoteReference"/>
        </w:rPr>
        <w:footnoteReference w:id="915"/>
      </w:r>
    </w:p>
    <w:p w14:paraId="2035C9FD" w14:textId="47CEB5A9" w:rsidR="00F039FE" w:rsidRPr="00154F1D" w:rsidRDefault="00C100D9" w:rsidP="00E57B96">
      <w:pPr>
        <w:pStyle w:val="NumberlessNormalText"/>
        <w:spacing w:before="360"/>
      </w:pPr>
      <w:r w:rsidRPr="00154F1D">
        <w:rPr>
          <w:b/>
          <w:u w:val="single"/>
        </w:rPr>
        <w:t xml:space="preserve">Victoria </w:t>
      </w:r>
      <w:r w:rsidR="00E57B96" w:rsidRPr="00154F1D">
        <w:t xml:space="preserve">– </w:t>
      </w:r>
      <w:r w:rsidR="00F039FE" w:rsidRPr="00154F1D">
        <w:t xml:space="preserve">Section 6(1) of the </w:t>
      </w:r>
      <w:r w:rsidR="00F039FE" w:rsidRPr="00154F1D">
        <w:rPr>
          <w:i/>
        </w:rPr>
        <w:t>Crimes (Mental Impairment and Unfitness to be Tried) Act</w:t>
      </w:r>
      <w:r w:rsidR="00FC3745" w:rsidRPr="00154F1D">
        <w:rPr>
          <w:i/>
        </w:rPr>
        <w:t xml:space="preserve"> </w:t>
      </w:r>
      <w:r w:rsidR="00F039FE" w:rsidRPr="00154F1D">
        <w:rPr>
          <w:i/>
        </w:rPr>
        <w:t>1997</w:t>
      </w:r>
      <w:r w:rsidR="00F039FE" w:rsidRPr="00154F1D">
        <w:t xml:space="preserve"> (Vic) should be amended to provide that a person is unfit to stand trial</w:t>
      </w:r>
      <w:r w:rsidR="00FC3745" w:rsidRPr="00154F1D">
        <w:t xml:space="preserve"> </w:t>
      </w:r>
      <w:r w:rsidR="00F039FE" w:rsidRPr="00154F1D">
        <w:t>for an offence if, because the person’s mental processes are disordered or</w:t>
      </w:r>
      <w:r w:rsidR="00FC3745" w:rsidRPr="00154F1D">
        <w:t xml:space="preserve"> </w:t>
      </w:r>
      <w:r w:rsidR="00F039FE" w:rsidRPr="00154F1D">
        <w:t>impaired, the person is or, at some time during the hearing, will be:</w:t>
      </w:r>
    </w:p>
    <w:p w14:paraId="4A92B9D7" w14:textId="4E5025FA" w:rsidR="00F039FE" w:rsidRPr="00154F1D" w:rsidRDefault="00F039FE" w:rsidP="005D4BBA">
      <w:pPr>
        <w:pStyle w:val="NumberlessNormalText"/>
        <w:ind w:left="851" w:hanging="425"/>
      </w:pPr>
      <w:r w:rsidRPr="00154F1D">
        <w:t>(a)</w:t>
      </w:r>
      <w:r w:rsidR="005D4BBA" w:rsidRPr="00154F1D">
        <w:tab/>
      </w:r>
      <w:r w:rsidRPr="00154F1D">
        <w:t>unable to understand the nature of the charge</w:t>
      </w:r>
    </w:p>
    <w:p w14:paraId="0FCD9B63" w14:textId="5FED1D8A" w:rsidR="00F039FE" w:rsidRPr="00154F1D" w:rsidRDefault="00F039FE" w:rsidP="005D4BBA">
      <w:pPr>
        <w:pStyle w:val="NumberlessNormalText"/>
        <w:ind w:left="851" w:hanging="425"/>
      </w:pPr>
      <w:r w:rsidRPr="00154F1D">
        <w:t>(b)</w:t>
      </w:r>
      <w:r w:rsidR="005D4BBA" w:rsidRPr="00154F1D">
        <w:tab/>
      </w:r>
      <w:r w:rsidRPr="00154F1D">
        <w:t>unable to understand the actual significance of entering a plea to the</w:t>
      </w:r>
      <w:r w:rsidR="00FC3745" w:rsidRPr="00154F1D">
        <w:t xml:space="preserve"> </w:t>
      </w:r>
      <w:r w:rsidRPr="00154F1D">
        <w:t>charge</w:t>
      </w:r>
    </w:p>
    <w:p w14:paraId="5DCECF26" w14:textId="721EE23A" w:rsidR="00F039FE" w:rsidRPr="00154F1D" w:rsidRDefault="00F039FE" w:rsidP="005D4BBA">
      <w:pPr>
        <w:pStyle w:val="NumberlessNormalText"/>
        <w:ind w:left="851" w:hanging="425"/>
      </w:pPr>
      <w:r w:rsidRPr="00154F1D">
        <w:t>(c)</w:t>
      </w:r>
      <w:r w:rsidR="005D4BBA" w:rsidRPr="00154F1D">
        <w:tab/>
      </w:r>
      <w:r w:rsidRPr="00154F1D">
        <w:t>unable to enter a plea to the charge</w:t>
      </w:r>
    </w:p>
    <w:p w14:paraId="7A3BA027" w14:textId="17C196D6" w:rsidR="00F039FE" w:rsidRPr="00154F1D" w:rsidRDefault="00F039FE" w:rsidP="005D4BBA">
      <w:pPr>
        <w:pStyle w:val="NumberlessNormalText"/>
        <w:ind w:left="851" w:hanging="425"/>
      </w:pPr>
      <w:r w:rsidRPr="00154F1D">
        <w:t>(d)</w:t>
      </w:r>
      <w:r w:rsidR="005D4BBA" w:rsidRPr="00154F1D">
        <w:tab/>
      </w:r>
      <w:r w:rsidRPr="00154F1D">
        <w:t>unable to understand the nature of the hearing (that it is an inquiry as to</w:t>
      </w:r>
      <w:r w:rsidR="00FC3745" w:rsidRPr="00154F1D">
        <w:t xml:space="preserve"> </w:t>
      </w:r>
      <w:r w:rsidRPr="00154F1D">
        <w:t>whether the person committed the offence)</w:t>
      </w:r>
    </w:p>
    <w:p w14:paraId="5C7BE4AA" w14:textId="100034CD" w:rsidR="00F039FE" w:rsidRPr="00154F1D" w:rsidRDefault="00F039FE" w:rsidP="005D4BBA">
      <w:pPr>
        <w:pStyle w:val="NumberlessNormalText"/>
        <w:ind w:left="851" w:hanging="425"/>
      </w:pPr>
      <w:r w:rsidRPr="00154F1D">
        <w:t>(e)</w:t>
      </w:r>
      <w:r w:rsidR="005D4BBA" w:rsidRPr="00154F1D">
        <w:tab/>
      </w:r>
      <w:r w:rsidRPr="00154F1D">
        <w:t>unable to follow the course of the hearing</w:t>
      </w:r>
    </w:p>
    <w:p w14:paraId="5912E938" w14:textId="49228358" w:rsidR="00F039FE" w:rsidRPr="00154F1D" w:rsidRDefault="00F039FE" w:rsidP="005D4BBA">
      <w:pPr>
        <w:pStyle w:val="NumberlessNormalText"/>
        <w:ind w:left="851" w:hanging="425"/>
      </w:pPr>
      <w:r w:rsidRPr="00154F1D">
        <w:t>(f)</w:t>
      </w:r>
      <w:r w:rsidR="005D4BBA" w:rsidRPr="00154F1D">
        <w:tab/>
      </w:r>
      <w:r w:rsidRPr="00154F1D">
        <w:t>unable to understand the substantial effect of any evidence that may be</w:t>
      </w:r>
      <w:r w:rsidR="00FC3745" w:rsidRPr="00154F1D">
        <w:t xml:space="preserve"> </w:t>
      </w:r>
      <w:r w:rsidRPr="00154F1D">
        <w:t>given in support of the prosecution</w:t>
      </w:r>
    </w:p>
    <w:p w14:paraId="4589E821" w14:textId="49AB919E" w:rsidR="00F039FE" w:rsidRPr="00154F1D" w:rsidRDefault="00F039FE" w:rsidP="005D4BBA">
      <w:pPr>
        <w:pStyle w:val="NumberlessNormalText"/>
        <w:ind w:left="851" w:hanging="425"/>
      </w:pPr>
      <w:r w:rsidRPr="00154F1D">
        <w:t>(g)</w:t>
      </w:r>
      <w:r w:rsidR="005D4BBA" w:rsidRPr="00154F1D">
        <w:tab/>
      </w:r>
      <w:r w:rsidRPr="00154F1D">
        <w:t>unable to decide whether to give evidence in support of his or her case</w:t>
      </w:r>
    </w:p>
    <w:p w14:paraId="1509EC90" w14:textId="691E0FF2" w:rsidR="00F039FE" w:rsidRPr="00154F1D" w:rsidRDefault="00F039FE" w:rsidP="005D4BBA">
      <w:pPr>
        <w:pStyle w:val="NumberlessNormalText"/>
        <w:ind w:left="851" w:hanging="425"/>
      </w:pPr>
      <w:r w:rsidRPr="00154F1D">
        <w:t>(h)</w:t>
      </w:r>
      <w:r w:rsidR="005D4BBA" w:rsidRPr="00154F1D">
        <w:tab/>
      </w:r>
      <w:r w:rsidRPr="00154F1D">
        <w:t>unable to give evidence in support of his or her case, if he or she wishes</w:t>
      </w:r>
      <w:r w:rsidR="00FC3745" w:rsidRPr="00154F1D">
        <w:t xml:space="preserve"> </w:t>
      </w:r>
      <w:r w:rsidRPr="00154F1D">
        <w:t>to do so, or</w:t>
      </w:r>
    </w:p>
    <w:p w14:paraId="7B26376B" w14:textId="3AE75777" w:rsidR="00F039FE" w:rsidRPr="00154F1D" w:rsidRDefault="00F039FE" w:rsidP="005D4BBA">
      <w:pPr>
        <w:pStyle w:val="NumberlessNormalText"/>
        <w:ind w:left="851" w:hanging="425"/>
      </w:pPr>
      <w:r w:rsidRPr="00154F1D">
        <w:t>(i)</w:t>
      </w:r>
      <w:r w:rsidR="005D4BBA" w:rsidRPr="00154F1D">
        <w:tab/>
      </w:r>
      <w:r w:rsidRPr="00154F1D">
        <w:t>unable to communicate meaningful instructions to his or her legal</w:t>
      </w:r>
      <w:r w:rsidR="00FC3745" w:rsidRPr="00154F1D">
        <w:t xml:space="preserve"> </w:t>
      </w:r>
      <w:r w:rsidRPr="00154F1D">
        <w:t>practitioner.</w:t>
      </w:r>
      <w:r w:rsidRPr="00154F1D">
        <w:rPr>
          <w:rStyle w:val="FootnoteReference"/>
        </w:rPr>
        <w:footnoteReference w:id="916"/>
      </w:r>
    </w:p>
    <w:p w14:paraId="69515A9A" w14:textId="34D1C6F9" w:rsidR="00C032F0" w:rsidRPr="00154F1D" w:rsidRDefault="00C032F0" w:rsidP="008E35EF">
      <w:pPr>
        <w:pStyle w:val="NumberlessNormalText"/>
        <w:spacing w:before="360"/>
      </w:pPr>
      <w:r w:rsidRPr="00154F1D">
        <w:rPr>
          <w:b/>
          <w:u w:val="single"/>
        </w:rPr>
        <w:t>Commonwealth</w:t>
      </w:r>
      <w:r w:rsidR="008E35EF" w:rsidRPr="00154F1D">
        <w:t xml:space="preserve"> – </w:t>
      </w:r>
      <w:r w:rsidRPr="00154F1D">
        <w:t xml:space="preserve">The </w:t>
      </w:r>
      <w:r w:rsidRPr="00154F1D">
        <w:rPr>
          <w:i/>
        </w:rPr>
        <w:t>Crimes Act 1914</w:t>
      </w:r>
      <w:r w:rsidRPr="00154F1D">
        <w:t xml:space="preserve"> (Cth) should be amended to provide that a person is unfit t</w:t>
      </w:r>
      <w:r w:rsidR="00601572" w:rsidRPr="00154F1D">
        <w:t xml:space="preserve">o stand trial </w:t>
      </w:r>
      <w:r w:rsidRPr="00154F1D">
        <w:t>if the person cannot</w:t>
      </w:r>
      <w:r w:rsidR="003C127C" w:rsidRPr="00154F1D">
        <w:t xml:space="preserve"> be supported to</w:t>
      </w:r>
      <w:r w:rsidRPr="00154F1D">
        <w:t>: </w:t>
      </w:r>
    </w:p>
    <w:p w14:paraId="710DC732" w14:textId="6BEE8942" w:rsidR="00C032F0" w:rsidRPr="00154F1D" w:rsidRDefault="00C032F0" w:rsidP="008E35EF">
      <w:pPr>
        <w:pStyle w:val="NumberlessNormalText"/>
        <w:ind w:left="851" w:hanging="425"/>
      </w:pPr>
      <w:r w:rsidRPr="00154F1D">
        <w:t>(a)</w:t>
      </w:r>
      <w:r w:rsidR="008E35EF" w:rsidRPr="00154F1D">
        <w:tab/>
      </w:r>
      <w:r w:rsidRPr="00154F1D">
        <w:t>understand the information relevant to the decisions tha</w:t>
      </w:r>
      <w:r w:rsidR="00601572" w:rsidRPr="00154F1D">
        <w:t xml:space="preserve">t they will have to make in the </w:t>
      </w:r>
      <w:r w:rsidRPr="00154F1D">
        <w:t>course of the proceedings; </w:t>
      </w:r>
    </w:p>
    <w:p w14:paraId="389FAFAB" w14:textId="0E4A37D0" w:rsidR="00C032F0" w:rsidRPr="00154F1D" w:rsidRDefault="00C032F0" w:rsidP="008E35EF">
      <w:pPr>
        <w:pStyle w:val="NumberlessNormalText"/>
        <w:ind w:left="851" w:hanging="425"/>
      </w:pPr>
      <w:r w:rsidRPr="00154F1D">
        <w:t>(b)</w:t>
      </w:r>
      <w:r w:rsidR="008E35EF" w:rsidRPr="00154F1D">
        <w:tab/>
      </w:r>
      <w:r w:rsidRPr="00154F1D">
        <w:t>retain that information to the extent necessary to make decisions in the course of the proceedings; </w:t>
      </w:r>
    </w:p>
    <w:p w14:paraId="6122F92D" w14:textId="1CF62706" w:rsidR="00C032F0" w:rsidRPr="00154F1D" w:rsidRDefault="00C032F0" w:rsidP="008E35EF">
      <w:pPr>
        <w:pStyle w:val="NumberlessNormalText"/>
        <w:ind w:left="851" w:hanging="425"/>
      </w:pPr>
      <w:r w:rsidRPr="00154F1D">
        <w:t>(c)</w:t>
      </w:r>
      <w:r w:rsidR="008E35EF" w:rsidRPr="00154F1D">
        <w:tab/>
      </w:r>
      <w:r w:rsidRPr="00154F1D">
        <w:t xml:space="preserve">use or weigh that information as part of the process of making decisions; </w:t>
      </w:r>
      <w:r w:rsidR="003C127C" w:rsidRPr="00154F1D">
        <w:t>or</w:t>
      </w:r>
    </w:p>
    <w:p w14:paraId="25843317" w14:textId="573F4141" w:rsidR="00523C6E" w:rsidRPr="00154F1D" w:rsidRDefault="00C032F0" w:rsidP="008E35EF">
      <w:pPr>
        <w:pStyle w:val="NumberlessNormalText"/>
        <w:ind w:left="851" w:hanging="425"/>
      </w:pPr>
      <w:r w:rsidRPr="00154F1D">
        <w:t>(d)</w:t>
      </w:r>
      <w:r w:rsidR="008E35EF" w:rsidRPr="00154F1D">
        <w:tab/>
      </w:r>
      <w:r w:rsidRPr="00154F1D">
        <w:t xml:space="preserve">communicate </w:t>
      </w:r>
      <w:r w:rsidR="003C127C" w:rsidRPr="00154F1D">
        <w:t xml:space="preserve">the </w:t>
      </w:r>
      <w:r w:rsidRPr="00154F1D">
        <w:t>decisions in some way.</w:t>
      </w:r>
      <w:r w:rsidRPr="00154F1D">
        <w:rPr>
          <w:rStyle w:val="FootnoteReference"/>
        </w:rPr>
        <w:footnoteReference w:id="917"/>
      </w:r>
    </w:p>
    <w:p w14:paraId="4B53B678" w14:textId="77777777" w:rsidR="004702CA" w:rsidRPr="00154F1D" w:rsidRDefault="004702CA" w:rsidP="004702CA">
      <w:pPr>
        <w:pStyle w:val="NumberlessNormalText"/>
        <w:rPr>
          <w:lang w:val="en-US"/>
        </w:rPr>
        <w:sectPr w:rsidR="004702CA" w:rsidRPr="00154F1D" w:rsidSect="00D44CC5">
          <w:headerReference w:type="default" r:id="rId42"/>
          <w:pgSz w:w="11900" w:h="16840"/>
          <w:pgMar w:top="1440" w:right="1797" w:bottom="1440" w:left="1797" w:header="709" w:footer="709" w:gutter="0"/>
          <w:cols w:space="708"/>
          <w:titlePg/>
          <w:docGrid w:linePitch="360"/>
        </w:sectPr>
      </w:pPr>
    </w:p>
    <w:p w14:paraId="3B874D10" w14:textId="3263F684" w:rsidR="005A02AA" w:rsidRPr="00154F1D" w:rsidRDefault="00DB3F82" w:rsidP="004702CA">
      <w:pPr>
        <w:pStyle w:val="NumberlessSectionHeading"/>
        <w:spacing w:before="0"/>
        <w:rPr>
          <w:lang w:val="en-US"/>
        </w:rPr>
      </w:pPr>
      <w:bookmarkStart w:id="218" w:name="_Toc535868987"/>
      <w:r w:rsidRPr="00154F1D">
        <w:rPr>
          <w:lang w:val="en-US"/>
        </w:rPr>
        <w:t xml:space="preserve">Appendix </w:t>
      </w:r>
      <w:r w:rsidR="00BA4488" w:rsidRPr="00154F1D">
        <w:rPr>
          <w:lang w:val="en-US"/>
        </w:rPr>
        <w:t>2</w:t>
      </w:r>
      <w:r w:rsidR="007A0284" w:rsidRPr="00154F1D">
        <w:rPr>
          <w:lang w:val="en-US"/>
        </w:rPr>
        <w:t xml:space="preserve">: </w:t>
      </w:r>
      <w:r w:rsidR="005A02AA" w:rsidRPr="00154F1D">
        <w:rPr>
          <w:lang w:val="en-US"/>
        </w:rPr>
        <w:t>S</w:t>
      </w:r>
      <w:r w:rsidR="007A0284" w:rsidRPr="00154F1D">
        <w:rPr>
          <w:lang w:val="en-US"/>
        </w:rPr>
        <w:t>chedule</w:t>
      </w:r>
      <w:r w:rsidR="005A02AA" w:rsidRPr="00154F1D">
        <w:rPr>
          <w:lang w:val="en-US"/>
        </w:rPr>
        <w:t xml:space="preserve"> 1 </w:t>
      </w:r>
      <w:r w:rsidR="004702CA" w:rsidRPr="00154F1D">
        <w:rPr>
          <w:lang w:val="en-US"/>
        </w:rPr>
        <w:t xml:space="preserve">– </w:t>
      </w:r>
      <w:r w:rsidR="005A02AA" w:rsidRPr="00154F1D">
        <w:rPr>
          <w:lang w:val="en-US"/>
        </w:rPr>
        <w:t>Mental health service delivery principles</w:t>
      </w:r>
      <w:bookmarkEnd w:id="218"/>
      <w:r w:rsidR="005A02AA" w:rsidRPr="00154F1D">
        <w:rPr>
          <w:lang w:val="en-US"/>
        </w:rPr>
        <w:t> </w:t>
      </w:r>
    </w:p>
    <w:p w14:paraId="50A43D4C" w14:textId="3E17DF0B" w:rsidR="005A02AA" w:rsidRPr="00154F1D" w:rsidRDefault="005A02AA" w:rsidP="004702CA">
      <w:pPr>
        <w:pStyle w:val="NumberlessNormalText"/>
        <w:ind w:left="426" w:hanging="426"/>
      </w:pPr>
      <w:r w:rsidRPr="00154F1D">
        <w:t>1.</w:t>
      </w:r>
      <w:r w:rsidR="004702CA" w:rsidRPr="00154F1D">
        <w:tab/>
      </w:r>
      <w:r w:rsidRPr="00154F1D">
        <w:t>The mental health service delivery principles are as follows: </w:t>
      </w:r>
    </w:p>
    <w:p w14:paraId="47D06852" w14:textId="69DCF0FC" w:rsidR="005A02AA" w:rsidRPr="00154F1D" w:rsidRDefault="005A02AA" w:rsidP="004702CA">
      <w:pPr>
        <w:pStyle w:val="NumberlessNormalText"/>
        <w:ind w:left="851" w:hanging="425"/>
      </w:pPr>
      <w:r w:rsidRPr="00154F1D">
        <w:t>(a)</w:t>
      </w:r>
      <w:r w:rsidR="004702CA" w:rsidRPr="00154F1D">
        <w:tab/>
      </w:r>
      <w:r w:rsidRPr="00154F1D">
        <w:t>to respect, observe and promote the inherent rights, liberty, dignity, autonomy and self-respect of persons with mental illness; </w:t>
      </w:r>
    </w:p>
    <w:p w14:paraId="213EF838" w14:textId="473CB27F" w:rsidR="005A02AA" w:rsidRPr="00154F1D" w:rsidRDefault="005A02AA" w:rsidP="004702CA">
      <w:pPr>
        <w:pStyle w:val="NumberlessNormalText"/>
        <w:ind w:left="851" w:hanging="425"/>
      </w:pPr>
      <w:r w:rsidRPr="00154F1D">
        <w:t>(b)</w:t>
      </w:r>
      <w:r w:rsidR="004702CA" w:rsidRPr="00154F1D">
        <w:tab/>
      </w:r>
      <w:r w:rsidRPr="00154F1D">
        <w:t>to interfere with or restrict the rights of persons with mental illness in the least restrictive way and to the least extent consistent with the protection of those persons, the protection of the public and the proper delivery of the relevant service; </w:t>
      </w:r>
    </w:p>
    <w:p w14:paraId="07C53B70" w14:textId="52A14E27" w:rsidR="005A02AA" w:rsidRPr="00154F1D" w:rsidRDefault="005A02AA" w:rsidP="004702CA">
      <w:pPr>
        <w:pStyle w:val="NumberlessNormalText"/>
        <w:ind w:left="851" w:hanging="425"/>
      </w:pPr>
      <w:r w:rsidRPr="00154F1D">
        <w:t>(c)</w:t>
      </w:r>
      <w:r w:rsidR="004702CA" w:rsidRPr="00154F1D">
        <w:tab/>
      </w:r>
      <w:r w:rsidRPr="00154F1D">
        <w:t>to provide a service that is comprehensive, accessible, inclusive, equitable and free from stigma; </w:t>
      </w:r>
    </w:p>
    <w:p w14:paraId="3485E8EB" w14:textId="38BF1E85" w:rsidR="005A02AA" w:rsidRPr="00154F1D" w:rsidRDefault="005A02AA" w:rsidP="004702CA">
      <w:pPr>
        <w:pStyle w:val="NumberlessNormalText"/>
        <w:ind w:left="851" w:hanging="425"/>
      </w:pPr>
      <w:r w:rsidRPr="00154F1D">
        <w:t>(d)</w:t>
      </w:r>
      <w:r w:rsidR="004702CA" w:rsidRPr="00154F1D">
        <w:tab/>
      </w:r>
      <w:r w:rsidRPr="00154F1D">
        <w:t>to be sensitive and responsive to individual needs (whether as to culture, language, age, religion, gender or other factors); </w:t>
      </w:r>
    </w:p>
    <w:p w14:paraId="10453FD0" w14:textId="6B1B713D" w:rsidR="005A02AA" w:rsidRPr="00154F1D" w:rsidRDefault="005A02AA" w:rsidP="004702CA">
      <w:pPr>
        <w:pStyle w:val="NumberlessNormalText"/>
        <w:ind w:left="851" w:hanging="425"/>
      </w:pPr>
      <w:r w:rsidRPr="00154F1D">
        <w:t>(e)</w:t>
      </w:r>
      <w:r w:rsidR="004702CA" w:rsidRPr="00154F1D">
        <w:tab/>
      </w:r>
      <w:r w:rsidRPr="00154F1D">
        <w:t>to emphasise and value promotion, prevention and early detection and intervention; </w:t>
      </w:r>
    </w:p>
    <w:p w14:paraId="4BADCA21" w14:textId="7D9D91CE" w:rsidR="005A02AA" w:rsidRPr="00154F1D" w:rsidRDefault="005A02AA" w:rsidP="004702CA">
      <w:pPr>
        <w:pStyle w:val="NumberlessNormalText"/>
        <w:ind w:left="851" w:hanging="425"/>
      </w:pPr>
      <w:r w:rsidRPr="00154F1D">
        <w:t>(f)</w:t>
      </w:r>
      <w:r w:rsidR="004702CA" w:rsidRPr="00154F1D">
        <w:tab/>
      </w:r>
      <w:r w:rsidRPr="00154F1D">
        <w:t>to seek to bring about the best therapeutic outcomes and promote patient recovery; </w:t>
      </w:r>
    </w:p>
    <w:p w14:paraId="65303D56" w14:textId="3A7653A3" w:rsidR="005A02AA" w:rsidRPr="00154F1D" w:rsidRDefault="005A02AA" w:rsidP="004702CA">
      <w:pPr>
        <w:pStyle w:val="NumberlessNormalText"/>
        <w:ind w:left="851" w:hanging="425"/>
      </w:pPr>
      <w:r w:rsidRPr="00154F1D">
        <w:t>(g)</w:t>
      </w:r>
      <w:r w:rsidR="004702CA" w:rsidRPr="00154F1D">
        <w:tab/>
      </w:r>
      <w:r w:rsidRPr="00154F1D">
        <w:t>to provide services that are consistent with patient treatment plans; 5 </w:t>
      </w:r>
    </w:p>
    <w:p w14:paraId="06ADF4EC" w14:textId="3BC40A89" w:rsidR="005A02AA" w:rsidRPr="00154F1D" w:rsidRDefault="005A02AA" w:rsidP="004702CA">
      <w:pPr>
        <w:pStyle w:val="NumberlessNormalText"/>
        <w:ind w:left="851" w:hanging="425"/>
      </w:pPr>
      <w:r w:rsidRPr="00154F1D">
        <w:t>(h)</w:t>
      </w:r>
      <w:r w:rsidR="004702CA" w:rsidRPr="00154F1D">
        <w:tab/>
      </w:r>
      <w:r w:rsidRPr="00154F1D">
        <w:t>to recognise the difficulty, importance and value of the role played by families, and support persons, of persons with mental illness; </w:t>
      </w:r>
    </w:p>
    <w:p w14:paraId="5A99ABB1" w14:textId="77777777" w:rsidR="005A02AA" w:rsidRPr="00154F1D" w:rsidRDefault="005A02AA" w:rsidP="004702CA">
      <w:pPr>
        <w:pStyle w:val="NumberlessNormalText"/>
        <w:ind w:left="851" w:hanging="425"/>
      </w:pPr>
      <w:r w:rsidRPr="00154F1D">
        <w:t>(i) to recognise, observe and promote the rights, welfare and safety of the children and other dependants of persons with mental illness; </w:t>
      </w:r>
    </w:p>
    <w:p w14:paraId="545C9AB6" w14:textId="6A5457EC" w:rsidR="005A02AA" w:rsidRPr="00154F1D" w:rsidRDefault="005A02AA" w:rsidP="004702CA">
      <w:pPr>
        <w:pStyle w:val="NumberlessNormalText"/>
        <w:ind w:left="851" w:hanging="425"/>
      </w:pPr>
      <w:r w:rsidRPr="00154F1D">
        <w:t>(j)</w:t>
      </w:r>
      <w:r w:rsidR="004702CA" w:rsidRPr="00154F1D">
        <w:tab/>
      </w:r>
      <w:r w:rsidRPr="00154F1D">
        <w:t>to promote the ability of persons with mental illness to make their own choices; </w:t>
      </w:r>
    </w:p>
    <w:p w14:paraId="7FA82A28" w14:textId="4EFF991E" w:rsidR="005A02AA" w:rsidRPr="00154F1D" w:rsidRDefault="005A02AA" w:rsidP="004702CA">
      <w:pPr>
        <w:pStyle w:val="NumberlessNormalText"/>
        <w:ind w:left="851" w:hanging="425"/>
      </w:pPr>
      <w:r w:rsidRPr="00154F1D">
        <w:t>(k)</w:t>
      </w:r>
      <w:r w:rsidR="004702CA" w:rsidRPr="00154F1D">
        <w:tab/>
      </w:r>
      <w:r w:rsidRPr="00154F1D">
        <w:t>to involve persons receiving services, and where appropriate their families and support persons, in decision-making; </w:t>
      </w:r>
    </w:p>
    <w:p w14:paraId="71662BE7" w14:textId="3E40C6A4" w:rsidR="005A02AA" w:rsidRPr="00154F1D" w:rsidRDefault="005A02AA" w:rsidP="004702CA">
      <w:pPr>
        <w:pStyle w:val="NumberlessNormalText"/>
        <w:ind w:left="851" w:hanging="425"/>
      </w:pPr>
      <w:r w:rsidRPr="00154F1D">
        <w:t>(l)</w:t>
      </w:r>
      <w:r w:rsidR="004702CA" w:rsidRPr="00154F1D">
        <w:tab/>
      </w:r>
      <w:r w:rsidRPr="00154F1D">
        <w:t>to recognise families, and support persons, of persons with mental illness as partners, with mental health service providers, in the provision of their treatment and care to the extent that this is appropriate and consistent with their own wishes; </w:t>
      </w:r>
    </w:p>
    <w:p w14:paraId="77AF21FE" w14:textId="52456BC7" w:rsidR="005A02AA" w:rsidRPr="00154F1D" w:rsidRDefault="005A02AA" w:rsidP="004702CA">
      <w:pPr>
        <w:pStyle w:val="NumberlessNormalText"/>
        <w:ind w:left="851" w:hanging="425"/>
      </w:pPr>
      <w:r w:rsidRPr="00154F1D">
        <w:t>(m)</w:t>
      </w:r>
      <w:r w:rsidR="004702CA" w:rsidRPr="00154F1D">
        <w:tab/>
      </w:r>
      <w:r w:rsidRPr="00154F1D">
        <w:t>to respect the wishes of persons receiving services, and the wishes of their families and support persons, to the maximum extent consistent with the health and safety of those persons and the safety of others; </w:t>
      </w:r>
    </w:p>
    <w:p w14:paraId="14B80ED4" w14:textId="4629654F" w:rsidR="005A02AA" w:rsidRPr="00154F1D" w:rsidRDefault="005A02AA" w:rsidP="004702CA">
      <w:pPr>
        <w:pStyle w:val="NumberlessNormalText"/>
        <w:ind w:left="851" w:hanging="425"/>
      </w:pPr>
      <w:r w:rsidRPr="00154F1D">
        <w:t>(n)</w:t>
      </w:r>
      <w:r w:rsidR="004702CA" w:rsidRPr="00154F1D">
        <w:tab/>
      </w:r>
      <w:r w:rsidRPr="00154F1D">
        <w:t>to promote and enable persons with mental illness to live, work and participate in their own community; </w:t>
      </w:r>
    </w:p>
    <w:p w14:paraId="741D90BD" w14:textId="487DBF36" w:rsidR="005A02AA" w:rsidRPr="00154F1D" w:rsidRDefault="005A02AA" w:rsidP="004702CA">
      <w:pPr>
        <w:pStyle w:val="NumberlessNormalText"/>
        <w:ind w:left="851" w:hanging="425"/>
      </w:pPr>
      <w:r w:rsidRPr="00154F1D">
        <w:t>(o)</w:t>
      </w:r>
      <w:r w:rsidR="004702CA" w:rsidRPr="00154F1D">
        <w:tab/>
      </w:r>
      <w:r w:rsidRPr="00154F1D">
        <w:t>to operate so as to raise community awareness and understanding of mental illness and to foster community-wide respect for the inherent rights, liberty, dignity, autonomy and self-respect of persons with mental illness; </w:t>
      </w:r>
    </w:p>
    <w:p w14:paraId="2D468591" w14:textId="5A18EEA6" w:rsidR="005A02AA" w:rsidRPr="00154F1D" w:rsidRDefault="005A02AA" w:rsidP="004702CA">
      <w:pPr>
        <w:pStyle w:val="NumberlessNormalText"/>
        <w:ind w:left="851" w:hanging="425"/>
      </w:pPr>
      <w:r w:rsidRPr="00154F1D">
        <w:t>(p)</w:t>
      </w:r>
      <w:r w:rsidR="004702CA" w:rsidRPr="00154F1D">
        <w:tab/>
      </w:r>
      <w:r w:rsidRPr="00154F1D">
        <w:t>to be accountable; </w:t>
      </w:r>
    </w:p>
    <w:p w14:paraId="057EDC87" w14:textId="2FB2BBE5" w:rsidR="00F25EC1" w:rsidRPr="00154F1D" w:rsidRDefault="005A02AA" w:rsidP="004702CA">
      <w:pPr>
        <w:pStyle w:val="NumberlessNormalText"/>
        <w:ind w:left="851" w:hanging="425"/>
      </w:pPr>
      <w:r w:rsidRPr="00154F1D">
        <w:t>(q)</w:t>
      </w:r>
      <w:r w:rsidR="004702CA" w:rsidRPr="00154F1D">
        <w:tab/>
      </w:r>
      <w:r w:rsidRPr="00154F1D">
        <w:t>to recognise and be responsive to national and international clinical, technical and human rights trends, developments and advances. </w:t>
      </w:r>
    </w:p>
    <w:p w14:paraId="4FC3F7D4" w14:textId="77777777" w:rsidR="004702CA" w:rsidRPr="00154F1D" w:rsidRDefault="004702CA" w:rsidP="004702CA">
      <w:pPr>
        <w:pStyle w:val="NumberlessNormalText"/>
        <w:ind w:left="851" w:hanging="425"/>
        <w:sectPr w:rsidR="004702CA" w:rsidRPr="00154F1D" w:rsidSect="00D44CC5">
          <w:pgSz w:w="11900" w:h="16840"/>
          <w:pgMar w:top="1440" w:right="1797" w:bottom="1440" w:left="1797" w:header="709" w:footer="709" w:gutter="0"/>
          <w:cols w:space="708"/>
          <w:titlePg/>
          <w:docGrid w:linePitch="360"/>
        </w:sectPr>
      </w:pPr>
    </w:p>
    <w:p w14:paraId="5B07930E" w14:textId="0EDCB434" w:rsidR="005A02AA" w:rsidRPr="00154F1D" w:rsidRDefault="00F25EC1" w:rsidP="004702CA">
      <w:pPr>
        <w:pStyle w:val="NumberlessSectionHeading"/>
        <w:spacing w:before="0"/>
      </w:pPr>
      <w:bookmarkStart w:id="219" w:name="_Toc535868988"/>
      <w:r w:rsidRPr="00154F1D">
        <w:t xml:space="preserve">Appendix </w:t>
      </w:r>
      <w:r w:rsidR="00BA4488" w:rsidRPr="00154F1D">
        <w:t>3</w:t>
      </w:r>
      <w:r w:rsidR="00C90C33" w:rsidRPr="00154F1D">
        <w:t>: Orders available and making and discharging orders</w:t>
      </w:r>
      <w:bookmarkEnd w:id="219"/>
    </w:p>
    <w:p w14:paraId="0A049049" w14:textId="64068679" w:rsidR="0014208F" w:rsidRPr="00154F1D" w:rsidRDefault="0014208F" w:rsidP="004702CA">
      <w:pPr>
        <w:pStyle w:val="NumberlessNormalText"/>
        <w:spacing w:after="80"/>
        <w:rPr>
          <w:b/>
        </w:rPr>
      </w:pPr>
      <w:r w:rsidRPr="00154F1D">
        <w:rPr>
          <w:b/>
        </w:rPr>
        <w:t xml:space="preserve">Table </w:t>
      </w:r>
      <w:r w:rsidR="00BA4488" w:rsidRPr="00154F1D">
        <w:rPr>
          <w:b/>
        </w:rPr>
        <w:t>A3.1</w:t>
      </w:r>
      <w:r w:rsidRPr="00154F1D">
        <w:rPr>
          <w:b/>
        </w:rPr>
        <w:t>: Orders available</w:t>
      </w:r>
    </w:p>
    <w:tbl>
      <w:tblPr>
        <w:tblStyle w:val="TableGrid"/>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004"/>
        <w:gridCol w:w="6296"/>
      </w:tblGrid>
      <w:tr w:rsidR="0014208F" w:rsidRPr="00154F1D" w14:paraId="2CC43230" w14:textId="77777777" w:rsidTr="00744503">
        <w:tc>
          <w:tcPr>
            <w:tcW w:w="1207" w:type="pct"/>
            <w:vAlign w:val="center"/>
          </w:tcPr>
          <w:p w14:paraId="6C1FFCD6" w14:textId="77777777" w:rsidR="0014208F" w:rsidRPr="00154F1D" w:rsidRDefault="0014208F" w:rsidP="00744503">
            <w:pPr>
              <w:spacing w:before="40" w:after="40"/>
              <w:rPr>
                <w:b/>
                <w:sz w:val="20"/>
                <w:szCs w:val="20"/>
              </w:rPr>
            </w:pPr>
            <w:r w:rsidRPr="00154F1D">
              <w:rPr>
                <w:b/>
                <w:sz w:val="20"/>
                <w:szCs w:val="20"/>
              </w:rPr>
              <w:t>Jurisdiction</w:t>
            </w:r>
          </w:p>
        </w:tc>
        <w:tc>
          <w:tcPr>
            <w:tcW w:w="3793" w:type="pct"/>
            <w:vAlign w:val="center"/>
          </w:tcPr>
          <w:p w14:paraId="2233800D" w14:textId="77777777" w:rsidR="0014208F" w:rsidRPr="00154F1D" w:rsidRDefault="0014208F" w:rsidP="00744503">
            <w:pPr>
              <w:spacing w:before="40" w:after="40"/>
              <w:rPr>
                <w:b/>
                <w:sz w:val="20"/>
                <w:szCs w:val="20"/>
              </w:rPr>
            </w:pPr>
            <w:r w:rsidRPr="00154F1D">
              <w:rPr>
                <w:b/>
                <w:sz w:val="20"/>
                <w:szCs w:val="20"/>
              </w:rPr>
              <w:t>Details</w:t>
            </w:r>
          </w:p>
        </w:tc>
      </w:tr>
      <w:tr w:rsidR="0014208F" w:rsidRPr="00154F1D" w14:paraId="6394F31D" w14:textId="77777777" w:rsidTr="00744503">
        <w:tc>
          <w:tcPr>
            <w:tcW w:w="1207" w:type="pct"/>
            <w:vAlign w:val="center"/>
          </w:tcPr>
          <w:p w14:paraId="7DC62F81" w14:textId="77777777" w:rsidR="0014208F" w:rsidRPr="00154F1D" w:rsidRDefault="0014208F" w:rsidP="00744503">
            <w:pPr>
              <w:spacing w:before="40" w:after="40"/>
              <w:rPr>
                <w:sz w:val="20"/>
                <w:szCs w:val="20"/>
              </w:rPr>
            </w:pPr>
            <w:r w:rsidRPr="00154F1D">
              <w:rPr>
                <w:sz w:val="20"/>
                <w:szCs w:val="20"/>
              </w:rPr>
              <w:t>Commonwealth</w:t>
            </w:r>
          </w:p>
        </w:tc>
        <w:tc>
          <w:tcPr>
            <w:tcW w:w="3793" w:type="pct"/>
            <w:vAlign w:val="center"/>
          </w:tcPr>
          <w:p w14:paraId="3719606C" w14:textId="77777777" w:rsidR="0014208F" w:rsidRPr="00154F1D" w:rsidRDefault="0014208F" w:rsidP="00744503">
            <w:pPr>
              <w:spacing w:before="40" w:after="40"/>
              <w:rPr>
                <w:sz w:val="20"/>
                <w:szCs w:val="20"/>
              </w:rPr>
            </w:pPr>
            <w:r w:rsidRPr="00154F1D">
              <w:rPr>
                <w:sz w:val="20"/>
                <w:szCs w:val="20"/>
              </w:rPr>
              <w:t>The court may order detention or make an order for release either absolutely or subject to conditions.</w:t>
            </w:r>
            <w:r w:rsidRPr="00154F1D">
              <w:rPr>
                <w:rStyle w:val="FootnoteReference"/>
                <w:szCs w:val="20"/>
              </w:rPr>
              <w:footnoteReference w:id="918"/>
            </w:r>
            <w:r w:rsidRPr="00154F1D">
              <w:rPr>
                <w:sz w:val="20"/>
                <w:szCs w:val="20"/>
              </w:rPr>
              <w:t xml:space="preserve"> </w:t>
            </w:r>
          </w:p>
        </w:tc>
      </w:tr>
      <w:tr w:rsidR="0014208F" w:rsidRPr="00154F1D" w14:paraId="56C79C24" w14:textId="77777777" w:rsidTr="00744503">
        <w:tc>
          <w:tcPr>
            <w:tcW w:w="1207" w:type="pct"/>
            <w:vAlign w:val="center"/>
          </w:tcPr>
          <w:p w14:paraId="643F7E3E" w14:textId="77777777" w:rsidR="0014208F" w:rsidRPr="00154F1D" w:rsidRDefault="0014208F" w:rsidP="00744503">
            <w:pPr>
              <w:spacing w:before="40" w:after="40"/>
              <w:rPr>
                <w:sz w:val="20"/>
                <w:szCs w:val="20"/>
              </w:rPr>
            </w:pPr>
            <w:r w:rsidRPr="00154F1D">
              <w:rPr>
                <w:sz w:val="20"/>
                <w:szCs w:val="20"/>
              </w:rPr>
              <w:t>New South Wales</w:t>
            </w:r>
          </w:p>
        </w:tc>
        <w:tc>
          <w:tcPr>
            <w:tcW w:w="3793" w:type="pct"/>
            <w:vAlign w:val="center"/>
          </w:tcPr>
          <w:p w14:paraId="72DB0123" w14:textId="77777777" w:rsidR="0014208F" w:rsidRPr="00154F1D" w:rsidRDefault="0014208F" w:rsidP="00744503">
            <w:pPr>
              <w:spacing w:before="40" w:after="40"/>
              <w:rPr>
                <w:sz w:val="20"/>
                <w:szCs w:val="20"/>
              </w:rPr>
            </w:pPr>
          </w:p>
        </w:tc>
      </w:tr>
      <w:tr w:rsidR="0014208F" w:rsidRPr="00154F1D" w14:paraId="55D65905" w14:textId="77777777" w:rsidTr="00744503">
        <w:tc>
          <w:tcPr>
            <w:tcW w:w="1207" w:type="pct"/>
            <w:vAlign w:val="center"/>
          </w:tcPr>
          <w:p w14:paraId="42BDF7CE" w14:textId="77777777" w:rsidR="0014208F" w:rsidRPr="00154F1D" w:rsidRDefault="0014208F" w:rsidP="00744503">
            <w:pPr>
              <w:spacing w:before="40" w:after="40"/>
              <w:ind w:left="311"/>
              <w:rPr>
                <w:i/>
                <w:sz w:val="20"/>
                <w:szCs w:val="20"/>
              </w:rPr>
            </w:pPr>
            <w:r w:rsidRPr="00154F1D">
              <w:rPr>
                <w:i/>
                <w:sz w:val="20"/>
                <w:szCs w:val="20"/>
              </w:rPr>
              <w:t>Unfit and not acquitted (following special hearing) (UNA)</w:t>
            </w:r>
          </w:p>
        </w:tc>
        <w:tc>
          <w:tcPr>
            <w:tcW w:w="3793" w:type="pct"/>
            <w:vAlign w:val="center"/>
          </w:tcPr>
          <w:p w14:paraId="6705A394" w14:textId="4443269E" w:rsidR="0014208F" w:rsidRPr="00154F1D" w:rsidRDefault="0014208F" w:rsidP="00744503">
            <w:pPr>
              <w:spacing w:before="40" w:after="40"/>
              <w:rPr>
                <w:sz w:val="20"/>
                <w:szCs w:val="20"/>
              </w:rPr>
            </w:pPr>
            <w:r w:rsidRPr="00154F1D">
              <w:rPr>
                <w:sz w:val="20"/>
                <w:szCs w:val="20"/>
              </w:rPr>
              <w:t>If would not have imposed a sentence of imprisonment, then can impose any other penalty or make any other order in normal trial of criminal proceedings.</w:t>
            </w:r>
            <w:r w:rsidRPr="00154F1D">
              <w:rPr>
                <w:rStyle w:val="FootnoteReference"/>
                <w:szCs w:val="20"/>
              </w:rPr>
              <w:footnoteReference w:id="919"/>
            </w:r>
            <w:r w:rsidR="004702CA" w:rsidRPr="00154F1D">
              <w:rPr>
                <w:sz w:val="20"/>
                <w:szCs w:val="20"/>
              </w:rPr>
              <w:t xml:space="preserve"> </w:t>
            </w:r>
          </w:p>
          <w:p w14:paraId="5E614D10" w14:textId="77777777" w:rsidR="0014208F" w:rsidRPr="00154F1D" w:rsidRDefault="0014208F" w:rsidP="00744503">
            <w:pPr>
              <w:spacing w:before="40" w:after="40"/>
              <w:rPr>
                <w:sz w:val="20"/>
                <w:szCs w:val="20"/>
              </w:rPr>
            </w:pPr>
            <w:r w:rsidRPr="00154F1D">
              <w:rPr>
                <w:sz w:val="20"/>
                <w:szCs w:val="20"/>
              </w:rPr>
              <w:t>If would have imposed sentence of imprisonment, then must nominate a limiting term.</w:t>
            </w:r>
            <w:r w:rsidRPr="00154F1D">
              <w:rPr>
                <w:rStyle w:val="FootnoteReference"/>
                <w:szCs w:val="20"/>
              </w:rPr>
              <w:footnoteReference w:id="920"/>
            </w:r>
            <w:r w:rsidRPr="00154F1D">
              <w:rPr>
                <w:sz w:val="20"/>
                <w:szCs w:val="20"/>
              </w:rPr>
              <w:t xml:space="preserve"> This can be in a mental health facility (if the person is mentally ill or has a mental condition and doesn’t object) or in a place other than a mental health facility (where not mentally ill or has mental condition but objects to determination in mental health facility.</w:t>
            </w:r>
            <w:r w:rsidRPr="00154F1D">
              <w:rPr>
                <w:rStyle w:val="FootnoteReference"/>
                <w:szCs w:val="20"/>
              </w:rPr>
              <w:footnoteReference w:id="921"/>
            </w:r>
          </w:p>
        </w:tc>
      </w:tr>
      <w:tr w:rsidR="0014208F" w:rsidRPr="00154F1D" w14:paraId="24CF2F72" w14:textId="77777777" w:rsidTr="00744503">
        <w:tc>
          <w:tcPr>
            <w:tcW w:w="1207" w:type="pct"/>
            <w:vAlign w:val="center"/>
          </w:tcPr>
          <w:p w14:paraId="1B21F879" w14:textId="77777777" w:rsidR="0014208F" w:rsidRPr="00154F1D" w:rsidRDefault="0014208F" w:rsidP="00744503">
            <w:pPr>
              <w:spacing w:before="40" w:after="40"/>
              <w:ind w:left="311"/>
              <w:rPr>
                <w:i/>
                <w:sz w:val="20"/>
                <w:szCs w:val="20"/>
              </w:rPr>
            </w:pPr>
            <w:r w:rsidRPr="00154F1D">
              <w:rPr>
                <w:i/>
                <w:sz w:val="20"/>
                <w:szCs w:val="20"/>
              </w:rPr>
              <w:t>Not guilty by reason of insanity (NGMI)</w:t>
            </w:r>
          </w:p>
        </w:tc>
        <w:tc>
          <w:tcPr>
            <w:tcW w:w="3793" w:type="pct"/>
            <w:vAlign w:val="center"/>
          </w:tcPr>
          <w:p w14:paraId="760B2674" w14:textId="376DD77B" w:rsidR="0014208F" w:rsidRPr="00154F1D" w:rsidRDefault="0014208F" w:rsidP="00744503">
            <w:pPr>
              <w:spacing w:before="40" w:after="40"/>
              <w:rPr>
                <w:sz w:val="20"/>
                <w:szCs w:val="20"/>
              </w:rPr>
            </w:pPr>
            <w:r w:rsidRPr="00154F1D">
              <w:rPr>
                <w:sz w:val="20"/>
                <w:szCs w:val="20"/>
              </w:rPr>
              <w:t>Four orders: detention, conditional release, unconditional release and any other order the court thinks appropriate.</w:t>
            </w:r>
            <w:r w:rsidRPr="00154F1D">
              <w:rPr>
                <w:rStyle w:val="FootnoteReference"/>
                <w:szCs w:val="20"/>
              </w:rPr>
              <w:footnoteReference w:id="922"/>
            </w:r>
          </w:p>
        </w:tc>
      </w:tr>
      <w:tr w:rsidR="0014208F" w:rsidRPr="00154F1D" w14:paraId="019447F1" w14:textId="77777777" w:rsidTr="00744503">
        <w:tc>
          <w:tcPr>
            <w:tcW w:w="1207" w:type="pct"/>
            <w:vAlign w:val="center"/>
          </w:tcPr>
          <w:p w14:paraId="3B5BFECF" w14:textId="77777777" w:rsidR="0014208F" w:rsidRPr="00154F1D" w:rsidRDefault="0014208F" w:rsidP="00744503">
            <w:pPr>
              <w:spacing w:before="40" w:after="40"/>
              <w:rPr>
                <w:sz w:val="20"/>
                <w:szCs w:val="20"/>
              </w:rPr>
            </w:pPr>
            <w:r w:rsidRPr="00154F1D">
              <w:rPr>
                <w:sz w:val="20"/>
                <w:szCs w:val="20"/>
              </w:rPr>
              <w:t>South Australia</w:t>
            </w:r>
          </w:p>
        </w:tc>
        <w:tc>
          <w:tcPr>
            <w:tcW w:w="3793" w:type="pct"/>
            <w:vAlign w:val="center"/>
          </w:tcPr>
          <w:p w14:paraId="534B0F3C" w14:textId="1537BEC1" w:rsidR="0014208F" w:rsidRPr="00154F1D" w:rsidRDefault="0073202C" w:rsidP="00744503">
            <w:pPr>
              <w:spacing w:before="40" w:after="40"/>
              <w:rPr>
                <w:sz w:val="20"/>
                <w:szCs w:val="20"/>
              </w:rPr>
            </w:pPr>
            <w:r w:rsidRPr="00154F1D">
              <w:rPr>
                <w:sz w:val="20"/>
                <w:szCs w:val="20"/>
              </w:rPr>
              <w:t>If a person is declared liable to supervision, the court may r</w:t>
            </w:r>
            <w:r w:rsidR="0014208F" w:rsidRPr="00154F1D">
              <w:rPr>
                <w:sz w:val="20"/>
                <w:szCs w:val="20"/>
              </w:rPr>
              <w:t>elease unconditionally or make a supervision order committing the D to detention or releasing the defendant on licence.</w:t>
            </w:r>
            <w:r w:rsidR="0014208F" w:rsidRPr="00154F1D">
              <w:rPr>
                <w:rStyle w:val="FootnoteReference"/>
                <w:szCs w:val="20"/>
              </w:rPr>
              <w:footnoteReference w:id="923"/>
            </w:r>
            <w:r w:rsidRPr="00154F1D">
              <w:rPr>
                <w:sz w:val="20"/>
                <w:szCs w:val="20"/>
              </w:rPr>
              <w:t xml:space="preserve"> In relation to summary and minor indictable offences the court can dismiss the charge and release the person unconditionally, make a supervision order or make an order releasing the person on licence.</w:t>
            </w:r>
            <w:r w:rsidRPr="00154F1D">
              <w:rPr>
                <w:rStyle w:val="FootnoteReference"/>
                <w:szCs w:val="20"/>
              </w:rPr>
              <w:footnoteReference w:id="924"/>
            </w:r>
          </w:p>
        </w:tc>
      </w:tr>
      <w:tr w:rsidR="0014208F" w:rsidRPr="00154F1D" w14:paraId="69FFCCFC" w14:textId="77777777" w:rsidTr="00744503">
        <w:tc>
          <w:tcPr>
            <w:tcW w:w="1207" w:type="pct"/>
            <w:vAlign w:val="center"/>
          </w:tcPr>
          <w:p w14:paraId="3098A58B" w14:textId="77777777" w:rsidR="0014208F" w:rsidRPr="00154F1D" w:rsidRDefault="0014208F" w:rsidP="00744503">
            <w:pPr>
              <w:spacing w:before="40" w:after="40"/>
              <w:rPr>
                <w:sz w:val="20"/>
                <w:szCs w:val="20"/>
              </w:rPr>
            </w:pPr>
            <w:r w:rsidRPr="00154F1D">
              <w:rPr>
                <w:sz w:val="20"/>
                <w:szCs w:val="20"/>
              </w:rPr>
              <w:t>Victoria</w:t>
            </w:r>
          </w:p>
        </w:tc>
        <w:tc>
          <w:tcPr>
            <w:tcW w:w="3793" w:type="pct"/>
            <w:vAlign w:val="center"/>
          </w:tcPr>
          <w:p w14:paraId="6B1399CA" w14:textId="77777777" w:rsidR="0014208F" w:rsidRPr="00154F1D" w:rsidRDefault="0014208F" w:rsidP="00744503">
            <w:pPr>
              <w:spacing w:before="40" w:after="40"/>
              <w:rPr>
                <w:sz w:val="20"/>
                <w:szCs w:val="20"/>
              </w:rPr>
            </w:pPr>
            <w:r w:rsidRPr="00154F1D">
              <w:rPr>
                <w:sz w:val="20"/>
                <w:szCs w:val="20"/>
              </w:rPr>
              <w:t>The court must declare the person is liable to supervision under Part 5 or order the person to be released unconditionally.</w:t>
            </w:r>
            <w:r w:rsidRPr="00154F1D">
              <w:rPr>
                <w:rStyle w:val="FootnoteReference"/>
                <w:szCs w:val="20"/>
              </w:rPr>
              <w:footnoteReference w:id="925"/>
            </w:r>
            <w:r w:rsidRPr="00154F1D">
              <w:rPr>
                <w:sz w:val="20"/>
                <w:szCs w:val="20"/>
              </w:rPr>
              <w:t xml:space="preserve"> A supervision order can be a custodial supervision order or a non-custodial supervision order.</w:t>
            </w:r>
            <w:r w:rsidRPr="00154F1D">
              <w:rPr>
                <w:rStyle w:val="FootnoteReference"/>
                <w:szCs w:val="20"/>
              </w:rPr>
              <w:footnoteReference w:id="926"/>
            </w:r>
          </w:p>
        </w:tc>
      </w:tr>
      <w:tr w:rsidR="0014208F" w:rsidRPr="00154F1D" w14:paraId="578593C9" w14:textId="77777777" w:rsidTr="00744503">
        <w:tc>
          <w:tcPr>
            <w:tcW w:w="1207" w:type="pct"/>
            <w:vAlign w:val="center"/>
          </w:tcPr>
          <w:p w14:paraId="4917476D" w14:textId="69515173" w:rsidR="0014208F" w:rsidRPr="00154F1D" w:rsidRDefault="0014208F" w:rsidP="00744503">
            <w:pPr>
              <w:spacing w:before="40" w:after="40"/>
              <w:rPr>
                <w:sz w:val="20"/>
                <w:szCs w:val="20"/>
              </w:rPr>
            </w:pPr>
            <w:r w:rsidRPr="00154F1D">
              <w:rPr>
                <w:sz w:val="20"/>
                <w:szCs w:val="20"/>
              </w:rPr>
              <w:t>Western Australia</w:t>
            </w:r>
          </w:p>
        </w:tc>
        <w:tc>
          <w:tcPr>
            <w:tcW w:w="3793" w:type="pct"/>
            <w:vAlign w:val="center"/>
          </w:tcPr>
          <w:p w14:paraId="1D1C08AD" w14:textId="77777777" w:rsidR="0014208F" w:rsidRPr="00154F1D" w:rsidRDefault="0014208F" w:rsidP="00744503">
            <w:pPr>
              <w:spacing w:before="40" w:after="40"/>
              <w:rPr>
                <w:sz w:val="20"/>
                <w:szCs w:val="20"/>
              </w:rPr>
            </w:pPr>
          </w:p>
        </w:tc>
      </w:tr>
      <w:tr w:rsidR="0014208F" w:rsidRPr="00154F1D" w14:paraId="174EAC3F" w14:textId="77777777" w:rsidTr="00744503">
        <w:tc>
          <w:tcPr>
            <w:tcW w:w="1207" w:type="pct"/>
            <w:vAlign w:val="center"/>
          </w:tcPr>
          <w:p w14:paraId="3A83760A" w14:textId="77777777" w:rsidR="0014208F" w:rsidRPr="00154F1D" w:rsidRDefault="0014208F" w:rsidP="00744503">
            <w:pPr>
              <w:spacing w:before="40" w:after="40"/>
              <w:ind w:left="311"/>
              <w:rPr>
                <w:i/>
                <w:sz w:val="20"/>
                <w:szCs w:val="20"/>
              </w:rPr>
            </w:pPr>
            <w:r w:rsidRPr="00154F1D">
              <w:rPr>
                <w:i/>
                <w:sz w:val="20"/>
                <w:szCs w:val="20"/>
              </w:rPr>
              <w:t>Unfit</w:t>
            </w:r>
          </w:p>
        </w:tc>
        <w:tc>
          <w:tcPr>
            <w:tcW w:w="3793" w:type="pct"/>
            <w:vAlign w:val="center"/>
          </w:tcPr>
          <w:p w14:paraId="60542650" w14:textId="77777777" w:rsidR="0014208F" w:rsidRPr="00154F1D" w:rsidRDefault="0014208F" w:rsidP="00744503">
            <w:pPr>
              <w:spacing w:before="40" w:after="40"/>
              <w:rPr>
                <w:sz w:val="20"/>
                <w:szCs w:val="20"/>
              </w:rPr>
            </w:pPr>
            <w:r w:rsidRPr="00154F1D">
              <w:rPr>
                <w:sz w:val="20"/>
                <w:szCs w:val="20"/>
              </w:rPr>
              <w:t>Release the accused or make a custody order.</w:t>
            </w:r>
            <w:r w:rsidRPr="00154F1D">
              <w:rPr>
                <w:rStyle w:val="FootnoteReference"/>
                <w:szCs w:val="20"/>
              </w:rPr>
              <w:footnoteReference w:id="927"/>
            </w:r>
          </w:p>
        </w:tc>
      </w:tr>
      <w:tr w:rsidR="0014208F" w:rsidRPr="00154F1D" w14:paraId="3D269FFC" w14:textId="77777777" w:rsidTr="00744503">
        <w:tc>
          <w:tcPr>
            <w:tcW w:w="1207" w:type="pct"/>
            <w:vAlign w:val="center"/>
          </w:tcPr>
          <w:p w14:paraId="4032B6EB" w14:textId="77777777" w:rsidR="0014208F" w:rsidRPr="00154F1D" w:rsidRDefault="0014208F" w:rsidP="00744503">
            <w:pPr>
              <w:spacing w:before="40" w:after="40"/>
              <w:ind w:left="311"/>
              <w:rPr>
                <w:i/>
                <w:sz w:val="20"/>
                <w:szCs w:val="20"/>
              </w:rPr>
            </w:pPr>
            <w:r w:rsidRPr="00154F1D">
              <w:rPr>
                <w:i/>
                <w:sz w:val="20"/>
                <w:szCs w:val="20"/>
              </w:rPr>
              <w:t>Unsound mind</w:t>
            </w:r>
          </w:p>
        </w:tc>
        <w:tc>
          <w:tcPr>
            <w:tcW w:w="3793" w:type="pct"/>
            <w:vAlign w:val="center"/>
          </w:tcPr>
          <w:p w14:paraId="74A01A87" w14:textId="77777777" w:rsidR="0014208F" w:rsidRPr="00154F1D" w:rsidRDefault="0014208F" w:rsidP="00744503">
            <w:pPr>
              <w:spacing w:before="40" w:after="40"/>
              <w:rPr>
                <w:sz w:val="20"/>
                <w:szCs w:val="20"/>
              </w:rPr>
            </w:pPr>
            <w:r w:rsidRPr="00154F1D">
              <w:rPr>
                <w:sz w:val="20"/>
                <w:szCs w:val="20"/>
              </w:rPr>
              <w:t>If offence from Schedule 1 – the court must make a custody order and if not a Schedule 1 offence, the court may release the accused conditionally, make a conditional release order, a community based order or an intensive supervision order or a custody order.</w:t>
            </w:r>
            <w:r w:rsidRPr="00154F1D">
              <w:rPr>
                <w:rStyle w:val="FootnoteReference"/>
                <w:szCs w:val="20"/>
              </w:rPr>
              <w:footnoteReference w:id="928"/>
            </w:r>
          </w:p>
        </w:tc>
      </w:tr>
      <w:tr w:rsidR="0014208F" w:rsidRPr="00154F1D" w14:paraId="1FC408A1" w14:textId="77777777" w:rsidTr="00744503">
        <w:tc>
          <w:tcPr>
            <w:tcW w:w="1207" w:type="pct"/>
            <w:vAlign w:val="center"/>
          </w:tcPr>
          <w:p w14:paraId="0DD4529A" w14:textId="77777777" w:rsidR="0014208F" w:rsidRPr="00154F1D" w:rsidRDefault="0014208F" w:rsidP="00744503">
            <w:pPr>
              <w:spacing w:before="40" w:after="40"/>
              <w:rPr>
                <w:sz w:val="20"/>
                <w:szCs w:val="20"/>
              </w:rPr>
            </w:pPr>
            <w:r w:rsidRPr="00154F1D">
              <w:rPr>
                <w:sz w:val="20"/>
                <w:szCs w:val="20"/>
              </w:rPr>
              <w:t>Queensland</w:t>
            </w:r>
          </w:p>
        </w:tc>
        <w:tc>
          <w:tcPr>
            <w:tcW w:w="3793" w:type="pct"/>
            <w:vAlign w:val="center"/>
          </w:tcPr>
          <w:p w14:paraId="12FE35BA" w14:textId="64874498" w:rsidR="0014208F" w:rsidRPr="00154F1D" w:rsidRDefault="0014208F" w:rsidP="00744503">
            <w:pPr>
              <w:spacing w:before="40" w:after="40"/>
              <w:rPr>
                <w:sz w:val="20"/>
                <w:szCs w:val="20"/>
              </w:rPr>
            </w:pPr>
            <w:r w:rsidRPr="00154F1D">
              <w:rPr>
                <w:sz w:val="20"/>
                <w:szCs w:val="20"/>
              </w:rPr>
              <w:t>A court may either discharge the person or may order the person to be admitted to an authori</w:t>
            </w:r>
            <w:r w:rsidR="00ED53DA" w:rsidRPr="00154F1D">
              <w:rPr>
                <w:sz w:val="20"/>
                <w:szCs w:val="20"/>
              </w:rPr>
              <w:t>s</w:t>
            </w:r>
            <w:r w:rsidRPr="00154F1D">
              <w:rPr>
                <w:sz w:val="20"/>
                <w:szCs w:val="20"/>
              </w:rPr>
              <w:t xml:space="preserve">ed mental health service to be dealt with under the </w:t>
            </w:r>
            <w:r w:rsidRPr="00154F1D">
              <w:rPr>
                <w:i/>
                <w:sz w:val="20"/>
                <w:szCs w:val="20"/>
              </w:rPr>
              <w:t>Mental Health Act 2016</w:t>
            </w:r>
            <w:r w:rsidRPr="00154F1D">
              <w:rPr>
                <w:sz w:val="20"/>
                <w:szCs w:val="20"/>
              </w:rPr>
              <w:t xml:space="preserve"> (Qld).</w:t>
            </w:r>
            <w:r w:rsidRPr="00154F1D">
              <w:rPr>
                <w:rStyle w:val="FootnoteReference"/>
                <w:szCs w:val="20"/>
              </w:rPr>
              <w:footnoteReference w:id="929"/>
            </w:r>
            <w:r w:rsidRPr="00154F1D">
              <w:rPr>
                <w:sz w:val="20"/>
                <w:szCs w:val="20"/>
              </w:rPr>
              <w:t xml:space="preserve"> The Mental Health Review Tribunal may make a forensic order (mental health) or forensic order (disability).</w:t>
            </w:r>
            <w:r w:rsidRPr="00154F1D">
              <w:rPr>
                <w:rStyle w:val="FootnoteReference"/>
                <w:szCs w:val="20"/>
              </w:rPr>
              <w:footnoteReference w:id="930"/>
            </w:r>
            <w:r w:rsidRPr="00154F1D">
              <w:rPr>
                <w:sz w:val="20"/>
                <w:szCs w:val="20"/>
              </w:rPr>
              <w:t xml:space="preserve"> In addition, if a person is acquitted on the grounds of insanity, the Governor may order the safe custody of the person during the Governor’s pleasure.</w:t>
            </w:r>
            <w:r w:rsidRPr="00154F1D">
              <w:rPr>
                <w:rStyle w:val="FootnoteReference"/>
                <w:szCs w:val="20"/>
              </w:rPr>
              <w:footnoteReference w:id="931"/>
            </w:r>
          </w:p>
          <w:p w14:paraId="3D5FD03A" w14:textId="77777777" w:rsidR="0014208F" w:rsidRPr="00154F1D" w:rsidRDefault="0014208F" w:rsidP="00744503">
            <w:pPr>
              <w:spacing w:before="40" w:after="40"/>
              <w:rPr>
                <w:sz w:val="20"/>
                <w:szCs w:val="20"/>
              </w:rPr>
            </w:pPr>
            <w:r w:rsidRPr="00154F1D">
              <w:rPr>
                <w:sz w:val="20"/>
                <w:szCs w:val="20"/>
              </w:rPr>
              <w:t xml:space="preserve">There is also provision for the Mental Health Court to deal with the matter under the </w:t>
            </w:r>
            <w:r w:rsidRPr="00154F1D">
              <w:rPr>
                <w:i/>
                <w:sz w:val="20"/>
                <w:szCs w:val="20"/>
              </w:rPr>
              <w:t xml:space="preserve">Mental Health Act 2016 </w:t>
            </w:r>
            <w:r w:rsidRPr="00154F1D">
              <w:rPr>
                <w:sz w:val="20"/>
                <w:szCs w:val="20"/>
              </w:rPr>
              <w:t>(Qld) for some offences.</w:t>
            </w:r>
            <w:r w:rsidRPr="00154F1D">
              <w:rPr>
                <w:rStyle w:val="FootnoteReference"/>
                <w:szCs w:val="20"/>
              </w:rPr>
              <w:footnoteReference w:id="932"/>
            </w:r>
            <w:r w:rsidRPr="00154F1D">
              <w:rPr>
                <w:sz w:val="20"/>
                <w:szCs w:val="20"/>
              </w:rPr>
              <w:t xml:space="preserve"> In this case, the Mental Health Court may make a forensic order (mental health) or forensic order (disability) or make a treatment support order.</w:t>
            </w:r>
            <w:r w:rsidRPr="00154F1D">
              <w:rPr>
                <w:rStyle w:val="FootnoteReference"/>
                <w:szCs w:val="20"/>
              </w:rPr>
              <w:footnoteReference w:id="933"/>
            </w:r>
          </w:p>
        </w:tc>
      </w:tr>
      <w:tr w:rsidR="0014208F" w:rsidRPr="00154F1D" w14:paraId="1F5658AE" w14:textId="77777777" w:rsidTr="00744503">
        <w:tc>
          <w:tcPr>
            <w:tcW w:w="1207" w:type="pct"/>
            <w:vAlign w:val="center"/>
          </w:tcPr>
          <w:p w14:paraId="3E8BCDDF" w14:textId="77777777" w:rsidR="0014208F" w:rsidRPr="00154F1D" w:rsidRDefault="0014208F" w:rsidP="00744503">
            <w:pPr>
              <w:spacing w:before="40" w:after="40"/>
              <w:rPr>
                <w:sz w:val="20"/>
                <w:szCs w:val="20"/>
              </w:rPr>
            </w:pPr>
            <w:r w:rsidRPr="00154F1D">
              <w:rPr>
                <w:sz w:val="20"/>
                <w:szCs w:val="20"/>
              </w:rPr>
              <w:t>Australian Capital Territory</w:t>
            </w:r>
          </w:p>
        </w:tc>
        <w:tc>
          <w:tcPr>
            <w:tcW w:w="3793" w:type="pct"/>
            <w:vAlign w:val="center"/>
          </w:tcPr>
          <w:p w14:paraId="1465C57F" w14:textId="77777777" w:rsidR="0014208F" w:rsidRPr="00154F1D" w:rsidRDefault="0014208F" w:rsidP="00744503">
            <w:pPr>
              <w:spacing w:before="40" w:after="40"/>
              <w:rPr>
                <w:sz w:val="20"/>
                <w:szCs w:val="20"/>
              </w:rPr>
            </w:pPr>
            <w:r w:rsidRPr="00154F1D">
              <w:rPr>
                <w:sz w:val="20"/>
                <w:szCs w:val="20"/>
              </w:rPr>
              <w:t xml:space="preserve">In the Supreme Court, for non-serious offences, the court can make the orders it considers appropriate, including that the accused by detained in custody for review by ACAT under the </w:t>
            </w:r>
            <w:r w:rsidRPr="00154F1D">
              <w:rPr>
                <w:i/>
                <w:sz w:val="20"/>
                <w:szCs w:val="20"/>
              </w:rPr>
              <w:t xml:space="preserve">Mental Health Act 2015 </w:t>
            </w:r>
            <w:r w:rsidRPr="00154F1D">
              <w:rPr>
                <w:sz w:val="20"/>
                <w:szCs w:val="20"/>
              </w:rPr>
              <w:t xml:space="preserve">s 180 or that the accused submit to the jurisdiction of ACAT to allow the ACAT to make a mental health order or a forensic mental health order under the </w:t>
            </w:r>
            <w:r w:rsidRPr="00154F1D">
              <w:rPr>
                <w:i/>
                <w:sz w:val="20"/>
                <w:szCs w:val="20"/>
              </w:rPr>
              <w:t>Mental Health Act 2015</w:t>
            </w:r>
            <w:r w:rsidRPr="00154F1D">
              <w:rPr>
                <w:sz w:val="20"/>
                <w:szCs w:val="20"/>
              </w:rPr>
              <w:t>. For serious offences, the court must make an order for review and must, if taking into account the relevant criteria (outlined below) order the accused to submit to the jurisdiction of ACAT for the purposes of making the order.</w:t>
            </w:r>
            <w:r w:rsidRPr="00154F1D">
              <w:rPr>
                <w:rStyle w:val="FootnoteReference"/>
                <w:szCs w:val="20"/>
              </w:rPr>
              <w:footnoteReference w:id="934"/>
            </w:r>
          </w:p>
        </w:tc>
      </w:tr>
      <w:tr w:rsidR="0014208F" w:rsidRPr="00154F1D" w14:paraId="731CD34F" w14:textId="77777777" w:rsidTr="00744503">
        <w:tc>
          <w:tcPr>
            <w:tcW w:w="1207" w:type="pct"/>
            <w:vAlign w:val="center"/>
          </w:tcPr>
          <w:p w14:paraId="4E94BFE3" w14:textId="77777777" w:rsidR="0014208F" w:rsidRPr="00154F1D" w:rsidRDefault="0014208F" w:rsidP="00744503">
            <w:pPr>
              <w:spacing w:before="40" w:after="40"/>
              <w:rPr>
                <w:sz w:val="20"/>
                <w:szCs w:val="20"/>
              </w:rPr>
            </w:pPr>
            <w:r w:rsidRPr="00154F1D">
              <w:rPr>
                <w:sz w:val="20"/>
                <w:szCs w:val="20"/>
              </w:rPr>
              <w:t>Northern Territory</w:t>
            </w:r>
          </w:p>
        </w:tc>
        <w:tc>
          <w:tcPr>
            <w:tcW w:w="3793" w:type="pct"/>
            <w:vAlign w:val="center"/>
          </w:tcPr>
          <w:p w14:paraId="3B92358A" w14:textId="77777777" w:rsidR="0014208F" w:rsidRPr="00154F1D" w:rsidRDefault="0014208F" w:rsidP="00744503">
            <w:pPr>
              <w:spacing w:before="40" w:after="40"/>
              <w:rPr>
                <w:sz w:val="20"/>
                <w:szCs w:val="20"/>
              </w:rPr>
            </w:pPr>
            <w:r w:rsidRPr="00154F1D">
              <w:rPr>
                <w:sz w:val="20"/>
                <w:szCs w:val="20"/>
              </w:rPr>
              <w:t>The court must declare the person is liable to supervision under Division 5 or order the person to be released unconditionally.</w:t>
            </w:r>
            <w:r w:rsidRPr="00154F1D">
              <w:rPr>
                <w:rStyle w:val="FootnoteReference"/>
                <w:szCs w:val="20"/>
              </w:rPr>
              <w:footnoteReference w:id="935"/>
            </w:r>
            <w:r w:rsidRPr="00154F1D">
              <w:rPr>
                <w:sz w:val="20"/>
                <w:szCs w:val="20"/>
              </w:rPr>
              <w:t xml:space="preserve"> A supervision order can be a custodial supervision order or a non-custodial supervision order.</w:t>
            </w:r>
            <w:r w:rsidRPr="00154F1D">
              <w:rPr>
                <w:rStyle w:val="FootnoteReference"/>
                <w:szCs w:val="20"/>
              </w:rPr>
              <w:footnoteReference w:id="936"/>
            </w:r>
          </w:p>
        </w:tc>
      </w:tr>
    </w:tbl>
    <w:p w14:paraId="2B1DEC72" w14:textId="67A6D022" w:rsidR="0014208F" w:rsidRPr="00154F1D" w:rsidRDefault="0014208F" w:rsidP="00C94EE0">
      <w:pPr>
        <w:pStyle w:val="NumberlessNormalText"/>
        <w:spacing w:before="360" w:after="60"/>
        <w:rPr>
          <w:b/>
        </w:rPr>
      </w:pPr>
      <w:r w:rsidRPr="00154F1D">
        <w:rPr>
          <w:b/>
        </w:rPr>
        <w:t xml:space="preserve">Table </w:t>
      </w:r>
      <w:r w:rsidR="00BA4488" w:rsidRPr="00154F1D">
        <w:rPr>
          <w:b/>
        </w:rPr>
        <w:t>A3.2</w:t>
      </w:r>
      <w:r w:rsidRPr="00154F1D">
        <w:rPr>
          <w:b/>
        </w:rPr>
        <w:t>: Test for making orders</w:t>
      </w:r>
    </w:p>
    <w:tbl>
      <w:tblPr>
        <w:tblStyle w:val="TableGrid"/>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004"/>
        <w:gridCol w:w="6296"/>
      </w:tblGrid>
      <w:tr w:rsidR="0014208F" w:rsidRPr="00154F1D" w14:paraId="7B798DE0" w14:textId="77777777" w:rsidTr="00C94EE0">
        <w:tc>
          <w:tcPr>
            <w:tcW w:w="1207" w:type="pct"/>
            <w:vAlign w:val="center"/>
          </w:tcPr>
          <w:p w14:paraId="3604A9E8" w14:textId="77777777" w:rsidR="0014208F" w:rsidRPr="00154F1D" w:rsidRDefault="0014208F" w:rsidP="00C94EE0">
            <w:pPr>
              <w:spacing w:beforeLines="40" w:before="96" w:afterLines="40" w:after="96"/>
              <w:rPr>
                <w:b/>
                <w:sz w:val="20"/>
                <w:szCs w:val="20"/>
              </w:rPr>
            </w:pPr>
            <w:r w:rsidRPr="00154F1D">
              <w:rPr>
                <w:b/>
                <w:sz w:val="20"/>
                <w:szCs w:val="20"/>
              </w:rPr>
              <w:t>Jurisdiction</w:t>
            </w:r>
          </w:p>
        </w:tc>
        <w:tc>
          <w:tcPr>
            <w:tcW w:w="3793" w:type="pct"/>
            <w:vAlign w:val="center"/>
          </w:tcPr>
          <w:p w14:paraId="6BF6F09C" w14:textId="77777777" w:rsidR="0014208F" w:rsidRPr="00154F1D" w:rsidRDefault="0014208F" w:rsidP="00C94EE0">
            <w:pPr>
              <w:spacing w:beforeLines="40" w:before="96" w:afterLines="40" w:after="96"/>
              <w:rPr>
                <w:b/>
                <w:sz w:val="20"/>
                <w:szCs w:val="20"/>
              </w:rPr>
            </w:pPr>
            <w:r w:rsidRPr="00154F1D">
              <w:rPr>
                <w:b/>
                <w:sz w:val="20"/>
                <w:szCs w:val="20"/>
              </w:rPr>
              <w:t>Details</w:t>
            </w:r>
          </w:p>
        </w:tc>
      </w:tr>
      <w:tr w:rsidR="0014208F" w:rsidRPr="00154F1D" w14:paraId="0BB8D1A1" w14:textId="77777777" w:rsidTr="00C94EE0">
        <w:tc>
          <w:tcPr>
            <w:tcW w:w="1207" w:type="pct"/>
            <w:vAlign w:val="center"/>
          </w:tcPr>
          <w:p w14:paraId="0144B84D" w14:textId="77777777" w:rsidR="0014208F" w:rsidRPr="00154F1D" w:rsidRDefault="0014208F" w:rsidP="00C94EE0">
            <w:pPr>
              <w:spacing w:beforeLines="40" w:before="96" w:afterLines="40" w:after="96"/>
              <w:rPr>
                <w:sz w:val="20"/>
                <w:szCs w:val="20"/>
              </w:rPr>
            </w:pPr>
            <w:r w:rsidRPr="00154F1D">
              <w:rPr>
                <w:sz w:val="20"/>
                <w:szCs w:val="20"/>
              </w:rPr>
              <w:t>Commonwealth</w:t>
            </w:r>
          </w:p>
        </w:tc>
        <w:tc>
          <w:tcPr>
            <w:tcW w:w="3793" w:type="pct"/>
            <w:vAlign w:val="center"/>
          </w:tcPr>
          <w:p w14:paraId="445F0111" w14:textId="77777777" w:rsidR="0014208F" w:rsidRPr="00154F1D" w:rsidRDefault="0014208F" w:rsidP="00C94EE0">
            <w:pPr>
              <w:spacing w:beforeLines="40" w:before="96" w:afterLines="40" w:after="96"/>
              <w:rPr>
                <w:sz w:val="20"/>
                <w:szCs w:val="20"/>
              </w:rPr>
            </w:pPr>
            <w:r w:rsidRPr="00154F1D">
              <w:rPr>
                <w:sz w:val="20"/>
                <w:szCs w:val="20"/>
              </w:rPr>
              <w:t>Detained in hospital if the person is suffering a mental illness or a mental condition for which treatment is available in a hospital and the person does not object, otherwise, order detention in a place other than a hospital, including a prison.</w:t>
            </w:r>
            <w:r w:rsidRPr="00154F1D">
              <w:rPr>
                <w:rStyle w:val="FootnoteReference"/>
                <w:szCs w:val="20"/>
              </w:rPr>
              <w:footnoteReference w:id="937"/>
            </w:r>
            <w:r w:rsidRPr="00154F1D">
              <w:rPr>
                <w:sz w:val="20"/>
                <w:szCs w:val="20"/>
              </w:rPr>
              <w:t xml:space="preserve"> The court can order release if it is more appropriate to do so.</w:t>
            </w:r>
            <w:r w:rsidRPr="00154F1D">
              <w:rPr>
                <w:rStyle w:val="FootnoteReference"/>
                <w:szCs w:val="20"/>
              </w:rPr>
              <w:footnoteReference w:id="938"/>
            </w:r>
          </w:p>
        </w:tc>
      </w:tr>
      <w:tr w:rsidR="0014208F" w:rsidRPr="00154F1D" w14:paraId="50421CF1" w14:textId="77777777" w:rsidTr="00C94EE0">
        <w:tc>
          <w:tcPr>
            <w:tcW w:w="1207" w:type="pct"/>
            <w:vAlign w:val="center"/>
          </w:tcPr>
          <w:p w14:paraId="073613E9" w14:textId="27E0D020" w:rsidR="0014208F" w:rsidRPr="00154F1D" w:rsidRDefault="0014208F" w:rsidP="00C94EE0">
            <w:pPr>
              <w:spacing w:beforeLines="40" w:before="96" w:afterLines="40" w:after="96"/>
              <w:rPr>
                <w:sz w:val="20"/>
                <w:szCs w:val="20"/>
              </w:rPr>
            </w:pPr>
            <w:r w:rsidRPr="00154F1D">
              <w:rPr>
                <w:sz w:val="20"/>
                <w:szCs w:val="20"/>
              </w:rPr>
              <w:t>New South Wales</w:t>
            </w:r>
          </w:p>
        </w:tc>
        <w:tc>
          <w:tcPr>
            <w:tcW w:w="3793" w:type="pct"/>
            <w:vAlign w:val="center"/>
          </w:tcPr>
          <w:p w14:paraId="40A68B7D" w14:textId="77777777" w:rsidR="0014208F" w:rsidRPr="00154F1D" w:rsidRDefault="0014208F" w:rsidP="00C94EE0">
            <w:pPr>
              <w:spacing w:beforeLines="40" w:before="96" w:afterLines="40" w:after="96"/>
              <w:rPr>
                <w:sz w:val="20"/>
                <w:szCs w:val="20"/>
              </w:rPr>
            </w:pPr>
          </w:p>
        </w:tc>
      </w:tr>
      <w:tr w:rsidR="0014208F" w:rsidRPr="00154F1D" w14:paraId="369DF85F" w14:textId="77777777" w:rsidTr="00C94EE0">
        <w:tc>
          <w:tcPr>
            <w:tcW w:w="1207" w:type="pct"/>
            <w:vAlign w:val="center"/>
          </w:tcPr>
          <w:p w14:paraId="135D1DEC" w14:textId="77777777" w:rsidR="0014208F" w:rsidRPr="00154F1D" w:rsidRDefault="0014208F" w:rsidP="00C94EE0">
            <w:pPr>
              <w:spacing w:beforeLines="40" w:before="96" w:afterLines="40" w:after="96"/>
              <w:ind w:left="311"/>
              <w:rPr>
                <w:i/>
                <w:sz w:val="20"/>
                <w:szCs w:val="20"/>
              </w:rPr>
            </w:pPr>
            <w:r w:rsidRPr="00154F1D">
              <w:rPr>
                <w:i/>
                <w:sz w:val="20"/>
                <w:szCs w:val="20"/>
              </w:rPr>
              <w:t>UNA</w:t>
            </w:r>
          </w:p>
        </w:tc>
        <w:tc>
          <w:tcPr>
            <w:tcW w:w="3793" w:type="pct"/>
            <w:vAlign w:val="center"/>
          </w:tcPr>
          <w:p w14:paraId="7651AE70" w14:textId="77777777" w:rsidR="0014208F" w:rsidRPr="00154F1D" w:rsidRDefault="0014208F" w:rsidP="00C94EE0">
            <w:pPr>
              <w:spacing w:beforeLines="40" w:before="96" w:afterLines="40" w:after="96"/>
              <w:rPr>
                <w:sz w:val="20"/>
                <w:szCs w:val="20"/>
              </w:rPr>
            </w:pPr>
            <w:r w:rsidRPr="00154F1D">
              <w:rPr>
                <w:sz w:val="20"/>
                <w:szCs w:val="20"/>
              </w:rPr>
              <w:t xml:space="preserve">Whether or not imprisonment would have been imposed in course of normal trial. There is no prerequisite in relation to endangerment of the public but this is taken into account in applying principles of sentencing. </w:t>
            </w:r>
          </w:p>
        </w:tc>
      </w:tr>
      <w:tr w:rsidR="0014208F" w:rsidRPr="00154F1D" w14:paraId="7D07B84C" w14:textId="77777777" w:rsidTr="00C94EE0">
        <w:tc>
          <w:tcPr>
            <w:tcW w:w="1207" w:type="pct"/>
            <w:vAlign w:val="center"/>
          </w:tcPr>
          <w:p w14:paraId="654E2DC0" w14:textId="77777777" w:rsidR="0014208F" w:rsidRPr="00154F1D" w:rsidRDefault="0014208F" w:rsidP="00C94EE0">
            <w:pPr>
              <w:spacing w:beforeLines="40" w:before="96" w:afterLines="40" w:after="96"/>
              <w:ind w:left="311"/>
              <w:rPr>
                <w:i/>
                <w:sz w:val="20"/>
                <w:szCs w:val="20"/>
              </w:rPr>
            </w:pPr>
            <w:r w:rsidRPr="00154F1D">
              <w:rPr>
                <w:i/>
                <w:sz w:val="20"/>
                <w:szCs w:val="20"/>
              </w:rPr>
              <w:t>NGMI</w:t>
            </w:r>
          </w:p>
        </w:tc>
        <w:tc>
          <w:tcPr>
            <w:tcW w:w="3793" w:type="pct"/>
            <w:vAlign w:val="center"/>
          </w:tcPr>
          <w:p w14:paraId="7D621469" w14:textId="2CF2B22C" w:rsidR="0014208F" w:rsidRPr="00154F1D" w:rsidRDefault="0014208F" w:rsidP="00C94EE0">
            <w:pPr>
              <w:spacing w:beforeLines="40" w:before="96" w:afterLines="40" w:after="96"/>
              <w:rPr>
                <w:sz w:val="20"/>
                <w:szCs w:val="20"/>
              </w:rPr>
            </w:pPr>
            <w:r w:rsidRPr="00154F1D">
              <w:rPr>
                <w:sz w:val="20"/>
                <w:szCs w:val="20"/>
              </w:rPr>
              <w:t>Can only order conditional or unconditional release where satisfied on balance that the safety of the person or any member of the public will not be seriously endangered if the person is released.</w:t>
            </w:r>
          </w:p>
          <w:p w14:paraId="36B5F1BD" w14:textId="77777777" w:rsidR="0014208F" w:rsidRPr="00154F1D" w:rsidRDefault="0014208F" w:rsidP="00C94EE0">
            <w:pPr>
              <w:spacing w:beforeLines="40" w:before="96" w:afterLines="40" w:after="96"/>
              <w:rPr>
                <w:sz w:val="20"/>
                <w:szCs w:val="20"/>
              </w:rPr>
            </w:pPr>
            <w:r w:rsidRPr="00154F1D">
              <w:rPr>
                <w:sz w:val="20"/>
                <w:szCs w:val="20"/>
              </w:rPr>
              <w:t>There are very limited decisions considering factors relevant to courts decisions to detain or conditionally (or unconditionally) release following a finding of NGMI. In cases where courts have ordered that the person be released, the factors that were considered included the person’s diagnosis and response to and compliance with treatment before and after the offending conduct, the extent to which the person understands the need for, and is willing to accept ongoing treatment, the recommendations of treating and other psychiatrists and accommodation arrangements.</w:t>
            </w:r>
            <w:r w:rsidRPr="00154F1D">
              <w:rPr>
                <w:rStyle w:val="FootnoteReference"/>
                <w:szCs w:val="20"/>
              </w:rPr>
              <w:footnoteReference w:id="939"/>
            </w:r>
          </w:p>
        </w:tc>
      </w:tr>
      <w:tr w:rsidR="0014208F" w:rsidRPr="00154F1D" w14:paraId="63C1DFCC" w14:textId="77777777" w:rsidTr="00C94EE0">
        <w:tc>
          <w:tcPr>
            <w:tcW w:w="1207" w:type="pct"/>
            <w:vAlign w:val="center"/>
          </w:tcPr>
          <w:p w14:paraId="2C36373E" w14:textId="77777777" w:rsidR="0014208F" w:rsidRPr="00154F1D" w:rsidRDefault="0014208F" w:rsidP="00C94EE0">
            <w:pPr>
              <w:spacing w:beforeLines="40" w:before="96" w:afterLines="40" w:after="96"/>
              <w:rPr>
                <w:sz w:val="20"/>
                <w:szCs w:val="20"/>
              </w:rPr>
            </w:pPr>
            <w:r w:rsidRPr="00154F1D">
              <w:rPr>
                <w:sz w:val="20"/>
                <w:szCs w:val="20"/>
              </w:rPr>
              <w:t>South Australia</w:t>
            </w:r>
          </w:p>
        </w:tc>
        <w:tc>
          <w:tcPr>
            <w:tcW w:w="3793" w:type="pct"/>
            <w:vAlign w:val="center"/>
          </w:tcPr>
          <w:p w14:paraId="36F21446" w14:textId="77777777" w:rsidR="0014208F" w:rsidRPr="00154F1D" w:rsidRDefault="0014208F" w:rsidP="00C94EE0">
            <w:pPr>
              <w:spacing w:beforeLines="40" w:before="96" w:afterLines="40" w:after="96"/>
              <w:rPr>
                <w:sz w:val="20"/>
                <w:szCs w:val="20"/>
              </w:rPr>
            </w:pPr>
            <w:r w:rsidRPr="00154F1D">
              <w:rPr>
                <w:sz w:val="20"/>
                <w:szCs w:val="20"/>
              </w:rPr>
              <w:t>Must take into account views of next of kin of the D and any victim (or next of kin of the victim).</w:t>
            </w:r>
            <w:r w:rsidRPr="00154F1D">
              <w:rPr>
                <w:rStyle w:val="FootnoteReference"/>
                <w:szCs w:val="20"/>
              </w:rPr>
              <w:footnoteReference w:id="940"/>
            </w:r>
          </w:p>
          <w:p w14:paraId="0000979A" w14:textId="40B9BE28" w:rsidR="0014208F" w:rsidRPr="00154F1D" w:rsidRDefault="0073202C" w:rsidP="00C94EE0">
            <w:pPr>
              <w:spacing w:beforeLines="40" w:before="96" w:afterLines="40" w:after="96"/>
              <w:rPr>
                <w:sz w:val="20"/>
                <w:szCs w:val="20"/>
              </w:rPr>
            </w:pPr>
            <w:r w:rsidRPr="00154F1D">
              <w:rPr>
                <w:sz w:val="20"/>
                <w:szCs w:val="20"/>
              </w:rPr>
              <w:t>The paramount consideration of the court in determining whether to release a defendant must be to protect the safety of the community</w:t>
            </w:r>
            <w:r w:rsidR="0014208F" w:rsidRPr="00154F1D">
              <w:rPr>
                <w:sz w:val="20"/>
                <w:szCs w:val="20"/>
              </w:rPr>
              <w:t>.</w:t>
            </w:r>
            <w:r w:rsidRPr="00154F1D">
              <w:rPr>
                <w:sz w:val="20"/>
                <w:szCs w:val="20"/>
              </w:rPr>
              <w:t xml:space="preserve"> This outweighs the principle that restrictions on the defendant’s freedom and person</w:t>
            </w:r>
            <w:r w:rsidR="009E5716" w:rsidRPr="00154F1D">
              <w:rPr>
                <w:sz w:val="20"/>
                <w:szCs w:val="20"/>
              </w:rPr>
              <w:t>al</w:t>
            </w:r>
            <w:r w:rsidRPr="00154F1D">
              <w:rPr>
                <w:sz w:val="20"/>
                <w:szCs w:val="20"/>
              </w:rPr>
              <w:t xml:space="preserve"> autonomy should be kept to a minimum.</w:t>
            </w:r>
            <w:r w:rsidR="0014208F" w:rsidRPr="00154F1D">
              <w:rPr>
                <w:rStyle w:val="FootnoteReference"/>
                <w:szCs w:val="20"/>
              </w:rPr>
              <w:footnoteReference w:id="941"/>
            </w:r>
          </w:p>
          <w:p w14:paraId="31C49E14" w14:textId="77777777" w:rsidR="0014208F" w:rsidRPr="00154F1D" w:rsidRDefault="0014208F" w:rsidP="00C94EE0">
            <w:pPr>
              <w:spacing w:beforeLines="40" w:before="96" w:afterLines="40" w:after="96"/>
              <w:rPr>
                <w:sz w:val="20"/>
                <w:szCs w:val="20"/>
              </w:rPr>
            </w:pPr>
            <w:r w:rsidRPr="00154F1D">
              <w:rPr>
                <w:sz w:val="20"/>
                <w:szCs w:val="20"/>
              </w:rPr>
              <w:t>Court should have regard to: the nature of the mental impairment; whether the D is, or would if released be, likely to endanger another person or other persons generally; whether there are adequate resources available for the treatment and support of the defendant in the community; and whether the defendant is likely to comply with the conditions of a licence and other matters that the court thinks relevant.</w:t>
            </w:r>
            <w:r w:rsidRPr="00154F1D">
              <w:rPr>
                <w:rStyle w:val="FootnoteReference"/>
                <w:szCs w:val="20"/>
              </w:rPr>
              <w:footnoteReference w:id="942"/>
            </w:r>
          </w:p>
          <w:p w14:paraId="5EF12268" w14:textId="6F459508" w:rsidR="0014208F" w:rsidRPr="00154F1D" w:rsidRDefault="0014208F" w:rsidP="00C94EE0">
            <w:pPr>
              <w:spacing w:beforeLines="40" w:before="96" w:afterLines="40" w:after="96"/>
              <w:rPr>
                <w:sz w:val="20"/>
                <w:szCs w:val="20"/>
              </w:rPr>
            </w:pPr>
            <w:r w:rsidRPr="00154F1D">
              <w:rPr>
                <w:sz w:val="20"/>
                <w:szCs w:val="20"/>
              </w:rPr>
              <w:t>If going to release the defendant, require expert reports on the mental condition of the defendant and the possible effects of the proposed action on the behavio</w:t>
            </w:r>
            <w:r w:rsidR="009E5716" w:rsidRPr="00154F1D">
              <w:rPr>
                <w:sz w:val="20"/>
                <w:szCs w:val="20"/>
              </w:rPr>
              <w:t>u</w:t>
            </w:r>
            <w:r w:rsidRPr="00154F1D">
              <w:rPr>
                <w:sz w:val="20"/>
                <w:szCs w:val="20"/>
              </w:rPr>
              <w:t>r of the defendant.</w:t>
            </w:r>
            <w:r w:rsidR="006718CD" w:rsidRPr="00154F1D">
              <w:rPr>
                <w:sz w:val="20"/>
                <w:szCs w:val="20"/>
              </w:rPr>
              <w:t xml:space="preserve"> The court must also not release a person unless satisfied on the balance of probabilities that the safety of the person or any member of the public will not be seriously endangered, and the attitudes of victims and next of kin.</w:t>
            </w:r>
            <w:r w:rsidRPr="00154F1D">
              <w:rPr>
                <w:rStyle w:val="FootnoteReference"/>
                <w:szCs w:val="20"/>
              </w:rPr>
              <w:footnoteReference w:id="943"/>
            </w:r>
          </w:p>
        </w:tc>
      </w:tr>
      <w:tr w:rsidR="0014208F" w:rsidRPr="00154F1D" w14:paraId="2723BD83" w14:textId="77777777" w:rsidTr="00C94EE0">
        <w:tc>
          <w:tcPr>
            <w:tcW w:w="1207" w:type="pct"/>
            <w:vAlign w:val="center"/>
          </w:tcPr>
          <w:p w14:paraId="1FB38428" w14:textId="77777777" w:rsidR="0014208F" w:rsidRPr="00154F1D" w:rsidRDefault="0014208F" w:rsidP="00C94EE0">
            <w:pPr>
              <w:spacing w:beforeLines="40" w:before="96" w:afterLines="40" w:after="96"/>
              <w:rPr>
                <w:sz w:val="20"/>
                <w:szCs w:val="20"/>
              </w:rPr>
            </w:pPr>
            <w:r w:rsidRPr="00154F1D">
              <w:rPr>
                <w:sz w:val="20"/>
                <w:szCs w:val="20"/>
              </w:rPr>
              <w:t>Victoria</w:t>
            </w:r>
          </w:p>
        </w:tc>
        <w:tc>
          <w:tcPr>
            <w:tcW w:w="3793" w:type="pct"/>
            <w:vAlign w:val="center"/>
          </w:tcPr>
          <w:p w14:paraId="44E1AD5A" w14:textId="77777777" w:rsidR="0014208F" w:rsidRPr="00154F1D" w:rsidRDefault="0014208F" w:rsidP="00C94EE0">
            <w:pPr>
              <w:spacing w:beforeLines="40" w:before="96" w:afterLines="40" w:after="96"/>
              <w:rPr>
                <w:sz w:val="20"/>
                <w:szCs w:val="20"/>
              </w:rPr>
            </w:pPr>
            <w:r w:rsidRPr="00154F1D">
              <w:rPr>
                <w:sz w:val="20"/>
                <w:szCs w:val="20"/>
              </w:rPr>
              <w:t>Court must apply the principle that restrictions on the defendant’s freedom and personal autonomy should be kept to the minimum consistent with the safety of the community.</w:t>
            </w:r>
            <w:r w:rsidRPr="00154F1D">
              <w:rPr>
                <w:rStyle w:val="FootnoteReference"/>
                <w:szCs w:val="20"/>
              </w:rPr>
              <w:footnoteReference w:id="944"/>
            </w:r>
          </w:p>
          <w:p w14:paraId="20C41FBA" w14:textId="77777777" w:rsidR="0014208F" w:rsidRPr="00154F1D" w:rsidRDefault="0014208F" w:rsidP="00C94EE0">
            <w:pPr>
              <w:spacing w:beforeLines="40" w:before="96" w:afterLines="40" w:after="96"/>
              <w:rPr>
                <w:sz w:val="20"/>
                <w:szCs w:val="20"/>
              </w:rPr>
            </w:pPr>
            <w:r w:rsidRPr="00154F1D">
              <w:rPr>
                <w:sz w:val="20"/>
                <w:szCs w:val="20"/>
              </w:rPr>
              <w:t>Court should have regard to: the nature of the mental impairment or other condition or disability; the relationship between the impairment, condition or disability and the offending conduct; whether the D is, or would if released be, likely to endanger themselves or another person or other persons generally; the need to protect people from such danger; whether there are adequate resources available for the treatment and support of the defendant in the community; and other matters that the court thinks relevant.</w:t>
            </w:r>
            <w:r w:rsidRPr="00154F1D">
              <w:rPr>
                <w:rStyle w:val="FootnoteReference"/>
                <w:szCs w:val="20"/>
              </w:rPr>
              <w:footnoteReference w:id="945"/>
            </w:r>
          </w:p>
          <w:p w14:paraId="1F01E7BB" w14:textId="30C0CB57" w:rsidR="0014208F" w:rsidRPr="00154F1D" w:rsidRDefault="0014208F" w:rsidP="00C94EE0">
            <w:pPr>
              <w:spacing w:beforeLines="40" w:before="96" w:afterLines="40" w:after="96"/>
              <w:rPr>
                <w:sz w:val="20"/>
                <w:szCs w:val="20"/>
              </w:rPr>
            </w:pPr>
            <w:r w:rsidRPr="00154F1D">
              <w:rPr>
                <w:sz w:val="20"/>
                <w:szCs w:val="20"/>
              </w:rPr>
              <w:t>If going to release the defendant, require expert reports on the mental condition of the defendant and the possible effects of the proposed action on the behavio</w:t>
            </w:r>
            <w:r w:rsidR="009E5716" w:rsidRPr="00154F1D">
              <w:rPr>
                <w:sz w:val="20"/>
                <w:szCs w:val="20"/>
              </w:rPr>
              <w:t>u</w:t>
            </w:r>
            <w:r w:rsidRPr="00154F1D">
              <w:rPr>
                <w:sz w:val="20"/>
                <w:szCs w:val="20"/>
              </w:rPr>
              <w:t>r of the defendant.</w:t>
            </w:r>
            <w:r w:rsidRPr="00154F1D">
              <w:rPr>
                <w:rStyle w:val="FootnoteReference"/>
                <w:szCs w:val="20"/>
              </w:rPr>
              <w:footnoteReference w:id="946"/>
            </w:r>
          </w:p>
        </w:tc>
      </w:tr>
      <w:tr w:rsidR="0014208F" w:rsidRPr="00154F1D" w14:paraId="31B96D94" w14:textId="77777777" w:rsidTr="00C94EE0">
        <w:tc>
          <w:tcPr>
            <w:tcW w:w="1207" w:type="pct"/>
            <w:vAlign w:val="center"/>
          </w:tcPr>
          <w:p w14:paraId="212A167F" w14:textId="77777777" w:rsidR="0014208F" w:rsidRPr="00154F1D" w:rsidRDefault="0014208F" w:rsidP="00C94EE0">
            <w:pPr>
              <w:spacing w:beforeLines="40" w:before="96" w:afterLines="40" w:after="96"/>
              <w:rPr>
                <w:sz w:val="20"/>
                <w:szCs w:val="20"/>
              </w:rPr>
            </w:pPr>
            <w:r w:rsidRPr="00154F1D">
              <w:rPr>
                <w:sz w:val="20"/>
                <w:szCs w:val="20"/>
              </w:rPr>
              <w:t>Western Australia</w:t>
            </w:r>
          </w:p>
        </w:tc>
        <w:tc>
          <w:tcPr>
            <w:tcW w:w="3793" w:type="pct"/>
            <w:vAlign w:val="center"/>
          </w:tcPr>
          <w:p w14:paraId="66ADB9AF" w14:textId="77777777" w:rsidR="0014208F" w:rsidRPr="00154F1D" w:rsidRDefault="0014208F" w:rsidP="00C94EE0">
            <w:pPr>
              <w:spacing w:beforeLines="40" w:before="96" w:afterLines="40" w:after="96"/>
              <w:rPr>
                <w:sz w:val="20"/>
                <w:szCs w:val="20"/>
              </w:rPr>
            </w:pPr>
          </w:p>
        </w:tc>
      </w:tr>
      <w:tr w:rsidR="0014208F" w:rsidRPr="00154F1D" w14:paraId="1A97DA3F" w14:textId="77777777" w:rsidTr="00C94EE0">
        <w:tc>
          <w:tcPr>
            <w:tcW w:w="1207" w:type="pct"/>
            <w:vAlign w:val="center"/>
          </w:tcPr>
          <w:p w14:paraId="31AD9C09" w14:textId="77777777" w:rsidR="0014208F" w:rsidRPr="00154F1D" w:rsidRDefault="0014208F" w:rsidP="00C94EE0">
            <w:pPr>
              <w:spacing w:beforeLines="40" w:before="96" w:afterLines="40" w:after="96"/>
              <w:ind w:left="311"/>
              <w:rPr>
                <w:i/>
                <w:sz w:val="20"/>
                <w:szCs w:val="20"/>
              </w:rPr>
            </w:pPr>
            <w:r w:rsidRPr="00154F1D">
              <w:rPr>
                <w:i/>
                <w:sz w:val="20"/>
                <w:szCs w:val="20"/>
              </w:rPr>
              <w:t>Unfit</w:t>
            </w:r>
          </w:p>
        </w:tc>
        <w:tc>
          <w:tcPr>
            <w:tcW w:w="3793" w:type="pct"/>
            <w:vAlign w:val="center"/>
          </w:tcPr>
          <w:p w14:paraId="6C47D3DE" w14:textId="77777777" w:rsidR="0014208F" w:rsidRPr="00154F1D" w:rsidRDefault="0014208F" w:rsidP="00C94EE0">
            <w:pPr>
              <w:spacing w:beforeLines="40" w:before="96" w:afterLines="40" w:after="96"/>
              <w:rPr>
                <w:sz w:val="20"/>
                <w:szCs w:val="20"/>
              </w:rPr>
            </w:pPr>
            <w:r w:rsidRPr="00154F1D">
              <w:rPr>
                <w:sz w:val="20"/>
                <w:szCs w:val="20"/>
              </w:rPr>
              <w:t>Custody order can only be made if the penalty is imprisonment and it is appropriate having regard to the strength of the evidence against the accused; the nature of the alleged offence and the alleged circumstances of its commission; the accused’s character, antecedents, age, health and mental conditions; and the public interest.</w:t>
            </w:r>
            <w:r w:rsidRPr="00154F1D">
              <w:rPr>
                <w:rStyle w:val="FootnoteReference"/>
                <w:szCs w:val="20"/>
              </w:rPr>
              <w:footnoteReference w:id="947"/>
            </w:r>
          </w:p>
        </w:tc>
      </w:tr>
      <w:tr w:rsidR="0014208F" w:rsidRPr="00154F1D" w14:paraId="21078736" w14:textId="77777777" w:rsidTr="00C94EE0">
        <w:tc>
          <w:tcPr>
            <w:tcW w:w="1207" w:type="pct"/>
            <w:vAlign w:val="center"/>
          </w:tcPr>
          <w:p w14:paraId="4E9C5A42" w14:textId="77777777" w:rsidR="0014208F" w:rsidRPr="00154F1D" w:rsidRDefault="0014208F" w:rsidP="00C94EE0">
            <w:pPr>
              <w:spacing w:beforeLines="40" w:before="96" w:afterLines="40" w:after="96"/>
              <w:ind w:left="311"/>
              <w:rPr>
                <w:i/>
                <w:sz w:val="20"/>
                <w:szCs w:val="20"/>
              </w:rPr>
            </w:pPr>
            <w:r w:rsidRPr="00154F1D">
              <w:rPr>
                <w:i/>
                <w:sz w:val="20"/>
                <w:szCs w:val="20"/>
              </w:rPr>
              <w:t>Unsound mind</w:t>
            </w:r>
          </w:p>
        </w:tc>
        <w:tc>
          <w:tcPr>
            <w:tcW w:w="3793" w:type="pct"/>
            <w:vAlign w:val="center"/>
          </w:tcPr>
          <w:p w14:paraId="5F3F78BB" w14:textId="2D6D0662" w:rsidR="0014208F" w:rsidRPr="00154F1D" w:rsidRDefault="0014208F" w:rsidP="00C94EE0">
            <w:pPr>
              <w:spacing w:beforeLines="40" w:before="96" w:afterLines="40" w:after="96"/>
              <w:rPr>
                <w:sz w:val="20"/>
                <w:szCs w:val="20"/>
              </w:rPr>
            </w:pPr>
            <w:r w:rsidRPr="00154F1D">
              <w:rPr>
                <w:sz w:val="20"/>
                <w:szCs w:val="20"/>
              </w:rPr>
              <w:t>Custody order if sch 1 offence. Otherwise release the accused unconditionally if it is just to do so having regard to the nature of the offence and circumstances of its commission, the accused’s character, antecedents, age, health and mental conditions and the public interest. The court can only impose a conditional release order, a community based order or an intensive supervision order if the order could have been made had the person been found guilty of the offence.</w:t>
            </w:r>
            <w:r w:rsidRPr="00154F1D">
              <w:rPr>
                <w:rStyle w:val="FootnoteReference"/>
                <w:szCs w:val="20"/>
              </w:rPr>
              <w:footnoteReference w:id="948"/>
            </w:r>
          </w:p>
        </w:tc>
      </w:tr>
      <w:tr w:rsidR="0014208F" w:rsidRPr="00154F1D" w14:paraId="5E19161C" w14:textId="77777777" w:rsidTr="00C94EE0">
        <w:tc>
          <w:tcPr>
            <w:tcW w:w="1207" w:type="pct"/>
            <w:vAlign w:val="center"/>
          </w:tcPr>
          <w:p w14:paraId="38DADDF6" w14:textId="77777777" w:rsidR="0014208F" w:rsidRPr="00154F1D" w:rsidRDefault="0014208F" w:rsidP="00C94EE0">
            <w:pPr>
              <w:spacing w:beforeLines="40" w:before="96" w:afterLines="40" w:after="96"/>
              <w:rPr>
                <w:sz w:val="20"/>
                <w:szCs w:val="20"/>
              </w:rPr>
            </w:pPr>
            <w:r w:rsidRPr="00154F1D">
              <w:rPr>
                <w:sz w:val="20"/>
                <w:szCs w:val="20"/>
              </w:rPr>
              <w:t>Queensland</w:t>
            </w:r>
          </w:p>
        </w:tc>
        <w:tc>
          <w:tcPr>
            <w:tcW w:w="3793" w:type="pct"/>
            <w:vAlign w:val="center"/>
          </w:tcPr>
          <w:p w14:paraId="3F81FAD0" w14:textId="77777777" w:rsidR="0014208F" w:rsidRPr="00154F1D" w:rsidRDefault="0014208F" w:rsidP="00C94EE0">
            <w:pPr>
              <w:pStyle w:val="p1"/>
              <w:spacing w:beforeLines="40" w:before="96" w:afterLines="40" w:after="96"/>
              <w:rPr>
                <w:rFonts w:ascii="Times New Roman" w:hAnsi="Times New Roman"/>
                <w:sz w:val="20"/>
                <w:szCs w:val="20"/>
              </w:rPr>
            </w:pPr>
            <w:r w:rsidRPr="00154F1D">
              <w:rPr>
                <w:rFonts w:ascii="Times New Roman" w:hAnsi="Times New Roman"/>
                <w:sz w:val="20"/>
                <w:szCs w:val="20"/>
              </w:rPr>
              <w:t>In making a decision in relation to an order for a person, the Mental Health Court must have regard to the following: the relevant circumstances of the person; the nature of the offence to which the reference relates and the period of time that has passed since the offence was allegedly committed; and any victim impact statement.</w:t>
            </w:r>
            <w:r w:rsidRPr="00154F1D">
              <w:rPr>
                <w:rStyle w:val="FootnoteReference"/>
                <w:rFonts w:ascii="Times New Roman" w:hAnsi="Times New Roman"/>
                <w:szCs w:val="20"/>
              </w:rPr>
              <w:footnoteReference w:id="949"/>
            </w:r>
          </w:p>
          <w:p w14:paraId="787FCC3C" w14:textId="77777777" w:rsidR="0014208F" w:rsidRPr="00154F1D" w:rsidRDefault="0014208F" w:rsidP="00C94EE0">
            <w:pPr>
              <w:pStyle w:val="p1"/>
              <w:spacing w:beforeLines="40" w:before="96" w:afterLines="40" w:after="96"/>
              <w:rPr>
                <w:rFonts w:ascii="Times New Roman" w:hAnsi="Times New Roman"/>
                <w:sz w:val="20"/>
                <w:szCs w:val="20"/>
              </w:rPr>
            </w:pPr>
            <w:r w:rsidRPr="00154F1D">
              <w:rPr>
                <w:rFonts w:ascii="Times New Roman" w:hAnsi="Times New Roman"/>
                <w:sz w:val="20"/>
                <w:szCs w:val="20"/>
              </w:rPr>
              <w:t>The Court must make a forensic order if it is necessary because of the person’s mental condition, to protect the safety of the community, including from the risk of serious harm to other persons or property.</w:t>
            </w:r>
            <w:r w:rsidRPr="00154F1D">
              <w:rPr>
                <w:rStyle w:val="FootnoteReference"/>
                <w:rFonts w:ascii="Times New Roman" w:hAnsi="Times New Roman"/>
                <w:szCs w:val="20"/>
              </w:rPr>
              <w:footnoteReference w:id="950"/>
            </w:r>
          </w:p>
          <w:p w14:paraId="59CB0F5C" w14:textId="77777777" w:rsidR="0014208F" w:rsidRPr="00154F1D" w:rsidRDefault="0014208F" w:rsidP="00C94EE0">
            <w:pPr>
              <w:pStyle w:val="p1"/>
              <w:spacing w:beforeLines="40" w:before="96" w:afterLines="40" w:after="96"/>
              <w:rPr>
                <w:rFonts w:ascii="Times New Roman" w:hAnsi="Times New Roman"/>
                <w:sz w:val="20"/>
                <w:szCs w:val="20"/>
              </w:rPr>
            </w:pPr>
            <w:r w:rsidRPr="00154F1D">
              <w:rPr>
                <w:rFonts w:ascii="Times New Roman" w:hAnsi="Times New Roman"/>
                <w:sz w:val="20"/>
                <w:szCs w:val="20"/>
              </w:rPr>
              <w:t>The court can decide that a forensic order for treatment in the community only if the court considers there is not there is not an unacceptable risk to the safety of the community, because of the person’s mental condition, including the risk of serious harm to other persons or property.</w:t>
            </w:r>
            <w:r w:rsidRPr="00154F1D">
              <w:rPr>
                <w:rStyle w:val="FootnoteReference"/>
                <w:rFonts w:ascii="Times New Roman" w:hAnsi="Times New Roman"/>
                <w:szCs w:val="20"/>
              </w:rPr>
              <w:footnoteReference w:id="951"/>
            </w:r>
          </w:p>
        </w:tc>
      </w:tr>
      <w:tr w:rsidR="0014208F" w:rsidRPr="00154F1D" w14:paraId="3CAF6281" w14:textId="77777777" w:rsidTr="00C94EE0">
        <w:tc>
          <w:tcPr>
            <w:tcW w:w="1207" w:type="pct"/>
            <w:vAlign w:val="center"/>
          </w:tcPr>
          <w:p w14:paraId="03721A46" w14:textId="77777777" w:rsidR="0014208F" w:rsidRPr="00154F1D" w:rsidRDefault="0014208F" w:rsidP="00C94EE0">
            <w:pPr>
              <w:spacing w:beforeLines="40" w:before="96" w:afterLines="40" w:after="96"/>
              <w:rPr>
                <w:sz w:val="20"/>
                <w:szCs w:val="20"/>
              </w:rPr>
            </w:pPr>
            <w:r w:rsidRPr="00154F1D">
              <w:rPr>
                <w:sz w:val="20"/>
                <w:szCs w:val="20"/>
              </w:rPr>
              <w:t>Australian Capital Territory</w:t>
            </w:r>
          </w:p>
        </w:tc>
        <w:tc>
          <w:tcPr>
            <w:tcW w:w="3793" w:type="pct"/>
            <w:vAlign w:val="center"/>
          </w:tcPr>
          <w:p w14:paraId="4B66AAB3" w14:textId="77777777" w:rsidR="0014208F" w:rsidRPr="00154F1D" w:rsidRDefault="0014208F" w:rsidP="00C94EE0">
            <w:pPr>
              <w:spacing w:beforeLines="40" w:before="96" w:afterLines="40" w:after="96"/>
              <w:rPr>
                <w:sz w:val="20"/>
                <w:szCs w:val="20"/>
              </w:rPr>
            </w:pPr>
            <w:r w:rsidRPr="00154F1D">
              <w:rPr>
                <w:sz w:val="20"/>
                <w:szCs w:val="20"/>
              </w:rPr>
              <w:t>In making a decision which could include an order for detention, the court must consider: the nature and extent of the accused’s mental impairment, including the effect it is likely to have on the person’s behaviour in the future, whether or not, if released, the accused’s health and safety is likely to be substantially impaired or the accused is likely to be a danger of the community, the nature and circumstances of the offence with which the accused is charged, the principle that a person should not be detained in a correctional centre unless no other reasonable options are available and any recommendations made by the ACAT about how the accused should be dealt with.</w:t>
            </w:r>
            <w:r w:rsidRPr="00154F1D">
              <w:rPr>
                <w:rStyle w:val="FootnoteReference"/>
                <w:szCs w:val="20"/>
              </w:rPr>
              <w:footnoteReference w:id="952"/>
            </w:r>
          </w:p>
        </w:tc>
      </w:tr>
      <w:tr w:rsidR="0014208F" w:rsidRPr="00154F1D" w14:paraId="702E60D5" w14:textId="77777777" w:rsidTr="00C94EE0">
        <w:tc>
          <w:tcPr>
            <w:tcW w:w="1207" w:type="pct"/>
            <w:vAlign w:val="center"/>
          </w:tcPr>
          <w:p w14:paraId="2F62C1A9" w14:textId="77777777" w:rsidR="0014208F" w:rsidRPr="00154F1D" w:rsidRDefault="0014208F" w:rsidP="00C94EE0">
            <w:pPr>
              <w:spacing w:beforeLines="40" w:before="96" w:afterLines="40" w:after="96"/>
              <w:rPr>
                <w:sz w:val="20"/>
                <w:szCs w:val="20"/>
              </w:rPr>
            </w:pPr>
            <w:r w:rsidRPr="00154F1D">
              <w:rPr>
                <w:sz w:val="20"/>
                <w:szCs w:val="20"/>
              </w:rPr>
              <w:t>Northern Territory</w:t>
            </w:r>
          </w:p>
        </w:tc>
        <w:tc>
          <w:tcPr>
            <w:tcW w:w="3793" w:type="pct"/>
            <w:vAlign w:val="center"/>
          </w:tcPr>
          <w:p w14:paraId="7AAC3F37" w14:textId="77777777" w:rsidR="0014208F" w:rsidRPr="00154F1D" w:rsidRDefault="0014208F" w:rsidP="00C94EE0">
            <w:pPr>
              <w:spacing w:beforeLines="40" w:before="96" w:afterLines="40" w:after="96"/>
              <w:rPr>
                <w:sz w:val="20"/>
                <w:szCs w:val="20"/>
              </w:rPr>
            </w:pPr>
            <w:r w:rsidRPr="00154F1D">
              <w:rPr>
                <w:sz w:val="20"/>
                <w:szCs w:val="20"/>
              </w:rPr>
              <w:t>Court must apply the principle that restrictions on the defendant’s freedom and personal autonomy should be kept to the minimum consistent with the safety of the community.</w:t>
            </w:r>
            <w:r w:rsidRPr="00154F1D">
              <w:rPr>
                <w:rStyle w:val="FootnoteReference"/>
                <w:szCs w:val="20"/>
              </w:rPr>
              <w:footnoteReference w:id="953"/>
            </w:r>
          </w:p>
          <w:p w14:paraId="3D02247B" w14:textId="77777777" w:rsidR="0014208F" w:rsidRPr="00154F1D" w:rsidRDefault="0014208F" w:rsidP="00C94EE0">
            <w:pPr>
              <w:spacing w:beforeLines="40" w:before="96" w:afterLines="40" w:after="96"/>
              <w:outlineLvl w:val="0"/>
              <w:rPr>
                <w:sz w:val="20"/>
                <w:szCs w:val="20"/>
              </w:rPr>
            </w:pPr>
            <w:r w:rsidRPr="00154F1D">
              <w:rPr>
                <w:sz w:val="20"/>
                <w:szCs w:val="20"/>
              </w:rPr>
              <w:t>Court should have regard to: the nature of the mental impairment or other condition or disability; the relationship between the impairment, condition or disability and the offending conduct; whether the D is, or would if released be, likely to endanger themselves or another person or other persons generally; the need to protect people from danger; whether there are adequate resources available for the treatment and support of the defendant in the community; whether the D is complying with or likely to comply with the conditions of a supervision order; and other matters that the court thinks relevant.</w:t>
            </w:r>
            <w:r w:rsidRPr="00154F1D">
              <w:rPr>
                <w:rStyle w:val="FootnoteReference"/>
                <w:szCs w:val="20"/>
              </w:rPr>
              <w:footnoteReference w:id="954"/>
            </w:r>
          </w:p>
          <w:p w14:paraId="163E5422" w14:textId="77777777" w:rsidR="0014208F" w:rsidRPr="00154F1D" w:rsidRDefault="0014208F" w:rsidP="00C94EE0">
            <w:pPr>
              <w:spacing w:beforeLines="40" w:before="96" w:afterLines="40" w:after="96"/>
              <w:rPr>
                <w:sz w:val="20"/>
                <w:szCs w:val="20"/>
              </w:rPr>
            </w:pPr>
            <w:r w:rsidRPr="00154F1D">
              <w:rPr>
                <w:sz w:val="20"/>
                <w:szCs w:val="20"/>
              </w:rPr>
              <w:t>If going to release the defendant, require expert reports.</w:t>
            </w:r>
            <w:r w:rsidRPr="00154F1D">
              <w:rPr>
                <w:rStyle w:val="FootnoteReference"/>
                <w:szCs w:val="20"/>
              </w:rPr>
              <w:footnoteReference w:id="955"/>
            </w:r>
          </w:p>
        </w:tc>
      </w:tr>
    </w:tbl>
    <w:p w14:paraId="6BA7296D" w14:textId="59722565" w:rsidR="0014208F" w:rsidRPr="00154F1D" w:rsidRDefault="0014208F" w:rsidP="004647EF">
      <w:pPr>
        <w:pStyle w:val="NumberlessNormalText"/>
        <w:keepNext/>
        <w:spacing w:before="360" w:after="80" w:line="240" w:lineRule="auto"/>
        <w:rPr>
          <w:b/>
        </w:rPr>
      </w:pPr>
      <w:r w:rsidRPr="00154F1D">
        <w:rPr>
          <w:b/>
        </w:rPr>
        <w:t xml:space="preserve">Table </w:t>
      </w:r>
      <w:r w:rsidR="00BA4488" w:rsidRPr="00154F1D">
        <w:rPr>
          <w:b/>
        </w:rPr>
        <w:t>A3.3</w:t>
      </w:r>
      <w:r w:rsidRPr="00154F1D">
        <w:rPr>
          <w:b/>
        </w:rPr>
        <w:t>: Term of order</w:t>
      </w:r>
    </w:p>
    <w:tbl>
      <w:tblPr>
        <w:tblStyle w:val="TableGrid"/>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1949"/>
        <w:gridCol w:w="6351"/>
      </w:tblGrid>
      <w:tr w:rsidR="0014208F" w:rsidRPr="00154F1D" w14:paraId="0DB17DFE" w14:textId="77777777" w:rsidTr="00447A5F">
        <w:tc>
          <w:tcPr>
            <w:tcW w:w="1174" w:type="pct"/>
            <w:vAlign w:val="center"/>
          </w:tcPr>
          <w:p w14:paraId="06ED303D" w14:textId="77777777" w:rsidR="0014208F" w:rsidRPr="00154F1D" w:rsidRDefault="0014208F" w:rsidP="00447A5F">
            <w:pPr>
              <w:keepNext/>
              <w:spacing w:before="20" w:after="20"/>
              <w:rPr>
                <w:b/>
                <w:sz w:val="20"/>
                <w:szCs w:val="20"/>
              </w:rPr>
            </w:pPr>
            <w:r w:rsidRPr="00154F1D">
              <w:rPr>
                <w:b/>
                <w:sz w:val="20"/>
                <w:szCs w:val="20"/>
              </w:rPr>
              <w:t>Jurisdiction</w:t>
            </w:r>
          </w:p>
        </w:tc>
        <w:tc>
          <w:tcPr>
            <w:tcW w:w="3826" w:type="pct"/>
            <w:vAlign w:val="center"/>
          </w:tcPr>
          <w:p w14:paraId="54604E87" w14:textId="77777777" w:rsidR="0014208F" w:rsidRPr="00154F1D" w:rsidRDefault="0014208F" w:rsidP="00447A5F">
            <w:pPr>
              <w:keepNext/>
              <w:spacing w:before="20" w:after="20"/>
              <w:rPr>
                <w:b/>
                <w:sz w:val="20"/>
                <w:szCs w:val="20"/>
              </w:rPr>
            </w:pPr>
            <w:r w:rsidRPr="00154F1D">
              <w:rPr>
                <w:b/>
                <w:sz w:val="20"/>
                <w:szCs w:val="20"/>
              </w:rPr>
              <w:t>Details</w:t>
            </w:r>
          </w:p>
        </w:tc>
      </w:tr>
      <w:tr w:rsidR="0014208F" w:rsidRPr="00154F1D" w14:paraId="2F6EC5B9" w14:textId="77777777" w:rsidTr="00447A5F">
        <w:tc>
          <w:tcPr>
            <w:tcW w:w="1174" w:type="pct"/>
            <w:vAlign w:val="center"/>
          </w:tcPr>
          <w:p w14:paraId="6D3B30CB" w14:textId="77777777" w:rsidR="0014208F" w:rsidRPr="00154F1D" w:rsidRDefault="0014208F" w:rsidP="00447A5F">
            <w:pPr>
              <w:keepNext/>
              <w:spacing w:before="20" w:after="20"/>
              <w:rPr>
                <w:sz w:val="20"/>
                <w:szCs w:val="20"/>
              </w:rPr>
            </w:pPr>
            <w:r w:rsidRPr="00154F1D">
              <w:rPr>
                <w:sz w:val="20"/>
                <w:szCs w:val="20"/>
              </w:rPr>
              <w:t>Commonwealth</w:t>
            </w:r>
          </w:p>
        </w:tc>
        <w:tc>
          <w:tcPr>
            <w:tcW w:w="3826" w:type="pct"/>
            <w:vAlign w:val="center"/>
          </w:tcPr>
          <w:p w14:paraId="12CBCC71" w14:textId="77777777" w:rsidR="0014208F" w:rsidRPr="00154F1D" w:rsidRDefault="0014208F" w:rsidP="00447A5F">
            <w:pPr>
              <w:keepNext/>
              <w:spacing w:before="20" w:after="20"/>
              <w:rPr>
                <w:sz w:val="20"/>
                <w:szCs w:val="20"/>
              </w:rPr>
            </w:pPr>
            <w:r w:rsidRPr="00154F1D">
              <w:rPr>
                <w:sz w:val="20"/>
                <w:szCs w:val="20"/>
              </w:rPr>
              <w:t>Maximum term is maximum period of imprisonment that could have been imposed if the person had been convicted of the offence charged.</w:t>
            </w:r>
            <w:r w:rsidRPr="00154F1D">
              <w:rPr>
                <w:rStyle w:val="FootnoteReference"/>
                <w:szCs w:val="20"/>
              </w:rPr>
              <w:footnoteReference w:id="956"/>
            </w:r>
          </w:p>
        </w:tc>
      </w:tr>
      <w:tr w:rsidR="0014208F" w:rsidRPr="00154F1D" w14:paraId="62137FB3" w14:textId="77777777" w:rsidTr="00447A5F">
        <w:tc>
          <w:tcPr>
            <w:tcW w:w="1174" w:type="pct"/>
            <w:vAlign w:val="center"/>
          </w:tcPr>
          <w:p w14:paraId="47A4064D" w14:textId="77777777" w:rsidR="0014208F" w:rsidRPr="00154F1D" w:rsidRDefault="0014208F" w:rsidP="00447A5F">
            <w:pPr>
              <w:keepNext/>
              <w:spacing w:before="20" w:after="20"/>
              <w:rPr>
                <w:sz w:val="20"/>
                <w:szCs w:val="20"/>
              </w:rPr>
            </w:pPr>
            <w:r w:rsidRPr="00154F1D">
              <w:rPr>
                <w:sz w:val="20"/>
                <w:szCs w:val="20"/>
              </w:rPr>
              <w:t>New South Wales</w:t>
            </w:r>
          </w:p>
        </w:tc>
        <w:tc>
          <w:tcPr>
            <w:tcW w:w="3826" w:type="pct"/>
            <w:vAlign w:val="center"/>
          </w:tcPr>
          <w:p w14:paraId="7A92855F" w14:textId="77777777" w:rsidR="0014208F" w:rsidRPr="00154F1D" w:rsidRDefault="0014208F" w:rsidP="00447A5F">
            <w:pPr>
              <w:keepNext/>
              <w:spacing w:before="20" w:after="20"/>
              <w:rPr>
                <w:sz w:val="20"/>
                <w:szCs w:val="20"/>
              </w:rPr>
            </w:pPr>
          </w:p>
        </w:tc>
      </w:tr>
      <w:tr w:rsidR="0014208F" w:rsidRPr="00154F1D" w14:paraId="73325018" w14:textId="77777777" w:rsidTr="00447A5F">
        <w:tc>
          <w:tcPr>
            <w:tcW w:w="1174" w:type="pct"/>
            <w:vAlign w:val="center"/>
          </w:tcPr>
          <w:p w14:paraId="2116EF57" w14:textId="77777777" w:rsidR="0014208F" w:rsidRPr="00154F1D" w:rsidRDefault="0014208F" w:rsidP="00447A5F">
            <w:pPr>
              <w:keepNext/>
              <w:spacing w:before="20" w:after="20"/>
              <w:ind w:left="169"/>
              <w:rPr>
                <w:i/>
                <w:sz w:val="20"/>
                <w:szCs w:val="20"/>
              </w:rPr>
            </w:pPr>
            <w:r w:rsidRPr="00154F1D">
              <w:rPr>
                <w:i/>
                <w:sz w:val="20"/>
                <w:szCs w:val="20"/>
              </w:rPr>
              <w:t>UNA</w:t>
            </w:r>
          </w:p>
        </w:tc>
        <w:tc>
          <w:tcPr>
            <w:tcW w:w="3826" w:type="pct"/>
            <w:vAlign w:val="center"/>
          </w:tcPr>
          <w:p w14:paraId="07E89302" w14:textId="77777777" w:rsidR="0014208F" w:rsidRPr="00154F1D" w:rsidRDefault="0014208F" w:rsidP="00447A5F">
            <w:pPr>
              <w:keepNext/>
              <w:spacing w:before="20" w:after="20"/>
              <w:rPr>
                <w:sz w:val="20"/>
                <w:szCs w:val="20"/>
              </w:rPr>
            </w:pPr>
            <w:r w:rsidRPr="00154F1D">
              <w:rPr>
                <w:sz w:val="20"/>
                <w:szCs w:val="20"/>
              </w:rPr>
              <w:t>Limiting term – best estimate of sentence would have considered appropriate in normal trial. Must be released unconditionally when the limiting term expires.</w:t>
            </w:r>
            <w:r w:rsidRPr="00154F1D">
              <w:rPr>
                <w:rStyle w:val="FootnoteReference"/>
                <w:szCs w:val="20"/>
              </w:rPr>
              <w:footnoteReference w:id="957"/>
            </w:r>
          </w:p>
          <w:p w14:paraId="005C6243" w14:textId="409A5DEF" w:rsidR="0014208F" w:rsidRPr="00154F1D" w:rsidRDefault="0014208F" w:rsidP="00447A5F">
            <w:pPr>
              <w:keepNext/>
              <w:spacing w:before="20" w:after="20"/>
              <w:rPr>
                <w:sz w:val="20"/>
                <w:szCs w:val="20"/>
              </w:rPr>
            </w:pPr>
            <w:r w:rsidRPr="00154F1D">
              <w:rPr>
                <w:sz w:val="20"/>
                <w:szCs w:val="20"/>
              </w:rPr>
              <w:t>The limiting term is governed by sentencing principles.</w:t>
            </w:r>
            <w:r w:rsidRPr="00154F1D">
              <w:rPr>
                <w:rStyle w:val="FootnoteReference"/>
                <w:szCs w:val="20"/>
              </w:rPr>
              <w:footnoteReference w:id="958"/>
            </w:r>
            <w:r w:rsidRPr="00154F1D">
              <w:rPr>
                <w:sz w:val="20"/>
                <w:szCs w:val="20"/>
              </w:rPr>
              <w:t xml:space="preserve"> This is an upper limit and the person may be released sooner.</w:t>
            </w:r>
          </w:p>
        </w:tc>
      </w:tr>
      <w:tr w:rsidR="0014208F" w:rsidRPr="00154F1D" w14:paraId="467DBCEA" w14:textId="77777777" w:rsidTr="00447A5F">
        <w:tc>
          <w:tcPr>
            <w:tcW w:w="1174" w:type="pct"/>
            <w:vAlign w:val="center"/>
          </w:tcPr>
          <w:p w14:paraId="6C37ABEB" w14:textId="77777777" w:rsidR="0014208F" w:rsidRPr="00154F1D" w:rsidRDefault="0014208F" w:rsidP="00447A5F">
            <w:pPr>
              <w:spacing w:before="20" w:after="20"/>
              <w:ind w:left="169"/>
              <w:rPr>
                <w:i/>
                <w:sz w:val="20"/>
                <w:szCs w:val="20"/>
              </w:rPr>
            </w:pPr>
            <w:r w:rsidRPr="00154F1D">
              <w:rPr>
                <w:i/>
                <w:sz w:val="20"/>
                <w:szCs w:val="20"/>
              </w:rPr>
              <w:t>NGMI</w:t>
            </w:r>
          </w:p>
        </w:tc>
        <w:tc>
          <w:tcPr>
            <w:tcW w:w="3826" w:type="pct"/>
            <w:vAlign w:val="center"/>
          </w:tcPr>
          <w:p w14:paraId="2ECB40B2" w14:textId="77777777" w:rsidR="0014208F" w:rsidRPr="00154F1D" w:rsidRDefault="0014208F" w:rsidP="00447A5F">
            <w:pPr>
              <w:spacing w:before="20" w:after="20"/>
              <w:rPr>
                <w:sz w:val="20"/>
                <w:szCs w:val="20"/>
              </w:rPr>
            </w:pPr>
            <w:r w:rsidRPr="00154F1D">
              <w:rPr>
                <w:sz w:val="20"/>
                <w:szCs w:val="20"/>
              </w:rPr>
              <w:t>Indefinite but subject to review</w:t>
            </w:r>
          </w:p>
        </w:tc>
      </w:tr>
      <w:tr w:rsidR="0014208F" w:rsidRPr="00154F1D" w14:paraId="7BE1CA2A" w14:textId="77777777" w:rsidTr="00447A5F">
        <w:tc>
          <w:tcPr>
            <w:tcW w:w="1174" w:type="pct"/>
            <w:vAlign w:val="center"/>
          </w:tcPr>
          <w:p w14:paraId="60C52516" w14:textId="77777777" w:rsidR="0014208F" w:rsidRPr="00154F1D" w:rsidRDefault="0014208F" w:rsidP="00447A5F">
            <w:pPr>
              <w:spacing w:before="20" w:after="20"/>
              <w:rPr>
                <w:sz w:val="20"/>
                <w:szCs w:val="20"/>
              </w:rPr>
            </w:pPr>
            <w:r w:rsidRPr="00154F1D">
              <w:rPr>
                <w:sz w:val="20"/>
                <w:szCs w:val="20"/>
              </w:rPr>
              <w:t>Victoria</w:t>
            </w:r>
          </w:p>
        </w:tc>
        <w:tc>
          <w:tcPr>
            <w:tcW w:w="3826" w:type="pct"/>
            <w:vAlign w:val="center"/>
          </w:tcPr>
          <w:p w14:paraId="062CB328" w14:textId="41426C36" w:rsidR="0014208F" w:rsidRPr="00154F1D" w:rsidRDefault="0014208F" w:rsidP="00447A5F">
            <w:pPr>
              <w:spacing w:before="20" w:after="20"/>
              <w:rPr>
                <w:sz w:val="20"/>
                <w:szCs w:val="20"/>
              </w:rPr>
            </w:pPr>
            <w:r w:rsidRPr="00154F1D">
              <w:rPr>
                <w:sz w:val="20"/>
                <w:szCs w:val="20"/>
              </w:rPr>
              <w:t>Indefinite</w:t>
            </w:r>
            <w:r w:rsidRPr="00154F1D">
              <w:rPr>
                <w:rStyle w:val="FootnoteReference"/>
                <w:szCs w:val="20"/>
              </w:rPr>
              <w:footnoteReference w:id="959"/>
            </w:r>
            <w:r w:rsidRPr="00154F1D">
              <w:rPr>
                <w:sz w:val="20"/>
                <w:szCs w:val="20"/>
              </w:rPr>
              <w:t xml:space="preserve"> but the court must set a nominal term (murder = 25 years, a serious offence = a period equivalent to the maximum penalty, any other offence with a statutory maximum = half the maximum, any other offence = period specific by court.</w:t>
            </w:r>
            <w:r w:rsidRPr="00154F1D">
              <w:rPr>
                <w:rStyle w:val="FootnoteReference"/>
                <w:szCs w:val="20"/>
              </w:rPr>
              <w:footnoteReference w:id="960"/>
            </w:r>
            <w:r w:rsidR="0029241E">
              <w:rPr>
                <w:sz w:val="20"/>
                <w:szCs w:val="20"/>
              </w:rPr>
              <w:t>)</w:t>
            </w:r>
            <w:r w:rsidRPr="00154F1D">
              <w:rPr>
                <w:sz w:val="20"/>
                <w:szCs w:val="20"/>
              </w:rPr>
              <w:t xml:space="preserve"> The court undertakes a major review at least three months before the end of the nominal term.</w:t>
            </w:r>
            <w:r w:rsidRPr="00154F1D">
              <w:rPr>
                <w:rStyle w:val="FootnoteReference"/>
                <w:szCs w:val="20"/>
              </w:rPr>
              <w:footnoteReference w:id="961"/>
            </w:r>
          </w:p>
        </w:tc>
      </w:tr>
      <w:tr w:rsidR="0014208F" w:rsidRPr="00154F1D" w14:paraId="220C06F2" w14:textId="77777777" w:rsidTr="00447A5F">
        <w:tc>
          <w:tcPr>
            <w:tcW w:w="1174" w:type="pct"/>
            <w:vAlign w:val="center"/>
          </w:tcPr>
          <w:p w14:paraId="201595C9" w14:textId="77777777" w:rsidR="0014208F" w:rsidRPr="00154F1D" w:rsidRDefault="0014208F" w:rsidP="00447A5F">
            <w:pPr>
              <w:spacing w:before="20" w:after="20"/>
              <w:rPr>
                <w:sz w:val="20"/>
                <w:szCs w:val="20"/>
              </w:rPr>
            </w:pPr>
            <w:r w:rsidRPr="00154F1D">
              <w:rPr>
                <w:sz w:val="20"/>
                <w:szCs w:val="20"/>
              </w:rPr>
              <w:t>South Australia</w:t>
            </w:r>
          </w:p>
        </w:tc>
        <w:tc>
          <w:tcPr>
            <w:tcW w:w="3826" w:type="pct"/>
            <w:vAlign w:val="center"/>
          </w:tcPr>
          <w:p w14:paraId="7720027A" w14:textId="77777777" w:rsidR="0014208F" w:rsidRPr="00154F1D" w:rsidRDefault="0014208F" w:rsidP="00447A5F">
            <w:pPr>
              <w:spacing w:before="20" w:after="20"/>
              <w:rPr>
                <w:sz w:val="20"/>
                <w:szCs w:val="20"/>
              </w:rPr>
            </w:pPr>
            <w:r w:rsidRPr="00154F1D">
              <w:rPr>
                <w:sz w:val="20"/>
                <w:szCs w:val="20"/>
              </w:rPr>
              <w:t>A limiting term equivalent to the period of imprisonment that would have been appropriate if the defendant had been convicted of the offence of which the objective elements have been established. The court should not take into account the defendant’s mental impairment.</w:t>
            </w:r>
            <w:r w:rsidRPr="00154F1D">
              <w:rPr>
                <w:rStyle w:val="FootnoteReference"/>
                <w:szCs w:val="20"/>
              </w:rPr>
              <w:footnoteReference w:id="962"/>
            </w:r>
          </w:p>
        </w:tc>
      </w:tr>
      <w:tr w:rsidR="0014208F" w:rsidRPr="00154F1D" w14:paraId="5DF747F6" w14:textId="77777777" w:rsidTr="00447A5F">
        <w:tc>
          <w:tcPr>
            <w:tcW w:w="1174" w:type="pct"/>
            <w:vAlign w:val="center"/>
          </w:tcPr>
          <w:p w14:paraId="427338DF" w14:textId="77777777" w:rsidR="0014208F" w:rsidRPr="00154F1D" w:rsidRDefault="0014208F" w:rsidP="00447A5F">
            <w:pPr>
              <w:spacing w:before="20" w:after="20"/>
              <w:rPr>
                <w:sz w:val="20"/>
                <w:szCs w:val="20"/>
              </w:rPr>
            </w:pPr>
            <w:r w:rsidRPr="00154F1D">
              <w:rPr>
                <w:sz w:val="20"/>
                <w:szCs w:val="20"/>
              </w:rPr>
              <w:t>Western Australia</w:t>
            </w:r>
          </w:p>
        </w:tc>
        <w:tc>
          <w:tcPr>
            <w:tcW w:w="3826" w:type="pct"/>
            <w:vAlign w:val="center"/>
          </w:tcPr>
          <w:p w14:paraId="59599D60" w14:textId="77777777" w:rsidR="0014208F" w:rsidRPr="00154F1D" w:rsidRDefault="0014208F" w:rsidP="00447A5F">
            <w:pPr>
              <w:spacing w:before="20" w:after="20"/>
              <w:rPr>
                <w:sz w:val="20"/>
                <w:szCs w:val="20"/>
              </w:rPr>
            </w:pPr>
            <w:r w:rsidRPr="00154F1D">
              <w:rPr>
                <w:sz w:val="20"/>
                <w:szCs w:val="20"/>
              </w:rPr>
              <w:t>Indefinite</w:t>
            </w:r>
            <w:r w:rsidRPr="00154F1D">
              <w:rPr>
                <w:rStyle w:val="FootnoteReference"/>
                <w:szCs w:val="20"/>
              </w:rPr>
              <w:footnoteReference w:id="963"/>
            </w:r>
            <w:r w:rsidRPr="00154F1D">
              <w:rPr>
                <w:sz w:val="20"/>
                <w:szCs w:val="20"/>
              </w:rPr>
              <w:t xml:space="preserve"> but subject to review.</w:t>
            </w:r>
          </w:p>
        </w:tc>
      </w:tr>
      <w:tr w:rsidR="0014208F" w:rsidRPr="00154F1D" w14:paraId="473EF655" w14:textId="77777777" w:rsidTr="00447A5F">
        <w:tc>
          <w:tcPr>
            <w:tcW w:w="1174" w:type="pct"/>
            <w:vAlign w:val="center"/>
          </w:tcPr>
          <w:p w14:paraId="72908B45" w14:textId="77777777" w:rsidR="0014208F" w:rsidRPr="00154F1D" w:rsidRDefault="0014208F" w:rsidP="00447A5F">
            <w:pPr>
              <w:spacing w:before="20" w:after="20"/>
              <w:rPr>
                <w:sz w:val="20"/>
                <w:szCs w:val="20"/>
              </w:rPr>
            </w:pPr>
            <w:r w:rsidRPr="00154F1D">
              <w:rPr>
                <w:sz w:val="20"/>
                <w:szCs w:val="20"/>
              </w:rPr>
              <w:t>Queensland</w:t>
            </w:r>
          </w:p>
        </w:tc>
        <w:tc>
          <w:tcPr>
            <w:tcW w:w="3826" w:type="pct"/>
            <w:vAlign w:val="center"/>
          </w:tcPr>
          <w:p w14:paraId="2E3BCD47" w14:textId="77777777" w:rsidR="0014208F" w:rsidRPr="00154F1D" w:rsidRDefault="0014208F" w:rsidP="00447A5F">
            <w:pPr>
              <w:spacing w:before="20" w:after="20"/>
              <w:rPr>
                <w:sz w:val="20"/>
                <w:szCs w:val="20"/>
              </w:rPr>
            </w:pPr>
            <w:r w:rsidRPr="00154F1D">
              <w:rPr>
                <w:sz w:val="20"/>
                <w:szCs w:val="20"/>
              </w:rPr>
              <w:t>Indefinite with power to review. For prescribed offences, a period of not more than 10 years (the non-revocation period) during which the tribunal may not revoke the forensic order, other than under s 457.</w:t>
            </w:r>
            <w:r w:rsidRPr="00154F1D">
              <w:rPr>
                <w:rStyle w:val="FootnoteReference"/>
                <w:szCs w:val="20"/>
              </w:rPr>
              <w:footnoteReference w:id="964"/>
            </w:r>
            <w:r w:rsidRPr="00154F1D">
              <w:rPr>
                <w:sz w:val="20"/>
                <w:szCs w:val="20"/>
              </w:rPr>
              <w:t xml:space="preserve"> In deciding the non-revocation period, the court must have regard to the object of this Act in relation to protecting the community.</w:t>
            </w:r>
            <w:r w:rsidRPr="00154F1D">
              <w:rPr>
                <w:rStyle w:val="FootnoteReference"/>
                <w:szCs w:val="20"/>
              </w:rPr>
              <w:footnoteReference w:id="965"/>
            </w:r>
          </w:p>
        </w:tc>
      </w:tr>
      <w:tr w:rsidR="0014208F" w:rsidRPr="00154F1D" w14:paraId="3D6B5BF4" w14:textId="77777777" w:rsidTr="00447A5F">
        <w:tc>
          <w:tcPr>
            <w:tcW w:w="1174" w:type="pct"/>
            <w:vAlign w:val="center"/>
          </w:tcPr>
          <w:p w14:paraId="557CF70A" w14:textId="77777777" w:rsidR="0014208F" w:rsidRPr="00154F1D" w:rsidRDefault="0014208F" w:rsidP="00447A5F">
            <w:pPr>
              <w:spacing w:before="20" w:after="20"/>
              <w:rPr>
                <w:sz w:val="20"/>
                <w:szCs w:val="20"/>
              </w:rPr>
            </w:pPr>
            <w:r w:rsidRPr="00154F1D">
              <w:rPr>
                <w:sz w:val="20"/>
                <w:szCs w:val="20"/>
              </w:rPr>
              <w:t>Australian Capital Territory</w:t>
            </w:r>
          </w:p>
        </w:tc>
        <w:tc>
          <w:tcPr>
            <w:tcW w:w="3826" w:type="pct"/>
            <w:vAlign w:val="center"/>
          </w:tcPr>
          <w:p w14:paraId="361E2482" w14:textId="77777777" w:rsidR="0014208F" w:rsidRPr="00154F1D" w:rsidRDefault="0014208F" w:rsidP="00447A5F">
            <w:pPr>
              <w:spacing w:before="20" w:after="20"/>
              <w:rPr>
                <w:sz w:val="20"/>
                <w:szCs w:val="20"/>
              </w:rPr>
            </w:pPr>
            <w:r w:rsidRPr="00154F1D">
              <w:rPr>
                <w:sz w:val="20"/>
                <w:szCs w:val="20"/>
              </w:rPr>
              <w:t>Nominal term is set that is the best estimate of the sentence it would have considered appropriate if the special hearing had been a normal criminal proceeding and must not order that the accused be detained for a period greater than the nominated term.</w:t>
            </w:r>
            <w:r w:rsidRPr="00154F1D">
              <w:rPr>
                <w:rStyle w:val="FootnoteReference"/>
                <w:szCs w:val="20"/>
              </w:rPr>
              <w:footnoteReference w:id="966"/>
            </w:r>
            <w:r w:rsidRPr="00154F1D">
              <w:rPr>
                <w:sz w:val="20"/>
                <w:szCs w:val="20"/>
              </w:rPr>
              <w:t xml:space="preserve"> </w:t>
            </w:r>
          </w:p>
        </w:tc>
      </w:tr>
      <w:tr w:rsidR="0014208F" w:rsidRPr="00154F1D" w14:paraId="1733BD73" w14:textId="77777777" w:rsidTr="00447A5F">
        <w:tc>
          <w:tcPr>
            <w:tcW w:w="1174" w:type="pct"/>
            <w:vAlign w:val="center"/>
          </w:tcPr>
          <w:p w14:paraId="5AB3797A" w14:textId="77777777" w:rsidR="0014208F" w:rsidRPr="00154F1D" w:rsidRDefault="0014208F" w:rsidP="00447A5F">
            <w:pPr>
              <w:spacing w:before="20" w:after="20"/>
              <w:rPr>
                <w:sz w:val="20"/>
                <w:szCs w:val="20"/>
              </w:rPr>
            </w:pPr>
            <w:r w:rsidRPr="00154F1D">
              <w:rPr>
                <w:sz w:val="20"/>
                <w:szCs w:val="20"/>
              </w:rPr>
              <w:t>Northern Territory</w:t>
            </w:r>
          </w:p>
        </w:tc>
        <w:tc>
          <w:tcPr>
            <w:tcW w:w="3826" w:type="pct"/>
            <w:vAlign w:val="center"/>
          </w:tcPr>
          <w:p w14:paraId="3248355B" w14:textId="77777777" w:rsidR="0014208F" w:rsidRPr="00154F1D" w:rsidRDefault="0014208F" w:rsidP="00447A5F">
            <w:pPr>
              <w:spacing w:before="20" w:after="20"/>
              <w:rPr>
                <w:sz w:val="20"/>
                <w:szCs w:val="20"/>
              </w:rPr>
            </w:pPr>
            <w:r w:rsidRPr="00154F1D">
              <w:rPr>
                <w:sz w:val="20"/>
                <w:szCs w:val="20"/>
              </w:rPr>
              <w:t>Indefinite</w:t>
            </w:r>
            <w:r w:rsidRPr="00154F1D">
              <w:rPr>
                <w:rStyle w:val="FootnoteReference"/>
                <w:szCs w:val="20"/>
              </w:rPr>
              <w:footnoteReference w:id="967"/>
            </w:r>
            <w:r w:rsidRPr="00154F1D">
              <w:rPr>
                <w:sz w:val="20"/>
                <w:szCs w:val="20"/>
              </w:rPr>
              <w:t xml:space="preserve"> but the court must fix a term for the major review of the order (nominal term). This term is set according to the following rules: if offence carries a mandatory life penalty or the court’s view that life imprisonment would have been an appropriate penalty, the court must fix the period that it would have set as the non-parole period and in other cases, equivalent to the term of imprisonment or supervision that would have been appropriate to impose if he or she had been found guilty of the offence.</w:t>
            </w:r>
            <w:r w:rsidRPr="00154F1D">
              <w:rPr>
                <w:rStyle w:val="FootnoteReference"/>
                <w:szCs w:val="20"/>
              </w:rPr>
              <w:footnoteReference w:id="968"/>
            </w:r>
          </w:p>
        </w:tc>
      </w:tr>
    </w:tbl>
    <w:p w14:paraId="6F53BFE0" w14:textId="39166FE3" w:rsidR="0014208F" w:rsidRPr="00154F1D" w:rsidRDefault="0014208F" w:rsidP="00F101C2">
      <w:pPr>
        <w:pStyle w:val="NumberlessNormalText"/>
        <w:keepNext/>
        <w:spacing w:after="80"/>
        <w:rPr>
          <w:b/>
        </w:rPr>
      </w:pPr>
      <w:r w:rsidRPr="00154F1D">
        <w:rPr>
          <w:b/>
        </w:rPr>
        <w:t xml:space="preserve">Table </w:t>
      </w:r>
      <w:r w:rsidR="00BA4488" w:rsidRPr="00154F1D">
        <w:rPr>
          <w:b/>
        </w:rPr>
        <w:t>A3.4</w:t>
      </w:r>
      <w:r w:rsidRPr="00154F1D">
        <w:rPr>
          <w:b/>
        </w:rPr>
        <w:t>: Test for discharging or varying orders</w:t>
      </w:r>
    </w:p>
    <w:tbl>
      <w:tblPr>
        <w:tblStyle w:val="TableGrid"/>
        <w:tblW w:w="5000" w:type="pct"/>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833"/>
        <w:gridCol w:w="6467"/>
      </w:tblGrid>
      <w:tr w:rsidR="0014208F" w:rsidRPr="00154F1D" w14:paraId="082FD2BB" w14:textId="77777777" w:rsidTr="008B09A5">
        <w:tc>
          <w:tcPr>
            <w:tcW w:w="1104" w:type="pct"/>
            <w:vAlign w:val="center"/>
          </w:tcPr>
          <w:p w14:paraId="7AF4D541" w14:textId="77777777" w:rsidR="0014208F" w:rsidRPr="00154F1D" w:rsidRDefault="0014208F" w:rsidP="00F101C2">
            <w:pPr>
              <w:spacing w:before="40" w:after="40"/>
              <w:rPr>
                <w:b/>
                <w:sz w:val="20"/>
                <w:szCs w:val="20"/>
              </w:rPr>
            </w:pPr>
            <w:r w:rsidRPr="00154F1D">
              <w:rPr>
                <w:b/>
                <w:sz w:val="20"/>
                <w:szCs w:val="20"/>
              </w:rPr>
              <w:t>Jurisdiction</w:t>
            </w:r>
          </w:p>
        </w:tc>
        <w:tc>
          <w:tcPr>
            <w:tcW w:w="3896" w:type="pct"/>
            <w:vAlign w:val="center"/>
          </w:tcPr>
          <w:p w14:paraId="1DA61993" w14:textId="77777777" w:rsidR="0014208F" w:rsidRPr="00154F1D" w:rsidRDefault="0014208F" w:rsidP="00F101C2">
            <w:pPr>
              <w:spacing w:before="40" w:after="40"/>
              <w:rPr>
                <w:b/>
                <w:sz w:val="20"/>
                <w:szCs w:val="20"/>
              </w:rPr>
            </w:pPr>
            <w:r w:rsidRPr="00154F1D">
              <w:rPr>
                <w:b/>
                <w:sz w:val="20"/>
                <w:szCs w:val="20"/>
              </w:rPr>
              <w:t>Details</w:t>
            </w:r>
          </w:p>
        </w:tc>
      </w:tr>
      <w:tr w:rsidR="0014208F" w:rsidRPr="00154F1D" w14:paraId="394AFAB3" w14:textId="77777777" w:rsidTr="008B09A5">
        <w:tc>
          <w:tcPr>
            <w:tcW w:w="1104" w:type="pct"/>
            <w:vAlign w:val="center"/>
          </w:tcPr>
          <w:p w14:paraId="2DB3F77F" w14:textId="77777777" w:rsidR="0014208F" w:rsidRPr="00154F1D" w:rsidRDefault="0014208F" w:rsidP="00F101C2">
            <w:pPr>
              <w:spacing w:before="40" w:after="40"/>
              <w:rPr>
                <w:sz w:val="20"/>
                <w:szCs w:val="20"/>
              </w:rPr>
            </w:pPr>
            <w:r w:rsidRPr="00154F1D">
              <w:rPr>
                <w:sz w:val="20"/>
                <w:szCs w:val="20"/>
              </w:rPr>
              <w:t>Commonwealth</w:t>
            </w:r>
          </w:p>
        </w:tc>
        <w:tc>
          <w:tcPr>
            <w:tcW w:w="3896" w:type="pct"/>
            <w:vAlign w:val="center"/>
          </w:tcPr>
          <w:p w14:paraId="6C2A9960" w14:textId="77777777" w:rsidR="0014208F" w:rsidRPr="00154F1D" w:rsidRDefault="0014208F" w:rsidP="00F101C2">
            <w:pPr>
              <w:spacing w:before="40" w:after="40"/>
              <w:rPr>
                <w:sz w:val="20"/>
                <w:szCs w:val="20"/>
              </w:rPr>
            </w:pPr>
            <w:r w:rsidRPr="00154F1D">
              <w:rPr>
                <w:sz w:val="20"/>
                <w:szCs w:val="20"/>
              </w:rPr>
              <w:t>Attorney-General must be satisfied that the person is not a threat or danger either to himself or herself or the community.</w:t>
            </w:r>
            <w:r w:rsidRPr="00154F1D">
              <w:rPr>
                <w:rStyle w:val="FootnoteReference"/>
                <w:szCs w:val="20"/>
              </w:rPr>
              <w:footnoteReference w:id="969"/>
            </w:r>
          </w:p>
        </w:tc>
      </w:tr>
      <w:tr w:rsidR="0014208F" w:rsidRPr="00154F1D" w14:paraId="6B6EF558" w14:textId="77777777" w:rsidTr="008B09A5">
        <w:tc>
          <w:tcPr>
            <w:tcW w:w="1104" w:type="pct"/>
            <w:vAlign w:val="center"/>
          </w:tcPr>
          <w:p w14:paraId="0C808490" w14:textId="77777777" w:rsidR="0014208F" w:rsidRPr="00154F1D" w:rsidRDefault="0014208F" w:rsidP="00F101C2">
            <w:pPr>
              <w:spacing w:before="40" w:after="40"/>
              <w:rPr>
                <w:sz w:val="20"/>
                <w:szCs w:val="20"/>
              </w:rPr>
            </w:pPr>
            <w:r w:rsidRPr="00154F1D">
              <w:rPr>
                <w:sz w:val="20"/>
                <w:szCs w:val="20"/>
              </w:rPr>
              <w:t>New South Wales</w:t>
            </w:r>
          </w:p>
        </w:tc>
        <w:tc>
          <w:tcPr>
            <w:tcW w:w="3896" w:type="pct"/>
            <w:vAlign w:val="center"/>
          </w:tcPr>
          <w:p w14:paraId="396A527E" w14:textId="77777777" w:rsidR="0014208F" w:rsidRPr="00154F1D" w:rsidRDefault="0014208F" w:rsidP="00F101C2">
            <w:pPr>
              <w:spacing w:before="40" w:after="40"/>
              <w:rPr>
                <w:sz w:val="20"/>
                <w:szCs w:val="20"/>
              </w:rPr>
            </w:pPr>
            <w:r w:rsidRPr="00154F1D">
              <w:rPr>
                <w:sz w:val="20"/>
                <w:szCs w:val="20"/>
              </w:rPr>
              <w:t>The Tribunal must not make an order for the release of a forensic patient unless it is satisfied, on the evidence available to it, that: the safety of the patient or any member of the public will not be seriously endangered by the patient’s release, and other care of a less restrictive kind, that is consistent with safe and effective care, is appropriate and reasonably available to the patient or that the patient does not require care.</w:t>
            </w:r>
            <w:r w:rsidRPr="00154F1D">
              <w:rPr>
                <w:rStyle w:val="FootnoteReference"/>
                <w:szCs w:val="20"/>
              </w:rPr>
              <w:footnoteReference w:id="970"/>
            </w:r>
          </w:p>
          <w:p w14:paraId="3EEB7EDF" w14:textId="77777777" w:rsidR="0014208F" w:rsidRPr="00154F1D" w:rsidRDefault="0014208F" w:rsidP="00F101C2">
            <w:pPr>
              <w:spacing w:before="40" w:after="40"/>
              <w:rPr>
                <w:sz w:val="20"/>
                <w:szCs w:val="20"/>
              </w:rPr>
            </w:pPr>
            <w:r w:rsidRPr="00154F1D">
              <w:rPr>
                <w:sz w:val="20"/>
                <w:szCs w:val="20"/>
              </w:rPr>
              <w:t>Without limiting any other matters the Tribunal may consider, the Tribunal must have regard to the following matters when determining what order to make about a person under this Part: whether the person is suffering from a mental illness or other mental condition; whether there are reasonable grounds for believing that care, treatment or control of the person is necessary for the person’s own protection from serious harm or the protection of others from serious harm; the continuing condition of the person, including any likely deterioration in the person’s condition, and the likely effects of any such deterioration; in the case of a proposed release, a report by a forensic psychiatrist or other person of a class prescribed by the regulations, who is not currently involved in treating the person, as to the condition of the person and whether the safety of the person or any member of the public will be seriously endangered by the person’s release; in the case of the proposed release of a forensic patient subject to a limiting term, whether or not the patient has spent sufficient time in custody.</w:t>
            </w:r>
            <w:r w:rsidRPr="00154F1D">
              <w:rPr>
                <w:rStyle w:val="FootnoteReference"/>
                <w:szCs w:val="20"/>
              </w:rPr>
              <w:footnoteReference w:id="971"/>
            </w:r>
          </w:p>
        </w:tc>
      </w:tr>
      <w:tr w:rsidR="0014208F" w:rsidRPr="00154F1D" w14:paraId="26F5B789" w14:textId="77777777" w:rsidTr="008B09A5">
        <w:tc>
          <w:tcPr>
            <w:tcW w:w="1104" w:type="pct"/>
            <w:vAlign w:val="center"/>
          </w:tcPr>
          <w:p w14:paraId="1AC723FC" w14:textId="77777777" w:rsidR="0014208F" w:rsidRPr="00154F1D" w:rsidRDefault="0014208F" w:rsidP="00F101C2">
            <w:pPr>
              <w:spacing w:before="40" w:after="40"/>
              <w:rPr>
                <w:sz w:val="20"/>
                <w:szCs w:val="20"/>
              </w:rPr>
            </w:pPr>
            <w:r w:rsidRPr="00154F1D">
              <w:rPr>
                <w:sz w:val="20"/>
                <w:szCs w:val="20"/>
              </w:rPr>
              <w:t xml:space="preserve">South Australia </w:t>
            </w:r>
          </w:p>
        </w:tc>
        <w:tc>
          <w:tcPr>
            <w:tcW w:w="3896" w:type="pct"/>
            <w:vAlign w:val="center"/>
          </w:tcPr>
          <w:p w14:paraId="64BC4D7E" w14:textId="1BBD604A" w:rsidR="0014208F" w:rsidRPr="00154F1D" w:rsidRDefault="0014208F" w:rsidP="00F101C2">
            <w:pPr>
              <w:spacing w:before="40" w:after="40"/>
              <w:rPr>
                <w:sz w:val="20"/>
                <w:szCs w:val="20"/>
              </w:rPr>
            </w:pPr>
            <w:r w:rsidRPr="00154F1D">
              <w:rPr>
                <w:sz w:val="20"/>
                <w:szCs w:val="20"/>
              </w:rPr>
              <w:t>As with making order</w:t>
            </w:r>
            <w:r w:rsidR="0073202C" w:rsidRPr="00154F1D">
              <w:rPr>
                <w:sz w:val="20"/>
                <w:szCs w:val="20"/>
              </w:rPr>
              <w:t xml:space="preserve"> </w:t>
            </w:r>
            <w:r w:rsidR="00F00DCE" w:rsidRPr="00154F1D">
              <w:rPr>
                <w:sz w:val="20"/>
                <w:szCs w:val="20"/>
              </w:rPr>
              <w:t>but test is serious endangerment.</w:t>
            </w:r>
          </w:p>
        </w:tc>
      </w:tr>
      <w:tr w:rsidR="0014208F" w:rsidRPr="00154F1D" w14:paraId="481BA293" w14:textId="77777777" w:rsidTr="008B09A5">
        <w:tc>
          <w:tcPr>
            <w:tcW w:w="1104" w:type="pct"/>
            <w:vAlign w:val="center"/>
          </w:tcPr>
          <w:p w14:paraId="3B8ED7AA" w14:textId="77777777" w:rsidR="0014208F" w:rsidRPr="00154F1D" w:rsidRDefault="0014208F" w:rsidP="00F101C2">
            <w:pPr>
              <w:spacing w:before="40" w:after="40"/>
              <w:rPr>
                <w:sz w:val="20"/>
                <w:szCs w:val="20"/>
              </w:rPr>
            </w:pPr>
            <w:r w:rsidRPr="00154F1D">
              <w:rPr>
                <w:sz w:val="20"/>
                <w:szCs w:val="20"/>
              </w:rPr>
              <w:t>Victoria</w:t>
            </w:r>
          </w:p>
        </w:tc>
        <w:tc>
          <w:tcPr>
            <w:tcW w:w="3896" w:type="pct"/>
            <w:vAlign w:val="center"/>
          </w:tcPr>
          <w:p w14:paraId="71F466E0" w14:textId="25FCCB28" w:rsidR="0014208F" w:rsidRPr="00154F1D" w:rsidRDefault="0014208F" w:rsidP="00F101C2">
            <w:pPr>
              <w:spacing w:before="40" w:after="40"/>
              <w:rPr>
                <w:sz w:val="20"/>
                <w:szCs w:val="20"/>
              </w:rPr>
            </w:pPr>
            <w:r w:rsidRPr="00154F1D">
              <w:rPr>
                <w:sz w:val="20"/>
                <w:szCs w:val="20"/>
              </w:rPr>
              <w:t>As with making the order.</w:t>
            </w:r>
            <w:r w:rsidR="00444857" w:rsidRPr="00154F1D">
              <w:rPr>
                <w:rStyle w:val="FootnoteReference"/>
                <w:szCs w:val="20"/>
              </w:rPr>
              <w:footnoteReference w:id="972"/>
            </w:r>
            <w:r w:rsidRPr="00154F1D">
              <w:rPr>
                <w:sz w:val="20"/>
                <w:szCs w:val="20"/>
              </w:rPr>
              <w:t xml:space="preserve"> </w:t>
            </w:r>
            <w:r w:rsidR="00444857" w:rsidRPr="00154F1D">
              <w:rPr>
                <w:sz w:val="20"/>
                <w:szCs w:val="20"/>
              </w:rPr>
              <w:t xml:space="preserve">At the end of the nominal period, there is a major review and there is a </w:t>
            </w:r>
            <w:r w:rsidR="002B53B5" w:rsidRPr="00154F1D">
              <w:rPr>
                <w:sz w:val="20"/>
                <w:szCs w:val="20"/>
              </w:rPr>
              <w:t>presumption</w:t>
            </w:r>
            <w:r w:rsidR="00444857" w:rsidRPr="00154F1D">
              <w:rPr>
                <w:sz w:val="20"/>
                <w:szCs w:val="20"/>
              </w:rPr>
              <w:t xml:space="preserve"> that a custodial supervision order will be varied</w:t>
            </w:r>
            <w:r w:rsidR="002B53B5" w:rsidRPr="00154F1D">
              <w:rPr>
                <w:sz w:val="20"/>
                <w:szCs w:val="20"/>
              </w:rPr>
              <w:t>: the court must vary the order to a NCSO unless satisfied on the evidence available that the safety of the person the subject of the order or members of the public will be seriously endangered.</w:t>
            </w:r>
            <w:r w:rsidR="002B53B5" w:rsidRPr="00154F1D">
              <w:rPr>
                <w:rStyle w:val="FootnoteReference"/>
                <w:szCs w:val="20"/>
              </w:rPr>
              <w:footnoteReference w:id="973"/>
            </w:r>
          </w:p>
        </w:tc>
      </w:tr>
      <w:tr w:rsidR="0014208F" w:rsidRPr="00154F1D" w14:paraId="03B626CA" w14:textId="77777777" w:rsidTr="008B09A5">
        <w:tc>
          <w:tcPr>
            <w:tcW w:w="1104" w:type="pct"/>
            <w:vAlign w:val="center"/>
          </w:tcPr>
          <w:p w14:paraId="6738BD56" w14:textId="77777777" w:rsidR="0014208F" w:rsidRPr="00154F1D" w:rsidRDefault="0014208F" w:rsidP="00F101C2">
            <w:pPr>
              <w:spacing w:before="40" w:after="40"/>
              <w:rPr>
                <w:sz w:val="20"/>
                <w:szCs w:val="20"/>
              </w:rPr>
            </w:pPr>
            <w:r w:rsidRPr="00154F1D">
              <w:rPr>
                <w:sz w:val="20"/>
                <w:szCs w:val="20"/>
              </w:rPr>
              <w:t>Western Australia</w:t>
            </w:r>
          </w:p>
        </w:tc>
        <w:tc>
          <w:tcPr>
            <w:tcW w:w="3896" w:type="pct"/>
            <w:vAlign w:val="center"/>
          </w:tcPr>
          <w:p w14:paraId="4952ACA6" w14:textId="799126ED" w:rsidR="0014208F" w:rsidRPr="00154F1D" w:rsidRDefault="0014208F" w:rsidP="00F101C2">
            <w:pPr>
              <w:spacing w:before="40" w:after="40"/>
              <w:rPr>
                <w:sz w:val="20"/>
                <w:szCs w:val="20"/>
              </w:rPr>
            </w:pPr>
            <w:r w:rsidRPr="00154F1D">
              <w:rPr>
                <w:sz w:val="20"/>
                <w:szCs w:val="20"/>
              </w:rPr>
              <w:t>The Governor on advice from the Minister following a recommendation from the Mental Impairment Accused Review Board.</w:t>
            </w:r>
            <w:r w:rsidRPr="00154F1D">
              <w:rPr>
                <w:rStyle w:val="FootnoteReference"/>
                <w:szCs w:val="20"/>
              </w:rPr>
              <w:footnoteReference w:id="974"/>
            </w:r>
            <w:r w:rsidRPr="00154F1D">
              <w:rPr>
                <w:sz w:val="20"/>
                <w:szCs w:val="20"/>
              </w:rPr>
              <w:t xml:space="preserve"> In making this recommendation the MIARB takes into account: the degree of risk that the release of the accused appears to present to the personal safety of people in the community or of any individual in the community; the likelihood that, if released on conditions, the accused would comply with the conditions; the extent to which the accused’s mental impairment, if</w:t>
            </w:r>
            <w:r w:rsidR="00F00DCE" w:rsidRPr="00154F1D">
              <w:rPr>
                <w:sz w:val="20"/>
                <w:szCs w:val="20"/>
              </w:rPr>
              <w:t xml:space="preserve"> </w:t>
            </w:r>
            <w:r w:rsidRPr="00154F1D">
              <w:rPr>
                <w:sz w:val="20"/>
                <w:szCs w:val="20"/>
              </w:rPr>
              <w:t>any, might benefit from treatment, training or any other measure; the likelihood that, if released, the accused would be able to take care of his or her day to day needs, obtain any appropriate treatment and resist serious exploitation; the objective of imposing the least restriction of the</w:t>
            </w:r>
            <w:r w:rsidR="009E5716" w:rsidRPr="00154F1D">
              <w:rPr>
                <w:sz w:val="20"/>
                <w:szCs w:val="20"/>
              </w:rPr>
              <w:t xml:space="preserve"> </w:t>
            </w:r>
            <w:r w:rsidRPr="00154F1D">
              <w:rPr>
                <w:sz w:val="20"/>
                <w:szCs w:val="20"/>
              </w:rPr>
              <w:t>freedom of choice and movement of the accused that is consistent with the need to protect the health or safety of the accused or any other person; and any statement received from a victim of the alleged offence in respect of which the accused is in custody.</w:t>
            </w:r>
            <w:r w:rsidRPr="00154F1D">
              <w:rPr>
                <w:rStyle w:val="FootnoteReference"/>
                <w:szCs w:val="20"/>
              </w:rPr>
              <w:footnoteReference w:id="975"/>
            </w:r>
          </w:p>
        </w:tc>
      </w:tr>
      <w:tr w:rsidR="0014208F" w:rsidRPr="00154F1D" w14:paraId="7B6BF8C1" w14:textId="77777777" w:rsidTr="008B09A5">
        <w:tc>
          <w:tcPr>
            <w:tcW w:w="1104" w:type="pct"/>
            <w:vAlign w:val="center"/>
          </w:tcPr>
          <w:p w14:paraId="7DFAB59F" w14:textId="77777777" w:rsidR="0014208F" w:rsidRPr="00154F1D" w:rsidRDefault="0014208F" w:rsidP="00F101C2">
            <w:pPr>
              <w:spacing w:before="40" w:after="40"/>
              <w:rPr>
                <w:sz w:val="20"/>
                <w:szCs w:val="20"/>
              </w:rPr>
            </w:pPr>
            <w:r w:rsidRPr="00154F1D">
              <w:rPr>
                <w:sz w:val="20"/>
                <w:szCs w:val="20"/>
              </w:rPr>
              <w:t>Queensland</w:t>
            </w:r>
          </w:p>
        </w:tc>
        <w:tc>
          <w:tcPr>
            <w:tcW w:w="3896" w:type="pct"/>
            <w:vAlign w:val="center"/>
          </w:tcPr>
          <w:p w14:paraId="16169557" w14:textId="65E49DB5" w:rsidR="0014208F" w:rsidRPr="00154F1D" w:rsidRDefault="0014208F" w:rsidP="00F101C2">
            <w:pPr>
              <w:spacing w:before="40" w:after="40"/>
              <w:rPr>
                <w:sz w:val="20"/>
                <w:szCs w:val="20"/>
              </w:rPr>
            </w:pPr>
            <w:r w:rsidRPr="00154F1D">
              <w:rPr>
                <w:sz w:val="20"/>
                <w:szCs w:val="20"/>
              </w:rPr>
              <w:t>On review by the MHT, the Tribunal must confirm the forensic order if the order is necessary, because of the person’s mental condition, to protect the safety of the community, including from the risk of serious harm to other persons or property.</w:t>
            </w:r>
            <w:r w:rsidRPr="00154F1D">
              <w:rPr>
                <w:rStyle w:val="FootnoteReference"/>
                <w:szCs w:val="20"/>
              </w:rPr>
              <w:footnoteReference w:id="976"/>
            </w:r>
            <w:r w:rsidRPr="00154F1D">
              <w:rPr>
                <w:sz w:val="20"/>
                <w:szCs w:val="20"/>
              </w:rPr>
              <w:t xml:space="preserve"> It must have regard to the relevant circumstances of the person subject to the order, the nature of the unlawful act and the period of time that has passed, any victim impact statement and if the MHC made a recommendation in the order about an intervention program for the person </w:t>
            </w:r>
            <w:r w:rsidR="00B2731F" w:rsidRPr="00154F1D">
              <w:rPr>
                <w:sz w:val="20"/>
                <w:szCs w:val="20"/>
              </w:rPr>
              <w:t>—</w:t>
            </w:r>
            <w:r w:rsidRPr="00154F1D">
              <w:rPr>
                <w:sz w:val="20"/>
                <w:szCs w:val="20"/>
              </w:rPr>
              <w:t xml:space="preserve"> the person’s willingness to take part in the program.</w:t>
            </w:r>
            <w:r w:rsidRPr="00154F1D">
              <w:rPr>
                <w:rStyle w:val="FootnoteReference"/>
                <w:szCs w:val="20"/>
              </w:rPr>
              <w:footnoteReference w:id="977"/>
            </w:r>
            <w:r w:rsidRPr="00154F1D">
              <w:rPr>
                <w:sz w:val="20"/>
                <w:szCs w:val="20"/>
              </w:rPr>
              <w:t xml:space="preserve"> It must also be confirmed during any non-revocation period.</w:t>
            </w:r>
            <w:r w:rsidRPr="00154F1D">
              <w:rPr>
                <w:rStyle w:val="FootnoteReference"/>
                <w:szCs w:val="20"/>
              </w:rPr>
              <w:footnoteReference w:id="978"/>
            </w:r>
          </w:p>
        </w:tc>
      </w:tr>
      <w:tr w:rsidR="0014208F" w:rsidRPr="00154F1D" w14:paraId="341EFE3A" w14:textId="77777777" w:rsidTr="008B09A5">
        <w:tc>
          <w:tcPr>
            <w:tcW w:w="1104" w:type="pct"/>
            <w:vAlign w:val="center"/>
          </w:tcPr>
          <w:p w14:paraId="7832EF42" w14:textId="77777777" w:rsidR="0014208F" w:rsidRPr="00154F1D" w:rsidRDefault="0014208F" w:rsidP="00F101C2">
            <w:pPr>
              <w:spacing w:before="40" w:after="40"/>
              <w:rPr>
                <w:sz w:val="20"/>
                <w:szCs w:val="20"/>
              </w:rPr>
            </w:pPr>
            <w:r w:rsidRPr="00154F1D">
              <w:rPr>
                <w:sz w:val="20"/>
                <w:szCs w:val="20"/>
              </w:rPr>
              <w:t>Australian Capital Territory</w:t>
            </w:r>
          </w:p>
        </w:tc>
        <w:tc>
          <w:tcPr>
            <w:tcW w:w="3896" w:type="pct"/>
            <w:vAlign w:val="center"/>
          </w:tcPr>
          <w:p w14:paraId="20ED54C2" w14:textId="77777777" w:rsidR="00B2731F" w:rsidRPr="00154F1D" w:rsidRDefault="00563021" w:rsidP="00F101C2">
            <w:pPr>
              <w:autoSpaceDE w:val="0"/>
              <w:autoSpaceDN w:val="0"/>
              <w:adjustRightInd w:val="0"/>
              <w:spacing w:before="40" w:after="40"/>
              <w:rPr>
                <w:sz w:val="20"/>
                <w:szCs w:val="20"/>
              </w:rPr>
            </w:pPr>
            <w:r w:rsidRPr="00154F1D">
              <w:rPr>
                <w:sz w:val="20"/>
                <w:szCs w:val="20"/>
              </w:rPr>
              <w:t xml:space="preserve">The Civil and Administrative Tribunal can consider the detention under a court order and must consider: </w:t>
            </w:r>
          </w:p>
          <w:p w14:paraId="53BA39C1" w14:textId="231DF5A0" w:rsidR="00563021" w:rsidRPr="00154F1D" w:rsidRDefault="00563021" w:rsidP="00B2731F">
            <w:pPr>
              <w:autoSpaceDE w:val="0"/>
              <w:autoSpaceDN w:val="0"/>
              <w:adjustRightInd w:val="0"/>
              <w:spacing w:before="40" w:after="40"/>
              <w:ind w:left="324" w:hanging="324"/>
              <w:rPr>
                <w:sz w:val="20"/>
                <w:szCs w:val="20"/>
              </w:rPr>
            </w:pPr>
            <w:r w:rsidRPr="00154F1D">
              <w:rPr>
                <w:sz w:val="20"/>
                <w:szCs w:val="20"/>
              </w:rPr>
              <w:t>(a)</w:t>
            </w:r>
            <w:r w:rsidR="00B2731F" w:rsidRPr="00154F1D">
              <w:rPr>
                <w:sz w:val="20"/>
                <w:szCs w:val="20"/>
              </w:rPr>
              <w:tab/>
            </w:r>
            <w:r w:rsidRPr="00154F1D">
              <w:rPr>
                <w:sz w:val="20"/>
                <w:szCs w:val="20"/>
              </w:rPr>
              <w:t>that detention in custody is to be regarded as a last resort and ordered only in exceptional circumstances;</w:t>
            </w:r>
          </w:p>
          <w:p w14:paraId="4F28E587" w14:textId="4B8E4B66" w:rsidR="00563021" w:rsidRPr="00154F1D" w:rsidRDefault="00563021" w:rsidP="00B2731F">
            <w:pPr>
              <w:autoSpaceDE w:val="0"/>
              <w:autoSpaceDN w:val="0"/>
              <w:adjustRightInd w:val="0"/>
              <w:spacing w:before="40" w:after="40"/>
              <w:ind w:left="324" w:hanging="324"/>
              <w:rPr>
                <w:sz w:val="20"/>
                <w:szCs w:val="20"/>
              </w:rPr>
            </w:pPr>
            <w:r w:rsidRPr="00154F1D">
              <w:rPr>
                <w:sz w:val="20"/>
                <w:szCs w:val="20"/>
              </w:rPr>
              <w:t>(b)</w:t>
            </w:r>
            <w:r w:rsidR="00B2731F" w:rsidRPr="00154F1D">
              <w:rPr>
                <w:sz w:val="20"/>
                <w:szCs w:val="20"/>
              </w:rPr>
              <w:tab/>
            </w:r>
            <w:r w:rsidRPr="00154F1D">
              <w:rPr>
                <w:sz w:val="20"/>
                <w:szCs w:val="20"/>
              </w:rPr>
              <w:t>the nature and extent of the person’s mental disorder or mental illness, including the effect it is likely to have on the person’s behaviour in the future;</w:t>
            </w:r>
          </w:p>
          <w:p w14:paraId="6EFA41AF" w14:textId="06CCD1F6" w:rsidR="00563021" w:rsidRPr="00154F1D" w:rsidRDefault="00563021" w:rsidP="00B2731F">
            <w:pPr>
              <w:autoSpaceDE w:val="0"/>
              <w:autoSpaceDN w:val="0"/>
              <w:adjustRightInd w:val="0"/>
              <w:spacing w:before="40" w:after="40"/>
              <w:ind w:left="324" w:hanging="324"/>
              <w:rPr>
                <w:sz w:val="20"/>
                <w:szCs w:val="20"/>
              </w:rPr>
            </w:pPr>
            <w:r w:rsidRPr="00154F1D">
              <w:rPr>
                <w:sz w:val="20"/>
                <w:szCs w:val="20"/>
              </w:rPr>
              <w:t>(c)</w:t>
            </w:r>
            <w:r w:rsidR="00B2731F" w:rsidRPr="00154F1D">
              <w:rPr>
                <w:sz w:val="20"/>
                <w:szCs w:val="20"/>
              </w:rPr>
              <w:tab/>
            </w:r>
            <w:r w:rsidRPr="00154F1D">
              <w:rPr>
                <w:sz w:val="20"/>
                <w:szCs w:val="20"/>
              </w:rPr>
              <w:t>whether or not, if released—</w:t>
            </w:r>
          </w:p>
          <w:p w14:paraId="2C241B98" w14:textId="0168A9ED" w:rsidR="00563021" w:rsidRPr="00154F1D" w:rsidRDefault="00563021" w:rsidP="00B2731F">
            <w:pPr>
              <w:autoSpaceDE w:val="0"/>
              <w:autoSpaceDN w:val="0"/>
              <w:adjustRightInd w:val="0"/>
              <w:spacing w:before="40" w:after="40"/>
              <w:ind w:left="608" w:hanging="284"/>
              <w:rPr>
                <w:sz w:val="20"/>
                <w:szCs w:val="20"/>
              </w:rPr>
            </w:pPr>
            <w:r w:rsidRPr="00154F1D">
              <w:rPr>
                <w:sz w:val="20"/>
                <w:szCs w:val="20"/>
              </w:rPr>
              <w:t>(i)</w:t>
            </w:r>
            <w:r w:rsidR="00B2731F" w:rsidRPr="00154F1D">
              <w:rPr>
                <w:sz w:val="20"/>
                <w:szCs w:val="20"/>
              </w:rPr>
              <w:tab/>
            </w:r>
            <w:r w:rsidRPr="00154F1D">
              <w:rPr>
                <w:sz w:val="20"/>
                <w:szCs w:val="20"/>
              </w:rPr>
              <w:t>the person’s health or safety would be, or would be likely to be, substantially at risk; or</w:t>
            </w:r>
          </w:p>
          <w:p w14:paraId="00435D68" w14:textId="32D84406" w:rsidR="00563021" w:rsidRPr="00154F1D" w:rsidRDefault="00563021" w:rsidP="00B2731F">
            <w:pPr>
              <w:autoSpaceDE w:val="0"/>
              <w:autoSpaceDN w:val="0"/>
              <w:adjustRightInd w:val="0"/>
              <w:spacing w:before="40" w:after="40"/>
              <w:ind w:left="608" w:hanging="284"/>
              <w:rPr>
                <w:sz w:val="20"/>
                <w:szCs w:val="20"/>
              </w:rPr>
            </w:pPr>
            <w:r w:rsidRPr="00154F1D">
              <w:rPr>
                <w:sz w:val="20"/>
                <w:szCs w:val="20"/>
              </w:rPr>
              <w:t>(ii)</w:t>
            </w:r>
            <w:r w:rsidR="00B2731F" w:rsidRPr="00154F1D">
              <w:rPr>
                <w:sz w:val="20"/>
                <w:szCs w:val="20"/>
              </w:rPr>
              <w:tab/>
            </w:r>
            <w:r w:rsidRPr="00154F1D">
              <w:rPr>
                <w:sz w:val="20"/>
                <w:szCs w:val="20"/>
              </w:rPr>
              <w:t>the person would be likely to do serious harm to others;</w:t>
            </w:r>
          </w:p>
          <w:p w14:paraId="33630153" w14:textId="6789D3FB" w:rsidR="00563021" w:rsidRPr="00154F1D" w:rsidRDefault="00563021" w:rsidP="00B2731F">
            <w:pPr>
              <w:autoSpaceDE w:val="0"/>
              <w:autoSpaceDN w:val="0"/>
              <w:adjustRightInd w:val="0"/>
              <w:spacing w:before="40" w:after="40"/>
              <w:ind w:left="324" w:hanging="324"/>
              <w:rPr>
                <w:sz w:val="20"/>
                <w:szCs w:val="20"/>
              </w:rPr>
            </w:pPr>
            <w:r w:rsidRPr="00154F1D">
              <w:rPr>
                <w:sz w:val="20"/>
                <w:szCs w:val="20"/>
              </w:rPr>
              <w:t>(d)</w:t>
            </w:r>
            <w:r w:rsidR="00B2731F" w:rsidRPr="00154F1D">
              <w:rPr>
                <w:sz w:val="20"/>
                <w:szCs w:val="20"/>
              </w:rPr>
              <w:tab/>
            </w:r>
            <w:r w:rsidRPr="00154F1D">
              <w:rPr>
                <w:sz w:val="20"/>
                <w:szCs w:val="20"/>
              </w:rPr>
              <w:t>if the court nominated a term under the Crimes Act, part 13—</w:t>
            </w:r>
          </w:p>
          <w:p w14:paraId="7A8F404E" w14:textId="4F14AF1B" w:rsidR="00563021" w:rsidRPr="00154F1D" w:rsidRDefault="00563021" w:rsidP="00B2731F">
            <w:pPr>
              <w:spacing w:before="40" w:after="40"/>
              <w:ind w:left="324" w:hanging="324"/>
              <w:rPr>
                <w:sz w:val="20"/>
                <w:szCs w:val="20"/>
              </w:rPr>
            </w:pPr>
            <w:r w:rsidRPr="00154F1D">
              <w:rPr>
                <w:sz w:val="20"/>
                <w:szCs w:val="20"/>
              </w:rPr>
              <w:t>the nominated term.</w:t>
            </w:r>
            <w:r w:rsidRPr="00154F1D">
              <w:rPr>
                <w:rStyle w:val="FootnoteReference"/>
                <w:szCs w:val="20"/>
              </w:rPr>
              <w:footnoteReference w:id="979"/>
            </w:r>
          </w:p>
          <w:p w14:paraId="41AA0F6F" w14:textId="15876A6F" w:rsidR="0014208F" w:rsidRPr="00154F1D" w:rsidRDefault="00563021" w:rsidP="00B2731F">
            <w:pPr>
              <w:spacing w:before="40" w:after="40"/>
              <w:rPr>
                <w:sz w:val="20"/>
                <w:szCs w:val="20"/>
              </w:rPr>
            </w:pPr>
            <w:r w:rsidRPr="00154F1D">
              <w:rPr>
                <w:sz w:val="20"/>
                <w:szCs w:val="20"/>
              </w:rPr>
              <w:t xml:space="preserve">May also make and review mental health orders and forensic mental health orders. </w:t>
            </w:r>
          </w:p>
        </w:tc>
      </w:tr>
      <w:tr w:rsidR="0014208F" w:rsidRPr="00154F1D" w14:paraId="3E588F3B" w14:textId="77777777" w:rsidTr="008B09A5">
        <w:tc>
          <w:tcPr>
            <w:tcW w:w="1104" w:type="pct"/>
            <w:vAlign w:val="center"/>
          </w:tcPr>
          <w:p w14:paraId="240BB5F0" w14:textId="77777777" w:rsidR="0014208F" w:rsidRPr="00154F1D" w:rsidRDefault="0014208F" w:rsidP="00F101C2">
            <w:pPr>
              <w:spacing w:before="40" w:after="40"/>
              <w:rPr>
                <w:sz w:val="20"/>
                <w:szCs w:val="20"/>
              </w:rPr>
            </w:pPr>
            <w:r w:rsidRPr="00154F1D">
              <w:rPr>
                <w:sz w:val="20"/>
                <w:szCs w:val="20"/>
              </w:rPr>
              <w:t>Northern Territory</w:t>
            </w:r>
          </w:p>
        </w:tc>
        <w:tc>
          <w:tcPr>
            <w:tcW w:w="3896" w:type="pct"/>
            <w:vAlign w:val="center"/>
          </w:tcPr>
          <w:p w14:paraId="704F7ADF" w14:textId="77777777" w:rsidR="0014208F" w:rsidRPr="00154F1D" w:rsidRDefault="0014208F" w:rsidP="00F101C2">
            <w:pPr>
              <w:spacing w:before="40" w:after="40"/>
              <w:outlineLvl w:val="0"/>
              <w:rPr>
                <w:sz w:val="20"/>
                <w:szCs w:val="20"/>
              </w:rPr>
            </w:pPr>
            <w:r w:rsidRPr="00154F1D">
              <w:rPr>
                <w:sz w:val="20"/>
                <w:szCs w:val="20"/>
              </w:rPr>
              <w:t>On the major review, the court must release the supervised person unconditionally unless the court considers that the safety of the supervised person or the public will or is likely to be seriously at risk.</w:t>
            </w:r>
            <w:r w:rsidRPr="00154F1D">
              <w:rPr>
                <w:rStyle w:val="FootnoteReference"/>
                <w:szCs w:val="20"/>
              </w:rPr>
              <w:footnoteReference w:id="980"/>
            </w:r>
          </w:p>
          <w:p w14:paraId="3429B02D" w14:textId="77777777" w:rsidR="0014208F" w:rsidRPr="00154F1D" w:rsidRDefault="0014208F" w:rsidP="00F101C2">
            <w:pPr>
              <w:spacing w:before="40" w:after="40"/>
              <w:outlineLvl w:val="0"/>
              <w:rPr>
                <w:sz w:val="20"/>
                <w:szCs w:val="20"/>
              </w:rPr>
            </w:pPr>
            <w:r w:rsidRPr="00154F1D">
              <w:rPr>
                <w:sz w:val="20"/>
                <w:szCs w:val="20"/>
              </w:rPr>
              <w:t>At periodic reviews, the court must vary a custodial supervision to a non-custodial supervision order unless satisfied on the evidence that the safety of the supervised person or the public will or is likely to be seriously at risk.</w:t>
            </w:r>
            <w:r w:rsidRPr="00154F1D">
              <w:rPr>
                <w:rStyle w:val="FootnoteReference"/>
                <w:szCs w:val="20"/>
              </w:rPr>
              <w:footnoteReference w:id="981"/>
            </w:r>
            <w:r w:rsidRPr="00154F1D">
              <w:rPr>
                <w:sz w:val="20"/>
                <w:szCs w:val="20"/>
              </w:rPr>
              <w:t xml:space="preserve"> Other factors as with making the order.</w:t>
            </w:r>
          </w:p>
        </w:tc>
      </w:tr>
    </w:tbl>
    <w:p w14:paraId="667B9EF3" w14:textId="4E256A40" w:rsidR="0014208F" w:rsidRPr="00154F1D" w:rsidRDefault="0014208F" w:rsidP="0014208F">
      <w:pPr>
        <w:rPr>
          <w:szCs w:val="22"/>
        </w:rPr>
      </w:pPr>
    </w:p>
    <w:p w14:paraId="0C69E84E" w14:textId="226AF87F" w:rsidR="0014208F" w:rsidRPr="00154F1D" w:rsidRDefault="0014208F">
      <w:pPr>
        <w:rPr>
          <w:szCs w:val="22"/>
        </w:rPr>
      </w:pPr>
    </w:p>
    <w:p w14:paraId="1709D4AE" w14:textId="77777777" w:rsidR="0014208F" w:rsidRPr="00154F1D" w:rsidRDefault="0014208F" w:rsidP="0014208F">
      <w:pPr>
        <w:rPr>
          <w:szCs w:val="22"/>
        </w:rPr>
        <w:sectPr w:rsidR="0014208F" w:rsidRPr="00154F1D" w:rsidSect="00D44CC5">
          <w:headerReference w:type="default" r:id="rId43"/>
          <w:pgSz w:w="11900" w:h="16840"/>
          <w:pgMar w:top="1440" w:right="1797" w:bottom="1440" w:left="1797" w:header="709" w:footer="709" w:gutter="0"/>
          <w:cols w:space="708"/>
          <w:titlePg/>
          <w:docGrid w:linePitch="360"/>
        </w:sectPr>
      </w:pPr>
    </w:p>
    <w:p w14:paraId="5DC9A9B0" w14:textId="212AEB76" w:rsidR="0014208F" w:rsidRPr="00154F1D" w:rsidRDefault="00C90C33" w:rsidP="001F30A0">
      <w:pPr>
        <w:pStyle w:val="NumberlessSectionHeading"/>
        <w:spacing w:before="0" w:after="120"/>
      </w:pPr>
      <w:bookmarkStart w:id="220" w:name="_Toc535868989"/>
      <w:r w:rsidRPr="00154F1D">
        <w:t xml:space="preserve">Appendix </w:t>
      </w:r>
      <w:r w:rsidR="00BA4488" w:rsidRPr="00154F1D">
        <w:t>4</w:t>
      </w:r>
      <w:r w:rsidRPr="00154F1D">
        <w:t>: Fitness to stand trial</w:t>
      </w:r>
      <w:bookmarkEnd w:id="220"/>
    </w:p>
    <w:tbl>
      <w:tblPr>
        <w:tblStyle w:val="TableGrid"/>
        <w:tblW w:w="13950" w:type="dxa"/>
        <w:tblInd w:w="51" w:type="dxa"/>
        <w:tblBorders>
          <w:top w:val="single" w:sz="2" w:space="0" w:color="000000"/>
          <w:left w:val="single" w:sz="2" w:space="0" w:color="000000"/>
          <w:bottom w:val="single" w:sz="2" w:space="0" w:color="000000"/>
          <w:right w:val="single" w:sz="2" w:space="0" w:color="000000"/>
        </w:tblBorders>
        <w:tblLayout w:type="fixed"/>
        <w:tblCellMar>
          <w:left w:w="57" w:type="dxa"/>
          <w:right w:w="57" w:type="dxa"/>
        </w:tblCellMar>
        <w:tblLook w:val="04A0" w:firstRow="1" w:lastRow="0" w:firstColumn="1" w:lastColumn="0" w:noHBand="0" w:noVBand="1"/>
      </w:tblPr>
      <w:tblGrid>
        <w:gridCol w:w="1645"/>
        <w:gridCol w:w="1418"/>
        <w:gridCol w:w="1526"/>
        <w:gridCol w:w="1167"/>
        <w:gridCol w:w="1276"/>
        <w:gridCol w:w="1276"/>
        <w:gridCol w:w="1417"/>
        <w:gridCol w:w="1276"/>
        <w:gridCol w:w="2949"/>
      </w:tblGrid>
      <w:tr w:rsidR="001F30A0" w:rsidRPr="00154F1D" w14:paraId="1A29ACF1" w14:textId="77777777" w:rsidTr="008B09A5">
        <w:trPr>
          <w:tblHeader/>
        </w:trPr>
        <w:tc>
          <w:tcPr>
            <w:tcW w:w="1645" w:type="dxa"/>
          </w:tcPr>
          <w:p w14:paraId="1C7FA154" w14:textId="77777777" w:rsidR="0014208F" w:rsidRPr="00154F1D" w:rsidRDefault="0014208F" w:rsidP="001F30A0">
            <w:pPr>
              <w:spacing w:beforeLines="40" w:before="96" w:afterLines="40" w:after="96"/>
              <w:rPr>
                <w:rFonts w:eastAsia="Times"/>
                <w:sz w:val="20"/>
                <w:szCs w:val="20"/>
              </w:rPr>
            </w:pPr>
          </w:p>
        </w:tc>
        <w:tc>
          <w:tcPr>
            <w:tcW w:w="1418" w:type="dxa"/>
            <w:vAlign w:val="center"/>
          </w:tcPr>
          <w:p w14:paraId="675CC591" w14:textId="77777777" w:rsidR="0014208F" w:rsidRPr="00154F1D" w:rsidRDefault="0014208F" w:rsidP="001F30A0">
            <w:pPr>
              <w:spacing w:beforeLines="40" w:before="96" w:afterLines="40" w:after="96"/>
              <w:jc w:val="center"/>
              <w:rPr>
                <w:rFonts w:eastAsia="Times"/>
                <w:b/>
                <w:sz w:val="20"/>
                <w:szCs w:val="20"/>
              </w:rPr>
            </w:pPr>
            <w:r w:rsidRPr="00154F1D">
              <w:rPr>
                <w:rFonts w:eastAsia="Times"/>
                <w:b/>
                <w:sz w:val="20"/>
                <w:szCs w:val="20"/>
              </w:rPr>
              <w:t>Understand the nature of the charges</w:t>
            </w:r>
          </w:p>
        </w:tc>
        <w:tc>
          <w:tcPr>
            <w:tcW w:w="1526" w:type="dxa"/>
            <w:vAlign w:val="center"/>
          </w:tcPr>
          <w:p w14:paraId="6D143266" w14:textId="77777777" w:rsidR="0014208F" w:rsidRPr="00154F1D" w:rsidRDefault="0014208F" w:rsidP="001F30A0">
            <w:pPr>
              <w:spacing w:beforeLines="40" w:before="96" w:afterLines="40" w:after="96"/>
              <w:jc w:val="center"/>
              <w:rPr>
                <w:rFonts w:eastAsia="Times"/>
                <w:b/>
                <w:sz w:val="20"/>
                <w:szCs w:val="20"/>
              </w:rPr>
            </w:pPr>
            <w:r w:rsidRPr="00154F1D">
              <w:rPr>
                <w:rFonts w:eastAsia="Times"/>
                <w:b/>
                <w:sz w:val="20"/>
                <w:szCs w:val="20"/>
              </w:rPr>
              <w:t>Enter a plea</w:t>
            </w:r>
          </w:p>
        </w:tc>
        <w:tc>
          <w:tcPr>
            <w:tcW w:w="1167" w:type="dxa"/>
            <w:vAlign w:val="center"/>
          </w:tcPr>
          <w:p w14:paraId="3ADE7462" w14:textId="77777777" w:rsidR="0014208F" w:rsidRPr="00154F1D" w:rsidRDefault="0014208F" w:rsidP="001F30A0">
            <w:pPr>
              <w:spacing w:beforeLines="40" w:before="96" w:afterLines="40" w:after="96"/>
              <w:jc w:val="center"/>
              <w:rPr>
                <w:rFonts w:eastAsia="Times"/>
                <w:b/>
                <w:sz w:val="20"/>
                <w:szCs w:val="20"/>
              </w:rPr>
            </w:pPr>
            <w:r w:rsidRPr="00154F1D">
              <w:rPr>
                <w:rFonts w:eastAsia="Times"/>
                <w:b/>
                <w:sz w:val="20"/>
                <w:szCs w:val="20"/>
              </w:rPr>
              <w:t>Right to challenge juror</w:t>
            </w:r>
          </w:p>
        </w:tc>
        <w:tc>
          <w:tcPr>
            <w:tcW w:w="1276" w:type="dxa"/>
            <w:vAlign w:val="center"/>
          </w:tcPr>
          <w:p w14:paraId="03239ADD" w14:textId="77777777" w:rsidR="0014208F" w:rsidRPr="00154F1D" w:rsidRDefault="0014208F" w:rsidP="001F30A0">
            <w:pPr>
              <w:spacing w:beforeLines="40" w:before="96" w:afterLines="40" w:after="96"/>
              <w:jc w:val="center"/>
              <w:rPr>
                <w:rFonts w:eastAsia="Times"/>
                <w:b/>
                <w:sz w:val="20"/>
                <w:szCs w:val="20"/>
              </w:rPr>
            </w:pPr>
            <w:r w:rsidRPr="00154F1D">
              <w:rPr>
                <w:rFonts w:eastAsia="Times"/>
                <w:b/>
                <w:sz w:val="20"/>
                <w:szCs w:val="20"/>
              </w:rPr>
              <w:t>Understand the nature of the trial</w:t>
            </w:r>
          </w:p>
        </w:tc>
        <w:tc>
          <w:tcPr>
            <w:tcW w:w="1276" w:type="dxa"/>
            <w:vAlign w:val="center"/>
          </w:tcPr>
          <w:p w14:paraId="07F8B9CD" w14:textId="77777777" w:rsidR="0014208F" w:rsidRPr="00154F1D" w:rsidRDefault="0014208F" w:rsidP="001F30A0">
            <w:pPr>
              <w:spacing w:beforeLines="40" w:before="96" w:afterLines="40" w:after="96"/>
              <w:jc w:val="center"/>
              <w:rPr>
                <w:rFonts w:eastAsia="Times"/>
                <w:b/>
                <w:sz w:val="20"/>
                <w:szCs w:val="20"/>
              </w:rPr>
            </w:pPr>
            <w:r w:rsidRPr="00154F1D">
              <w:rPr>
                <w:rFonts w:eastAsia="Times"/>
                <w:b/>
                <w:sz w:val="20"/>
                <w:szCs w:val="20"/>
              </w:rPr>
              <w:t>Follow course of trial</w:t>
            </w:r>
          </w:p>
        </w:tc>
        <w:tc>
          <w:tcPr>
            <w:tcW w:w="1417" w:type="dxa"/>
            <w:vAlign w:val="center"/>
          </w:tcPr>
          <w:p w14:paraId="6BFC92B6" w14:textId="77777777" w:rsidR="0014208F" w:rsidRPr="00154F1D" w:rsidRDefault="0014208F" w:rsidP="001F30A0">
            <w:pPr>
              <w:spacing w:beforeLines="40" w:before="96" w:afterLines="40" w:after="96"/>
              <w:jc w:val="center"/>
              <w:rPr>
                <w:rFonts w:eastAsia="Times"/>
                <w:b/>
                <w:sz w:val="20"/>
                <w:szCs w:val="20"/>
              </w:rPr>
            </w:pPr>
            <w:r w:rsidRPr="00154F1D">
              <w:rPr>
                <w:rFonts w:eastAsia="Times"/>
                <w:b/>
                <w:sz w:val="20"/>
                <w:szCs w:val="20"/>
              </w:rPr>
              <w:t>Understand substantial effect of the evidence</w:t>
            </w:r>
          </w:p>
        </w:tc>
        <w:tc>
          <w:tcPr>
            <w:tcW w:w="1276" w:type="dxa"/>
            <w:vAlign w:val="center"/>
          </w:tcPr>
          <w:p w14:paraId="53954B84" w14:textId="77777777" w:rsidR="0014208F" w:rsidRPr="00154F1D" w:rsidRDefault="0014208F" w:rsidP="001F30A0">
            <w:pPr>
              <w:spacing w:beforeLines="40" w:before="96" w:afterLines="40" w:after="96"/>
              <w:jc w:val="center"/>
              <w:rPr>
                <w:rFonts w:eastAsia="Times"/>
                <w:b/>
                <w:sz w:val="20"/>
                <w:szCs w:val="20"/>
              </w:rPr>
            </w:pPr>
            <w:r w:rsidRPr="00154F1D">
              <w:rPr>
                <w:rFonts w:eastAsia="Times"/>
                <w:b/>
                <w:sz w:val="20"/>
                <w:szCs w:val="20"/>
              </w:rPr>
              <w:t>Give instructions to legal practitioner</w:t>
            </w:r>
          </w:p>
        </w:tc>
        <w:tc>
          <w:tcPr>
            <w:tcW w:w="2949" w:type="dxa"/>
            <w:vAlign w:val="center"/>
          </w:tcPr>
          <w:p w14:paraId="217ED7CE" w14:textId="77777777" w:rsidR="0014208F" w:rsidRPr="00154F1D" w:rsidRDefault="0014208F" w:rsidP="001F30A0">
            <w:pPr>
              <w:spacing w:beforeLines="40" w:before="96" w:afterLines="40" w:after="96"/>
              <w:jc w:val="center"/>
              <w:rPr>
                <w:rFonts w:eastAsia="Times"/>
                <w:b/>
                <w:sz w:val="20"/>
                <w:szCs w:val="20"/>
              </w:rPr>
            </w:pPr>
            <w:r w:rsidRPr="00154F1D">
              <w:rPr>
                <w:rFonts w:eastAsia="Times"/>
                <w:b/>
                <w:sz w:val="20"/>
                <w:szCs w:val="20"/>
              </w:rPr>
              <w:t>Other</w:t>
            </w:r>
          </w:p>
        </w:tc>
      </w:tr>
      <w:tr w:rsidR="001F30A0" w:rsidRPr="00154F1D" w14:paraId="6EB7C4BB" w14:textId="77777777" w:rsidTr="008B09A5">
        <w:tc>
          <w:tcPr>
            <w:tcW w:w="1645" w:type="dxa"/>
          </w:tcPr>
          <w:p w14:paraId="4BDC4861"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Tasmania</w:t>
            </w:r>
          </w:p>
        </w:tc>
        <w:tc>
          <w:tcPr>
            <w:tcW w:w="1418" w:type="dxa"/>
          </w:tcPr>
          <w:p w14:paraId="5CD19F3B"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526" w:type="dxa"/>
          </w:tcPr>
          <w:p w14:paraId="70D68D25"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167" w:type="dxa"/>
          </w:tcPr>
          <w:p w14:paraId="71F1C82A"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6398D9AF"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79E3F419"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417" w:type="dxa"/>
          </w:tcPr>
          <w:p w14:paraId="39186801" w14:textId="77777777" w:rsidR="0014208F" w:rsidRPr="00154F1D" w:rsidRDefault="0014208F" w:rsidP="001F30A0">
            <w:pPr>
              <w:spacing w:beforeLines="40" w:before="96" w:afterLines="40" w:after="96"/>
              <w:jc w:val="center"/>
              <w:rPr>
                <w:rFonts w:eastAsia="Times"/>
                <w:sz w:val="20"/>
                <w:szCs w:val="20"/>
              </w:rPr>
            </w:pPr>
          </w:p>
        </w:tc>
        <w:tc>
          <w:tcPr>
            <w:tcW w:w="1276" w:type="dxa"/>
          </w:tcPr>
          <w:p w14:paraId="785AD131" w14:textId="77777777" w:rsidR="0014208F" w:rsidRPr="00154F1D" w:rsidRDefault="0014208F" w:rsidP="001F30A0">
            <w:pPr>
              <w:spacing w:beforeLines="40" w:before="96" w:afterLines="40" w:after="96"/>
              <w:jc w:val="center"/>
              <w:rPr>
                <w:rFonts w:eastAsia="Times"/>
                <w:sz w:val="20"/>
                <w:szCs w:val="20"/>
              </w:rPr>
            </w:pPr>
          </w:p>
        </w:tc>
        <w:tc>
          <w:tcPr>
            <w:tcW w:w="2949" w:type="dxa"/>
          </w:tcPr>
          <w:p w14:paraId="4F18350B" w14:textId="77777777" w:rsidR="0014208F" w:rsidRPr="00154F1D" w:rsidRDefault="0014208F" w:rsidP="001F30A0">
            <w:pPr>
              <w:pStyle w:val="ListParagraph"/>
              <w:numPr>
                <w:ilvl w:val="0"/>
                <w:numId w:val="41"/>
              </w:numPr>
              <w:spacing w:beforeLines="40" w:before="96" w:afterLines="40" w:after="96"/>
              <w:ind w:left="226" w:hanging="226"/>
              <w:jc w:val="left"/>
              <w:rPr>
                <w:rFonts w:eastAsia="Times"/>
                <w:sz w:val="20"/>
                <w:szCs w:val="20"/>
              </w:rPr>
            </w:pPr>
            <w:r w:rsidRPr="00154F1D">
              <w:rPr>
                <w:rFonts w:eastAsia="Times"/>
                <w:sz w:val="20"/>
                <w:szCs w:val="20"/>
              </w:rPr>
              <w:t xml:space="preserve">Make a defence. </w:t>
            </w:r>
          </w:p>
        </w:tc>
      </w:tr>
      <w:tr w:rsidR="001F30A0" w:rsidRPr="00154F1D" w14:paraId="5590B4CD" w14:textId="77777777" w:rsidTr="008B09A5">
        <w:tc>
          <w:tcPr>
            <w:tcW w:w="1645" w:type="dxa"/>
          </w:tcPr>
          <w:p w14:paraId="1B031CB1" w14:textId="07CC2793" w:rsidR="0014208F" w:rsidRPr="00154F1D" w:rsidRDefault="0014208F" w:rsidP="001F30A0">
            <w:pPr>
              <w:spacing w:beforeLines="40" w:before="96" w:afterLines="40" w:after="96"/>
              <w:rPr>
                <w:rFonts w:eastAsia="Times"/>
                <w:sz w:val="20"/>
                <w:szCs w:val="20"/>
              </w:rPr>
            </w:pPr>
            <w:r w:rsidRPr="00154F1D">
              <w:rPr>
                <w:rFonts w:eastAsia="Times"/>
                <w:sz w:val="20"/>
                <w:szCs w:val="20"/>
              </w:rPr>
              <w:t>Presser criteria (NSW, Commonwealth</w:t>
            </w:r>
            <w:r w:rsidR="001F30A0" w:rsidRPr="00154F1D">
              <w:rPr>
                <w:rFonts w:eastAsia="Times"/>
                <w:sz w:val="20"/>
                <w:szCs w:val="20"/>
              </w:rPr>
              <w:t xml:space="preserve">, </w:t>
            </w:r>
            <w:r w:rsidRPr="00154F1D">
              <w:rPr>
                <w:rFonts w:eastAsia="Times"/>
                <w:sz w:val="20"/>
                <w:szCs w:val="20"/>
              </w:rPr>
              <w:t>Queensland)</w:t>
            </w:r>
          </w:p>
        </w:tc>
        <w:tc>
          <w:tcPr>
            <w:tcW w:w="1418" w:type="dxa"/>
          </w:tcPr>
          <w:p w14:paraId="6170755C"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526" w:type="dxa"/>
          </w:tcPr>
          <w:p w14:paraId="32533A11"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167" w:type="dxa"/>
          </w:tcPr>
          <w:p w14:paraId="3DE76A61"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71E8DAA9"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0D1973EB"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417" w:type="dxa"/>
          </w:tcPr>
          <w:p w14:paraId="2480AEDA"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77C0A8AC"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2949" w:type="dxa"/>
          </w:tcPr>
          <w:p w14:paraId="3513D9A1" w14:textId="77777777" w:rsidR="0014208F" w:rsidRPr="00154F1D" w:rsidRDefault="0014208F" w:rsidP="001F30A0">
            <w:pPr>
              <w:spacing w:beforeLines="40" w:before="96" w:afterLines="40" w:after="96"/>
              <w:ind w:left="226" w:hanging="226"/>
              <w:rPr>
                <w:rFonts w:eastAsia="Times"/>
                <w:sz w:val="20"/>
                <w:szCs w:val="20"/>
              </w:rPr>
            </w:pPr>
          </w:p>
        </w:tc>
      </w:tr>
      <w:tr w:rsidR="001F30A0" w:rsidRPr="00154F1D" w14:paraId="0C5E6EB0" w14:textId="77777777" w:rsidTr="008B09A5">
        <w:tc>
          <w:tcPr>
            <w:tcW w:w="1645" w:type="dxa"/>
          </w:tcPr>
          <w:p w14:paraId="2B7508F8"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ALRC recommendations</w:t>
            </w:r>
          </w:p>
        </w:tc>
        <w:tc>
          <w:tcPr>
            <w:tcW w:w="1418" w:type="dxa"/>
          </w:tcPr>
          <w:p w14:paraId="43E5EC88" w14:textId="77777777" w:rsidR="0014208F" w:rsidRPr="00154F1D" w:rsidRDefault="0014208F" w:rsidP="001F30A0">
            <w:pPr>
              <w:spacing w:beforeLines="40" w:before="96" w:afterLines="40" w:after="96"/>
              <w:jc w:val="center"/>
              <w:rPr>
                <w:rFonts w:eastAsia="Times"/>
                <w:sz w:val="20"/>
                <w:szCs w:val="20"/>
              </w:rPr>
            </w:pPr>
          </w:p>
        </w:tc>
        <w:tc>
          <w:tcPr>
            <w:tcW w:w="1526" w:type="dxa"/>
          </w:tcPr>
          <w:p w14:paraId="66B00076" w14:textId="77777777" w:rsidR="0014208F" w:rsidRPr="00154F1D" w:rsidRDefault="0014208F" w:rsidP="001F30A0">
            <w:pPr>
              <w:spacing w:beforeLines="40" w:before="96" w:afterLines="40" w:after="96"/>
              <w:jc w:val="center"/>
              <w:rPr>
                <w:rFonts w:eastAsia="Times"/>
                <w:sz w:val="20"/>
                <w:szCs w:val="20"/>
              </w:rPr>
            </w:pPr>
          </w:p>
        </w:tc>
        <w:tc>
          <w:tcPr>
            <w:tcW w:w="1167" w:type="dxa"/>
          </w:tcPr>
          <w:p w14:paraId="090E8DA8" w14:textId="77777777" w:rsidR="0014208F" w:rsidRPr="00154F1D" w:rsidRDefault="0014208F" w:rsidP="001F30A0">
            <w:pPr>
              <w:spacing w:beforeLines="40" w:before="96" w:afterLines="40" w:after="96"/>
              <w:jc w:val="center"/>
              <w:rPr>
                <w:rFonts w:eastAsia="Times"/>
                <w:sz w:val="20"/>
                <w:szCs w:val="20"/>
              </w:rPr>
            </w:pPr>
          </w:p>
        </w:tc>
        <w:tc>
          <w:tcPr>
            <w:tcW w:w="1276" w:type="dxa"/>
          </w:tcPr>
          <w:p w14:paraId="0E5D10E5" w14:textId="77777777" w:rsidR="0014208F" w:rsidRPr="00154F1D" w:rsidRDefault="0014208F" w:rsidP="001F30A0">
            <w:pPr>
              <w:spacing w:beforeLines="40" w:before="96" w:afterLines="40" w:after="96"/>
              <w:jc w:val="center"/>
              <w:rPr>
                <w:rFonts w:eastAsia="Times"/>
                <w:sz w:val="20"/>
                <w:szCs w:val="20"/>
              </w:rPr>
            </w:pPr>
          </w:p>
        </w:tc>
        <w:tc>
          <w:tcPr>
            <w:tcW w:w="1276" w:type="dxa"/>
          </w:tcPr>
          <w:p w14:paraId="235DD0C6" w14:textId="77777777" w:rsidR="0014208F" w:rsidRPr="00154F1D" w:rsidRDefault="0014208F" w:rsidP="001F30A0">
            <w:pPr>
              <w:spacing w:beforeLines="40" w:before="96" w:afterLines="40" w:after="96"/>
              <w:jc w:val="center"/>
              <w:rPr>
                <w:rFonts w:eastAsia="Times"/>
                <w:sz w:val="20"/>
                <w:szCs w:val="20"/>
              </w:rPr>
            </w:pPr>
          </w:p>
        </w:tc>
        <w:tc>
          <w:tcPr>
            <w:tcW w:w="1417" w:type="dxa"/>
          </w:tcPr>
          <w:p w14:paraId="611EFC84" w14:textId="77777777" w:rsidR="0014208F" w:rsidRPr="00154F1D" w:rsidRDefault="0014208F" w:rsidP="001F30A0">
            <w:pPr>
              <w:spacing w:beforeLines="40" w:before="96" w:afterLines="40" w:after="96"/>
              <w:jc w:val="center"/>
              <w:rPr>
                <w:rFonts w:eastAsia="Times"/>
                <w:sz w:val="20"/>
                <w:szCs w:val="20"/>
              </w:rPr>
            </w:pPr>
          </w:p>
        </w:tc>
        <w:tc>
          <w:tcPr>
            <w:tcW w:w="1276" w:type="dxa"/>
          </w:tcPr>
          <w:p w14:paraId="7CCA43D1" w14:textId="77777777" w:rsidR="0014208F" w:rsidRPr="00154F1D" w:rsidRDefault="0014208F" w:rsidP="001F30A0">
            <w:pPr>
              <w:spacing w:beforeLines="40" w:before="96" w:afterLines="40" w:after="96"/>
              <w:jc w:val="center"/>
              <w:rPr>
                <w:rFonts w:eastAsia="Times"/>
                <w:sz w:val="20"/>
                <w:szCs w:val="20"/>
              </w:rPr>
            </w:pPr>
          </w:p>
        </w:tc>
        <w:tc>
          <w:tcPr>
            <w:tcW w:w="2949" w:type="dxa"/>
          </w:tcPr>
          <w:p w14:paraId="7698B065" w14:textId="77777777" w:rsidR="0014208F" w:rsidRPr="00154F1D" w:rsidRDefault="0014208F" w:rsidP="001F30A0">
            <w:pPr>
              <w:pStyle w:val="ListParagraph"/>
              <w:numPr>
                <w:ilvl w:val="0"/>
                <w:numId w:val="37"/>
              </w:numPr>
              <w:spacing w:beforeLines="40" w:before="96" w:afterLines="40" w:after="96"/>
              <w:ind w:left="226" w:hanging="226"/>
              <w:jc w:val="left"/>
              <w:rPr>
                <w:rFonts w:eastAsia="Times"/>
                <w:sz w:val="20"/>
                <w:szCs w:val="20"/>
              </w:rPr>
            </w:pPr>
            <w:r w:rsidRPr="00154F1D">
              <w:rPr>
                <w:rFonts w:eastAsia="Times"/>
                <w:sz w:val="20"/>
                <w:szCs w:val="20"/>
              </w:rPr>
              <w:t>Understand the information relevant to the decisions that they will have to make in the course of the proceedings. </w:t>
            </w:r>
          </w:p>
          <w:p w14:paraId="5AB3FC1D" w14:textId="77777777" w:rsidR="0014208F" w:rsidRPr="00154F1D" w:rsidRDefault="0014208F" w:rsidP="001F30A0">
            <w:pPr>
              <w:pStyle w:val="ListParagraph"/>
              <w:numPr>
                <w:ilvl w:val="0"/>
                <w:numId w:val="37"/>
              </w:numPr>
              <w:spacing w:beforeLines="40" w:before="96" w:afterLines="40" w:after="96"/>
              <w:ind w:left="226" w:hanging="226"/>
              <w:jc w:val="left"/>
              <w:rPr>
                <w:rFonts w:eastAsia="Times"/>
                <w:sz w:val="20"/>
                <w:szCs w:val="20"/>
              </w:rPr>
            </w:pPr>
            <w:r w:rsidRPr="00154F1D">
              <w:rPr>
                <w:rFonts w:eastAsia="Times"/>
                <w:sz w:val="20"/>
                <w:szCs w:val="20"/>
              </w:rPr>
              <w:t>Retain that information to the extent necessary to make decisions in the course of the proceedings.</w:t>
            </w:r>
          </w:p>
          <w:p w14:paraId="45DBD441" w14:textId="77777777" w:rsidR="0014208F" w:rsidRPr="00154F1D" w:rsidRDefault="0014208F" w:rsidP="001F30A0">
            <w:pPr>
              <w:pStyle w:val="ListParagraph"/>
              <w:numPr>
                <w:ilvl w:val="0"/>
                <w:numId w:val="37"/>
              </w:numPr>
              <w:spacing w:beforeLines="40" w:before="96" w:afterLines="40" w:after="96"/>
              <w:ind w:left="226" w:hanging="226"/>
              <w:jc w:val="left"/>
              <w:rPr>
                <w:rFonts w:eastAsia="Times"/>
                <w:sz w:val="20"/>
                <w:szCs w:val="20"/>
              </w:rPr>
            </w:pPr>
            <w:r w:rsidRPr="00154F1D">
              <w:rPr>
                <w:rFonts w:eastAsia="Times"/>
                <w:sz w:val="20"/>
                <w:szCs w:val="20"/>
              </w:rPr>
              <w:t>Use or weigh that information as part of the process of making decisions.</w:t>
            </w:r>
          </w:p>
          <w:p w14:paraId="1CDAAE53" w14:textId="7410F238" w:rsidR="0014208F" w:rsidRPr="00154F1D" w:rsidRDefault="0014208F" w:rsidP="001F30A0">
            <w:pPr>
              <w:pStyle w:val="ListParagraph"/>
              <w:numPr>
                <w:ilvl w:val="0"/>
                <w:numId w:val="37"/>
              </w:numPr>
              <w:spacing w:beforeLines="40" w:before="96" w:afterLines="40" w:after="96"/>
              <w:ind w:left="226" w:hanging="226"/>
              <w:jc w:val="left"/>
              <w:rPr>
                <w:rFonts w:eastAsia="Times"/>
                <w:sz w:val="20"/>
                <w:szCs w:val="20"/>
              </w:rPr>
            </w:pPr>
            <w:r w:rsidRPr="00154F1D">
              <w:rPr>
                <w:rFonts w:eastAsia="Times"/>
                <w:sz w:val="20"/>
                <w:szCs w:val="20"/>
              </w:rPr>
              <w:t>Communicate decisions in some way.</w:t>
            </w:r>
          </w:p>
        </w:tc>
      </w:tr>
      <w:tr w:rsidR="001F30A0" w:rsidRPr="00154F1D" w14:paraId="56867AC4" w14:textId="77777777" w:rsidTr="008B09A5">
        <w:tc>
          <w:tcPr>
            <w:tcW w:w="1645" w:type="dxa"/>
          </w:tcPr>
          <w:p w14:paraId="1DC902D2"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Victoria (current)</w:t>
            </w:r>
          </w:p>
        </w:tc>
        <w:tc>
          <w:tcPr>
            <w:tcW w:w="1418" w:type="dxa"/>
          </w:tcPr>
          <w:p w14:paraId="437E048F"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526" w:type="dxa"/>
          </w:tcPr>
          <w:p w14:paraId="5481CCB9"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167" w:type="dxa"/>
          </w:tcPr>
          <w:p w14:paraId="1297A8D5"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5F349BC4"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00488460"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417" w:type="dxa"/>
          </w:tcPr>
          <w:p w14:paraId="790B0600"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36F237DF"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2949" w:type="dxa"/>
          </w:tcPr>
          <w:p w14:paraId="05563045" w14:textId="77777777" w:rsidR="0014208F" w:rsidRPr="00154F1D" w:rsidRDefault="0014208F" w:rsidP="001F30A0">
            <w:pPr>
              <w:spacing w:beforeLines="40" w:before="96" w:afterLines="40" w:after="96"/>
              <w:ind w:left="226" w:hanging="226"/>
              <w:rPr>
                <w:rFonts w:eastAsia="Times"/>
                <w:sz w:val="20"/>
                <w:szCs w:val="20"/>
              </w:rPr>
            </w:pPr>
          </w:p>
        </w:tc>
      </w:tr>
      <w:tr w:rsidR="001F30A0" w:rsidRPr="00154F1D" w14:paraId="586A3C8D" w14:textId="77777777" w:rsidTr="008B09A5">
        <w:tc>
          <w:tcPr>
            <w:tcW w:w="1645" w:type="dxa"/>
            <w:vAlign w:val="center"/>
          </w:tcPr>
          <w:p w14:paraId="002097C9" w14:textId="7723FFCE" w:rsidR="0014208F" w:rsidRPr="00154F1D" w:rsidRDefault="0014208F" w:rsidP="001F30A0">
            <w:pPr>
              <w:spacing w:beforeLines="40" w:before="96" w:afterLines="40" w:after="96"/>
              <w:rPr>
                <w:rFonts w:eastAsia="Times"/>
                <w:sz w:val="20"/>
                <w:szCs w:val="20"/>
              </w:rPr>
            </w:pPr>
            <w:r w:rsidRPr="00154F1D">
              <w:rPr>
                <w:rFonts w:eastAsia="Times"/>
                <w:sz w:val="20"/>
                <w:szCs w:val="20"/>
              </w:rPr>
              <w:t>VLRC recommendations</w:t>
            </w:r>
            <w:r w:rsidR="002B52BA" w:rsidRPr="00154F1D">
              <w:rPr>
                <w:rStyle w:val="FootnoteReference"/>
                <w:rFonts w:eastAsia="Times"/>
                <w:szCs w:val="20"/>
              </w:rPr>
              <w:footnoteReference w:id="982"/>
            </w:r>
          </w:p>
        </w:tc>
        <w:tc>
          <w:tcPr>
            <w:tcW w:w="1418" w:type="dxa"/>
          </w:tcPr>
          <w:p w14:paraId="7D6BA0AE"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526" w:type="dxa"/>
          </w:tcPr>
          <w:p w14:paraId="250028ED" w14:textId="287DAAEA" w:rsidR="0014208F" w:rsidRPr="00154F1D" w:rsidRDefault="0014208F" w:rsidP="001F30A0">
            <w:pPr>
              <w:spacing w:beforeLines="40" w:before="96" w:afterLines="40" w:after="96"/>
              <w:rPr>
                <w:rFonts w:eastAsia="Times"/>
                <w:sz w:val="20"/>
                <w:szCs w:val="20"/>
              </w:rPr>
            </w:pPr>
            <w:r w:rsidRPr="00154F1D">
              <w:rPr>
                <w:rFonts w:eastAsia="Times"/>
                <w:sz w:val="20"/>
                <w:szCs w:val="20"/>
              </w:rPr>
              <w:t>Y and ability to understand the actual significant of entering a plea to the charge</w:t>
            </w:r>
            <w:r w:rsidR="001F30A0" w:rsidRPr="00154F1D">
              <w:rPr>
                <w:rFonts w:eastAsia="Times"/>
                <w:sz w:val="20"/>
                <w:szCs w:val="20"/>
              </w:rPr>
              <w:t>.</w:t>
            </w:r>
          </w:p>
        </w:tc>
        <w:tc>
          <w:tcPr>
            <w:tcW w:w="1167" w:type="dxa"/>
          </w:tcPr>
          <w:p w14:paraId="122EDBC0"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N</w:t>
            </w:r>
          </w:p>
        </w:tc>
        <w:tc>
          <w:tcPr>
            <w:tcW w:w="1276" w:type="dxa"/>
          </w:tcPr>
          <w:p w14:paraId="2AB10B73"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6511052E"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417" w:type="dxa"/>
          </w:tcPr>
          <w:p w14:paraId="59009DB6"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vAlign w:val="center"/>
          </w:tcPr>
          <w:p w14:paraId="07AF2D75"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Communicate meaningful instructions</w:t>
            </w:r>
          </w:p>
        </w:tc>
        <w:tc>
          <w:tcPr>
            <w:tcW w:w="2949" w:type="dxa"/>
          </w:tcPr>
          <w:p w14:paraId="666F88EA" w14:textId="77777777" w:rsidR="0014208F" w:rsidRPr="00154F1D" w:rsidRDefault="0014208F" w:rsidP="001F30A0">
            <w:pPr>
              <w:pStyle w:val="ListParagraph"/>
              <w:numPr>
                <w:ilvl w:val="0"/>
                <w:numId w:val="38"/>
              </w:numPr>
              <w:spacing w:beforeLines="40" w:before="96" w:afterLines="40" w:after="96"/>
              <w:ind w:left="226" w:hanging="226"/>
              <w:jc w:val="left"/>
              <w:rPr>
                <w:rFonts w:eastAsia="Times"/>
                <w:sz w:val="20"/>
                <w:szCs w:val="20"/>
              </w:rPr>
            </w:pPr>
            <w:r w:rsidRPr="00154F1D">
              <w:rPr>
                <w:rFonts w:eastAsia="Times"/>
                <w:sz w:val="20"/>
                <w:szCs w:val="20"/>
              </w:rPr>
              <w:t>Decide whether to give evidence.</w:t>
            </w:r>
          </w:p>
          <w:p w14:paraId="5FE467AD" w14:textId="77777777" w:rsidR="0014208F" w:rsidRPr="00154F1D" w:rsidRDefault="0014208F" w:rsidP="001F30A0">
            <w:pPr>
              <w:pStyle w:val="ListParagraph"/>
              <w:numPr>
                <w:ilvl w:val="0"/>
                <w:numId w:val="38"/>
              </w:numPr>
              <w:spacing w:beforeLines="40" w:before="96" w:afterLines="40" w:after="96"/>
              <w:ind w:left="226" w:hanging="226"/>
              <w:jc w:val="left"/>
              <w:rPr>
                <w:rFonts w:eastAsia="Times"/>
                <w:sz w:val="20"/>
                <w:szCs w:val="20"/>
              </w:rPr>
            </w:pPr>
            <w:r w:rsidRPr="00154F1D">
              <w:rPr>
                <w:rFonts w:eastAsia="Times"/>
                <w:sz w:val="20"/>
                <w:szCs w:val="20"/>
              </w:rPr>
              <w:t>Able to give evidence.</w:t>
            </w:r>
          </w:p>
        </w:tc>
      </w:tr>
      <w:tr w:rsidR="001F30A0" w:rsidRPr="00154F1D" w14:paraId="588F002B" w14:textId="77777777" w:rsidTr="008B09A5">
        <w:tc>
          <w:tcPr>
            <w:tcW w:w="1645" w:type="dxa"/>
          </w:tcPr>
          <w:p w14:paraId="7EA1CBDB"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NSWLRC recommendations</w:t>
            </w:r>
          </w:p>
        </w:tc>
        <w:tc>
          <w:tcPr>
            <w:tcW w:w="1418" w:type="dxa"/>
          </w:tcPr>
          <w:p w14:paraId="20167A36"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526" w:type="dxa"/>
          </w:tcPr>
          <w:p w14:paraId="195B2197"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Not explicitly but general power to make decisions</w:t>
            </w:r>
          </w:p>
        </w:tc>
        <w:tc>
          <w:tcPr>
            <w:tcW w:w="1167" w:type="dxa"/>
          </w:tcPr>
          <w:p w14:paraId="58246BA1"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Not explicitly but general power to make decisions.</w:t>
            </w:r>
          </w:p>
        </w:tc>
        <w:tc>
          <w:tcPr>
            <w:tcW w:w="1276" w:type="dxa"/>
          </w:tcPr>
          <w:p w14:paraId="0841EE29"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645A593C"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Understand what is going on in a general sense</w:t>
            </w:r>
          </w:p>
        </w:tc>
        <w:tc>
          <w:tcPr>
            <w:tcW w:w="1417" w:type="dxa"/>
          </w:tcPr>
          <w:p w14:paraId="791E316E"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165B329D"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Communicate effectively with and understand advice given</w:t>
            </w:r>
          </w:p>
        </w:tc>
        <w:tc>
          <w:tcPr>
            <w:tcW w:w="2949" w:type="dxa"/>
          </w:tcPr>
          <w:p w14:paraId="43B16902" w14:textId="77777777" w:rsidR="0014208F" w:rsidRPr="00154F1D" w:rsidRDefault="0014208F" w:rsidP="001F30A0">
            <w:pPr>
              <w:pStyle w:val="ListParagraph"/>
              <w:numPr>
                <w:ilvl w:val="0"/>
                <w:numId w:val="37"/>
              </w:numPr>
              <w:spacing w:beforeLines="40" w:before="96" w:afterLines="40" w:after="96"/>
              <w:ind w:left="226" w:hanging="226"/>
              <w:jc w:val="left"/>
              <w:rPr>
                <w:rFonts w:eastAsia="Times"/>
                <w:sz w:val="20"/>
                <w:szCs w:val="20"/>
              </w:rPr>
            </w:pPr>
            <w:r w:rsidRPr="00154F1D">
              <w:rPr>
                <w:rFonts w:eastAsia="Times"/>
                <w:sz w:val="20"/>
                <w:szCs w:val="20"/>
              </w:rPr>
              <w:t>Understand the information relevant to the decisions that the person will have to make before and during the trial, and use that information as part of a rational decision making process.</w:t>
            </w:r>
          </w:p>
          <w:p w14:paraId="08163F82" w14:textId="77777777" w:rsidR="0014208F" w:rsidRPr="00154F1D" w:rsidRDefault="0014208F" w:rsidP="001F30A0">
            <w:pPr>
              <w:pStyle w:val="ListParagraph"/>
              <w:numPr>
                <w:ilvl w:val="0"/>
                <w:numId w:val="37"/>
              </w:numPr>
              <w:spacing w:beforeLines="40" w:before="96" w:afterLines="40" w:after="96"/>
              <w:ind w:left="226" w:hanging="226"/>
              <w:jc w:val="left"/>
              <w:rPr>
                <w:rFonts w:eastAsia="Times"/>
                <w:sz w:val="20"/>
                <w:szCs w:val="20"/>
              </w:rPr>
            </w:pPr>
            <w:r w:rsidRPr="00154F1D">
              <w:rPr>
                <w:rFonts w:eastAsia="Times"/>
                <w:sz w:val="20"/>
                <w:szCs w:val="20"/>
              </w:rPr>
              <w:t>Provide a version of facts to the court.</w:t>
            </w:r>
          </w:p>
        </w:tc>
      </w:tr>
      <w:tr w:rsidR="001F30A0" w:rsidRPr="00154F1D" w14:paraId="64D7F638" w14:textId="77777777" w:rsidTr="008B09A5">
        <w:tc>
          <w:tcPr>
            <w:tcW w:w="1645" w:type="dxa"/>
          </w:tcPr>
          <w:p w14:paraId="01065654"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South Australia</w:t>
            </w:r>
          </w:p>
        </w:tc>
        <w:tc>
          <w:tcPr>
            <w:tcW w:w="1418" w:type="dxa"/>
          </w:tcPr>
          <w:p w14:paraId="6B2A8CC9" w14:textId="71181684" w:rsidR="0014208F" w:rsidRPr="00154F1D" w:rsidRDefault="0014208F" w:rsidP="001F30A0">
            <w:pPr>
              <w:spacing w:beforeLines="40" w:before="96" w:afterLines="40" w:after="96"/>
              <w:rPr>
                <w:rFonts w:eastAsia="Times"/>
                <w:sz w:val="20"/>
                <w:szCs w:val="20"/>
              </w:rPr>
            </w:pPr>
            <w:r w:rsidRPr="00154F1D">
              <w:rPr>
                <w:rFonts w:eastAsia="Times"/>
                <w:sz w:val="20"/>
                <w:szCs w:val="20"/>
              </w:rPr>
              <w:t>Y and respond rationally</w:t>
            </w:r>
          </w:p>
        </w:tc>
        <w:tc>
          <w:tcPr>
            <w:tcW w:w="1526" w:type="dxa"/>
          </w:tcPr>
          <w:p w14:paraId="5A67E4AB"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Respond rationally to the charge</w:t>
            </w:r>
          </w:p>
        </w:tc>
        <w:tc>
          <w:tcPr>
            <w:tcW w:w="1167" w:type="dxa"/>
          </w:tcPr>
          <w:p w14:paraId="5EBC5DD8"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7B690C9E"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081611D9"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417" w:type="dxa"/>
          </w:tcPr>
          <w:p w14:paraId="51B75C77"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Follow the evidence</w:t>
            </w:r>
          </w:p>
        </w:tc>
        <w:tc>
          <w:tcPr>
            <w:tcW w:w="1276" w:type="dxa"/>
          </w:tcPr>
          <w:p w14:paraId="026328A3"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Give rational instructions</w:t>
            </w:r>
          </w:p>
        </w:tc>
        <w:tc>
          <w:tcPr>
            <w:tcW w:w="2949" w:type="dxa"/>
          </w:tcPr>
          <w:p w14:paraId="311A9BCE" w14:textId="77777777" w:rsidR="0014208F" w:rsidRPr="00154F1D" w:rsidRDefault="0014208F" w:rsidP="001F30A0">
            <w:pPr>
              <w:spacing w:beforeLines="40" w:before="96" w:afterLines="40" w:after="96"/>
              <w:ind w:left="226" w:hanging="226"/>
              <w:rPr>
                <w:rFonts w:eastAsia="Times"/>
                <w:sz w:val="20"/>
                <w:szCs w:val="20"/>
              </w:rPr>
            </w:pPr>
          </w:p>
        </w:tc>
      </w:tr>
      <w:tr w:rsidR="001F30A0" w:rsidRPr="00154F1D" w14:paraId="5519DB50" w14:textId="77777777" w:rsidTr="008B09A5">
        <w:tc>
          <w:tcPr>
            <w:tcW w:w="1645" w:type="dxa"/>
          </w:tcPr>
          <w:p w14:paraId="4C0D9EA8"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Western Australia (current)</w:t>
            </w:r>
          </w:p>
        </w:tc>
        <w:tc>
          <w:tcPr>
            <w:tcW w:w="1418" w:type="dxa"/>
          </w:tcPr>
          <w:p w14:paraId="418C647B"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526" w:type="dxa"/>
          </w:tcPr>
          <w:p w14:paraId="41F7872B"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Y and effect of a plea</w:t>
            </w:r>
          </w:p>
        </w:tc>
        <w:tc>
          <w:tcPr>
            <w:tcW w:w="1167" w:type="dxa"/>
          </w:tcPr>
          <w:p w14:paraId="50095735"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Y and understand the right</w:t>
            </w:r>
          </w:p>
        </w:tc>
        <w:tc>
          <w:tcPr>
            <w:tcW w:w="1276" w:type="dxa"/>
          </w:tcPr>
          <w:p w14:paraId="11637D40"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30C8B06E"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417" w:type="dxa"/>
          </w:tcPr>
          <w:p w14:paraId="1E253DEF"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15C5C8BA" w14:textId="77777777" w:rsidR="0014208F" w:rsidRPr="00154F1D" w:rsidRDefault="0014208F" w:rsidP="001F30A0">
            <w:pPr>
              <w:spacing w:beforeLines="40" w:before="96" w:afterLines="40" w:after="96"/>
              <w:jc w:val="center"/>
              <w:rPr>
                <w:rFonts w:eastAsia="Times"/>
                <w:sz w:val="20"/>
                <w:szCs w:val="20"/>
              </w:rPr>
            </w:pPr>
          </w:p>
        </w:tc>
        <w:tc>
          <w:tcPr>
            <w:tcW w:w="2949" w:type="dxa"/>
          </w:tcPr>
          <w:p w14:paraId="5FB2454F" w14:textId="77777777" w:rsidR="0014208F" w:rsidRPr="00154F1D" w:rsidRDefault="0014208F" w:rsidP="001F30A0">
            <w:pPr>
              <w:pStyle w:val="ListParagraph"/>
              <w:numPr>
                <w:ilvl w:val="0"/>
                <w:numId w:val="40"/>
              </w:numPr>
              <w:spacing w:beforeLines="40" w:before="96" w:afterLines="40" w:after="96"/>
              <w:ind w:left="226" w:hanging="226"/>
              <w:jc w:val="left"/>
              <w:rPr>
                <w:rFonts w:eastAsia="Times"/>
                <w:sz w:val="20"/>
                <w:szCs w:val="20"/>
              </w:rPr>
            </w:pPr>
            <w:r w:rsidRPr="00154F1D">
              <w:rPr>
                <w:rFonts w:eastAsia="Times"/>
                <w:sz w:val="20"/>
                <w:szCs w:val="20"/>
              </w:rPr>
              <w:t>Able to defend the charge.</w:t>
            </w:r>
          </w:p>
        </w:tc>
      </w:tr>
      <w:tr w:rsidR="001F30A0" w:rsidRPr="00154F1D" w14:paraId="77C886CD" w14:textId="77777777" w:rsidTr="008B09A5">
        <w:tc>
          <w:tcPr>
            <w:tcW w:w="1645" w:type="dxa"/>
          </w:tcPr>
          <w:p w14:paraId="5BFF7051"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WA AG’s review</w:t>
            </w:r>
          </w:p>
        </w:tc>
        <w:tc>
          <w:tcPr>
            <w:tcW w:w="1418" w:type="dxa"/>
          </w:tcPr>
          <w:p w14:paraId="7184AE9C"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526" w:type="dxa"/>
          </w:tcPr>
          <w:p w14:paraId="0A2B990D"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167" w:type="dxa"/>
          </w:tcPr>
          <w:p w14:paraId="459B3D4C"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6F8B6193"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512B43DB"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417" w:type="dxa"/>
          </w:tcPr>
          <w:p w14:paraId="03D7015A"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6A5B9689"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2949" w:type="dxa"/>
          </w:tcPr>
          <w:p w14:paraId="56AAF27D" w14:textId="77777777" w:rsidR="0014208F" w:rsidRPr="00154F1D" w:rsidRDefault="0014208F" w:rsidP="001F30A0">
            <w:pPr>
              <w:pStyle w:val="ListParagraph"/>
              <w:numPr>
                <w:ilvl w:val="0"/>
                <w:numId w:val="40"/>
              </w:numPr>
              <w:spacing w:beforeLines="40" w:before="96" w:afterLines="40" w:after="96"/>
              <w:ind w:left="226" w:hanging="226"/>
              <w:jc w:val="left"/>
              <w:rPr>
                <w:rFonts w:eastAsia="Times"/>
                <w:sz w:val="20"/>
                <w:szCs w:val="20"/>
              </w:rPr>
            </w:pPr>
            <w:r w:rsidRPr="00154F1D">
              <w:rPr>
                <w:rFonts w:eastAsia="Times"/>
                <w:sz w:val="20"/>
                <w:szCs w:val="20"/>
              </w:rPr>
              <w:t>Decide whether to give evidence.</w:t>
            </w:r>
          </w:p>
          <w:p w14:paraId="772594C0" w14:textId="77777777" w:rsidR="0014208F" w:rsidRPr="00154F1D" w:rsidRDefault="0014208F" w:rsidP="001F30A0">
            <w:pPr>
              <w:pStyle w:val="ListParagraph"/>
              <w:numPr>
                <w:ilvl w:val="0"/>
                <w:numId w:val="40"/>
              </w:numPr>
              <w:spacing w:beforeLines="40" w:before="96" w:afterLines="40" w:after="96"/>
              <w:ind w:left="226" w:hanging="226"/>
              <w:jc w:val="left"/>
              <w:rPr>
                <w:rFonts w:eastAsia="Times"/>
                <w:sz w:val="20"/>
                <w:szCs w:val="20"/>
              </w:rPr>
            </w:pPr>
            <w:r w:rsidRPr="00154F1D">
              <w:rPr>
                <w:rFonts w:eastAsia="Times"/>
                <w:sz w:val="20"/>
                <w:szCs w:val="20"/>
              </w:rPr>
              <w:t>Ability to give evidence.</w:t>
            </w:r>
          </w:p>
        </w:tc>
      </w:tr>
      <w:tr w:rsidR="001F30A0" w:rsidRPr="00154F1D" w14:paraId="7B8293ED" w14:textId="77777777" w:rsidTr="008B09A5">
        <w:tc>
          <w:tcPr>
            <w:tcW w:w="1645" w:type="dxa"/>
          </w:tcPr>
          <w:p w14:paraId="62E86CD1"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Northern Territory</w:t>
            </w:r>
          </w:p>
        </w:tc>
        <w:tc>
          <w:tcPr>
            <w:tcW w:w="1418" w:type="dxa"/>
          </w:tcPr>
          <w:p w14:paraId="09A381FE"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526" w:type="dxa"/>
          </w:tcPr>
          <w:p w14:paraId="60BEAE9C"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167" w:type="dxa"/>
          </w:tcPr>
          <w:p w14:paraId="0E3D7F80"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68510965"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07E254DE"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417" w:type="dxa"/>
          </w:tcPr>
          <w:p w14:paraId="10DE6EB7"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404A2072"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2949" w:type="dxa"/>
          </w:tcPr>
          <w:p w14:paraId="76CB9791" w14:textId="77777777" w:rsidR="0014208F" w:rsidRPr="00154F1D" w:rsidRDefault="0014208F" w:rsidP="001F30A0">
            <w:pPr>
              <w:spacing w:beforeLines="40" w:before="96" w:afterLines="40" w:after="96"/>
              <w:ind w:left="226" w:hanging="226"/>
              <w:rPr>
                <w:rFonts w:eastAsia="Times"/>
                <w:sz w:val="20"/>
                <w:szCs w:val="20"/>
              </w:rPr>
            </w:pPr>
          </w:p>
        </w:tc>
      </w:tr>
      <w:tr w:rsidR="001F30A0" w:rsidRPr="00154F1D" w14:paraId="57774237" w14:textId="77777777" w:rsidTr="008B09A5">
        <w:tc>
          <w:tcPr>
            <w:tcW w:w="1645" w:type="dxa"/>
          </w:tcPr>
          <w:p w14:paraId="5B71EDD9"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Australian Capital Territory</w:t>
            </w:r>
          </w:p>
        </w:tc>
        <w:tc>
          <w:tcPr>
            <w:tcW w:w="1418" w:type="dxa"/>
          </w:tcPr>
          <w:p w14:paraId="3CBE7653"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526" w:type="dxa"/>
          </w:tcPr>
          <w:p w14:paraId="71CE157B"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167" w:type="dxa"/>
          </w:tcPr>
          <w:p w14:paraId="0A1B0CE4"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4ACA4E62"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4E2DF159"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417" w:type="dxa"/>
          </w:tcPr>
          <w:p w14:paraId="5390C4D0"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73DB4576"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2949" w:type="dxa"/>
          </w:tcPr>
          <w:p w14:paraId="3E04C145" w14:textId="77777777" w:rsidR="0014208F" w:rsidRPr="00154F1D" w:rsidRDefault="0014208F" w:rsidP="001F30A0">
            <w:pPr>
              <w:spacing w:beforeLines="40" w:before="96" w:afterLines="40" w:after="96"/>
              <w:ind w:left="226" w:hanging="226"/>
              <w:rPr>
                <w:rFonts w:eastAsia="Times"/>
                <w:sz w:val="20"/>
                <w:szCs w:val="20"/>
              </w:rPr>
            </w:pPr>
          </w:p>
        </w:tc>
      </w:tr>
      <w:tr w:rsidR="001F30A0" w:rsidRPr="00154F1D" w14:paraId="1BC9BC8E" w14:textId="77777777" w:rsidTr="008B09A5">
        <w:tc>
          <w:tcPr>
            <w:tcW w:w="1645" w:type="dxa"/>
          </w:tcPr>
          <w:p w14:paraId="15342322" w14:textId="77777777" w:rsidR="0014208F" w:rsidRPr="00154F1D" w:rsidRDefault="0014208F" w:rsidP="001F30A0">
            <w:pPr>
              <w:keepNext/>
              <w:spacing w:beforeLines="40" w:before="96" w:afterLines="40" w:after="96"/>
              <w:rPr>
                <w:rFonts w:eastAsia="Times"/>
                <w:sz w:val="20"/>
                <w:szCs w:val="20"/>
              </w:rPr>
            </w:pPr>
            <w:r w:rsidRPr="00154F1D">
              <w:rPr>
                <w:rFonts w:eastAsia="Times"/>
                <w:sz w:val="20"/>
                <w:szCs w:val="20"/>
              </w:rPr>
              <w:t>Pritchard/John criteria (England and Wales, Northern Ireland)</w:t>
            </w:r>
          </w:p>
        </w:tc>
        <w:tc>
          <w:tcPr>
            <w:tcW w:w="1418" w:type="dxa"/>
          </w:tcPr>
          <w:p w14:paraId="0C347917" w14:textId="77777777" w:rsidR="0014208F" w:rsidRPr="00154F1D" w:rsidRDefault="0014208F" w:rsidP="001F30A0">
            <w:pPr>
              <w:keepNext/>
              <w:spacing w:beforeLines="40" w:before="96" w:afterLines="40" w:after="96"/>
              <w:jc w:val="center"/>
              <w:rPr>
                <w:rFonts w:eastAsia="Times"/>
                <w:sz w:val="20"/>
                <w:szCs w:val="20"/>
              </w:rPr>
            </w:pPr>
            <w:r w:rsidRPr="00154F1D">
              <w:rPr>
                <w:rFonts w:eastAsia="Times"/>
                <w:sz w:val="20"/>
                <w:szCs w:val="20"/>
              </w:rPr>
              <w:t>Y</w:t>
            </w:r>
          </w:p>
        </w:tc>
        <w:tc>
          <w:tcPr>
            <w:tcW w:w="1526" w:type="dxa"/>
          </w:tcPr>
          <w:p w14:paraId="54162180" w14:textId="77777777" w:rsidR="0014208F" w:rsidRPr="00154F1D" w:rsidRDefault="0014208F" w:rsidP="001F30A0">
            <w:pPr>
              <w:keepNext/>
              <w:spacing w:beforeLines="40" w:before="96" w:afterLines="40" w:after="96"/>
              <w:jc w:val="center"/>
              <w:rPr>
                <w:rFonts w:eastAsia="Times"/>
                <w:sz w:val="20"/>
                <w:szCs w:val="20"/>
              </w:rPr>
            </w:pPr>
            <w:r w:rsidRPr="00154F1D">
              <w:rPr>
                <w:rFonts w:eastAsia="Times"/>
                <w:sz w:val="20"/>
                <w:szCs w:val="20"/>
              </w:rPr>
              <w:t>Y</w:t>
            </w:r>
          </w:p>
        </w:tc>
        <w:tc>
          <w:tcPr>
            <w:tcW w:w="1167" w:type="dxa"/>
          </w:tcPr>
          <w:p w14:paraId="7010038A" w14:textId="77777777" w:rsidR="0014208F" w:rsidRPr="00154F1D" w:rsidRDefault="0014208F" w:rsidP="001F30A0">
            <w:pPr>
              <w:keepNext/>
              <w:spacing w:beforeLines="40" w:before="96" w:afterLines="40" w:after="96"/>
              <w:jc w:val="center"/>
              <w:rPr>
                <w:rFonts w:eastAsia="Times"/>
                <w:sz w:val="20"/>
                <w:szCs w:val="20"/>
              </w:rPr>
            </w:pPr>
            <w:r w:rsidRPr="00154F1D">
              <w:rPr>
                <w:rFonts w:eastAsia="Times"/>
                <w:sz w:val="20"/>
                <w:szCs w:val="20"/>
              </w:rPr>
              <w:t>Y</w:t>
            </w:r>
          </w:p>
        </w:tc>
        <w:tc>
          <w:tcPr>
            <w:tcW w:w="1276" w:type="dxa"/>
          </w:tcPr>
          <w:p w14:paraId="3164AF62" w14:textId="77777777" w:rsidR="0014208F" w:rsidRPr="00154F1D" w:rsidRDefault="0014208F" w:rsidP="001F30A0">
            <w:pPr>
              <w:keepNext/>
              <w:spacing w:beforeLines="40" w:before="96" w:afterLines="40" w:after="96"/>
              <w:jc w:val="center"/>
              <w:rPr>
                <w:rFonts w:eastAsia="Times"/>
                <w:sz w:val="20"/>
                <w:szCs w:val="20"/>
              </w:rPr>
            </w:pPr>
          </w:p>
        </w:tc>
        <w:tc>
          <w:tcPr>
            <w:tcW w:w="1276" w:type="dxa"/>
          </w:tcPr>
          <w:p w14:paraId="7EA90BF4" w14:textId="77777777" w:rsidR="0014208F" w:rsidRPr="00154F1D" w:rsidRDefault="0014208F" w:rsidP="001F30A0">
            <w:pPr>
              <w:keepNext/>
              <w:spacing w:beforeLines="40" w:before="96" w:afterLines="40" w:after="96"/>
              <w:jc w:val="center"/>
              <w:rPr>
                <w:rFonts w:eastAsia="Times"/>
                <w:sz w:val="20"/>
                <w:szCs w:val="20"/>
              </w:rPr>
            </w:pPr>
            <w:r w:rsidRPr="00154F1D">
              <w:rPr>
                <w:rFonts w:eastAsia="Times"/>
                <w:sz w:val="20"/>
                <w:szCs w:val="20"/>
              </w:rPr>
              <w:t>Y</w:t>
            </w:r>
          </w:p>
        </w:tc>
        <w:tc>
          <w:tcPr>
            <w:tcW w:w="1417" w:type="dxa"/>
          </w:tcPr>
          <w:p w14:paraId="363C892D" w14:textId="77777777" w:rsidR="0014208F" w:rsidRPr="00154F1D" w:rsidRDefault="0014208F" w:rsidP="001F30A0">
            <w:pPr>
              <w:keepNext/>
              <w:spacing w:beforeLines="40" w:before="96" w:afterLines="40" w:after="96"/>
              <w:jc w:val="center"/>
              <w:rPr>
                <w:rFonts w:eastAsia="Times"/>
                <w:sz w:val="20"/>
                <w:szCs w:val="20"/>
              </w:rPr>
            </w:pPr>
          </w:p>
        </w:tc>
        <w:tc>
          <w:tcPr>
            <w:tcW w:w="1276" w:type="dxa"/>
          </w:tcPr>
          <w:p w14:paraId="4B674ECD" w14:textId="77777777" w:rsidR="0014208F" w:rsidRPr="00154F1D" w:rsidRDefault="0014208F" w:rsidP="001F30A0">
            <w:pPr>
              <w:keepNext/>
              <w:spacing w:beforeLines="40" w:before="96" w:afterLines="40" w:after="96"/>
              <w:jc w:val="center"/>
              <w:rPr>
                <w:rFonts w:eastAsia="Times"/>
                <w:sz w:val="20"/>
                <w:szCs w:val="20"/>
              </w:rPr>
            </w:pPr>
            <w:r w:rsidRPr="00154F1D">
              <w:rPr>
                <w:rFonts w:eastAsia="Times"/>
                <w:sz w:val="20"/>
                <w:szCs w:val="20"/>
              </w:rPr>
              <w:t>Y</w:t>
            </w:r>
          </w:p>
        </w:tc>
        <w:tc>
          <w:tcPr>
            <w:tcW w:w="2949" w:type="dxa"/>
          </w:tcPr>
          <w:p w14:paraId="5546E4F0" w14:textId="77777777" w:rsidR="0014208F" w:rsidRPr="00154F1D" w:rsidRDefault="0014208F" w:rsidP="001F30A0">
            <w:pPr>
              <w:pStyle w:val="ListParagraph"/>
              <w:keepNext/>
              <w:numPr>
                <w:ilvl w:val="0"/>
                <w:numId w:val="40"/>
              </w:numPr>
              <w:spacing w:beforeLines="40" w:before="96" w:afterLines="40" w:after="96"/>
              <w:ind w:left="226" w:hanging="226"/>
              <w:jc w:val="left"/>
              <w:rPr>
                <w:rFonts w:eastAsia="Times"/>
                <w:sz w:val="20"/>
                <w:szCs w:val="20"/>
              </w:rPr>
            </w:pPr>
            <w:r w:rsidRPr="00154F1D">
              <w:rPr>
                <w:rFonts w:eastAsia="Times"/>
                <w:sz w:val="20"/>
                <w:szCs w:val="20"/>
              </w:rPr>
              <w:t>Give evidence in own defence.</w:t>
            </w:r>
          </w:p>
        </w:tc>
      </w:tr>
      <w:tr w:rsidR="001F30A0" w:rsidRPr="00154F1D" w14:paraId="6A57D125" w14:textId="77777777" w:rsidTr="008B09A5">
        <w:tc>
          <w:tcPr>
            <w:tcW w:w="1645" w:type="dxa"/>
          </w:tcPr>
          <w:p w14:paraId="2553669C"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Law Commission</w:t>
            </w:r>
          </w:p>
        </w:tc>
        <w:tc>
          <w:tcPr>
            <w:tcW w:w="1418" w:type="dxa"/>
          </w:tcPr>
          <w:p w14:paraId="0B942C0B"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526" w:type="dxa"/>
          </w:tcPr>
          <w:p w14:paraId="4E6A4C68"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Y – ability to make a decision.</w:t>
            </w:r>
          </w:p>
        </w:tc>
        <w:tc>
          <w:tcPr>
            <w:tcW w:w="1167" w:type="dxa"/>
          </w:tcPr>
          <w:p w14:paraId="5F020447" w14:textId="38B1BA81" w:rsidR="0014208F" w:rsidRPr="00154F1D" w:rsidRDefault="0014208F" w:rsidP="001F30A0">
            <w:pPr>
              <w:spacing w:beforeLines="40" w:before="96" w:afterLines="40" w:after="96"/>
              <w:rPr>
                <w:rFonts w:eastAsia="Times"/>
                <w:sz w:val="20"/>
                <w:szCs w:val="20"/>
              </w:rPr>
            </w:pPr>
            <w:r w:rsidRPr="00154F1D">
              <w:rPr>
                <w:rFonts w:eastAsia="Times"/>
                <w:sz w:val="20"/>
                <w:szCs w:val="20"/>
              </w:rPr>
              <w:t>Not explicitly but incorporated in ability to make decisions that may need to be made</w:t>
            </w:r>
            <w:r w:rsidR="001F30A0" w:rsidRPr="00154F1D">
              <w:rPr>
                <w:rFonts w:eastAsia="Times"/>
                <w:sz w:val="20"/>
                <w:szCs w:val="20"/>
              </w:rPr>
              <w:t>.</w:t>
            </w:r>
          </w:p>
        </w:tc>
        <w:tc>
          <w:tcPr>
            <w:tcW w:w="1276" w:type="dxa"/>
          </w:tcPr>
          <w:p w14:paraId="6B6AF11B" w14:textId="16001518" w:rsidR="0014208F" w:rsidRPr="00154F1D" w:rsidRDefault="0014208F" w:rsidP="001F30A0">
            <w:pPr>
              <w:spacing w:beforeLines="40" w:before="96" w:afterLines="40" w:after="96"/>
              <w:rPr>
                <w:rFonts w:eastAsia="Times"/>
                <w:sz w:val="20"/>
                <w:szCs w:val="20"/>
              </w:rPr>
            </w:pPr>
            <w:r w:rsidRPr="00154F1D">
              <w:rPr>
                <w:rFonts w:eastAsia="Times"/>
                <w:sz w:val="20"/>
                <w:szCs w:val="20"/>
              </w:rPr>
              <w:t>Y and consequences of being convicted</w:t>
            </w:r>
            <w:r w:rsidR="001F30A0" w:rsidRPr="00154F1D">
              <w:rPr>
                <w:rFonts w:eastAsia="Times"/>
                <w:sz w:val="20"/>
                <w:szCs w:val="20"/>
              </w:rPr>
              <w:t>.</w:t>
            </w:r>
          </w:p>
        </w:tc>
        <w:tc>
          <w:tcPr>
            <w:tcW w:w="1276" w:type="dxa"/>
          </w:tcPr>
          <w:p w14:paraId="00B0866F"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417" w:type="dxa"/>
          </w:tcPr>
          <w:p w14:paraId="0F21F9EA"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257D3238"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2949" w:type="dxa"/>
          </w:tcPr>
          <w:p w14:paraId="4EFC53C4" w14:textId="77777777" w:rsidR="0014208F" w:rsidRPr="00154F1D" w:rsidRDefault="0014208F" w:rsidP="001F30A0">
            <w:pPr>
              <w:pStyle w:val="ListParagraph"/>
              <w:numPr>
                <w:ilvl w:val="0"/>
                <w:numId w:val="36"/>
              </w:numPr>
              <w:spacing w:beforeLines="40" w:before="96" w:afterLines="40" w:after="96"/>
              <w:ind w:left="226" w:hanging="226"/>
              <w:jc w:val="left"/>
              <w:rPr>
                <w:rFonts w:eastAsia="Times"/>
                <w:sz w:val="20"/>
                <w:szCs w:val="20"/>
              </w:rPr>
            </w:pPr>
            <w:r w:rsidRPr="00154F1D">
              <w:rPr>
                <w:rFonts w:eastAsia="Times"/>
                <w:sz w:val="20"/>
                <w:szCs w:val="20"/>
              </w:rPr>
              <w:t>Make a decision about whether to give evidence.</w:t>
            </w:r>
          </w:p>
          <w:p w14:paraId="412657FD" w14:textId="77777777" w:rsidR="0014208F" w:rsidRPr="00154F1D" w:rsidRDefault="0014208F" w:rsidP="001F30A0">
            <w:pPr>
              <w:pStyle w:val="ListParagraph"/>
              <w:numPr>
                <w:ilvl w:val="0"/>
                <w:numId w:val="36"/>
              </w:numPr>
              <w:spacing w:beforeLines="40" w:before="96" w:afterLines="40" w:after="96"/>
              <w:ind w:left="226" w:hanging="226"/>
              <w:jc w:val="left"/>
              <w:rPr>
                <w:rFonts w:eastAsia="Times"/>
                <w:sz w:val="20"/>
                <w:szCs w:val="20"/>
              </w:rPr>
            </w:pPr>
            <w:r w:rsidRPr="00154F1D">
              <w:rPr>
                <w:rFonts w:eastAsia="Times"/>
                <w:sz w:val="20"/>
                <w:szCs w:val="20"/>
              </w:rPr>
              <w:t>To give evidence.</w:t>
            </w:r>
          </w:p>
          <w:p w14:paraId="770A5588" w14:textId="77777777" w:rsidR="0014208F" w:rsidRPr="00154F1D" w:rsidRDefault="0014208F" w:rsidP="001F30A0">
            <w:pPr>
              <w:pStyle w:val="ListParagraph"/>
              <w:numPr>
                <w:ilvl w:val="0"/>
                <w:numId w:val="36"/>
              </w:numPr>
              <w:spacing w:beforeLines="40" w:before="96" w:afterLines="40" w:after="96"/>
              <w:ind w:left="226" w:hanging="226"/>
              <w:jc w:val="left"/>
              <w:rPr>
                <w:rFonts w:eastAsia="Times"/>
                <w:sz w:val="20"/>
                <w:szCs w:val="20"/>
              </w:rPr>
            </w:pPr>
            <w:r w:rsidRPr="00154F1D">
              <w:rPr>
                <w:rFonts w:eastAsia="Times"/>
                <w:sz w:val="20"/>
                <w:szCs w:val="20"/>
              </w:rPr>
              <w:t>Make other decisions that might need to be made by the D in connection with the trial.</w:t>
            </w:r>
          </w:p>
          <w:p w14:paraId="62802D54" w14:textId="77777777" w:rsidR="0014208F" w:rsidRPr="00154F1D" w:rsidRDefault="0014208F" w:rsidP="001F30A0">
            <w:pPr>
              <w:pStyle w:val="ListParagraph"/>
              <w:numPr>
                <w:ilvl w:val="0"/>
                <w:numId w:val="36"/>
              </w:numPr>
              <w:spacing w:beforeLines="40" w:before="96" w:afterLines="40" w:after="96"/>
              <w:ind w:left="226" w:hanging="226"/>
              <w:jc w:val="left"/>
              <w:rPr>
                <w:rFonts w:eastAsia="Times"/>
                <w:sz w:val="20"/>
                <w:szCs w:val="20"/>
              </w:rPr>
            </w:pPr>
            <w:r w:rsidRPr="00154F1D">
              <w:rPr>
                <w:rFonts w:eastAsia="Times"/>
                <w:sz w:val="20"/>
                <w:szCs w:val="20"/>
              </w:rPr>
              <w:t>Any other ability that appears relevant.</w:t>
            </w:r>
          </w:p>
        </w:tc>
      </w:tr>
      <w:tr w:rsidR="001F30A0" w:rsidRPr="00154F1D" w14:paraId="62D3A754" w14:textId="77777777" w:rsidTr="008B09A5">
        <w:trPr>
          <w:trHeight w:val="500"/>
        </w:trPr>
        <w:tc>
          <w:tcPr>
            <w:tcW w:w="1645" w:type="dxa"/>
          </w:tcPr>
          <w:p w14:paraId="45FF6C48"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Northern Ireland Law Reform Commission</w:t>
            </w:r>
          </w:p>
        </w:tc>
        <w:tc>
          <w:tcPr>
            <w:tcW w:w="1418" w:type="dxa"/>
          </w:tcPr>
          <w:p w14:paraId="72E9D8F3"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526" w:type="dxa"/>
          </w:tcPr>
          <w:p w14:paraId="1034D778" w14:textId="2B2EE410" w:rsidR="0014208F" w:rsidRPr="00154F1D" w:rsidRDefault="0014208F" w:rsidP="001F30A0">
            <w:pPr>
              <w:spacing w:beforeLines="40" w:before="96" w:afterLines="40" w:after="96"/>
              <w:rPr>
                <w:rFonts w:eastAsia="Times"/>
                <w:sz w:val="20"/>
                <w:szCs w:val="20"/>
              </w:rPr>
            </w:pPr>
            <w:r w:rsidRPr="00154F1D">
              <w:rPr>
                <w:rFonts w:eastAsia="Times"/>
                <w:sz w:val="20"/>
                <w:szCs w:val="20"/>
              </w:rPr>
              <w:t>Not explicitly but incorporated in ability to make decisions that may need to be made</w:t>
            </w:r>
            <w:r w:rsidR="001F30A0" w:rsidRPr="00154F1D">
              <w:rPr>
                <w:rFonts w:eastAsia="Times"/>
                <w:sz w:val="20"/>
                <w:szCs w:val="20"/>
              </w:rPr>
              <w:t>.</w:t>
            </w:r>
          </w:p>
        </w:tc>
        <w:tc>
          <w:tcPr>
            <w:tcW w:w="1167" w:type="dxa"/>
          </w:tcPr>
          <w:p w14:paraId="563ACD5E" w14:textId="28FE9516" w:rsidR="0014208F" w:rsidRPr="00154F1D" w:rsidRDefault="0014208F" w:rsidP="001F30A0">
            <w:pPr>
              <w:spacing w:beforeLines="40" w:before="96" w:afterLines="40" w:after="96"/>
              <w:rPr>
                <w:rFonts w:eastAsia="Times"/>
                <w:sz w:val="20"/>
                <w:szCs w:val="20"/>
              </w:rPr>
            </w:pPr>
            <w:r w:rsidRPr="00154F1D">
              <w:rPr>
                <w:rFonts w:eastAsia="Times"/>
                <w:sz w:val="20"/>
                <w:szCs w:val="20"/>
              </w:rPr>
              <w:t>Not explicitly but incorporated in ability to make decisions that may need to be made</w:t>
            </w:r>
            <w:r w:rsidR="001F30A0" w:rsidRPr="00154F1D">
              <w:rPr>
                <w:rFonts w:eastAsia="Times"/>
                <w:sz w:val="20"/>
                <w:szCs w:val="20"/>
              </w:rPr>
              <w:t>.</w:t>
            </w:r>
          </w:p>
        </w:tc>
        <w:tc>
          <w:tcPr>
            <w:tcW w:w="1276" w:type="dxa"/>
          </w:tcPr>
          <w:p w14:paraId="28E56086" w14:textId="2576A0EB" w:rsidR="0014208F" w:rsidRPr="00154F1D" w:rsidRDefault="0014208F" w:rsidP="001F30A0">
            <w:pPr>
              <w:spacing w:beforeLines="40" w:before="96" w:afterLines="40" w:after="96"/>
              <w:rPr>
                <w:rFonts w:eastAsia="Times"/>
                <w:sz w:val="20"/>
                <w:szCs w:val="20"/>
              </w:rPr>
            </w:pPr>
            <w:r w:rsidRPr="00154F1D">
              <w:rPr>
                <w:rFonts w:eastAsia="Times"/>
                <w:sz w:val="20"/>
                <w:szCs w:val="20"/>
              </w:rPr>
              <w:t>Not explicitly but incorporated in ability to make decisions that may need to be made</w:t>
            </w:r>
            <w:r w:rsidR="001F30A0" w:rsidRPr="00154F1D">
              <w:rPr>
                <w:rFonts w:eastAsia="Times"/>
                <w:sz w:val="20"/>
                <w:szCs w:val="20"/>
              </w:rPr>
              <w:t>.</w:t>
            </w:r>
          </w:p>
        </w:tc>
        <w:tc>
          <w:tcPr>
            <w:tcW w:w="1276" w:type="dxa"/>
          </w:tcPr>
          <w:p w14:paraId="02B4B233"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417" w:type="dxa"/>
          </w:tcPr>
          <w:p w14:paraId="692506DF" w14:textId="77777777" w:rsidR="0014208F" w:rsidRPr="00154F1D" w:rsidRDefault="0014208F" w:rsidP="001F30A0">
            <w:pPr>
              <w:spacing w:beforeLines="40" w:before="96" w:afterLines="40" w:after="96"/>
              <w:jc w:val="center"/>
              <w:rPr>
                <w:rFonts w:eastAsia="Times"/>
                <w:sz w:val="20"/>
                <w:szCs w:val="20"/>
              </w:rPr>
            </w:pPr>
          </w:p>
        </w:tc>
        <w:tc>
          <w:tcPr>
            <w:tcW w:w="1276" w:type="dxa"/>
          </w:tcPr>
          <w:p w14:paraId="4C8589A1" w14:textId="2E0733BA" w:rsidR="0014208F" w:rsidRPr="00154F1D" w:rsidRDefault="0014208F" w:rsidP="001F30A0">
            <w:pPr>
              <w:spacing w:beforeLines="40" w:before="96" w:afterLines="40" w:after="96"/>
              <w:rPr>
                <w:rFonts w:eastAsia="Times"/>
                <w:sz w:val="20"/>
                <w:szCs w:val="20"/>
              </w:rPr>
            </w:pPr>
            <w:r w:rsidRPr="00154F1D">
              <w:rPr>
                <w:rFonts w:eastAsia="Times"/>
                <w:sz w:val="20"/>
                <w:szCs w:val="20"/>
              </w:rPr>
              <w:t>Not explicitly but incorporated in ability to make decisions that may need to be made</w:t>
            </w:r>
            <w:r w:rsidR="001F30A0" w:rsidRPr="00154F1D">
              <w:rPr>
                <w:rFonts w:eastAsia="Times"/>
                <w:sz w:val="20"/>
                <w:szCs w:val="20"/>
              </w:rPr>
              <w:t>.</w:t>
            </w:r>
          </w:p>
        </w:tc>
        <w:tc>
          <w:tcPr>
            <w:tcW w:w="2949" w:type="dxa"/>
          </w:tcPr>
          <w:p w14:paraId="39FDD68E" w14:textId="77777777" w:rsidR="0014208F" w:rsidRPr="00154F1D" w:rsidRDefault="0014208F" w:rsidP="001F30A0">
            <w:pPr>
              <w:pStyle w:val="ListParagraph"/>
              <w:numPr>
                <w:ilvl w:val="0"/>
                <w:numId w:val="39"/>
              </w:numPr>
              <w:spacing w:beforeLines="40" w:before="96" w:afterLines="40" w:after="96"/>
              <w:ind w:left="226" w:hanging="226"/>
              <w:jc w:val="left"/>
              <w:rPr>
                <w:rFonts w:eastAsia="Times"/>
                <w:sz w:val="20"/>
                <w:szCs w:val="20"/>
              </w:rPr>
            </w:pPr>
            <w:r w:rsidRPr="00154F1D">
              <w:rPr>
                <w:rFonts w:eastAsia="Times"/>
                <w:sz w:val="20"/>
                <w:szCs w:val="20"/>
              </w:rPr>
              <w:t>Give evidence in own defence.</w:t>
            </w:r>
          </w:p>
          <w:p w14:paraId="5A1CE318" w14:textId="77777777" w:rsidR="0014208F" w:rsidRPr="00154F1D" w:rsidRDefault="0014208F" w:rsidP="001F30A0">
            <w:pPr>
              <w:pStyle w:val="ListParagraph"/>
              <w:numPr>
                <w:ilvl w:val="0"/>
                <w:numId w:val="39"/>
              </w:numPr>
              <w:spacing w:beforeLines="40" w:before="96" w:afterLines="40" w:after="96"/>
              <w:ind w:left="226" w:hanging="226"/>
              <w:jc w:val="left"/>
              <w:rPr>
                <w:rFonts w:eastAsia="Times"/>
                <w:sz w:val="20"/>
                <w:szCs w:val="20"/>
              </w:rPr>
            </w:pPr>
            <w:r w:rsidRPr="00154F1D">
              <w:rPr>
                <w:rFonts w:eastAsia="Times"/>
                <w:sz w:val="20"/>
                <w:szCs w:val="20"/>
              </w:rPr>
              <w:t>Understand the information relevant to the decisions that they will have to make in the course of the proceedings. </w:t>
            </w:r>
          </w:p>
          <w:p w14:paraId="214103EF" w14:textId="77777777" w:rsidR="0014208F" w:rsidRPr="00154F1D" w:rsidRDefault="0014208F" w:rsidP="001F30A0">
            <w:pPr>
              <w:pStyle w:val="ListParagraph"/>
              <w:numPr>
                <w:ilvl w:val="0"/>
                <w:numId w:val="39"/>
              </w:numPr>
              <w:spacing w:beforeLines="40" w:before="96" w:afterLines="40" w:after="96"/>
              <w:ind w:left="226" w:hanging="226"/>
              <w:jc w:val="left"/>
              <w:rPr>
                <w:rFonts w:eastAsia="Times"/>
                <w:sz w:val="20"/>
                <w:szCs w:val="20"/>
              </w:rPr>
            </w:pPr>
            <w:r w:rsidRPr="00154F1D">
              <w:rPr>
                <w:rFonts w:eastAsia="Times"/>
                <w:sz w:val="20"/>
                <w:szCs w:val="20"/>
              </w:rPr>
              <w:t>Retain that information.</w:t>
            </w:r>
          </w:p>
          <w:p w14:paraId="5640B719" w14:textId="77777777" w:rsidR="0014208F" w:rsidRPr="00154F1D" w:rsidRDefault="0014208F" w:rsidP="001F30A0">
            <w:pPr>
              <w:pStyle w:val="ListParagraph"/>
              <w:numPr>
                <w:ilvl w:val="0"/>
                <w:numId w:val="39"/>
              </w:numPr>
              <w:spacing w:beforeLines="40" w:before="96" w:afterLines="40" w:after="96"/>
              <w:ind w:left="226" w:hanging="226"/>
              <w:jc w:val="left"/>
              <w:rPr>
                <w:rFonts w:eastAsia="Times"/>
                <w:sz w:val="20"/>
                <w:szCs w:val="20"/>
              </w:rPr>
            </w:pPr>
            <w:r w:rsidRPr="00154F1D">
              <w:rPr>
                <w:rFonts w:eastAsia="Times"/>
                <w:sz w:val="20"/>
                <w:szCs w:val="20"/>
              </w:rPr>
              <w:t>Use or weigh that information as part of the process of making decisions.</w:t>
            </w:r>
          </w:p>
          <w:p w14:paraId="70B4CAC4" w14:textId="350EDC71" w:rsidR="0014208F" w:rsidRPr="00154F1D" w:rsidRDefault="0014208F" w:rsidP="001F30A0">
            <w:pPr>
              <w:pStyle w:val="ListParagraph"/>
              <w:numPr>
                <w:ilvl w:val="0"/>
                <w:numId w:val="39"/>
              </w:numPr>
              <w:spacing w:beforeLines="40" w:before="96" w:afterLines="40" w:after="96"/>
              <w:ind w:left="226" w:hanging="226"/>
              <w:jc w:val="left"/>
              <w:rPr>
                <w:rFonts w:eastAsia="Times"/>
                <w:sz w:val="20"/>
                <w:szCs w:val="20"/>
              </w:rPr>
            </w:pPr>
            <w:r w:rsidRPr="00154F1D">
              <w:rPr>
                <w:rFonts w:eastAsia="Times"/>
                <w:sz w:val="20"/>
                <w:szCs w:val="20"/>
              </w:rPr>
              <w:t>Communicate decisions. </w:t>
            </w:r>
          </w:p>
        </w:tc>
      </w:tr>
      <w:tr w:rsidR="001F30A0" w:rsidRPr="00154F1D" w14:paraId="14CE047E" w14:textId="77777777" w:rsidTr="008B09A5">
        <w:trPr>
          <w:trHeight w:val="500"/>
        </w:trPr>
        <w:tc>
          <w:tcPr>
            <w:tcW w:w="1645" w:type="dxa"/>
          </w:tcPr>
          <w:p w14:paraId="6CC73188"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Scotland</w:t>
            </w:r>
          </w:p>
        </w:tc>
        <w:tc>
          <w:tcPr>
            <w:tcW w:w="1418" w:type="dxa"/>
          </w:tcPr>
          <w:p w14:paraId="30C41D74"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526" w:type="dxa"/>
          </w:tcPr>
          <w:p w14:paraId="6EAAA61B"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Y and effect of plea</w:t>
            </w:r>
          </w:p>
        </w:tc>
        <w:tc>
          <w:tcPr>
            <w:tcW w:w="1167" w:type="dxa"/>
          </w:tcPr>
          <w:p w14:paraId="23B35824" w14:textId="77777777" w:rsidR="0014208F" w:rsidRPr="00154F1D" w:rsidRDefault="0014208F" w:rsidP="001F30A0">
            <w:pPr>
              <w:spacing w:beforeLines="40" w:before="96" w:afterLines="40" w:after="96"/>
              <w:jc w:val="center"/>
              <w:rPr>
                <w:rFonts w:eastAsia="Times"/>
                <w:sz w:val="20"/>
                <w:szCs w:val="20"/>
              </w:rPr>
            </w:pPr>
          </w:p>
        </w:tc>
        <w:tc>
          <w:tcPr>
            <w:tcW w:w="1276" w:type="dxa"/>
          </w:tcPr>
          <w:p w14:paraId="32491A25"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Y and its purpose</w:t>
            </w:r>
          </w:p>
        </w:tc>
        <w:tc>
          <w:tcPr>
            <w:tcW w:w="1276" w:type="dxa"/>
          </w:tcPr>
          <w:p w14:paraId="397CD8B4"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417" w:type="dxa"/>
          </w:tcPr>
          <w:p w14:paraId="05925460"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59BB9854"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 xml:space="preserve">Y </w:t>
            </w:r>
          </w:p>
        </w:tc>
        <w:tc>
          <w:tcPr>
            <w:tcW w:w="2949" w:type="dxa"/>
          </w:tcPr>
          <w:p w14:paraId="0CCFA3DD" w14:textId="77777777" w:rsidR="0014208F" w:rsidRPr="00154F1D" w:rsidRDefault="0014208F" w:rsidP="001F30A0">
            <w:pPr>
              <w:pStyle w:val="ListParagraph"/>
              <w:numPr>
                <w:ilvl w:val="0"/>
                <w:numId w:val="39"/>
              </w:numPr>
              <w:spacing w:beforeLines="40" w:before="96" w:afterLines="40" w:after="96"/>
              <w:ind w:left="226" w:hanging="226"/>
              <w:jc w:val="left"/>
              <w:rPr>
                <w:rFonts w:eastAsia="Times"/>
                <w:sz w:val="20"/>
                <w:szCs w:val="20"/>
              </w:rPr>
            </w:pPr>
            <w:r w:rsidRPr="00154F1D">
              <w:rPr>
                <w:rFonts w:eastAsia="Times"/>
                <w:sz w:val="20"/>
                <w:szCs w:val="20"/>
              </w:rPr>
              <w:t>Any other factor that the court considers relevant.</w:t>
            </w:r>
          </w:p>
        </w:tc>
      </w:tr>
      <w:tr w:rsidR="001F30A0" w:rsidRPr="00154F1D" w14:paraId="079D0574" w14:textId="77777777" w:rsidTr="008B09A5">
        <w:tc>
          <w:tcPr>
            <w:tcW w:w="1645" w:type="dxa"/>
          </w:tcPr>
          <w:p w14:paraId="3E8F19E2"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New Zealand</w:t>
            </w:r>
          </w:p>
          <w:p w14:paraId="12E0D137"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(statute supplemented by Presser)</w:t>
            </w:r>
          </w:p>
        </w:tc>
        <w:tc>
          <w:tcPr>
            <w:tcW w:w="1418" w:type="dxa"/>
          </w:tcPr>
          <w:p w14:paraId="55C6E3DA"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526" w:type="dxa"/>
          </w:tcPr>
          <w:p w14:paraId="4A1FF6DD"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167" w:type="dxa"/>
          </w:tcPr>
          <w:p w14:paraId="474E5FDD"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24C08A7D" w14:textId="5EE5A088" w:rsidR="0014208F" w:rsidRPr="00154F1D" w:rsidRDefault="0014208F" w:rsidP="001F30A0">
            <w:pPr>
              <w:spacing w:beforeLines="40" w:before="96" w:afterLines="40" w:after="96"/>
              <w:rPr>
                <w:rFonts w:eastAsia="Times"/>
                <w:sz w:val="20"/>
                <w:szCs w:val="20"/>
              </w:rPr>
            </w:pPr>
            <w:r w:rsidRPr="00154F1D">
              <w:rPr>
                <w:rFonts w:eastAsia="Times"/>
                <w:sz w:val="20"/>
                <w:szCs w:val="20"/>
              </w:rPr>
              <w:t>Y and its purpose and consequences</w:t>
            </w:r>
            <w:r w:rsidR="001F30A0" w:rsidRPr="00154F1D">
              <w:rPr>
                <w:rFonts w:eastAsia="Times"/>
                <w:sz w:val="20"/>
                <w:szCs w:val="20"/>
              </w:rPr>
              <w:t>.</w:t>
            </w:r>
          </w:p>
        </w:tc>
        <w:tc>
          <w:tcPr>
            <w:tcW w:w="1276" w:type="dxa"/>
          </w:tcPr>
          <w:p w14:paraId="098D91CA"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417" w:type="dxa"/>
          </w:tcPr>
          <w:p w14:paraId="171EA496" w14:textId="77777777" w:rsidR="0014208F" w:rsidRPr="00154F1D" w:rsidRDefault="0014208F" w:rsidP="001F30A0">
            <w:pPr>
              <w:spacing w:beforeLines="40" w:before="96" w:afterLines="40" w:after="96"/>
              <w:jc w:val="center"/>
              <w:rPr>
                <w:rFonts w:eastAsia="Times"/>
                <w:sz w:val="20"/>
                <w:szCs w:val="20"/>
              </w:rPr>
            </w:pPr>
            <w:r w:rsidRPr="00154F1D">
              <w:rPr>
                <w:rFonts w:eastAsia="Times"/>
                <w:sz w:val="20"/>
                <w:szCs w:val="20"/>
              </w:rPr>
              <w:t>Y</w:t>
            </w:r>
          </w:p>
        </w:tc>
        <w:tc>
          <w:tcPr>
            <w:tcW w:w="1276" w:type="dxa"/>
          </w:tcPr>
          <w:p w14:paraId="0D9CDCCC"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Communicate adequately</w:t>
            </w:r>
          </w:p>
        </w:tc>
        <w:tc>
          <w:tcPr>
            <w:tcW w:w="2949" w:type="dxa"/>
          </w:tcPr>
          <w:p w14:paraId="55CF2A77" w14:textId="77777777" w:rsidR="0014208F" w:rsidRPr="00154F1D" w:rsidRDefault="0014208F" w:rsidP="001F30A0">
            <w:pPr>
              <w:pStyle w:val="ListParagraph"/>
              <w:numPr>
                <w:ilvl w:val="0"/>
                <w:numId w:val="39"/>
              </w:numPr>
              <w:spacing w:beforeLines="40" w:before="96" w:afterLines="40" w:after="96"/>
              <w:ind w:left="226" w:hanging="226"/>
              <w:jc w:val="left"/>
              <w:rPr>
                <w:rFonts w:eastAsia="Times"/>
                <w:sz w:val="20"/>
                <w:szCs w:val="20"/>
              </w:rPr>
            </w:pPr>
            <w:r w:rsidRPr="00154F1D">
              <w:rPr>
                <w:rFonts w:eastAsia="Times"/>
                <w:sz w:val="20"/>
                <w:szCs w:val="20"/>
              </w:rPr>
              <w:t>Make a defence.</w:t>
            </w:r>
          </w:p>
        </w:tc>
      </w:tr>
      <w:tr w:rsidR="001F30A0" w:rsidRPr="00154F1D" w14:paraId="1C14D2E5" w14:textId="77777777" w:rsidTr="008B09A5">
        <w:tc>
          <w:tcPr>
            <w:tcW w:w="1645" w:type="dxa"/>
          </w:tcPr>
          <w:p w14:paraId="2DE6EE09" w14:textId="77777777" w:rsidR="0014208F" w:rsidRPr="00154F1D" w:rsidRDefault="0014208F" w:rsidP="001F30A0">
            <w:pPr>
              <w:spacing w:beforeLines="40" w:before="96" w:afterLines="40" w:after="96"/>
              <w:rPr>
                <w:rFonts w:eastAsia="Times"/>
                <w:sz w:val="20"/>
                <w:szCs w:val="20"/>
              </w:rPr>
            </w:pPr>
            <w:r w:rsidRPr="00154F1D">
              <w:rPr>
                <w:rFonts w:eastAsia="Times"/>
                <w:sz w:val="20"/>
                <w:szCs w:val="20"/>
              </w:rPr>
              <w:t>Canada</w:t>
            </w:r>
          </w:p>
        </w:tc>
        <w:tc>
          <w:tcPr>
            <w:tcW w:w="1418" w:type="dxa"/>
          </w:tcPr>
          <w:p w14:paraId="0F46A045" w14:textId="77777777" w:rsidR="0014208F" w:rsidRPr="00154F1D" w:rsidRDefault="0014208F" w:rsidP="001F30A0">
            <w:pPr>
              <w:spacing w:beforeLines="40" w:before="96" w:afterLines="40" w:after="96"/>
              <w:jc w:val="center"/>
              <w:rPr>
                <w:rFonts w:eastAsia="Times"/>
                <w:sz w:val="20"/>
                <w:szCs w:val="20"/>
              </w:rPr>
            </w:pPr>
          </w:p>
        </w:tc>
        <w:tc>
          <w:tcPr>
            <w:tcW w:w="1526" w:type="dxa"/>
          </w:tcPr>
          <w:p w14:paraId="237F381B" w14:textId="77777777" w:rsidR="0014208F" w:rsidRPr="00154F1D" w:rsidRDefault="0014208F" w:rsidP="001F30A0">
            <w:pPr>
              <w:spacing w:beforeLines="40" w:before="96" w:afterLines="40" w:after="96"/>
              <w:jc w:val="center"/>
              <w:rPr>
                <w:rFonts w:eastAsia="Times"/>
                <w:sz w:val="20"/>
                <w:szCs w:val="20"/>
              </w:rPr>
            </w:pPr>
          </w:p>
        </w:tc>
        <w:tc>
          <w:tcPr>
            <w:tcW w:w="1167" w:type="dxa"/>
          </w:tcPr>
          <w:p w14:paraId="629830C2" w14:textId="77777777" w:rsidR="0014208F" w:rsidRPr="00154F1D" w:rsidRDefault="0014208F" w:rsidP="001F30A0">
            <w:pPr>
              <w:spacing w:beforeLines="40" w:before="96" w:afterLines="40" w:after="96"/>
              <w:jc w:val="center"/>
              <w:rPr>
                <w:rFonts w:eastAsia="Times"/>
                <w:sz w:val="20"/>
                <w:szCs w:val="20"/>
              </w:rPr>
            </w:pPr>
          </w:p>
        </w:tc>
        <w:tc>
          <w:tcPr>
            <w:tcW w:w="1276" w:type="dxa"/>
          </w:tcPr>
          <w:p w14:paraId="03937139" w14:textId="2A02986E" w:rsidR="0014208F" w:rsidRPr="00154F1D" w:rsidRDefault="0014208F" w:rsidP="001F30A0">
            <w:pPr>
              <w:spacing w:beforeLines="40" w:before="96" w:afterLines="40" w:after="96"/>
              <w:rPr>
                <w:rFonts w:eastAsia="Times"/>
                <w:sz w:val="20"/>
                <w:szCs w:val="20"/>
              </w:rPr>
            </w:pPr>
            <w:r w:rsidRPr="00154F1D">
              <w:rPr>
                <w:rFonts w:eastAsia="Times"/>
                <w:sz w:val="20"/>
                <w:szCs w:val="20"/>
              </w:rPr>
              <w:t>Y and possible consequences</w:t>
            </w:r>
            <w:r w:rsidR="001F30A0" w:rsidRPr="00154F1D">
              <w:rPr>
                <w:rFonts w:eastAsia="Times"/>
                <w:sz w:val="20"/>
                <w:szCs w:val="20"/>
              </w:rPr>
              <w:t>.</w:t>
            </w:r>
          </w:p>
        </w:tc>
        <w:tc>
          <w:tcPr>
            <w:tcW w:w="1276" w:type="dxa"/>
          </w:tcPr>
          <w:p w14:paraId="4A6B5D04" w14:textId="77777777" w:rsidR="0014208F" w:rsidRPr="00154F1D" w:rsidRDefault="0014208F" w:rsidP="001F30A0">
            <w:pPr>
              <w:spacing w:beforeLines="40" w:before="96" w:afterLines="40" w:after="96"/>
              <w:jc w:val="center"/>
              <w:rPr>
                <w:rFonts w:eastAsia="Times"/>
                <w:sz w:val="20"/>
                <w:szCs w:val="20"/>
              </w:rPr>
            </w:pPr>
          </w:p>
        </w:tc>
        <w:tc>
          <w:tcPr>
            <w:tcW w:w="1417" w:type="dxa"/>
          </w:tcPr>
          <w:p w14:paraId="13DC3CF8" w14:textId="77777777" w:rsidR="0014208F" w:rsidRPr="00154F1D" w:rsidRDefault="0014208F" w:rsidP="001F30A0">
            <w:pPr>
              <w:spacing w:beforeLines="40" w:before="96" w:afterLines="40" w:after="96"/>
              <w:jc w:val="center"/>
              <w:outlineLvl w:val="0"/>
              <w:rPr>
                <w:rFonts w:eastAsia="Times"/>
                <w:sz w:val="20"/>
                <w:szCs w:val="20"/>
              </w:rPr>
            </w:pPr>
          </w:p>
        </w:tc>
        <w:tc>
          <w:tcPr>
            <w:tcW w:w="1276" w:type="dxa"/>
          </w:tcPr>
          <w:p w14:paraId="031BB9C2" w14:textId="77777777" w:rsidR="0014208F" w:rsidRPr="00154F1D" w:rsidRDefault="0014208F" w:rsidP="001F30A0">
            <w:pPr>
              <w:spacing w:beforeLines="40" w:before="96" w:afterLines="40" w:after="96"/>
              <w:jc w:val="center"/>
              <w:outlineLvl w:val="0"/>
              <w:rPr>
                <w:rFonts w:eastAsia="Times"/>
                <w:sz w:val="20"/>
                <w:szCs w:val="20"/>
              </w:rPr>
            </w:pPr>
            <w:r w:rsidRPr="00154F1D">
              <w:rPr>
                <w:rFonts w:eastAsia="Times"/>
                <w:sz w:val="20"/>
                <w:szCs w:val="20"/>
              </w:rPr>
              <w:t>Y</w:t>
            </w:r>
          </w:p>
        </w:tc>
        <w:tc>
          <w:tcPr>
            <w:tcW w:w="2949" w:type="dxa"/>
          </w:tcPr>
          <w:p w14:paraId="59B1FBC6" w14:textId="77777777" w:rsidR="0014208F" w:rsidRPr="00154F1D" w:rsidRDefault="0014208F" w:rsidP="001F30A0">
            <w:pPr>
              <w:pStyle w:val="ListParagraph"/>
              <w:numPr>
                <w:ilvl w:val="0"/>
                <w:numId w:val="39"/>
              </w:numPr>
              <w:spacing w:beforeLines="40" w:before="96" w:afterLines="40" w:after="96"/>
              <w:ind w:left="226" w:hanging="226"/>
              <w:jc w:val="left"/>
              <w:rPr>
                <w:rFonts w:eastAsia="Times"/>
                <w:sz w:val="20"/>
                <w:szCs w:val="20"/>
              </w:rPr>
            </w:pPr>
            <w:r w:rsidRPr="00154F1D">
              <w:rPr>
                <w:rFonts w:eastAsia="Times"/>
                <w:sz w:val="20"/>
                <w:szCs w:val="20"/>
              </w:rPr>
              <w:t>Conduct a defence.</w:t>
            </w:r>
          </w:p>
        </w:tc>
      </w:tr>
    </w:tbl>
    <w:p w14:paraId="65EB5E40" w14:textId="77777777" w:rsidR="0014208F" w:rsidRPr="00154F1D" w:rsidRDefault="0014208F" w:rsidP="0014208F">
      <w:pPr>
        <w:rPr>
          <w:rFonts w:eastAsia="Times"/>
          <w:sz w:val="20"/>
          <w:szCs w:val="20"/>
        </w:rPr>
      </w:pPr>
    </w:p>
    <w:p w14:paraId="1D5223FB" w14:textId="77777777" w:rsidR="008266AB" w:rsidRPr="00154F1D" w:rsidRDefault="008266AB" w:rsidP="00C90C33">
      <w:pPr>
        <w:pStyle w:val="PartHeadingTLRI"/>
        <w:sectPr w:rsidR="008266AB" w:rsidRPr="00154F1D" w:rsidSect="00350B61">
          <w:headerReference w:type="default" r:id="rId44"/>
          <w:pgSz w:w="16840" w:h="11900" w:orient="landscape"/>
          <w:pgMar w:top="1797" w:right="1440" w:bottom="1797" w:left="1440" w:header="709" w:footer="709" w:gutter="0"/>
          <w:cols w:space="708"/>
          <w:titlePg/>
          <w:docGrid w:linePitch="360"/>
        </w:sectPr>
      </w:pPr>
    </w:p>
    <w:p w14:paraId="36586BCB" w14:textId="63CF16E2" w:rsidR="0014208F" w:rsidRPr="00154F1D" w:rsidRDefault="00C90C33" w:rsidP="00747EB8">
      <w:pPr>
        <w:pStyle w:val="NumberlessSectionHeading"/>
        <w:spacing w:after="120"/>
      </w:pPr>
      <w:bookmarkStart w:id="221" w:name="_Toc535868990"/>
      <w:r w:rsidRPr="00154F1D">
        <w:t xml:space="preserve">Appendix </w:t>
      </w:r>
      <w:r w:rsidR="00BA4488" w:rsidRPr="00154F1D">
        <w:t>5</w:t>
      </w:r>
      <w:r w:rsidRPr="00154F1D">
        <w:t>: Special hearing provisions</w:t>
      </w:r>
      <w:bookmarkEnd w:id="221"/>
    </w:p>
    <w:tbl>
      <w:tblPr>
        <w:tblStyle w:val="TableGrid"/>
        <w:tblW w:w="0" w:type="auto"/>
        <w:tblBorders>
          <w:top w:val="single" w:sz="2" w:space="0" w:color="000000"/>
          <w:left w:val="single" w:sz="2" w:space="0" w:color="000000"/>
          <w:bottom w:val="single" w:sz="2" w:space="0" w:color="000000"/>
          <w:right w:val="single" w:sz="2" w:space="0" w:color="000000"/>
        </w:tblBorders>
        <w:tblCellMar>
          <w:left w:w="57" w:type="dxa"/>
          <w:right w:w="57" w:type="dxa"/>
        </w:tblCellMar>
        <w:tblLook w:val="04A0" w:firstRow="1" w:lastRow="0" w:firstColumn="1" w:lastColumn="0" w:noHBand="0" w:noVBand="1"/>
      </w:tblPr>
      <w:tblGrid>
        <w:gridCol w:w="1570"/>
        <w:gridCol w:w="1508"/>
        <w:gridCol w:w="1916"/>
        <w:gridCol w:w="1817"/>
        <w:gridCol w:w="1489"/>
      </w:tblGrid>
      <w:tr w:rsidR="0014208F" w:rsidRPr="00154F1D" w14:paraId="2B5637AC" w14:textId="77777777" w:rsidTr="008B09A5">
        <w:tc>
          <w:tcPr>
            <w:tcW w:w="2832" w:type="dxa"/>
          </w:tcPr>
          <w:p w14:paraId="792C25B5" w14:textId="77777777" w:rsidR="0014208F" w:rsidRPr="00154F1D" w:rsidRDefault="0014208F" w:rsidP="00747EB8">
            <w:pPr>
              <w:spacing w:beforeLines="20" w:before="48" w:afterLines="20" w:after="48"/>
              <w:rPr>
                <w:b/>
                <w:sz w:val="20"/>
                <w:szCs w:val="20"/>
              </w:rPr>
            </w:pPr>
            <w:r w:rsidRPr="00154F1D">
              <w:rPr>
                <w:b/>
                <w:sz w:val="20"/>
                <w:szCs w:val="20"/>
              </w:rPr>
              <w:t>Jurisdiction</w:t>
            </w:r>
          </w:p>
        </w:tc>
        <w:tc>
          <w:tcPr>
            <w:tcW w:w="2735" w:type="dxa"/>
          </w:tcPr>
          <w:p w14:paraId="2DAF7E3A" w14:textId="77777777" w:rsidR="0014208F" w:rsidRPr="00154F1D" w:rsidRDefault="0014208F" w:rsidP="00747EB8">
            <w:pPr>
              <w:spacing w:beforeLines="20" w:before="48" w:afterLines="20" w:after="48"/>
              <w:rPr>
                <w:b/>
                <w:sz w:val="20"/>
                <w:szCs w:val="20"/>
              </w:rPr>
            </w:pPr>
            <w:r w:rsidRPr="00154F1D">
              <w:rPr>
                <w:b/>
                <w:sz w:val="20"/>
                <w:szCs w:val="20"/>
              </w:rPr>
              <w:t>Judge or jury</w:t>
            </w:r>
          </w:p>
        </w:tc>
        <w:tc>
          <w:tcPr>
            <w:tcW w:w="3066" w:type="dxa"/>
          </w:tcPr>
          <w:p w14:paraId="408A3915" w14:textId="77777777" w:rsidR="0014208F" w:rsidRPr="00154F1D" w:rsidRDefault="0014208F" w:rsidP="00747EB8">
            <w:pPr>
              <w:spacing w:beforeLines="20" w:before="48" w:afterLines="20" w:after="48"/>
              <w:rPr>
                <w:b/>
                <w:sz w:val="20"/>
                <w:szCs w:val="20"/>
              </w:rPr>
            </w:pPr>
            <w:r w:rsidRPr="00154F1D">
              <w:rPr>
                <w:b/>
                <w:sz w:val="20"/>
                <w:szCs w:val="20"/>
              </w:rPr>
              <w:t>Conduct of hearing</w:t>
            </w:r>
          </w:p>
        </w:tc>
        <w:tc>
          <w:tcPr>
            <w:tcW w:w="3128" w:type="dxa"/>
          </w:tcPr>
          <w:p w14:paraId="11BCB572" w14:textId="77777777" w:rsidR="0014208F" w:rsidRPr="00154F1D" w:rsidRDefault="0014208F" w:rsidP="00747EB8">
            <w:pPr>
              <w:spacing w:beforeLines="20" w:before="48" w:afterLines="20" w:after="48"/>
              <w:ind w:left="252" w:hanging="252"/>
              <w:rPr>
                <w:b/>
                <w:sz w:val="20"/>
                <w:szCs w:val="20"/>
              </w:rPr>
            </w:pPr>
            <w:r w:rsidRPr="00154F1D">
              <w:rPr>
                <w:b/>
                <w:sz w:val="20"/>
                <w:szCs w:val="20"/>
              </w:rPr>
              <w:t>Findings available</w:t>
            </w:r>
          </w:p>
        </w:tc>
        <w:tc>
          <w:tcPr>
            <w:tcW w:w="2189" w:type="dxa"/>
          </w:tcPr>
          <w:p w14:paraId="0F898F96" w14:textId="77777777" w:rsidR="0014208F" w:rsidRPr="00154F1D" w:rsidRDefault="0014208F" w:rsidP="00747EB8">
            <w:pPr>
              <w:spacing w:beforeLines="20" w:before="48" w:afterLines="20" w:after="48"/>
              <w:rPr>
                <w:b/>
                <w:sz w:val="20"/>
                <w:szCs w:val="20"/>
              </w:rPr>
            </w:pPr>
            <w:r w:rsidRPr="00154F1D">
              <w:rPr>
                <w:b/>
                <w:sz w:val="20"/>
                <w:szCs w:val="20"/>
              </w:rPr>
              <w:t>Legislation</w:t>
            </w:r>
          </w:p>
        </w:tc>
      </w:tr>
      <w:tr w:rsidR="0014208F" w:rsidRPr="00154F1D" w14:paraId="258FCA4A" w14:textId="77777777" w:rsidTr="008B09A5">
        <w:tc>
          <w:tcPr>
            <w:tcW w:w="2832" w:type="dxa"/>
          </w:tcPr>
          <w:p w14:paraId="25A29495" w14:textId="77777777" w:rsidR="0014208F" w:rsidRPr="00154F1D" w:rsidRDefault="0014208F" w:rsidP="00747EB8">
            <w:pPr>
              <w:spacing w:beforeLines="20" w:before="48" w:afterLines="20" w:after="48"/>
              <w:rPr>
                <w:sz w:val="20"/>
                <w:szCs w:val="20"/>
              </w:rPr>
            </w:pPr>
            <w:r w:rsidRPr="00154F1D">
              <w:rPr>
                <w:sz w:val="20"/>
                <w:szCs w:val="20"/>
              </w:rPr>
              <w:t>New South Wales</w:t>
            </w:r>
          </w:p>
        </w:tc>
        <w:tc>
          <w:tcPr>
            <w:tcW w:w="2735" w:type="dxa"/>
          </w:tcPr>
          <w:p w14:paraId="692ADC76" w14:textId="628E8E8C" w:rsidR="0014208F" w:rsidRPr="00154F1D" w:rsidRDefault="0014208F" w:rsidP="00747EB8">
            <w:pPr>
              <w:spacing w:beforeLines="20" w:before="48" w:afterLines="20" w:after="48"/>
              <w:rPr>
                <w:sz w:val="20"/>
                <w:szCs w:val="20"/>
              </w:rPr>
            </w:pPr>
            <w:r w:rsidRPr="00154F1D">
              <w:rPr>
                <w:sz w:val="20"/>
                <w:szCs w:val="20"/>
              </w:rPr>
              <w:t>Hearing is by judge alone unless election for a jury made</w:t>
            </w:r>
          </w:p>
        </w:tc>
        <w:tc>
          <w:tcPr>
            <w:tcW w:w="3066" w:type="dxa"/>
          </w:tcPr>
          <w:p w14:paraId="2C588DE2" w14:textId="77777777" w:rsidR="0014208F" w:rsidRPr="00154F1D" w:rsidRDefault="0014208F" w:rsidP="00747EB8">
            <w:pPr>
              <w:spacing w:beforeLines="20" w:before="48" w:afterLines="20" w:after="48"/>
              <w:rPr>
                <w:sz w:val="20"/>
                <w:szCs w:val="20"/>
              </w:rPr>
            </w:pPr>
            <w:r w:rsidRPr="00154F1D">
              <w:rPr>
                <w:sz w:val="20"/>
                <w:szCs w:val="20"/>
              </w:rPr>
              <w:t>Conducted as close to a normal trial as is practicable, including:</w:t>
            </w:r>
          </w:p>
          <w:p w14:paraId="5C47E9F9" w14:textId="24D50F42" w:rsidR="0014208F" w:rsidRPr="00154F1D" w:rsidRDefault="00747EB8" w:rsidP="00747EB8">
            <w:pPr>
              <w:pStyle w:val="ListParagraph"/>
              <w:numPr>
                <w:ilvl w:val="0"/>
                <w:numId w:val="42"/>
              </w:numPr>
              <w:spacing w:beforeLines="20" w:before="48" w:afterLines="20" w:after="48"/>
              <w:ind w:left="273" w:hanging="273"/>
              <w:contextualSpacing w:val="0"/>
              <w:jc w:val="left"/>
              <w:rPr>
                <w:sz w:val="20"/>
                <w:szCs w:val="20"/>
              </w:rPr>
            </w:pPr>
            <w:r w:rsidRPr="00154F1D">
              <w:rPr>
                <w:sz w:val="20"/>
                <w:szCs w:val="20"/>
              </w:rPr>
              <w:t>p</w:t>
            </w:r>
            <w:r w:rsidR="0014208F" w:rsidRPr="00154F1D">
              <w:rPr>
                <w:sz w:val="20"/>
                <w:szCs w:val="20"/>
              </w:rPr>
              <w:t>roof beyond a reasonable doubt</w:t>
            </w:r>
          </w:p>
          <w:p w14:paraId="4DE7CB40" w14:textId="5C1831BD" w:rsidR="0014208F" w:rsidRPr="00154F1D" w:rsidRDefault="00747EB8" w:rsidP="00747EB8">
            <w:pPr>
              <w:pStyle w:val="ListParagraph"/>
              <w:numPr>
                <w:ilvl w:val="0"/>
                <w:numId w:val="42"/>
              </w:numPr>
              <w:spacing w:beforeLines="20" w:before="48" w:afterLines="20" w:after="48"/>
              <w:ind w:left="273" w:hanging="273"/>
              <w:contextualSpacing w:val="0"/>
              <w:jc w:val="left"/>
              <w:rPr>
                <w:sz w:val="20"/>
                <w:szCs w:val="20"/>
              </w:rPr>
            </w:pPr>
            <w:r w:rsidRPr="00154F1D">
              <w:rPr>
                <w:sz w:val="20"/>
                <w:szCs w:val="20"/>
              </w:rPr>
              <w:t>m</w:t>
            </w:r>
            <w:r w:rsidR="0014208F" w:rsidRPr="00154F1D">
              <w:rPr>
                <w:sz w:val="20"/>
                <w:szCs w:val="20"/>
              </w:rPr>
              <w:t>ay raise defences</w:t>
            </w:r>
          </w:p>
          <w:p w14:paraId="506D2F44" w14:textId="02D6F298" w:rsidR="0014208F" w:rsidRPr="00154F1D" w:rsidRDefault="00747EB8" w:rsidP="00747EB8">
            <w:pPr>
              <w:pStyle w:val="ListParagraph"/>
              <w:numPr>
                <w:ilvl w:val="0"/>
                <w:numId w:val="42"/>
              </w:numPr>
              <w:spacing w:beforeLines="20" w:before="48" w:afterLines="20" w:after="48"/>
              <w:ind w:left="273" w:hanging="273"/>
              <w:contextualSpacing w:val="0"/>
              <w:jc w:val="left"/>
              <w:rPr>
                <w:sz w:val="20"/>
                <w:szCs w:val="20"/>
              </w:rPr>
            </w:pPr>
            <w:r w:rsidRPr="00154F1D">
              <w:rPr>
                <w:sz w:val="20"/>
                <w:szCs w:val="20"/>
              </w:rPr>
              <w:t>i</w:t>
            </w:r>
            <w:r w:rsidR="0014208F" w:rsidRPr="00154F1D">
              <w:rPr>
                <w:sz w:val="20"/>
                <w:szCs w:val="20"/>
              </w:rPr>
              <w:t>s entitled to give evidence</w:t>
            </w:r>
          </w:p>
          <w:p w14:paraId="2F32BD23" w14:textId="11FF768A" w:rsidR="0014208F" w:rsidRPr="00154F1D" w:rsidRDefault="00747EB8" w:rsidP="00747EB8">
            <w:pPr>
              <w:pStyle w:val="ListParagraph"/>
              <w:numPr>
                <w:ilvl w:val="0"/>
                <w:numId w:val="42"/>
              </w:numPr>
              <w:spacing w:beforeLines="20" w:before="48" w:afterLines="20" w:after="48"/>
              <w:ind w:left="273" w:hanging="273"/>
              <w:contextualSpacing w:val="0"/>
              <w:jc w:val="left"/>
              <w:rPr>
                <w:sz w:val="20"/>
                <w:szCs w:val="20"/>
              </w:rPr>
            </w:pPr>
            <w:r w:rsidRPr="00154F1D">
              <w:rPr>
                <w:sz w:val="20"/>
                <w:szCs w:val="20"/>
              </w:rPr>
              <w:t>t</w:t>
            </w:r>
            <w:r w:rsidR="0014208F" w:rsidRPr="00154F1D">
              <w:rPr>
                <w:sz w:val="20"/>
                <w:szCs w:val="20"/>
              </w:rPr>
              <w:t>o have legal representation</w:t>
            </w:r>
          </w:p>
        </w:tc>
        <w:tc>
          <w:tcPr>
            <w:tcW w:w="3128" w:type="dxa"/>
          </w:tcPr>
          <w:p w14:paraId="488EB1D2" w14:textId="77777777" w:rsidR="0014208F" w:rsidRPr="00154F1D" w:rsidRDefault="0014208F" w:rsidP="00747EB8">
            <w:pPr>
              <w:pStyle w:val="ListParagraph"/>
              <w:numPr>
                <w:ilvl w:val="0"/>
                <w:numId w:val="42"/>
              </w:numPr>
              <w:spacing w:beforeLines="20" w:before="48" w:afterLines="20" w:after="48"/>
              <w:ind w:left="252" w:hanging="252"/>
              <w:contextualSpacing w:val="0"/>
              <w:jc w:val="left"/>
              <w:rPr>
                <w:sz w:val="20"/>
                <w:szCs w:val="20"/>
              </w:rPr>
            </w:pPr>
            <w:r w:rsidRPr="00154F1D">
              <w:rPr>
                <w:sz w:val="20"/>
                <w:szCs w:val="20"/>
              </w:rPr>
              <w:t>Not guilty of the offence</w:t>
            </w:r>
          </w:p>
          <w:p w14:paraId="2548916B" w14:textId="77777777" w:rsidR="0014208F" w:rsidRPr="00154F1D" w:rsidRDefault="0014208F" w:rsidP="00747EB8">
            <w:pPr>
              <w:pStyle w:val="ListParagraph"/>
              <w:numPr>
                <w:ilvl w:val="0"/>
                <w:numId w:val="42"/>
              </w:numPr>
              <w:spacing w:beforeLines="20" w:before="48" w:afterLines="20" w:after="48"/>
              <w:ind w:left="252" w:hanging="252"/>
              <w:contextualSpacing w:val="0"/>
              <w:jc w:val="left"/>
              <w:rPr>
                <w:sz w:val="20"/>
                <w:szCs w:val="20"/>
              </w:rPr>
            </w:pPr>
            <w:r w:rsidRPr="00154F1D">
              <w:rPr>
                <w:sz w:val="20"/>
                <w:szCs w:val="20"/>
              </w:rPr>
              <w:t>Not guilty on the grounds of mental illness</w:t>
            </w:r>
          </w:p>
          <w:p w14:paraId="6BFF7E53" w14:textId="77777777" w:rsidR="0014208F" w:rsidRPr="00154F1D" w:rsidRDefault="0014208F" w:rsidP="00747EB8">
            <w:pPr>
              <w:pStyle w:val="ListParagraph"/>
              <w:numPr>
                <w:ilvl w:val="0"/>
                <w:numId w:val="42"/>
              </w:numPr>
              <w:spacing w:beforeLines="20" w:before="48" w:afterLines="20" w:after="48"/>
              <w:ind w:left="252" w:hanging="252"/>
              <w:contextualSpacing w:val="0"/>
              <w:jc w:val="left"/>
              <w:rPr>
                <w:sz w:val="20"/>
                <w:szCs w:val="20"/>
              </w:rPr>
            </w:pPr>
            <w:r w:rsidRPr="00154F1D">
              <w:rPr>
                <w:sz w:val="20"/>
                <w:szCs w:val="20"/>
              </w:rPr>
              <w:t>On the limited evidence available, the accused committed the offence charged or an alternative offence (finding of qualified guilt)</w:t>
            </w:r>
          </w:p>
        </w:tc>
        <w:tc>
          <w:tcPr>
            <w:tcW w:w="2189" w:type="dxa"/>
          </w:tcPr>
          <w:p w14:paraId="439E28CB" w14:textId="28BB25C9" w:rsidR="0014208F" w:rsidRPr="00154F1D" w:rsidRDefault="0014208F" w:rsidP="00747EB8">
            <w:pPr>
              <w:spacing w:beforeLines="20" w:before="48" w:afterLines="20" w:after="48"/>
              <w:rPr>
                <w:sz w:val="20"/>
                <w:szCs w:val="20"/>
              </w:rPr>
            </w:pPr>
            <w:r w:rsidRPr="00154F1D">
              <w:rPr>
                <w:i/>
                <w:sz w:val="20"/>
                <w:szCs w:val="20"/>
              </w:rPr>
              <w:t xml:space="preserve">Mental Health (Forensic Provisions) Act 1990 (NSW) </w:t>
            </w:r>
            <w:r w:rsidRPr="00154F1D">
              <w:rPr>
                <w:sz w:val="20"/>
                <w:szCs w:val="20"/>
              </w:rPr>
              <w:t>s</w:t>
            </w:r>
            <w:r w:rsidR="00747EB8" w:rsidRPr="00154F1D">
              <w:rPr>
                <w:sz w:val="20"/>
                <w:szCs w:val="20"/>
              </w:rPr>
              <w:t>s</w:t>
            </w:r>
            <w:r w:rsidRPr="00154F1D">
              <w:rPr>
                <w:sz w:val="20"/>
                <w:szCs w:val="20"/>
              </w:rPr>
              <w:t xml:space="preserve"> 19(2), 21, 21A, 22</w:t>
            </w:r>
          </w:p>
        </w:tc>
      </w:tr>
      <w:tr w:rsidR="0014208F" w:rsidRPr="00154F1D" w14:paraId="2991A200" w14:textId="77777777" w:rsidTr="008B09A5">
        <w:tc>
          <w:tcPr>
            <w:tcW w:w="2832" w:type="dxa"/>
          </w:tcPr>
          <w:p w14:paraId="18504ADB" w14:textId="77777777" w:rsidR="0014208F" w:rsidRPr="00154F1D" w:rsidRDefault="0014208F" w:rsidP="00747EB8">
            <w:pPr>
              <w:spacing w:beforeLines="20" w:before="48" w:afterLines="20" w:after="48"/>
              <w:rPr>
                <w:sz w:val="20"/>
                <w:szCs w:val="20"/>
              </w:rPr>
            </w:pPr>
            <w:r w:rsidRPr="00154F1D">
              <w:rPr>
                <w:sz w:val="20"/>
                <w:szCs w:val="20"/>
              </w:rPr>
              <w:t>Australian Capital Territory</w:t>
            </w:r>
          </w:p>
        </w:tc>
        <w:tc>
          <w:tcPr>
            <w:tcW w:w="2735" w:type="dxa"/>
          </w:tcPr>
          <w:p w14:paraId="5B548275" w14:textId="3327D525" w:rsidR="0014208F" w:rsidRPr="00154F1D" w:rsidRDefault="0014208F" w:rsidP="00747EB8">
            <w:pPr>
              <w:spacing w:beforeLines="20" w:before="48" w:afterLines="20" w:after="48"/>
              <w:rPr>
                <w:sz w:val="20"/>
                <w:szCs w:val="20"/>
              </w:rPr>
            </w:pPr>
            <w:r w:rsidRPr="00154F1D">
              <w:rPr>
                <w:sz w:val="20"/>
                <w:szCs w:val="20"/>
              </w:rPr>
              <w:t>Jury unless the accused makes an election to have judge alone</w:t>
            </w:r>
          </w:p>
        </w:tc>
        <w:tc>
          <w:tcPr>
            <w:tcW w:w="3066" w:type="dxa"/>
          </w:tcPr>
          <w:p w14:paraId="541DA69B" w14:textId="10735245" w:rsidR="0014208F" w:rsidRPr="00154F1D" w:rsidRDefault="0014208F" w:rsidP="00747EB8">
            <w:pPr>
              <w:spacing w:beforeLines="20" w:before="48" w:afterLines="20" w:after="48"/>
              <w:rPr>
                <w:sz w:val="20"/>
                <w:szCs w:val="20"/>
              </w:rPr>
            </w:pPr>
            <w:r w:rsidRPr="00154F1D">
              <w:rPr>
                <w:sz w:val="20"/>
                <w:szCs w:val="20"/>
              </w:rPr>
              <w:t>Physical elements of the offence</w:t>
            </w:r>
          </w:p>
          <w:p w14:paraId="1ED7F0FE" w14:textId="310BD674" w:rsidR="0014208F" w:rsidRPr="00154F1D" w:rsidRDefault="0014208F" w:rsidP="00747EB8">
            <w:pPr>
              <w:spacing w:beforeLines="20" w:before="48" w:afterLines="20" w:after="48"/>
              <w:rPr>
                <w:sz w:val="20"/>
                <w:szCs w:val="20"/>
              </w:rPr>
            </w:pPr>
            <w:r w:rsidRPr="00154F1D">
              <w:rPr>
                <w:sz w:val="20"/>
                <w:szCs w:val="20"/>
              </w:rPr>
              <w:t>Conducted as nearly as possible as if it were an ordinary criminal proceeding.</w:t>
            </w:r>
          </w:p>
        </w:tc>
        <w:tc>
          <w:tcPr>
            <w:tcW w:w="3128" w:type="dxa"/>
          </w:tcPr>
          <w:p w14:paraId="5D44F519" w14:textId="77777777" w:rsidR="0014208F" w:rsidRPr="00154F1D" w:rsidRDefault="0014208F" w:rsidP="00747EB8">
            <w:pPr>
              <w:pStyle w:val="ListParagraph"/>
              <w:numPr>
                <w:ilvl w:val="0"/>
                <w:numId w:val="42"/>
              </w:numPr>
              <w:spacing w:beforeLines="20" w:before="48" w:afterLines="20" w:after="48"/>
              <w:ind w:left="252" w:hanging="252"/>
              <w:contextualSpacing w:val="0"/>
              <w:jc w:val="left"/>
              <w:rPr>
                <w:sz w:val="20"/>
                <w:szCs w:val="20"/>
              </w:rPr>
            </w:pPr>
            <w:r w:rsidRPr="00154F1D">
              <w:rPr>
                <w:sz w:val="20"/>
                <w:szCs w:val="20"/>
              </w:rPr>
              <w:t>Not guilty</w:t>
            </w:r>
          </w:p>
          <w:p w14:paraId="397B9C18" w14:textId="43E29F1B" w:rsidR="0014208F" w:rsidRPr="00154F1D" w:rsidRDefault="0014208F" w:rsidP="00747EB8">
            <w:pPr>
              <w:pStyle w:val="ListParagraph"/>
              <w:numPr>
                <w:ilvl w:val="0"/>
                <w:numId w:val="42"/>
              </w:numPr>
              <w:spacing w:beforeLines="20" w:before="48" w:afterLines="20" w:after="48"/>
              <w:ind w:left="252" w:hanging="252"/>
              <w:contextualSpacing w:val="0"/>
              <w:jc w:val="left"/>
              <w:rPr>
                <w:sz w:val="20"/>
                <w:szCs w:val="20"/>
              </w:rPr>
            </w:pPr>
            <w:r w:rsidRPr="00154F1D">
              <w:rPr>
                <w:sz w:val="20"/>
                <w:szCs w:val="20"/>
              </w:rPr>
              <w:t>Satisfied beyond reasonable doubt that the accused engaged in the conduct required for the offence</w:t>
            </w:r>
          </w:p>
        </w:tc>
        <w:tc>
          <w:tcPr>
            <w:tcW w:w="2189" w:type="dxa"/>
          </w:tcPr>
          <w:p w14:paraId="562020A8" w14:textId="2EA54FDC" w:rsidR="0014208F" w:rsidRPr="00154F1D" w:rsidRDefault="0014208F" w:rsidP="00747EB8">
            <w:pPr>
              <w:spacing w:beforeLines="20" w:before="48" w:afterLines="20" w:after="48"/>
              <w:rPr>
                <w:sz w:val="20"/>
                <w:szCs w:val="20"/>
              </w:rPr>
            </w:pPr>
            <w:r w:rsidRPr="00154F1D">
              <w:rPr>
                <w:i/>
                <w:sz w:val="20"/>
                <w:szCs w:val="20"/>
              </w:rPr>
              <w:t xml:space="preserve">Crimes Act 1990 </w:t>
            </w:r>
            <w:r w:rsidRPr="00154F1D">
              <w:rPr>
                <w:sz w:val="20"/>
                <w:szCs w:val="20"/>
              </w:rPr>
              <w:t xml:space="preserve">(ACT) </w:t>
            </w:r>
            <w:r w:rsidR="00747EB8" w:rsidRPr="00154F1D">
              <w:rPr>
                <w:sz w:val="20"/>
                <w:szCs w:val="20"/>
              </w:rPr>
              <w:t>s</w:t>
            </w:r>
            <w:r w:rsidRPr="00154F1D">
              <w:rPr>
                <w:sz w:val="20"/>
                <w:szCs w:val="20"/>
              </w:rPr>
              <w:t>s 317, 335(2)(b)</w:t>
            </w:r>
          </w:p>
        </w:tc>
      </w:tr>
      <w:tr w:rsidR="0014208F" w:rsidRPr="00154F1D" w14:paraId="1586A941" w14:textId="77777777" w:rsidTr="008B09A5">
        <w:tc>
          <w:tcPr>
            <w:tcW w:w="2832" w:type="dxa"/>
          </w:tcPr>
          <w:p w14:paraId="5300B317" w14:textId="77777777" w:rsidR="0014208F" w:rsidRPr="00154F1D" w:rsidRDefault="0014208F" w:rsidP="00747EB8">
            <w:pPr>
              <w:spacing w:beforeLines="20" w:before="48" w:afterLines="20" w:after="48"/>
              <w:rPr>
                <w:sz w:val="20"/>
                <w:szCs w:val="20"/>
              </w:rPr>
            </w:pPr>
            <w:r w:rsidRPr="00154F1D">
              <w:rPr>
                <w:sz w:val="20"/>
                <w:szCs w:val="20"/>
              </w:rPr>
              <w:t>Northern Territory</w:t>
            </w:r>
          </w:p>
        </w:tc>
        <w:tc>
          <w:tcPr>
            <w:tcW w:w="2735" w:type="dxa"/>
          </w:tcPr>
          <w:p w14:paraId="5CE35212" w14:textId="1A28A923" w:rsidR="0014208F" w:rsidRPr="00154F1D" w:rsidRDefault="0014208F" w:rsidP="00747EB8">
            <w:pPr>
              <w:spacing w:beforeLines="20" w:before="48" w:afterLines="20" w:after="48"/>
              <w:rPr>
                <w:sz w:val="20"/>
                <w:szCs w:val="20"/>
              </w:rPr>
            </w:pPr>
            <w:r w:rsidRPr="00154F1D">
              <w:rPr>
                <w:sz w:val="20"/>
                <w:szCs w:val="20"/>
              </w:rPr>
              <w:t>Jury</w:t>
            </w:r>
            <w:r w:rsidR="00EA2361" w:rsidRPr="00154F1D">
              <w:rPr>
                <w:sz w:val="20"/>
                <w:szCs w:val="20"/>
              </w:rPr>
              <w:t xml:space="preserve"> unless parties to the prosecution agree that the evid</w:t>
            </w:r>
            <w:r w:rsidR="00773F5C" w:rsidRPr="00154F1D">
              <w:rPr>
                <w:sz w:val="20"/>
                <w:szCs w:val="20"/>
              </w:rPr>
              <w:t>e</w:t>
            </w:r>
            <w:r w:rsidR="00EA2361" w:rsidRPr="00154F1D">
              <w:rPr>
                <w:sz w:val="20"/>
                <w:szCs w:val="20"/>
              </w:rPr>
              <w:t xml:space="preserve">nce established the defence of mental </w:t>
            </w:r>
            <w:r w:rsidR="00773F5C" w:rsidRPr="00154F1D">
              <w:rPr>
                <w:sz w:val="20"/>
                <w:szCs w:val="20"/>
              </w:rPr>
              <w:t>impairment</w:t>
            </w:r>
            <w:r w:rsidR="00EA2361" w:rsidRPr="00154F1D">
              <w:rPr>
                <w:sz w:val="20"/>
                <w:szCs w:val="20"/>
              </w:rPr>
              <w:t>, the court may accep</w:t>
            </w:r>
            <w:r w:rsidR="00773F5C" w:rsidRPr="00154F1D">
              <w:rPr>
                <w:sz w:val="20"/>
                <w:szCs w:val="20"/>
              </w:rPr>
              <w:t>t</w:t>
            </w:r>
            <w:r w:rsidR="00EA2361" w:rsidRPr="00154F1D">
              <w:rPr>
                <w:sz w:val="20"/>
                <w:szCs w:val="20"/>
              </w:rPr>
              <w:t xml:space="preserve"> plea</w:t>
            </w:r>
          </w:p>
        </w:tc>
        <w:tc>
          <w:tcPr>
            <w:tcW w:w="3066" w:type="dxa"/>
          </w:tcPr>
          <w:p w14:paraId="17D058C7" w14:textId="77777777" w:rsidR="0014208F" w:rsidRPr="00154F1D" w:rsidRDefault="0014208F" w:rsidP="00747EB8">
            <w:pPr>
              <w:spacing w:beforeLines="20" w:before="48" w:afterLines="20" w:after="48"/>
              <w:rPr>
                <w:sz w:val="20"/>
                <w:szCs w:val="20"/>
              </w:rPr>
            </w:pPr>
            <w:r w:rsidRPr="00154F1D">
              <w:rPr>
                <w:sz w:val="20"/>
                <w:szCs w:val="20"/>
              </w:rPr>
              <w:t>Conducted as nearly as possible as if it were an ordinary criminal proceeding including:</w:t>
            </w:r>
          </w:p>
          <w:p w14:paraId="2EEA94C6" w14:textId="19E1CE1E" w:rsidR="0014208F" w:rsidRPr="00154F1D" w:rsidRDefault="0014208F" w:rsidP="00747EB8">
            <w:pPr>
              <w:pStyle w:val="ListParagraph"/>
              <w:numPr>
                <w:ilvl w:val="0"/>
                <w:numId w:val="42"/>
              </w:numPr>
              <w:spacing w:beforeLines="20" w:before="48" w:afterLines="20" w:after="48"/>
              <w:contextualSpacing w:val="0"/>
              <w:jc w:val="left"/>
              <w:rPr>
                <w:sz w:val="20"/>
                <w:szCs w:val="20"/>
              </w:rPr>
            </w:pPr>
            <w:r w:rsidRPr="00154F1D">
              <w:rPr>
                <w:sz w:val="20"/>
                <w:szCs w:val="20"/>
              </w:rPr>
              <w:t>Proof beyond reasonable doubt</w:t>
            </w:r>
          </w:p>
          <w:p w14:paraId="785A3888" w14:textId="77777777" w:rsidR="0014208F" w:rsidRPr="00154F1D" w:rsidRDefault="0014208F" w:rsidP="00747EB8">
            <w:pPr>
              <w:pStyle w:val="ListParagraph"/>
              <w:numPr>
                <w:ilvl w:val="0"/>
                <w:numId w:val="42"/>
              </w:numPr>
              <w:spacing w:beforeLines="20" w:before="48" w:afterLines="20" w:after="48"/>
              <w:contextualSpacing w:val="0"/>
              <w:jc w:val="left"/>
              <w:rPr>
                <w:sz w:val="20"/>
                <w:szCs w:val="20"/>
              </w:rPr>
            </w:pPr>
            <w:r w:rsidRPr="00154F1D">
              <w:rPr>
                <w:sz w:val="20"/>
                <w:szCs w:val="20"/>
              </w:rPr>
              <w:t>Rules of evidence apply</w:t>
            </w:r>
          </w:p>
          <w:p w14:paraId="3837B9FC" w14:textId="77777777" w:rsidR="0014208F" w:rsidRPr="00154F1D" w:rsidRDefault="0014208F" w:rsidP="00747EB8">
            <w:pPr>
              <w:pStyle w:val="ListParagraph"/>
              <w:numPr>
                <w:ilvl w:val="0"/>
                <w:numId w:val="42"/>
              </w:numPr>
              <w:spacing w:beforeLines="20" w:before="48" w:afterLines="20" w:after="48"/>
              <w:contextualSpacing w:val="0"/>
              <w:jc w:val="left"/>
              <w:rPr>
                <w:sz w:val="20"/>
                <w:szCs w:val="20"/>
              </w:rPr>
            </w:pPr>
            <w:r w:rsidRPr="00154F1D">
              <w:rPr>
                <w:sz w:val="20"/>
                <w:szCs w:val="20"/>
              </w:rPr>
              <w:t>May give evidence</w:t>
            </w:r>
          </w:p>
          <w:p w14:paraId="4CE6C6B2" w14:textId="322FB408" w:rsidR="0014208F" w:rsidRPr="00154F1D" w:rsidRDefault="0014208F" w:rsidP="00747EB8">
            <w:pPr>
              <w:pStyle w:val="ListParagraph"/>
              <w:numPr>
                <w:ilvl w:val="0"/>
                <w:numId w:val="42"/>
              </w:numPr>
              <w:spacing w:beforeLines="20" w:before="48" w:afterLines="20" w:after="48"/>
              <w:contextualSpacing w:val="0"/>
              <w:jc w:val="left"/>
              <w:rPr>
                <w:sz w:val="20"/>
                <w:szCs w:val="20"/>
              </w:rPr>
            </w:pPr>
            <w:r w:rsidRPr="00154F1D">
              <w:rPr>
                <w:sz w:val="20"/>
                <w:szCs w:val="20"/>
              </w:rPr>
              <w:t>Raise any defence that could raise at trial</w:t>
            </w:r>
          </w:p>
        </w:tc>
        <w:tc>
          <w:tcPr>
            <w:tcW w:w="3128" w:type="dxa"/>
          </w:tcPr>
          <w:p w14:paraId="4C6185D0" w14:textId="77777777" w:rsidR="0014208F" w:rsidRPr="00154F1D" w:rsidRDefault="0014208F" w:rsidP="00747EB8">
            <w:pPr>
              <w:pStyle w:val="ListParagraph"/>
              <w:numPr>
                <w:ilvl w:val="0"/>
                <w:numId w:val="42"/>
              </w:numPr>
              <w:spacing w:beforeLines="20" w:before="48" w:afterLines="20" w:after="48"/>
              <w:ind w:left="252" w:hanging="252"/>
              <w:contextualSpacing w:val="0"/>
              <w:jc w:val="left"/>
              <w:rPr>
                <w:sz w:val="20"/>
                <w:szCs w:val="20"/>
              </w:rPr>
            </w:pPr>
            <w:r w:rsidRPr="00154F1D">
              <w:rPr>
                <w:sz w:val="20"/>
                <w:szCs w:val="20"/>
              </w:rPr>
              <w:t>Not guilty</w:t>
            </w:r>
          </w:p>
          <w:p w14:paraId="54574CA9" w14:textId="77777777" w:rsidR="0014208F" w:rsidRPr="00154F1D" w:rsidRDefault="0014208F" w:rsidP="00747EB8">
            <w:pPr>
              <w:pStyle w:val="ListParagraph"/>
              <w:numPr>
                <w:ilvl w:val="0"/>
                <w:numId w:val="42"/>
              </w:numPr>
              <w:spacing w:beforeLines="20" w:before="48" w:afterLines="20" w:after="48"/>
              <w:ind w:left="252" w:hanging="252"/>
              <w:contextualSpacing w:val="0"/>
              <w:jc w:val="left"/>
              <w:rPr>
                <w:sz w:val="20"/>
                <w:szCs w:val="20"/>
              </w:rPr>
            </w:pPr>
            <w:r w:rsidRPr="00154F1D">
              <w:rPr>
                <w:sz w:val="20"/>
                <w:szCs w:val="20"/>
              </w:rPr>
              <w:t>Not guilty because of mental impairment</w:t>
            </w:r>
          </w:p>
          <w:p w14:paraId="3424CFE7" w14:textId="77777777" w:rsidR="0014208F" w:rsidRPr="00154F1D" w:rsidRDefault="0014208F" w:rsidP="00747EB8">
            <w:pPr>
              <w:pStyle w:val="ListParagraph"/>
              <w:numPr>
                <w:ilvl w:val="0"/>
                <w:numId w:val="42"/>
              </w:numPr>
              <w:spacing w:beforeLines="20" w:before="48" w:afterLines="20" w:after="48"/>
              <w:ind w:left="252" w:hanging="252"/>
              <w:contextualSpacing w:val="0"/>
              <w:jc w:val="left"/>
              <w:rPr>
                <w:sz w:val="20"/>
                <w:szCs w:val="20"/>
              </w:rPr>
            </w:pPr>
            <w:r w:rsidRPr="00154F1D">
              <w:rPr>
                <w:sz w:val="20"/>
                <w:szCs w:val="20"/>
              </w:rPr>
              <w:t>Committed the offence (qualified finding of guilt)</w:t>
            </w:r>
          </w:p>
        </w:tc>
        <w:tc>
          <w:tcPr>
            <w:tcW w:w="2189" w:type="dxa"/>
          </w:tcPr>
          <w:p w14:paraId="0348A8F6" w14:textId="24ED5C23" w:rsidR="0014208F" w:rsidRPr="00154F1D" w:rsidRDefault="0014208F" w:rsidP="00747EB8">
            <w:pPr>
              <w:spacing w:beforeLines="20" w:before="48" w:afterLines="20" w:after="48"/>
              <w:rPr>
                <w:sz w:val="20"/>
                <w:szCs w:val="20"/>
              </w:rPr>
            </w:pPr>
            <w:r w:rsidRPr="00154F1D">
              <w:rPr>
                <w:i/>
                <w:sz w:val="20"/>
                <w:szCs w:val="20"/>
              </w:rPr>
              <w:t xml:space="preserve">Criminal Code </w:t>
            </w:r>
            <w:r w:rsidRPr="00154F1D">
              <w:rPr>
                <w:sz w:val="20"/>
                <w:szCs w:val="20"/>
              </w:rPr>
              <w:t>(NT) s</w:t>
            </w:r>
            <w:r w:rsidR="00747EB8" w:rsidRPr="00154F1D">
              <w:rPr>
                <w:sz w:val="20"/>
                <w:szCs w:val="20"/>
              </w:rPr>
              <w:t>s</w:t>
            </w:r>
            <w:r w:rsidRPr="00154F1D">
              <w:rPr>
                <w:sz w:val="20"/>
                <w:szCs w:val="20"/>
              </w:rPr>
              <w:t xml:space="preserve"> 43V, 43X</w:t>
            </w:r>
            <w:r w:rsidR="00773F5C" w:rsidRPr="00154F1D">
              <w:rPr>
                <w:sz w:val="20"/>
                <w:szCs w:val="20"/>
              </w:rPr>
              <w:t>, 43XA</w:t>
            </w:r>
            <w:r w:rsidR="00773F5C" w:rsidRPr="00154F1D">
              <w:rPr>
                <w:rStyle w:val="FootnoteReference"/>
                <w:szCs w:val="20"/>
              </w:rPr>
              <w:footnoteReference w:id="983"/>
            </w:r>
          </w:p>
        </w:tc>
      </w:tr>
      <w:tr w:rsidR="0014208F" w:rsidRPr="00154F1D" w14:paraId="57FF6491" w14:textId="77777777" w:rsidTr="008B09A5">
        <w:tc>
          <w:tcPr>
            <w:tcW w:w="2832" w:type="dxa"/>
          </w:tcPr>
          <w:p w14:paraId="6A17EBD1" w14:textId="77777777" w:rsidR="0014208F" w:rsidRPr="00154F1D" w:rsidRDefault="0014208F" w:rsidP="00747EB8">
            <w:pPr>
              <w:spacing w:beforeLines="20" w:before="48" w:afterLines="20" w:after="48"/>
              <w:rPr>
                <w:sz w:val="20"/>
                <w:szCs w:val="20"/>
              </w:rPr>
            </w:pPr>
            <w:r w:rsidRPr="00154F1D">
              <w:rPr>
                <w:sz w:val="20"/>
                <w:szCs w:val="20"/>
              </w:rPr>
              <w:t>Victoria</w:t>
            </w:r>
          </w:p>
        </w:tc>
        <w:tc>
          <w:tcPr>
            <w:tcW w:w="2735" w:type="dxa"/>
          </w:tcPr>
          <w:p w14:paraId="32BEB387" w14:textId="37712F15" w:rsidR="0014208F" w:rsidRPr="00154F1D" w:rsidRDefault="0014208F" w:rsidP="00747EB8">
            <w:pPr>
              <w:spacing w:beforeLines="20" w:before="48" w:afterLines="20" w:after="48"/>
              <w:rPr>
                <w:sz w:val="20"/>
                <w:szCs w:val="20"/>
              </w:rPr>
            </w:pPr>
            <w:r w:rsidRPr="00154F1D">
              <w:rPr>
                <w:sz w:val="20"/>
                <w:szCs w:val="20"/>
              </w:rPr>
              <w:t>Jury</w:t>
            </w:r>
          </w:p>
        </w:tc>
        <w:tc>
          <w:tcPr>
            <w:tcW w:w="3066" w:type="dxa"/>
          </w:tcPr>
          <w:p w14:paraId="58FA0C85" w14:textId="77777777" w:rsidR="0014208F" w:rsidRPr="00154F1D" w:rsidRDefault="0014208F" w:rsidP="00747EB8">
            <w:pPr>
              <w:spacing w:beforeLines="20" w:before="48" w:afterLines="20" w:after="48"/>
              <w:rPr>
                <w:sz w:val="20"/>
                <w:szCs w:val="20"/>
              </w:rPr>
            </w:pPr>
            <w:r w:rsidRPr="00154F1D">
              <w:rPr>
                <w:sz w:val="20"/>
                <w:szCs w:val="20"/>
              </w:rPr>
              <w:t>Conducted as nearly as possible as if it were an ordinary criminal proceeding:</w:t>
            </w:r>
          </w:p>
          <w:p w14:paraId="0BBF394A" w14:textId="44B2388F" w:rsidR="0014208F" w:rsidRPr="00154F1D" w:rsidRDefault="0014208F" w:rsidP="00747EB8">
            <w:pPr>
              <w:pStyle w:val="ListParagraph"/>
              <w:numPr>
                <w:ilvl w:val="0"/>
                <w:numId w:val="42"/>
              </w:numPr>
              <w:spacing w:beforeLines="20" w:before="48" w:afterLines="20" w:after="48"/>
              <w:contextualSpacing w:val="0"/>
              <w:jc w:val="left"/>
              <w:rPr>
                <w:sz w:val="20"/>
                <w:szCs w:val="20"/>
              </w:rPr>
            </w:pPr>
            <w:r w:rsidRPr="00154F1D">
              <w:rPr>
                <w:sz w:val="20"/>
                <w:szCs w:val="20"/>
              </w:rPr>
              <w:t>Proof beyond reasonable doubt</w:t>
            </w:r>
          </w:p>
          <w:p w14:paraId="42057FBC" w14:textId="77777777" w:rsidR="0014208F" w:rsidRPr="00154F1D" w:rsidRDefault="0014208F" w:rsidP="00747EB8">
            <w:pPr>
              <w:pStyle w:val="ListParagraph"/>
              <w:numPr>
                <w:ilvl w:val="0"/>
                <w:numId w:val="42"/>
              </w:numPr>
              <w:spacing w:beforeLines="20" w:before="48" w:afterLines="20" w:after="48"/>
              <w:contextualSpacing w:val="0"/>
              <w:jc w:val="left"/>
              <w:rPr>
                <w:sz w:val="20"/>
                <w:szCs w:val="20"/>
              </w:rPr>
            </w:pPr>
            <w:r w:rsidRPr="00154F1D">
              <w:rPr>
                <w:sz w:val="20"/>
                <w:szCs w:val="20"/>
              </w:rPr>
              <w:t>Rules of evidence apply</w:t>
            </w:r>
          </w:p>
          <w:p w14:paraId="68021D72" w14:textId="77777777" w:rsidR="0014208F" w:rsidRPr="00154F1D" w:rsidRDefault="0014208F" w:rsidP="00747EB8">
            <w:pPr>
              <w:pStyle w:val="ListParagraph"/>
              <w:numPr>
                <w:ilvl w:val="0"/>
                <w:numId w:val="42"/>
              </w:numPr>
              <w:spacing w:beforeLines="20" w:before="48" w:afterLines="20" w:after="48"/>
              <w:contextualSpacing w:val="0"/>
              <w:jc w:val="left"/>
              <w:rPr>
                <w:sz w:val="20"/>
                <w:szCs w:val="20"/>
              </w:rPr>
            </w:pPr>
            <w:r w:rsidRPr="00154F1D">
              <w:rPr>
                <w:sz w:val="20"/>
                <w:szCs w:val="20"/>
              </w:rPr>
              <w:t>May give evidence</w:t>
            </w:r>
          </w:p>
          <w:p w14:paraId="34308990" w14:textId="40F47BF0" w:rsidR="0014208F" w:rsidRPr="00154F1D" w:rsidRDefault="0014208F" w:rsidP="00747EB8">
            <w:pPr>
              <w:spacing w:beforeLines="20" w:before="48" w:afterLines="20" w:after="48"/>
              <w:rPr>
                <w:sz w:val="20"/>
                <w:szCs w:val="20"/>
              </w:rPr>
            </w:pPr>
            <w:r w:rsidRPr="00154F1D">
              <w:rPr>
                <w:sz w:val="20"/>
                <w:szCs w:val="20"/>
              </w:rPr>
              <w:t>Raise any defence that could raise at trial</w:t>
            </w:r>
          </w:p>
        </w:tc>
        <w:tc>
          <w:tcPr>
            <w:tcW w:w="3128" w:type="dxa"/>
          </w:tcPr>
          <w:p w14:paraId="451A2969" w14:textId="77777777" w:rsidR="0014208F" w:rsidRPr="00154F1D" w:rsidRDefault="0014208F" w:rsidP="00747EB8">
            <w:pPr>
              <w:pStyle w:val="ListParagraph"/>
              <w:numPr>
                <w:ilvl w:val="0"/>
                <w:numId w:val="42"/>
              </w:numPr>
              <w:spacing w:beforeLines="20" w:before="48" w:afterLines="20" w:after="48"/>
              <w:ind w:left="252" w:hanging="252"/>
              <w:contextualSpacing w:val="0"/>
              <w:jc w:val="left"/>
              <w:rPr>
                <w:sz w:val="20"/>
                <w:szCs w:val="20"/>
              </w:rPr>
            </w:pPr>
            <w:r w:rsidRPr="00154F1D">
              <w:rPr>
                <w:sz w:val="20"/>
                <w:szCs w:val="20"/>
              </w:rPr>
              <w:t>Not guilty</w:t>
            </w:r>
          </w:p>
          <w:p w14:paraId="6CCC22B2" w14:textId="77777777" w:rsidR="00773F5C" w:rsidRPr="00154F1D" w:rsidRDefault="0014208F" w:rsidP="00747EB8">
            <w:pPr>
              <w:pStyle w:val="ListParagraph"/>
              <w:numPr>
                <w:ilvl w:val="0"/>
                <w:numId w:val="42"/>
              </w:numPr>
              <w:spacing w:beforeLines="20" w:before="48" w:afterLines="20" w:after="48"/>
              <w:ind w:left="252" w:hanging="252"/>
              <w:contextualSpacing w:val="0"/>
              <w:jc w:val="left"/>
              <w:rPr>
                <w:sz w:val="20"/>
                <w:szCs w:val="20"/>
              </w:rPr>
            </w:pPr>
            <w:r w:rsidRPr="00154F1D">
              <w:rPr>
                <w:sz w:val="20"/>
                <w:szCs w:val="20"/>
              </w:rPr>
              <w:t>Not guilty because of mental impairment</w:t>
            </w:r>
          </w:p>
          <w:p w14:paraId="5C81BBB5" w14:textId="2D7E994E" w:rsidR="0014208F" w:rsidRPr="00154F1D" w:rsidRDefault="0014208F" w:rsidP="00747EB8">
            <w:pPr>
              <w:pStyle w:val="ListParagraph"/>
              <w:numPr>
                <w:ilvl w:val="0"/>
                <w:numId w:val="42"/>
              </w:numPr>
              <w:spacing w:beforeLines="20" w:before="48" w:afterLines="20" w:after="48"/>
              <w:ind w:left="252" w:hanging="252"/>
              <w:contextualSpacing w:val="0"/>
              <w:jc w:val="left"/>
              <w:rPr>
                <w:sz w:val="20"/>
                <w:szCs w:val="20"/>
              </w:rPr>
            </w:pPr>
            <w:r w:rsidRPr="00154F1D">
              <w:rPr>
                <w:sz w:val="20"/>
                <w:szCs w:val="20"/>
              </w:rPr>
              <w:t>Committed the offence (qualified finding of guilt)</w:t>
            </w:r>
          </w:p>
        </w:tc>
        <w:tc>
          <w:tcPr>
            <w:tcW w:w="2189" w:type="dxa"/>
          </w:tcPr>
          <w:p w14:paraId="780AF900" w14:textId="7E437C20" w:rsidR="0014208F" w:rsidRPr="00154F1D" w:rsidRDefault="0014208F" w:rsidP="00747EB8">
            <w:pPr>
              <w:spacing w:beforeLines="20" w:before="48" w:afterLines="20" w:after="48"/>
              <w:rPr>
                <w:sz w:val="20"/>
                <w:szCs w:val="20"/>
              </w:rPr>
            </w:pPr>
            <w:r w:rsidRPr="00154F1D">
              <w:rPr>
                <w:i/>
                <w:sz w:val="20"/>
                <w:szCs w:val="20"/>
              </w:rPr>
              <w:t xml:space="preserve">Crimes (Mental Impairment and Unfitness to be Tried) Act 1997 </w:t>
            </w:r>
            <w:r w:rsidRPr="00154F1D">
              <w:rPr>
                <w:sz w:val="20"/>
                <w:szCs w:val="20"/>
              </w:rPr>
              <w:t>(</w:t>
            </w:r>
            <w:r w:rsidR="009E7B0B" w:rsidRPr="00154F1D">
              <w:rPr>
                <w:sz w:val="20"/>
                <w:szCs w:val="20"/>
              </w:rPr>
              <w:t>V</w:t>
            </w:r>
            <w:r w:rsidRPr="00154F1D">
              <w:rPr>
                <w:sz w:val="20"/>
                <w:szCs w:val="20"/>
              </w:rPr>
              <w:t>ic) s</w:t>
            </w:r>
            <w:r w:rsidR="00747EB8" w:rsidRPr="00154F1D">
              <w:rPr>
                <w:sz w:val="20"/>
                <w:szCs w:val="20"/>
              </w:rPr>
              <w:t>s</w:t>
            </w:r>
            <w:r w:rsidRPr="00154F1D">
              <w:rPr>
                <w:sz w:val="20"/>
                <w:szCs w:val="20"/>
              </w:rPr>
              <w:t xml:space="preserve"> 15, 16, 17</w:t>
            </w:r>
          </w:p>
        </w:tc>
      </w:tr>
      <w:tr w:rsidR="0014208F" w:rsidRPr="00154F1D" w14:paraId="062BBFF0" w14:textId="77777777" w:rsidTr="008B09A5">
        <w:tc>
          <w:tcPr>
            <w:tcW w:w="2832" w:type="dxa"/>
          </w:tcPr>
          <w:p w14:paraId="7BC1FA58" w14:textId="77777777" w:rsidR="0014208F" w:rsidRPr="00154F1D" w:rsidRDefault="0014208F" w:rsidP="00747EB8">
            <w:pPr>
              <w:spacing w:beforeLines="20" w:before="48" w:afterLines="20" w:after="48"/>
              <w:rPr>
                <w:sz w:val="20"/>
                <w:szCs w:val="20"/>
              </w:rPr>
            </w:pPr>
            <w:r w:rsidRPr="00154F1D">
              <w:rPr>
                <w:sz w:val="20"/>
                <w:szCs w:val="20"/>
              </w:rPr>
              <w:t>South Australia</w:t>
            </w:r>
          </w:p>
        </w:tc>
        <w:tc>
          <w:tcPr>
            <w:tcW w:w="2735" w:type="dxa"/>
          </w:tcPr>
          <w:p w14:paraId="5BAE02D8" w14:textId="77777777" w:rsidR="0014208F" w:rsidRPr="00154F1D" w:rsidRDefault="0014208F" w:rsidP="00747EB8">
            <w:pPr>
              <w:spacing w:beforeLines="20" w:before="48" w:afterLines="20" w:after="48"/>
              <w:rPr>
                <w:sz w:val="20"/>
                <w:szCs w:val="20"/>
              </w:rPr>
            </w:pPr>
            <w:r w:rsidRPr="00154F1D">
              <w:rPr>
                <w:sz w:val="20"/>
                <w:szCs w:val="20"/>
              </w:rPr>
              <w:t>Judge</w:t>
            </w:r>
          </w:p>
        </w:tc>
        <w:tc>
          <w:tcPr>
            <w:tcW w:w="3066" w:type="dxa"/>
          </w:tcPr>
          <w:p w14:paraId="3DB0027E" w14:textId="77777777" w:rsidR="0014208F" w:rsidRPr="00154F1D" w:rsidRDefault="0014208F" w:rsidP="00747EB8">
            <w:pPr>
              <w:spacing w:beforeLines="20" w:before="48" w:afterLines="20" w:after="48"/>
              <w:rPr>
                <w:sz w:val="20"/>
                <w:szCs w:val="20"/>
              </w:rPr>
            </w:pPr>
            <w:r w:rsidRPr="00154F1D">
              <w:rPr>
                <w:sz w:val="20"/>
                <w:szCs w:val="20"/>
              </w:rPr>
              <w:t>Trial of objective elements of the offence.</w:t>
            </w:r>
          </w:p>
          <w:p w14:paraId="245C7670" w14:textId="7405410A" w:rsidR="0014208F" w:rsidRPr="00154F1D" w:rsidRDefault="0014208F" w:rsidP="00747EB8">
            <w:pPr>
              <w:spacing w:beforeLines="20" w:before="48" w:afterLines="20" w:after="48"/>
              <w:rPr>
                <w:sz w:val="20"/>
                <w:szCs w:val="20"/>
              </w:rPr>
            </w:pPr>
            <w:r w:rsidRPr="00154F1D">
              <w:rPr>
                <w:sz w:val="20"/>
                <w:szCs w:val="20"/>
              </w:rPr>
              <w:t>Exclude from consideration any question of whether the defendant’s conduct is defensible</w:t>
            </w:r>
          </w:p>
        </w:tc>
        <w:tc>
          <w:tcPr>
            <w:tcW w:w="3128" w:type="dxa"/>
          </w:tcPr>
          <w:p w14:paraId="0A38784A" w14:textId="77777777" w:rsidR="0014208F" w:rsidRPr="00154F1D" w:rsidRDefault="0014208F" w:rsidP="00747EB8">
            <w:pPr>
              <w:pStyle w:val="ListParagraph"/>
              <w:numPr>
                <w:ilvl w:val="0"/>
                <w:numId w:val="42"/>
              </w:numPr>
              <w:spacing w:beforeLines="20" w:before="48" w:afterLines="20" w:after="48"/>
              <w:ind w:left="252" w:hanging="252"/>
              <w:contextualSpacing w:val="0"/>
              <w:jc w:val="left"/>
              <w:rPr>
                <w:sz w:val="20"/>
                <w:szCs w:val="20"/>
              </w:rPr>
            </w:pPr>
            <w:r w:rsidRPr="00154F1D">
              <w:rPr>
                <w:sz w:val="20"/>
                <w:szCs w:val="20"/>
              </w:rPr>
              <w:t>Not guilty</w:t>
            </w:r>
          </w:p>
          <w:p w14:paraId="336B5AF1" w14:textId="77777777" w:rsidR="0014208F" w:rsidRPr="00154F1D" w:rsidRDefault="0014208F" w:rsidP="00747EB8">
            <w:pPr>
              <w:pStyle w:val="ListParagraph"/>
              <w:numPr>
                <w:ilvl w:val="0"/>
                <w:numId w:val="42"/>
              </w:numPr>
              <w:spacing w:beforeLines="20" w:before="48" w:afterLines="20" w:after="48"/>
              <w:ind w:left="252" w:hanging="252"/>
              <w:contextualSpacing w:val="0"/>
              <w:jc w:val="left"/>
              <w:rPr>
                <w:sz w:val="20"/>
                <w:szCs w:val="20"/>
              </w:rPr>
            </w:pPr>
            <w:r w:rsidRPr="00154F1D">
              <w:rPr>
                <w:sz w:val="20"/>
                <w:szCs w:val="20"/>
              </w:rPr>
              <w:t>Objective elements are established</w:t>
            </w:r>
          </w:p>
        </w:tc>
        <w:tc>
          <w:tcPr>
            <w:tcW w:w="2189" w:type="dxa"/>
          </w:tcPr>
          <w:p w14:paraId="388CA1E6" w14:textId="15BDC78D" w:rsidR="0014208F" w:rsidRPr="00154F1D" w:rsidRDefault="0014208F" w:rsidP="00747EB8">
            <w:pPr>
              <w:spacing w:beforeLines="20" w:before="48" w:afterLines="20" w:after="48"/>
              <w:rPr>
                <w:sz w:val="20"/>
                <w:szCs w:val="20"/>
              </w:rPr>
            </w:pPr>
            <w:r w:rsidRPr="00154F1D">
              <w:rPr>
                <w:i/>
                <w:sz w:val="20"/>
                <w:szCs w:val="20"/>
              </w:rPr>
              <w:t xml:space="preserve">Criminal Law Consolidation Act 1935 </w:t>
            </w:r>
            <w:r w:rsidRPr="00154F1D">
              <w:rPr>
                <w:sz w:val="20"/>
                <w:szCs w:val="20"/>
              </w:rPr>
              <w:t>(SA) s</w:t>
            </w:r>
            <w:r w:rsidR="00747EB8" w:rsidRPr="00154F1D">
              <w:rPr>
                <w:sz w:val="20"/>
                <w:szCs w:val="20"/>
              </w:rPr>
              <w:t>s</w:t>
            </w:r>
            <w:r w:rsidRPr="00154F1D">
              <w:rPr>
                <w:sz w:val="20"/>
                <w:szCs w:val="20"/>
              </w:rPr>
              <w:t xml:space="preserve"> 269M, 269N</w:t>
            </w:r>
          </w:p>
        </w:tc>
      </w:tr>
      <w:tr w:rsidR="0014208F" w:rsidRPr="00154F1D" w14:paraId="49A0624C" w14:textId="77777777" w:rsidTr="008B09A5">
        <w:tc>
          <w:tcPr>
            <w:tcW w:w="2832" w:type="dxa"/>
          </w:tcPr>
          <w:p w14:paraId="576F0352" w14:textId="77777777" w:rsidR="0014208F" w:rsidRPr="00154F1D" w:rsidRDefault="0014208F" w:rsidP="00747EB8">
            <w:pPr>
              <w:spacing w:beforeLines="20" w:before="48" w:afterLines="20" w:after="48"/>
              <w:rPr>
                <w:sz w:val="20"/>
                <w:szCs w:val="20"/>
              </w:rPr>
            </w:pPr>
            <w:r w:rsidRPr="00154F1D">
              <w:rPr>
                <w:sz w:val="20"/>
                <w:szCs w:val="20"/>
              </w:rPr>
              <w:t>Queensland</w:t>
            </w:r>
          </w:p>
        </w:tc>
        <w:tc>
          <w:tcPr>
            <w:tcW w:w="2735" w:type="dxa"/>
          </w:tcPr>
          <w:p w14:paraId="58DF5647" w14:textId="089D1319" w:rsidR="0014208F" w:rsidRPr="00154F1D" w:rsidRDefault="0014208F" w:rsidP="00747EB8">
            <w:pPr>
              <w:spacing w:beforeLines="20" w:before="48" w:afterLines="20" w:after="48"/>
              <w:rPr>
                <w:sz w:val="20"/>
                <w:szCs w:val="20"/>
              </w:rPr>
            </w:pPr>
            <w:r w:rsidRPr="00154F1D">
              <w:rPr>
                <w:sz w:val="20"/>
                <w:szCs w:val="20"/>
              </w:rPr>
              <w:t>No special hearing</w:t>
            </w:r>
          </w:p>
        </w:tc>
        <w:tc>
          <w:tcPr>
            <w:tcW w:w="3066" w:type="dxa"/>
          </w:tcPr>
          <w:p w14:paraId="0AFDB471" w14:textId="77777777" w:rsidR="0014208F" w:rsidRPr="00154F1D" w:rsidRDefault="0014208F" w:rsidP="00747EB8">
            <w:pPr>
              <w:spacing w:beforeLines="20" w:before="48" w:afterLines="20" w:after="48"/>
              <w:rPr>
                <w:sz w:val="20"/>
                <w:szCs w:val="20"/>
              </w:rPr>
            </w:pPr>
          </w:p>
        </w:tc>
        <w:tc>
          <w:tcPr>
            <w:tcW w:w="3128" w:type="dxa"/>
          </w:tcPr>
          <w:p w14:paraId="420013F0" w14:textId="77777777" w:rsidR="0014208F" w:rsidRPr="00154F1D" w:rsidRDefault="0014208F" w:rsidP="00747EB8">
            <w:pPr>
              <w:spacing w:beforeLines="20" w:before="48" w:afterLines="20" w:after="48"/>
              <w:ind w:left="252" w:hanging="252"/>
              <w:rPr>
                <w:sz w:val="20"/>
                <w:szCs w:val="20"/>
              </w:rPr>
            </w:pPr>
          </w:p>
        </w:tc>
        <w:tc>
          <w:tcPr>
            <w:tcW w:w="2189" w:type="dxa"/>
          </w:tcPr>
          <w:p w14:paraId="1809C391" w14:textId="0CF2604E" w:rsidR="0014208F" w:rsidRPr="00154F1D" w:rsidRDefault="0014208F" w:rsidP="00747EB8">
            <w:pPr>
              <w:spacing w:beforeLines="20" w:before="48" w:afterLines="20" w:after="48"/>
              <w:rPr>
                <w:sz w:val="20"/>
                <w:szCs w:val="20"/>
              </w:rPr>
            </w:pPr>
            <w:r w:rsidRPr="00154F1D">
              <w:rPr>
                <w:i/>
                <w:sz w:val="20"/>
                <w:szCs w:val="20"/>
              </w:rPr>
              <w:t xml:space="preserve">Criminal Code </w:t>
            </w:r>
            <w:r w:rsidRPr="00154F1D">
              <w:rPr>
                <w:sz w:val="20"/>
                <w:szCs w:val="20"/>
              </w:rPr>
              <w:t xml:space="preserve">(Qld) s 613; </w:t>
            </w:r>
            <w:r w:rsidRPr="00154F1D">
              <w:rPr>
                <w:i/>
                <w:sz w:val="20"/>
                <w:szCs w:val="20"/>
              </w:rPr>
              <w:t xml:space="preserve">Mental Health Act 2016 </w:t>
            </w:r>
            <w:r w:rsidRPr="00154F1D">
              <w:rPr>
                <w:sz w:val="20"/>
                <w:szCs w:val="20"/>
              </w:rPr>
              <w:t>(Qld) s 118</w:t>
            </w:r>
          </w:p>
        </w:tc>
      </w:tr>
      <w:tr w:rsidR="0014208F" w:rsidRPr="00154F1D" w14:paraId="1C747524" w14:textId="77777777" w:rsidTr="008B09A5">
        <w:tc>
          <w:tcPr>
            <w:tcW w:w="2832" w:type="dxa"/>
          </w:tcPr>
          <w:p w14:paraId="28E7E889" w14:textId="77777777" w:rsidR="0014208F" w:rsidRPr="00154F1D" w:rsidRDefault="0014208F" w:rsidP="00747EB8">
            <w:pPr>
              <w:spacing w:beforeLines="20" w:before="48" w:afterLines="20" w:after="48"/>
              <w:rPr>
                <w:sz w:val="20"/>
                <w:szCs w:val="20"/>
              </w:rPr>
            </w:pPr>
            <w:r w:rsidRPr="00154F1D">
              <w:rPr>
                <w:sz w:val="20"/>
                <w:szCs w:val="20"/>
              </w:rPr>
              <w:t>Western Australia</w:t>
            </w:r>
          </w:p>
        </w:tc>
        <w:tc>
          <w:tcPr>
            <w:tcW w:w="2735" w:type="dxa"/>
          </w:tcPr>
          <w:p w14:paraId="63D08AF6" w14:textId="496548FB" w:rsidR="0014208F" w:rsidRPr="00154F1D" w:rsidRDefault="0014208F" w:rsidP="00747EB8">
            <w:pPr>
              <w:spacing w:beforeLines="20" w:before="48" w:afterLines="20" w:after="48"/>
              <w:rPr>
                <w:sz w:val="20"/>
                <w:szCs w:val="20"/>
              </w:rPr>
            </w:pPr>
            <w:r w:rsidRPr="00154F1D">
              <w:rPr>
                <w:sz w:val="20"/>
                <w:szCs w:val="20"/>
              </w:rPr>
              <w:t>No special hearing but judge takes into account evidence against the accused in determining the appropriate disposition</w:t>
            </w:r>
          </w:p>
        </w:tc>
        <w:tc>
          <w:tcPr>
            <w:tcW w:w="3066" w:type="dxa"/>
          </w:tcPr>
          <w:p w14:paraId="526FEC3D" w14:textId="77777777" w:rsidR="0014208F" w:rsidRPr="00154F1D" w:rsidRDefault="0014208F" w:rsidP="00747EB8">
            <w:pPr>
              <w:spacing w:beforeLines="20" w:before="48" w:afterLines="20" w:after="48"/>
              <w:rPr>
                <w:sz w:val="20"/>
                <w:szCs w:val="20"/>
              </w:rPr>
            </w:pPr>
          </w:p>
        </w:tc>
        <w:tc>
          <w:tcPr>
            <w:tcW w:w="3128" w:type="dxa"/>
          </w:tcPr>
          <w:p w14:paraId="2AC6B714" w14:textId="77777777" w:rsidR="0014208F" w:rsidRPr="00154F1D" w:rsidRDefault="0014208F" w:rsidP="00747EB8">
            <w:pPr>
              <w:spacing w:beforeLines="20" w:before="48" w:afterLines="20" w:after="48"/>
              <w:ind w:left="252" w:hanging="252"/>
              <w:rPr>
                <w:sz w:val="20"/>
                <w:szCs w:val="20"/>
              </w:rPr>
            </w:pPr>
          </w:p>
        </w:tc>
        <w:tc>
          <w:tcPr>
            <w:tcW w:w="2189" w:type="dxa"/>
          </w:tcPr>
          <w:p w14:paraId="246A48B8" w14:textId="4DADAB4F" w:rsidR="0014208F" w:rsidRPr="00154F1D" w:rsidRDefault="0014208F" w:rsidP="00747EB8">
            <w:pPr>
              <w:spacing w:beforeLines="20" w:before="48" w:afterLines="20" w:after="48"/>
              <w:rPr>
                <w:sz w:val="20"/>
                <w:szCs w:val="20"/>
              </w:rPr>
            </w:pPr>
            <w:r w:rsidRPr="00154F1D">
              <w:rPr>
                <w:i/>
                <w:sz w:val="20"/>
                <w:szCs w:val="20"/>
              </w:rPr>
              <w:t xml:space="preserve">Criminal Law (Mentally Impaired Accused) Act 1996 </w:t>
            </w:r>
            <w:r w:rsidRPr="00154F1D">
              <w:rPr>
                <w:sz w:val="20"/>
                <w:szCs w:val="20"/>
              </w:rPr>
              <w:t>(WA) s</w:t>
            </w:r>
            <w:r w:rsidR="00747EB8" w:rsidRPr="00154F1D">
              <w:rPr>
                <w:sz w:val="20"/>
                <w:szCs w:val="20"/>
              </w:rPr>
              <w:t>s</w:t>
            </w:r>
            <w:r w:rsidRPr="00154F1D">
              <w:rPr>
                <w:sz w:val="20"/>
                <w:szCs w:val="20"/>
              </w:rPr>
              <w:t xml:space="preserve"> 16, 19</w:t>
            </w:r>
          </w:p>
        </w:tc>
      </w:tr>
      <w:tr w:rsidR="0014208F" w:rsidRPr="00154F1D" w14:paraId="30A371D9" w14:textId="77777777" w:rsidTr="008B09A5">
        <w:tc>
          <w:tcPr>
            <w:tcW w:w="2832" w:type="dxa"/>
          </w:tcPr>
          <w:p w14:paraId="3ABEA5B1" w14:textId="77777777" w:rsidR="0014208F" w:rsidRPr="00154F1D" w:rsidRDefault="0014208F" w:rsidP="00747EB8">
            <w:pPr>
              <w:spacing w:beforeLines="20" w:before="48" w:afterLines="20" w:after="48"/>
              <w:rPr>
                <w:sz w:val="20"/>
                <w:szCs w:val="20"/>
              </w:rPr>
            </w:pPr>
            <w:r w:rsidRPr="00154F1D">
              <w:rPr>
                <w:sz w:val="20"/>
                <w:szCs w:val="20"/>
              </w:rPr>
              <w:t>England and Wales</w:t>
            </w:r>
          </w:p>
        </w:tc>
        <w:tc>
          <w:tcPr>
            <w:tcW w:w="2735" w:type="dxa"/>
          </w:tcPr>
          <w:p w14:paraId="3EE7594F" w14:textId="77777777" w:rsidR="0014208F" w:rsidRPr="00154F1D" w:rsidRDefault="0014208F" w:rsidP="00747EB8">
            <w:pPr>
              <w:spacing w:beforeLines="20" w:before="48" w:afterLines="20" w:after="48"/>
              <w:rPr>
                <w:sz w:val="20"/>
                <w:szCs w:val="20"/>
              </w:rPr>
            </w:pPr>
            <w:r w:rsidRPr="00154F1D">
              <w:rPr>
                <w:sz w:val="20"/>
                <w:szCs w:val="20"/>
              </w:rPr>
              <w:t>Jury</w:t>
            </w:r>
          </w:p>
        </w:tc>
        <w:tc>
          <w:tcPr>
            <w:tcW w:w="3066" w:type="dxa"/>
          </w:tcPr>
          <w:p w14:paraId="3231EC39" w14:textId="1A91E5A5" w:rsidR="0014208F" w:rsidRPr="00154F1D" w:rsidRDefault="0014208F" w:rsidP="00747EB8">
            <w:pPr>
              <w:spacing w:beforeLines="20" w:before="48" w:afterLines="20" w:after="48"/>
              <w:rPr>
                <w:sz w:val="20"/>
                <w:szCs w:val="20"/>
              </w:rPr>
            </w:pPr>
            <w:r w:rsidRPr="00154F1D">
              <w:rPr>
                <w:sz w:val="20"/>
                <w:szCs w:val="20"/>
              </w:rPr>
              <w:t>Trial of facts (s 4A hearing) – proof that D did the act or made the omission</w:t>
            </w:r>
          </w:p>
          <w:p w14:paraId="40401768" w14:textId="6A23ACA7" w:rsidR="0014208F" w:rsidRPr="00154F1D" w:rsidRDefault="0014208F" w:rsidP="00747EB8">
            <w:pPr>
              <w:spacing w:beforeLines="20" w:before="48" w:afterLines="20" w:after="48"/>
              <w:rPr>
                <w:sz w:val="20"/>
                <w:szCs w:val="20"/>
              </w:rPr>
            </w:pPr>
            <w:r w:rsidRPr="00154F1D">
              <w:rPr>
                <w:sz w:val="20"/>
                <w:szCs w:val="20"/>
              </w:rPr>
              <w:t>Can rely on certain defences (self-defence, mistake or accident) in limited circumstances. This is where there is objective evidence of the defence. Insanity cannot be relied on</w:t>
            </w:r>
          </w:p>
        </w:tc>
        <w:tc>
          <w:tcPr>
            <w:tcW w:w="3128" w:type="dxa"/>
          </w:tcPr>
          <w:p w14:paraId="75CEBC4E" w14:textId="77777777" w:rsidR="0014208F" w:rsidRPr="00154F1D" w:rsidRDefault="0014208F" w:rsidP="00747EB8">
            <w:pPr>
              <w:pStyle w:val="ListParagraph"/>
              <w:numPr>
                <w:ilvl w:val="0"/>
                <w:numId w:val="42"/>
              </w:numPr>
              <w:spacing w:beforeLines="20" w:before="48" w:afterLines="20" w:after="48"/>
              <w:ind w:left="252" w:hanging="252"/>
              <w:contextualSpacing w:val="0"/>
              <w:jc w:val="left"/>
              <w:rPr>
                <w:sz w:val="20"/>
                <w:szCs w:val="20"/>
              </w:rPr>
            </w:pPr>
            <w:r w:rsidRPr="00154F1D">
              <w:rPr>
                <w:sz w:val="20"/>
                <w:szCs w:val="20"/>
              </w:rPr>
              <w:t>Not guilty</w:t>
            </w:r>
          </w:p>
          <w:p w14:paraId="171B0023" w14:textId="77777777" w:rsidR="0014208F" w:rsidRPr="00154F1D" w:rsidRDefault="0014208F" w:rsidP="00747EB8">
            <w:pPr>
              <w:pStyle w:val="ListParagraph"/>
              <w:numPr>
                <w:ilvl w:val="0"/>
                <w:numId w:val="42"/>
              </w:numPr>
              <w:spacing w:beforeLines="20" w:before="48" w:afterLines="20" w:after="48"/>
              <w:ind w:left="252" w:hanging="252"/>
              <w:contextualSpacing w:val="0"/>
              <w:jc w:val="left"/>
              <w:rPr>
                <w:sz w:val="20"/>
                <w:szCs w:val="20"/>
              </w:rPr>
            </w:pPr>
            <w:r w:rsidRPr="00154F1D">
              <w:rPr>
                <w:sz w:val="20"/>
                <w:szCs w:val="20"/>
              </w:rPr>
              <w:t>Finding that D did the act or made the omission</w:t>
            </w:r>
          </w:p>
        </w:tc>
        <w:tc>
          <w:tcPr>
            <w:tcW w:w="2189" w:type="dxa"/>
          </w:tcPr>
          <w:p w14:paraId="01E105AD" w14:textId="75A367F8" w:rsidR="0014208F" w:rsidRPr="00154F1D" w:rsidRDefault="0014208F" w:rsidP="00747EB8">
            <w:pPr>
              <w:spacing w:beforeLines="20" w:before="48" w:afterLines="20" w:after="48"/>
              <w:rPr>
                <w:sz w:val="20"/>
                <w:szCs w:val="20"/>
              </w:rPr>
            </w:pPr>
            <w:r w:rsidRPr="00154F1D">
              <w:rPr>
                <w:i/>
                <w:sz w:val="20"/>
                <w:szCs w:val="20"/>
              </w:rPr>
              <w:t>Criminal Procedure (Insanity) Act 1964</w:t>
            </w:r>
            <w:r w:rsidRPr="00154F1D">
              <w:rPr>
                <w:sz w:val="20"/>
                <w:szCs w:val="20"/>
              </w:rPr>
              <w:t xml:space="preserve"> s 4A</w:t>
            </w:r>
          </w:p>
        </w:tc>
      </w:tr>
      <w:tr w:rsidR="0014208F" w:rsidRPr="00154F1D" w14:paraId="1BE10D08" w14:textId="77777777" w:rsidTr="008B09A5">
        <w:tc>
          <w:tcPr>
            <w:tcW w:w="2832" w:type="dxa"/>
          </w:tcPr>
          <w:p w14:paraId="09536DED" w14:textId="77777777" w:rsidR="0014208F" w:rsidRPr="00154F1D" w:rsidRDefault="0014208F" w:rsidP="00747EB8">
            <w:pPr>
              <w:spacing w:beforeLines="20" w:before="48" w:afterLines="20" w:after="48"/>
              <w:rPr>
                <w:sz w:val="20"/>
                <w:szCs w:val="20"/>
              </w:rPr>
            </w:pPr>
            <w:r w:rsidRPr="00154F1D">
              <w:rPr>
                <w:sz w:val="20"/>
                <w:szCs w:val="20"/>
              </w:rPr>
              <w:t>New Zealand</w:t>
            </w:r>
          </w:p>
        </w:tc>
        <w:tc>
          <w:tcPr>
            <w:tcW w:w="2735" w:type="dxa"/>
          </w:tcPr>
          <w:p w14:paraId="60ACCA47" w14:textId="77777777" w:rsidR="0014208F" w:rsidRPr="00154F1D" w:rsidRDefault="0014208F" w:rsidP="00747EB8">
            <w:pPr>
              <w:spacing w:beforeLines="20" w:before="48" w:afterLines="20" w:after="48"/>
              <w:rPr>
                <w:sz w:val="20"/>
                <w:szCs w:val="20"/>
              </w:rPr>
            </w:pPr>
            <w:r w:rsidRPr="00154F1D">
              <w:rPr>
                <w:sz w:val="20"/>
                <w:szCs w:val="20"/>
              </w:rPr>
              <w:t>Judge</w:t>
            </w:r>
          </w:p>
        </w:tc>
        <w:tc>
          <w:tcPr>
            <w:tcW w:w="3066" w:type="dxa"/>
          </w:tcPr>
          <w:p w14:paraId="5FD8F3F0" w14:textId="18D8851D" w:rsidR="0014208F" w:rsidRPr="00154F1D" w:rsidRDefault="0014208F" w:rsidP="00747EB8">
            <w:pPr>
              <w:spacing w:beforeLines="20" w:before="48" w:afterLines="20" w:after="48"/>
              <w:rPr>
                <w:sz w:val="20"/>
                <w:szCs w:val="20"/>
              </w:rPr>
            </w:pPr>
            <w:r w:rsidRPr="00154F1D">
              <w:rPr>
                <w:sz w:val="20"/>
                <w:szCs w:val="20"/>
              </w:rPr>
              <w:t>Satisfied on balance of probabilities that the evidence against the defendant is sufficient to establish that the D caused the act or omission</w:t>
            </w:r>
          </w:p>
        </w:tc>
        <w:tc>
          <w:tcPr>
            <w:tcW w:w="3128" w:type="dxa"/>
          </w:tcPr>
          <w:p w14:paraId="2113187A" w14:textId="77777777" w:rsidR="0014208F" w:rsidRPr="00154F1D" w:rsidRDefault="0014208F" w:rsidP="00747EB8">
            <w:pPr>
              <w:pStyle w:val="ListParagraph"/>
              <w:numPr>
                <w:ilvl w:val="0"/>
                <w:numId w:val="42"/>
              </w:numPr>
              <w:spacing w:beforeLines="20" w:before="48" w:afterLines="20" w:after="48"/>
              <w:ind w:left="252" w:hanging="252"/>
              <w:contextualSpacing w:val="0"/>
              <w:jc w:val="left"/>
              <w:rPr>
                <w:sz w:val="20"/>
                <w:szCs w:val="20"/>
              </w:rPr>
            </w:pPr>
            <w:r w:rsidRPr="00154F1D">
              <w:rPr>
                <w:sz w:val="20"/>
                <w:szCs w:val="20"/>
              </w:rPr>
              <w:t>Dismiss charges</w:t>
            </w:r>
          </w:p>
          <w:p w14:paraId="749ED570" w14:textId="79435C66" w:rsidR="0014208F" w:rsidRPr="00154F1D" w:rsidRDefault="0014208F" w:rsidP="00747EB8">
            <w:pPr>
              <w:pStyle w:val="ListParagraph"/>
              <w:numPr>
                <w:ilvl w:val="0"/>
                <w:numId w:val="42"/>
              </w:numPr>
              <w:spacing w:beforeLines="20" w:before="48" w:afterLines="20" w:after="48"/>
              <w:ind w:left="252" w:hanging="252"/>
              <w:contextualSpacing w:val="0"/>
              <w:jc w:val="left"/>
              <w:rPr>
                <w:sz w:val="20"/>
                <w:szCs w:val="20"/>
              </w:rPr>
            </w:pPr>
            <w:r w:rsidRPr="00154F1D">
              <w:rPr>
                <w:sz w:val="20"/>
                <w:szCs w:val="20"/>
              </w:rPr>
              <w:t>Record finding that satisfied of D’s involvement in the offence</w:t>
            </w:r>
          </w:p>
        </w:tc>
        <w:tc>
          <w:tcPr>
            <w:tcW w:w="2189" w:type="dxa"/>
          </w:tcPr>
          <w:p w14:paraId="0C6F10B8" w14:textId="4577724A" w:rsidR="0014208F" w:rsidRPr="00154F1D" w:rsidRDefault="0014208F" w:rsidP="00747EB8">
            <w:pPr>
              <w:spacing w:beforeLines="20" w:before="48" w:afterLines="20" w:after="48"/>
              <w:outlineLvl w:val="0"/>
              <w:rPr>
                <w:i/>
                <w:sz w:val="20"/>
                <w:szCs w:val="20"/>
              </w:rPr>
            </w:pPr>
            <w:r w:rsidRPr="00154F1D">
              <w:rPr>
                <w:i/>
                <w:sz w:val="20"/>
                <w:szCs w:val="20"/>
              </w:rPr>
              <w:t xml:space="preserve">Criminal Procedure (Mentally Impaired Persons) Act 2003 </w:t>
            </w:r>
            <w:r w:rsidRPr="00154F1D">
              <w:rPr>
                <w:sz w:val="20"/>
                <w:szCs w:val="20"/>
              </w:rPr>
              <w:t>(NZ) s 9</w:t>
            </w:r>
          </w:p>
        </w:tc>
      </w:tr>
    </w:tbl>
    <w:p w14:paraId="23BDA980" w14:textId="77777777" w:rsidR="0014208F" w:rsidRPr="00154F1D" w:rsidRDefault="0014208F" w:rsidP="0014208F"/>
    <w:p w14:paraId="5FA1E20F" w14:textId="77777777" w:rsidR="0014208F" w:rsidRPr="00154F1D" w:rsidRDefault="0014208F" w:rsidP="0014208F">
      <w:pPr>
        <w:pStyle w:val="p1"/>
        <w:rPr>
          <w:sz w:val="18"/>
          <w:szCs w:val="18"/>
        </w:rPr>
        <w:sectPr w:rsidR="0014208F" w:rsidRPr="00154F1D" w:rsidSect="00D44CC5">
          <w:headerReference w:type="default" r:id="rId45"/>
          <w:pgSz w:w="11900" w:h="16840"/>
          <w:pgMar w:top="1440" w:right="1797" w:bottom="1440" w:left="1797" w:header="709" w:footer="709" w:gutter="0"/>
          <w:cols w:space="708"/>
          <w:titlePg/>
          <w:docGrid w:linePitch="360"/>
        </w:sectPr>
      </w:pPr>
    </w:p>
    <w:p w14:paraId="789418C2" w14:textId="15F45712" w:rsidR="0014208F" w:rsidRPr="00154F1D" w:rsidRDefault="0014208F" w:rsidP="003223C4">
      <w:pPr>
        <w:pStyle w:val="NumberlessSectionHeading"/>
      </w:pPr>
      <w:bookmarkStart w:id="222" w:name="_Toc535868991"/>
      <w:r w:rsidRPr="00154F1D">
        <w:t xml:space="preserve">Appendix </w:t>
      </w:r>
      <w:r w:rsidR="00BA4488" w:rsidRPr="00154F1D">
        <w:t>6</w:t>
      </w:r>
      <w:r w:rsidRPr="00154F1D">
        <w:t xml:space="preserve">: </w:t>
      </w:r>
      <w:r w:rsidRPr="00154F1D">
        <w:rPr>
          <w:i/>
        </w:rPr>
        <w:t>Mental Health (Forensic Provisions) Act 1990</w:t>
      </w:r>
      <w:r w:rsidRPr="00154F1D">
        <w:t xml:space="preserve"> (NSW) Schedule 1 Extension of status as forensic patient</w:t>
      </w:r>
      <w:bookmarkEnd w:id="222"/>
    </w:p>
    <w:p w14:paraId="22E65DDA" w14:textId="77777777" w:rsidR="0014208F" w:rsidRPr="00154F1D" w:rsidRDefault="0014208F" w:rsidP="00352640">
      <w:pPr>
        <w:pStyle w:val="NumberlessNormalText"/>
      </w:pPr>
      <w:r w:rsidRPr="00154F1D">
        <w:t>(Section 54A)</w:t>
      </w:r>
    </w:p>
    <w:p w14:paraId="7AAB4377" w14:textId="77777777" w:rsidR="0014208F" w:rsidRPr="00154F1D" w:rsidRDefault="0014208F" w:rsidP="00352640">
      <w:pPr>
        <w:pStyle w:val="NumberlessNormalText"/>
        <w:rPr>
          <w:b/>
        </w:rPr>
      </w:pPr>
      <w:r w:rsidRPr="00154F1D">
        <w:rPr>
          <w:b/>
        </w:rPr>
        <w:t>Part 1 Extension of status as forensic patient</w:t>
      </w:r>
    </w:p>
    <w:p w14:paraId="47E0246E" w14:textId="6580682C" w:rsidR="0014208F" w:rsidRPr="00154F1D" w:rsidRDefault="0014208F" w:rsidP="003710CA">
      <w:pPr>
        <w:pStyle w:val="NumberlessNormalText"/>
        <w:ind w:left="284" w:hanging="284"/>
        <w:rPr>
          <w:b/>
        </w:rPr>
      </w:pPr>
      <w:r w:rsidRPr="00154F1D">
        <w:rPr>
          <w:b/>
        </w:rPr>
        <w:t>1</w:t>
      </w:r>
      <w:r w:rsidR="00352640" w:rsidRPr="00154F1D">
        <w:rPr>
          <w:b/>
        </w:rPr>
        <w:t xml:space="preserve"> </w:t>
      </w:r>
      <w:r w:rsidR="003710CA" w:rsidRPr="00154F1D">
        <w:rPr>
          <w:b/>
        </w:rPr>
        <w:tab/>
      </w:r>
      <w:r w:rsidRPr="00154F1D">
        <w:rPr>
          <w:b/>
        </w:rPr>
        <w:t>Extension orders for forensic patients</w:t>
      </w:r>
    </w:p>
    <w:p w14:paraId="7CE27D0E" w14:textId="51E2A16B" w:rsidR="0014208F" w:rsidRPr="00154F1D" w:rsidRDefault="0014208F" w:rsidP="00352640">
      <w:pPr>
        <w:pStyle w:val="NumberlessNormalText"/>
        <w:ind w:left="426" w:hanging="426"/>
      </w:pPr>
      <w:r w:rsidRPr="00154F1D">
        <w:t>(1)</w:t>
      </w:r>
      <w:r w:rsidR="00352640" w:rsidRPr="00154F1D">
        <w:tab/>
      </w:r>
      <w:r w:rsidRPr="00154F1D">
        <w:t>The Supreme Court may, on application under Part 2 of this Schedule, make an order for the extension of a person’s status as a forensic patient.</w:t>
      </w:r>
    </w:p>
    <w:p w14:paraId="17E46DE9" w14:textId="06E0476D" w:rsidR="0014208F" w:rsidRPr="00154F1D" w:rsidRDefault="0014208F" w:rsidP="00352640">
      <w:pPr>
        <w:pStyle w:val="NumberlessNormalText"/>
        <w:ind w:left="426" w:hanging="426"/>
      </w:pPr>
      <w:r w:rsidRPr="00154F1D">
        <w:t>(2)</w:t>
      </w:r>
      <w:r w:rsidR="00352640" w:rsidRPr="00154F1D">
        <w:tab/>
      </w:r>
      <w:r w:rsidRPr="00154F1D">
        <w:t>An order made under this clause is an extension order.</w:t>
      </w:r>
    </w:p>
    <w:p w14:paraId="48D7D896" w14:textId="2A0FF6B1" w:rsidR="0014208F" w:rsidRPr="00154F1D" w:rsidRDefault="0014208F" w:rsidP="003710CA">
      <w:pPr>
        <w:pStyle w:val="NumberlessNormalText"/>
        <w:ind w:left="284" w:hanging="284"/>
        <w:rPr>
          <w:b/>
        </w:rPr>
      </w:pPr>
      <w:r w:rsidRPr="00154F1D">
        <w:rPr>
          <w:b/>
        </w:rPr>
        <w:t>2</w:t>
      </w:r>
      <w:r w:rsidR="00352640" w:rsidRPr="00154F1D">
        <w:rPr>
          <w:b/>
        </w:rPr>
        <w:t xml:space="preserve"> </w:t>
      </w:r>
      <w:r w:rsidR="003710CA" w:rsidRPr="00154F1D">
        <w:rPr>
          <w:b/>
        </w:rPr>
        <w:tab/>
      </w:r>
      <w:r w:rsidRPr="00154F1D">
        <w:rPr>
          <w:b/>
        </w:rPr>
        <w:t>Forensic patients in respect of whom extension orders may be made</w:t>
      </w:r>
    </w:p>
    <w:p w14:paraId="1B9CC9C9" w14:textId="7D99FADD" w:rsidR="0014208F" w:rsidRPr="00154F1D" w:rsidRDefault="0014208F" w:rsidP="00352640">
      <w:pPr>
        <w:pStyle w:val="NumberlessNormalText"/>
        <w:ind w:left="426" w:hanging="426"/>
      </w:pPr>
      <w:r w:rsidRPr="00154F1D">
        <w:t>(1)</w:t>
      </w:r>
      <w:r w:rsidR="00352640" w:rsidRPr="00154F1D">
        <w:tab/>
      </w:r>
      <w:r w:rsidRPr="00154F1D">
        <w:t>A forensic patient can be made the subject of an extension order as provided for by this Schedule if and only if the Supreme Court is satisfied to a high degree of probability that:</w:t>
      </w:r>
    </w:p>
    <w:p w14:paraId="68F5EEF2" w14:textId="080940AB" w:rsidR="0014208F" w:rsidRPr="00154F1D" w:rsidRDefault="0014208F" w:rsidP="00352640">
      <w:pPr>
        <w:pStyle w:val="NumberlessNormalText"/>
        <w:ind w:left="851" w:hanging="425"/>
      </w:pPr>
      <w:r w:rsidRPr="00154F1D">
        <w:t>(a)</w:t>
      </w:r>
      <w:r w:rsidR="00352640" w:rsidRPr="00154F1D">
        <w:tab/>
      </w:r>
      <w:r w:rsidRPr="00154F1D">
        <w:t>the forensic patient poses an unacceptable risk of causing serious harm to others if he or she ceases being a forensic patient, and</w:t>
      </w:r>
    </w:p>
    <w:p w14:paraId="3DDCAC54" w14:textId="7BB1283B" w:rsidR="0014208F" w:rsidRPr="00154F1D" w:rsidRDefault="0014208F" w:rsidP="00352640">
      <w:pPr>
        <w:pStyle w:val="NumberlessNormalText"/>
        <w:ind w:left="851" w:hanging="425"/>
      </w:pPr>
      <w:r w:rsidRPr="00154F1D">
        <w:t>(b)</w:t>
      </w:r>
      <w:r w:rsidR="00352640" w:rsidRPr="00154F1D">
        <w:tab/>
      </w:r>
      <w:r w:rsidRPr="00154F1D">
        <w:t>the risk cannot be adequately managed by other less restrictive means.</w:t>
      </w:r>
    </w:p>
    <w:p w14:paraId="55CBFA5D" w14:textId="4B958CAE" w:rsidR="0014208F" w:rsidRPr="00154F1D" w:rsidRDefault="0014208F" w:rsidP="00352640">
      <w:pPr>
        <w:pStyle w:val="NumberlessNormalText"/>
        <w:ind w:left="426" w:hanging="426"/>
      </w:pPr>
      <w:r w:rsidRPr="00154F1D">
        <w:t>(2)</w:t>
      </w:r>
      <w:r w:rsidR="00352640" w:rsidRPr="00154F1D">
        <w:tab/>
      </w:r>
      <w:r w:rsidRPr="00154F1D">
        <w:t>The Supreme Court is not required to determine that the risk of a person causing serious harm to others is more likely than not in order to determine that the person poses an unacceptable risk of causing serious harm to others.</w:t>
      </w:r>
    </w:p>
    <w:p w14:paraId="0D50B88D" w14:textId="77777777" w:rsidR="0014208F" w:rsidRPr="00154F1D" w:rsidRDefault="0014208F" w:rsidP="00352640">
      <w:pPr>
        <w:pStyle w:val="NumberlessNormalText"/>
        <w:spacing w:after="0"/>
        <w:rPr>
          <w:i/>
          <w:sz w:val="20"/>
          <w:szCs w:val="20"/>
        </w:rPr>
      </w:pPr>
      <w:r w:rsidRPr="00154F1D">
        <w:rPr>
          <w:i/>
          <w:sz w:val="20"/>
          <w:szCs w:val="20"/>
        </w:rPr>
        <w:t>Note.</w:t>
      </w:r>
    </w:p>
    <w:p w14:paraId="4F8F874B" w14:textId="4A6E0B23" w:rsidR="0014208F" w:rsidRPr="00154F1D" w:rsidRDefault="0014208F" w:rsidP="00352640">
      <w:pPr>
        <w:pStyle w:val="NumberlessNormalText"/>
        <w:spacing w:before="0"/>
        <w:rPr>
          <w:i/>
          <w:sz w:val="20"/>
          <w:szCs w:val="20"/>
        </w:rPr>
      </w:pPr>
      <w:r w:rsidRPr="00154F1D">
        <w:rPr>
          <w:i/>
          <w:sz w:val="20"/>
          <w:szCs w:val="20"/>
        </w:rPr>
        <w:t xml:space="preserve">Less restrictive means of managing a risk includes, but is not limited to, a patient being involuntarily detained or treated under the </w:t>
      </w:r>
      <w:r w:rsidRPr="00154F1D">
        <w:rPr>
          <w:rStyle w:val="NormalNumberedTextTLRIChar"/>
          <w:i/>
          <w:sz w:val="20"/>
        </w:rPr>
        <w:t>Mental Health Act 2007.</w:t>
      </w:r>
    </w:p>
    <w:p w14:paraId="50463411" w14:textId="77777777" w:rsidR="0014208F" w:rsidRPr="00154F1D" w:rsidRDefault="0014208F" w:rsidP="00352640">
      <w:pPr>
        <w:pStyle w:val="NumberlessNormalText"/>
        <w:rPr>
          <w:b/>
        </w:rPr>
      </w:pPr>
      <w:r w:rsidRPr="00154F1D">
        <w:rPr>
          <w:b/>
        </w:rPr>
        <w:t>Part 2 Extension orders</w:t>
      </w:r>
    </w:p>
    <w:p w14:paraId="627CD3E8" w14:textId="77777777" w:rsidR="0014208F" w:rsidRPr="00154F1D" w:rsidRDefault="0014208F" w:rsidP="00352640">
      <w:pPr>
        <w:pStyle w:val="NumberlessNormalText"/>
        <w:rPr>
          <w:b/>
        </w:rPr>
      </w:pPr>
      <w:r w:rsidRPr="00154F1D">
        <w:rPr>
          <w:b/>
        </w:rPr>
        <w:t>Division 1 Application for extension order</w:t>
      </w:r>
    </w:p>
    <w:p w14:paraId="75D6E537" w14:textId="39B3050F" w:rsidR="0014208F" w:rsidRPr="00154F1D" w:rsidRDefault="0014208F" w:rsidP="003710CA">
      <w:pPr>
        <w:pStyle w:val="NumberlessNormalText"/>
        <w:ind w:left="284" w:hanging="284"/>
        <w:rPr>
          <w:b/>
        </w:rPr>
      </w:pPr>
      <w:r w:rsidRPr="00154F1D">
        <w:rPr>
          <w:b/>
        </w:rPr>
        <w:t>3</w:t>
      </w:r>
      <w:r w:rsidR="00352640" w:rsidRPr="00154F1D">
        <w:rPr>
          <w:b/>
        </w:rPr>
        <w:t xml:space="preserve"> </w:t>
      </w:r>
      <w:r w:rsidR="003710CA" w:rsidRPr="00154F1D">
        <w:rPr>
          <w:b/>
        </w:rPr>
        <w:tab/>
      </w:r>
      <w:r w:rsidRPr="00154F1D">
        <w:rPr>
          <w:b/>
        </w:rPr>
        <w:t>Minister may apply for extension order</w:t>
      </w:r>
    </w:p>
    <w:p w14:paraId="502464EB" w14:textId="77777777" w:rsidR="0014208F" w:rsidRPr="00154F1D" w:rsidRDefault="0014208F" w:rsidP="00352640">
      <w:pPr>
        <w:pStyle w:val="NumberlessNormalText"/>
      </w:pPr>
      <w:r w:rsidRPr="00154F1D">
        <w:t>A Minister administering this Act may apply to the Supreme Court for an extension order against a forensic patient.</w:t>
      </w:r>
    </w:p>
    <w:p w14:paraId="03EDA080" w14:textId="3FA61C8A" w:rsidR="0014208F" w:rsidRPr="00154F1D" w:rsidRDefault="0014208F" w:rsidP="003710CA">
      <w:pPr>
        <w:pStyle w:val="NumberlessNormalText"/>
        <w:ind w:left="284" w:hanging="284"/>
        <w:rPr>
          <w:b/>
        </w:rPr>
      </w:pPr>
      <w:r w:rsidRPr="00154F1D">
        <w:rPr>
          <w:b/>
        </w:rPr>
        <w:t>4</w:t>
      </w:r>
      <w:r w:rsidR="00352640" w:rsidRPr="00154F1D">
        <w:rPr>
          <w:b/>
        </w:rPr>
        <w:t xml:space="preserve"> </w:t>
      </w:r>
      <w:r w:rsidR="003710CA" w:rsidRPr="00154F1D">
        <w:rPr>
          <w:b/>
        </w:rPr>
        <w:tab/>
      </w:r>
      <w:r w:rsidRPr="00154F1D">
        <w:rPr>
          <w:b/>
        </w:rPr>
        <w:t>Application for extension order</w:t>
      </w:r>
    </w:p>
    <w:p w14:paraId="4E330785" w14:textId="42A84367" w:rsidR="0014208F" w:rsidRPr="00154F1D" w:rsidRDefault="0014208F" w:rsidP="00352640">
      <w:pPr>
        <w:pStyle w:val="NumberlessNormalText"/>
        <w:ind w:left="426" w:hanging="426"/>
      </w:pPr>
      <w:r w:rsidRPr="00154F1D">
        <w:t>(1)</w:t>
      </w:r>
      <w:r w:rsidR="00352640" w:rsidRPr="00154F1D">
        <w:tab/>
      </w:r>
      <w:r w:rsidRPr="00154F1D">
        <w:t>An application for an extension order may be made in respect of a forensic patient only if the forensic patient is subject to:</w:t>
      </w:r>
    </w:p>
    <w:p w14:paraId="16B45BED" w14:textId="6B2CBD12" w:rsidR="0014208F" w:rsidRPr="00154F1D" w:rsidRDefault="0014208F" w:rsidP="00352640">
      <w:pPr>
        <w:pStyle w:val="NumberlessNormalText"/>
        <w:ind w:left="851" w:hanging="425"/>
      </w:pPr>
      <w:r w:rsidRPr="00154F1D">
        <w:t>(a)</w:t>
      </w:r>
      <w:r w:rsidR="00352640" w:rsidRPr="00154F1D">
        <w:tab/>
      </w:r>
      <w:r w:rsidRPr="00154F1D">
        <w:t>a limiting term, or</w:t>
      </w:r>
    </w:p>
    <w:p w14:paraId="20374813" w14:textId="3FF4AE7E" w:rsidR="0014208F" w:rsidRPr="00154F1D" w:rsidRDefault="0014208F" w:rsidP="00352640">
      <w:pPr>
        <w:pStyle w:val="NumberlessNormalText"/>
        <w:ind w:left="851" w:hanging="425"/>
      </w:pPr>
      <w:r w:rsidRPr="00154F1D">
        <w:t>(b)</w:t>
      </w:r>
      <w:r w:rsidR="00352640" w:rsidRPr="00154F1D">
        <w:tab/>
      </w:r>
      <w:r w:rsidRPr="00154F1D">
        <w:t>an existing extension order.</w:t>
      </w:r>
    </w:p>
    <w:p w14:paraId="03D4C47E" w14:textId="7CB94BF0" w:rsidR="0014208F" w:rsidRPr="00154F1D" w:rsidRDefault="0014208F" w:rsidP="00352640">
      <w:pPr>
        <w:pStyle w:val="NumberlessNormalText"/>
        <w:ind w:left="426" w:hanging="426"/>
      </w:pPr>
      <w:r w:rsidRPr="00154F1D">
        <w:t>(2)</w:t>
      </w:r>
      <w:r w:rsidR="00352640" w:rsidRPr="00154F1D">
        <w:tab/>
      </w:r>
      <w:r w:rsidRPr="00154F1D">
        <w:t>An application in respect of a forensic patient may not be made more than 6 months before:</w:t>
      </w:r>
    </w:p>
    <w:p w14:paraId="1482C31C" w14:textId="406531D2" w:rsidR="0014208F" w:rsidRPr="00154F1D" w:rsidRDefault="0014208F" w:rsidP="00352640">
      <w:pPr>
        <w:pStyle w:val="NumberlessNormalText"/>
        <w:ind w:left="851" w:hanging="425"/>
      </w:pPr>
      <w:r w:rsidRPr="00154F1D">
        <w:t>(a)</w:t>
      </w:r>
      <w:r w:rsidR="00352640" w:rsidRPr="00154F1D">
        <w:tab/>
      </w:r>
      <w:r w:rsidRPr="00154F1D">
        <w:t>the end of the forensic patient’s limiting term, or</w:t>
      </w:r>
    </w:p>
    <w:p w14:paraId="7783B886" w14:textId="340F54C2" w:rsidR="0014208F" w:rsidRPr="00154F1D" w:rsidRDefault="0014208F" w:rsidP="00352640">
      <w:pPr>
        <w:pStyle w:val="NumberlessNormalText"/>
        <w:ind w:left="851" w:hanging="425"/>
      </w:pPr>
      <w:r w:rsidRPr="00154F1D">
        <w:t>(b)</w:t>
      </w:r>
      <w:r w:rsidR="00352640" w:rsidRPr="00154F1D">
        <w:tab/>
      </w:r>
      <w:r w:rsidRPr="00154F1D">
        <w:t>the expiry of the existing extension order,</w:t>
      </w:r>
    </w:p>
    <w:p w14:paraId="134AE518" w14:textId="77777777" w:rsidR="0014208F" w:rsidRPr="00154F1D" w:rsidRDefault="0014208F" w:rsidP="00352640">
      <w:pPr>
        <w:pStyle w:val="NumberlessNormalText"/>
      </w:pPr>
      <w:r w:rsidRPr="00154F1D">
        <w:t>as appropriate.</w:t>
      </w:r>
    </w:p>
    <w:p w14:paraId="26913F90" w14:textId="21CB0C56" w:rsidR="0014208F" w:rsidRPr="00154F1D" w:rsidRDefault="0014208F" w:rsidP="003710CA">
      <w:pPr>
        <w:pStyle w:val="NumberlessNormalText"/>
        <w:ind w:left="284" w:hanging="284"/>
        <w:rPr>
          <w:b/>
        </w:rPr>
      </w:pPr>
      <w:r w:rsidRPr="00154F1D">
        <w:rPr>
          <w:b/>
        </w:rPr>
        <w:t>5</w:t>
      </w:r>
      <w:r w:rsidR="003710CA" w:rsidRPr="00154F1D">
        <w:rPr>
          <w:b/>
        </w:rPr>
        <w:t xml:space="preserve"> </w:t>
      </w:r>
      <w:r w:rsidR="003710CA" w:rsidRPr="00154F1D">
        <w:rPr>
          <w:b/>
        </w:rPr>
        <w:tab/>
      </w:r>
      <w:r w:rsidRPr="00154F1D">
        <w:rPr>
          <w:b/>
        </w:rPr>
        <w:t>Requirements with respect to application</w:t>
      </w:r>
    </w:p>
    <w:p w14:paraId="2D4040D2" w14:textId="77777777" w:rsidR="0014208F" w:rsidRPr="00154F1D" w:rsidRDefault="0014208F" w:rsidP="00352640">
      <w:pPr>
        <w:pStyle w:val="NumberlessNormalText"/>
      </w:pPr>
      <w:r w:rsidRPr="00154F1D">
        <w:t>An application for an extension order must be supported by documentation:</w:t>
      </w:r>
    </w:p>
    <w:p w14:paraId="15037309" w14:textId="62FAE8A2" w:rsidR="0014208F" w:rsidRPr="00154F1D" w:rsidRDefault="0014208F" w:rsidP="003710CA">
      <w:pPr>
        <w:pStyle w:val="NumberlessNormalText"/>
        <w:ind w:left="851" w:hanging="425"/>
      </w:pPr>
      <w:r w:rsidRPr="00154F1D">
        <w:t>(a)</w:t>
      </w:r>
      <w:r w:rsidR="003710CA" w:rsidRPr="00154F1D">
        <w:tab/>
      </w:r>
      <w:r w:rsidRPr="00154F1D">
        <w:t>that addresses each of the matters referred to in clause 7 (2) (to the extent relevant to the application), and</w:t>
      </w:r>
    </w:p>
    <w:p w14:paraId="4060E355" w14:textId="529DF7CF" w:rsidR="0014208F" w:rsidRPr="00154F1D" w:rsidRDefault="0014208F" w:rsidP="003710CA">
      <w:pPr>
        <w:pStyle w:val="NumberlessNormalText"/>
        <w:ind w:left="851" w:hanging="425"/>
      </w:pPr>
      <w:r w:rsidRPr="00154F1D">
        <w:t>(b)</w:t>
      </w:r>
      <w:r w:rsidR="003710CA" w:rsidRPr="00154F1D">
        <w:tab/>
      </w:r>
      <w:r w:rsidRPr="00154F1D">
        <w:t>that includes a report (prepared by a qualified psychiatrist, registered psychologist or registered medical practitioner):</w:t>
      </w:r>
    </w:p>
    <w:p w14:paraId="5FFDFD28" w14:textId="03B127FB" w:rsidR="0014208F" w:rsidRPr="00154F1D" w:rsidRDefault="0014208F" w:rsidP="003710CA">
      <w:pPr>
        <w:pStyle w:val="NumberlessNormalText"/>
        <w:tabs>
          <w:tab w:val="clear" w:pos="851"/>
        </w:tabs>
        <w:ind w:left="1276" w:hanging="425"/>
      </w:pPr>
      <w:r w:rsidRPr="00154F1D">
        <w:t>(i)</w:t>
      </w:r>
      <w:r w:rsidR="003710CA" w:rsidRPr="00154F1D">
        <w:tab/>
      </w:r>
      <w:r w:rsidRPr="00154F1D">
        <w:t>that assesses the risk of the forensic patient causing serious harm to others, and</w:t>
      </w:r>
    </w:p>
    <w:p w14:paraId="2DE5DA19" w14:textId="38CF4353" w:rsidR="0014208F" w:rsidRPr="00154F1D" w:rsidRDefault="0014208F" w:rsidP="003710CA">
      <w:pPr>
        <w:pStyle w:val="NumberlessNormalText"/>
        <w:tabs>
          <w:tab w:val="clear" w:pos="851"/>
        </w:tabs>
        <w:ind w:left="1276" w:hanging="425"/>
      </w:pPr>
      <w:r w:rsidRPr="00154F1D">
        <w:t>(ii)</w:t>
      </w:r>
      <w:r w:rsidR="003710CA" w:rsidRPr="00154F1D">
        <w:tab/>
      </w:r>
      <w:r w:rsidRPr="00154F1D">
        <w:t>that addresses the need for ongoing management of the patient as a forensic patient and the reasons why the risk of the forensic patient causing serious harm to others cannot be adequately managed by other less restrictive means.</w:t>
      </w:r>
    </w:p>
    <w:p w14:paraId="46A20362" w14:textId="039631D2" w:rsidR="0014208F" w:rsidRPr="00154F1D" w:rsidRDefault="0014208F" w:rsidP="003710CA">
      <w:pPr>
        <w:pStyle w:val="NumberlessNormalText"/>
        <w:tabs>
          <w:tab w:val="left" w:pos="284"/>
        </w:tabs>
        <w:rPr>
          <w:b/>
        </w:rPr>
      </w:pPr>
      <w:r w:rsidRPr="00154F1D">
        <w:rPr>
          <w:b/>
        </w:rPr>
        <w:t>6</w:t>
      </w:r>
      <w:r w:rsidR="003710CA" w:rsidRPr="00154F1D">
        <w:rPr>
          <w:b/>
        </w:rPr>
        <w:t xml:space="preserve"> </w:t>
      </w:r>
      <w:r w:rsidR="003710CA" w:rsidRPr="00154F1D">
        <w:rPr>
          <w:b/>
        </w:rPr>
        <w:tab/>
      </w:r>
      <w:r w:rsidRPr="00154F1D">
        <w:rPr>
          <w:b/>
        </w:rPr>
        <w:t>Pre-hearing procedures</w:t>
      </w:r>
    </w:p>
    <w:p w14:paraId="50689D5E" w14:textId="34C84E4E" w:rsidR="0014208F" w:rsidRPr="00154F1D" w:rsidRDefault="0014208F" w:rsidP="003710CA">
      <w:pPr>
        <w:pStyle w:val="NumberlessNormalText"/>
        <w:ind w:left="426" w:hanging="426"/>
      </w:pPr>
      <w:r w:rsidRPr="00154F1D">
        <w:t>(1)</w:t>
      </w:r>
      <w:r w:rsidR="003710CA" w:rsidRPr="00154F1D">
        <w:tab/>
      </w:r>
      <w:r w:rsidRPr="00154F1D">
        <w:t>An application under this Part for an extension order must be served on the forensic patient concerned within 2 business days after the application is filed in the Supreme Court or within such further time as the Supreme Court may allow.</w:t>
      </w:r>
    </w:p>
    <w:p w14:paraId="586A0606" w14:textId="060B9ED2" w:rsidR="0014208F" w:rsidRPr="00154F1D" w:rsidRDefault="0014208F" w:rsidP="003710CA">
      <w:pPr>
        <w:pStyle w:val="NumberlessNormalText"/>
        <w:ind w:left="426" w:hanging="426"/>
      </w:pPr>
      <w:r w:rsidRPr="00154F1D">
        <w:t>(2)</w:t>
      </w:r>
      <w:r w:rsidR="003710CA" w:rsidRPr="00154F1D">
        <w:tab/>
      </w:r>
      <w:r w:rsidRPr="00154F1D">
        <w:t>The Minister applying for the extension order must notify the Tribunal as soon as practicable after making the application.</w:t>
      </w:r>
    </w:p>
    <w:p w14:paraId="7675FD14" w14:textId="1D42FCD7" w:rsidR="0014208F" w:rsidRPr="00154F1D" w:rsidRDefault="0014208F" w:rsidP="003710CA">
      <w:pPr>
        <w:pStyle w:val="NumberlessNormalText"/>
        <w:ind w:left="426" w:hanging="426"/>
      </w:pPr>
      <w:r w:rsidRPr="00154F1D">
        <w:t>(3)</w:t>
      </w:r>
      <w:r w:rsidR="003710CA" w:rsidRPr="00154F1D">
        <w:tab/>
      </w:r>
      <w:r w:rsidRPr="00154F1D">
        <w:t>Subject to subclauses (7)–(9), the Minister applying for the extension order must disclose to the forensic patient such documents, reports and other information as are relevant to the proceedings on the application (whether or not intended to be tendered in evidence):</w:t>
      </w:r>
    </w:p>
    <w:p w14:paraId="277ACD7F" w14:textId="40A2F94A" w:rsidR="0014208F" w:rsidRPr="00154F1D" w:rsidRDefault="0014208F" w:rsidP="003710CA">
      <w:pPr>
        <w:pStyle w:val="NumberlessNormalText"/>
        <w:ind w:left="851" w:hanging="425"/>
      </w:pPr>
      <w:r w:rsidRPr="00154F1D">
        <w:t>(a)</w:t>
      </w:r>
      <w:r w:rsidR="003710CA" w:rsidRPr="00154F1D">
        <w:tab/>
      </w:r>
      <w:r w:rsidRPr="00154F1D">
        <w:t>in the case of anything that is available when the application is made, as soon as practicable after the application is made, and</w:t>
      </w:r>
    </w:p>
    <w:p w14:paraId="2D2A43E6" w14:textId="78023315" w:rsidR="0014208F" w:rsidRPr="00154F1D" w:rsidRDefault="0014208F" w:rsidP="003710CA">
      <w:pPr>
        <w:pStyle w:val="NumberlessNormalText"/>
        <w:ind w:left="851" w:hanging="425"/>
      </w:pPr>
      <w:r w:rsidRPr="00154F1D">
        <w:t>(b)</w:t>
      </w:r>
      <w:r w:rsidR="003710CA" w:rsidRPr="00154F1D">
        <w:tab/>
      </w:r>
      <w:r w:rsidRPr="00154F1D">
        <w:t>in the case of anything that subsequently becomes available, as soon as practicable after it becomes available.</w:t>
      </w:r>
    </w:p>
    <w:p w14:paraId="497BA253" w14:textId="0F97D3F6" w:rsidR="0014208F" w:rsidRPr="00154F1D" w:rsidRDefault="0014208F" w:rsidP="003710CA">
      <w:pPr>
        <w:pStyle w:val="NumberlessNormalText"/>
        <w:ind w:left="426" w:hanging="426"/>
      </w:pPr>
      <w:r w:rsidRPr="00154F1D">
        <w:t>(4)</w:t>
      </w:r>
      <w:r w:rsidR="003710CA" w:rsidRPr="00154F1D">
        <w:tab/>
      </w:r>
      <w:r w:rsidRPr="00154F1D">
        <w:t>A preliminary hearing into the application is to be conducted by the Supreme Court within 28 days after the application is filed in the Supreme Court or within such further time as the Supreme Court may allow.</w:t>
      </w:r>
    </w:p>
    <w:p w14:paraId="270F26D7" w14:textId="3F8A5059" w:rsidR="0014208F" w:rsidRPr="00154F1D" w:rsidRDefault="0014208F" w:rsidP="003710CA">
      <w:pPr>
        <w:pStyle w:val="NumberlessNormalText"/>
        <w:ind w:left="426" w:hanging="426"/>
      </w:pPr>
      <w:r w:rsidRPr="00154F1D">
        <w:t>(5)</w:t>
      </w:r>
      <w:r w:rsidR="003710CA" w:rsidRPr="00154F1D">
        <w:tab/>
      </w:r>
      <w:r w:rsidRPr="00154F1D">
        <w:t>If, following the preliminary hearing, it is satisfied that the matters alleged in the supporting documentation would, if proved, justify the making of an extension order, the Supreme Court must make orders:</w:t>
      </w:r>
    </w:p>
    <w:p w14:paraId="0B51D409" w14:textId="44592A80" w:rsidR="0014208F" w:rsidRPr="00154F1D" w:rsidRDefault="0014208F" w:rsidP="003710CA">
      <w:pPr>
        <w:pStyle w:val="NumberlessNormalText"/>
        <w:ind w:left="851" w:hanging="425"/>
      </w:pPr>
      <w:r w:rsidRPr="00154F1D">
        <w:t>(a)</w:t>
      </w:r>
      <w:r w:rsidR="003710CA" w:rsidRPr="00154F1D">
        <w:tab/>
      </w:r>
      <w:r w:rsidRPr="00154F1D">
        <w:t>appointing:</w:t>
      </w:r>
    </w:p>
    <w:p w14:paraId="5D400D26" w14:textId="3E16014B" w:rsidR="0014208F" w:rsidRPr="00154F1D" w:rsidRDefault="0014208F" w:rsidP="003710CA">
      <w:pPr>
        <w:pStyle w:val="NumberlessNormalText"/>
        <w:tabs>
          <w:tab w:val="clear" w:pos="851"/>
        </w:tabs>
        <w:ind w:left="1418" w:hanging="567"/>
      </w:pPr>
      <w:r w:rsidRPr="00154F1D">
        <w:t>(i)</w:t>
      </w:r>
      <w:r w:rsidR="003710CA" w:rsidRPr="00154F1D">
        <w:tab/>
      </w:r>
      <w:r w:rsidRPr="00154F1D">
        <w:t>2 qualified psychiatrists, or</w:t>
      </w:r>
    </w:p>
    <w:p w14:paraId="7D454743" w14:textId="750A5559" w:rsidR="0014208F" w:rsidRPr="00154F1D" w:rsidRDefault="0014208F" w:rsidP="003710CA">
      <w:pPr>
        <w:pStyle w:val="NumberlessNormalText"/>
        <w:tabs>
          <w:tab w:val="clear" w:pos="851"/>
        </w:tabs>
        <w:ind w:left="1418" w:hanging="567"/>
      </w:pPr>
      <w:r w:rsidRPr="00154F1D">
        <w:t>(ii)</w:t>
      </w:r>
      <w:r w:rsidR="003710CA" w:rsidRPr="00154F1D">
        <w:tab/>
      </w:r>
      <w:r w:rsidRPr="00154F1D">
        <w:t>2 registered psychologists, or</w:t>
      </w:r>
    </w:p>
    <w:p w14:paraId="65CBDB16" w14:textId="377DE864" w:rsidR="0014208F" w:rsidRPr="00154F1D" w:rsidRDefault="0014208F" w:rsidP="003710CA">
      <w:pPr>
        <w:pStyle w:val="NumberlessNormalText"/>
        <w:tabs>
          <w:tab w:val="clear" w:pos="851"/>
        </w:tabs>
        <w:ind w:left="1418" w:hanging="567"/>
      </w:pPr>
      <w:r w:rsidRPr="00154F1D">
        <w:t>(iii)</w:t>
      </w:r>
      <w:r w:rsidR="003710CA" w:rsidRPr="00154F1D">
        <w:tab/>
      </w:r>
      <w:r w:rsidRPr="00154F1D">
        <w:t>2 registered medical practitioners, or</w:t>
      </w:r>
    </w:p>
    <w:p w14:paraId="58A0BDAC" w14:textId="13E9C9ED" w:rsidR="0014208F" w:rsidRPr="00154F1D" w:rsidRDefault="0014208F" w:rsidP="003710CA">
      <w:pPr>
        <w:pStyle w:val="NumberlessNormalText"/>
        <w:tabs>
          <w:tab w:val="clear" w:pos="851"/>
        </w:tabs>
        <w:ind w:left="1418" w:hanging="567"/>
      </w:pPr>
      <w:r w:rsidRPr="00154F1D">
        <w:t>(iv)</w:t>
      </w:r>
      <w:r w:rsidR="003710CA" w:rsidRPr="00154F1D">
        <w:tab/>
      </w:r>
      <w:r w:rsidRPr="00154F1D">
        <w:t>any combination of 2 persons referred to in subparagraphs (i)–(iii),</w:t>
      </w:r>
    </w:p>
    <w:p w14:paraId="299951CB" w14:textId="77777777" w:rsidR="0014208F" w:rsidRPr="00154F1D" w:rsidRDefault="0014208F" w:rsidP="003710CA">
      <w:pPr>
        <w:pStyle w:val="NumberlessNormalText"/>
        <w:ind w:left="426"/>
      </w:pPr>
      <w:r w:rsidRPr="00154F1D">
        <w:t>to conduct separate examinations of the forensic patient and to furnish reports to the Supreme Court on the results of those examinations, and</w:t>
      </w:r>
    </w:p>
    <w:p w14:paraId="79E39835" w14:textId="72F7622A" w:rsidR="0014208F" w:rsidRPr="00154F1D" w:rsidRDefault="0014208F" w:rsidP="003710CA">
      <w:pPr>
        <w:pStyle w:val="NumberlessNormalText"/>
        <w:ind w:left="851" w:hanging="425"/>
      </w:pPr>
      <w:r w:rsidRPr="00154F1D">
        <w:t>(b)</w:t>
      </w:r>
      <w:r w:rsidR="003710CA" w:rsidRPr="00154F1D">
        <w:tab/>
      </w:r>
      <w:r w:rsidRPr="00154F1D">
        <w:t>directing the forensic patient to attend those examinations.</w:t>
      </w:r>
    </w:p>
    <w:p w14:paraId="2B5323B0" w14:textId="5B9A8DC0" w:rsidR="0014208F" w:rsidRPr="00154F1D" w:rsidRDefault="0014208F" w:rsidP="003710CA">
      <w:pPr>
        <w:pStyle w:val="NumberlessNormalText"/>
        <w:ind w:left="426" w:hanging="426"/>
      </w:pPr>
      <w:r w:rsidRPr="00154F1D">
        <w:t>(6)</w:t>
      </w:r>
      <w:r w:rsidR="003710CA" w:rsidRPr="00154F1D">
        <w:tab/>
      </w:r>
      <w:r w:rsidRPr="00154F1D">
        <w:t>If, following the preliminary hearing, it is not satisfied that the matters alleged in the supporting documentation would, if proved, justify the making of an extension order, the Supreme Court must dismiss the application.</w:t>
      </w:r>
    </w:p>
    <w:p w14:paraId="2F8CE949" w14:textId="61F71E4D" w:rsidR="0014208F" w:rsidRPr="00154F1D" w:rsidRDefault="0014208F" w:rsidP="003710CA">
      <w:pPr>
        <w:pStyle w:val="NumberlessNormalText"/>
        <w:ind w:left="426" w:hanging="426"/>
      </w:pPr>
      <w:r w:rsidRPr="00154F1D">
        <w:t>(7)</w:t>
      </w:r>
      <w:r w:rsidR="003710CA" w:rsidRPr="00154F1D">
        <w:tab/>
      </w:r>
      <w:r w:rsidRPr="00154F1D">
        <w:t>A forensic patient in respect of whom an application for an extension order has been made is, unless the Supreme Court otherwise determines, entitled to inspect or otherwise have access to any medical records in the possession of any person relating to the forensic patient.</w:t>
      </w:r>
    </w:p>
    <w:p w14:paraId="4BDE60E6" w14:textId="5A0E74C7" w:rsidR="0014208F" w:rsidRPr="00154F1D" w:rsidRDefault="0014208F" w:rsidP="00000534">
      <w:pPr>
        <w:pStyle w:val="NumberlessNormalText"/>
        <w:ind w:left="426" w:hanging="426"/>
      </w:pPr>
      <w:r w:rsidRPr="00154F1D">
        <w:t>(8)</w:t>
      </w:r>
      <w:r w:rsidR="00000534" w:rsidRPr="00154F1D">
        <w:tab/>
      </w:r>
      <w:r w:rsidRPr="00154F1D">
        <w:t>A representative of the forensic patient is entitled, at any time before or during the proceedings on the application, to inspect or otherwise have access to any medical records in the possession of any person relating to the forensic patient.</w:t>
      </w:r>
    </w:p>
    <w:p w14:paraId="2D38270E" w14:textId="2DE2D6D7" w:rsidR="0014208F" w:rsidRPr="00154F1D" w:rsidRDefault="0014208F" w:rsidP="00000534">
      <w:pPr>
        <w:pStyle w:val="NumberlessNormalText"/>
        <w:ind w:left="426" w:hanging="426"/>
      </w:pPr>
      <w:r w:rsidRPr="00154F1D">
        <w:t>(9)</w:t>
      </w:r>
      <w:r w:rsidR="00000534" w:rsidRPr="00154F1D">
        <w:tab/>
      </w:r>
      <w:r w:rsidRPr="00154F1D">
        <w:t>Subject to any order or direction of the Supreme Court, in relation to an inspection under subclause (8) of, or other access under that subclause to, any medical record relating to a forensic patient:</w:t>
      </w:r>
    </w:p>
    <w:p w14:paraId="5E3F1335" w14:textId="179AE747" w:rsidR="0014208F" w:rsidRPr="00154F1D" w:rsidRDefault="0014208F" w:rsidP="00000534">
      <w:pPr>
        <w:pStyle w:val="NumberlessNormalText"/>
        <w:ind w:left="851" w:hanging="425"/>
      </w:pPr>
      <w:r w:rsidRPr="00154F1D">
        <w:t>(a)</w:t>
      </w:r>
      <w:r w:rsidR="00000534" w:rsidRPr="00154F1D">
        <w:tab/>
      </w:r>
      <w:r w:rsidRPr="00154F1D">
        <w:t>if a medical practitioner warns the representative of the forensic patient that it may be harmful to communicate to the forensic patient, or any other person, specified information contained in those medical records, the representative is to have full and proper regard to that warning, and</w:t>
      </w:r>
    </w:p>
    <w:p w14:paraId="34D0D144" w14:textId="50FA4531" w:rsidR="0014208F" w:rsidRPr="00154F1D" w:rsidRDefault="0014208F" w:rsidP="00000534">
      <w:pPr>
        <w:pStyle w:val="NumberlessNormalText"/>
        <w:ind w:left="851" w:hanging="425"/>
      </w:pPr>
      <w:r w:rsidRPr="00154F1D">
        <w:t>(b)</w:t>
      </w:r>
      <w:r w:rsidR="00000534" w:rsidRPr="00154F1D">
        <w:tab/>
      </w:r>
      <w:r w:rsidRPr="00154F1D">
        <w:t>the representative is not obliged to disclose to the forensic patient any information obtained by virtue of the inspection or other access.</w:t>
      </w:r>
    </w:p>
    <w:p w14:paraId="6B802C3B" w14:textId="77777777" w:rsidR="0014208F" w:rsidRPr="00154F1D" w:rsidRDefault="0014208F" w:rsidP="00352640">
      <w:pPr>
        <w:pStyle w:val="NumberlessNormalText"/>
        <w:rPr>
          <w:b/>
        </w:rPr>
      </w:pPr>
      <w:r w:rsidRPr="00154F1D">
        <w:rPr>
          <w:b/>
        </w:rPr>
        <w:t>Division 2 Determination of application</w:t>
      </w:r>
    </w:p>
    <w:p w14:paraId="0ABB55CC" w14:textId="4525B49C" w:rsidR="0014208F" w:rsidRPr="00154F1D" w:rsidRDefault="0014208F" w:rsidP="008D6EF6">
      <w:pPr>
        <w:pStyle w:val="NumberlessNormalText"/>
        <w:ind w:left="284" w:hanging="284"/>
        <w:rPr>
          <w:b/>
        </w:rPr>
      </w:pPr>
      <w:r w:rsidRPr="00154F1D">
        <w:rPr>
          <w:b/>
        </w:rPr>
        <w:t>7</w:t>
      </w:r>
      <w:r w:rsidR="008D6EF6" w:rsidRPr="00154F1D">
        <w:rPr>
          <w:b/>
        </w:rPr>
        <w:t xml:space="preserve"> </w:t>
      </w:r>
      <w:r w:rsidR="008D6EF6" w:rsidRPr="00154F1D">
        <w:rPr>
          <w:b/>
        </w:rPr>
        <w:tab/>
      </w:r>
      <w:r w:rsidRPr="00154F1D">
        <w:rPr>
          <w:b/>
        </w:rPr>
        <w:t>Determination of application for extension order</w:t>
      </w:r>
    </w:p>
    <w:p w14:paraId="4FD72E4D" w14:textId="419F3466" w:rsidR="0014208F" w:rsidRPr="00154F1D" w:rsidRDefault="0014208F" w:rsidP="008D6EF6">
      <w:pPr>
        <w:pStyle w:val="NumberlessNormalText"/>
        <w:ind w:left="426" w:hanging="426"/>
      </w:pPr>
      <w:r w:rsidRPr="00154F1D">
        <w:t>(1)</w:t>
      </w:r>
      <w:r w:rsidR="008D6EF6" w:rsidRPr="00154F1D">
        <w:tab/>
      </w:r>
      <w:r w:rsidRPr="00154F1D">
        <w:t>The Supreme Court may determine an application under this Part for an extension order:</w:t>
      </w:r>
    </w:p>
    <w:p w14:paraId="0D182CD9" w14:textId="3A39AD49" w:rsidR="0014208F" w:rsidRPr="00154F1D" w:rsidRDefault="0014208F" w:rsidP="008D6EF6">
      <w:pPr>
        <w:pStyle w:val="NumberlessNormalText"/>
        <w:ind w:left="851" w:hanging="425"/>
      </w:pPr>
      <w:r w:rsidRPr="00154F1D">
        <w:t>(a)</w:t>
      </w:r>
      <w:r w:rsidR="008D6EF6" w:rsidRPr="00154F1D">
        <w:tab/>
      </w:r>
      <w:r w:rsidRPr="00154F1D">
        <w:t>by making the order, or</w:t>
      </w:r>
    </w:p>
    <w:p w14:paraId="737D3162" w14:textId="562F0221" w:rsidR="0014208F" w:rsidRPr="00154F1D" w:rsidRDefault="0014208F" w:rsidP="008D6EF6">
      <w:pPr>
        <w:pStyle w:val="NumberlessNormalText"/>
        <w:ind w:left="851" w:hanging="425"/>
      </w:pPr>
      <w:r w:rsidRPr="00154F1D">
        <w:t>(b)</w:t>
      </w:r>
      <w:r w:rsidR="008D6EF6" w:rsidRPr="00154F1D">
        <w:tab/>
      </w:r>
      <w:r w:rsidRPr="00154F1D">
        <w:t>by dismissing the application.</w:t>
      </w:r>
    </w:p>
    <w:p w14:paraId="24DC716B" w14:textId="6E701DD6" w:rsidR="0014208F" w:rsidRPr="00154F1D" w:rsidRDefault="0014208F" w:rsidP="008D6EF6">
      <w:pPr>
        <w:pStyle w:val="NumberlessNormalText"/>
        <w:ind w:left="426" w:hanging="426"/>
      </w:pPr>
      <w:r w:rsidRPr="00154F1D">
        <w:t>(2)</w:t>
      </w:r>
      <w:r w:rsidR="008D6EF6" w:rsidRPr="00154F1D">
        <w:tab/>
      </w:r>
      <w:r w:rsidRPr="00154F1D">
        <w:t>In determining whether or not to make an extension order, the Supreme Court must have regard to the following matters in addition to any other matter it considers relevant:</w:t>
      </w:r>
    </w:p>
    <w:p w14:paraId="37F7D03E" w14:textId="707725A4" w:rsidR="0014208F" w:rsidRPr="00154F1D" w:rsidRDefault="0014208F" w:rsidP="008D6EF6">
      <w:pPr>
        <w:pStyle w:val="NumberlessNormalText"/>
        <w:ind w:left="851" w:hanging="425"/>
      </w:pPr>
      <w:r w:rsidRPr="00154F1D">
        <w:t>(a)</w:t>
      </w:r>
      <w:r w:rsidR="008D6EF6" w:rsidRPr="00154F1D">
        <w:tab/>
      </w:r>
      <w:r w:rsidRPr="00154F1D">
        <w:t>the safety of the community,</w:t>
      </w:r>
    </w:p>
    <w:p w14:paraId="38FCA11B" w14:textId="6DF9A0E0" w:rsidR="0014208F" w:rsidRPr="00154F1D" w:rsidRDefault="0014208F" w:rsidP="008D6EF6">
      <w:pPr>
        <w:pStyle w:val="NumberlessNormalText"/>
        <w:ind w:left="851" w:hanging="425"/>
      </w:pPr>
      <w:r w:rsidRPr="00154F1D">
        <w:t>(b)</w:t>
      </w:r>
      <w:r w:rsidR="008D6EF6" w:rsidRPr="00154F1D">
        <w:tab/>
      </w:r>
      <w:r w:rsidRPr="00154F1D">
        <w:t>the reports received from the persons appointed under clause 6 (5) to conduct examinations of the forensic patient,</w:t>
      </w:r>
    </w:p>
    <w:p w14:paraId="4EBD66B1" w14:textId="09FF0494" w:rsidR="0014208F" w:rsidRPr="00154F1D" w:rsidRDefault="0014208F" w:rsidP="008D6EF6">
      <w:pPr>
        <w:pStyle w:val="NumberlessNormalText"/>
        <w:ind w:left="851" w:hanging="425"/>
      </w:pPr>
      <w:r w:rsidRPr="00154F1D">
        <w:t>(c)</w:t>
      </w:r>
      <w:r w:rsidR="008D6EF6" w:rsidRPr="00154F1D">
        <w:tab/>
      </w:r>
      <w:r w:rsidRPr="00154F1D">
        <w:t>the report of the qualified psychiatrist, registered psychologist or registered medical practitioner provided under clause 5 (b),</w:t>
      </w:r>
    </w:p>
    <w:p w14:paraId="531984FE" w14:textId="3F23A7F5" w:rsidR="0014208F" w:rsidRPr="00154F1D" w:rsidRDefault="0014208F" w:rsidP="008D6EF6">
      <w:pPr>
        <w:pStyle w:val="NumberlessNormalText"/>
        <w:ind w:left="851" w:hanging="425"/>
      </w:pPr>
      <w:r w:rsidRPr="00154F1D">
        <w:t>(d)</w:t>
      </w:r>
      <w:r w:rsidR="008D6EF6" w:rsidRPr="00154F1D">
        <w:tab/>
      </w:r>
      <w:r w:rsidRPr="00154F1D">
        <w:t>any other report of a qualified psychiatrist, registered psychologist or registered medical practitioner provided in support of the application or by the forensic patient,</w:t>
      </w:r>
    </w:p>
    <w:p w14:paraId="150FE54F" w14:textId="4203CAEB" w:rsidR="0014208F" w:rsidRPr="00154F1D" w:rsidRDefault="0014208F" w:rsidP="008D6EF6">
      <w:pPr>
        <w:pStyle w:val="NumberlessNormalText"/>
        <w:ind w:left="851" w:hanging="425"/>
      </w:pPr>
      <w:r w:rsidRPr="00154F1D">
        <w:t>(e)</w:t>
      </w:r>
      <w:r w:rsidR="008D6EF6" w:rsidRPr="00154F1D">
        <w:tab/>
      </w:r>
      <w:r w:rsidRPr="00154F1D">
        <w:t>any order or decision made by the Tribunal with respect to the forensic patient that is relevant to the application,</w:t>
      </w:r>
    </w:p>
    <w:p w14:paraId="1DDCC3CB" w14:textId="110D25DC" w:rsidR="0014208F" w:rsidRPr="00154F1D" w:rsidRDefault="0014208F" w:rsidP="008D6EF6">
      <w:pPr>
        <w:pStyle w:val="NumberlessNormalText"/>
        <w:ind w:left="851" w:hanging="425"/>
      </w:pPr>
      <w:r w:rsidRPr="00154F1D">
        <w:t>(f)</w:t>
      </w:r>
      <w:r w:rsidR="008D6EF6" w:rsidRPr="00154F1D">
        <w:tab/>
      </w:r>
      <w:r w:rsidRPr="00154F1D">
        <w:t>any report of the Secretary of the Ministry of Health, the Commissioner of Corrective Services, the Secretary of the Department of Family and Community Services or any other government Department or agency responsible for the detention, care or treatment of the forensic patient,</w:t>
      </w:r>
    </w:p>
    <w:p w14:paraId="39501026" w14:textId="6A96AD05" w:rsidR="0014208F" w:rsidRPr="00154F1D" w:rsidRDefault="0014208F" w:rsidP="008D6EF6">
      <w:pPr>
        <w:pStyle w:val="NumberlessNormalText"/>
        <w:ind w:left="851" w:hanging="425"/>
      </w:pPr>
      <w:r w:rsidRPr="00154F1D">
        <w:t>(g)</w:t>
      </w:r>
      <w:r w:rsidR="008D6EF6" w:rsidRPr="00154F1D">
        <w:tab/>
      </w:r>
      <w:r w:rsidRPr="00154F1D">
        <w:t>the level of the forensic patient’s compliance with any obligations to which he or she is or has been subject while a forensic patient (including while released from custody subject to conditions and while on a leave of absence in accordance with section 49 or 50),</w:t>
      </w:r>
    </w:p>
    <w:p w14:paraId="4F884DA2" w14:textId="6BC0ACB5" w:rsidR="0014208F" w:rsidRPr="00154F1D" w:rsidRDefault="0014208F" w:rsidP="008D6EF6">
      <w:pPr>
        <w:pStyle w:val="NumberlessNormalText"/>
        <w:ind w:left="851" w:hanging="425"/>
      </w:pPr>
      <w:r w:rsidRPr="00154F1D">
        <w:t>(h)</w:t>
      </w:r>
      <w:r w:rsidR="008D6EF6" w:rsidRPr="00154F1D">
        <w:tab/>
      </w:r>
      <w:r w:rsidRPr="00154F1D">
        <w:t>the views of the court that imposed the limiting term or existing extension order on the forensic patient at the time the limiting term or extension order was imposed,</w:t>
      </w:r>
    </w:p>
    <w:p w14:paraId="3B1712CC" w14:textId="0B5BC018" w:rsidR="0014208F" w:rsidRPr="00154F1D" w:rsidRDefault="0014208F" w:rsidP="008D6EF6">
      <w:pPr>
        <w:pStyle w:val="NumberlessNormalText"/>
        <w:ind w:left="851" w:hanging="425"/>
      </w:pPr>
      <w:r w:rsidRPr="00154F1D">
        <w:t>(i)</w:t>
      </w:r>
      <w:r w:rsidR="008D6EF6" w:rsidRPr="00154F1D">
        <w:tab/>
      </w:r>
      <w:r w:rsidRPr="00154F1D">
        <w:t>any other information that is available as to the risk that the forensic patient will in future cause serious harm to others.</w:t>
      </w:r>
    </w:p>
    <w:p w14:paraId="7F38F8DE" w14:textId="53F1B3A9" w:rsidR="0014208F" w:rsidRPr="00154F1D" w:rsidRDefault="0014208F" w:rsidP="008D6EF6">
      <w:pPr>
        <w:pStyle w:val="NumberlessNormalText"/>
        <w:ind w:left="426" w:hanging="426"/>
      </w:pPr>
      <w:r w:rsidRPr="00154F1D">
        <w:t>(3)</w:t>
      </w:r>
      <w:r w:rsidR="008D6EF6" w:rsidRPr="00154F1D">
        <w:tab/>
      </w:r>
      <w:r w:rsidRPr="00154F1D">
        <w:t>If the Supreme Court makes an extension order in respect of a forensic patient, the Court is to notify the Tribunal of the making of the order.</w:t>
      </w:r>
    </w:p>
    <w:p w14:paraId="5329317A" w14:textId="0570B907" w:rsidR="0014208F" w:rsidRPr="00154F1D" w:rsidRDefault="0014208F" w:rsidP="008D6EF6">
      <w:pPr>
        <w:pStyle w:val="NumberlessNormalText"/>
        <w:ind w:left="284" w:hanging="284"/>
        <w:rPr>
          <w:b/>
        </w:rPr>
      </w:pPr>
      <w:r w:rsidRPr="00154F1D">
        <w:rPr>
          <w:b/>
        </w:rPr>
        <w:t>8</w:t>
      </w:r>
      <w:r w:rsidR="008D6EF6" w:rsidRPr="00154F1D">
        <w:rPr>
          <w:b/>
        </w:rPr>
        <w:tab/>
      </w:r>
      <w:r w:rsidRPr="00154F1D">
        <w:rPr>
          <w:b/>
        </w:rPr>
        <w:t>Term of extension order</w:t>
      </w:r>
    </w:p>
    <w:p w14:paraId="6E5BF91F" w14:textId="3D3C9D13" w:rsidR="0014208F" w:rsidRPr="00154F1D" w:rsidRDefault="0014208F" w:rsidP="008D6EF6">
      <w:pPr>
        <w:pStyle w:val="NumberlessNormalText"/>
        <w:ind w:left="426" w:hanging="426"/>
      </w:pPr>
      <w:r w:rsidRPr="00154F1D">
        <w:t>(1)</w:t>
      </w:r>
      <w:r w:rsidR="008D6EF6" w:rsidRPr="00154F1D">
        <w:tab/>
      </w:r>
      <w:r w:rsidRPr="00154F1D">
        <w:t>An extension order:</w:t>
      </w:r>
    </w:p>
    <w:p w14:paraId="5971185D" w14:textId="15184400" w:rsidR="0014208F" w:rsidRPr="00154F1D" w:rsidRDefault="0014208F" w:rsidP="008D6EF6">
      <w:pPr>
        <w:pStyle w:val="NumberlessNormalText"/>
        <w:ind w:left="851" w:hanging="425"/>
      </w:pPr>
      <w:r w:rsidRPr="00154F1D">
        <w:t>(a)</w:t>
      </w:r>
      <w:r w:rsidR="008D6EF6" w:rsidRPr="00154F1D">
        <w:tab/>
      </w:r>
      <w:r w:rsidRPr="00154F1D">
        <w:t>commences when it is made, or when the limiting term or existing extension order to which the forensic patient is subject expires, whichever is the later, and</w:t>
      </w:r>
    </w:p>
    <w:p w14:paraId="62C09C99" w14:textId="10593B52" w:rsidR="0014208F" w:rsidRPr="00154F1D" w:rsidRDefault="0014208F" w:rsidP="008D6EF6">
      <w:pPr>
        <w:pStyle w:val="NumberlessNormalText"/>
        <w:ind w:left="851" w:hanging="425"/>
      </w:pPr>
      <w:r w:rsidRPr="00154F1D">
        <w:t>(b)</w:t>
      </w:r>
      <w:r w:rsidR="008D6EF6" w:rsidRPr="00154F1D">
        <w:tab/>
      </w:r>
      <w:r w:rsidRPr="00154F1D">
        <w:t>expires at the end of the period (not exceeding 5 years from the day on which it commences) that is specified in the order.</w:t>
      </w:r>
    </w:p>
    <w:p w14:paraId="12447A3E" w14:textId="2F02CF78" w:rsidR="0014208F" w:rsidRPr="00154F1D" w:rsidRDefault="0014208F" w:rsidP="008D6EF6">
      <w:pPr>
        <w:pStyle w:val="NumberlessNormalText"/>
        <w:ind w:left="426" w:hanging="426"/>
      </w:pPr>
      <w:r w:rsidRPr="00154F1D">
        <w:t>(2)</w:t>
      </w:r>
      <w:r w:rsidR="008D6EF6" w:rsidRPr="00154F1D">
        <w:tab/>
      </w:r>
      <w:r w:rsidRPr="00154F1D">
        <w:t>Nothing in this clause prevents the Supreme Court from making a second or subsequent extension order against the same forensic patient.</w:t>
      </w:r>
    </w:p>
    <w:p w14:paraId="23658CB9" w14:textId="7C265732" w:rsidR="0014208F" w:rsidRPr="00154F1D" w:rsidRDefault="0014208F" w:rsidP="008D6EF6">
      <w:pPr>
        <w:pStyle w:val="NumberlessNormalText"/>
        <w:ind w:left="284" w:hanging="284"/>
      </w:pPr>
      <w:r w:rsidRPr="00154F1D">
        <w:rPr>
          <w:b/>
        </w:rPr>
        <w:t>9</w:t>
      </w:r>
      <w:r w:rsidR="008D6EF6" w:rsidRPr="00154F1D">
        <w:tab/>
      </w:r>
      <w:r w:rsidRPr="00154F1D">
        <w:rPr>
          <w:b/>
        </w:rPr>
        <w:t>Continuation of order relating to forensic patient</w:t>
      </w:r>
    </w:p>
    <w:p w14:paraId="09D45F2A" w14:textId="77777777" w:rsidR="0014208F" w:rsidRPr="00154F1D" w:rsidRDefault="0014208F" w:rsidP="00352640">
      <w:pPr>
        <w:pStyle w:val="NumberlessNormalText"/>
      </w:pPr>
      <w:r w:rsidRPr="00154F1D">
        <w:t>The making of an extension order or interim extension order in respect of a forensic patient does not affect the operation of any order as to the forensic patient’s care, detention, treatment or release from custody to which the forensic patient was subject immediately before the making of the extension order.</w:t>
      </w:r>
    </w:p>
    <w:p w14:paraId="273FE87A" w14:textId="77777777" w:rsidR="0014208F" w:rsidRPr="00154F1D" w:rsidRDefault="0014208F" w:rsidP="00352640">
      <w:pPr>
        <w:pStyle w:val="NumberlessNormalText"/>
        <w:rPr>
          <w:b/>
        </w:rPr>
      </w:pPr>
      <w:r w:rsidRPr="00154F1D">
        <w:rPr>
          <w:b/>
        </w:rPr>
        <w:t>Division 3 Interim extension orders</w:t>
      </w:r>
    </w:p>
    <w:p w14:paraId="29BE7145" w14:textId="2F042FE5" w:rsidR="0014208F" w:rsidRPr="00154F1D" w:rsidRDefault="0014208F" w:rsidP="008D6EF6">
      <w:pPr>
        <w:pStyle w:val="NumberlessNormalText"/>
        <w:ind w:left="284" w:hanging="284"/>
        <w:rPr>
          <w:b/>
        </w:rPr>
      </w:pPr>
      <w:r w:rsidRPr="00154F1D">
        <w:rPr>
          <w:b/>
        </w:rPr>
        <w:t>10</w:t>
      </w:r>
      <w:r w:rsidR="008D6EF6" w:rsidRPr="00154F1D">
        <w:rPr>
          <w:b/>
        </w:rPr>
        <w:tab/>
      </w:r>
      <w:r w:rsidRPr="00154F1D">
        <w:rPr>
          <w:b/>
        </w:rPr>
        <w:t>Interim extension order</w:t>
      </w:r>
    </w:p>
    <w:p w14:paraId="0A0C2AF4" w14:textId="77777777" w:rsidR="0014208F" w:rsidRPr="00154F1D" w:rsidRDefault="0014208F" w:rsidP="00352640">
      <w:pPr>
        <w:pStyle w:val="NumberlessNormalText"/>
      </w:pPr>
      <w:r w:rsidRPr="00154F1D">
        <w:t>The Supreme Court may make an order for the interim extension of a person’s status as a forensic patient if, in proceedings on an application for an extension order, it appears to the Court:</w:t>
      </w:r>
    </w:p>
    <w:p w14:paraId="0FD87FAD" w14:textId="0A01A158" w:rsidR="0014208F" w:rsidRPr="00154F1D" w:rsidRDefault="0014208F" w:rsidP="008D6EF6">
      <w:pPr>
        <w:pStyle w:val="NumberlessNormalText"/>
        <w:ind w:left="851" w:hanging="425"/>
      </w:pPr>
      <w:r w:rsidRPr="00154F1D">
        <w:t>(a)</w:t>
      </w:r>
      <w:r w:rsidR="008D6EF6" w:rsidRPr="00154F1D">
        <w:tab/>
      </w:r>
      <w:r w:rsidRPr="00154F1D">
        <w:t>that the limiting term or existing extension order to which the forensic patient is subject will expire before the proceedings are determined, and</w:t>
      </w:r>
    </w:p>
    <w:p w14:paraId="7FA6C9B0" w14:textId="0ACDD7B6" w:rsidR="0014208F" w:rsidRPr="00154F1D" w:rsidRDefault="0014208F" w:rsidP="008D6EF6">
      <w:pPr>
        <w:pStyle w:val="NumberlessNormalText"/>
        <w:ind w:left="851" w:hanging="425"/>
      </w:pPr>
      <w:r w:rsidRPr="00154F1D">
        <w:t>(b)</w:t>
      </w:r>
      <w:r w:rsidR="008D6EF6" w:rsidRPr="00154F1D">
        <w:tab/>
      </w:r>
      <w:r w:rsidRPr="00154F1D">
        <w:t>that the matters alleged in the supporting documentation would, if proved, justify the making of an extension order.</w:t>
      </w:r>
    </w:p>
    <w:p w14:paraId="254658D3" w14:textId="11C640F2" w:rsidR="0014208F" w:rsidRPr="00154F1D" w:rsidRDefault="0014208F" w:rsidP="008D6EF6">
      <w:pPr>
        <w:pStyle w:val="NumberlessNormalText"/>
        <w:ind w:left="284" w:hanging="284"/>
        <w:rPr>
          <w:b/>
        </w:rPr>
      </w:pPr>
      <w:r w:rsidRPr="00154F1D">
        <w:rPr>
          <w:b/>
        </w:rPr>
        <w:t>11</w:t>
      </w:r>
      <w:r w:rsidR="008D6EF6" w:rsidRPr="00154F1D">
        <w:rPr>
          <w:b/>
        </w:rPr>
        <w:tab/>
      </w:r>
      <w:r w:rsidRPr="00154F1D">
        <w:rPr>
          <w:b/>
        </w:rPr>
        <w:t>Term of interim extension order</w:t>
      </w:r>
    </w:p>
    <w:p w14:paraId="16CA6554" w14:textId="71268107" w:rsidR="0014208F" w:rsidRPr="00154F1D" w:rsidRDefault="0014208F" w:rsidP="008D6EF6">
      <w:pPr>
        <w:pStyle w:val="NumberlessNormalText"/>
        <w:ind w:left="426" w:hanging="426"/>
      </w:pPr>
      <w:r w:rsidRPr="00154F1D">
        <w:t>(1)</w:t>
      </w:r>
      <w:r w:rsidR="008D6EF6" w:rsidRPr="00154F1D">
        <w:tab/>
      </w:r>
      <w:r w:rsidRPr="00154F1D">
        <w:t>An interim extension order commences on the day fixed in the order for its commencement (or, if no such day is fixed, as soon as it is made) and expires at the end of such period (not exceeding 28 days from the day on which it commences) as is specified in the order.</w:t>
      </w:r>
    </w:p>
    <w:p w14:paraId="6D9E16B6" w14:textId="1F839852" w:rsidR="0014208F" w:rsidRPr="00154F1D" w:rsidRDefault="0014208F" w:rsidP="008D6EF6">
      <w:pPr>
        <w:pStyle w:val="NumberlessNormalText"/>
        <w:ind w:left="426" w:hanging="426"/>
      </w:pPr>
      <w:r w:rsidRPr="00154F1D">
        <w:t>(2)</w:t>
      </w:r>
      <w:r w:rsidR="008D6EF6" w:rsidRPr="00154F1D">
        <w:tab/>
      </w:r>
      <w:r w:rsidRPr="00154F1D">
        <w:t>An interim extension order may be renewed from time to time, but not so as to provide for the extension of the person’s status as a forensic patient under such an order for periods totalling more than 3 months.</w:t>
      </w:r>
    </w:p>
    <w:p w14:paraId="24732FDA" w14:textId="3C14C29F" w:rsidR="0014208F" w:rsidRPr="00154F1D" w:rsidRDefault="0014208F" w:rsidP="008D6EF6">
      <w:pPr>
        <w:pStyle w:val="NumberlessNormalText"/>
        <w:ind w:left="426" w:hanging="426"/>
        <w:rPr>
          <w:b/>
        </w:rPr>
      </w:pPr>
      <w:r w:rsidRPr="00154F1D">
        <w:rPr>
          <w:b/>
        </w:rPr>
        <w:t>11A</w:t>
      </w:r>
      <w:r w:rsidR="008D6EF6" w:rsidRPr="00154F1D">
        <w:rPr>
          <w:b/>
        </w:rPr>
        <w:tab/>
      </w:r>
      <w:r w:rsidRPr="00154F1D">
        <w:rPr>
          <w:b/>
        </w:rPr>
        <w:t>Interim extension order to continue in force for 24 hours in certain circumstances</w:t>
      </w:r>
    </w:p>
    <w:p w14:paraId="71FF7D95" w14:textId="71C9674C" w:rsidR="0014208F" w:rsidRPr="00154F1D" w:rsidRDefault="0014208F" w:rsidP="008D6EF6">
      <w:pPr>
        <w:pStyle w:val="NumberlessNormalText"/>
        <w:ind w:left="426" w:hanging="426"/>
      </w:pPr>
      <w:r w:rsidRPr="00154F1D">
        <w:t>(1)</w:t>
      </w:r>
      <w:r w:rsidR="008D6EF6" w:rsidRPr="00154F1D">
        <w:tab/>
      </w:r>
      <w:r w:rsidRPr="00154F1D">
        <w:t xml:space="preserve">If the Supreme Court dismisses an application for an extension order in respect of a forensic patient who is detained only as a result of an interim extension order, the Court may (on its own motion or on application) order that the patient be detained for a further period of up to 24 hours to enable a medical practitioner or accredited person to assess whether a mental health certificate should be given in respect of the patient under section 19 of the </w:t>
      </w:r>
      <w:r w:rsidRPr="00154F1D">
        <w:rPr>
          <w:i/>
        </w:rPr>
        <w:t>Mental Health Act 2007</w:t>
      </w:r>
      <w:r w:rsidRPr="00154F1D">
        <w:t>.</w:t>
      </w:r>
    </w:p>
    <w:p w14:paraId="7181B097" w14:textId="6A92AFDD" w:rsidR="0014208F" w:rsidRPr="00154F1D" w:rsidRDefault="0014208F" w:rsidP="00DC482B">
      <w:pPr>
        <w:pStyle w:val="NumberlessNormalText"/>
        <w:ind w:left="426" w:hanging="426"/>
      </w:pPr>
      <w:r w:rsidRPr="00154F1D">
        <w:t>(2)</w:t>
      </w:r>
      <w:r w:rsidR="00DC482B" w:rsidRPr="00154F1D">
        <w:tab/>
      </w:r>
      <w:r w:rsidRPr="00154F1D">
        <w:t>The order ceases to authorise the detention of the person if the medical practitioner or accredited person making the assessment decides not to give that mental health certificate about the person.</w:t>
      </w:r>
    </w:p>
    <w:p w14:paraId="6E258424" w14:textId="77777777" w:rsidR="0014208F" w:rsidRPr="00154F1D" w:rsidRDefault="0014208F" w:rsidP="0035660C">
      <w:pPr>
        <w:pStyle w:val="NumberlessNormalText"/>
        <w:keepNext/>
        <w:rPr>
          <w:b/>
        </w:rPr>
      </w:pPr>
      <w:r w:rsidRPr="00154F1D">
        <w:rPr>
          <w:b/>
        </w:rPr>
        <w:t>Division 4 General</w:t>
      </w:r>
    </w:p>
    <w:p w14:paraId="5650C975" w14:textId="6D3EBAB5" w:rsidR="0014208F" w:rsidRPr="00154F1D" w:rsidRDefault="0014208F" w:rsidP="0035660C">
      <w:pPr>
        <w:pStyle w:val="NumberlessNormalText"/>
        <w:keepNext/>
        <w:ind w:left="284" w:hanging="284"/>
        <w:rPr>
          <w:b/>
        </w:rPr>
      </w:pPr>
      <w:r w:rsidRPr="00154F1D">
        <w:rPr>
          <w:b/>
        </w:rPr>
        <w:t>12</w:t>
      </w:r>
      <w:r w:rsidR="00DC482B" w:rsidRPr="00154F1D">
        <w:rPr>
          <w:b/>
        </w:rPr>
        <w:tab/>
      </w:r>
      <w:r w:rsidRPr="00154F1D">
        <w:rPr>
          <w:b/>
        </w:rPr>
        <w:t>Extension order or interim extension order may be varied or revoked</w:t>
      </w:r>
    </w:p>
    <w:p w14:paraId="744D622C" w14:textId="677870EB" w:rsidR="0014208F" w:rsidRPr="00154F1D" w:rsidRDefault="0014208F" w:rsidP="00DC482B">
      <w:pPr>
        <w:pStyle w:val="NumberlessNormalText"/>
        <w:ind w:left="426" w:hanging="426"/>
      </w:pPr>
      <w:r w:rsidRPr="00154F1D">
        <w:t>(1)</w:t>
      </w:r>
      <w:r w:rsidR="00DC482B" w:rsidRPr="00154F1D">
        <w:tab/>
      </w:r>
      <w:r w:rsidRPr="00154F1D">
        <w:t>The Supreme Court may at any time vary or revoke an extension order or interim extension order:</w:t>
      </w:r>
    </w:p>
    <w:p w14:paraId="57BC1590" w14:textId="0EE8E15A" w:rsidR="0014208F" w:rsidRPr="00154F1D" w:rsidRDefault="0014208F" w:rsidP="00DC482B">
      <w:pPr>
        <w:pStyle w:val="NumberlessNormalText"/>
        <w:ind w:left="851" w:hanging="425"/>
      </w:pPr>
      <w:r w:rsidRPr="00154F1D">
        <w:t>(a)</w:t>
      </w:r>
      <w:r w:rsidR="00DC482B" w:rsidRPr="00154F1D">
        <w:tab/>
      </w:r>
      <w:r w:rsidRPr="00154F1D">
        <w:t>on the application of a Minister administering this Act or the forensic patient, or</w:t>
      </w:r>
    </w:p>
    <w:p w14:paraId="65941E96" w14:textId="115D9CBC" w:rsidR="0014208F" w:rsidRPr="00154F1D" w:rsidRDefault="0014208F" w:rsidP="00DC482B">
      <w:pPr>
        <w:pStyle w:val="NumberlessNormalText"/>
        <w:ind w:left="851" w:hanging="425"/>
      </w:pPr>
      <w:r w:rsidRPr="00154F1D">
        <w:t>(b)</w:t>
      </w:r>
      <w:r w:rsidR="00DC482B" w:rsidRPr="00154F1D">
        <w:tab/>
      </w:r>
      <w:r w:rsidRPr="00154F1D">
        <w:t>on the recommendation of the Tribunal under section 47 (2A).</w:t>
      </w:r>
    </w:p>
    <w:p w14:paraId="7E664232" w14:textId="4B14699D" w:rsidR="0014208F" w:rsidRPr="00154F1D" w:rsidRDefault="0014208F" w:rsidP="00DC482B">
      <w:pPr>
        <w:pStyle w:val="NumberlessNormalText"/>
        <w:ind w:left="426" w:hanging="426"/>
      </w:pPr>
      <w:r w:rsidRPr="00154F1D">
        <w:t>(2)</w:t>
      </w:r>
      <w:r w:rsidR="00DC482B" w:rsidRPr="00154F1D">
        <w:tab/>
      </w:r>
      <w:r w:rsidRPr="00154F1D">
        <w:t>The period of an order must not be varied so that the total period as varied is greater than that otherwise permitted under this Part.</w:t>
      </w:r>
    </w:p>
    <w:p w14:paraId="340672F9" w14:textId="0C24EDB4" w:rsidR="0014208F" w:rsidRPr="00154F1D" w:rsidRDefault="0014208F" w:rsidP="00DC482B">
      <w:pPr>
        <w:pStyle w:val="NumberlessNormalText"/>
        <w:ind w:left="426" w:hanging="426"/>
      </w:pPr>
      <w:r w:rsidRPr="00154F1D">
        <w:t>(3)</w:t>
      </w:r>
      <w:r w:rsidR="00DC482B" w:rsidRPr="00154F1D">
        <w:tab/>
      </w:r>
      <w:r w:rsidRPr="00154F1D">
        <w:t>Without limiting the grounds for revoking an extension order or interim extension order, the Supreme Court may revoke an extension order or interim extension order if satisfied that circumstances have changed sufficiently to render the order unnecessary.</w:t>
      </w:r>
    </w:p>
    <w:p w14:paraId="161D8C6D" w14:textId="77777777" w:rsidR="0014208F" w:rsidRPr="00154F1D" w:rsidRDefault="0014208F" w:rsidP="00352640">
      <w:pPr>
        <w:pStyle w:val="NumberlessNormalText"/>
        <w:rPr>
          <w:b/>
        </w:rPr>
      </w:pPr>
      <w:r w:rsidRPr="00154F1D">
        <w:rPr>
          <w:b/>
        </w:rPr>
        <w:t>Part 3 Supreme Court proceedings</w:t>
      </w:r>
    </w:p>
    <w:p w14:paraId="64DFE2D1" w14:textId="7E48D824" w:rsidR="0014208F" w:rsidRPr="00154F1D" w:rsidRDefault="0014208F" w:rsidP="00DC482B">
      <w:pPr>
        <w:pStyle w:val="NumberlessNormalText"/>
        <w:ind w:left="284" w:hanging="284"/>
      </w:pPr>
      <w:r w:rsidRPr="00154F1D">
        <w:rPr>
          <w:b/>
        </w:rPr>
        <w:t>13</w:t>
      </w:r>
      <w:r w:rsidR="00DC482B" w:rsidRPr="00154F1D">
        <w:rPr>
          <w:b/>
        </w:rPr>
        <w:tab/>
      </w:r>
      <w:r w:rsidRPr="00154F1D">
        <w:rPr>
          <w:b/>
        </w:rPr>
        <w:t>Nature of proceedings</w:t>
      </w:r>
    </w:p>
    <w:p w14:paraId="7C0D45E9" w14:textId="77777777" w:rsidR="0014208F" w:rsidRPr="00154F1D" w:rsidRDefault="0014208F" w:rsidP="00352640">
      <w:pPr>
        <w:pStyle w:val="NumberlessNormalText"/>
      </w:pPr>
      <w:r w:rsidRPr="00154F1D">
        <w:t>Proceedings under this Schedule (including proceedings on an appeal under this Schedule) are civil proceedings and, to the extent to which this Schedule does not provide for their conduct, are to be conducted in accordance with the law (including the rules of evidence) relating to civil proceedings.</w:t>
      </w:r>
    </w:p>
    <w:p w14:paraId="468ADB8C" w14:textId="018D8026" w:rsidR="0014208F" w:rsidRPr="00154F1D" w:rsidRDefault="0014208F" w:rsidP="00DC482B">
      <w:pPr>
        <w:pStyle w:val="NumberlessNormalText"/>
        <w:ind w:left="284" w:hanging="284"/>
        <w:rPr>
          <w:b/>
        </w:rPr>
      </w:pPr>
      <w:r w:rsidRPr="00154F1D">
        <w:rPr>
          <w:b/>
        </w:rPr>
        <w:t>14</w:t>
      </w:r>
      <w:r w:rsidR="00DC482B" w:rsidRPr="00154F1D">
        <w:rPr>
          <w:b/>
        </w:rPr>
        <w:tab/>
      </w:r>
      <w:r w:rsidRPr="00154F1D">
        <w:rPr>
          <w:b/>
        </w:rPr>
        <w:t>Right of appeal</w:t>
      </w:r>
    </w:p>
    <w:p w14:paraId="581558D5" w14:textId="46D75520" w:rsidR="0014208F" w:rsidRPr="00154F1D" w:rsidRDefault="0014208F" w:rsidP="00DC482B">
      <w:pPr>
        <w:pStyle w:val="NumberlessNormalText"/>
        <w:ind w:left="426" w:hanging="426"/>
      </w:pPr>
      <w:r w:rsidRPr="00154F1D">
        <w:t>(1)</w:t>
      </w:r>
      <w:r w:rsidR="00DC482B" w:rsidRPr="00154F1D">
        <w:tab/>
      </w:r>
      <w:r w:rsidRPr="00154F1D">
        <w:t>An appeal to the Court of Appeal lies from any determination of the Supreme Court to make, or to refuse to make, or to vary or revoke an extension order.</w:t>
      </w:r>
    </w:p>
    <w:p w14:paraId="45FDCE74" w14:textId="30F2B10A" w:rsidR="0014208F" w:rsidRPr="00154F1D" w:rsidRDefault="0014208F" w:rsidP="00DC482B">
      <w:pPr>
        <w:pStyle w:val="NumberlessNormalText"/>
        <w:ind w:left="426" w:hanging="426"/>
      </w:pPr>
      <w:r w:rsidRPr="00154F1D">
        <w:t>(2)</w:t>
      </w:r>
      <w:r w:rsidR="00DC482B" w:rsidRPr="00154F1D">
        <w:tab/>
      </w:r>
      <w:r w:rsidRPr="00154F1D">
        <w:t>An appeal may be on a question of law, a question of fact or a question of mixed law and fact.</w:t>
      </w:r>
    </w:p>
    <w:p w14:paraId="34E60146" w14:textId="62CC2311" w:rsidR="0014208F" w:rsidRPr="00154F1D" w:rsidRDefault="0014208F" w:rsidP="00DC482B">
      <w:pPr>
        <w:pStyle w:val="NumberlessNormalText"/>
        <w:ind w:left="426" w:hanging="426"/>
      </w:pPr>
      <w:r w:rsidRPr="00154F1D">
        <w:t>(3)</w:t>
      </w:r>
      <w:r w:rsidR="00DC482B" w:rsidRPr="00154F1D">
        <w:tab/>
      </w:r>
      <w:r w:rsidRPr="00154F1D">
        <w:t>An appeal against the decision of the Supreme Court may be made, as of right, within 28 days after the date on which the decision was made or, by leave, within such further time as the Court of Appeal may allow.</w:t>
      </w:r>
    </w:p>
    <w:p w14:paraId="76CB98B1" w14:textId="3554CD3E" w:rsidR="0014208F" w:rsidRPr="00154F1D" w:rsidRDefault="0014208F" w:rsidP="00DC482B">
      <w:pPr>
        <w:pStyle w:val="NumberlessNormalText"/>
        <w:ind w:left="426" w:hanging="426"/>
      </w:pPr>
      <w:r w:rsidRPr="00154F1D">
        <w:t>(4)</w:t>
      </w:r>
      <w:r w:rsidR="00DC482B" w:rsidRPr="00154F1D">
        <w:tab/>
      </w:r>
      <w:r w:rsidRPr="00154F1D">
        <w:t>The making of an appeal does not stay the operation of an extension order.</w:t>
      </w:r>
    </w:p>
    <w:p w14:paraId="7BADBC54" w14:textId="75D12B7E" w:rsidR="0014208F" w:rsidRPr="00154F1D" w:rsidRDefault="0014208F" w:rsidP="00DC482B">
      <w:pPr>
        <w:pStyle w:val="NumberlessNormalText"/>
        <w:ind w:left="426" w:hanging="426"/>
      </w:pPr>
      <w:r w:rsidRPr="00154F1D">
        <w:t>(5)</w:t>
      </w:r>
      <w:r w:rsidR="00DC482B" w:rsidRPr="00154F1D">
        <w:tab/>
      </w:r>
      <w:r w:rsidRPr="00154F1D">
        <w:t>If the Court of Appeal remits a matter to the Supreme Court for decision after an appeal is made, the extension order the subject of the appeal continues in force, subject to any order made by the Court of Appeal.</w:t>
      </w:r>
    </w:p>
    <w:p w14:paraId="531ED06F" w14:textId="48FE5358" w:rsidR="0014208F" w:rsidRPr="00154F1D" w:rsidRDefault="0014208F" w:rsidP="00DC482B">
      <w:pPr>
        <w:pStyle w:val="NumberlessNormalText"/>
        <w:ind w:left="426" w:hanging="426"/>
      </w:pPr>
      <w:r w:rsidRPr="00154F1D">
        <w:t>(6)</w:t>
      </w:r>
      <w:r w:rsidR="00DC482B" w:rsidRPr="00154F1D">
        <w:tab/>
      </w:r>
      <w:r w:rsidRPr="00154F1D">
        <w:t>Without limiting any other jurisdiction it may have, if the Court of Appeal remits a matter to the Supreme Court for decision after an appeal is made, the Court of Appeal may make an interim order revoking or varying an extension order the subject of the appeal.</w:t>
      </w:r>
    </w:p>
    <w:p w14:paraId="602F1E25" w14:textId="370D7ADD" w:rsidR="0014208F" w:rsidRPr="00154F1D" w:rsidRDefault="0014208F" w:rsidP="00DC482B">
      <w:pPr>
        <w:pStyle w:val="NumberlessNormalText"/>
        <w:ind w:left="426" w:hanging="426"/>
      </w:pPr>
      <w:r w:rsidRPr="00154F1D">
        <w:t>(7)</w:t>
      </w:r>
      <w:r w:rsidR="00DC482B" w:rsidRPr="00154F1D">
        <w:tab/>
      </w:r>
      <w:r w:rsidRPr="00154F1D">
        <w:t>This clause does not limit any right of appeal that may exist apart from this Schedule.</w:t>
      </w:r>
    </w:p>
    <w:p w14:paraId="5E19619C" w14:textId="6C5179C5" w:rsidR="0014208F" w:rsidRPr="00154F1D" w:rsidRDefault="0014208F" w:rsidP="00DC482B">
      <w:pPr>
        <w:pStyle w:val="NumberlessNormalText"/>
        <w:ind w:left="284" w:hanging="284"/>
        <w:rPr>
          <w:b/>
        </w:rPr>
      </w:pPr>
      <w:r w:rsidRPr="00154F1D">
        <w:rPr>
          <w:b/>
        </w:rPr>
        <w:t>15</w:t>
      </w:r>
      <w:r w:rsidR="00DC482B" w:rsidRPr="00154F1D">
        <w:rPr>
          <w:b/>
        </w:rPr>
        <w:tab/>
      </w:r>
      <w:r w:rsidRPr="00154F1D">
        <w:rPr>
          <w:b/>
        </w:rPr>
        <w:t>Costs not to be awarded against forensic patient</w:t>
      </w:r>
    </w:p>
    <w:p w14:paraId="0EC27916" w14:textId="77777777" w:rsidR="0014208F" w:rsidRPr="00154F1D" w:rsidRDefault="0014208F" w:rsidP="00352640">
      <w:pPr>
        <w:pStyle w:val="NumberlessNormalText"/>
      </w:pPr>
      <w:r w:rsidRPr="00154F1D">
        <w:t>An order for costs may not be made against a forensic patient in relation to any proceedings under this Schedule (including proceedings on an appeal under this Schedule).</w:t>
      </w:r>
    </w:p>
    <w:p w14:paraId="4443C96F" w14:textId="7755E4B1" w:rsidR="0014208F" w:rsidRPr="00154F1D" w:rsidRDefault="0014208F" w:rsidP="00DC482B">
      <w:pPr>
        <w:pStyle w:val="NumberlessNormalText"/>
        <w:ind w:left="284" w:hanging="284"/>
        <w:rPr>
          <w:b/>
        </w:rPr>
      </w:pPr>
      <w:r w:rsidRPr="00154F1D">
        <w:rPr>
          <w:b/>
        </w:rPr>
        <w:t>16</w:t>
      </w:r>
      <w:r w:rsidR="00DC482B" w:rsidRPr="00154F1D">
        <w:rPr>
          <w:b/>
        </w:rPr>
        <w:tab/>
      </w:r>
      <w:r w:rsidRPr="00154F1D">
        <w:rPr>
          <w:b/>
        </w:rPr>
        <w:t>Preservation of Supreme Court jurisdiction</w:t>
      </w:r>
    </w:p>
    <w:p w14:paraId="77937D6A" w14:textId="77777777" w:rsidR="0014208F" w:rsidRPr="00154F1D" w:rsidRDefault="0014208F" w:rsidP="00352640">
      <w:pPr>
        <w:pStyle w:val="NumberlessNormalText"/>
      </w:pPr>
      <w:r w:rsidRPr="00154F1D">
        <w:t>Nothing in this Schedule limits the jurisdiction of the Supreme Court apart from this Act.</w:t>
      </w:r>
    </w:p>
    <w:p w14:paraId="45964A51" w14:textId="77777777" w:rsidR="0014208F" w:rsidRPr="00154F1D" w:rsidRDefault="0014208F" w:rsidP="0035660C">
      <w:pPr>
        <w:pStyle w:val="NumberlessNormalText"/>
        <w:keepNext/>
        <w:rPr>
          <w:b/>
        </w:rPr>
      </w:pPr>
      <w:r w:rsidRPr="00154F1D">
        <w:rPr>
          <w:b/>
        </w:rPr>
        <w:t>Part 4 Miscellaneous</w:t>
      </w:r>
    </w:p>
    <w:p w14:paraId="31ADE75C" w14:textId="78263A67" w:rsidR="0014208F" w:rsidRPr="00154F1D" w:rsidRDefault="0014208F" w:rsidP="0035660C">
      <w:pPr>
        <w:pStyle w:val="NumberlessNormalText"/>
        <w:keepNext/>
        <w:ind w:left="284" w:hanging="284"/>
        <w:rPr>
          <w:b/>
        </w:rPr>
      </w:pPr>
      <w:r w:rsidRPr="00154F1D">
        <w:rPr>
          <w:b/>
        </w:rPr>
        <w:t>17</w:t>
      </w:r>
      <w:r w:rsidR="00DC482B" w:rsidRPr="00154F1D">
        <w:rPr>
          <w:b/>
        </w:rPr>
        <w:tab/>
      </w:r>
      <w:r w:rsidRPr="00154F1D">
        <w:rPr>
          <w:b/>
        </w:rPr>
        <w:t>Minister may require provision of certain information</w:t>
      </w:r>
    </w:p>
    <w:p w14:paraId="77917768" w14:textId="6AB96419" w:rsidR="0014208F" w:rsidRPr="00154F1D" w:rsidRDefault="0014208F" w:rsidP="00DC482B">
      <w:pPr>
        <w:pStyle w:val="NumberlessNormalText"/>
        <w:ind w:left="426" w:hanging="426"/>
      </w:pPr>
      <w:r w:rsidRPr="00154F1D">
        <w:t>(1)</w:t>
      </w:r>
      <w:r w:rsidR="00DC482B" w:rsidRPr="00154F1D">
        <w:tab/>
      </w:r>
      <w:r w:rsidRPr="00154F1D">
        <w:t>A Minister administering this Act may, by order in writing served on any person, require that person to provide to the Minister any document, report or other information in that person’s possession, or under that person’s control, that relates to the behaviour, or physical or mental condition, of any forensic patient who is subject to a limiting term.</w:t>
      </w:r>
    </w:p>
    <w:p w14:paraId="229EB975" w14:textId="1C6B8711" w:rsidR="0014208F" w:rsidRPr="00154F1D" w:rsidRDefault="0014208F" w:rsidP="00DC482B">
      <w:pPr>
        <w:pStyle w:val="NumberlessNormalText"/>
        <w:ind w:left="426" w:hanging="426"/>
      </w:pPr>
      <w:r w:rsidRPr="00154F1D">
        <w:t>(2)</w:t>
      </w:r>
      <w:r w:rsidR="00DC482B" w:rsidRPr="00154F1D">
        <w:tab/>
      </w:r>
      <w:r w:rsidRPr="00154F1D">
        <w:t>A person who fails to comply with the requirements of an order under this clause is guilty of an offence.</w:t>
      </w:r>
    </w:p>
    <w:p w14:paraId="3E3D8DE7" w14:textId="77777777" w:rsidR="0014208F" w:rsidRPr="00154F1D" w:rsidRDefault="0014208F" w:rsidP="00352640">
      <w:pPr>
        <w:pStyle w:val="NumberlessNormalText"/>
      </w:pPr>
      <w:r w:rsidRPr="00154F1D">
        <w:t>Maximum penalty: 100 penalty units or imprisonment for 2 years, or both.</w:t>
      </w:r>
    </w:p>
    <w:p w14:paraId="5A79ACEF" w14:textId="108A4D57" w:rsidR="0014208F" w:rsidRPr="00154F1D" w:rsidRDefault="0014208F" w:rsidP="00DC482B">
      <w:pPr>
        <w:pStyle w:val="NumberlessNormalText"/>
        <w:ind w:left="426" w:hanging="426"/>
      </w:pPr>
      <w:r w:rsidRPr="00154F1D">
        <w:t>(3)</w:t>
      </w:r>
      <w:r w:rsidR="00DC482B" w:rsidRPr="00154F1D">
        <w:tab/>
      </w:r>
      <w:r w:rsidRPr="00154F1D">
        <w:t>A Minister administering this Act may request a court or the Tribunal to provide to the Minister any document, report or other information held by the court or Tribunal that relates to the behaviour, or physical or mental condition, of any forensic patient who is subject to a limiting term.</w:t>
      </w:r>
    </w:p>
    <w:p w14:paraId="699676C5" w14:textId="6BB1706E" w:rsidR="0014208F" w:rsidRPr="00154F1D" w:rsidRDefault="0014208F" w:rsidP="00DC482B">
      <w:pPr>
        <w:pStyle w:val="NumberlessNormalText"/>
        <w:ind w:left="426" w:hanging="426"/>
      </w:pPr>
      <w:r w:rsidRPr="00154F1D">
        <w:t>(4)</w:t>
      </w:r>
      <w:r w:rsidR="00DC482B" w:rsidRPr="00154F1D">
        <w:tab/>
      </w:r>
      <w:r w:rsidRPr="00154F1D">
        <w:t>Despite any Act or law to the contrary, any document or report of a kind referred to in subclause (1) or (3), or any copy of any such document or report, is admissible in proceedings under this Act (whether admission is sought by the Minister to whom the document or report was provided or by another Minister administering this Act).</w:t>
      </w:r>
    </w:p>
    <w:p w14:paraId="4C57450C" w14:textId="1877B4E4" w:rsidR="0014208F" w:rsidRPr="00154F1D" w:rsidRDefault="0014208F" w:rsidP="00DC482B">
      <w:pPr>
        <w:pStyle w:val="NumberlessNormalText"/>
        <w:ind w:left="426" w:hanging="426"/>
        <w:rPr>
          <w:b/>
        </w:rPr>
      </w:pPr>
      <w:r w:rsidRPr="00154F1D">
        <w:rPr>
          <w:b/>
        </w:rPr>
        <w:t>17A</w:t>
      </w:r>
      <w:r w:rsidR="00DC482B" w:rsidRPr="00154F1D">
        <w:rPr>
          <w:b/>
        </w:rPr>
        <w:tab/>
      </w:r>
      <w:r w:rsidRPr="00154F1D">
        <w:rPr>
          <w:b/>
        </w:rPr>
        <w:t>Information sharing</w:t>
      </w:r>
    </w:p>
    <w:p w14:paraId="4B00C343" w14:textId="0F7E7F6B" w:rsidR="0014208F" w:rsidRPr="00154F1D" w:rsidRDefault="0014208F" w:rsidP="00DC482B">
      <w:pPr>
        <w:pStyle w:val="NumberlessNormalText"/>
        <w:ind w:left="426" w:hanging="426"/>
      </w:pPr>
      <w:r w:rsidRPr="00154F1D">
        <w:t>(1)</w:t>
      </w:r>
      <w:r w:rsidR="00DC482B" w:rsidRPr="00154F1D">
        <w:tab/>
      </w:r>
      <w:r w:rsidRPr="00154F1D">
        <w:t>A Minister administering this Act may disclose forensic patient information obtained under this Act to any other Minister administering this Act:</w:t>
      </w:r>
    </w:p>
    <w:p w14:paraId="774FBC60" w14:textId="74B63C89" w:rsidR="0014208F" w:rsidRPr="00154F1D" w:rsidRDefault="0014208F" w:rsidP="00DC482B">
      <w:pPr>
        <w:pStyle w:val="NumberlessNormalText"/>
        <w:ind w:left="851" w:hanging="425"/>
      </w:pPr>
      <w:r w:rsidRPr="00154F1D">
        <w:t>(a)</w:t>
      </w:r>
      <w:r w:rsidR="00DC482B" w:rsidRPr="00154F1D">
        <w:tab/>
      </w:r>
      <w:r w:rsidRPr="00154F1D">
        <w:t>for the purpose of enabling or assisting either Minister to exercise functions under this Act, or</w:t>
      </w:r>
    </w:p>
    <w:p w14:paraId="48FAA350" w14:textId="669046DF" w:rsidR="0014208F" w:rsidRPr="00154F1D" w:rsidRDefault="0014208F" w:rsidP="00DC482B">
      <w:pPr>
        <w:pStyle w:val="NumberlessNormalText"/>
        <w:ind w:left="851" w:hanging="425"/>
      </w:pPr>
      <w:r w:rsidRPr="00154F1D">
        <w:t>(b)</w:t>
      </w:r>
      <w:r w:rsidR="00DC482B" w:rsidRPr="00154F1D">
        <w:tab/>
      </w:r>
      <w:r w:rsidRPr="00154F1D">
        <w:t>for the purpose of the administration or execution of this Act.</w:t>
      </w:r>
    </w:p>
    <w:p w14:paraId="52581864" w14:textId="0BBCBB3A" w:rsidR="0014208F" w:rsidRPr="00154F1D" w:rsidRDefault="0014208F" w:rsidP="00DC482B">
      <w:pPr>
        <w:pStyle w:val="NumberlessNormalText"/>
        <w:ind w:left="426" w:hanging="426"/>
      </w:pPr>
      <w:r w:rsidRPr="00154F1D">
        <w:t>(2)</w:t>
      </w:r>
      <w:r w:rsidR="00DC482B" w:rsidRPr="00154F1D">
        <w:tab/>
      </w:r>
      <w:r w:rsidRPr="00154F1D">
        <w:t>In this clause:</w:t>
      </w:r>
    </w:p>
    <w:p w14:paraId="18AC967D" w14:textId="77777777" w:rsidR="0014208F" w:rsidRPr="00154F1D" w:rsidRDefault="0014208F" w:rsidP="00DC482B">
      <w:pPr>
        <w:pStyle w:val="NumberlessNormalText"/>
        <w:ind w:left="426"/>
      </w:pPr>
      <w:r w:rsidRPr="00154F1D">
        <w:t>forensic patient information means any document, report or other information that relates to a forensic patient, including any such information that is:</w:t>
      </w:r>
    </w:p>
    <w:p w14:paraId="3015EAF0" w14:textId="3CE4A9A6" w:rsidR="0014208F" w:rsidRPr="00154F1D" w:rsidRDefault="0014208F" w:rsidP="00DC482B">
      <w:pPr>
        <w:pStyle w:val="NumberlessNormalText"/>
        <w:ind w:left="851" w:hanging="425"/>
      </w:pPr>
      <w:r w:rsidRPr="00154F1D">
        <w:t>(a)</w:t>
      </w:r>
      <w:r w:rsidR="00DC482B" w:rsidRPr="00154F1D">
        <w:tab/>
      </w:r>
      <w:r w:rsidRPr="00154F1D">
        <w:t xml:space="preserve">personal information within the meaning of the </w:t>
      </w:r>
      <w:r w:rsidRPr="00154F1D">
        <w:rPr>
          <w:i/>
        </w:rPr>
        <w:t>Privacy and Personal Information Protection Act 1998</w:t>
      </w:r>
      <w:r w:rsidRPr="00154F1D">
        <w:t xml:space="preserve"> or Health Records and </w:t>
      </w:r>
      <w:r w:rsidRPr="00154F1D">
        <w:rPr>
          <w:i/>
        </w:rPr>
        <w:t>Information Privacy Act 2002</w:t>
      </w:r>
      <w:r w:rsidRPr="00154F1D">
        <w:t>, or</w:t>
      </w:r>
    </w:p>
    <w:p w14:paraId="53E2D580" w14:textId="4E392760" w:rsidR="0014208F" w:rsidRPr="00154F1D" w:rsidRDefault="0014208F" w:rsidP="00DC482B">
      <w:pPr>
        <w:pStyle w:val="NumberlessNormalText"/>
        <w:ind w:left="851" w:hanging="425"/>
      </w:pPr>
      <w:r w:rsidRPr="00154F1D">
        <w:t>(b)</w:t>
      </w:r>
      <w:r w:rsidR="00CB4A7B" w:rsidRPr="00154F1D">
        <w:tab/>
      </w:r>
      <w:r w:rsidRPr="00154F1D">
        <w:t xml:space="preserve">health information within the meaning of the </w:t>
      </w:r>
      <w:r w:rsidRPr="00154F1D">
        <w:rPr>
          <w:i/>
        </w:rPr>
        <w:t>Health Records and Information Privacy Act 2002</w:t>
      </w:r>
      <w:r w:rsidRPr="00154F1D">
        <w:t>.</w:t>
      </w:r>
    </w:p>
    <w:p w14:paraId="402560F3" w14:textId="5BC5453C" w:rsidR="0014208F" w:rsidRPr="00154F1D" w:rsidRDefault="0014208F" w:rsidP="003F2389">
      <w:pPr>
        <w:pStyle w:val="NumberlessNormalText"/>
        <w:ind w:left="284" w:hanging="284"/>
        <w:rPr>
          <w:b/>
        </w:rPr>
      </w:pPr>
      <w:r w:rsidRPr="00154F1D">
        <w:rPr>
          <w:b/>
        </w:rPr>
        <w:t>18</w:t>
      </w:r>
      <w:r w:rsidR="003F2389" w:rsidRPr="00154F1D">
        <w:rPr>
          <w:b/>
        </w:rPr>
        <w:tab/>
      </w:r>
      <w:r w:rsidRPr="00154F1D">
        <w:rPr>
          <w:b/>
        </w:rPr>
        <w:t>Protection of certain persons from liability</w:t>
      </w:r>
    </w:p>
    <w:p w14:paraId="46862BAA" w14:textId="2CF891C3" w:rsidR="0014208F" w:rsidRPr="00154F1D" w:rsidRDefault="0014208F" w:rsidP="00352640">
      <w:pPr>
        <w:pStyle w:val="NumberlessNormalText"/>
      </w:pPr>
      <w:r w:rsidRPr="00154F1D">
        <w:t>No action lies against any person (including the State) for or in respect of any act or omission done or omitted by the person if it was done or omitted in good faith for the purposes of, or in connection with the administration or execution of, this Schedule.</w:t>
      </w:r>
    </w:p>
    <w:p w14:paraId="2445F645" w14:textId="561A3CC4" w:rsidR="0014208F" w:rsidRPr="00154F1D" w:rsidRDefault="0014208F" w:rsidP="003F2389">
      <w:pPr>
        <w:pStyle w:val="NumberlessNormalText"/>
        <w:ind w:left="284" w:hanging="284"/>
        <w:rPr>
          <w:b/>
        </w:rPr>
      </w:pPr>
      <w:r w:rsidRPr="00154F1D">
        <w:rPr>
          <w:b/>
        </w:rPr>
        <w:t>19</w:t>
      </w:r>
      <w:r w:rsidR="003F2389" w:rsidRPr="00154F1D">
        <w:rPr>
          <w:b/>
        </w:rPr>
        <w:tab/>
      </w:r>
      <w:r w:rsidRPr="00154F1D">
        <w:rPr>
          <w:b/>
        </w:rPr>
        <w:t>Hearings</w:t>
      </w:r>
    </w:p>
    <w:p w14:paraId="2B0582EB" w14:textId="77777777" w:rsidR="0014208F" w:rsidRPr="00154F1D" w:rsidRDefault="0014208F" w:rsidP="00352640">
      <w:pPr>
        <w:pStyle w:val="NumberlessNormalText"/>
      </w:pPr>
      <w:r w:rsidRPr="00154F1D">
        <w:t>This Schedule does not affect the right of any party to proceedings under this Schedule:</w:t>
      </w:r>
    </w:p>
    <w:p w14:paraId="0D7C40A6" w14:textId="28391CD5" w:rsidR="0014208F" w:rsidRPr="00154F1D" w:rsidRDefault="0014208F" w:rsidP="003F2389">
      <w:pPr>
        <w:pStyle w:val="NumberlessNormalText"/>
        <w:ind w:left="851" w:hanging="425"/>
      </w:pPr>
      <w:r w:rsidRPr="00154F1D">
        <w:t>(a)</w:t>
      </w:r>
      <w:r w:rsidR="003F2389" w:rsidRPr="00154F1D">
        <w:tab/>
      </w:r>
      <w:r w:rsidRPr="00154F1D">
        <w:t>to appear, either personally or by the party’s legal representative, or</w:t>
      </w:r>
    </w:p>
    <w:p w14:paraId="72C8DA85" w14:textId="0F21EF35" w:rsidR="0014208F" w:rsidRPr="00154F1D" w:rsidRDefault="0014208F" w:rsidP="003F2389">
      <w:pPr>
        <w:pStyle w:val="NumberlessNormalText"/>
        <w:ind w:left="851" w:hanging="425"/>
      </w:pPr>
      <w:r w:rsidRPr="00154F1D">
        <w:t>(b)</w:t>
      </w:r>
      <w:r w:rsidR="003F2389" w:rsidRPr="00154F1D">
        <w:tab/>
      </w:r>
      <w:r w:rsidRPr="00154F1D">
        <w:t>to call witnesses and give evidence, or</w:t>
      </w:r>
    </w:p>
    <w:p w14:paraId="1E7425B1" w14:textId="07B785BB" w:rsidR="0014208F" w:rsidRPr="00154F1D" w:rsidRDefault="0014208F" w:rsidP="003F2389">
      <w:pPr>
        <w:pStyle w:val="NumberlessNormalText"/>
        <w:ind w:left="851" w:hanging="425"/>
      </w:pPr>
      <w:r w:rsidRPr="00154F1D">
        <w:t>(c)</w:t>
      </w:r>
      <w:r w:rsidR="003F2389" w:rsidRPr="00154F1D">
        <w:tab/>
      </w:r>
      <w:r w:rsidRPr="00154F1D">
        <w:t>to cross-examine witnesses, or</w:t>
      </w:r>
    </w:p>
    <w:p w14:paraId="1039D0C2" w14:textId="3F27BD33" w:rsidR="0014208F" w:rsidRPr="00154F1D" w:rsidRDefault="0014208F" w:rsidP="003F2389">
      <w:pPr>
        <w:pStyle w:val="NumberlessNormalText"/>
        <w:ind w:left="851" w:hanging="425"/>
      </w:pPr>
      <w:r w:rsidRPr="00154F1D">
        <w:t>(d)</w:t>
      </w:r>
      <w:r w:rsidR="003F2389" w:rsidRPr="00154F1D">
        <w:tab/>
      </w:r>
      <w:r w:rsidRPr="00154F1D">
        <w:t>to make submissions to the Supreme Court on any matter connected with the proceedings.</w:t>
      </w:r>
    </w:p>
    <w:p w14:paraId="150A6431" w14:textId="00AB874A" w:rsidR="0014208F" w:rsidRPr="00154F1D" w:rsidRDefault="0014208F" w:rsidP="003F2389">
      <w:pPr>
        <w:pStyle w:val="NumberlessNormalText"/>
        <w:tabs>
          <w:tab w:val="clear" w:pos="851"/>
          <w:tab w:val="left" w:pos="284"/>
        </w:tabs>
        <w:rPr>
          <w:b/>
        </w:rPr>
      </w:pPr>
      <w:r w:rsidRPr="00154F1D">
        <w:rPr>
          <w:b/>
        </w:rPr>
        <w:t>20</w:t>
      </w:r>
      <w:r w:rsidR="003F2389" w:rsidRPr="00154F1D">
        <w:rPr>
          <w:b/>
        </w:rPr>
        <w:tab/>
      </w:r>
      <w:r w:rsidRPr="00154F1D">
        <w:rPr>
          <w:b/>
        </w:rPr>
        <w:t>Bail Act 2013</w:t>
      </w:r>
      <w:r w:rsidRPr="00154F1D">
        <w:t xml:space="preserve"> not</w:t>
      </w:r>
      <w:r w:rsidRPr="00154F1D">
        <w:rPr>
          <w:b/>
        </w:rPr>
        <w:t xml:space="preserve"> to apply</w:t>
      </w:r>
    </w:p>
    <w:p w14:paraId="39B5C4AE" w14:textId="74207E13" w:rsidR="0014208F" w:rsidRPr="00154F1D" w:rsidRDefault="0014208F" w:rsidP="00352640">
      <w:pPr>
        <w:pStyle w:val="NumberlessNormalText"/>
      </w:pPr>
      <w:r w:rsidRPr="00154F1D">
        <w:t xml:space="preserve">The </w:t>
      </w:r>
      <w:r w:rsidRPr="00154F1D">
        <w:rPr>
          <w:i/>
        </w:rPr>
        <w:t>Bail Act 2013</w:t>
      </w:r>
      <w:r w:rsidRPr="00154F1D">
        <w:t xml:space="preserve"> does not apply to or in respect of a person who is the subject of proceedings under this Schedule.</w:t>
      </w:r>
    </w:p>
    <w:p w14:paraId="0D470FE5" w14:textId="35BAA787" w:rsidR="0014208F" w:rsidRPr="00154F1D" w:rsidRDefault="0014208F" w:rsidP="00577918">
      <w:pPr>
        <w:pStyle w:val="NumberlessNormalText"/>
        <w:ind w:left="284" w:hanging="284"/>
        <w:rPr>
          <w:b/>
        </w:rPr>
      </w:pPr>
      <w:r w:rsidRPr="00154F1D">
        <w:rPr>
          <w:b/>
        </w:rPr>
        <w:t>21</w:t>
      </w:r>
      <w:r w:rsidR="00577918" w:rsidRPr="00154F1D">
        <w:rPr>
          <w:b/>
        </w:rPr>
        <w:tab/>
      </w:r>
      <w:r w:rsidRPr="00154F1D">
        <w:rPr>
          <w:b/>
        </w:rPr>
        <w:t>Rules of court</w:t>
      </w:r>
    </w:p>
    <w:p w14:paraId="7A397F02" w14:textId="49EF3F89" w:rsidR="0014208F" w:rsidRPr="00154F1D" w:rsidRDefault="0014208F" w:rsidP="00577918">
      <w:pPr>
        <w:pStyle w:val="NumberlessNormalText"/>
        <w:ind w:left="426" w:hanging="426"/>
      </w:pPr>
      <w:r w:rsidRPr="00154F1D">
        <w:t>(1)</w:t>
      </w:r>
      <w:r w:rsidR="00577918" w:rsidRPr="00154F1D">
        <w:tab/>
      </w:r>
      <w:r w:rsidRPr="00154F1D">
        <w:t xml:space="preserve">Rules of court may be made under the </w:t>
      </w:r>
      <w:r w:rsidRPr="00154F1D">
        <w:rPr>
          <w:i/>
        </w:rPr>
        <w:t>Supreme Court Act 1970</w:t>
      </w:r>
      <w:r w:rsidRPr="00154F1D">
        <w:t xml:space="preserve"> for regulating the practice and procedure of the Supreme Court in respect of proceedings under this Schedule.</w:t>
      </w:r>
    </w:p>
    <w:p w14:paraId="10D64A6C" w14:textId="4509C7B4" w:rsidR="0014208F" w:rsidRPr="00154F1D" w:rsidRDefault="0014208F" w:rsidP="00577918">
      <w:pPr>
        <w:pStyle w:val="NumberlessNormalText"/>
        <w:ind w:left="426" w:hanging="426"/>
      </w:pPr>
      <w:r w:rsidRPr="00154F1D">
        <w:t>(2)</w:t>
      </w:r>
      <w:r w:rsidR="00577918" w:rsidRPr="00154F1D">
        <w:tab/>
      </w:r>
      <w:r w:rsidRPr="00154F1D">
        <w:t xml:space="preserve">This clause does not limit the rule-making powers conferred by the </w:t>
      </w:r>
      <w:r w:rsidRPr="00154F1D">
        <w:rPr>
          <w:i/>
        </w:rPr>
        <w:t>Supreme Court Act 1970</w:t>
      </w:r>
      <w:r w:rsidRPr="00154F1D">
        <w:t>.</w:t>
      </w:r>
    </w:p>
    <w:p w14:paraId="07F1DDD1" w14:textId="69C58072" w:rsidR="0014208F" w:rsidRPr="00154F1D" w:rsidRDefault="0014208F" w:rsidP="00577918">
      <w:pPr>
        <w:pStyle w:val="NumberlessNormalText"/>
        <w:tabs>
          <w:tab w:val="clear" w:pos="851"/>
          <w:tab w:val="left" w:pos="284"/>
        </w:tabs>
        <w:rPr>
          <w:b/>
        </w:rPr>
      </w:pPr>
      <w:r w:rsidRPr="00154F1D">
        <w:rPr>
          <w:b/>
        </w:rPr>
        <w:t>22</w:t>
      </w:r>
      <w:r w:rsidR="00577918" w:rsidRPr="00154F1D">
        <w:rPr>
          <w:b/>
        </w:rPr>
        <w:tab/>
      </w:r>
      <w:r w:rsidRPr="00154F1D">
        <w:rPr>
          <w:b/>
        </w:rPr>
        <w:t>Qualification of psychiatrists</w:t>
      </w:r>
    </w:p>
    <w:p w14:paraId="1A0C3E1D" w14:textId="77777777" w:rsidR="002244E8" w:rsidRPr="00154F1D" w:rsidRDefault="0014208F" w:rsidP="00352640">
      <w:pPr>
        <w:pStyle w:val="NumberlessNormalText"/>
        <w:sectPr w:rsidR="002244E8" w:rsidRPr="00154F1D" w:rsidSect="00D44CC5">
          <w:headerReference w:type="default" r:id="rId46"/>
          <w:pgSz w:w="11900" w:h="16840"/>
          <w:pgMar w:top="1440" w:right="1797" w:bottom="1440" w:left="1797" w:header="709" w:footer="709" w:gutter="0"/>
          <w:cols w:space="708"/>
          <w:titlePg/>
          <w:docGrid w:linePitch="360"/>
        </w:sectPr>
      </w:pPr>
      <w:r w:rsidRPr="00154F1D">
        <w:t>For the purposes of this Schedule, a psychiatrist is not a qualified psychiatrist unless he or she is a registered medical practitioner who is a fellow of the Royal Australian and New Zealand College of Psychiatrists.</w:t>
      </w:r>
    </w:p>
    <w:p w14:paraId="59960E91" w14:textId="06A3FB48" w:rsidR="002244E8" w:rsidRPr="00154F1D" w:rsidRDefault="002244E8" w:rsidP="00755DEE">
      <w:pPr>
        <w:pStyle w:val="NumberlessSectionHeading"/>
        <w:spacing w:before="0" w:after="120"/>
      </w:pPr>
      <w:bookmarkStart w:id="223" w:name="_Toc535868992"/>
      <w:r w:rsidRPr="00154F1D">
        <w:t xml:space="preserve">Appendix </w:t>
      </w:r>
      <w:r w:rsidR="00BA4488" w:rsidRPr="00154F1D">
        <w:t xml:space="preserve">7: </w:t>
      </w:r>
      <w:r w:rsidRPr="00154F1D">
        <w:t>Law reform recommendations</w:t>
      </w:r>
      <w:bookmarkEnd w:id="223"/>
    </w:p>
    <w:tbl>
      <w:tblPr>
        <w:tblStyle w:val="TableGrid"/>
        <w:tblW w:w="139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firstRow="1" w:lastRow="0" w:firstColumn="1" w:lastColumn="0" w:noHBand="0" w:noVBand="1"/>
      </w:tblPr>
      <w:tblGrid>
        <w:gridCol w:w="1773"/>
        <w:gridCol w:w="2760"/>
        <w:gridCol w:w="2110"/>
        <w:gridCol w:w="2436"/>
        <w:gridCol w:w="2435"/>
        <w:gridCol w:w="2436"/>
      </w:tblGrid>
      <w:tr w:rsidR="002244E8" w:rsidRPr="00154F1D" w14:paraId="440C7C6B" w14:textId="77777777" w:rsidTr="00755DEE">
        <w:trPr>
          <w:tblHeader/>
        </w:trPr>
        <w:tc>
          <w:tcPr>
            <w:tcW w:w="1773" w:type="dxa"/>
            <w:vAlign w:val="center"/>
          </w:tcPr>
          <w:p w14:paraId="6CB9B0F5" w14:textId="77777777" w:rsidR="002244E8" w:rsidRPr="00154F1D" w:rsidRDefault="002244E8" w:rsidP="00755DEE">
            <w:pPr>
              <w:spacing w:beforeLines="20" w:before="48" w:afterLines="20" w:after="48"/>
              <w:jc w:val="center"/>
              <w:rPr>
                <w:b/>
                <w:sz w:val="20"/>
                <w:szCs w:val="20"/>
              </w:rPr>
            </w:pPr>
          </w:p>
        </w:tc>
        <w:tc>
          <w:tcPr>
            <w:tcW w:w="2760" w:type="dxa"/>
            <w:vAlign w:val="center"/>
          </w:tcPr>
          <w:p w14:paraId="2AC69081" w14:textId="77777777" w:rsidR="002244E8" w:rsidRPr="00154F1D" w:rsidRDefault="002244E8" w:rsidP="0035660C">
            <w:pPr>
              <w:spacing w:beforeLines="20" w:before="48" w:afterLines="20" w:after="48"/>
              <w:jc w:val="center"/>
              <w:rPr>
                <w:b/>
                <w:sz w:val="20"/>
                <w:szCs w:val="20"/>
              </w:rPr>
            </w:pPr>
            <w:r w:rsidRPr="00154F1D">
              <w:rPr>
                <w:b/>
                <w:sz w:val="20"/>
                <w:szCs w:val="20"/>
              </w:rPr>
              <w:t>Definition of mental impairment</w:t>
            </w:r>
          </w:p>
        </w:tc>
        <w:tc>
          <w:tcPr>
            <w:tcW w:w="2110" w:type="dxa"/>
            <w:vAlign w:val="center"/>
          </w:tcPr>
          <w:p w14:paraId="1EA2751D" w14:textId="77777777" w:rsidR="002244E8" w:rsidRPr="00154F1D" w:rsidRDefault="002244E8" w:rsidP="00755DEE">
            <w:pPr>
              <w:spacing w:beforeLines="20" w:before="48" w:afterLines="20" w:after="48"/>
              <w:jc w:val="center"/>
              <w:rPr>
                <w:b/>
                <w:sz w:val="20"/>
                <w:szCs w:val="20"/>
              </w:rPr>
            </w:pPr>
            <w:r w:rsidRPr="00154F1D">
              <w:rPr>
                <w:b/>
                <w:sz w:val="20"/>
                <w:szCs w:val="20"/>
              </w:rPr>
              <w:t>Nature and quality</w:t>
            </w:r>
          </w:p>
        </w:tc>
        <w:tc>
          <w:tcPr>
            <w:tcW w:w="2436" w:type="dxa"/>
            <w:vAlign w:val="center"/>
          </w:tcPr>
          <w:p w14:paraId="5973A19D" w14:textId="77777777" w:rsidR="002244E8" w:rsidRPr="00154F1D" w:rsidRDefault="002244E8" w:rsidP="00755DEE">
            <w:pPr>
              <w:spacing w:beforeLines="20" w:before="48" w:afterLines="20" w:after="48"/>
              <w:jc w:val="center"/>
              <w:rPr>
                <w:b/>
                <w:sz w:val="20"/>
                <w:szCs w:val="20"/>
              </w:rPr>
            </w:pPr>
            <w:r w:rsidRPr="00154F1D">
              <w:rPr>
                <w:b/>
                <w:sz w:val="20"/>
                <w:szCs w:val="20"/>
              </w:rPr>
              <w:t>Wrong</w:t>
            </w:r>
          </w:p>
        </w:tc>
        <w:tc>
          <w:tcPr>
            <w:tcW w:w="2435" w:type="dxa"/>
            <w:vAlign w:val="center"/>
          </w:tcPr>
          <w:p w14:paraId="440BFA32" w14:textId="77777777" w:rsidR="002244E8" w:rsidRPr="00154F1D" w:rsidRDefault="002244E8" w:rsidP="00755DEE">
            <w:pPr>
              <w:spacing w:beforeLines="20" w:before="48" w:afterLines="20" w:after="48"/>
              <w:jc w:val="center"/>
              <w:rPr>
                <w:b/>
                <w:sz w:val="20"/>
                <w:szCs w:val="20"/>
              </w:rPr>
            </w:pPr>
            <w:r w:rsidRPr="00154F1D">
              <w:rPr>
                <w:b/>
                <w:sz w:val="20"/>
                <w:szCs w:val="20"/>
              </w:rPr>
              <w:t>Unable to control conduct</w:t>
            </w:r>
          </w:p>
        </w:tc>
        <w:tc>
          <w:tcPr>
            <w:tcW w:w="2436" w:type="dxa"/>
            <w:vAlign w:val="center"/>
          </w:tcPr>
          <w:p w14:paraId="1A8A3B2A" w14:textId="77777777" w:rsidR="002244E8" w:rsidRPr="00154F1D" w:rsidRDefault="002244E8" w:rsidP="00755DEE">
            <w:pPr>
              <w:spacing w:beforeLines="20" w:before="48" w:afterLines="20" w:after="48"/>
              <w:jc w:val="center"/>
              <w:rPr>
                <w:b/>
                <w:sz w:val="20"/>
                <w:szCs w:val="20"/>
              </w:rPr>
            </w:pPr>
            <w:r w:rsidRPr="00154F1D">
              <w:rPr>
                <w:b/>
                <w:sz w:val="20"/>
                <w:szCs w:val="20"/>
              </w:rPr>
              <w:t>Delusions</w:t>
            </w:r>
          </w:p>
        </w:tc>
      </w:tr>
      <w:tr w:rsidR="002244E8" w:rsidRPr="00154F1D" w14:paraId="60504BED" w14:textId="77777777" w:rsidTr="00755DEE">
        <w:tc>
          <w:tcPr>
            <w:tcW w:w="1773" w:type="dxa"/>
          </w:tcPr>
          <w:p w14:paraId="2E0DFD9F" w14:textId="77777777" w:rsidR="002244E8" w:rsidRPr="00154F1D" w:rsidRDefault="002244E8" w:rsidP="00755DEE">
            <w:pPr>
              <w:spacing w:beforeLines="20" w:before="48" w:afterLines="20" w:after="48"/>
              <w:rPr>
                <w:sz w:val="20"/>
                <w:szCs w:val="20"/>
              </w:rPr>
            </w:pPr>
            <w:r w:rsidRPr="00154F1D">
              <w:rPr>
                <w:sz w:val="20"/>
                <w:szCs w:val="20"/>
              </w:rPr>
              <w:t>Law Reform Committee (Vic)</w:t>
            </w:r>
          </w:p>
          <w:p w14:paraId="2887A804" w14:textId="77777777" w:rsidR="002244E8" w:rsidRPr="00154F1D" w:rsidRDefault="002244E8" w:rsidP="00755DEE">
            <w:pPr>
              <w:spacing w:beforeLines="20" w:before="48" w:afterLines="20" w:after="48"/>
              <w:rPr>
                <w:i/>
                <w:sz w:val="20"/>
                <w:szCs w:val="20"/>
              </w:rPr>
            </w:pPr>
            <w:r w:rsidRPr="00154F1D">
              <w:rPr>
                <w:i/>
                <w:sz w:val="20"/>
                <w:szCs w:val="20"/>
              </w:rPr>
              <w:t xml:space="preserve">Inquiry into Access to and Interaction with the Justice System by People with an Intellectual Disability and their Families and Carers </w:t>
            </w:r>
          </w:p>
          <w:p w14:paraId="3D86D5B7" w14:textId="77777777" w:rsidR="002244E8" w:rsidRPr="00154F1D" w:rsidRDefault="002244E8" w:rsidP="00755DEE">
            <w:pPr>
              <w:spacing w:beforeLines="20" w:before="48" w:afterLines="20" w:after="48"/>
              <w:rPr>
                <w:sz w:val="20"/>
                <w:szCs w:val="20"/>
              </w:rPr>
            </w:pPr>
            <w:r w:rsidRPr="00154F1D">
              <w:rPr>
                <w:sz w:val="20"/>
                <w:szCs w:val="20"/>
              </w:rPr>
              <w:t>(2013)</w:t>
            </w:r>
          </w:p>
        </w:tc>
        <w:tc>
          <w:tcPr>
            <w:tcW w:w="2760" w:type="dxa"/>
          </w:tcPr>
          <w:p w14:paraId="78C19E06" w14:textId="77777777" w:rsidR="002244E8" w:rsidRPr="00154F1D" w:rsidRDefault="002244E8" w:rsidP="0035660C">
            <w:pPr>
              <w:spacing w:beforeLines="20" w:before="48" w:afterLines="20" w:after="48"/>
              <w:rPr>
                <w:sz w:val="20"/>
                <w:szCs w:val="20"/>
              </w:rPr>
            </w:pPr>
            <w:r w:rsidRPr="00154F1D">
              <w:rPr>
                <w:sz w:val="20"/>
                <w:szCs w:val="20"/>
              </w:rPr>
              <w:t>Provide a definition of mental impairment to encompass mental illness, intellectual disability, acquired brain injuries and severe personality disorders (Recommendation 33)</w:t>
            </w:r>
          </w:p>
        </w:tc>
        <w:tc>
          <w:tcPr>
            <w:tcW w:w="2110" w:type="dxa"/>
          </w:tcPr>
          <w:p w14:paraId="36D85680" w14:textId="77777777" w:rsidR="002244E8" w:rsidRPr="00154F1D" w:rsidRDefault="002244E8" w:rsidP="00755DEE">
            <w:pPr>
              <w:spacing w:beforeLines="20" w:before="48" w:afterLines="20" w:after="48"/>
              <w:rPr>
                <w:sz w:val="20"/>
                <w:szCs w:val="20"/>
              </w:rPr>
            </w:pPr>
            <w:r w:rsidRPr="00154F1D">
              <w:rPr>
                <w:sz w:val="20"/>
                <w:szCs w:val="20"/>
              </w:rPr>
              <w:t>No discussion</w:t>
            </w:r>
          </w:p>
        </w:tc>
        <w:tc>
          <w:tcPr>
            <w:tcW w:w="2436" w:type="dxa"/>
          </w:tcPr>
          <w:p w14:paraId="247B2BF7" w14:textId="77777777" w:rsidR="002244E8" w:rsidRPr="00154F1D" w:rsidRDefault="002244E8" w:rsidP="00755DEE">
            <w:pPr>
              <w:spacing w:beforeLines="20" w:before="48" w:afterLines="20" w:after="48"/>
              <w:rPr>
                <w:sz w:val="20"/>
                <w:szCs w:val="20"/>
              </w:rPr>
            </w:pPr>
            <w:r w:rsidRPr="00154F1D">
              <w:rPr>
                <w:sz w:val="20"/>
                <w:szCs w:val="20"/>
              </w:rPr>
              <w:t>No discussion</w:t>
            </w:r>
          </w:p>
        </w:tc>
        <w:tc>
          <w:tcPr>
            <w:tcW w:w="2435" w:type="dxa"/>
          </w:tcPr>
          <w:p w14:paraId="245276CD" w14:textId="77777777" w:rsidR="002244E8" w:rsidRPr="00154F1D" w:rsidRDefault="002244E8" w:rsidP="00755DEE">
            <w:pPr>
              <w:spacing w:beforeLines="20" w:before="48" w:afterLines="20" w:after="48"/>
              <w:rPr>
                <w:sz w:val="20"/>
                <w:szCs w:val="20"/>
              </w:rPr>
            </w:pPr>
            <w:r w:rsidRPr="00154F1D">
              <w:rPr>
                <w:sz w:val="20"/>
                <w:szCs w:val="20"/>
              </w:rPr>
              <w:t>No discussion</w:t>
            </w:r>
          </w:p>
        </w:tc>
        <w:tc>
          <w:tcPr>
            <w:tcW w:w="2436" w:type="dxa"/>
          </w:tcPr>
          <w:p w14:paraId="0AA468AC" w14:textId="77777777" w:rsidR="002244E8" w:rsidRPr="00154F1D" w:rsidRDefault="002244E8" w:rsidP="00755DEE">
            <w:pPr>
              <w:spacing w:beforeLines="20" w:before="48" w:afterLines="20" w:after="48"/>
              <w:rPr>
                <w:sz w:val="20"/>
                <w:szCs w:val="20"/>
              </w:rPr>
            </w:pPr>
            <w:r w:rsidRPr="00154F1D">
              <w:rPr>
                <w:sz w:val="20"/>
                <w:szCs w:val="20"/>
              </w:rPr>
              <w:t>No discussion</w:t>
            </w:r>
          </w:p>
        </w:tc>
      </w:tr>
      <w:tr w:rsidR="002244E8" w:rsidRPr="00154F1D" w14:paraId="59BE7A9E" w14:textId="77777777" w:rsidTr="00F7559C">
        <w:tc>
          <w:tcPr>
            <w:tcW w:w="1773" w:type="dxa"/>
          </w:tcPr>
          <w:p w14:paraId="04A9F87C" w14:textId="39CE4955" w:rsidR="002244E8" w:rsidRPr="00154F1D" w:rsidRDefault="002244E8" w:rsidP="00755DEE">
            <w:pPr>
              <w:spacing w:beforeLines="20" w:before="48" w:afterLines="20" w:after="48"/>
              <w:rPr>
                <w:sz w:val="20"/>
                <w:szCs w:val="20"/>
              </w:rPr>
            </w:pPr>
            <w:r w:rsidRPr="00154F1D">
              <w:rPr>
                <w:sz w:val="20"/>
                <w:szCs w:val="20"/>
              </w:rPr>
              <w:t>New South Wales Law Reform Commission</w:t>
            </w:r>
          </w:p>
          <w:p w14:paraId="07AE6060" w14:textId="77777777" w:rsidR="002244E8" w:rsidRPr="00154F1D" w:rsidRDefault="002244E8" w:rsidP="00755DEE">
            <w:pPr>
              <w:spacing w:beforeLines="20" w:before="48" w:afterLines="20" w:after="48"/>
              <w:rPr>
                <w:i/>
                <w:sz w:val="20"/>
                <w:szCs w:val="20"/>
              </w:rPr>
            </w:pPr>
            <w:r w:rsidRPr="00154F1D">
              <w:rPr>
                <w:i/>
                <w:sz w:val="20"/>
                <w:szCs w:val="20"/>
              </w:rPr>
              <w:t xml:space="preserve">People with Cognitive and Mental Health Impairments in the Criminal Justice System: Criminal Responsibility and Consequences: Report 138 </w:t>
            </w:r>
          </w:p>
          <w:p w14:paraId="07D72DD1" w14:textId="731C86DB" w:rsidR="002244E8" w:rsidRPr="00154F1D" w:rsidRDefault="002244E8" w:rsidP="00B53BB4">
            <w:pPr>
              <w:spacing w:beforeLines="20" w:before="48" w:afterLines="20" w:after="48"/>
              <w:rPr>
                <w:sz w:val="20"/>
                <w:szCs w:val="20"/>
              </w:rPr>
            </w:pPr>
            <w:r w:rsidRPr="00154F1D">
              <w:rPr>
                <w:sz w:val="20"/>
                <w:szCs w:val="20"/>
              </w:rPr>
              <w:t>(2013)</w:t>
            </w:r>
          </w:p>
        </w:tc>
        <w:tc>
          <w:tcPr>
            <w:tcW w:w="2760" w:type="dxa"/>
            <w:shd w:val="clear" w:color="auto" w:fill="auto"/>
          </w:tcPr>
          <w:p w14:paraId="6505575B" w14:textId="77777777" w:rsidR="002244E8" w:rsidRPr="00F7559C" w:rsidRDefault="002244E8" w:rsidP="0035660C">
            <w:pPr>
              <w:spacing w:beforeLines="20" w:before="48" w:afterLines="20" w:after="48"/>
              <w:rPr>
                <w:sz w:val="20"/>
                <w:szCs w:val="20"/>
              </w:rPr>
            </w:pPr>
            <w:r w:rsidRPr="00F7559C">
              <w:rPr>
                <w:sz w:val="20"/>
                <w:szCs w:val="20"/>
              </w:rPr>
              <w:t>Defence should be renamed defence of mental health or cognitive impairment.</w:t>
            </w:r>
          </w:p>
          <w:p w14:paraId="18F53340" w14:textId="77777777" w:rsidR="002244E8" w:rsidRPr="00F7559C" w:rsidRDefault="002244E8" w:rsidP="00F7559C">
            <w:pPr>
              <w:pStyle w:val="NormalWeb"/>
              <w:spacing w:beforeLines="20" w:before="48" w:afterLines="20" w:after="48"/>
              <w:jc w:val="left"/>
              <w:rPr>
                <w:rFonts w:eastAsiaTheme="minorHAnsi"/>
                <w:sz w:val="20"/>
                <w:szCs w:val="20"/>
                <w:lang w:val="en-US"/>
              </w:rPr>
            </w:pPr>
            <w:r w:rsidRPr="00F7559C">
              <w:rPr>
                <w:rFonts w:eastAsiaTheme="minorHAnsi"/>
                <w:sz w:val="20"/>
                <w:szCs w:val="20"/>
                <w:lang w:val="en-US"/>
              </w:rPr>
              <w:t>The following definitions should be used:</w:t>
            </w:r>
          </w:p>
          <w:p w14:paraId="11BBD507" w14:textId="77777777" w:rsidR="002244E8" w:rsidRPr="00F7559C" w:rsidRDefault="002244E8" w:rsidP="00F7559C">
            <w:pPr>
              <w:pStyle w:val="NormalWeb"/>
              <w:spacing w:beforeLines="20" w:before="48" w:afterLines="20" w:after="48"/>
              <w:jc w:val="left"/>
              <w:rPr>
                <w:rFonts w:eastAsiaTheme="minorHAnsi"/>
                <w:sz w:val="20"/>
                <w:szCs w:val="20"/>
                <w:lang w:val="en-US"/>
              </w:rPr>
            </w:pPr>
            <w:r w:rsidRPr="00F7559C">
              <w:rPr>
                <w:rFonts w:eastAsiaTheme="minorHAnsi"/>
                <w:sz w:val="20"/>
                <w:szCs w:val="20"/>
                <w:lang w:val="en-US"/>
              </w:rPr>
              <w:t xml:space="preserve">Mental health impairment: </w:t>
            </w:r>
          </w:p>
          <w:p w14:paraId="6DE8188D" w14:textId="713A824A" w:rsidR="002244E8" w:rsidRPr="00F7559C" w:rsidRDefault="002244E8" w:rsidP="00F7559C">
            <w:pPr>
              <w:pStyle w:val="NormalWeb"/>
              <w:spacing w:beforeLines="20" w:before="48" w:afterLines="20" w:after="48"/>
              <w:ind w:left="293" w:hanging="293"/>
              <w:jc w:val="left"/>
              <w:rPr>
                <w:rFonts w:eastAsiaTheme="minorHAnsi"/>
                <w:sz w:val="20"/>
                <w:szCs w:val="20"/>
                <w:lang w:val="en-US"/>
              </w:rPr>
            </w:pPr>
            <w:r w:rsidRPr="00F7559C">
              <w:rPr>
                <w:rFonts w:eastAsiaTheme="minorHAnsi"/>
                <w:sz w:val="20"/>
                <w:szCs w:val="20"/>
                <w:lang w:val="en-US"/>
              </w:rPr>
              <w:t>(a)</w:t>
            </w:r>
            <w:r w:rsidR="00B53BB4" w:rsidRPr="00F7559C">
              <w:rPr>
                <w:rFonts w:eastAsiaTheme="minorHAnsi"/>
                <w:sz w:val="20"/>
                <w:szCs w:val="20"/>
                <w:lang w:val="en-US"/>
              </w:rPr>
              <w:tab/>
            </w:r>
            <w:r w:rsidRPr="00F7559C">
              <w:rPr>
                <w:rFonts w:eastAsiaTheme="minorHAnsi"/>
                <w:sz w:val="20"/>
                <w:szCs w:val="20"/>
                <w:lang w:val="en-US"/>
              </w:rPr>
              <w:t xml:space="preserve">Mental health impairment means a temporary or continuing disturbance of thought, mood, volition, perception, or memory that impairs emotional wellbeing, judgment or behaviour, so as to affect functioning in daily life to a material extent. </w:t>
            </w:r>
          </w:p>
          <w:p w14:paraId="7C02BD19" w14:textId="0101540D" w:rsidR="002244E8" w:rsidRPr="00F7559C" w:rsidRDefault="002244E8" w:rsidP="00F7559C">
            <w:pPr>
              <w:pStyle w:val="NormalWeb"/>
              <w:spacing w:beforeLines="20" w:before="48" w:afterLines="20" w:after="48"/>
              <w:ind w:left="293" w:hanging="293"/>
              <w:jc w:val="left"/>
              <w:rPr>
                <w:rFonts w:eastAsiaTheme="minorHAnsi"/>
                <w:sz w:val="20"/>
                <w:szCs w:val="20"/>
                <w:lang w:val="en-US"/>
              </w:rPr>
            </w:pPr>
            <w:r w:rsidRPr="00F7559C">
              <w:rPr>
                <w:rFonts w:eastAsiaTheme="minorHAnsi"/>
                <w:sz w:val="20"/>
                <w:szCs w:val="20"/>
                <w:lang w:val="en-US"/>
              </w:rPr>
              <w:t>(b)</w:t>
            </w:r>
            <w:r w:rsidR="00B53BB4" w:rsidRPr="00F7559C">
              <w:rPr>
                <w:rFonts w:eastAsiaTheme="minorHAnsi"/>
                <w:sz w:val="20"/>
                <w:szCs w:val="20"/>
                <w:lang w:val="en-US"/>
              </w:rPr>
              <w:tab/>
            </w:r>
            <w:r w:rsidRPr="00F7559C">
              <w:rPr>
                <w:rFonts w:eastAsiaTheme="minorHAnsi"/>
                <w:sz w:val="20"/>
                <w:szCs w:val="20"/>
                <w:lang w:val="en-US"/>
              </w:rPr>
              <w:t xml:space="preserve">Such mental health impairment may arise from but is not limited to the following: </w:t>
            </w:r>
          </w:p>
          <w:p w14:paraId="536AE214" w14:textId="2FE58425" w:rsidR="00920178" w:rsidRPr="00F7559C" w:rsidRDefault="002244E8" w:rsidP="00F7559C">
            <w:pPr>
              <w:pStyle w:val="NormalWeb"/>
              <w:spacing w:beforeLines="20" w:before="48" w:afterLines="20" w:after="48"/>
              <w:ind w:left="718" w:hanging="425"/>
              <w:jc w:val="left"/>
              <w:rPr>
                <w:rFonts w:eastAsiaTheme="minorHAnsi"/>
                <w:sz w:val="20"/>
                <w:szCs w:val="20"/>
                <w:lang w:val="en-US"/>
              </w:rPr>
            </w:pPr>
            <w:r w:rsidRPr="00F7559C">
              <w:rPr>
                <w:rFonts w:eastAsiaTheme="minorHAnsi"/>
                <w:sz w:val="20"/>
                <w:szCs w:val="20"/>
                <w:lang w:val="en-US"/>
              </w:rPr>
              <w:t>(i)</w:t>
            </w:r>
            <w:r w:rsidR="00920178" w:rsidRPr="00F7559C">
              <w:rPr>
                <w:rFonts w:eastAsiaTheme="minorHAnsi"/>
                <w:sz w:val="20"/>
                <w:szCs w:val="20"/>
                <w:lang w:val="en-US"/>
              </w:rPr>
              <w:tab/>
            </w:r>
            <w:r w:rsidRPr="00F7559C">
              <w:rPr>
                <w:rFonts w:eastAsiaTheme="minorHAnsi"/>
                <w:sz w:val="20"/>
                <w:szCs w:val="20"/>
                <w:lang w:val="en-US"/>
              </w:rPr>
              <w:t>anxiety disorders</w:t>
            </w:r>
          </w:p>
          <w:p w14:paraId="6AAC84F0" w14:textId="5AE3E748" w:rsidR="00920178" w:rsidRPr="00F7559C" w:rsidRDefault="002244E8" w:rsidP="00F7559C">
            <w:pPr>
              <w:pStyle w:val="NormalWeb"/>
              <w:spacing w:beforeLines="20" w:before="48" w:afterLines="20" w:after="48"/>
              <w:ind w:left="718" w:hanging="425"/>
              <w:jc w:val="left"/>
              <w:rPr>
                <w:rFonts w:eastAsiaTheme="minorHAnsi"/>
                <w:sz w:val="20"/>
                <w:szCs w:val="20"/>
                <w:lang w:val="en-US"/>
              </w:rPr>
            </w:pPr>
            <w:r w:rsidRPr="00F7559C">
              <w:rPr>
                <w:rFonts w:eastAsiaTheme="minorHAnsi"/>
                <w:sz w:val="20"/>
                <w:szCs w:val="20"/>
                <w:lang w:val="en-US"/>
              </w:rPr>
              <w:t>(ii)</w:t>
            </w:r>
            <w:r w:rsidR="00920178" w:rsidRPr="00F7559C">
              <w:rPr>
                <w:rFonts w:eastAsiaTheme="minorHAnsi"/>
                <w:sz w:val="20"/>
                <w:szCs w:val="20"/>
                <w:lang w:val="en-US"/>
              </w:rPr>
              <w:tab/>
            </w:r>
            <w:r w:rsidRPr="00F7559C">
              <w:rPr>
                <w:rFonts w:eastAsiaTheme="minorHAnsi"/>
                <w:sz w:val="20"/>
                <w:szCs w:val="20"/>
                <w:lang w:val="en-US"/>
              </w:rPr>
              <w:t>affective disorders</w:t>
            </w:r>
          </w:p>
          <w:p w14:paraId="0FB5CE36" w14:textId="09DE78AF" w:rsidR="00920178" w:rsidRPr="00F7559C" w:rsidRDefault="002244E8" w:rsidP="00F7559C">
            <w:pPr>
              <w:pStyle w:val="NormalWeb"/>
              <w:spacing w:beforeLines="20" w:before="48" w:afterLines="20" w:after="48"/>
              <w:ind w:left="718" w:hanging="425"/>
              <w:jc w:val="left"/>
              <w:rPr>
                <w:rFonts w:eastAsiaTheme="minorHAnsi"/>
                <w:sz w:val="20"/>
                <w:szCs w:val="20"/>
                <w:lang w:val="en-US"/>
              </w:rPr>
            </w:pPr>
            <w:r w:rsidRPr="00F7559C">
              <w:rPr>
                <w:rFonts w:eastAsiaTheme="minorHAnsi"/>
                <w:sz w:val="20"/>
                <w:szCs w:val="20"/>
                <w:lang w:val="en-US"/>
              </w:rPr>
              <w:t>(iii)</w:t>
            </w:r>
            <w:r w:rsidR="00920178" w:rsidRPr="00F7559C">
              <w:rPr>
                <w:rFonts w:eastAsiaTheme="minorHAnsi"/>
                <w:sz w:val="20"/>
                <w:szCs w:val="20"/>
                <w:lang w:val="en-US"/>
              </w:rPr>
              <w:tab/>
            </w:r>
            <w:r w:rsidRPr="00F7559C">
              <w:rPr>
                <w:rFonts w:eastAsiaTheme="minorHAnsi"/>
                <w:sz w:val="20"/>
                <w:szCs w:val="20"/>
                <w:lang w:val="en-US"/>
              </w:rPr>
              <w:t>psychoses</w:t>
            </w:r>
          </w:p>
          <w:p w14:paraId="101D6D3C" w14:textId="474D15F5" w:rsidR="002244E8" w:rsidRPr="00F7559C" w:rsidRDefault="002244E8" w:rsidP="00F7559C">
            <w:pPr>
              <w:pStyle w:val="NormalWeb"/>
              <w:spacing w:beforeLines="20" w:before="48" w:afterLines="20" w:after="48"/>
              <w:ind w:left="718" w:hanging="425"/>
              <w:jc w:val="left"/>
              <w:rPr>
                <w:rFonts w:eastAsiaTheme="minorHAnsi"/>
                <w:sz w:val="20"/>
                <w:szCs w:val="20"/>
                <w:lang w:val="en-US"/>
              </w:rPr>
            </w:pPr>
            <w:r w:rsidRPr="00F7559C">
              <w:rPr>
                <w:rFonts w:eastAsiaTheme="minorHAnsi"/>
                <w:sz w:val="20"/>
                <w:szCs w:val="20"/>
                <w:lang w:val="en-US"/>
              </w:rPr>
              <w:t>(iv)</w:t>
            </w:r>
            <w:r w:rsidR="00920178" w:rsidRPr="00F7559C">
              <w:rPr>
                <w:rFonts w:eastAsiaTheme="minorHAnsi"/>
                <w:sz w:val="20"/>
                <w:szCs w:val="20"/>
                <w:lang w:val="en-US"/>
              </w:rPr>
              <w:tab/>
            </w:r>
            <w:r w:rsidRPr="00F7559C">
              <w:rPr>
                <w:rFonts w:eastAsiaTheme="minorHAnsi"/>
                <w:sz w:val="20"/>
                <w:szCs w:val="20"/>
                <w:lang w:val="en-US"/>
              </w:rPr>
              <w:t xml:space="preserve">substance induced mental disorders. </w:t>
            </w:r>
          </w:p>
          <w:p w14:paraId="53F441BB" w14:textId="4191FACD" w:rsidR="002244E8" w:rsidRPr="00F7559C" w:rsidRDefault="00C1775D" w:rsidP="00F7559C">
            <w:pPr>
              <w:pStyle w:val="NormalWeb"/>
              <w:spacing w:beforeLines="20" w:before="48" w:afterLines="20" w:after="48"/>
              <w:jc w:val="left"/>
              <w:rPr>
                <w:rFonts w:eastAsiaTheme="minorHAnsi"/>
                <w:sz w:val="20"/>
                <w:szCs w:val="20"/>
                <w:lang w:val="en-US"/>
              </w:rPr>
            </w:pPr>
            <w:r w:rsidRPr="00F7559C">
              <w:rPr>
                <w:rFonts w:eastAsiaTheme="minorHAnsi"/>
                <w:sz w:val="20"/>
                <w:szCs w:val="20"/>
                <w:lang w:val="en-US"/>
              </w:rPr>
              <w:t>‘</w:t>
            </w:r>
            <w:r w:rsidR="002244E8" w:rsidRPr="00F7559C">
              <w:rPr>
                <w:rFonts w:eastAsiaTheme="minorHAnsi"/>
                <w:sz w:val="20"/>
                <w:szCs w:val="20"/>
                <w:lang w:val="en-US"/>
              </w:rPr>
              <w:t>Substance induced mental disorders</w:t>
            </w:r>
            <w:r w:rsidRPr="00F7559C">
              <w:rPr>
                <w:rFonts w:eastAsiaTheme="minorHAnsi"/>
                <w:sz w:val="20"/>
                <w:szCs w:val="20"/>
                <w:lang w:val="en-US"/>
              </w:rPr>
              <w:t>’</w:t>
            </w:r>
            <w:r w:rsidR="002244E8" w:rsidRPr="00F7559C">
              <w:rPr>
                <w:rFonts w:eastAsiaTheme="minorHAnsi"/>
                <w:sz w:val="20"/>
                <w:szCs w:val="20"/>
                <w:lang w:val="en-US"/>
              </w:rPr>
              <w:t xml:space="preserve"> include ongoing mental health impairments such as drug-induced psychoses, but do not include substance abuse disorders (addiction to substances) or the temporary effects of ingesting substances. </w:t>
            </w:r>
          </w:p>
          <w:p w14:paraId="5C8A7FD8" w14:textId="1F726713" w:rsidR="002244E8" w:rsidRPr="00F7559C" w:rsidRDefault="002244E8" w:rsidP="00F7559C">
            <w:pPr>
              <w:pStyle w:val="NormalWeb"/>
              <w:spacing w:beforeLines="20" w:before="48" w:afterLines="20" w:after="48"/>
              <w:jc w:val="left"/>
              <w:rPr>
                <w:rFonts w:eastAsiaTheme="minorHAnsi"/>
                <w:sz w:val="20"/>
                <w:szCs w:val="20"/>
                <w:lang w:val="en-US"/>
              </w:rPr>
            </w:pPr>
            <w:r w:rsidRPr="00F7559C">
              <w:rPr>
                <w:rFonts w:eastAsiaTheme="minorHAnsi"/>
                <w:sz w:val="20"/>
                <w:szCs w:val="20"/>
                <w:lang w:val="en-US"/>
              </w:rPr>
              <w:t xml:space="preserve">For the purposes of this section </w:t>
            </w:r>
            <w:r w:rsidR="00C1775D" w:rsidRPr="00F7559C">
              <w:rPr>
                <w:rFonts w:eastAsiaTheme="minorHAnsi"/>
                <w:sz w:val="20"/>
                <w:szCs w:val="20"/>
                <w:lang w:val="en-US"/>
              </w:rPr>
              <w:t>‘</w:t>
            </w:r>
            <w:r w:rsidRPr="00F7559C">
              <w:rPr>
                <w:rFonts w:eastAsiaTheme="minorHAnsi"/>
                <w:sz w:val="20"/>
                <w:szCs w:val="20"/>
                <w:lang w:val="en-US"/>
              </w:rPr>
              <w:t>mental health impairment</w:t>
            </w:r>
            <w:r w:rsidR="00C1775D" w:rsidRPr="00F7559C">
              <w:rPr>
                <w:rFonts w:eastAsiaTheme="minorHAnsi"/>
                <w:sz w:val="20"/>
                <w:szCs w:val="20"/>
                <w:lang w:val="en-US"/>
              </w:rPr>
              <w:t>’</w:t>
            </w:r>
            <w:r w:rsidRPr="00F7559C">
              <w:rPr>
                <w:rFonts w:eastAsiaTheme="minorHAnsi"/>
                <w:sz w:val="20"/>
                <w:szCs w:val="20"/>
                <w:lang w:val="en-US"/>
              </w:rPr>
              <w:t xml:space="preserve"> does not include a personality disorder. </w:t>
            </w:r>
          </w:p>
          <w:p w14:paraId="4857644D" w14:textId="77777777" w:rsidR="002244E8" w:rsidRPr="00F7559C" w:rsidRDefault="002244E8" w:rsidP="00F7559C">
            <w:pPr>
              <w:pStyle w:val="NormalWeb"/>
              <w:spacing w:beforeLines="20" w:before="48" w:afterLines="20" w:after="48"/>
              <w:jc w:val="left"/>
              <w:rPr>
                <w:rFonts w:eastAsiaTheme="minorHAnsi"/>
                <w:sz w:val="20"/>
                <w:szCs w:val="20"/>
                <w:lang w:val="en-US"/>
              </w:rPr>
            </w:pPr>
            <w:r w:rsidRPr="00F7559C">
              <w:rPr>
                <w:rFonts w:eastAsiaTheme="minorHAnsi"/>
                <w:sz w:val="20"/>
                <w:szCs w:val="20"/>
                <w:lang w:val="en-US"/>
              </w:rPr>
              <w:t xml:space="preserve">(2) Cognitive impairment: </w:t>
            </w:r>
          </w:p>
          <w:p w14:paraId="5BAFA7DA" w14:textId="46F80DF8" w:rsidR="002244E8" w:rsidRPr="00F7559C" w:rsidRDefault="002244E8" w:rsidP="00F7559C">
            <w:pPr>
              <w:pStyle w:val="NormalWeb"/>
              <w:spacing w:beforeLines="20" w:before="48" w:afterLines="20" w:after="48"/>
              <w:ind w:left="293" w:hanging="293"/>
              <w:jc w:val="left"/>
              <w:rPr>
                <w:rFonts w:eastAsiaTheme="minorHAnsi"/>
                <w:sz w:val="20"/>
                <w:szCs w:val="20"/>
                <w:lang w:val="en-US"/>
              </w:rPr>
            </w:pPr>
            <w:r w:rsidRPr="00F7559C">
              <w:rPr>
                <w:rFonts w:eastAsiaTheme="minorHAnsi"/>
                <w:sz w:val="20"/>
                <w:szCs w:val="20"/>
                <w:lang w:val="en-US"/>
              </w:rPr>
              <w:t>(a)</w:t>
            </w:r>
            <w:r w:rsidR="00C1775D" w:rsidRPr="00F7559C">
              <w:rPr>
                <w:rFonts w:eastAsiaTheme="minorHAnsi"/>
                <w:sz w:val="20"/>
                <w:szCs w:val="20"/>
                <w:lang w:val="en-US"/>
              </w:rPr>
              <w:tab/>
            </w:r>
            <w:r w:rsidRPr="00F7559C">
              <w:rPr>
                <w:rFonts w:eastAsiaTheme="minorHAnsi"/>
                <w:sz w:val="20"/>
                <w:szCs w:val="20"/>
                <w:lang w:val="en-US"/>
              </w:rPr>
              <w:t xml:space="preserve">Cognitive impairment is an ongoing impairment in comprehension, reason, adaptive functioning, judgement, learning or memory that is the result of any damage to, dysfunction, developmental delay, or deterioration of the brain or mind. </w:t>
            </w:r>
          </w:p>
          <w:p w14:paraId="3DC573B1" w14:textId="0C1939BD" w:rsidR="00C1775D" w:rsidRPr="00F7559C" w:rsidRDefault="002244E8" w:rsidP="00F7559C">
            <w:pPr>
              <w:pStyle w:val="NormalWeb"/>
              <w:spacing w:beforeLines="20" w:before="48" w:afterLines="20" w:after="48"/>
              <w:ind w:left="293" w:hanging="293"/>
              <w:jc w:val="left"/>
              <w:rPr>
                <w:rFonts w:eastAsiaTheme="minorHAnsi"/>
                <w:sz w:val="20"/>
                <w:szCs w:val="20"/>
                <w:lang w:val="en-US"/>
              </w:rPr>
            </w:pPr>
            <w:r w:rsidRPr="00F7559C">
              <w:rPr>
                <w:rFonts w:eastAsiaTheme="minorHAnsi"/>
                <w:sz w:val="20"/>
                <w:szCs w:val="20"/>
                <w:lang w:val="en-US"/>
              </w:rPr>
              <w:t>(b)</w:t>
            </w:r>
            <w:r w:rsidR="00C1775D" w:rsidRPr="00F7559C">
              <w:rPr>
                <w:rFonts w:eastAsiaTheme="minorHAnsi"/>
                <w:sz w:val="20"/>
                <w:szCs w:val="20"/>
                <w:lang w:val="en-US"/>
              </w:rPr>
              <w:tab/>
            </w:r>
            <w:r w:rsidRPr="00F7559C">
              <w:rPr>
                <w:rFonts w:eastAsiaTheme="minorHAnsi"/>
                <w:sz w:val="20"/>
                <w:szCs w:val="20"/>
                <w:lang w:val="en-US"/>
              </w:rPr>
              <w:t xml:space="preserve">Such cognitive impairment may arise from, but is not limited to, the following: </w:t>
            </w:r>
          </w:p>
          <w:p w14:paraId="1648F091" w14:textId="21B55667" w:rsidR="00C1775D" w:rsidRPr="00F7559C" w:rsidRDefault="002244E8" w:rsidP="00F7559C">
            <w:pPr>
              <w:pStyle w:val="NormalWeb"/>
              <w:spacing w:beforeLines="20" w:before="48" w:afterLines="20" w:after="48"/>
              <w:ind w:left="718" w:hanging="425"/>
              <w:jc w:val="left"/>
              <w:rPr>
                <w:rFonts w:eastAsiaTheme="minorHAnsi"/>
                <w:sz w:val="20"/>
                <w:szCs w:val="20"/>
                <w:lang w:val="en-US"/>
              </w:rPr>
            </w:pPr>
            <w:r w:rsidRPr="00F7559C">
              <w:rPr>
                <w:rFonts w:eastAsiaTheme="minorHAnsi"/>
                <w:sz w:val="20"/>
                <w:szCs w:val="20"/>
                <w:lang w:val="en-US"/>
              </w:rPr>
              <w:t>(i)</w:t>
            </w:r>
            <w:r w:rsidR="00C1775D" w:rsidRPr="00F7559C">
              <w:rPr>
                <w:rFonts w:eastAsiaTheme="minorHAnsi"/>
                <w:sz w:val="20"/>
                <w:szCs w:val="20"/>
                <w:lang w:val="en-US"/>
              </w:rPr>
              <w:tab/>
            </w:r>
            <w:r w:rsidRPr="00F7559C">
              <w:rPr>
                <w:rFonts w:eastAsiaTheme="minorHAnsi"/>
                <w:sz w:val="20"/>
                <w:szCs w:val="20"/>
                <w:lang w:val="en-US"/>
              </w:rPr>
              <w:t>intellectual disability</w:t>
            </w:r>
          </w:p>
          <w:p w14:paraId="6FB7CB6A" w14:textId="2B44BC7D" w:rsidR="00C1775D" w:rsidRPr="00F7559C" w:rsidRDefault="002244E8" w:rsidP="00F7559C">
            <w:pPr>
              <w:pStyle w:val="NormalWeb"/>
              <w:spacing w:beforeLines="20" w:before="48" w:afterLines="20" w:after="48"/>
              <w:ind w:left="718" w:hanging="425"/>
              <w:jc w:val="left"/>
              <w:rPr>
                <w:rFonts w:eastAsiaTheme="minorHAnsi"/>
                <w:sz w:val="20"/>
                <w:szCs w:val="20"/>
                <w:lang w:val="en-US"/>
              </w:rPr>
            </w:pPr>
            <w:r w:rsidRPr="00F7559C">
              <w:rPr>
                <w:rFonts w:eastAsiaTheme="minorHAnsi"/>
                <w:sz w:val="20"/>
                <w:szCs w:val="20"/>
                <w:lang w:val="en-US"/>
              </w:rPr>
              <w:t>(ii)</w:t>
            </w:r>
            <w:r w:rsidR="00C1775D" w:rsidRPr="00F7559C">
              <w:rPr>
                <w:rFonts w:eastAsiaTheme="minorHAnsi"/>
                <w:sz w:val="20"/>
                <w:szCs w:val="20"/>
                <w:lang w:val="en-US"/>
              </w:rPr>
              <w:tab/>
            </w:r>
            <w:r w:rsidRPr="00F7559C">
              <w:rPr>
                <w:rFonts w:eastAsiaTheme="minorHAnsi"/>
                <w:sz w:val="20"/>
                <w:szCs w:val="20"/>
                <w:lang w:val="en-US"/>
              </w:rPr>
              <w:t xml:space="preserve">borderline intellectual functioning </w:t>
            </w:r>
          </w:p>
          <w:p w14:paraId="3D515C96" w14:textId="60161756" w:rsidR="00C1775D" w:rsidRPr="00F7559C" w:rsidRDefault="002244E8" w:rsidP="00F7559C">
            <w:pPr>
              <w:pStyle w:val="NormalWeb"/>
              <w:spacing w:beforeLines="20" w:before="48" w:afterLines="20" w:after="48"/>
              <w:ind w:left="718" w:hanging="425"/>
              <w:jc w:val="left"/>
              <w:rPr>
                <w:rFonts w:eastAsiaTheme="minorHAnsi"/>
                <w:sz w:val="20"/>
                <w:szCs w:val="20"/>
                <w:lang w:val="en-US"/>
              </w:rPr>
            </w:pPr>
            <w:r w:rsidRPr="00F7559C">
              <w:rPr>
                <w:rFonts w:eastAsiaTheme="minorHAnsi"/>
                <w:sz w:val="20"/>
                <w:szCs w:val="20"/>
                <w:lang w:val="en-US"/>
              </w:rPr>
              <w:t>(iii)</w:t>
            </w:r>
            <w:r w:rsidR="00C1775D" w:rsidRPr="00F7559C">
              <w:rPr>
                <w:rFonts w:eastAsiaTheme="minorHAnsi"/>
                <w:sz w:val="20"/>
                <w:szCs w:val="20"/>
                <w:lang w:val="en-US"/>
              </w:rPr>
              <w:tab/>
            </w:r>
            <w:r w:rsidRPr="00F7559C">
              <w:rPr>
                <w:rFonts w:eastAsiaTheme="minorHAnsi"/>
                <w:sz w:val="20"/>
                <w:szCs w:val="20"/>
                <w:lang w:val="en-US"/>
              </w:rPr>
              <w:t xml:space="preserve">dementias </w:t>
            </w:r>
          </w:p>
          <w:p w14:paraId="011A547B" w14:textId="3929FD5A" w:rsidR="002244E8" w:rsidRPr="00F7559C" w:rsidRDefault="002244E8" w:rsidP="00F7559C">
            <w:pPr>
              <w:pStyle w:val="NormalWeb"/>
              <w:spacing w:beforeLines="20" w:before="48" w:afterLines="20" w:after="48"/>
              <w:ind w:left="718" w:hanging="425"/>
              <w:jc w:val="left"/>
              <w:rPr>
                <w:rFonts w:eastAsiaTheme="minorHAnsi"/>
                <w:sz w:val="20"/>
                <w:szCs w:val="20"/>
                <w:lang w:val="en-US"/>
              </w:rPr>
            </w:pPr>
            <w:r w:rsidRPr="00F7559C">
              <w:rPr>
                <w:rFonts w:eastAsiaTheme="minorHAnsi"/>
                <w:sz w:val="20"/>
                <w:szCs w:val="20"/>
                <w:lang w:val="en-US"/>
              </w:rPr>
              <w:t>(iv)</w:t>
            </w:r>
            <w:r w:rsidR="00C1775D" w:rsidRPr="00F7559C">
              <w:rPr>
                <w:rFonts w:eastAsiaTheme="minorHAnsi"/>
                <w:sz w:val="20"/>
                <w:szCs w:val="20"/>
                <w:lang w:val="en-US"/>
              </w:rPr>
              <w:tab/>
            </w:r>
            <w:r w:rsidRPr="00F7559C">
              <w:rPr>
                <w:rFonts w:eastAsiaTheme="minorHAnsi"/>
                <w:sz w:val="20"/>
                <w:szCs w:val="20"/>
                <w:lang w:val="en-US"/>
              </w:rPr>
              <w:t xml:space="preserve">acquired brain injury </w:t>
            </w:r>
          </w:p>
          <w:p w14:paraId="6A279779" w14:textId="7A21B64F" w:rsidR="002244E8" w:rsidRPr="00F7559C" w:rsidRDefault="002244E8" w:rsidP="00F7559C">
            <w:pPr>
              <w:pStyle w:val="NormalWeb"/>
              <w:spacing w:beforeLines="20" w:before="48" w:afterLines="20" w:after="48"/>
              <w:ind w:left="718" w:hanging="425"/>
              <w:jc w:val="left"/>
              <w:rPr>
                <w:rFonts w:eastAsiaTheme="minorHAnsi"/>
                <w:sz w:val="20"/>
                <w:szCs w:val="20"/>
                <w:lang w:val="en-US"/>
              </w:rPr>
            </w:pPr>
            <w:r w:rsidRPr="00F7559C">
              <w:rPr>
                <w:rFonts w:eastAsiaTheme="minorHAnsi"/>
                <w:sz w:val="20"/>
                <w:szCs w:val="20"/>
                <w:lang w:val="en-US"/>
              </w:rPr>
              <w:t>(v)</w:t>
            </w:r>
            <w:r w:rsidR="00C1775D" w:rsidRPr="00F7559C">
              <w:rPr>
                <w:rFonts w:eastAsiaTheme="minorHAnsi"/>
                <w:sz w:val="20"/>
                <w:szCs w:val="20"/>
                <w:lang w:val="en-US"/>
              </w:rPr>
              <w:tab/>
            </w:r>
            <w:r w:rsidRPr="00F7559C">
              <w:rPr>
                <w:rFonts w:eastAsiaTheme="minorHAnsi"/>
                <w:sz w:val="20"/>
                <w:szCs w:val="20"/>
                <w:lang w:val="en-US"/>
              </w:rPr>
              <w:t xml:space="preserve">drug or alcohol related brain damage </w:t>
            </w:r>
          </w:p>
          <w:p w14:paraId="0BEADDEB" w14:textId="02FECB68" w:rsidR="002244E8" w:rsidRPr="00F7559C" w:rsidRDefault="002244E8" w:rsidP="00F7559C">
            <w:pPr>
              <w:pStyle w:val="NormalWeb"/>
              <w:spacing w:beforeLines="20" w:before="48" w:afterLines="20" w:after="48"/>
              <w:ind w:left="718" w:hanging="425"/>
              <w:jc w:val="left"/>
              <w:rPr>
                <w:rFonts w:eastAsiaTheme="minorHAnsi"/>
                <w:sz w:val="20"/>
                <w:szCs w:val="20"/>
                <w:lang w:val="en-US"/>
              </w:rPr>
            </w:pPr>
            <w:r w:rsidRPr="00F7559C">
              <w:rPr>
                <w:rFonts w:eastAsiaTheme="minorHAnsi"/>
                <w:sz w:val="20"/>
                <w:szCs w:val="20"/>
                <w:lang w:val="en-US"/>
              </w:rPr>
              <w:t>(vi)</w:t>
            </w:r>
            <w:r w:rsidR="00C1775D" w:rsidRPr="00F7559C">
              <w:rPr>
                <w:rFonts w:eastAsiaTheme="minorHAnsi"/>
                <w:sz w:val="20"/>
                <w:szCs w:val="20"/>
                <w:lang w:val="en-US"/>
              </w:rPr>
              <w:tab/>
            </w:r>
            <w:r w:rsidRPr="00F7559C">
              <w:rPr>
                <w:rFonts w:eastAsiaTheme="minorHAnsi"/>
                <w:sz w:val="20"/>
                <w:szCs w:val="20"/>
                <w:lang w:val="en-US"/>
              </w:rPr>
              <w:t xml:space="preserve">autism spectrum disorders. </w:t>
            </w:r>
          </w:p>
          <w:p w14:paraId="4C5040F5" w14:textId="77777777" w:rsidR="002244E8" w:rsidRPr="00F7559C" w:rsidRDefault="002244E8" w:rsidP="0035660C">
            <w:pPr>
              <w:spacing w:beforeLines="20" w:before="48" w:afterLines="20" w:after="48"/>
              <w:rPr>
                <w:sz w:val="20"/>
                <w:szCs w:val="20"/>
              </w:rPr>
            </w:pPr>
            <w:r w:rsidRPr="00F7559C">
              <w:rPr>
                <w:sz w:val="20"/>
                <w:szCs w:val="20"/>
              </w:rPr>
              <w:t>Verdict should be changed from ‘not guilty by reason of mental illness’ to ‘not criminally responsible by reason of mental health or cognitive impairment.</w:t>
            </w:r>
          </w:p>
        </w:tc>
        <w:tc>
          <w:tcPr>
            <w:tcW w:w="2110" w:type="dxa"/>
          </w:tcPr>
          <w:p w14:paraId="3DD8E6DF" w14:textId="77777777" w:rsidR="002244E8" w:rsidRPr="00154F1D" w:rsidRDefault="002244E8" w:rsidP="00755DEE">
            <w:pPr>
              <w:spacing w:beforeLines="20" w:before="48" w:afterLines="20" w:after="48"/>
              <w:rPr>
                <w:sz w:val="20"/>
                <w:szCs w:val="20"/>
              </w:rPr>
            </w:pPr>
            <w:r w:rsidRPr="00154F1D">
              <w:rPr>
                <w:sz w:val="20"/>
                <w:szCs w:val="20"/>
              </w:rPr>
              <w:t>Not in favour of changing law</w:t>
            </w:r>
          </w:p>
        </w:tc>
        <w:tc>
          <w:tcPr>
            <w:tcW w:w="2436" w:type="dxa"/>
          </w:tcPr>
          <w:p w14:paraId="451DDA1E" w14:textId="288EC90D" w:rsidR="002244E8" w:rsidRPr="00154F1D" w:rsidRDefault="002244E8" w:rsidP="00755DEE">
            <w:pPr>
              <w:spacing w:beforeLines="20" w:before="48" w:afterLines="20" w:after="48"/>
              <w:rPr>
                <w:sz w:val="20"/>
                <w:szCs w:val="20"/>
              </w:rPr>
            </w:pPr>
            <w:r w:rsidRPr="00154F1D">
              <w:rPr>
                <w:sz w:val="20"/>
                <w:szCs w:val="20"/>
              </w:rPr>
              <w:t xml:space="preserve">Define wrong to mean ‘not reason with a moderate degree of sense and composure about whether the conduct, as perceived by reasonable people, was wrong’ (enacting the </w:t>
            </w:r>
            <w:r w:rsidR="00A3750D" w:rsidRPr="00154F1D">
              <w:rPr>
                <w:sz w:val="20"/>
                <w:szCs w:val="20"/>
              </w:rPr>
              <w:t>‘</w:t>
            </w:r>
            <w:r w:rsidRPr="00154F1D">
              <w:rPr>
                <w:sz w:val="20"/>
                <w:szCs w:val="20"/>
              </w:rPr>
              <w:t xml:space="preserve">Porter </w:t>
            </w:r>
            <w:r w:rsidRPr="00154F1D">
              <w:rPr>
                <w:i/>
                <w:sz w:val="20"/>
                <w:szCs w:val="20"/>
              </w:rPr>
              <w:t>gloss</w:t>
            </w:r>
            <w:r w:rsidR="00A3750D" w:rsidRPr="0035660C">
              <w:rPr>
                <w:sz w:val="20"/>
                <w:szCs w:val="20"/>
              </w:rPr>
              <w:t>’</w:t>
            </w:r>
            <w:r w:rsidRPr="00154F1D">
              <w:rPr>
                <w:sz w:val="20"/>
                <w:szCs w:val="20"/>
              </w:rPr>
              <w:t>)</w:t>
            </w:r>
            <w:r w:rsidR="00920178" w:rsidRPr="00154F1D">
              <w:rPr>
                <w:sz w:val="20"/>
                <w:szCs w:val="20"/>
              </w:rPr>
              <w:t>.</w:t>
            </w:r>
          </w:p>
          <w:p w14:paraId="7A3E2B6E" w14:textId="77777777" w:rsidR="002244E8" w:rsidRPr="00154F1D" w:rsidRDefault="002244E8" w:rsidP="00755DEE">
            <w:pPr>
              <w:spacing w:beforeLines="20" w:before="48" w:afterLines="20" w:after="48"/>
              <w:rPr>
                <w:sz w:val="20"/>
                <w:szCs w:val="20"/>
              </w:rPr>
            </w:pPr>
            <w:r w:rsidRPr="00154F1D">
              <w:rPr>
                <w:sz w:val="20"/>
                <w:szCs w:val="20"/>
              </w:rPr>
              <w:t xml:space="preserve">Argued test was functional, strongly supports and understood by both juries and expert witnesses. Useful in the case of delusions, where a person may believe that the victim was a danger to the safety of his or her family may not come within second limb as may also know that killing is wrong but </w:t>
            </w:r>
            <w:r w:rsidRPr="00154F1D">
              <w:rPr>
                <w:i/>
                <w:sz w:val="20"/>
                <w:szCs w:val="20"/>
              </w:rPr>
              <w:t xml:space="preserve">Porter </w:t>
            </w:r>
            <w:r w:rsidRPr="00154F1D">
              <w:rPr>
                <w:sz w:val="20"/>
                <w:szCs w:val="20"/>
              </w:rPr>
              <w:t>approach enable proof that the person did not the act to be wrong by inference from an ability to reason with sense and composure about whether the conduct was wrong.</w:t>
            </w:r>
          </w:p>
        </w:tc>
        <w:tc>
          <w:tcPr>
            <w:tcW w:w="2435" w:type="dxa"/>
          </w:tcPr>
          <w:p w14:paraId="3E150D87" w14:textId="77777777" w:rsidR="002244E8" w:rsidRPr="00154F1D" w:rsidRDefault="002244E8" w:rsidP="00755DEE">
            <w:pPr>
              <w:spacing w:beforeLines="20" w:before="48" w:afterLines="20" w:after="48"/>
              <w:rPr>
                <w:sz w:val="20"/>
                <w:szCs w:val="20"/>
              </w:rPr>
            </w:pPr>
            <w:r w:rsidRPr="00154F1D">
              <w:rPr>
                <w:sz w:val="20"/>
                <w:szCs w:val="20"/>
              </w:rPr>
              <w:t>Supported introduction of volitional component</w:t>
            </w:r>
          </w:p>
        </w:tc>
        <w:tc>
          <w:tcPr>
            <w:tcW w:w="2436" w:type="dxa"/>
          </w:tcPr>
          <w:p w14:paraId="48B4C38B" w14:textId="77777777" w:rsidR="002244E8" w:rsidRPr="00154F1D" w:rsidRDefault="002244E8" w:rsidP="00755DEE">
            <w:pPr>
              <w:spacing w:beforeLines="20" w:before="48" w:afterLines="20" w:after="48"/>
              <w:rPr>
                <w:sz w:val="20"/>
                <w:szCs w:val="20"/>
              </w:rPr>
            </w:pPr>
            <w:r w:rsidRPr="00154F1D">
              <w:rPr>
                <w:sz w:val="20"/>
                <w:szCs w:val="20"/>
              </w:rPr>
              <w:t>No discussion</w:t>
            </w:r>
          </w:p>
        </w:tc>
      </w:tr>
      <w:tr w:rsidR="002244E8" w:rsidRPr="00154F1D" w14:paraId="7ED70330" w14:textId="77777777" w:rsidTr="00755DEE">
        <w:tc>
          <w:tcPr>
            <w:tcW w:w="1773" w:type="dxa"/>
          </w:tcPr>
          <w:p w14:paraId="04B09509" w14:textId="5FC590D8" w:rsidR="002244E8" w:rsidRPr="00154F1D" w:rsidRDefault="002244E8" w:rsidP="00755DEE">
            <w:pPr>
              <w:spacing w:beforeLines="20" w:before="48" w:afterLines="20" w:after="48"/>
              <w:rPr>
                <w:sz w:val="20"/>
                <w:szCs w:val="20"/>
              </w:rPr>
            </w:pPr>
            <w:r w:rsidRPr="00154F1D">
              <w:rPr>
                <w:sz w:val="20"/>
                <w:szCs w:val="20"/>
              </w:rPr>
              <w:t>Victorian Law Reform Commission</w:t>
            </w:r>
          </w:p>
          <w:p w14:paraId="3E7235E2" w14:textId="5D15FFDC" w:rsidR="002244E8" w:rsidRPr="00154F1D" w:rsidRDefault="002244E8" w:rsidP="00755DEE">
            <w:pPr>
              <w:spacing w:beforeLines="20" w:before="48" w:afterLines="20" w:after="48"/>
              <w:rPr>
                <w:i/>
                <w:sz w:val="20"/>
                <w:szCs w:val="20"/>
              </w:rPr>
            </w:pPr>
            <w:r w:rsidRPr="00154F1D">
              <w:rPr>
                <w:i/>
                <w:sz w:val="20"/>
                <w:szCs w:val="20"/>
              </w:rPr>
              <w:t>Review of the Crimes (Mental Impairment and Unfitness to be Tried) Act 1997: Report</w:t>
            </w:r>
          </w:p>
          <w:p w14:paraId="3E8A01C8" w14:textId="77777777" w:rsidR="002244E8" w:rsidRPr="00154F1D" w:rsidRDefault="002244E8" w:rsidP="00755DEE">
            <w:pPr>
              <w:spacing w:beforeLines="20" w:before="48" w:afterLines="20" w:after="48"/>
              <w:rPr>
                <w:sz w:val="20"/>
                <w:szCs w:val="20"/>
              </w:rPr>
            </w:pPr>
            <w:r w:rsidRPr="00154F1D">
              <w:rPr>
                <w:sz w:val="20"/>
                <w:szCs w:val="20"/>
              </w:rPr>
              <w:t>(2014)</w:t>
            </w:r>
          </w:p>
        </w:tc>
        <w:tc>
          <w:tcPr>
            <w:tcW w:w="2760" w:type="dxa"/>
          </w:tcPr>
          <w:p w14:paraId="1236BE33" w14:textId="3A781E0F" w:rsidR="002244E8" w:rsidRPr="00154F1D" w:rsidRDefault="002244E8" w:rsidP="0035660C">
            <w:pPr>
              <w:spacing w:beforeLines="20" w:before="48" w:afterLines="20" w:after="48"/>
              <w:rPr>
                <w:sz w:val="20"/>
                <w:szCs w:val="20"/>
              </w:rPr>
            </w:pPr>
            <w:r w:rsidRPr="00154F1D">
              <w:rPr>
                <w:sz w:val="20"/>
                <w:szCs w:val="20"/>
              </w:rPr>
              <w:t>Definition of mental impairment introduced in legislation. Mental impairment should be defined as a condition that ‘includes, but is not limited to, mental illness, intellectual disability and cognitive impairment’.</w:t>
            </w:r>
          </w:p>
          <w:p w14:paraId="6EE4C7FE" w14:textId="5FE32CB1" w:rsidR="002244E8" w:rsidRPr="00154F1D" w:rsidRDefault="002244E8" w:rsidP="0035660C">
            <w:pPr>
              <w:spacing w:beforeLines="20" w:before="48" w:afterLines="20" w:after="48"/>
              <w:rPr>
                <w:sz w:val="20"/>
                <w:szCs w:val="20"/>
              </w:rPr>
            </w:pPr>
            <w:r w:rsidRPr="00154F1D">
              <w:rPr>
                <w:sz w:val="20"/>
                <w:szCs w:val="20"/>
              </w:rPr>
              <w:t>Should not include self-induced temporary conditions resulting from the effects of ingesting substances.</w:t>
            </w:r>
          </w:p>
          <w:p w14:paraId="59D93F14" w14:textId="13FB8D7E" w:rsidR="002244E8" w:rsidRPr="00154F1D" w:rsidRDefault="002244E8" w:rsidP="0035660C">
            <w:pPr>
              <w:spacing w:beforeLines="20" w:before="48" w:afterLines="20" w:after="48"/>
              <w:rPr>
                <w:sz w:val="20"/>
                <w:szCs w:val="20"/>
              </w:rPr>
            </w:pPr>
            <w:r w:rsidRPr="00154F1D">
              <w:rPr>
                <w:sz w:val="20"/>
                <w:szCs w:val="20"/>
              </w:rPr>
              <w:t>Should include self-induced conditions that exist independently of the effects of ingesting substances</w:t>
            </w:r>
            <w:r w:rsidR="00C64A7B">
              <w:rPr>
                <w:sz w:val="20"/>
                <w:szCs w:val="20"/>
              </w:rPr>
              <w:t>.</w:t>
            </w:r>
          </w:p>
        </w:tc>
        <w:tc>
          <w:tcPr>
            <w:tcW w:w="2110" w:type="dxa"/>
          </w:tcPr>
          <w:p w14:paraId="7E55BA01" w14:textId="77777777" w:rsidR="002244E8" w:rsidRPr="00154F1D" w:rsidRDefault="002244E8" w:rsidP="00755DEE">
            <w:pPr>
              <w:spacing w:beforeLines="20" w:before="48" w:afterLines="20" w:after="48"/>
              <w:rPr>
                <w:sz w:val="20"/>
                <w:szCs w:val="20"/>
              </w:rPr>
            </w:pPr>
            <w:r w:rsidRPr="00154F1D">
              <w:rPr>
                <w:sz w:val="20"/>
                <w:szCs w:val="20"/>
              </w:rPr>
              <w:t>No change recommended</w:t>
            </w:r>
          </w:p>
        </w:tc>
        <w:tc>
          <w:tcPr>
            <w:tcW w:w="2436" w:type="dxa"/>
          </w:tcPr>
          <w:p w14:paraId="39CDAD1A" w14:textId="77777777" w:rsidR="002244E8" w:rsidRPr="00154F1D" w:rsidRDefault="002244E8" w:rsidP="00755DEE">
            <w:pPr>
              <w:spacing w:beforeLines="20" w:before="48" w:afterLines="20" w:after="48"/>
              <w:rPr>
                <w:sz w:val="20"/>
                <w:szCs w:val="20"/>
              </w:rPr>
            </w:pPr>
            <w:r w:rsidRPr="00154F1D">
              <w:rPr>
                <w:sz w:val="20"/>
                <w:szCs w:val="20"/>
              </w:rPr>
              <w:t>Remove ‘moderate degree of sense and composure’ with ‘did not have the capacity to think rationally about whether the conduct, as perceived by reasonable’ on basis that clinicians found phrase vague, subjective and difficult to apply in situations in which most people would not be acting with calmness and composure.</w:t>
            </w:r>
          </w:p>
        </w:tc>
        <w:tc>
          <w:tcPr>
            <w:tcW w:w="2435" w:type="dxa"/>
          </w:tcPr>
          <w:p w14:paraId="22769849" w14:textId="77777777" w:rsidR="002244E8" w:rsidRPr="00154F1D" w:rsidRDefault="002244E8" w:rsidP="00755DEE">
            <w:pPr>
              <w:spacing w:beforeLines="20" w:before="48" w:afterLines="20" w:after="48"/>
              <w:rPr>
                <w:sz w:val="20"/>
                <w:szCs w:val="20"/>
              </w:rPr>
            </w:pPr>
            <w:r w:rsidRPr="00154F1D">
              <w:rPr>
                <w:sz w:val="20"/>
                <w:szCs w:val="20"/>
              </w:rPr>
              <w:t>Opposed introduction of volitional component</w:t>
            </w:r>
          </w:p>
        </w:tc>
        <w:tc>
          <w:tcPr>
            <w:tcW w:w="2436" w:type="dxa"/>
          </w:tcPr>
          <w:p w14:paraId="3ABCFA31" w14:textId="62EE39C8" w:rsidR="002244E8" w:rsidRPr="00154F1D" w:rsidRDefault="002244E8" w:rsidP="00755DEE">
            <w:pPr>
              <w:spacing w:beforeLines="20" w:before="48" w:afterLines="20" w:after="48"/>
              <w:rPr>
                <w:sz w:val="20"/>
                <w:szCs w:val="20"/>
              </w:rPr>
            </w:pPr>
            <w:r w:rsidRPr="00154F1D">
              <w:rPr>
                <w:sz w:val="20"/>
                <w:szCs w:val="20"/>
              </w:rPr>
              <w:t>No discussion</w:t>
            </w:r>
          </w:p>
        </w:tc>
      </w:tr>
      <w:tr w:rsidR="002244E8" w:rsidRPr="00154F1D" w14:paraId="5CDA78D3" w14:textId="77777777" w:rsidTr="00755DEE">
        <w:tc>
          <w:tcPr>
            <w:tcW w:w="1773" w:type="dxa"/>
          </w:tcPr>
          <w:p w14:paraId="19A23D07" w14:textId="77777777" w:rsidR="002244E8" w:rsidRPr="00154F1D" w:rsidRDefault="002244E8" w:rsidP="00755DEE">
            <w:pPr>
              <w:spacing w:beforeLines="20" w:before="48" w:afterLines="20" w:after="48"/>
              <w:rPr>
                <w:sz w:val="20"/>
                <w:szCs w:val="20"/>
              </w:rPr>
            </w:pPr>
            <w:r w:rsidRPr="00154F1D">
              <w:rPr>
                <w:sz w:val="20"/>
                <w:szCs w:val="20"/>
              </w:rPr>
              <w:t>Law Reform Commission of Western Australia</w:t>
            </w:r>
          </w:p>
          <w:p w14:paraId="51DCB18E" w14:textId="77777777" w:rsidR="00413574" w:rsidRPr="00154F1D" w:rsidRDefault="002244E8" w:rsidP="00755DEE">
            <w:pPr>
              <w:spacing w:beforeLines="20" w:before="48" w:afterLines="20" w:after="48"/>
              <w:rPr>
                <w:i/>
                <w:sz w:val="20"/>
                <w:szCs w:val="20"/>
              </w:rPr>
            </w:pPr>
            <w:r w:rsidRPr="00154F1D">
              <w:rPr>
                <w:i/>
                <w:sz w:val="20"/>
                <w:szCs w:val="20"/>
              </w:rPr>
              <w:t xml:space="preserve">Review of the Law of Homicide: Final Report </w:t>
            </w:r>
          </w:p>
          <w:p w14:paraId="000C014D" w14:textId="47BDA7D7" w:rsidR="002244E8" w:rsidRPr="00154F1D" w:rsidRDefault="002244E8" w:rsidP="00755DEE">
            <w:pPr>
              <w:spacing w:beforeLines="20" w:before="48" w:afterLines="20" w:after="48"/>
              <w:rPr>
                <w:sz w:val="20"/>
                <w:szCs w:val="20"/>
              </w:rPr>
            </w:pPr>
            <w:r w:rsidRPr="00154F1D">
              <w:rPr>
                <w:sz w:val="20"/>
                <w:szCs w:val="20"/>
              </w:rPr>
              <w:t>(2007)</w:t>
            </w:r>
          </w:p>
          <w:p w14:paraId="2F103761" w14:textId="77777777" w:rsidR="002244E8" w:rsidRPr="00154F1D" w:rsidRDefault="002244E8" w:rsidP="00755DEE">
            <w:pPr>
              <w:spacing w:beforeLines="20" w:before="48" w:afterLines="20" w:after="48"/>
              <w:rPr>
                <w:sz w:val="20"/>
                <w:szCs w:val="20"/>
              </w:rPr>
            </w:pPr>
          </w:p>
        </w:tc>
        <w:tc>
          <w:tcPr>
            <w:tcW w:w="2760" w:type="dxa"/>
          </w:tcPr>
          <w:p w14:paraId="758A4ACB" w14:textId="0A0B9A45" w:rsidR="002244E8" w:rsidRPr="00154F1D" w:rsidRDefault="002244E8" w:rsidP="0035660C">
            <w:pPr>
              <w:spacing w:beforeLines="20" w:before="48" w:afterLines="20" w:after="48"/>
              <w:rPr>
                <w:sz w:val="20"/>
                <w:szCs w:val="20"/>
              </w:rPr>
            </w:pPr>
            <w:r w:rsidRPr="00154F1D">
              <w:rPr>
                <w:sz w:val="20"/>
                <w:szCs w:val="20"/>
              </w:rPr>
              <w:t>The definition of mental illness does not refer to ‘external’ extraordinary stimuli and so greater flexibility to deal with conditions resulting from a healthy min</w:t>
            </w:r>
            <w:r w:rsidR="00413574" w:rsidRPr="00154F1D">
              <w:rPr>
                <w:sz w:val="20"/>
                <w:szCs w:val="20"/>
              </w:rPr>
              <w:t>d</w:t>
            </w:r>
            <w:r w:rsidRPr="00154F1D">
              <w:rPr>
                <w:sz w:val="20"/>
                <w:szCs w:val="20"/>
              </w:rPr>
              <w:t xml:space="preserve">’s reaction to </w:t>
            </w:r>
            <w:r w:rsidRPr="00154F1D">
              <w:rPr>
                <w:i/>
                <w:sz w:val="20"/>
                <w:szCs w:val="20"/>
              </w:rPr>
              <w:t xml:space="preserve">internal </w:t>
            </w:r>
            <w:r w:rsidRPr="00154F1D">
              <w:rPr>
                <w:sz w:val="20"/>
                <w:szCs w:val="20"/>
              </w:rPr>
              <w:t>extraordinary stimuli (such as hyperglycaemia, arteriosclerosis and epilepsy).</w:t>
            </w:r>
          </w:p>
          <w:p w14:paraId="5564506C" w14:textId="77777777" w:rsidR="002244E8" w:rsidRPr="00154F1D" w:rsidRDefault="002244E8" w:rsidP="0035660C">
            <w:pPr>
              <w:spacing w:beforeLines="20" w:before="48" w:afterLines="20" w:after="48"/>
              <w:rPr>
                <w:sz w:val="20"/>
                <w:szCs w:val="20"/>
              </w:rPr>
            </w:pPr>
            <w:r w:rsidRPr="00154F1D">
              <w:rPr>
                <w:sz w:val="20"/>
                <w:szCs w:val="20"/>
              </w:rPr>
              <w:t>No change recommended.</w:t>
            </w:r>
          </w:p>
          <w:p w14:paraId="0D82CE10" w14:textId="77777777" w:rsidR="002244E8" w:rsidRPr="00154F1D" w:rsidRDefault="002244E8" w:rsidP="0035660C">
            <w:pPr>
              <w:spacing w:beforeLines="20" w:before="48" w:afterLines="20" w:after="48"/>
              <w:rPr>
                <w:sz w:val="20"/>
                <w:szCs w:val="20"/>
              </w:rPr>
            </w:pPr>
            <w:r w:rsidRPr="00154F1D">
              <w:rPr>
                <w:sz w:val="20"/>
                <w:szCs w:val="20"/>
              </w:rPr>
              <w:t>Personality disorders should not either automatically included or excluded from the definition.</w:t>
            </w:r>
          </w:p>
          <w:p w14:paraId="0D307A44" w14:textId="12A59EE9" w:rsidR="002244E8" w:rsidRPr="00154F1D" w:rsidRDefault="002244E8" w:rsidP="0035660C">
            <w:pPr>
              <w:spacing w:beforeLines="20" w:before="48" w:afterLines="20" w:after="48"/>
              <w:rPr>
                <w:sz w:val="20"/>
                <w:szCs w:val="20"/>
              </w:rPr>
            </w:pPr>
            <w:r w:rsidRPr="00154F1D">
              <w:rPr>
                <w:sz w:val="20"/>
                <w:szCs w:val="20"/>
              </w:rPr>
              <w:t>Defence should be renamed ‘mental impairment’ and should replace ‘unsoundness of mind’ with mental impairment</w:t>
            </w:r>
            <w:r w:rsidR="00782FE5">
              <w:rPr>
                <w:sz w:val="20"/>
                <w:szCs w:val="20"/>
              </w:rPr>
              <w:t>.</w:t>
            </w:r>
          </w:p>
          <w:p w14:paraId="02DFDA14" w14:textId="77777777" w:rsidR="002244E8" w:rsidRPr="00154F1D" w:rsidRDefault="002244E8" w:rsidP="0035660C">
            <w:pPr>
              <w:spacing w:beforeLines="20" w:before="48" w:afterLines="20" w:after="48"/>
              <w:rPr>
                <w:sz w:val="20"/>
                <w:szCs w:val="20"/>
              </w:rPr>
            </w:pPr>
            <w:r w:rsidRPr="00154F1D">
              <w:rPr>
                <w:sz w:val="20"/>
                <w:szCs w:val="20"/>
              </w:rPr>
              <w:t>Replace presumption of sanity with words ‘A person is presumed not to have been suffering a mental impairment unless the contrary is proved’.</w:t>
            </w:r>
          </w:p>
          <w:p w14:paraId="6E597194" w14:textId="77777777" w:rsidR="002244E8" w:rsidRPr="00154F1D" w:rsidRDefault="002244E8" w:rsidP="0035660C">
            <w:pPr>
              <w:spacing w:beforeLines="20" w:before="48" w:afterLines="20" w:after="48"/>
              <w:rPr>
                <w:i/>
                <w:sz w:val="20"/>
                <w:szCs w:val="20"/>
              </w:rPr>
            </w:pPr>
            <w:r w:rsidRPr="00154F1D">
              <w:rPr>
                <w:sz w:val="20"/>
                <w:szCs w:val="20"/>
              </w:rPr>
              <w:t>No recommendation to change verdict from not guilty but replace ‘unsoundness of mind’ with ‘by reason of mental impairment.</w:t>
            </w:r>
          </w:p>
        </w:tc>
        <w:tc>
          <w:tcPr>
            <w:tcW w:w="2110" w:type="dxa"/>
          </w:tcPr>
          <w:p w14:paraId="78671F04" w14:textId="77777777" w:rsidR="002244E8" w:rsidRPr="00154F1D" w:rsidRDefault="002244E8" w:rsidP="00755DEE">
            <w:pPr>
              <w:spacing w:beforeLines="20" w:before="48" w:afterLines="20" w:after="48"/>
              <w:rPr>
                <w:sz w:val="20"/>
                <w:szCs w:val="20"/>
              </w:rPr>
            </w:pPr>
            <w:r w:rsidRPr="00154F1D">
              <w:rPr>
                <w:sz w:val="20"/>
                <w:szCs w:val="20"/>
              </w:rPr>
              <w:t>No consideration of reform options</w:t>
            </w:r>
          </w:p>
        </w:tc>
        <w:tc>
          <w:tcPr>
            <w:tcW w:w="2436" w:type="dxa"/>
          </w:tcPr>
          <w:p w14:paraId="271DDE28" w14:textId="77777777" w:rsidR="002244E8" w:rsidRPr="00154F1D" w:rsidRDefault="002244E8" w:rsidP="00755DEE">
            <w:pPr>
              <w:spacing w:beforeLines="20" w:before="48" w:afterLines="20" w:after="48"/>
              <w:rPr>
                <w:sz w:val="20"/>
                <w:szCs w:val="20"/>
              </w:rPr>
            </w:pPr>
            <w:r w:rsidRPr="00154F1D">
              <w:rPr>
                <w:sz w:val="20"/>
                <w:szCs w:val="20"/>
              </w:rPr>
              <w:t>No consideration of reform options</w:t>
            </w:r>
          </w:p>
        </w:tc>
        <w:tc>
          <w:tcPr>
            <w:tcW w:w="2435" w:type="dxa"/>
          </w:tcPr>
          <w:p w14:paraId="3FE06831" w14:textId="77777777" w:rsidR="002244E8" w:rsidRPr="00154F1D" w:rsidRDefault="002244E8" w:rsidP="00755DEE">
            <w:pPr>
              <w:spacing w:beforeLines="20" w:before="48" w:afterLines="20" w:after="48"/>
              <w:rPr>
                <w:sz w:val="20"/>
                <w:szCs w:val="20"/>
              </w:rPr>
            </w:pPr>
            <w:r w:rsidRPr="00154F1D">
              <w:rPr>
                <w:sz w:val="20"/>
                <w:szCs w:val="20"/>
              </w:rPr>
              <w:t>No consideration of reform options</w:t>
            </w:r>
          </w:p>
        </w:tc>
        <w:tc>
          <w:tcPr>
            <w:tcW w:w="2436" w:type="dxa"/>
          </w:tcPr>
          <w:p w14:paraId="1F09FA77" w14:textId="49A0A1FA" w:rsidR="002244E8" w:rsidRPr="00154F1D" w:rsidRDefault="002244E8" w:rsidP="00755DEE">
            <w:pPr>
              <w:spacing w:beforeLines="20" w:before="48" w:afterLines="20" w:after="48"/>
              <w:rPr>
                <w:sz w:val="20"/>
                <w:szCs w:val="20"/>
              </w:rPr>
            </w:pPr>
            <w:r w:rsidRPr="00154F1D">
              <w:rPr>
                <w:sz w:val="20"/>
                <w:szCs w:val="20"/>
              </w:rPr>
              <w:t xml:space="preserve">Recommended retaining s 27 in relation to delusions (equivalent of section 16(3)) but amend the </w:t>
            </w:r>
            <w:r w:rsidRPr="00154F1D">
              <w:rPr>
                <w:i/>
                <w:sz w:val="20"/>
                <w:szCs w:val="20"/>
              </w:rPr>
              <w:t xml:space="preserve">Criminal Procedure Act 2004 </w:t>
            </w:r>
            <w:r w:rsidRPr="00154F1D">
              <w:rPr>
                <w:sz w:val="20"/>
                <w:szCs w:val="20"/>
              </w:rPr>
              <w:t xml:space="preserve">(WA) to make it clear that </w:t>
            </w:r>
            <w:r w:rsidR="00A3750D" w:rsidRPr="00154F1D">
              <w:rPr>
                <w:sz w:val="20"/>
                <w:szCs w:val="20"/>
              </w:rPr>
              <w:t>g</w:t>
            </w:r>
            <w:r w:rsidRPr="00154F1D">
              <w:rPr>
                <w:sz w:val="20"/>
                <w:szCs w:val="20"/>
              </w:rPr>
              <w:t xml:space="preserve">ives rise to qualified acquittal (not guilty by reason of mental impairment). </w:t>
            </w:r>
          </w:p>
        </w:tc>
      </w:tr>
      <w:tr w:rsidR="002244E8" w:rsidRPr="00154F1D" w14:paraId="25E572A7" w14:textId="77777777" w:rsidTr="00755DEE">
        <w:tc>
          <w:tcPr>
            <w:tcW w:w="1773" w:type="dxa"/>
          </w:tcPr>
          <w:p w14:paraId="445A2F70" w14:textId="77777777" w:rsidR="002244E8" w:rsidRPr="00154F1D" w:rsidRDefault="002244E8" w:rsidP="00755DEE">
            <w:pPr>
              <w:spacing w:beforeLines="20" w:before="48" w:afterLines="20" w:after="48"/>
              <w:rPr>
                <w:sz w:val="20"/>
                <w:szCs w:val="20"/>
              </w:rPr>
            </w:pPr>
            <w:r w:rsidRPr="00154F1D">
              <w:rPr>
                <w:sz w:val="20"/>
                <w:szCs w:val="20"/>
              </w:rPr>
              <w:t>Sentencing Advisory Council (SA)</w:t>
            </w:r>
          </w:p>
          <w:p w14:paraId="7AB9EAF5" w14:textId="1C6D270C" w:rsidR="002244E8" w:rsidRPr="00154F1D" w:rsidRDefault="002244E8" w:rsidP="000C6749">
            <w:pPr>
              <w:spacing w:beforeLines="20" w:before="48" w:afterLines="20" w:after="48"/>
              <w:rPr>
                <w:sz w:val="20"/>
                <w:szCs w:val="20"/>
              </w:rPr>
            </w:pPr>
            <w:r w:rsidRPr="00154F1D">
              <w:rPr>
                <w:i/>
                <w:sz w:val="20"/>
                <w:szCs w:val="20"/>
              </w:rPr>
              <w:t xml:space="preserve">Mental Impairment and the Law: A Report on the Operation of Part 8A of the Criminal Law Consolidation Act 1935 </w:t>
            </w:r>
            <w:r w:rsidRPr="00154F1D">
              <w:rPr>
                <w:sz w:val="20"/>
                <w:szCs w:val="20"/>
              </w:rPr>
              <w:t>(SA)</w:t>
            </w:r>
            <w:r w:rsidR="000C6749" w:rsidRPr="00154F1D">
              <w:rPr>
                <w:sz w:val="20"/>
                <w:szCs w:val="20"/>
              </w:rPr>
              <w:t xml:space="preserve"> </w:t>
            </w:r>
            <w:r w:rsidRPr="00154F1D">
              <w:rPr>
                <w:sz w:val="20"/>
                <w:szCs w:val="20"/>
              </w:rPr>
              <w:t>(2014)</w:t>
            </w:r>
          </w:p>
        </w:tc>
        <w:tc>
          <w:tcPr>
            <w:tcW w:w="2760" w:type="dxa"/>
          </w:tcPr>
          <w:p w14:paraId="4977B203" w14:textId="77777777" w:rsidR="002244E8" w:rsidRPr="00154F1D" w:rsidRDefault="002244E8" w:rsidP="0035660C">
            <w:pPr>
              <w:spacing w:beforeLines="20" w:before="48" w:afterLines="20" w:after="48"/>
              <w:rPr>
                <w:sz w:val="20"/>
                <w:szCs w:val="20"/>
              </w:rPr>
            </w:pPr>
            <w:r w:rsidRPr="00154F1D">
              <w:rPr>
                <w:sz w:val="20"/>
                <w:szCs w:val="20"/>
              </w:rPr>
              <w:t>Defence still necessary as a means to protect the community and provide individuals with the opportunity for treatment.</w:t>
            </w:r>
          </w:p>
          <w:p w14:paraId="45B742DB" w14:textId="77777777" w:rsidR="002244E8" w:rsidRPr="00154F1D" w:rsidRDefault="002244E8" w:rsidP="0035660C">
            <w:pPr>
              <w:spacing w:beforeLines="20" w:before="48" w:afterLines="20" w:after="48"/>
              <w:rPr>
                <w:sz w:val="20"/>
                <w:szCs w:val="20"/>
              </w:rPr>
            </w:pPr>
            <w:r w:rsidRPr="00154F1D">
              <w:rPr>
                <w:sz w:val="20"/>
                <w:szCs w:val="20"/>
              </w:rPr>
              <w:t>Three interrelated issues with definition: external factors test produce anomalous results; difficulties surrounding the soundness of mind test and confusion in relation to personality disorders.</w:t>
            </w:r>
          </w:p>
          <w:p w14:paraId="06B262C0" w14:textId="77777777" w:rsidR="002244E8" w:rsidRPr="00154F1D" w:rsidRDefault="002244E8" w:rsidP="0035660C">
            <w:pPr>
              <w:spacing w:beforeLines="20" w:before="48" w:afterLines="20" w:after="48"/>
              <w:rPr>
                <w:sz w:val="20"/>
                <w:szCs w:val="20"/>
              </w:rPr>
            </w:pPr>
            <w:r w:rsidRPr="00154F1D">
              <w:rPr>
                <w:sz w:val="20"/>
                <w:szCs w:val="20"/>
              </w:rPr>
              <w:t>Recommended no change to specifically include or exclude any medical conditions, including hypoglycemia or hyperglycemia and personality disorders.</w:t>
            </w:r>
          </w:p>
          <w:p w14:paraId="34266280" w14:textId="77777777" w:rsidR="002244E8" w:rsidRPr="00154F1D" w:rsidRDefault="002244E8" w:rsidP="0035660C">
            <w:pPr>
              <w:spacing w:beforeLines="20" w:before="48" w:afterLines="20" w:after="48"/>
              <w:rPr>
                <w:sz w:val="20"/>
                <w:szCs w:val="20"/>
              </w:rPr>
            </w:pPr>
            <w:r w:rsidRPr="00154F1D">
              <w:rPr>
                <w:sz w:val="20"/>
                <w:szCs w:val="20"/>
              </w:rPr>
              <w:t>Recommended retention of the current law in relation to intoxication and insanity.</w:t>
            </w:r>
          </w:p>
        </w:tc>
        <w:tc>
          <w:tcPr>
            <w:tcW w:w="2110" w:type="dxa"/>
          </w:tcPr>
          <w:p w14:paraId="1D417717" w14:textId="499633C5" w:rsidR="002244E8" w:rsidRPr="00154F1D" w:rsidRDefault="002244E8" w:rsidP="00755DEE">
            <w:pPr>
              <w:spacing w:beforeLines="20" w:before="48" w:afterLines="20" w:after="48"/>
              <w:rPr>
                <w:sz w:val="20"/>
                <w:szCs w:val="20"/>
              </w:rPr>
            </w:pPr>
            <w:r w:rsidRPr="00154F1D">
              <w:rPr>
                <w:sz w:val="20"/>
                <w:szCs w:val="20"/>
              </w:rPr>
              <w:t xml:space="preserve">Not necessary to define phrase nature and quality’ </w:t>
            </w:r>
            <w:r w:rsidR="000C6749" w:rsidRPr="00154F1D">
              <w:rPr>
                <w:sz w:val="20"/>
                <w:szCs w:val="20"/>
              </w:rPr>
              <w:t>—</w:t>
            </w:r>
            <w:r w:rsidRPr="00154F1D">
              <w:rPr>
                <w:sz w:val="20"/>
                <w:szCs w:val="20"/>
              </w:rPr>
              <w:t xml:space="preserve"> well understood and not difficult to explain; consistent with approach in most other jurisdictions. </w:t>
            </w:r>
          </w:p>
          <w:p w14:paraId="738273B6" w14:textId="520EA44E" w:rsidR="002244E8" w:rsidRPr="00154F1D" w:rsidRDefault="002244E8" w:rsidP="00755DEE">
            <w:pPr>
              <w:spacing w:beforeLines="20" w:before="48" w:afterLines="20" w:after="48"/>
              <w:rPr>
                <w:sz w:val="20"/>
                <w:szCs w:val="20"/>
              </w:rPr>
            </w:pPr>
            <w:r w:rsidRPr="00154F1D">
              <w:rPr>
                <w:sz w:val="20"/>
                <w:szCs w:val="20"/>
              </w:rPr>
              <w:t xml:space="preserve">Not replace ‘knowledge’ with ‘understanding’ </w:t>
            </w:r>
            <w:r w:rsidR="000C6749" w:rsidRPr="00154F1D">
              <w:rPr>
                <w:sz w:val="20"/>
                <w:szCs w:val="20"/>
              </w:rPr>
              <w:t>—</w:t>
            </w:r>
            <w:r w:rsidRPr="00154F1D">
              <w:rPr>
                <w:sz w:val="20"/>
                <w:szCs w:val="20"/>
              </w:rPr>
              <w:t xml:space="preserve"> concerned about broad range of mental functions that may be covered. Little difficulty with current test. Unlikely make any substantive different in practice</w:t>
            </w:r>
            <w:r w:rsidR="000C6749" w:rsidRPr="00154F1D">
              <w:rPr>
                <w:sz w:val="20"/>
                <w:szCs w:val="20"/>
              </w:rPr>
              <w:t>.</w:t>
            </w:r>
          </w:p>
        </w:tc>
        <w:tc>
          <w:tcPr>
            <w:tcW w:w="2436" w:type="dxa"/>
          </w:tcPr>
          <w:p w14:paraId="3DEB11B6" w14:textId="76CE05D7" w:rsidR="002244E8" w:rsidRPr="00154F1D" w:rsidRDefault="002244E8" w:rsidP="00755DEE">
            <w:pPr>
              <w:spacing w:beforeLines="20" w:before="48" w:afterLines="20" w:after="48"/>
              <w:rPr>
                <w:sz w:val="20"/>
                <w:szCs w:val="20"/>
              </w:rPr>
            </w:pPr>
            <w:r w:rsidRPr="00154F1D">
              <w:rPr>
                <w:sz w:val="20"/>
                <w:szCs w:val="20"/>
              </w:rPr>
              <w:t xml:space="preserve">Law unclear, especially in relation to whether </w:t>
            </w:r>
            <w:r w:rsidR="00A3750D" w:rsidRPr="00154F1D">
              <w:rPr>
                <w:sz w:val="20"/>
                <w:szCs w:val="20"/>
              </w:rPr>
              <w:t>‘</w:t>
            </w:r>
            <w:r w:rsidRPr="00154F1D">
              <w:rPr>
                <w:sz w:val="20"/>
                <w:szCs w:val="20"/>
              </w:rPr>
              <w:t xml:space="preserve">Porter </w:t>
            </w:r>
            <w:r w:rsidRPr="00154F1D">
              <w:rPr>
                <w:i/>
                <w:sz w:val="20"/>
                <w:szCs w:val="20"/>
              </w:rPr>
              <w:t>gloss</w:t>
            </w:r>
            <w:r w:rsidR="00A3750D" w:rsidRPr="00154F1D">
              <w:rPr>
                <w:sz w:val="20"/>
                <w:szCs w:val="20"/>
              </w:rPr>
              <w:t>’</w:t>
            </w:r>
            <w:r w:rsidRPr="00154F1D">
              <w:rPr>
                <w:sz w:val="20"/>
                <w:szCs w:val="20"/>
              </w:rPr>
              <w:t xml:space="preserve"> applies to all cases or is limited to specific types of cases (such as those involving frenzy, uncontrolled emotion or suspended reason).</w:t>
            </w:r>
          </w:p>
          <w:p w14:paraId="7E133AAC" w14:textId="77777777" w:rsidR="002244E8" w:rsidRPr="00154F1D" w:rsidRDefault="002244E8" w:rsidP="00755DEE">
            <w:pPr>
              <w:spacing w:beforeLines="20" w:before="48" w:afterLines="20" w:after="48"/>
              <w:rPr>
                <w:sz w:val="20"/>
                <w:szCs w:val="20"/>
              </w:rPr>
            </w:pPr>
            <w:r w:rsidRPr="00154F1D">
              <w:rPr>
                <w:sz w:val="20"/>
                <w:szCs w:val="20"/>
              </w:rPr>
              <w:t>Q should be not simply whether D knew that the conduct was wrong but whether the D was unable to reason that it was wrong. The defence should only apply where the D was unable to think rationally, in the same way as other people, in order to reason that the conduct was wrong. Adopt Model Criminal Code approach but delete words ‘with a moderate degree of sense and composure’.</w:t>
            </w:r>
          </w:p>
        </w:tc>
        <w:tc>
          <w:tcPr>
            <w:tcW w:w="2435" w:type="dxa"/>
          </w:tcPr>
          <w:p w14:paraId="42BEC43B" w14:textId="77777777" w:rsidR="002244E8" w:rsidRPr="00154F1D" w:rsidRDefault="002244E8" w:rsidP="00755DEE">
            <w:pPr>
              <w:spacing w:beforeLines="20" w:before="48" w:afterLines="20" w:after="48"/>
              <w:rPr>
                <w:sz w:val="20"/>
                <w:szCs w:val="20"/>
              </w:rPr>
            </w:pPr>
            <w:r w:rsidRPr="00154F1D">
              <w:rPr>
                <w:sz w:val="20"/>
                <w:szCs w:val="20"/>
              </w:rPr>
              <w:t>Strong reasons to remove it but for consistency with other jurisdiction should be retained but should be made clear that D is totally able to control his or her conduct and that a partial inability to control conduct is not sufficient.</w:t>
            </w:r>
          </w:p>
        </w:tc>
        <w:tc>
          <w:tcPr>
            <w:tcW w:w="2436" w:type="dxa"/>
          </w:tcPr>
          <w:p w14:paraId="2B7AED11" w14:textId="77777777" w:rsidR="002244E8" w:rsidRPr="00154F1D" w:rsidRDefault="002244E8" w:rsidP="00755DEE">
            <w:pPr>
              <w:spacing w:beforeLines="20" w:before="48" w:afterLines="20" w:after="48"/>
              <w:rPr>
                <w:sz w:val="20"/>
                <w:szCs w:val="20"/>
              </w:rPr>
            </w:pPr>
          </w:p>
        </w:tc>
      </w:tr>
      <w:tr w:rsidR="002244E8" w:rsidRPr="00154F1D" w14:paraId="0DC52FBD" w14:textId="77777777" w:rsidTr="00755DEE">
        <w:tc>
          <w:tcPr>
            <w:tcW w:w="1773" w:type="dxa"/>
          </w:tcPr>
          <w:p w14:paraId="6E6C4376" w14:textId="77777777" w:rsidR="002244E8" w:rsidRPr="00154F1D" w:rsidRDefault="002244E8" w:rsidP="00755DEE">
            <w:pPr>
              <w:spacing w:beforeLines="20" w:before="48" w:afterLines="20" w:after="48"/>
              <w:rPr>
                <w:sz w:val="20"/>
                <w:szCs w:val="20"/>
              </w:rPr>
            </w:pPr>
            <w:r w:rsidRPr="00154F1D">
              <w:rPr>
                <w:sz w:val="20"/>
                <w:szCs w:val="20"/>
              </w:rPr>
              <w:t>Scottish Law Commission</w:t>
            </w:r>
          </w:p>
          <w:p w14:paraId="1F002539" w14:textId="5EBF7191" w:rsidR="002244E8" w:rsidRPr="00154F1D" w:rsidRDefault="002244E8" w:rsidP="00755DEE">
            <w:pPr>
              <w:spacing w:beforeLines="20" w:before="48" w:afterLines="20" w:after="48"/>
              <w:rPr>
                <w:i/>
                <w:sz w:val="20"/>
                <w:szCs w:val="20"/>
              </w:rPr>
            </w:pPr>
            <w:r w:rsidRPr="00154F1D">
              <w:rPr>
                <w:i/>
                <w:sz w:val="20"/>
                <w:szCs w:val="20"/>
              </w:rPr>
              <w:t xml:space="preserve">Report on Insanity and Diminished Responsibility </w:t>
            </w:r>
          </w:p>
          <w:p w14:paraId="2AE85C26" w14:textId="77777777" w:rsidR="002244E8" w:rsidRPr="00154F1D" w:rsidRDefault="002244E8" w:rsidP="00755DEE">
            <w:pPr>
              <w:spacing w:beforeLines="20" w:before="48" w:afterLines="20" w:after="48"/>
              <w:rPr>
                <w:sz w:val="20"/>
                <w:szCs w:val="20"/>
              </w:rPr>
            </w:pPr>
            <w:r w:rsidRPr="00154F1D">
              <w:rPr>
                <w:sz w:val="20"/>
                <w:szCs w:val="20"/>
              </w:rPr>
              <w:t>(2004)</w:t>
            </w:r>
          </w:p>
        </w:tc>
        <w:tc>
          <w:tcPr>
            <w:tcW w:w="2760" w:type="dxa"/>
          </w:tcPr>
          <w:p w14:paraId="2F23D627" w14:textId="45A11F66" w:rsidR="002244E8" w:rsidRPr="00154F1D" w:rsidRDefault="002244E8" w:rsidP="0035660C">
            <w:pPr>
              <w:spacing w:beforeLines="20" w:before="48" w:afterLines="20" w:after="48"/>
              <w:rPr>
                <w:sz w:val="20"/>
                <w:szCs w:val="20"/>
              </w:rPr>
            </w:pPr>
            <w:r w:rsidRPr="00154F1D">
              <w:rPr>
                <w:sz w:val="20"/>
                <w:szCs w:val="20"/>
              </w:rPr>
              <w:t xml:space="preserve">Brief definition should be introduced </w:t>
            </w:r>
            <w:r w:rsidR="000C6749" w:rsidRPr="00154F1D">
              <w:rPr>
                <w:sz w:val="20"/>
                <w:szCs w:val="20"/>
              </w:rPr>
              <w:t>—</w:t>
            </w:r>
            <w:r w:rsidRPr="00154F1D">
              <w:rPr>
                <w:sz w:val="20"/>
                <w:szCs w:val="20"/>
              </w:rPr>
              <w:t xml:space="preserve"> define mental disorder to mean: (a) mental illness, (b) personality disorder or (c) learning disability.</w:t>
            </w:r>
          </w:p>
          <w:p w14:paraId="570EE94C" w14:textId="77777777" w:rsidR="002244E8" w:rsidRPr="00154F1D" w:rsidRDefault="002244E8" w:rsidP="0035660C">
            <w:pPr>
              <w:spacing w:beforeLines="20" w:before="48" w:afterLines="20" w:after="48"/>
              <w:rPr>
                <w:sz w:val="20"/>
                <w:szCs w:val="20"/>
              </w:rPr>
            </w:pPr>
            <w:r w:rsidRPr="00154F1D">
              <w:rPr>
                <w:sz w:val="20"/>
                <w:szCs w:val="20"/>
              </w:rPr>
              <w:t>Should exclude psychopathic personality disorders</w:t>
            </w:r>
          </w:p>
          <w:p w14:paraId="419CD177" w14:textId="77777777" w:rsidR="002244E8" w:rsidRPr="00154F1D" w:rsidRDefault="002244E8" w:rsidP="0035660C">
            <w:pPr>
              <w:spacing w:beforeLines="20" w:before="48" w:afterLines="20" w:after="48"/>
              <w:rPr>
                <w:sz w:val="20"/>
                <w:szCs w:val="20"/>
              </w:rPr>
            </w:pPr>
            <w:r w:rsidRPr="00154F1D">
              <w:rPr>
                <w:sz w:val="20"/>
                <w:szCs w:val="20"/>
              </w:rPr>
              <w:t>Should be renamed.</w:t>
            </w:r>
          </w:p>
        </w:tc>
        <w:tc>
          <w:tcPr>
            <w:tcW w:w="2110" w:type="dxa"/>
          </w:tcPr>
          <w:p w14:paraId="381C9195" w14:textId="58C307F5" w:rsidR="002244E8" w:rsidRPr="00154F1D" w:rsidRDefault="002244E8" w:rsidP="00755DEE">
            <w:pPr>
              <w:spacing w:beforeLines="20" w:before="48" w:afterLines="20" w:after="48"/>
              <w:rPr>
                <w:sz w:val="20"/>
                <w:szCs w:val="20"/>
              </w:rPr>
            </w:pPr>
            <w:r w:rsidRPr="00154F1D">
              <w:rPr>
                <w:sz w:val="20"/>
                <w:szCs w:val="20"/>
              </w:rPr>
              <w:t>Test based on D’s ability to appreciate (rather than know) the nature of his or her conduct. Eg woman who kills her children by smothering them with a pillow in belief that in doing so she will drive out demons from their souls. In one sense she understands the physical nature of her actions (she knows that putting a pillow over their faces will stop them breathing) but in a wider sense she doesn’t have a true or complete knowledge of her actions. A person w</w:t>
            </w:r>
            <w:r w:rsidR="00782FE5">
              <w:rPr>
                <w:sz w:val="20"/>
                <w:szCs w:val="20"/>
              </w:rPr>
              <w:t>h</w:t>
            </w:r>
            <w:r w:rsidRPr="00154F1D">
              <w:rPr>
                <w:sz w:val="20"/>
                <w:szCs w:val="20"/>
              </w:rPr>
              <w:t>o lacks knowledge in this broader sense should be exculpated.</w:t>
            </w:r>
          </w:p>
        </w:tc>
        <w:tc>
          <w:tcPr>
            <w:tcW w:w="2436" w:type="dxa"/>
          </w:tcPr>
          <w:p w14:paraId="3B09C251" w14:textId="4D32A16E" w:rsidR="002244E8" w:rsidRPr="00154F1D" w:rsidRDefault="002244E8" w:rsidP="00755DEE">
            <w:pPr>
              <w:spacing w:beforeLines="20" w:before="48" w:afterLines="20" w:after="48"/>
              <w:rPr>
                <w:sz w:val="20"/>
                <w:szCs w:val="20"/>
              </w:rPr>
            </w:pPr>
            <w:r w:rsidRPr="00154F1D">
              <w:rPr>
                <w:sz w:val="20"/>
                <w:szCs w:val="20"/>
              </w:rPr>
              <w:t xml:space="preserve">Test should require D to have a deeper appreciation that the conduct was wrong </w:t>
            </w:r>
            <w:r w:rsidR="000C6749" w:rsidRPr="00154F1D">
              <w:rPr>
                <w:sz w:val="20"/>
                <w:szCs w:val="20"/>
              </w:rPr>
              <w:t>—</w:t>
            </w:r>
            <w:r w:rsidRPr="00154F1D">
              <w:rPr>
                <w:sz w:val="20"/>
                <w:szCs w:val="20"/>
              </w:rPr>
              <w:t xml:space="preserve"> and concluded test be defined in terms of D’s inability at the time of the offence to appreciate the wrongfulness of his or her conduct.</w:t>
            </w:r>
          </w:p>
        </w:tc>
        <w:tc>
          <w:tcPr>
            <w:tcW w:w="2435" w:type="dxa"/>
          </w:tcPr>
          <w:p w14:paraId="00707851" w14:textId="40D69CBD" w:rsidR="002244E8" w:rsidRPr="00154F1D" w:rsidRDefault="002244E8" w:rsidP="00755DEE">
            <w:pPr>
              <w:spacing w:beforeLines="20" w:before="48" w:afterLines="20" w:after="48"/>
              <w:rPr>
                <w:sz w:val="20"/>
                <w:szCs w:val="20"/>
              </w:rPr>
            </w:pPr>
            <w:r w:rsidRPr="00154F1D">
              <w:rPr>
                <w:sz w:val="20"/>
                <w:szCs w:val="20"/>
              </w:rPr>
              <w:t>Opposed introduction of volitional component</w:t>
            </w:r>
          </w:p>
        </w:tc>
        <w:tc>
          <w:tcPr>
            <w:tcW w:w="2436" w:type="dxa"/>
          </w:tcPr>
          <w:p w14:paraId="75C47B90" w14:textId="77777777" w:rsidR="002244E8" w:rsidRPr="00154F1D" w:rsidRDefault="002244E8" w:rsidP="00755DEE">
            <w:pPr>
              <w:spacing w:beforeLines="20" w:before="48" w:afterLines="20" w:after="48"/>
              <w:rPr>
                <w:sz w:val="20"/>
                <w:szCs w:val="20"/>
              </w:rPr>
            </w:pPr>
            <w:r w:rsidRPr="00154F1D">
              <w:rPr>
                <w:sz w:val="20"/>
                <w:szCs w:val="20"/>
              </w:rPr>
              <w:t>No discussion</w:t>
            </w:r>
          </w:p>
        </w:tc>
      </w:tr>
      <w:tr w:rsidR="002244E8" w:rsidRPr="00154F1D" w14:paraId="4F84801C" w14:textId="77777777" w:rsidTr="00755DEE">
        <w:tc>
          <w:tcPr>
            <w:tcW w:w="1773" w:type="dxa"/>
          </w:tcPr>
          <w:p w14:paraId="60C51E61" w14:textId="77777777" w:rsidR="002244E8" w:rsidRPr="00154F1D" w:rsidRDefault="002244E8" w:rsidP="00755DEE">
            <w:pPr>
              <w:spacing w:beforeLines="20" w:before="48" w:afterLines="20" w:after="48"/>
              <w:rPr>
                <w:sz w:val="20"/>
                <w:szCs w:val="20"/>
              </w:rPr>
            </w:pPr>
            <w:r w:rsidRPr="00154F1D">
              <w:rPr>
                <w:sz w:val="20"/>
                <w:szCs w:val="20"/>
              </w:rPr>
              <w:t>New Zealand Law Commission</w:t>
            </w:r>
          </w:p>
          <w:p w14:paraId="6B8214B3" w14:textId="77777777" w:rsidR="002244E8" w:rsidRPr="00154F1D" w:rsidRDefault="002244E8" w:rsidP="00755DEE">
            <w:pPr>
              <w:spacing w:beforeLines="20" w:before="48" w:afterLines="20" w:after="48"/>
              <w:rPr>
                <w:sz w:val="20"/>
                <w:szCs w:val="20"/>
              </w:rPr>
            </w:pPr>
            <w:r w:rsidRPr="00154F1D">
              <w:rPr>
                <w:i/>
                <w:sz w:val="20"/>
                <w:szCs w:val="20"/>
              </w:rPr>
              <w:t xml:space="preserve">Mental Impairment Decision-Making and the Insanity Defence: Report 120 </w:t>
            </w:r>
          </w:p>
          <w:p w14:paraId="3C35CD41" w14:textId="77777777" w:rsidR="002244E8" w:rsidRPr="00154F1D" w:rsidRDefault="002244E8" w:rsidP="00755DEE">
            <w:pPr>
              <w:spacing w:beforeLines="20" w:before="48" w:afterLines="20" w:after="48"/>
              <w:rPr>
                <w:sz w:val="20"/>
                <w:szCs w:val="20"/>
              </w:rPr>
            </w:pPr>
            <w:r w:rsidRPr="00154F1D">
              <w:rPr>
                <w:sz w:val="20"/>
                <w:szCs w:val="20"/>
              </w:rPr>
              <w:t>(2010)</w:t>
            </w:r>
          </w:p>
        </w:tc>
        <w:tc>
          <w:tcPr>
            <w:tcW w:w="2760" w:type="dxa"/>
          </w:tcPr>
          <w:p w14:paraId="770FF9AC" w14:textId="77777777" w:rsidR="002244E8" w:rsidRPr="00154F1D" w:rsidRDefault="002244E8" w:rsidP="0035660C">
            <w:pPr>
              <w:spacing w:beforeLines="20" w:before="48" w:afterLines="20" w:after="48"/>
              <w:rPr>
                <w:sz w:val="20"/>
                <w:szCs w:val="20"/>
              </w:rPr>
            </w:pPr>
            <w:r w:rsidRPr="00154F1D">
              <w:rPr>
                <w:sz w:val="20"/>
                <w:szCs w:val="20"/>
              </w:rPr>
              <w:t>No definition be introduced because of flexibility provided.</w:t>
            </w:r>
          </w:p>
          <w:p w14:paraId="44855D57" w14:textId="77777777" w:rsidR="002244E8" w:rsidRPr="00154F1D" w:rsidRDefault="002244E8" w:rsidP="0035660C">
            <w:pPr>
              <w:spacing w:beforeLines="20" w:before="48" w:afterLines="20" w:after="48"/>
              <w:rPr>
                <w:sz w:val="20"/>
                <w:szCs w:val="20"/>
              </w:rPr>
            </w:pPr>
            <w:r w:rsidRPr="00154F1D">
              <w:rPr>
                <w:sz w:val="20"/>
                <w:szCs w:val="20"/>
              </w:rPr>
              <w:t>No change to verdict of acquittal on account of insanity.</w:t>
            </w:r>
          </w:p>
        </w:tc>
        <w:tc>
          <w:tcPr>
            <w:tcW w:w="2110" w:type="dxa"/>
          </w:tcPr>
          <w:p w14:paraId="4B5AAFF7" w14:textId="77777777" w:rsidR="002244E8" w:rsidRPr="00154F1D" w:rsidRDefault="002244E8" w:rsidP="00755DEE">
            <w:pPr>
              <w:spacing w:beforeLines="20" w:before="48" w:afterLines="20" w:after="48"/>
              <w:rPr>
                <w:sz w:val="20"/>
                <w:szCs w:val="20"/>
              </w:rPr>
            </w:pPr>
            <w:r w:rsidRPr="00154F1D">
              <w:rPr>
                <w:sz w:val="20"/>
                <w:szCs w:val="20"/>
              </w:rPr>
              <w:t>Rejected move to broader concept of appreciation on basis that it does not better job than the present defence of clarifying where on the continuum the line between sanity and insanity ought to be drawn.</w:t>
            </w:r>
          </w:p>
        </w:tc>
        <w:tc>
          <w:tcPr>
            <w:tcW w:w="2436" w:type="dxa"/>
          </w:tcPr>
          <w:p w14:paraId="711D7D01" w14:textId="02833EAF" w:rsidR="002244E8" w:rsidRPr="00154F1D" w:rsidRDefault="002244E8" w:rsidP="00755DEE">
            <w:pPr>
              <w:spacing w:beforeLines="20" w:before="48" w:afterLines="20" w:after="48"/>
              <w:rPr>
                <w:sz w:val="20"/>
                <w:szCs w:val="20"/>
              </w:rPr>
            </w:pPr>
            <w:r w:rsidRPr="00154F1D">
              <w:rPr>
                <w:sz w:val="20"/>
                <w:szCs w:val="20"/>
              </w:rPr>
              <w:t xml:space="preserve">No change </w:t>
            </w:r>
            <w:r w:rsidR="000C6749" w:rsidRPr="00154F1D">
              <w:rPr>
                <w:sz w:val="20"/>
                <w:szCs w:val="20"/>
              </w:rPr>
              <w:t>—</w:t>
            </w:r>
            <w:r w:rsidRPr="00154F1D">
              <w:rPr>
                <w:sz w:val="20"/>
                <w:szCs w:val="20"/>
              </w:rPr>
              <w:t xml:space="preserve"> Porter gloss already part of the law and incorporating it in legislation would make no material difference.</w:t>
            </w:r>
          </w:p>
        </w:tc>
        <w:tc>
          <w:tcPr>
            <w:tcW w:w="2435" w:type="dxa"/>
          </w:tcPr>
          <w:p w14:paraId="13518D3F" w14:textId="77777777" w:rsidR="002244E8" w:rsidRPr="00154F1D" w:rsidRDefault="002244E8" w:rsidP="00755DEE">
            <w:pPr>
              <w:spacing w:beforeLines="20" w:before="48" w:afterLines="20" w:after="48"/>
              <w:rPr>
                <w:sz w:val="20"/>
                <w:szCs w:val="20"/>
              </w:rPr>
            </w:pPr>
            <w:r w:rsidRPr="00154F1D">
              <w:rPr>
                <w:sz w:val="20"/>
                <w:szCs w:val="20"/>
              </w:rPr>
              <w:t>Opposed introduction of volitional component</w:t>
            </w:r>
          </w:p>
        </w:tc>
        <w:tc>
          <w:tcPr>
            <w:tcW w:w="2436" w:type="dxa"/>
          </w:tcPr>
          <w:p w14:paraId="3AA4635B" w14:textId="77777777" w:rsidR="002244E8" w:rsidRPr="00154F1D" w:rsidRDefault="002244E8" w:rsidP="00755DEE">
            <w:pPr>
              <w:spacing w:beforeLines="20" w:before="48" w:afterLines="20" w:after="48"/>
              <w:rPr>
                <w:sz w:val="20"/>
                <w:szCs w:val="20"/>
              </w:rPr>
            </w:pPr>
            <w:r w:rsidRPr="00154F1D">
              <w:rPr>
                <w:sz w:val="20"/>
                <w:szCs w:val="20"/>
              </w:rPr>
              <w:t>No discussion</w:t>
            </w:r>
          </w:p>
        </w:tc>
      </w:tr>
      <w:tr w:rsidR="002244E8" w:rsidRPr="00154F1D" w14:paraId="0A4CCC7E" w14:textId="77777777" w:rsidTr="00755DEE">
        <w:tc>
          <w:tcPr>
            <w:tcW w:w="1773" w:type="dxa"/>
          </w:tcPr>
          <w:p w14:paraId="29339B26" w14:textId="77777777" w:rsidR="002244E8" w:rsidRPr="00154F1D" w:rsidRDefault="002244E8" w:rsidP="00755DEE">
            <w:pPr>
              <w:spacing w:beforeLines="20" w:before="48" w:afterLines="20" w:after="48"/>
              <w:rPr>
                <w:sz w:val="20"/>
                <w:szCs w:val="20"/>
              </w:rPr>
            </w:pPr>
            <w:r w:rsidRPr="00154F1D">
              <w:rPr>
                <w:sz w:val="20"/>
                <w:szCs w:val="20"/>
              </w:rPr>
              <w:t>England Law Commission</w:t>
            </w:r>
          </w:p>
          <w:p w14:paraId="46784025" w14:textId="77777777" w:rsidR="002244E8" w:rsidRPr="00154F1D" w:rsidRDefault="002244E8" w:rsidP="00755DEE">
            <w:pPr>
              <w:spacing w:beforeLines="20" w:before="48" w:afterLines="20" w:after="48"/>
              <w:rPr>
                <w:sz w:val="20"/>
                <w:szCs w:val="20"/>
              </w:rPr>
            </w:pPr>
            <w:r w:rsidRPr="00154F1D">
              <w:rPr>
                <w:i/>
                <w:sz w:val="20"/>
                <w:szCs w:val="20"/>
              </w:rPr>
              <w:t>Criminal Liability: Insanity and Automatism: Discussion Paper</w:t>
            </w:r>
          </w:p>
          <w:p w14:paraId="0588C2B0" w14:textId="77777777" w:rsidR="002244E8" w:rsidRPr="00154F1D" w:rsidRDefault="002244E8" w:rsidP="00755DEE">
            <w:pPr>
              <w:spacing w:beforeLines="20" w:before="48" w:afterLines="20" w:after="48"/>
              <w:rPr>
                <w:sz w:val="20"/>
                <w:szCs w:val="20"/>
              </w:rPr>
            </w:pPr>
            <w:r w:rsidRPr="00154F1D">
              <w:rPr>
                <w:sz w:val="20"/>
                <w:szCs w:val="20"/>
              </w:rPr>
              <w:t>(2013)</w:t>
            </w:r>
          </w:p>
        </w:tc>
        <w:tc>
          <w:tcPr>
            <w:tcW w:w="2760" w:type="dxa"/>
          </w:tcPr>
          <w:p w14:paraId="6AA192E1" w14:textId="77777777" w:rsidR="002244E8" w:rsidRPr="00154F1D" w:rsidRDefault="002244E8" w:rsidP="0035660C">
            <w:pPr>
              <w:spacing w:beforeLines="20" w:before="48" w:afterLines="20" w:after="48"/>
              <w:rPr>
                <w:sz w:val="20"/>
                <w:szCs w:val="20"/>
              </w:rPr>
            </w:pPr>
            <w:r w:rsidRPr="00154F1D">
              <w:rPr>
                <w:sz w:val="20"/>
                <w:szCs w:val="20"/>
              </w:rPr>
              <w:t>Abolish insanity and create a new defence of ‘not criminally responsible by reason of recognised medical condition’.</w:t>
            </w:r>
          </w:p>
          <w:p w14:paraId="5A3E091E" w14:textId="2967E395" w:rsidR="002244E8" w:rsidRPr="00154F1D" w:rsidRDefault="002244E8" w:rsidP="0035660C">
            <w:pPr>
              <w:spacing w:beforeLines="20" w:before="48" w:afterLines="20" w:after="48"/>
              <w:rPr>
                <w:sz w:val="20"/>
                <w:szCs w:val="20"/>
              </w:rPr>
            </w:pPr>
            <w:r w:rsidRPr="00154F1D">
              <w:rPr>
                <w:sz w:val="20"/>
                <w:szCs w:val="20"/>
              </w:rPr>
              <w:t>Should explicitly exclude intoxication and personality disorders</w:t>
            </w:r>
            <w:r w:rsidR="000C6749" w:rsidRPr="00154F1D">
              <w:rPr>
                <w:sz w:val="20"/>
                <w:szCs w:val="20"/>
              </w:rPr>
              <w:t>.</w:t>
            </w:r>
          </w:p>
        </w:tc>
        <w:tc>
          <w:tcPr>
            <w:tcW w:w="2110" w:type="dxa"/>
          </w:tcPr>
          <w:p w14:paraId="18F0AD7A" w14:textId="77777777" w:rsidR="002244E8" w:rsidRPr="00154F1D" w:rsidRDefault="002244E8" w:rsidP="00755DEE">
            <w:pPr>
              <w:spacing w:beforeLines="20" w:before="48" w:afterLines="20" w:after="48"/>
              <w:rPr>
                <w:sz w:val="20"/>
                <w:szCs w:val="20"/>
              </w:rPr>
            </w:pPr>
            <w:r w:rsidRPr="00154F1D">
              <w:rPr>
                <w:sz w:val="20"/>
                <w:szCs w:val="20"/>
              </w:rPr>
              <w:t>Wholly lacked the capacity rationally to form a judgment about the relevant conduct or circumstances.</w:t>
            </w:r>
          </w:p>
        </w:tc>
        <w:tc>
          <w:tcPr>
            <w:tcW w:w="2436" w:type="dxa"/>
          </w:tcPr>
          <w:p w14:paraId="643BD22C" w14:textId="15765614" w:rsidR="002244E8" w:rsidRPr="00154F1D" w:rsidRDefault="002244E8" w:rsidP="00755DEE">
            <w:pPr>
              <w:spacing w:beforeLines="20" w:before="48" w:afterLines="20" w:after="48"/>
              <w:rPr>
                <w:sz w:val="20"/>
                <w:szCs w:val="20"/>
              </w:rPr>
            </w:pPr>
            <w:r w:rsidRPr="00154F1D">
              <w:rPr>
                <w:sz w:val="20"/>
                <w:szCs w:val="20"/>
              </w:rPr>
              <w:t xml:space="preserve">Wholly lacked the capacity to understand the wrongness of what he or she is charged with having done </w:t>
            </w:r>
            <w:r w:rsidR="000C6749" w:rsidRPr="00154F1D">
              <w:rPr>
                <w:sz w:val="20"/>
                <w:szCs w:val="20"/>
              </w:rPr>
              <w:t>—</w:t>
            </w:r>
            <w:r w:rsidRPr="00154F1D">
              <w:rPr>
                <w:sz w:val="20"/>
                <w:szCs w:val="20"/>
              </w:rPr>
              <w:t xml:space="preserve"> extend ‘wrong’ beyond illegality</w:t>
            </w:r>
          </w:p>
        </w:tc>
        <w:tc>
          <w:tcPr>
            <w:tcW w:w="2435" w:type="dxa"/>
          </w:tcPr>
          <w:p w14:paraId="65FACC4E" w14:textId="77777777" w:rsidR="002244E8" w:rsidRPr="00154F1D" w:rsidRDefault="002244E8" w:rsidP="00755DEE">
            <w:pPr>
              <w:spacing w:beforeLines="20" w:before="48" w:afterLines="20" w:after="48"/>
              <w:rPr>
                <w:sz w:val="20"/>
                <w:szCs w:val="20"/>
              </w:rPr>
            </w:pPr>
            <w:r w:rsidRPr="00154F1D">
              <w:rPr>
                <w:sz w:val="20"/>
                <w:szCs w:val="20"/>
              </w:rPr>
              <w:t>Wholly lacked the capacity to control his or her physical acts.</w:t>
            </w:r>
          </w:p>
        </w:tc>
        <w:tc>
          <w:tcPr>
            <w:tcW w:w="2436" w:type="dxa"/>
          </w:tcPr>
          <w:p w14:paraId="617CC2DF" w14:textId="77777777" w:rsidR="002244E8" w:rsidRPr="00154F1D" w:rsidRDefault="002244E8" w:rsidP="00755DEE">
            <w:pPr>
              <w:spacing w:beforeLines="20" w:before="48" w:afterLines="20" w:after="48"/>
              <w:rPr>
                <w:sz w:val="20"/>
                <w:szCs w:val="20"/>
              </w:rPr>
            </w:pPr>
            <w:r w:rsidRPr="00154F1D">
              <w:rPr>
                <w:sz w:val="20"/>
                <w:szCs w:val="20"/>
              </w:rPr>
              <w:t xml:space="preserve">Discussed delusions within the context of the other rules of </w:t>
            </w:r>
            <w:r w:rsidRPr="00154F1D">
              <w:rPr>
                <w:i/>
                <w:sz w:val="20"/>
                <w:szCs w:val="20"/>
              </w:rPr>
              <w:t xml:space="preserve">McNaghten. </w:t>
            </w:r>
          </w:p>
        </w:tc>
      </w:tr>
    </w:tbl>
    <w:p w14:paraId="3F4DAB55" w14:textId="77777777" w:rsidR="002244E8" w:rsidRPr="00154F1D" w:rsidRDefault="002244E8" w:rsidP="002244E8">
      <w:pPr>
        <w:rPr>
          <w:sz w:val="20"/>
          <w:szCs w:val="20"/>
        </w:rPr>
      </w:pPr>
    </w:p>
    <w:p w14:paraId="11D55B13" w14:textId="77777777" w:rsidR="00755DEE" w:rsidRPr="00154F1D" w:rsidRDefault="00755DEE" w:rsidP="0014208F">
      <w:pPr>
        <w:sectPr w:rsidR="00755DEE" w:rsidRPr="00154F1D" w:rsidSect="0035660C">
          <w:headerReference w:type="default" r:id="rId47"/>
          <w:pgSz w:w="16840" w:h="11900" w:orient="landscape"/>
          <w:pgMar w:top="1797" w:right="1440" w:bottom="1797" w:left="1440" w:header="709" w:footer="709" w:gutter="0"/>
          <w:cols w:space="708"/>
          <w:titlePg/>
          <w:docGrid w:linePitch="360"/>
        </w:sectPr>
      </w:pPr>
    </w:p>
    <w:p w14:paraId="69F70BF7" w14:textId="782EB83F" w:rsidR="00454F69" w:rsidRPr="00154F1D" w:rsidRDefault="00454F69" w:rsidP="00782FE5">
      <w:pPr>
        <w:pStyle w:val="NumberlessSectionHeading"/>
        <w:spacing w:before="0"/>
      </w:pPr>
      <w:bookmarkStart w:id="224" w:name="_Toc535868993"/>
      <w:r w:rsidRPr="00154F1D">
        <w:t xml:space="preserve">Appendix </w:t>
      </w:r>
      <w:r w:rsidR="00BA4488" w:rsidRPr="00154F1D">
        <w:t>8</w:t>
      </w:r>
      <w:r w:rsidR="000C6749" w:rsidRPr="00154F1D">
        <w:t xml:space="preserve">: </w:t>
      </w:r>
      <w:bookmarkEnd w:id="224"/>
      <w:r w:rsidR="00A3750D" w:rsidRPr="00154F1D">
        <w:t>Length of restriction and supervision orders in comparison with median sentence</w:t>
      </w:r>
    </w:p>
    <w:p w14:paraId="45930182" w14:textId="2BD131B9" w:rsidR="00454F69" w:rsidRPr="00154F1D" w:rsidRDefault="00454F69" w:rsidP="00782FE5">
      <w:pPr>
        <w:pStyle w:val="NumberlessNormalText"/>
        <w:spacing w:after="40"/>
        <w:rPr>
          <w:b/>
        </w:rPr>
      </w:pPr>
      <w:r w:rsidRPr="00154F1D">
        <w:rPr>
          <w:b/>
        </w:rPr>
        <w:t xml:space="preserve">Table </w:t>
      </w:r>
      <w:r w:rsidR="00BA4488" w:rsidRPr="00154F1D">
        <w:rPr>
          <w:b/>
        </w:rPr>
        <w:t>A8.</w:t>
      </w:r>
      <w:r w:rsidRPr="00154F1D">
        <w:rPr>
          <w:b/>
        </w:rPr>
        <w:t>1: Restriction orders</w:t>
      </w:r>
      <w:r w:rsidR="00921152" w:rsidRPr="00154F1D">
        <w:rPr>
          <w:b/>
        </w:rPr>
        <w:t xml:space="preserve"> –</w:t>
      </w:r>
      <w:r w:rsidRPr="00154F1D">
        <w:rPr>
          <w:b/>
        </w:rPr>
        <w:t xml:space="preserve"> Smith’s study. Excludes </w:t>
      </w:r>
      <w:r w:rsidR="001E0CE7">
        <w:rPr>
          <w:b/>
        </w:rPr>
        <w:t>individual</w:t>
      </w:r>
      <w:r w:rsidR="001E0CE7" w:rsidRPr="00154F1D">
        <w:rPr>
          <w:b/>
        </w:rPr>
        <w:t xml:space="preserve">s </w:t>
      </w:r>
      <w:r w:rsidRPr="00154F1D">
        <w:rPr>
          <w:b/>
        </w:rPr>
        <w:t>who have been on orders for less than 2-year duration, 2006</w:t>
      </w:r>
      <w:r w:rsidR="00921152" w:rsidRPr="00154F1D">
        <w:rPr>
          <w:b/>
        </w:rPr>
        <w:t>–</w:t>
      </w:r>
      <w:r w:rsidRPr="00154F1D">
        <w:rPr>
          <w:b/>
        </w:rPr>
        <w:t>2009</w:t>
      </w:r>
    </w:p>
    <w:tbl>
      <w:tblPr>
        <w:tblStyle w:val="TableGrid"/>
        <w:tblW w:w="5000" w:type="pct"/>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1839"/>
        <w:gridCol w:w="3395"/>
        <w:gridCol w:w="3066"/>
      </w:tblGrid>
      <w:tr w:rsidR="00454F69" w:rsidRPr="00154F1D" w14:paraId="52F7E0CF" w14:textId="77777777" w:rsidTr="00921152">
        <w:tc>
          <w:tcPr>
            <w:tcW w:w="1108" w:type="pct"/>
          </w:tcPr>
          <w:p w14:paraId="33ADBEF4" w14:textId="77777777" w:rsidR="00454F69" w:rsidRPr="00154F1D" w:rsidRDefault="00454F69" w:rsidP="00921152">
            <w:pPr>
              <w:spacing w:before="40" w:after="40"/>
              <w:rPr>
                <w:b/>
                <w:sz w:val="20"/>
                <w:szCs w:val="20"/>
              </w:rPr>
            </w:pPr>
            <w:r w:rsidRPr="00154F1D">
              <w:rPr>
                <w:b/>
                <w:sz w:val="20"/>
                <w:szCs w:val="20"/>
              </w:rPr>
              <w:t>Offence</w:t>
            </w:r>
          </w:p>
        </w:tc>
        <w:tc>
          <w:tcPr>
            <w:tcW w:w="2045" w:type="pct"/>
          </w:tcPr>
          <w:p w14:paraId="2B83719B" w14:textId="77777777" w:rsidR="00454F69" w:rsidRPr="00154F1D" w:rsidRDefault="00454F69" w:rsidP="00921152">
            <w:pPr>
              <w:spacing w:before="40" w:after="40"/>
              <w:rPr>
                <w:b/>
                <w:sz w:val="20"/>
                <w:szCs w:val="20"/>
              </w:rPr>
            </w:pPr>
            <w:r w:rsidRPr="00154F1D">
              <w:rPr>
                <w:b/>
                <w:sz w:val="20"/>
                <w:szCs w:val="20"/>
              </w:rPr>
              <w:t>Period of incarceration of defendant</w:t>
            </w:r>
          </w:p>
        </w:tc>
        <w:tc>
          <w:tcPr>
            <w:tcW w:w="1847" w:type="pct"/>
          </w:tcPr>
          <w:p w14:paraId="6CAA0E6A" w14:textId="145C04E4" w:rsidR="00454F69" w:rsidRPr="00154F1D" w:rsidRDefault="00454F69" w:rsidP="00921152">
            <w:pPr>
              <w:spacing w:before="40" w:after="40"/>
              <w:rPr>
                <w:b/>
                <w:sz w:val="20"/>
                <w:szCs w:val="20"/>
              </w:rPr>
            </w:pPr>
            <w:r w:rsidRPr="00154F1D">
              <w:rPr>
                <w:b/>
                <w:sz w:val="20"/>
                <w:szCs w:val="20"/>
              </w:rPr>
              <w:t>Median sentence 1990</w:t>
            </w:r>
            <w:r w:rsidR="00921152" w:rsidRPr="00154F1D">
              <w:rPr>
                <w:b/>
                <w:sz w:val="20"/>
                <w:szCs w:val="20"/>
              </w:rPr>
              <w:t>–</w:t>
            </w:r>
            <w:r w:rsidRPr="00154F1D">
              <w:rPr>
                <w:b/>
                <w:sz w:val="20"/>
                <w:szCs w:val="20"/>
              </w:rPr>
              <w:t>2000</w:t>
            </w:r>
          </w:p>
        </w:tc>
      </w:tr>
      <w:tr w:rsidR="00454F69" w:rsidRPr="00154F1D" w14:paraId="51D97E57" w14:textId="77777777" w:rsidTr="00921152">
        <w:tc>
          <w:tcPr>
            <w:tcW w:w="1108" w:type="pct"/>
          </w:tcPr>
          <w:p w14:paraId="0A78390C" w14:textId="77777777" w:rsidR="00454F69" w:rsidRPr="00154F1D" w:rsidRDefault="00454F69" w:rsidP="00921152">
            <w:pPr>
              <w:autoSpaceDE w:val="0"/>
              <w:autoSpaceDN w:val="0"/>
              <w:adjustRightInd w:val="0"/>
              <w:spacing w:before="40" w:after="40"/>
              <w:rPr>
                <w:sz w:val="20"/>
                <w:szCs w:val="20"/>
              </w:rPr>
            </w:pPr>
            <w:r w:rsidRPr="00154F1D">
              <w:rPr>
                <w:sz w:val="20"/>
                <w:szCs w:val="20"/>
              </w:rPr>
              <w:t>Wounding</w:t>
            </w:r>
          </w:p>
        </w:tc>
        <w:tc>
          <w:tcPr>
            <w:tcW w:w="2045" w:type="pct"/>
          </w:tcPr>
          <w:p w14:paraId="193D567A" w14:textId="4A6C963B" w:rsidR="00454F69" w:rsidRPr="00154F1D" w:rsidRDefault="00454F69" w:rsidP="00921152">
            <w:pPr>
              <w:spacing w:before="40" w:after="40"/>
              <w:rPr>
                <w:sz w:val="20"/>
                <w:szCs w:val="20"/>
              </w:rPr>
            </w:pPr>
            <w:r w:rsidRPr="00154F1D">
              <w:rPr>
                <w:sz w:val="20"/>
                <w:szCs w:val="20"/>
              </w:rPr>
              <w:t>7 years and continuing</w:t>
            </w:r>
          </w:p>
        </w:tc>
        <w:tc>
          <w:tcPr>
            <w:tcW w:w="1847" w:type="pct"/>
          </w:tcPr>
          <w:p w14:paraId="612B3693" w14:textId="77777777" w:rsidR="00454F69" w:rsidRPr="00154F1D" w:rsidRDefault="00454F69" w:rsidP="00921152">
            <w:pPr>
              <w:spacing w:before="40" w:after="40"/>
              <w:rPr>
                <w:sz w:val="20"/>
                <w:szCs w:val="20"/>
              </w:rPr>
            </w:pPr>
            <w:r w:rsidRPr="00154F1D">
              <w:rPr>
                <w:sz w:val="20"/>
                <w:szCs w:val="20"/>
              </w:rPr>
              <w:t>6 months</w:t>
            </w:r>
          </w:p>
        </w:tc>
      </w:tr>
      <w:tr w:rsidR="00454F69" w:rsidRPr="00154F1D" w14:paraId="76F60EEF" w14:textId="77777777" w:rsidTr="00921152">
        <w:tc>
          <w:tcPr>
            <w:tcW w:w="1108" w:type="pct"/>
            <w:vMerge w:val="restart"/>
          </w:tcPr>
          <w:p w14:paraId="1FD0C0C0" w14:textId="77777777" w:rsidR="00454F69" w:rsidRPr="00154F1D" w:rsidRDefault="00454F69" w:rsidP="00921152">
            <w:pPr>
              <w:autoSpaceDE w:val="0"/>
              <w:autoSpaceDN w:val="0"/>
              <w:adjustRightInd w:val="0"/>
              <w:spacing w:before="40" w:after="40"/>
              <w:rPr>
                <w:sz w:val="20"/>
                <w:szCs w:val="20"/>
              </w:rPr>
            </w:pPr>
            <w:r w:rsidRPr="00154F1D">
              <w:rPr>
                <w:sz w:val="20"/>
                <w:szCs w:val="20"/>
              </w:rPr>
              <w:t>Murder</w:t>
            </w:r>
          </w:p>
        </w:tc>
        <w:tc>
          <w:tcPr>
            <w:tcW w:w="2045" w:type="pct"/>
          </w:tcPr>
          <w:p w14:paraId="267F43DE" w14:textId="77777777" w:rsidR="00454F69" w:rsidRPr="00154F1D" w:rsidRDefault="00454F69" w:rsidP="00921152">
            <w:pPr>
              <w:autoSpaceDE w:val="0"/>
              <w:autoSpaceDN w:val="0"/>
              <w:adjustRightInd w:val="0"/>
              <w:spacing w:before="40" w:after="40"/>
              <w:rPr>
                <w:sz w:val="20"/>
                <w:szCs w:val="20"/>
              </w:rPr>
            </w:pPr>
            <w:r w:rsidRPr="00154F1D">
              <w:rPr>
                <w:sz w:val="20"/>
                <w:szCs w:val="20"/>
              </w:rPr>
              <w:t>13 years, converted to a supervision order</w:t>
            </w:r>
          </w:p>
          <w:p w14:paraId="7C4D09E2" w14:textId="2EE37ADB" w:rsidR="00454F69" w:rsidRPr="00154F1D" w:rsidRDefault="00454F69" w:rsidP="00921152">
            <w:pPr>
              <w:spacing w:before="40" w:after="40"/>
              <w:rPr>
                <w:sz w:val="20"/>
                <w:szCs w:val="20"/>
              </w:rPr>
            </w:pPr>
            <w:r w:rsidRPr="00154F1D">
              <w:rPr>
                <w:sz w:val="20"/>
                <w:szCs w:val="20"/>
              </w:rPr>
              <w:t>which has run for 8 years and continuing</w:t>
            </w:r>
          </w:p>
        </w:tc>
        <w:tc>
          <w:tcPr>
            <w:tcW w:w="1847" w:type="pct"/>
            <w:vMerge w:val="restart"/>
          </w:tcPr>
          <w:p w14:paraId="1FB2B365" w14:textId="15789934" w:rsidR="00454F69" w:rsidRPr="00154F1D" w:rsidRDefault="00454F69" w:rsidP="00921152">
            <w:pPr>
              <w:autoSpaceDE w:val="0"/>
              <w:autoSpaceDN w:val="0"/>
              <w:adjustRightInd w:val="0"/>
              <w:spacing w:before="40" w:after="40"/>
              <w:rPr>
                <w:sz w:val="20"/>
                <w:szCs w:val="20"/>
              </w:rPr>
            </w:pPr>
            <w:r w:rsidRPr="00154F1D">
              <w:rPr>
                <w:sz w:val="20"/>
                <w:szCs w:val="20"/>
              </w:rPr>
              <w:t>Head sentence 21 years</w:t>
            </w:r>
          </w:p>
          <w:p w14:paraId="2598EE2E" w14:textId="77777777" w:rsidR="00454F69" w:rsidRPr="00154F1D" w:rsidRDefault="00454F69" w:rsidP="00921152">
            <w:pPr>
              <w:autoSpaceDE w:val="0"/>
              <w:autoSpaceDN w:val="0"/>
              <w:adjustRightInd w:val="0"/>
              <w:spacing w:before="40" w:after="40"/>
              <w:rPr>
                <w:sz w:val="20"/>
                <w:szCs w:val="20"/>
              </w:rPr>
            </w:pPr>
            <w:r w:rsidRPr="00154F1D">
              <w:rPr>
                <w:sz w:val="20"/>
                <w:szCs w:val="20"/>
              </w:rPr>
              <w:t>Non-parole period 14 years</w:t>
            </w:r>
          </w:p>
        </w:tc>
      </w:tr>
      <w:tr w:rsidR="00454F69" w:rsidRPr="00154F1D" w14:paraId="2323CC5A" w14:textId="77777777" w:rsidTr="00921152">
        <w:tc>
          <w:tcPr>
            <w:tcW w:w="1108" w:type="pct"/>
            <w:vMerge/>
          </w:tcPr>
          <w:p w14:paraId="58A7D7D1" w14:textId="77777777" w:rsidR="00454F69" w:rsidRPr="00154F1D" w:rsidRDefault="00454F69" w:rsidP="00921152">
            <w:pPr>
              <w:autoSpaceDE w:val="0"/>
              <w:autoSpaceDN w:val="0"/>
              <w:adjustRightInd w:val="0"/>
              <w:spacing w:before="40" w:after="40"/>
              <w:rPr>
                <w:sz w:val="20"/>
                <w:szCs w:val="20"/>
              </w:rPr>
            </w:pPr>
          </w:p>
        </w:tc>
        <w:tc>
          <w:tcPr>
            <w:tcW w:w="2045" w:type="pct"/>
          </w:tcPr>
          <w:p w14:paraId="3A0F4378" w14:textId="77777777" w:rsidR="00454F69" w:rsidRPr="00154F1D" w:rsidRDefault="00454F69" w:rsidP="00921152">
            <w:pPr>
              <w:autoSpaceDE w:val="0"/>
              <w:autoSpaceDN w:val="0"/>
              <w:adjustRightInd w:val="0"/>
              <w:spacing w:before="40" w:after="40"/>
              <w:rPr>
                <w:sz w:val="20"/>
                <w:szCs w:val="20"/>
              </w:rPr>
            </w:pPr>
            <w:r w:rsidRPr="00154F1D">
              <w:rPr>
                <w:sz w:val="20"/>
                <w:szCs w:val="20"/>
              </w:rPr>
              <w:t>2 years, converted to a supervision order</w:t>
            </w:r>
          </w:p>
          <w:p w14:paraId="5F339D93" w14:textId="616E46D9" w:rsidR="00454F69" w:rsidRPr="00154F1D" w:rsidRDefault="00454F69" w:rsidP="00921152">
            <w:pPr>
              <w:spacing w:before="40" w:after="40"/>
              <w:rPr>
                <w:sz w:val="20"/>
                <w:szCs w:val="20"/>
              </w:rPr>
            </w:pPr>
            <w:r w:rsidRPr="00154F1D">
              <w:rPr>
                <w:sz w:val="20"/>
                <w:szCs w:val="20"/>
              </w:rPr>
              <w:t>which has run for 8 years and continuing</w:t>
            </w:r>
          </w:p>
        </w:tc>
        <w:tc>
          <w:tcPr>
            <w:tcW w:w="1847" w:type="pct"/>
            <w:vMerge/>
          </w:tcPr>
          <w:p w14:paraId="5A30F495" w14:textId="77777777" w:rsidR="00454F69" w:rsidRPr="00154F1D" w:rsidRDefault="00454F69" w:rsidP="00921152">
            <w:pPr>
              <w:spacing w:before="40" w:after="40"/>
              <w:rPr>
                <w:sz w:val="20"/>
                <w:szCs w:val="20"/>
              </w:rPr>
            </w:pPr>
          </w:p>
        </w:tc>
      </w:tr>
      <w:tr w:rsidR="00454F69" w:rsidRPr="00154F1D" w14:paraId="2C51DD9E" w14:textId="77777777" w:rsidTr="00921152">
        <w:tc>
          <w:tcPr>
            <w:tcW w:w="1108" w:type="pct"/>
            <w:vMerge/>
          </w:tcPr>
          <w:p w14:paraId="2F635277" w14:textId="77777777" w:rsidR="00454F69" w:rsidRPr="00154F1D" w:rsidRDefault="00454F69" w:rsidP="00921152">
            <w:pPr>
              <w:autoSpaceDE w:val="0"/>
              <w:autoSpaceDN w:val="0"/>
              <w:adjustRightInd w:val="0"/>
              <w:spacing w:before="40" w:after="40"/>
              <w:rPr>
                <w:sz w:val="20"/>
                <w:szCs w:val="20"/>
              </w:rPr>
            </w:pPr>
          </w:p>
        </w:tc>
        <w:tc>
          <w:tcPr>
            <w:tcW w:w="2045" w:type="pct"/>
          </w:tcPr>
          <w:p w14:paraId="39F6963D" w14:textId="6219F9C9" w:rsidR="00454F69" w:rsidRPr="00154F1D" w:rsidRDefault="00454F69" w:rsidP="00921152">
            <w:pPr>
              <w:spacing w:before="40" w:after="40"/>
              <w:rPr>
                <w:sz w:val="20"/>
                <w:szCs w:val="20"/>
              </w:rPr>
            </w:pPr>
            <w:r w:rsidRPr="00154F1D">
              <w:rPr>
                <w:sz w:val="20"/>
                <w:szCs w:val="20"/>
              </w:rPr>
              <w:t>16 years and continuing</w:t>
            </w:r>
          </w:p>
        </w:tc>
        <w:tc>
          <w:tcPr>
            <w:tcW w:w="1847" w:type="pct"/>
            <w:vMerge/>
          </w:tcPr>
          <w:p w14:paraId="43EE697E" w14:textId="77777777" w:rsidR="00454F69" w:rsidRPr="00154F1D" w:rsidRDefault="00454F69" w:rsidP="00921152">
            <w:pPr>
              <w:spacing w:before="40" w:after="40"/>
              <w:rPr>
                <w:sz w:val="20"/>
                <w:szCs w:val="20"/>
              </w:rPr>
            </w:pPr>
          </w:p>
        </w:tc>
      </w:tr>
      <w:tr w:rsidR="00454F69" w:rsidRPr="00154F1D" w14:paraId="3DD7CBBB" w14:textId="77777777" w:rsidTr="00921152">
        <w:tc>
          <w:tcPr>
            <w:tcW w:w="1108" w:type="pct"/>
          </w:tcPr>
          <w:p w14:paraId="5BAFBDE1" w14:textId="77777777" w:rsidR="00454F69" w:rsidRPr="00154F1D" w:rsidRDefault="00454F69" w:rsidP="00921152">
            <w:pPr>
              <w:autoSpaceDE w:val="0"/>
              <w:autoSpaceDN w:val="0"/>
              <w:adjustRightInd w:val="0"/>
              <w:spacing w:before="40" w:after="40"/>
              <w:rPr>
                <w:sz w:val="20"/>
                <w:szCs w:val="20"/>
              </w:rPr>
            </w:pPr>
            <w:r w:rsidRPr="00154F1D">
              <w:rPr>
                <w:sz w:val="20"/>
                <w:szCs w:val="20"/>
              </w:rPr>
              <w:t>Fraud</w:t>
            </w:r>
          </w:p>
        </w:tc>
        <w:tc>
          <w:tcPr>
            <w:tcW w:w="2045" w:type="pct"/>
          </w:tcPr>
          <w:p w14:paraId="24BBBE8F" w14:textId="73E83BCE" w:rsidR="00454F69" w:rsidRPr="00154F1D" w:rsidRDefault="00454F69" w:rsidP="00921152">
            <w:pPr>
              <w:spacing w:before="40" w:after="40"/>
              <w:rPr>
                <w:sz w:val="20"/>
                <w:szCs w:val="20"/>
              </w:rPr>
            </w:pPr>
            <w:r w:rsidRPr="00154F1D">
              <w:rPr>
                <w:sz w:val="20"/>
                <w:szCs w:val="20"/>
              </w:rPr>
              <w:t>2 years and continuing</w:t>
            </w:r>
          </w:p>
        </w:tc>
        <w:tc>
          <w:tcPr>
            <w:tcW w:w="1847" w:type="pct"/>
          </w:tcPr>
          <w:p w14:paraId="518A331D" w14:textId="77777777" w:rsidR="00454F69" w:rsidRPr="00154F1D" w:rsidRDefault="00454F69" w:rsidP="00921152">
            <w:pPr>
              <w:spacing w:before="40" w:after="40"/>
              <w:rPr>
                <w:sz w:val="20"/>
                <w:szCs w:val="20"/>
              </w:rPr>
            </w:pPr>
            <w:r w:rsidRPr="00154F1D">
              <w:rPr>
                <w:sz w:val="20"/>
                <w:szCs w:val="20"/>
              </w:rPr>
              <w:t>12 months</w:t>
            </w:r>
          </w:p>
        </w:tc>
      </w:tr>
      <w:tr w:rsidR="00454F69" w:rsidRPr="00154F1D" w14:paraId="33531AF5" w14:textId="77777777" w:rsidTr="00921152">
        <w:tc>
          <w:tcPr>
            <w:tcW w:w="1108" w:type="pct"/>
          </w:tcPr>
          <w:p w14:paraId="1AAFA9DD" w14:textId="77777777" w:rsidR="00454F69" w:rsidRPr="00154F1D" w:rsidRDefault="00454F69" w:rsidP="00921152">
            <w:pPr>
              <w:autoSpaceDE w:val="0"/>
              <w:autoSpaceDN w:val="0"/>
              <w:adjustRightInd w:val="0"/>
              <w:spacing w:before="40" w:after="40"/>
              <w:rPr>
                <w:sz w:val="20"/>
                <w:szCs w:val="20"/>
              </w:rPr>
            </w:pPr>
            <w:r w:rsidRPr="00154F1D">
              <w:rPr>
                <w:sz w:val="20"/>
                <w:szCs w:val="20"/>
              </w:rPr>
              <w:t>Indecent assault</w:t>
            </w:r>
          </w:p>
        </w:tc>
        <w:tc>
          <w:tcPr>
            <w:tcW w:w="2045" w:type="pct"/>
          </w:tcPr>
          <w:p w14:paraId="065F9C28" w14:textId="0AE9AEBF" w:rsidR="00454F69" w:rsidRPr="00154F1D" w:rsidRDefault="00454F69" w:rsidP="00921152">
            <w:pPr>
              <w:spacing w:before="40" w:after="40"/>
              <w:rPr>
                <w:sz w:val="20"/>
                <w:szCs w:val="20"/>
              </w:rPr>
            </w:pPr>
            <w:r w:rsidRPr="00154F1D">
              <w:rPr>
                <w:sz w:val="20"/>
                <w:szCs w:val="20"/>
              </w:rPr>
              <w:t>6 years and continuing</w:t>
            </w:r>
          </w:p>
        </w:tc>
        <w:tc>
          <w:tcPr>
            <w:tcW w:w="1847" w:type="pct"/>
          </w:tcPr>
          <w:p w14:paraId="1CF6637B" w14:textId="77777777" w:rsidR="00454F69" w:rsidRPr="00154F1D" w:rsidRDefault="00454F69" w:rsidP="00921152">
            <w:pPr>
              <w:spacing w:before="40" w:after="40"/>
              <w:rPr>
                <w:b/>
                <w:sz w:val="20"/>
                <w:szCs w:val="20"/>
              </w:rPr>
            </w:pPr>
            <w:r w:rsidRPr="00154F1D">
              <w:rPr>
                <w:sz w:val="20"/>
                <w:szCs w:val="20"/>
              </w:rPr>
              <w:t>8 months</w:t>
            </w:r>
          </w:p>
        </w:tc>
      </w:tr>
    </w:tbl>
    <w:p w14:paraId="64D78070" w14:textId="601B4D89" w:rsidR="00454F69" w:rsidRPr="00154F1D" w:rsidRDefault="00454F69" w:rsidP="00921152">
      <w:pPr>
        <w:pStyle w:val="NumberlessNormalText"/>
        <w:spacing w:before="360" w:after="80"/>
        <w:rPr>
          <w:b/>
        </w:rPr>
      </w:pPr>
      <w:r w:rsidRPr="00154F1D">
        <w:rPr>
          <w:b/>
        </w:rPr>
        <w:t xml:space="preserve">Table </w:t>
      </w:r>
      <w:r w:rsidR="00BA4488" w:rsidRPr="00154F1D">
        <w:rPr>
          <w:b/>
        </w:rPr>
        <w:t>A8.</w:t>
      </w:r>
      <w:r w:rsidRPr="00154F1D">
        <w:rPr>
          <w:b/>
        </w:rPr>
        <w:t xml:space="preserve">2: Restriction orders 2010 to 30 June 2018. Excludes </w:t>
      </w:r>
      <w:r w:rsidR="001E0CE7">
        <w:rPr>
          <w:b/>
        </w:rPr>
        <w:t>individual</w:t>
      </w:r>
      <w:r w:rsidR="001E0CE7" w:rsidRPr="00154F1D">
        <w:rPr>
          <w:b/>
        </w:rPr>
        <w:t xml:space="preserve">s </w:t>
      </w:r>
      <w:r w:rsidRPr="00154F1D">
        <w:rPr>
          <w:b/>
        </w:rPr>
        <w:t>who have been on orders for less than 2 years duration</w:t>
      </w:r>
    </w:p>
    <w:tbl>
      <w:tblPr>
        <w:tblStyle w:val="TableGrid"/>
        <w:tblW w:w="0" w:type="auto"/>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2097"/>
        <w:gridCol w:w="3113"/>
        <w:gridCol w:w="3090"/>
      </w:tblGrid>
      <w:tr w:rsidR="00454F69" w:rsidRPr="00154F1D" w14:paraId="7BA0D0F4" w14:textId="77777777" w:rsidTr="000152F0">
        <w:tc>
          <w:tcPr>
            <w:tcW w:w="2252" w:type="dxa"/>
          </w:tcPr>
          <w:p w14:paraId="3A674645" w14:textId="77777777" w:rsidR="00454F69" w:rsidRPr="00154F1D" w:rsidRDefault="00454F69" w:rsidP="00112686">
            <w:pPr>
              <w:spacing w:beforeLines="20" w:before="48" w:afterLines="20" w:after="48"/>
              <w:rPr>
                <w:b/>
                <w:sz w:val="20"/>
                <w:szCs w:val="20"/>
              </w:rPr>
            </w:pPr>
            <w:r w:rsidRPr="00154F1D">
              <w:rPr>
                <w:b/>
                <w:sz w:val="20"/>
                <w:szCs w:val="20"/>
              </w:rPr>
              <w:t>Offence</w:t>
            </w:r>
          </w:p>
        </w:tc>
        <w:tc>
          <w:tcPr>
            <w:tcW w:w="3337" w:type="dxa"/>
          </w:tcPr>
          <w:p w14:paraId="26FF8907" w14:textId="77777777" w:rsidR="00454F69" w:rsidRPr="00154F1D" w:rsidRDefault="00454F69" w:rsidP="00112686">
            <w:pPr>
              <w:spacing w:beforeLines="20" w:before="48" w:afterLines="20" w:after="48"/>
              <w:rPr>
                <w:b/>
                <w:sz w:val="20"/>
                <w:szCs w:val="20"/>
              </w:rPr>
            </w:pPr>
            <w:r w:rsidRPr="00154F1D">
              <w:rPr>
                <w:b/>
                <w:sz w:val="20"/>
                <w:szCs w:val="20"/>
              </w:rPr>
              <w:t>Period of incarceration of defendant</w:t>
            </w:r>
          </w:p>
        </w:tc>
        <w:tc>
          <w:tcPr>
            <w:tcW w:w="3337" w:type="dxa"/>
          </w:tcPr>
          <w:p w14:paraId="3438A1B8" w14:textId="77777777" w:rsidR="00454F69" w:rsidRPr="00154F1D" w:rsidRDefault="00454F69" w:rsidP="00112686">
            <w:pPr>
              <w:spacing w:beforeLines="20" w:before="48" w:afterLines="20" w:after="48"/>
              <w:rPr>
                <w:b/>
                <w:sz w:val="20"/>
                <w:szCs w:val="20"/>
              </w:rPr>
            </w:pPr>
            <w:r w:rsidRPr="00154F1D">
              <w:rPr>
                <w:b/>
                <w:sz w:val="20"/>
                <w:szCs w:val="20"/>
              </w:rPr>
              <w:t>Median sentence 2008-14</w:t>
            </w:r>
          </w:p>
        </w:tc>
      </w:tr>
      <w:tr w:rsidR="00454F69" w:rsidRPr="00154F1D" w14:paraId="428B7136" w14:textId="77777777" w:rsidTr="000152F0">
        <w:tc>
          <w:tcPr>
            <w:tcW w:w="2252" w:type="dxa"/>
            <w:vMerge w:val="restart"/>
          </w:tcPr>
          <w:p w14:paraId="637D1AEC" w14:textId="77777777" w:rsidR="00454F69" w:rsidRPr="00154F1D" w:rsidRDefault="00454F69" w:rsidP="00112686">
            <w:pPr>
              <w:spacing w:beforeLines="20" w:before="48" w:afterLines="20" w:after="48"/>
              <w:rPr>
                <w:sz w:val="20"/>
                <w:szCs w:val="20"/>
              </w:rPr>
            </w:pPr>
            <w:r w:rsidRPr="00154F1D">
              <w:rPr>
                <w:sz w:val="20"/>
                <w:szCs w:val="20"/>
              </w:rPr>
              <w:t>Murder</w:t>
            </w:r>
          </w:p>
        </w:tc>
        <w:tc>
          <w:tcPr>
            <w:tcW w:w="3337" w:type="dxa"/>
          </w:tcPr>
          <w:p w14:paraId="05C0211C" w14:textId="2F5E0E1F" w:rsidR="00454F69" w:rsidRPr="00154F1D" w:rsidRDefault="00454F69" w:rsidP="00112686">
            <w:pPr>
              <w:spacing w:beforeLines="20" w:before="48" w:afterLines="20" w:after="48"/>
              <w:rPr>
                <w:sz w:val="20"/>
                <w:szCs w:val="20"/>
              </w:rPr>
            </w:pPr>
            <w:r w:rsidRPr="00154F1D">
              <w:rPr>
                <w:sz w:val="20"/>
                <w:szCs w:val="20"/>
              </w:rPr>
              <w:t>6 years 9 months 29 days and continuing</w:t>
            </w:r>
          </w:p>
        </w:tc>
        <w:tc>
          <w:tcPr>
            <w:tcW w:w="3337" w:type="dxa"/>
            <w:vMerge w:val="restart"/>
          </w:tcPr>
          <w:p w14:paraId="36C2DFCD" w14:textId="77777777" w:rsidR="00454F69" w:rsidRPr="00154F1D" w:rsidRDefault="00454F69" w:rsidP="00112686">
            <w:pPr>
              <w:spacing w:beforeLines="20" w:before="48" w:afterLines="20" w:after="48"/>
              <w:rPr>
                <w:sz w:val="20"/>
                <w:szCs w:val="20"/>
              </w:rPr>
            </w:pPr>
            <w:r w:rsidRPr="00154F1D">
              <w:rPr>
                <w:sz w:val="20"/>
                <w:szCs w:val="20"/>
              </w:rPr>
              <w:t>Head sentence 20 years (single count)</w:t>
            </w:r>
          </w:p>
          <w:p w14:paraId="2F93575E" w14:textId="77777777" w:rsidR="00454F69" w:rsidRPr="00154F1D" w:rsidRDefault="00454F69" w:rsidP="00112686">
            <w:pPr>
              <w:spacing w:beforeLines="20" w:before="48" w:afterLines="20" w:after="48"/>
              <w:rPr>
                <w:sz w:val="20"/>
                <w:szCs w:val="20"/>
              </w:rPr>
            </w:pPr>
            <w:r w:rsidRPr="00154F1D">
              <w:rPr>
                <w:sz w:val="20"/>
                <w:szCs w:val="20"/>
              </w:rPr>
              <w:t>Non-parole period (single count) 12 years and 3 months</w:t>
            </w:r>
          </w:p>
        </w:tc>
      </w:tr>
      <w:tr w:rsidR="00454F69" w:rsidRPr="00154F1D" w14:paraId="4C6FEF4D" w14:textId="77777777" w:rsidTr="000152F0">
        <w:tc>
          <w:tcPr>
            <w:tcW w:w="2252" w:type="dxa"/>
            <w:vMerge/>
          </w:tcPr>
          <w:p w14:paraId="7A830A11" w14:textId="77777777" w:rsidR="00454F69" w:rsidRPr="00154F1D" w:rsidRDefault="00454F69" w:rsidP="00112686">
            <w:pPr>
              <w:spacing w:beforeLines="20" w:before="48" w:afterLines="20" w:after="48"/>
              <w:rPr>
                <w:sz w:val="20"/>
                <w:szCs w:val="20"/>
              </w:rPr>
            </w:pPr>
          </w:p>
        </w:tc>
        <w:tc>
          <w:tcPr>
            <w:tcW w:w="3337" w:type="dxa"/>
          </w:tcPr>
          <w:p w14:paraId="2377D4DE" w14:textId="173924CC" w:rsidR="00454F69" w:rsidRPr="00154F1D" w:rsidRDefault="00454F69" w:rsidP="00112686">
            <w:pPr>
              <w:spacing w:beforeLines="20" w:before="48" w:afterLines="20" w:after="48"/>
              <w:rPr>
                <w:sz w:val="20"/>
                <w:szCs w:val="20"/>
              </w:rPr>
            </w:pPr>
            <w:r w:rsidRPr="00154F1D">
              <w:rPr>
                <w:sz w:val="20"/>
                <w:szCs w:val="20"/>
              </w:rPr>
              <w:t>16 years 5 months and 7 days converted to a supervision order which has run for 2 years 2 months and 23 days and continuing</w:t>
            </w:r>
          </w:p>
        </w:tc>
        <w:tc>
          <w:tcPr>
            <w:tcW w:w="3337" w:type="dxa"/>
            <w:vMerge/>
          </w:tcPr>
          <w:p w14:paraId="472E0B2F" w14:textId="77777777" w:rsidR="00454F69" w:rsidRPr="00154F1D" w:rsidRDefault="00454F69" w:rsidP="00112686">
            <w:pPr>
              <w:spacing w:beforeLines="20" w:before="48" w:afterLines="20" w:after="48"/>
              <w:rPr>
                <w:sz w:val="20"/>
                <w:szCs w:val="20"/>
              </w:rPr>
            </w:pPr>
          </w:p>
        </w:tc>
      </w:tr>
      <w:tr w:rsidR="00454F69" w:rsidRPr="00154F1D" w14:paraId="0A5BF050" w14:textId="77777777" w:rsidTr="000152F0">
        <w:tc>
          <w:tcPr>
            <w:tcW w:w="2252" w:type="dxa"/>
            <w:vMerge/>
          </w:tcPr>
          <w:p w14:paraId="7D3C4605" w14:textId="77777777" w:rsidR="00454F69" w:rsidRPr="00154F1D" w:rsidRDefault="00454F69" w:rsidP="00112686">
            <w:pPr>
              <w:spacing w:beforeLines="20" w:before="48" w:afterLines="20" w:after="48"/>
              <w:rPr>
                <w:sz w:val="20"/>
                <w:szCs w:val="20"/>
              </w:rPr>
            </w:pPr>
          </w:p>
        </w:tc>
        <w:tc>
          <w:tcPr>
            <w:tcW w:w="3337" w:type="dxa"/>
          </w:tcPr>
          <w:p w14:paraId="05991E12" w14:textId="4E08C236" w:rsidR="00454F69" w:rsidRPr="00154F1D" w:rsidRDefault="00454F69" w:rsidP="00112686">
            <w:pPr>
              <w:spacing w:beforeLines="20" w:before="48" w:afterLines="20" w:after="48"/>
              <w:rPr>
                <w:sz w:val="20"/>
                <w:szCs w:val="20"/>
              </w:rPr>
            </w:pPr>
            <w:r w:rsidRPr="00154F1D">
              <w:rPr>
                <w:sz w:val="20"/>
                <w:szCs w:val="20"/>
              </w:rPr>
              <w:t>3 years 11 months 13 days and continuing</w:t>
            </w:r>
            <w:r w:rsidR="00921152" w:rsidRPr="00154F1D">
              <w:rPr>
                <w:sz w:val="20"/>
                <w:szCs w:val="20"/>
              </w:rPr>
              <w:t xml:space="preserve"> </w:t>
            </w:r>
          </w:p>
        </w:tc>
        <w:tc>
          <w:tcPr>
            <w:tcW w:w="3337" w:type="dxa"/>
            <w:vMerge/>
          </w:tcPr>
          <w:p w14:paraId="5E2346B2" w14:textId="77777777" w:rsidR="00454F69" w:rsidRPr="00154F1D" w:rsidRDefault="00454F69" w:rsidP="00112686">
            <w:pPr>
              <w:spacing w:beforeLines="20" w:before="48" w:afterLines="20" w:after="48"/>
              <w:rPr>
                <w:sz w:val="20"/>
                <w:szCs w:val="20"/>
              </w:rPr>
            </w:pPr>
          </w:p>
        </w:tc>
      </w:tr>
      <w:tr w:rsidR="00454F69" w:rsidRPr="00154F1D" w14:paraId="165B69AC" w14:textId="77777777" w:rsidTr="000152F0">
        <w:tc>
          <w:tcPr>
            <w:tcW w:w="2252" w:type="dxa"/>
            <w:vMerge/>
          </w:tcPr>
          <w:p w14:paraId="041ED1C8" w14:textId="77777777" w:rsidR="00454F69" w:rsidRPr="00154F1D" w:rsidRDefault="00454F69" w:rsidP="00112686">
            <w:pPr>
              <w:spacing w:beforeLines="20" w:before="48" w:afterLines="20" w:after="48"/>
              <w:rPr>
                <w:sz w:val="20"/>
                <w:szCs w:val="20"/>
              </w:rPr>
            </w:pPr>
          </w:p>
        </w:tc>
        <w:tc>
          <w:tcPr>
            <w:tcW w:w="3337" w:type="dxa"/>
          </w:tcPr>
          <w:p w14:paraId="3A9F3EC4" w14:textId="5BCA74FE" w:rsidR="00454F69" w:rsidRPr="00154F1D" w:rsidRDefault="00454F69" w:rsidP="00112686">
            <w:pPr>
              <w:spacing w:beforeLines="20" w:before="48" w:afterLines="20" w:after="48"/>
              <w:rPr>
                <w:sz w:val="20"/>
                <w:szCs w:val="20"/>
              </w:rPr>
            </w:pPr>
            <w:r w:rsidRPr="00154F1D">
              <w:rPr>
                <w:sz w:val="20"/>
                <w:szCs w:val="20"/>
              </w:rPr>
              <w:t>1 year and 9 months and 26 days converted to a supervision order which has run for 17 years 9 months and 25 days</w:t>
            </w:r>
            <w:r w:rsidR="00921152" w:rsidRPr="00154F1D">
              <w:rPr>
                <w:sz w:val="20"/>
                <w:szCs w:val="20"/>
              </w:rPr>
              <w:t xml:space="preserve"> </w:t>
            </w:r>
          </w:p>
        </w:tc>
        <w:tc>
          <w:tcPr>
            <w:tcW w:w="3337" w:type="dxa"/>
            <w:vMerge/>
          </w:tcPr>
          <w:p w14:paraId="0A37B65B" w14:textId="77777777" w:rsidR="00454F69" w:rsidRPr="00154F1D" w:rsidRDefault="00454F69" w:rsidP="00112686">
            <w:pPr>
              <w:spacing w:beforeLines="20" w:before="48" w:afterLines="20" w:after="48"/>
              <w:rPr>
                <w:sz w:val="20"/>
                <w:szCs w:val="20"/>
              </w:rPr>
            </w:pPr>
          </w:p>
        </w:tc>
      </w:tr>
      <w:tr w:rsidR="00454F69" w:rsidRPr="00154F1D" w14:paraId="35CD8E67" w14:textId="77777777" w:rsidTr="000152F0">
        <w:tc>
          <w:tcPr>
            <w:tcW w:w="2252" w:type="dxa"/>
            <w:vMerge/>
          </w:tcPr>
          <w:p w14:paraId="4BF1B031" w14:textId="77777777" w:rsidR="00454F69" w:rsidRPr="00154F1D" w:rsidRDefault="00454F69" w:rsidP="00112686">
            <w:pPr>
              <w:spacing w:beforeLines="20" w:before="48" w:afterLines="20" w:after="48"/>
              <w:rPr>
                <w:sz w:val="20"/>
                <w:szCs w:val="20"/>
              </w:rPr>
            </w:pPr>
          </w:p>
        </w:tc>
        <w:tc>
          <w:tcPr>
            <w:tcW w:w="3337" w:type="dxa"/>
          </w:tcPr>
          <w:p w14:paraId="53B31CE0" w14:textId="041A098F" w:rsidR="00454F69" w:rsidRPr="00154F1D" w:rsidRDefault="00454F69" w:rsidP="00112686">
            <w:pPr>
              <w:spacing w:beforeLines="20" w:before="48" w:afterLines="20" w:after="48"/>
              <w:rPr>
                <w:sz w:val="20"/>
                <w:szCs w:val="20"/>
              </w:rPr>
            </w:pPr>
            <w:r w:rsidRPr="00154F1D">
              <w:rPr>
                <w:sz w:val="20"/>
                <w:szCs w:val="20"/>
              </w:rPr>
              <w:t>5 years 3 months 9 days and continuing</w:t>
            </w:r>
            <w:r w:rsidR="00921152" w:rsidRPr="00154F1D">
              <w:rPr>
                <w:sz w:val="20"/>
                <w:szCs w:val="20"/>
              </w:rPr>
              <w:t xml:space="preserve"> </w:t>
            </w:r>
          </w:p>
        </w:tc>
        <w:tc>
          <w:tcPr>
            <w:tcW w:w="3337" w:type="dxa"/>
            <w:vMerge/>
          </w:tcPr>
          <w:p w14:paraId="1967950B" w14:textId="77777777" w:rsidR="00454F69" w:rsidRPr="00154F1D" w:rsidRDefault="00454F69" w:rsidP="00112686">
            <w:pPr>
              <w:spacing w:beforeLines="20" w:before="48" w:afterLines="20" w:after="48"/>
              <w:rPr>
                <w:sz w:val="20"/>
                <w:szCs w:val="20"/>
              </w:rPr>
            </w:pPr>
          </w:p>
        </w:tc>
      </w:tr>
      <w:tr w:rsidR="00454F69" w:rsidRPr="00154F1D" w14:paraId="4406B836" w14:textId="77777777" w:rsidTr="000152F0">
        <w:tc>
          <w:tcPr>
            <w:tcW w:w="2252" w:type="dxa"/>
            <w:vMerge w:val="restart"/>
          </w:tcPr>
          <w:p w14:paraId="29DCE33B" w14:textId="77777777" w:rsidR="00454F69" w:rsidRPr="00154F1D" w:rsidRDefault="00454F69" w:rsidP="00112686">
            <w:pPr>
              <w:spacing w:beforeLines="20" w:before="48" w:afterLines="20" w:after="48"/>
              <w:rPr>
                <w:sz w:val="20"/>
                <w:szCs w:val="20"/>
              </w:rPr>
            </w:pPr>
            <w:r w:rsidRPr="00154F1D">
              <w:rPr>
                <w:sz w:val="20"/>
                <w:szCs w:val="20"/>
              </w:rPr>
              <w:t>Assault</w:t>
            </w:r>
          </w:p>
        </w:tc>
        <w:tc>
          <w:tcPr>
            <w:tcW w:w="3337" w:type="dxa"/>
          </w:tcPr>
          <w:p w14:paraId="75E57DE5" w14:textId="4126C8A1" w:rsidR="00454F69" w:rsidRPr="00154F1D" w:rsidRDefault="00454F69" w:rsidP="00112686">
            <w:pPr>
              <w:spacing w:beforeLines="20" w:before="48" w:afterLines="20" w:after="48"/>
              <w:rPr>
                <w:sz w:val="20"/>
                <w:szCs w:val="20"/>
              </w:rPr>
            </w:pPr>
            <w:r w:rsidRPr="00154F1D">
              <w:rPr>
                <w:sz w:val="20"/>
                <w:szCs w:val="20"/>
              </w:rPr>
              <w:t>8 years 2 months and 8 days converted to a supervision order which has run for 8 months and 9 days and continuing</w:t>
            </w:r>
            <w:r w:rsidR="00921152" w:rsidRPr="00154F1D">
              <w:rPr>
                <w:sz w:val="20"/>
                <w:szCs w:val="20"/>
              </w:rPr>
              <w:t xml:space="preserve"> </w:t>
            </w:r>
          </w:p>
        </w:tc>
        <w:tc>
          <w:tcPr>
            <w:tcW w:w="3337" w:type="dxa"/>
            <w:vMerge w:val="restart"/>
          </w:tcPr>
          <w:p w14:paraId="001BC2A4" w14:textId="77777777" w:rsidR="00454F69" w:rsidRPr="00154F1D" w:rsidRDefault="00454F69" w:rsidP="00112686">
            <w:pPr>
              <w:spacing w:beforeLines="20" w:before="48" w:afterLines="20" w:after="48"/>
              <w:rPr>
                <w:sz w:val="20"/>
                <w:szCs w:val="20"/>
              </w:rPr>
            </w:pPr>
            <w:r w:rsidRPr="00154F1D">
              <w:rPr>
                <w:sz w:val="20"/>
                <w:szCs w:val="20"/>
              </w:rPr>
              <w:t>7 months (48.1% custodial) (single count)</w:t>
            </w:r>
          </w:p>
        </w:tc>
      </w:tr>
      <w:tr w:rsidR="00454F69" w:rsidRPr="00154F1D" w14:paraId="2D0046F0" w14:textId="77777777" w:rsidTr="000152F0">
        <w:tc>
          <w:tcPr>
            <w:tcW w:w="2252" w:type="dxa"/>
            <w:vMerge/>
          </w:tcPr>
          <w:p w14:paraId="50D5D705" w14:textId="77777777" w:rsidR="00454F69" w:rsidRPr="00154F1D" w:rsidRDefault="00454F69" w:rsidP="00112686">
            <w:pPr>
              <w:spacing w:beforeLines="20" w:before="48" w:afterLines="20" w:after="48"/>
              <w:rPr>
                <w:sz w:val="20"/>
                <w:szCs w:val="20"/>
              </w:rPr>
            </w:pPr>
          </w:p>
        </w:tc>
        <w:tc>
          <w:tcPr>
            <w:tcW w:w="3337" w:type="dxa"/>
          </w:tcPr>
          <w:p w14:paraId="34A6E01E" w14:textId="09E5C28E" w:rsidR="00454F69" w:rsidRPr="00154F1D" w:rsidRDefault="00454F69" w:rsidP="00112686">
            <w:pPr>
              <w:spacing w:beforeLines="20" w:before="48" w:afterLines="20" w:after="48"/>
              <w:rPr>
                <w:sz w:val="20"/>
                <w:szCs w:val="20"/>
              </w:rPr>
            </w:pPr>
            <w:r w:rsidRPr="00154F1D">
              <w:rPr>
                <w:sz w:val="20"/>
                <w:szCs w:val="20"/>
              </w:rPr>
              <w:t>7 years and 10 days and continuing</w:t>
            </w:r>
            <w:r w:rsidR="00921152" w:rsidRPr="00154F1D">
              <w:rPr>
                <w:sz w:val="20"/>
                <w:szCs w:val="20"/>
              </w:rPr>
              <w:t xml:space="preserve"> </w:t>
            </w:r>
          </w:p>
        </w:tc>
        <w:tc>
          <w:tcPr>
            <w:tcW w:w="3337" w:type="dxa"/>
            <w:vMerge/>
          </w:tcPr>
          <w:p w14:paraId="00F0B299" w14:textId="77777777" w:rsidR="00454F69" w:rsidRPr="00154F1D" w:rsidRDefault="00454F69" w:rsidP="00112686">
            <w:pPr>
              <w:spacing w:beforeLines="20" w:before="48" w:afterLines="20" w:after="48"/>
              <w:rPr>
                <w:sz w:val="20"/>
                <w:szCs w:val="20"/>
              </w:rPr>
            </w:pPr>
          </w:p>
        </w:tc>
      </w:tr>
      <w:tr w:rsidR="00454F69" w:rsidRPr="00154F1D" w14:paraId="602FA9F7" w14:textId="77777777" w:rsidTr="000152F0">
        <w:tc>
          <w:tcPr>
            <w:tcW w:w="2252" w:type="dxa"/>
          </w:tcPr>
          <w:p w14:paraId="7EAE373B" w14:textId="77777777" w:rsidR="00454F69" w:rsidRPr="00154F1D" w:rsidRDefault="00454F69" w:rsidP="00112686">
            <w:pPr>
              <w:spacing w:beforeLines="20" w:before="48" w:afterLines="20" w:after="48"/>
              <w:rPr>
                <w:sz w:val="20"/>
                <w:szCs w:val="20"/>
              </w:rPr>
            </w:pPr>
            <w:r w:rsidRPr="00154F1D">
              <w:rPr>
                <w:sz w:val="20"/>
                <w:szCs w:val="20"/>
              </w:rPr>
              <w:t>GBH</w:t>
            </w:r>
          </w:p>
        </w:tc>
        <w:tc>
          <w:tcPr>
            <w:tcW w:w="3337" w:type="dxa"/>
          </w:tcPr>
          <w:p w14:paraId="4F836BED" w14:textId="310ACAA2" w:rsidR="00454F69" w:rsidRPr="00154F1D" w:rsidRDefault="00454F69" w:rsidP="00112686">
            <w:pPr>
              <w:spacing w:beforeLines="20" w:before="48" w:afterLines="20" w:after="48"/>
              <w:rPr>
                <w:sz w:val="20"/>
                <w:szCs w:val="20"/>
              </w:rPr>
            </w:pPr>
            <w:r w:rsidRPr="00154F1D">
              <w:rPr>
                <w:sz w:val="20"/>
                <w:szCs w:val="20"/>
              </w:rPr>
              <w:t>6 years 7 months 5 days and continuing</w:t>
            </w:r>
            <w:r w:rsidR="00921152" w:rsidRPr="00154F1D">
              <w:rPr>
                <w:sz w:val="20"/>
                <w:szCs w:val="20"/>
              </w:rPr>
              <w:t xml:space="preserve"> </w:t>
            </w:r>
          </w:p>
        </w:tc>
        <w:tc>
          <w:tcPr>
            <w:tcW w:w="3337" w:type="dxa"/>
          </w:tcPr>
          <w:p w14:paraId="7889F958" w14:textId="366387A4" w:rsidR="00454F69" w:rsidRPr="00154F1D" w:rsidRDefault="00454F69" w:rsidP="00112686">
            <w:pPr>
              <w:spacing w:beforeLines="20" w:before="48" w:afterLines="20" w:after="48"/>
              <w:rPr>
                <w:sz w:val="20"/>
                <w:szCs w:val="20"/>
              </w:rPr>
            </w:pPr>
            <w:r w:rsidRPr="00154F1D">
              <w:rPr>
                <w:sz w:val="20"/>
                <w:szCs w:val="20"/>
              </w:rPr>
              <w:t>1 year and 3 months (76% custodial) (single count)</w:t>
            </w:r>
          </w:p>
        </w:tc>
      </w:tr>
      <w:tr w:rsidR="00454F69" w:rsidRPr="00154F1D" w14:paraId="76DDC01E" w14:textId="77777777" w:rsidTr="000152F0">
        <w:tc>
          <w:tcPr>
            <w:tcW w:w="2252" w:type="dxa"/>
          </w:tcPr>
          <w:p w14:paraId="1F985275" w14:textId="77777777" w:rsidR="00454F69" w:rsidRPr="00154F1D" w:rsidRDefault="00454F69" w:rsidP="00112686">
            <w:pPr>
              <w:spacing w:beforeLines="20" w:before="48" w:afterLines="20" w:after="48"/>
              <w:rPr>
                <w:sz w:val="20"/>
                <w:szCs w:val="20"/>
              </w:rPr>
            </w:pPr>
            <w:r w:rsidRPr="00154F1D">
              <w:rPr>
                <w:sz w:val="20"/>
                <w:szCs w:val="20"/>
              </w:rPr>
              <w:t xml:space="preserve">Rape </w:t>
            </w:r>
          </w:p>
        </w:tc>
        <w:tc>
          <w:tcPr>
            <w:tcW w:w="3337" w:type="dxa"/>
          </w:tcPr>
          <w:p w14:paraId="31A0114C" w14:textId="77777777" w:rsidR="00454F69" w:rsidRPr="00154F1D" w:rsidRDefault="00454F69" w:rsidP="00112686">
            <w:pPr>
              <w:spacing w:beforeLines="20" w:before="48" w:afterLines="20" w:after="48"/>
              <w:rPr>
                <w:sz w:val="20"/>
                <w:szCs w:val="20"/>
              </w:rPr>
            </w:pPr>
            <w:r w:rsidRPr="00154F1D">
              <w:rPr>
                <w:sz w:val="20"/>
                <w:szCs w:val="20"/>
              </w:rPr>
              <w:t>Two years and 6 months and 17 days converted to a supervision order which has run for 7 years 7 months and 22 days and continuing</w:t>
            </w:r>
          </w:p>
        </w:tc>
        <w:tc>
          <w:tcPr>
            <w:tcW w:w="3337" w:type="dxa"/>
          </w:tcPr>
          <w:p w14:paraId="64C44C53" w14:textId="77777777" w:rsidR="00454F69" w:rsidRPr="00154F1D" w:rsidRDefault="00454F69" w:rsidP="00112686">
            <w:pPr>
              <w:spacing w:beforeLines="20" w:before="48" w:afterLines="20" w:after="48"/>
              <w:rPr>
                <w:sz w:val="20"/>
                <w:szCs w:val="20"/>
              </w:rPr>
            </w:pPr>
            <w:r w:rsidRPr="00154F1D">
              <w:rPr>
                <w:sz w:val="20"/>
                <w:szCs w:val="20"/>
              </w:rPr>
              <w:t>3 years and 4.5 months (single count)</w:t>
            </w:r>
          </w:p>
          <w:p w14:paraId="59B10370" w14:textId="77777777" w:rsidR="00454F69" w:rsidRPr="00154F1D" w:rsidRDefault="00454F69" w:rsidP="00112686">
            <w:pPr>
              <w:spacing w:beforeLines="20" w:before="48" w:afterLines="20" w:after="48"/>
              <w:rPr>
                <w:sz w:val="20"/>
                <w:szCs w:val="20"/>
              </w:rPr>
            </w:pPr>
          </w:p>
        </w:tc>
      </w:tr>
      <w:tr w:rsidR="00454F69" w:rsidRPr="00154F1D" w14:paraId="07617B29" w14:textId="77777777" w:rsidTr="000152F0">
        <w:tc>
          <w:tcPr>
            <w:tcW w:w="2252" w:type="dxa"/>
          </w:tcPr>
          <w:p w14:paraId="34203656" w14:textId="77777777" w:rsidR="00454F69" w:rsidRPr="00154F1D" w:rsidRDefault="00454F69" w:rsidP="00112686">
            <w:pPr>
              <w:spacing w:beforeLines="20" w:before="48" w:afterLines="20" w:after="48"/>
              <w:rPr>
                <w:sz w:val="20"/>
                <w:szCs w:val="20"/>
              </w:rPr>
            </w:pPr>
            <w:r w:rsidRPr="00154F1D">
              <w:rPr>
                <w:sz w:val="20"/>
                <w:szCs w:val="20"/>
              </w:rPr>
              <w:t xml:space="preserve">Driving offence </w:t>
            </w:r>
          </w:p>
        </w:tc>
        <w:tc>
          <w:tcPr>
            <w:tcW w:w="3337" w:type="dxa"/>
          </w:tcPr>
          <w:p w14:paraId="41F9A4D2" w14:textId="6ED9FFB4" w:rsidR="00454F69" w:rsidRPr="00154F1D" w:rsidRDefault="00454F69" w:rsidP="00112686">
            <w:pPr>
              <w:spacing w:beforeLines="20" w:before="48" w:afterLines="20" w:after="48"/>
              <w:rPr>
                <w:sz w:val="20"/>
                <w:szCs w:val="20"/>
              </w:rPr>
            </w:pPr>
            <w:r w:rsidRPr="00154F1D">
              <w:rPr>
                <w:sz w:val="20"/>
                <w:szCs w:val="20"/>
              </w:rPr>
              <w:t>4 years 11 months and three days</w:t>
            </w:r>
            <w:r w:rsidR="000152F0" w:rsidRPr="00154F1D">
              <w:rPr>
                <w:sz w:val="20"/>
                <w:szCs w:val="20"/>
              </w:rPr>
              <w:t xml:space="preserve"> </w:t>
            </w:r>
          </w:p>
        </w:tc>
        <w:tc>
          <w:tcPr>
            <w:tcW w:w="3337" w:type="dxa"/>
          </w:tcPr>
          <w:p w14:paraId="2134F32B" w14:textId="77777777" w:rsidR="00454F69" w:rsidRPr="00154F1D" w:rsidRDefault="00454F69" w:rsidP="00112686">
            <w:pPr>
              <w:spacing w:beforeLines="20" w:before="48" w:afterLines="20" w:after="48"/>
              <w:rPr>
                <w:sz w:val="20"/>
                <w:szCs w:val="20"/>
              </w:rPr>
            </w:pPr>
            <w:r w:rsidRPr="00154F1D">
              <w:rPr>
                <w:sz w:val="20"/>
                <w:szCs w:val="20"/>
              </w:rPr>
              <w:t>Not able to make comparison</w:t>
            </w:r>
          </w:p>
        </w:tc>
      </w:tr>
    </w:tbl>
    <w:p w14:paraId="47110587" w14:textId="20FB0B4F" w:rsidR="00454F69" w:rsidRPr="00154F1D" w:rsidRDefault="00454F69" w:rsidP="00610538">
      <w:pPr>
        <w:pStyle w:val="NumberlessNormalText"/>
        <w:spacing w:before="360" w:after="40"/>
        <w:rPr>
          <w:b/>
        </w:rPr>
      </w:pPr>
      <w:r w:rsidRPr="00154F1D">
        <w:rPr>
          <w:b/>
        </w:rPr>
        <w:t xml:space="preserve">Table </w:t>
      </w:r>
      <w:r w:rsidR="00BA4488" w:rsidRPr="00154F1D">
        <w:rPr>
          <w:b/>
        </w:rPr>
        <w:t>A8.</w:t>
      </w:r>
      <w:r w:rsidRPr="00154F1D">
        <w:rPr>
          <w:b/>
        </w:rPr>
        <w:t xml:space="preserve">3: Supervision orders </w:t>
      </w:r>
      <w:r w:rsidR="000152F0" w:rsidRPr="00154F1D">
        <w:rPr>
          <w:b/>
        </w:rPr>
        <w:t xml:space="preserve">– </w:t>
      </w:r>
      <w:r w:rsidRPr="00154F1D">
        <w:rPr>
          <w:b/>
        </w:rPr>
        <w:t xml:space="preserve">Smith’s study. Excludes </w:t>
      </w:r>
      <w:r w:rsidR="001E0CE7">
        <w:rPr>
          <w:b/>
        </w:rPr>
        <w:t>individual</w:t>
      </w:r>
      <w:r w:rsidR="001E0CE7" w:rsidRPr="00154F1D">
        <w:rPr>
          <w:b/>
        </w:rPr>
        <w:t xml:space="preserve">s </w:t>
      </w:r>
      <w:r w:rsidRPr="00154F1D">
        <w:rPr>
          <w:b/>
        </w:rPr>
        <w:t>who have been on orders for less than 2-year duration, 2006 – 2009</w:t>
      </w:r>
    </w:p>
    <w:tbl>
      <w:tblPr>
        <w:tblStyle w:val="TableGrid"/>
        <w:tblW w:w="0" w:type="auto"/>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2124"/>
        <w:gridCol w:w="2999"/>
        <w:gridCol w:w="3177"/>
      </w:tblGrid>
      <w:tr w:rsidR="00454F69" w:rsidRPr="00154F1D" w14:paraId="4472C5CF" w14:textId="77777777" w:rsidTr="00223C00">
        <w:tc>
          <w:tcPr>
            <w:tcW w:w="2263" w:type="dxa"/>
          </w:tcPr>
          <w:p w14:paraId="730DD8D7" w14:textId="77777777" w:rsidR="00454F69" w:rsidRPr="00154F1D" w:rsidRDefault="00454F69" w:rsidP="00223C00">
            <w:pPr>
              <w:spacing w:beforeLines="40" w:before="96" w:afterLines="40" w:after="96"/>
              <w:rPr>
                <w:b/>
                <w:sz w:val="20"/>
                <w:szCs w:val="20"/>
              </w:rPr>
            </w:pPr>
            <w:r w:rsidRPr="00154F1D">
              <w:rPr>
                <w:b/>
                <w:sz w:val="20"/>
                <w:szCs w:val="20"/>
              </w:rPr>
              <w:t>Offence</w:t>
            </w:r>
          </w:p>
        </w:tc>
        <w:tc>
          <w:tcPr>
            <w:tcW w:w="3261" w:type="dxa"/>
          </w:tcPr>
          <w:p w14:paraId="7544B746" w14:textId="77777777" w:rsidR="00454F69" w:rsidRPr="00154F1D" w:rsidRDefault="00454F69" w:rsidP="00223C00">
            <w:pPr>
              <w:spacing w:beforeLines="40" w:before="96" w:afterLines="40" w:after="96"/>
              <w:rPr>
                <w:b/>
                <w:sz w:val="20"/>
                <w:szCs w:val="20"/>
              </w:rPr>
            </w:pPr>
            <w:r w:rsidRPr="00154F1D">
              <w:rPr>
                <w:b/>
                <w:sz w:val="20"/>
                <w:szCs w:val="20"/>
              </w:rPr>
              <w:t>Period of supervision of defendant</w:t>
            </w:r>
          </w:p>
        </w:tc>
        <w:tc>
          <w:tcPr>
            <w:tcW w:w="3486" w:type="dxa"/>
          </w:tcPr>
          <w:p w14:paraId="6837EC57" w14:textId="77777777" w:rsidR="00454F69" w:rsidRPr="00154F1D" w:rsidRDefault="00454F69" w:rsidP="00223C00">
            <w:pPr>
              <w:spacing w:beforeLines="40" w:before="96" w:afterLines="40" w:after="96"/>
              <w:rPr>
                <w:sz w:val="20"/>
                <w:szCs w:val="20"/>
              </w:rPr>
            </w:pPr>
            <w:r w:rsidRPr="00154F1D">
              <w:rPr>
                <w:b/>
                <w:sz w:val="20"/>
                <w:szCs w:val="20"/>
              </w:rPr>
              <w:t>Median sentence 1990 - 2000</w:t>
            </w:r>
          </w:p>
        </w:tc>
      </w:tr>
      <w:tr w:rsidR="00454F69" w:rsidRPr="00154F1D" w14:paraId="0A0871D0" w14:textId="77777777" w:rsidTr="00223C00">
        <w:tc>
          <w:tcPr>
            <w:tcW w:w="2263" w:type="dxa"/>
            <w:vMerge w:val="restart"/>
          </w:tcPr>
          <w:p w14:paraId="021B67E0" w14:textId="77777777"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Arson</w:t>
            </w:r>
          </w:p>
        </w:tc>
        <w:tc>
          <w:tcPr>
            <w:tcW w:w="3261" w:type="dxa"/>
          </w:tcPr>
          <w:p w14:paraId="1491D0A6" w14:textId="7492146C"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 xml:space="preserve">3 years and continuing </w:t>
            </w:r>
          </w:p>
        </w:tc>
        <w:tc>
          <w:tcPr>
            <w:tcW w:w="3486" w:type="dxa"/>
            <w:vMerge w:val="restart"/>
          </w:tcPr>
          <w:p w14:paraId="38FE2CC6" w14:textId="77777777"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12 months</w:t>
            </w:r>
          </w:p>
        </w:tc>
      </w:tr>
      <w:tr w:rsidR="00454F69" w:rsidRPr="00154F1D" w14:paraId="6410E586" w14:textId="77777777" w:rsidTr="00223C00">
        <w:tc>
          <w:tcPr>
            <w:tcW w:w="2263" w:type="dxa"/>
            <w:vMerge/>
          </w:tcPr>
          <w:p w14:paraId="0102EFCA" w14:textId="77777777" w:rsidR="00454F69" w:rsidRPr="00154F1D" w:rsidRDefault="00454F69" w:rsidP="00223C00">
            <w:pPr>
              <w:autoSpaceDE w:val="0"/>
              <w:autoSpaceDN w:val="0"/>
              <w:adjustRightInd w:val="0"/>
              <w:spacing w:beforeLines="40" w:before="96" w:afterLines="40" w:after="96"/>
              <w:rPr>
                <w:sz w:val="20"/>
                <w:szCs w:val="20"/>
              </w:rPr>
            </w:pPr>
          </w:p>
        </w:tc>
        <w:tc>
          <w:tcPr>
            <w:tcW w:w="3261" w:type="dxa"/>
          </w:tcPr>
          <w:p w14:paraId="2099F143" w14:textId="0B55B59A"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5 years and finalised</w:t>
            </w:r>
          </w:p>
        </w:tc>
        <w:tc>
          <w:tcPr>
            <w:tcW w:w="3486" w:type="dxa"/>
            <w:vMerge/>
          </w:tcPr>
          <w:p w14:paraId="4CC95D66" w14:textId="77777777" w:rsidR="00454F69" w:rsidRPr="00154F1D" w:rsidRDefault="00454F69" w:rsidP="00223C00">
            <w:pPr>
              <w:autoSpaceDE w:val="0"/>
              <w:autoSpaceDN w:val="0"/>
              <w:adjustRightInd w:val="0"/>
              <w:spacing w:beforeLines="40" w:before="96" w:afterLines="40" w:after="96"/>
              <w:rPr>
                <w:sz w:val="20"/>
                <w:szCs w:val="20"/>
              </w:rPr>
            </w:pPr>
          </w:p>
        </w:tc>
      </w:tr>
      <w:tr w:rsidR="00454F69" w:rsidRPr="00154F1D" w14:paraId="5EF44CF6" w14:textId="77777777" w:rsidTr="00223C00">
        <w:tc>
          <w:tcPr>
            <w:tcW w:w="2263" w:type="dxa"/>
            <w:vMerge/>
          </w:tcPr>
          <w:p w14:paraId="77422CDA" w14:textId="77777777" w:rsidR="00454F69" w:rsidRPr="00154F1D" w:rsidRDefault="00454F69" w:rsidP="00223C00">
            <w:pPr>
              <w:autoSpaceDE w:val="0"/>
              <w:autoSpaceDN w:val="0"/>
              <w:adjustRightInd w:val="0"/>
              <w:spacing w:beforeLines="40" w:before="96" w:afterLines="40" w:after="96"/>
              <w:rPr>
                <w:sz w:val="20"/>
                <w:szCs w:val="20"/>
              </w:rPr>
            </w:pPr>
          </w:p>
        </w:tc>
        <w:tc>
          <w:tcPr>
            <w:tcW w:w="3261" w:type="dxa"/>
          </w:tcPr>
          <w:p w14:paraId="14351DD7" w14:textId="0EE9E54C"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5.5 years and continuing</w:t>
            </w:r>
          </w:p>
        </w:tc>
        <w:tc>
          <w:tcPr>
            <w:tcW w:w="3486" w:type="dxa"/>
            <w:vMerge/>
          </w:tcPr>
          <w:p w14:paraId="54C6854A" w14:textId="77777777" w:rsidR="00454F69" w:rsidRPr="00154F1D" w:rsidRDefault="00454F69" w:rsidP="00223C00">
            <w:pPr>
              <w:autoSpaceDE w:val="0"/>
              <w:autoSpaceDN w:val="0"/>
              <w:adjustRightInd w:val="0"/>
              <w:spacing w:beforeLines="40" w:before="96" w:afterLines="40" w:after="96"/>
              <w:rPr>
                <w:sz w:val="20"/>
                <w:szCs w:val="20"/>
              </w:rPr>
            </w:pPr>
          </w:p>
        </w:tc>
      </w:tr>
      <w:tr w:rsidR="00454F69" w:rsidRPr="00154F1D" w14:paraId="366F9CFC" w14:textId="77777777" w:rsidTr="00223C00">
        <w:tc>
          <w:tcPr>
            <w:tcW w:w="2263" w:type="dxa"/>
            <w:vMerge/>
          </w:tcPr>
          <w:p w14:paraId="5D39547B" w14:textId="77777777" w:rsidR="00454F69" w:rsidRPr="00154F1D" w:rsidRDefault="00454F69" w:rsidP="00223C00">
            <w:pPr>
              <w:autoSpaceDE w:val="0"/>
              <w:autoSpaceDN w:val="0"/>
              <w:adjustRightInd w:val="0"/>
              <w:spacing w:beforeLines="40" w:before="96" w:afterLines="40" w:after="96"/>
              <w:rPr>
                <w:sz w:val="20"/>
                <w:szCs w:val="20"/>
              </w:rPr>
            </w:pPr>
          </w:p>
        </w:tc>
        <w:tc>
          <w:tcPr>
            <w:tcW w:w="3261" w:type="dxa"/>
          </w:tcPr>
          <w:p w14:paraId="4A7D0AA1" w14:textId="202DCAB9"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9 years and continuing</w:t>
            </w:r>
          </w:p>
        </w:tc>
        <w:tc>
          <w:tcPr>
            <w:tcW w:w="3486" w:type="dxa"/>
            <w:vMerge/>
          </w:tcPr>
          <w:p w14:paraId="3A0D973C" w14:textId="77777777" w:rsidR="00454F69" w:rsidRPr="00154F1D" w:rsidRDefault="00454F69" w:rsidP="00223C00">
            <w:pPr>
              <w:autoSpaceDE w:val="0"/>
              <w:autoSpaceDN w:val="0"/>
              <w:adjustRightInd w:val="0"/>
              <w:spacing w:beforeLines="40" w:before="96" w:afterLines="40" w:after="96"/>
              <w:rPr>
                <w:sz w:val="20"/>
                <w:szCs w:val="20"/>
              </w:rPr>
            </w:pPr>
          </w:p>
        </w:tc>
      </w:tr>
      <w:tr w:rsidR="00454F69" w:rsidRPr="00154F1D" w14:paraId="5C4C81F2" w14:textId="77777777" w:rsidTr="00223C00">
        <w:tc>
          <w:tcPr>
            <w:tcW w:w="2263" w:type="dxa"/>
          </w:tcPr>
          <w:p w14:paraId="72E62E42" w14:textId="77777777"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Assault police</w:t>
            </w:r>
          </w:p>
        </w:tc>
        <w:tc>
          <w:tcPr>
            <w:tcW w:w="3261" w:type="dxa"/>
          </w:tcPr>
          <w:p w14:paraId="511D862F" w14:textId="614C7A6E"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3 years set term</w:t>
            </w:r>
          </w:p>
        </w:tc>
        <w:tc>
          <w:tcPr>
            <w:tcW w:w="3486" w:type="dxa"/>
          </w:tcPr>
          <w:p w14:paraId="74B19921" w14:textId="77777777"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6 months</w:t>
            </w:r>
          </w:p>
        </w:tc>
      </w:tr>
      <w:tr w:rsidR="00454F69" w:rsidRPr="00154F1D" w14:paraId="12788529" w14:textId="77777777" w:rsidTr="00223C00">
        <w:tc>
          <w:tcPr>
            <w:tcW w:w="2263" w:type="dxa"/>
            <w:vMerge w:val="restart"/>
          </w:tcPr>
          <w:p w14:paraId="7E21FD99" w14:textId="77777777"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Assault</w:t>
            </w:r>
          </w:p>
        </w:tc>
        <w:tc>
          <w:tcPr>
            <w:tcW w:w="3261" w:type="dxa"/>
          </w:tcPr>
          <w:p w14:paraId="2E15A341" w14:textId="2F10F155"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4.5 years and continuing</w:t>
            </w:r>
          </w:p>
        </w:tc>
        <w:tc>
          <w:tcPr>
            <w:tcW w:w="3486" w:type="dxa"/>
            <w:vMerge w:val="restart"/>
          </w:tcPr>
          <w:p w14:paraId="0F24D127" w14:textId="02310E6A"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4</w:t>
            </w:r>
            <w:r w:rsidR="00223C00" w:rsidRPr="00154F1D">
              <w:rPr>
                <w:sz w:val="20"/>
                <w:szCs w:val="20"/>
              </w:rPr>
              <w:t>–</w:t>
            </w:r>
            <w:r w:rsidRPr="00154F1D">
              <w:rPr>
                <w:sz w:val="20"/>
                <w:szCs w:val="20"/>
              </w:rPr>
              <w:t>12 months (if custodial) depending on number of counts</w:t>
            </w:r>
          </w:p>
        </w:tc>
      </w:tr>
      <w:tr w:rsidR="00454F69" w:rsidRPr="00154F1D" w14:paraId="0F5B5702" w14:textId="77777777" w:rsidTr="00223C00">
        <w:tc>
          <w:tcPr>
            <w:tcW w:w="2263" w:type="dxa"/>
            <w:vMerge/>
          </w:tcPr>
          <w:p w14:paraId="34992E04" w14:textId="77777777" w:rsidR="00454F69" w:rsidRPr="00154F1D" w:rsidRDefault="00454F69" w:rsidP="00223C00">
            <w:pPr>
              <w:autoSpaceDE w:val="0"/>
              <w:autoSpaceDN w:val="0"/>
              <w:adjustRightInd w:val="0"/>
              <w:spacing w:beforeLines="40" w:before="96" w:afterLines="40" w:after="96"/>
              <w:rPr>
                <w:sz w:val="20"/>
                <w:szCs w:val="20"/>
              </w:rPr>
            </w:pPr>
          </w:p>
        </w:tc>
        <w:tc>
          <w:tcPr>
            <w:tcW w:w="3261" w:type="dxa"/>
          </w:tcPr>
          <w:p w14:paraId="238FD0B0" w14:textId="7AD87E78"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8 years and finalised</w:t>
            </w:r>
          </w:p>
        </w:tc>
        <w:tc>
          <w:tcPr>
            <w:tcW w:w="3486" w:type="dxa"/>
            <w:vMerge/>
          </w:tcPr>
          <w:p w14:paraId="5F45AF1A" w14:textId="77777777" w:rsidR="00454F69" w:rsidRPr="00154F1D" w:rsidRDefault="00454F69" w:rsidP="00223C00">
            <w:pPr>
              <w:autoSpaceDE w:val="0"/>
              <w:autoSpaceDN w:val="0"/>
              <w:adjustRightInd w:val="0"/>
              <w:spacing w:beforeLines="40" w:before="96" w:afterLines="40" w:after="96"/>
              <w:rPr>
                <w:sz w:val="20"/>
                <w:szCs w:val="20"/>
              </w:rPr>
            </w:pPr>
          </w:p>
        </w:tc>
      </w:tr>
      <w:tr w:rsidR="00454F69" w:rsidRPr="00154F1D" w14:paraId="6D1D35B1" w14:textId="77777777" w:rsidTr="00223C00">
        <w:tc>
          <w:tcPr>
            <w:tcW w:w="2263" w:type="dxa"/>
          </w:tcPr>
          <w:p w14:paraId="3E25A40B" w14:textId="77777777"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Death by dangerous driving</w:t>
            </w:r>
          </w:p>
        </w:tc>
        <w:tc>
          <w:tcPr>
            <w:tcW w:w="3261" w:type="dxa"/>
          </w:tcPr>
          <w:p w14:paraId="09319BCE" w14:textId="0D52DA5D"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2 years and continuing</w:t>
            </w:r>
          </w:p>
        </w:tc>
        <w:tc>
          <w:tcPr>
            <w:tcW w:w="3486" w:type="dxa"/>
          </w:tcPr>
          <w:p w14:paraId="4F32DB8B" w14:textId="77777777"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9 months</w:t>
            </w:r>
          </w:p>
        </w:tc>
      </w:tr>
      <w:tr w:rsidR="00454F69" w:rsidRPr="00154F1D" w14:paraId="41115848" w14:textId="77777777" w:rsidTr="00223C00">
        <w:tc>
          <w:tcPr>
            <w:tcW w:w="2263" w:type="dxa"/>
            <w:vMerge w:val="restart"/>
          </w:tcPr>
          <w:p w14:paraId="1524A99A" w14:textId="648A52A1"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False threat of</w:t>
            </w:r>
            <w:r w:rsidR="00223C00" w:rsidRPr="00154F1D">
              <w:rPr>
                <w:sz w:val="20"/>
                <w:szCs w:val="20"/>
              </w:rPr>
              <w:t xml:space="preserve"> </w:t>
            </w:r>
            <w:r w:rsidRPr="00154F1D">
              <w:rPr>
                <w:sz w:val="20"/>
                <w:szCs w:val="20"/>
              </w:rPr>
              <w:t>danger</w:t>
            </w:r>
          </w:p>
        </w:tc>
        <w:tc>
          <w:tcPr>
            <w:tcW w:w="3261" w:type="dxa"/>
          </w:tcPr>
          <w:p w14:paraId="082E3D2B" w14:textId="47A5C1AD"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 xml:space="preserve">3 years and continuing </w:t>
            </w:r>
          </w:p>
        </w:tc>
        <w:tc>
          <w:tcPr>
            <w:tcW w:w="3486" w:type="dxa"/>
            <w:vMerge w:val="restart"/>
          </w:tcPr>
          <w:p w14:paraId="5C04D94D" w14:textId="6D1DE169"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Generally non-custodial</w:t>
            </w:r>
          </w:p>
        </w:tc>
      </w:tr>
      <w:tr w:rsidR="00454F69" w:rsidRPr="00154F1D" w14:paraId="752C2943" w14:textId="77777777" w:rsidTr="00223C00">
        <w:tc>
          <w:tcPr>
            <w:tcW w:w="2263" w:type="dxa"/>
            <w:vMerge/>
          </w:tcPr>
          <w:p w14:paraId="51749EEB" w14:textId="77777777" w:rsidR="00454F69" w:rsidRPr="00154F1D" w:rsidRDefault="00454F69" w:rsidP="00223C00">
            <w:pPr>
              <w:autoSpaceDE w:val="0"/>
              <w:autoSpaceDN w:val="0"/>
              <w:adjustRightInd w:val="0"/>
              <w:spacing w:beforeLines="40" w:before="96" w:afterLines="40" w:after="96"/>
              <w:rPr>
                <w:sz w:val="20"/>
                <w:szCs w:val="20"/>
              </w:rPr>
            </w:pPr>
          </w:p>
        </w:tc>
        <w:tc>
          <w:tcPr>
            <w:tcW w:w="3261" w:type="dxa"/>
          </w:tcPr>
          <w:p w14:paraId="0C896CD4" w14:textId="5520F83B"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2 years and finalised</w:t>
            </w:r>
          </w:p>
        </w:tc>
        <w:tc>
          <w:tcPr>
            <w:tcW w:w="3486" w:type="dxa"/>
            <w:vMerge/>
          </w:tcPr>
          <w:p w14:paraId="0F20B77F" w14:textId="77777777" w:rsidR="00454F69" w:rsidRPr="00154F1D" w:rsidRDefault="00454F69" w:rsidP="00223C00">
            <w:pPr>
              <w:spacing w:beforeLines="40" w:before="96" w:afterLines="40" w:after="96"/>
              <w:rPr>
                <w:sz w:val="20"/>
                <w:szCs w:val="20"/>
              </w:rPr>
            </w:pPr>
          </w:p>
        </w:tc>
      </w:tr>
      <w:tr w:rsidR="00454F69" w:rsidRPr="00154F1D" w14:paraId="0EE54FA1" w14:textId="77777777" w:rsidTr="00223C00">
        <w:tc>
          <w:tcPr>
            <w:tcW w:w="2263" w:type="dxa"/>
          </w:tcPr>
          <w:p w14:paraId="7C6FC396" w14:textId="60049ADD"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Unlawfully injure</w:t>
            </w:r>
            <w:r w:rsidR="00223C00" w:rsidRPr="00154F1D">
              <w:rPr>
                <w:sz w:val="20"/>
                <w:szCs w:val="20"/>
              </w:rPr>
              <w:t xml:space="preserve"> </w:t>
            </w:r>
            <w:r w:rsidRPr="00154F1D">
              <w:rPr>
                <w:sz w:val="20"/>
                <w:szCs w:val="20"/>
              </w:rPr>
              <w:t>property</w:t>
            </w:r>
          </w:p>
        </w:tc>
        <w:tc>
          <w:tcPr>
            <w:tcW w:w="3261" w:type="dxa"/>
          </w:tcPr>
          <w:p w14:paraId="70BB15F1" w14:textId="05B0FEE5"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4 years and continuing 6 months</w:t>
            </w:r>
          </w:p>
        </w:tc>
        <w:tc>
          <w:tcPr>
            <w:tcW w:w="3486" w:type="dxa"/>
          </w:tcPr>
          <w:p w14:paraId="5445A55A" w14:textId="77777777" w:rsidR="00454F69" w:rsidRPr="00154F1D" w:rsidRDefault="00454F69" w:rsidP="00223C00">
            <w:pPr>
              <w:spacing w:beforeLines="40" w:before="96" w:afterLines="40" w:after="96"/>
              <w:rPr>
                <w:sz w:val="20"/>
                <w:szCs w:val="20"/>
              </w:rPr>
            </w:pPr>
            <w:r w:rsidRPr="00154F1D">
              <w:rPr>
                <w:sz w:val="20"/>
                <w:szCs w:val="20"/>
              </w:rPr>
              <w:t>6 months</w:t>
            </w:r>
          </w:p>
        </w:tc>
      </w:tr>
      <w:tr w:rsidR="00454F69" w:rsidRPr="00154F1D" w14:paraId="33EF466A" w14:textId="77777777" w:rsidTr="00223C00">
        <w:tc>
          <w:tcPr>
            <w:tcW w:w="2263" w:type="dxa"/>
            <w:vMerge w:val="restart"/>
          </w:tcPr>
          <w:p w14:paraId="06A77F2E" w14:textId="62FA1DD9"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Unlawfully setting</w:t>
            </w:r>
            <w:r w:rsidR="00223C00" w:rsidRPr="00154F1D">
              <w:rPr>
                <w:sz w:val="20"/>
                <w:szCs w:val="20"/>
              </w:rPr>
              <w:t xml:space="preserve"> </w:t>
            </w:r>
            <w:r w:rsidRPr="00154F1D">
              <w:rPr>
                <w:sz w:val="20"/>
                <w:szCs w:val="20"/>
              </w:rPr>
              <w:t>fire to property</w:t>
            </w:r>
            <w:r w:rsidR="00223C00" w:rsidRPr="00154F1D">
              <w:rPr>
                <w:sz w:val="20"/>
                <w:szCs w:val="20"/>
              </w:rPr>
              <w:t xml:space="preserve"> </w:t>
            </w:r>
          </w:p>
        </w:tc>
        <w:tc>
          <w:tcPr>
            <w:tcW w:w="3261" w:type="dxa"/>
          </w:tcPr>
          <w:p w14:paraId="7B6A04BB" w14:textId="007DE013"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5.5 years and continuing 4 months</w:t>
            </w:r>
          </w:p>
        </w:tc>
        <w:tc>
          <w:tcPr>
            <w:tcW w:w="3486" w:type="dxa"/>
            <w:vMerge w:val="restart"/>
          </w:tcPr>
          <w:p w14:paraId="2D44654F" w14:textId="77777777" w:rsidR="00454F69" w:rsidRPr="00154F1D" w:rsidRDefault="00454F69" w:rsidP="00223C00">
            <w:pPr>
              <w:spacing w:beforeLines="40" w:before="96" w:afterLines="40" w:after="96"/>
              <w:rPr>
                <w:sz w:val="20"/>
                <w:szCs w:val="20"/>
              </w:rPr>
            </w:pPr>
            <w:r w:rsidRPr="00154F1D">
              <w:rPr>
                <w:sz w:val="20"/>
                <w:szCs w:val="20"/>
              </w:rPr>
              <w:t>4 months</w:t>
            </w:r>
          </w:p>
        </w:tc>
      </w:tr>
      <w:tr w:rsidR="00454F69" w:rsidRPr="00154F1D" w14:paraId="21126786" w14:textId="77777777" w:rsidTr="00223C00">
        <w:tc>
          <w:tcPr>
            <w:tcW w:w="2263" w:type="dxa"/>
            <w:vMerge/>
          </w:tcPr>
          <w:p w14:paraId="7D6D2B9E" w14:textId="77777777" w:rsidR="00454F69" w:rsidRPr="00154F1D" w:rsidRDefault="00454F69" w:rsidP="00223C00">
            <w:pPr>
              <w:autoSpaceDE w:val="0"/>
              <w:autoSpaceDN w:val="0"/>
              <w:adjustRightInd w:val="0"/>
              <w:spacing w:beforeLines="40" w:before="96" w:afterLines="40" w:after="96"/>
              <w:rPr>
                <w:sz w:val="20"/>
                <w:szCs w:val="20"/>
              </w:rPr>
            </w:pPr>
          </w:p>
        </w:tc>
        <w:tc>
          <w:tcPr>
            <w:tcW w:w="3261" w:type="dxa"/>
          </w:tcPr>
          <w:p w14:paraId="10E289F9" w14:textId="2CE434F6"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3 years and continuing</w:t>
            </w:r>
          </w:p>
        </w:tc>
        <w:tc>
          <w:tcPr>
            <w:tcW w:w="3486" w:type="dxa"/>
            <w:vMerge/>
          </w:tcPr>
          <w:p w14:paraId="5DD3CAA8" w14:textId="77777777" w:rsidR="00454F69" w:rsidRPr="00154F1D" w:rsidRDefault="00454F69" w:rsidP="00223C00">
            <w:pPr>
              <w:spacing w:beforeLines="40" w:before="96" w:afterLines="40" w:after="96"/>
              <w:rPr>
                <w:sz w:val="20"/>
                <w:szCs w:val="20"/>
              </w:rPr>
            </w:pPr>
          </w:p>
        </w:tc>
      </w:tr>
      <w:tr w:rsidR="00454F69" w:rsidRPr="00154F1D" w14:paraId="0319B850" w14:textId="77777777" w:rsidTr="00223C00">
        <w:tc>
          <w:tcPr>
            <w:tcW w:w="2263" w:type="dxa"/>
          </w:tcPr>
          <w:p w14:paraId="049E811E" w14:textId="73606E81"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Maintain</w:t>
            </w:r>
            <w:r w:rsidR="00223C00" w:rsidRPr="00154F1D">
              <w:rPr>
                <w:sz w:val="20"/>
                <w:szCs w:val="20"/>
              </w:rPr>
              <w:t xml:space="preserve"> </w:t>
            </w:r>
            <w:r w:rsidRPr="00154F1D">
              <w:rPr>
                <w:sz w:val="20"/>
                <w:szCs w:val="20"/>
              </w:rPr>
              <w:t>relationship with</w:t>
            </w:r>
            <w:r w:rsidR="00223C00" w:rsidRPr="00154F1D">
              <w:rPr>
                <w:sz w:val="20"/>
                <w:szCs w:val="20"/>
              </w:rPr>
              <w:t xml:space="preserve"> </w:t>
            </w:r>
            <w:r w:rsidRPr="00154F1D">
              <w:rPr>
                <w:sz w:val="20"/>
                <w:szCs w:val="20"/>
              </w:rPr>
              <w:t>young person</w:t>
            </w:r>
            <w:r w:rsidR="00223C00" w:rsidRPr="00154F1D">
              <w:rPr>
                <w:sz w:val="20"/>
                <w:szCs w:val="20"/>
              </w:rPr>
              <w:t xml:space="preserve"> </w:t>
            </w:r>
          </w:p>
        </w:tc>
        <w:tc>
          <w:tcPr>
            <w:tcW w:w="3261" w:type="dxa"/>
          </w:tcPr>
          <w:p w14:paraId="4FCC1B23" w14:textId="77777777" w:rsidR="00454F69" w:rsidRPr="00154F1D" w:rsidRDefault="00454F69" w:rsidP="00223C00">
            <w:pPr>
              <w:spacing w:beforeLines="40" w:before="96" w:afterLines="40" w:after="96"/>
              <w:rPr>
                <w:sz w:val="20"/>
                <w:szCs w:val="20"/>
              </w:rPr>
            </w:pPr>
            <w:r w:rsidRPr="00154F1D">
              <w:rPr>
                <w:sz w:val="20"/>
                <w:szCs w:val="20"/>
              </w:rPr>
              <w:t>2 years and continuing</w:t>
            </w:r>
          </w:p>
        </w:tc>
        <w:tc>
          <w:tcPr>
            <w:tcW w:w="3486" w:type="dxa"/>
          </w:tcPr>
          <w:p w14:paraId="1E357016" w14:textId="0E5158CB"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18 months</w:t>
            </w:r>
            <w:r w:rsidR="00223C00" w:rsidRPr="00154F1D">
              <w:rPr>
                <w:sz w:val="20"/>
                <w:szCs w:val="20"/>
              </w:rPr>
              <w:t xml:space="preserve"> </w:t>
            </w:r>
            <w:r w:rsidRPr="00154F1D">
              <w:rPr>
                <w:sz w:val="20"/>
                <w:szCs w:val="20"/>
              </w:rPr>
              <w:t>(single count)</w:t>
            </w:r>
          </w:p>
        </w:tc>
      </w:tr>
      <w:tr w:rsidR="00454F69" w:rsidRPr="00154F1D" w14:paraId="578F79C7" w14:textId="77777777" w:rsidTr="00223C00">
        <w:tc>
          <w:tcPr>
            <w:tcW w:w="2263" w:type="dxa"/>
          </w:tcPr>
          <w:p w14:paraId="3BD877DD" w14:textId="68B07F8E"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Motor vehicle</w:t>
            </w:r>
            <w:r w:rsidR="00223C00" w:rsidRPr="00154F1D">
              <w:rPr>
                <w:sz w:val="20"/>
                <w:szCs w:val="20"/>
              </w:rPr>
              <w:t xml:space="preserve"> </w:t>
            </w:r>
            <w:r w:rsidRPr="00154F1D">
              <w:rPr>
                <w:sz w:val="20"/>
                <w:szCs w:val="20"/>
              </w:rPr>
              <w:t>stealing</w:t>
            </w:r>
          </w:p>
        </w:tc>
        <w:tc>
          <w:tcPr>
            <w:tcW w:w="3261" w:type="dxa"/>
          </w:tcPr>
          <w:p w14:paraId="7A7B397D" w14:textId="77777777" w:rsidR="00454F69" w:rsidRPr="00154F1D" w:rsidRDefault="00454F69" w:rsidP="00223C00">
            <w:pPr>
              <w:spacing w:beforeLines="40" w:before="96" w:afterLines="40" w:after="96"/>
              <w:rPr>
                <w:sz w:val="20"/>
                <w:szCs w:val="20"/>
              </w:rPr>
            </w:pPr>
            <w:r w:rsidRPr="00154F1D">
              <w:rPr>
                <w:sz w:val="20"/>
                <w:szCs w:val="20"/>
              </w:rPr>
              <w:t>6 years and continuing</w:t>
            </w:r>
          </w:p>
        </w:tc>
        <w:tc>
          <w:tcPr>
            <w:tcW w:w="3486" w:type="dxa"/>
          </w:tcPr>
          <w:p w14:paraId="6459794D" w14:textId="77777777" w:rsidR="00454F69" w:rsidRPr="00154F1D" w:rsidRDefault="00454F69" w:rsidP="00223C00">
            <w:pPr>
              <w:spacing w:beforeLines="40" w:before="96" w:afterLines="40" w:after="96"/>
              <w:rPr>
                <w:sz w:val="20"/>
                <w:szCs w:val="20"/>
              </w:rPr>
            </w:pPr>
            <w:r w:rsidRPr="00154F1D">
              <w:rPr>
                <w:sz w:val="20"/>
                <w:szCs w:val="20"/>
              </w:rPr>
              <w:t>6 months</w:t>
            </w:r>
          </w:p>
        </w:tc>
      </w:tr>
      <w:tr w:rsidR="00454F69" w:rsidRPr="00154F1D" w14:paraId="000BDCA3" w14:textId="77777777" w:rsidTr="00223C00">
        <w:tc>
          <w:tcPr>
            <w:tcW w:w="2263" w:type="dxa"/>
          </w:tcPr>
          <w:p w14:paraId="4628D814" w14:textId="45473C51"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Rape</w:t>
            </w:r>
            <w:r w:rsidR="00223C00" w:rsidRPr="00154F1D">
              <w:rPr>
                <w:sz w:val="20"/>
                <w:szCs w:val="20"/>
              </w:rPr>
              <w:t xml:space="preserve"> </w:t>
            </w:r>
          </w:p>
        </w:tc>
        <w:tc>
          <w:tcPr>
            <w:tcW w:w="3261" w:type="dxa"/>
          </w:tcPr>
          <w:p w14:paraId="27F650E2" w14:textId="77777777" w:rsidR="00454F69" w:rsidRPr="00154F1D" w:rsidRDefault="00454F69" w:rsidP="00223C00">
            <w:pPr>
              <w:spacing w:beforeLines="40" w:before="96" w:afterLines="40" w:after="96"/>
              <w:rPr>
                <w:sz w:val="20"/>
                <w:szCs w:val="20"/>
              </w:rPr>
            </w:pPr>
            <w:r w:rsidRPr="00154F1D">
              <w:rPr>
                <w:sz w:val="20"/>
                <w:szCs w:val="20"/>
              </w:rPr>
              <w:t>4 years and continuing</w:t>
            </w:r>
          </w:p>
        </w:tc>
        <w:tc>
          <w:tcPr>
            <w:tcW w:w="3486" w:type="dxa"/>
          </w:tcPr>
          <w:p w14:paraId="20B5F885" w14:textId="42ECB1B8"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3 years (single</w:t>
            </w:r>
            <w:r w:rsidR="00223C00" w:rsidRPr="00154F1D">
              <w:rPr>
                <w:sz w:val="20"/>
                <w:szCs w:val="20"/>
              </w:rPr>
              <w:t xml:space="preserve"> </w:t>
            </w:r>
            <w:r w:rsidRPr="00154F1D">
              <w:rPr>
                <w:sz w:val="20"/>
                <w:szCs w:val="20"/>
              </w:rPr>
              <w:t>count)</w:t>
            </w:r>
          </w:p>
        </w:tc>
      </w:tr>
      <w:tr w:rsidR="00454F69" w:rsidRPr="00154F1D" w14:paraId="675629CB" w14:textId="77777777" w:rsidTr="00223C00">
        <w:tc>
          <w:tcPr>
            <w:tcW w:w="2263" w:type="dxa"/>
          </w:tcPr>
          <w:p w14:paraId="6A8FA36B" w14:textId="450A209A"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Robbery</w:t>
            </w:r>
            <w:r w:rsidR="00223C00" w:rsidRPr="00154F1D">
              <w:rPr>
                <w:sz w:val="20"/>
                <w:szCs w:val="20"/>
              </w:rPr>
              <w:t xml:space="preserve"> </w:t>
            </w:r>
          </w:p>
        </w:tc>
        <w:tc>
          <w:tcPr>
            <w:tcW w:w="3261" w:type="dxa"/>
          </w:tcPr>
          <w:p w14:paraId="237D307E" w14:textId="77777777" w:rsidR="00454F69" w:rsidRPr="00154F1D" w:rsidRDefault="00454F69" w:rsidP="00223C00">
            <w:pPr>
              <w:spacing w:beforeLines="40" w:before="96" w:afterLines="40" w:after="96"/>
              <w:rPr>
                <w:sz w:val="20"/>
                <w:szCs w:val="20"/>
              </w:rPr>
            </w:pPr>
            <w:r w:rsidRPr="00154F1D">
              <w:rPr>
                <w:sz w:val="20"/>
                <w:szCs w:val="20"/>
              </w:rPr>
              <w:t>4 years and continuing</w:t>
            </w:r>
          </w:p>
        </w:tc>
        <w:tc>
          <w:tcPr>
            <w:tcW w:w="3486" w:type="dxa"/>
          </w:tcPr>
          <w:p w14:paraId="3F70D989" w14:textId="05E0E1B1"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9 months</w:t>
            </w:r>
          </w:p>
        </w:tc>
      </w:tr>
      <w:tr w:rsidR="00454F69" w:rsidRPr="00154F1D" w14:paraId="57C43B37" w14:textId="77777777" w:rsidTr="00223C00">
        <w:tc>
          <w:tcPr>
            <w:tcW w:w="2263" w:type="dxa"/>
          </w:tcPr>
          <w:p w14:paraId="54209A1F" w14:textId="6F4E539E"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Sexual intercourse</w:t>
            </w:r>
            <w:r w:rsidR="00223C00" w:rsidRPr="00154F1D">
              <w:rPr>
                <w:sz w:val="20"/>
                <w:szCs w:val="20"/>
              </w:rPr>
              <w:t xml:space="preserve"> </w:t>
            </w:r>
            <w:r w:rsidRPr="00154F1D">
              <w:rPr>
                <w:sz w:val="20"/>
                <w:szCs w:val="20"/>
              </w:rPr>
              <w:t>with young person</w:t>
            </w:r>
            <w:r w:rsidR="00223C00" w:rsidRPr="00154F1D">
              <w:rPr>
                <w:sz w:val="20"/>
                <w:szCs w:val="20"/>
              </w:rPr>
              <w:t xml:space="preserve"> </w:t>
            </w:r>
          </w:p>
        </w:tc>
        <w:tc>
          <w:tcPr>
            <w:tcW w:w="3261" w:type="dxa"/>
          </w:tcPr>
          <w:p w14:paraId="01C58BB4" w14:textId="77777777" w:rsidR="00454F69" w:rsidRPr="00154F1D" w:rsidRDefault="00454F69" w:rsidP="00223C00">
            <w:pPr>
              <w:spacing w:beforeLines="40" w:before="96" w:afterLines="40" w:after="96"/>
              <w:rPr>
                <w:sz w:val="20"/>
                <w:szCs w:val="20"/>
              </w:rPr>
            </w:pPr>
            <w:r w:rsidRPr="00154F1D">
              <w:rPr>
                <w:sz w:val="20"/>
                <w:szCs w:val="20"/>
              </w:rPr>
              <w:t>4 years and continuing</w:t>
            </w:r>
          </w:p>
        </w:tc>
        <w:tc>
          <w:tcPr>
            <w:tcW w:w="3486" w:type="dxa"/>
          </w:tcPr>
          <w:p w14:paraId="22A61018" w14:textId="27987C5F"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3 months</w:t>
            </w:r>
            <w:r w:rsidR="00223C00" w:rsidRPr="00154F1D">
              <w:rPr>
                <w:sz w:val="20"/>
                <w:szCs w:val="20"/>
              </w:rPr>
              <w:t xml:space="preserve"> </w:t>
            </w:r>
            <w:r w:rsidRPr="00154F1D">
              <w:rPr>
                <w:sz w:val="20"/>
                <w:szCs w:val="20"/>
              </w:rPr>
              <w:t>(single count)</w:t>
            </w:r>
            <w:r w:rsidR="00223C00" w:rsidRPr="00154F1D">
              <w:rPr>
                <w:sz w:val="20"/>
                <w:szCs w:val="20"/>
              </w:rPr>
              <w:t xml:space="preserve"> </w:t>
            </w:r>
          </w:p>
        </w:tc>
      </w:tr>
      <w:tr w:rsidR="00454F69" w:rsidRPr="00154F1D" w14:paraId="1E6B2913" w14:textId="77777777" w:rsidTr="00223C00">
        <w:tc>
          <w:tcPr>
            <w:tcW w:w="2263" w:type="dxa"/>
          </w:tcPr>
          <w:p w14:paraId="60CCD8DD" w14:textId="7ADF2984"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Stalking</w:t>
            </w:r>
            <w:r w:rsidR="00223C00" w:rsidRPr="00154F1D">
              <w:rPr>
                <w:sz w:val="20"/>
                <w:szCs w:val="20"/>
              </w:rPr>
              <w:t xml:space="preserve"> </w:t>
            </w:r>
          </w:p>
        </w:tc>
        <w:tc>
          <w:tcPr>
            <w:tcW w:w="3261" w:type="dxa"/>
          </w:tcPr>
          <w:p w14:paraId="2DA88C86" w14:textId="77777777" w:rsidR="00454F69" w:rsidRPr="00154F1D" w:rsidRDefault="00454F69" w:rsidP="00223C00">
            <w:pPr>
              <w:spacing w:beforeLines="40" w:before="96" w:afterLines="40" w:after="96"/>
              <w:rPr>
                <w:sz w:val="20"/>
                <w:szCs w:val="20"/>
              </w:rPr>
            </w:pPr>
            <w:r w:rsidRPr="00154F1D">
              <w:rPr>
                <w:sz w:val="20"/>
                <w:szCs w:val="20"/>
              </w:rPr>
              <w:t>4.5 years and continuing</w:t>
            </w:r>
          </w:p>
        </w:tc>
        <w:tc>
          <w:tcPr>
            <w:tcW w:w="3486" w:type="dxa"/>
          </w:tcPr>
          <w:p w14:paraId="13FAFA90" w14:textId="5425B1E7"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Not recorded</w:t>
            </w:r>
            <w:r w:rsidR="00223C00" w:rsidRPr="00154F1D">
              <w:rPr>
                <w:sz w:val="20"/>
                <w:szCs w:val="20"/>
              </w:rPr>
              <w:t xml:space="preserve"> </w:t>
            </w:r>
          </w:p>
        </w:tc>
      </w:tr>
      <w:tr w:rsidR="00454F69" w:rsidRPr="00154F1D" w14:paraId="6372D72E" w14:textId="77777777" w:rsidTr="00223C00">
        <w:tc>
          <w:tcPr>
            <w:tcW w:w="2263" w:type="dxa"/>
          </w:tcPr>
          <w:p w14:paraId="59C8502B" w14:textId="74DCFF7D"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Stealing</w:t>
            </w:r>
            <w:r w:rsidR="00223C00" w:rsidRPr="00154F1D">
              <w:rPr>
                <w:sz w:val="20"/>
                <w:szCs w:val="20"/>
              </w:rPr>
              <w:t xml:space="preserve"> </w:t>
            </w:r>
          </w:p>
        </w:tc>
        <w:tc>
          <w:tcPr>
            <w:tcW w:w="3261" w:type="dxa"/>
          </w:tcPr>
          <w:p w14:paraId="74B875E8" w14:textId="77777777" w:rsidR="00454F69" w:rsidRPr="00154F1D" w:rsidRDefault="00454F69" w:rsidP="00223C00">
            <w:pPr>
              <w:spacing w:beforeLines="40" w:before="96" w:afterLines="40" w:after="96"/>
              <w:rPr>
                <w:sz w:val="20"/>
                <w:szCs w:val="20"/>
              </w:rPr>
            </w:pPr>
            <w:r w:rsidRPr="00154F1D">
              <w:rPr>
                <w:sz w:val="20"/>
                <w:szCs w:val="20"/>
              </w:rPr>
              <w:t>2 years set term</w:t>
            </w:r>
          </w:p>
        </w:tc>
        <w:tc>
          <w:tcPr>
            <w:tcW w:w="3486" w:type="dxa"/>
          </w:tcPr>
          <w:p w14:paraId="1BBAAC5B" w14:textId="4EC22A45"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6 months</w:t>
            </w:r>
            <w:r w:rsidR="00223C00" w:rsidRPr="00154F1D">
              <w:rPr>
                <w:sz w:val="20"/>
                <w:szCs w:val="20"/>
              </w:rPr>
              <w:t xml:space="preserve"> </w:t>
            </w:r>
            <w:r w:rsidRPr="00154F1D">
              <w:rPr>
                <w:sz w:val="20"/>
                <w:szCs w:val="20"/>
              </w:rPr>
              <w:t>(single count)</w:t>
            </w:r>
          </w:p>
        </w:tc>
      </w:tr>
      <w:tr w:rsidR="00454F69" w:rsidRPr="00154F1D" w14:paraId="549F9AE0" w14:textId="77777777" w:rsidTr="00223C00">
        <w:tc>
          <w:tcPr>
            <w:tcW w:w="2263" w:type="dxa"/>
            <w:vMerge w:val="restart"/>
          </w:tcPr>
          <w:p w14:paraId="26AFA4AA" w14:textId="7EA0B4F5"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Wounding</w:t>
            </w:r>
            <w:r w:rsidR="00223C00" w:rsidRPr="00154F1D">
              <w:rPr>
                <w:sz w:val="20"/>
                <w:szCs w:val="20"/>
              </w:rPr>
              <w:t xml:space="preserve"> </w:t>
            </w:r>
          </w:p>
        </w:tc>
        <w:tc>
          <w:tcPr>
            <w:tcW w:w="3261" w:type="dxa"/>
          </w:tcPr>
          <w:p w14:paraId="0C5B786D" w14:textId="36F28436" w:rsidR="00454F69" w:rsidRPr="00154F1D" w:rsidRDefault="00454F69" w:rsidP="00223C00">
            <w:pPr>
              <w:spacing w:beforeLines="40" w:before="96" w:afterLines="40" w:after="96"/>
              <w:rPr>
                <w:sz w:val="20"/>
                <w:szCs w:val="20"/>
              </w:rPr>
            </w:pPr>
            <w:r w:rsidRPr="00154F1D">
              <w:rPr>
                <w:sz w:val="20"/>
                <w:szCs w:val="20"/>
              </w:rPr>
              <w:t>2 years set term</w:t>
            </w:r>
          </w:p>
        </w:tc>
        <w:tc>
          <w:tcPr>
            <w:tcW w:w="3486" w:type="dxa"/>
            <w:vMerge w:val="restart"/>
          </w:tcPr>
          <w:p w14:paraId="094C7134" w14:textId="0E0192DC"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6 months</w:t>
            </w:r>
          </w:p>
        </w:tc>
      </w:tr>
      <w:tr w:rsidR="00454F69" w:rsidRPr="00154F1D" w14:paraId="01FD1CAA" w14:textId="77777777" w:rsidTr="00223C00">
        <w:tc>
          <w:tcPr>
            <w:tcW w:w="2263" w:type="dxa"/>
            <w:vMerge/>
          </w:tcPr>
          <w:p w14:paraId="0A056C0E" w14:textId="77777777" w:rsidR="00454F69" w:rsidRPr="00154F1D" w:rsidRDefault="00454F69" w:rsidP="00223C00">
            <w:pPr>
              <w:autoSpaceDE w:val="0"/>
              <w:autoSpaceDN w:val="0"/>
              <w:adjustRightInd w:val="0"/>
              <w:spacing w:beforeLines="40" w:before="96" w:afterLines="40" w:after="96"/>
              <w:rPr>
                <w:sz w:val="20"/>
                <w:szCs w:val="20"/>
              </w:rPr>
            </w:pPr>
          </w:p>
        </w:tc>
        <w:tc>
          <w:tcPr>
            <w:tcW w:w="3261" w:type="dxa"/>
          </w:tcPr>
          <w:p w14:paraId="135B3E69" w14:textId="5A578FE8" w:rsidR="00454F69" w:rsidRPr="00154F1D" w:rsidRDefault="00454F69" w:rsidP="00223C00">
            <w:pPr>
              <w:autoSpaceDE w:val="0"/>
              <w:autoSpaceDN w:val="0"/>
              <w:adjustRightInd w:val="0"/>
              <w:spacing w:beforeLines="40" w:before="96" w:afterLines="40" w:after="96"/>
              <w:rPr>
                <w:sz w:val="20"/>
                <w:szCs w:val="20"/>
              </w:rPr>
            </w:pPr>
            <w:r w:rsidRPr="00154F1D">
              <w:rPr>
                <w:sz w:val="20"/>
                <w:szCs w:val="20"/>
              </w:rPr>
              <w:t>5 years and continuing</w:t>
            </w:r>
          </w:p>
        </w:tc>
        <w:tc>
          <w:tcPr>
            <w:tcW w:w="3486" w:type="dxa"/>
            <w:vMerge/>
          </w:tcPr>
          <w:p w14:paraId="2E760DD3" w14:textId="77777777" w:rsidR="00454F69" w:rsidRPr="00154F1D" w:rsidRDefault="00454F69" w:rsidP="00223C00">
            <w:pPr>
              <w:spacing w:beforeLines="40" w:before="96" w:afterLines="40" w:after="96"/>
              <w:rPr>
                <w:sz w:val="20"/>
                <w:szCs w:val="20"/>
              </w:rPr>
            </w:pPr>
          </w:p>
        </w:tc>
      </w:tr>
    </w:tbl>
    <w:p w14:paraId="75B57133" w14:textId="5C906256" w:rsidR="00454F69" w:rsidRPr="00154F1D" w:rsidRDefault="00454F69" w:rsidP="00610538">
      <w:pPr>
        <w:pStyle w:val="NumberlessNormalText"/>
        <w:keepNext/>
        <w:spacing w:after="40"/>
        <w:rPr>
          <w:b/>
        </w:rPr>
      </w:pPr>
      <w:r w:rsidRPr="00154F1D">
        <w:rPr>
          <w:b/>
        </w:rPr>
        <w:t xml:space="preserve">Table </w:t>
      </w:r>
      <w:r w:rsidR="00BA4488" w:rsidRPr="00154F1D">
        <w:rPr>
          <w:b/>
        </w:rPr>
        <w:t>A8.</w:t>
      </w:r>
      <w:r w:rsidRPr="00154F1D">
        <w:rPr>
          <w:b/>
        </w:rPr>
        <w:t xml:space="preserve">4: Supervision orders. 2010–30 June 2018. Excludes </w:t>
      </w:r>
      <w:r w:rsidR="001E0CE7">
        <w:rPr>
          <w:b/>
        </w:rPr>
        <w:t>individual</w:t>
      </w:r>
      <w:r w:rsidR="001E0CE7" w:rsidRPr="00154F1D">
        <w:rPr>
          <w:b/>
        </w:rPr>
        <w:t xml:space="preserve">s </w:t>
      </w:r>
      <w:r w:rsidRPr="00154F1D">
        <w:rPr>
          <w:b/>
        </w:rPr>
        <w:t>who have been on orders for less than 2 years duration</w:t>
      </w:r>
    </w:p>
    <w:tbl>
      <w:tblPr>
        <w:tblStyle w:val="TableGrid"/>
        <w:tblW w:w="0" w:type="auto"/>
        <w:tblBorders>
          <w:top w:val="single" w:sz="2" w:space="0" w:color="000000"/>
          <w:left w:val="single" w:sz="2" w:space="0" w:color="000000"/>
          <w:bottom w:val="single" w:sz="2" w:space="0" w:color="000000"/>
          <w:right w:val="single" w:sz="2" w:space="0" w:color="000000"/>
        </w:tblBorders>
        <w:tblLook w:val="04A0" w:firstRow="1" w:lastRow="0" w:firstColumn="1" w:lastColumn="0" w:noHBand="0" w:noVBand="1"/>
      </w:tblPr>
      <w:tblGrid>
        <w:gridCol w:w="2165"/>
        <w:gridCol w:w="3105"/>
        <w:gridCol w:w="3030"/>
      </w:tblGrid>
      <w:tr w:rsidR="00454F69" w:rsidRPr="00154F1D" w14:paraId="6E7B2AC0" w14:textId="77777777" w:rsidTr="00621990">
        <w:tc>
          <w:tcPr>
            <w:tcW w:w="2263" w:type="dxa"/>
          </w:tcPr>
          <w:p w14:paraId="4CC4A1B2" w14:textId="77777777" w:rsidR="00454F69" w:rsidRPr="00154F1D" w:rsidRDefault="00454F69" w:rsidP="00103095">
            <w:pPr>
              <w:keepNext/>
              <w:spacing w:beforeLines="20" w:before="48" w:afterLines="20" w:after="48"/>
              <w:rPr>
                <w:b/>
                <w:sz w:val="20"/>
                <w:szCs w:val="20"/>
              </w:rPr>
            </w:pPr>
            <w:r w:rsidRPr="00154F1D">
              <w:rPr>
                <w:b/>
                <w:sz w:val="20"/>
                <w:szCs w:val="20"/>
              </w:rPr>
              <w:t>Offence</w:t>
            </w:r>
          </w:p>
        </w:tc>
        <w:tc>
          <w:tcPr>
            <w:tcW w:w="3402" w:type="dxa"/>
          </w:tcPr>
          <w:p w14:paraId="2E7C005C" w14:textId="77777777" w:rsidR="00454F69" w:rsidRPr="00154F1D" w:rsidRDefault="00454F69" w:rsidP="00103095">
            <w:pPr>
              <w:keepNext/>
              <w:spacing w:beforeLines="20" w:before="48" w:afterLines="20" w:after="48"/>
              <w:rPr>
                <w:b/>
                <w:sz w:val="20"/>
                <w:szCs w:val="20"/>
              </w:rPr>
            </w:pPr>
            <w:r w:rsidRPr="00154F1D">
              <w:rPr>
                <w:b/>
                <w:sz w:val="20"/>
                <w:szCs w:val="20"/>
              </w:rPr>
              <w:t>Period of supervision of defendant</w:t>
            </w:r>
          </w:p>
        </w:tc>
        <w:tc>
          <w:tcPr>
            <w:tcW w:w="3345" w:type="dxa"/>
          </w:tcPr>
          <w:p w14:paraId="662682F7" w14:textId="4788210B" w:rsidR="00454F69" w:rsidRPr="00154F1D" w:rsidRDefault="00454F69" w:rsidP="00103095">
            <w:pPr>
              <w:keepNext/>
              <w:spacing w:beforeLines="20" w:before="48" w:afterLines="20" w:after="48"/>
              <w:rPr>
                <w:sz w:val="20"/>
                <w:szCs w:val="20"/>
              </w:rPr>
            </w:pPr>
            <w:r w:rsidRPr="00154F1D">
              <w:rPr>
                <w:b/>
                <w:sz w:val="20"/>
                <w:szCs w:val="20"/>
              </w:rPr>
              <w:t>Median sentence 2008</w:t>
            </w:r>
            <w:r w:rsidR="00621990" w:rsidRPr="00154F1D">
              <w:rPr>
                <w:b/>
                <w:sz w:val="20"/>
                <w:szCs w:val="20"/>
              </w:rPr>
              <w:t>–</w:t>
            </w:r>
            <w:r w:rsidRPr="00154F1D">
              <w:rPr>
                <w:b/>
                <w:sz w:val="20"/>
                <w:szCs w:val="20"/>
              </w:rPr>
              <w:t>14</w:t>
            </w:r>
          </w:p>
        </w:tc>
      </w:tr>
      <w:tr w:rsidR="00454F69" w:rsidRPr="00154F1D" w14:paraId="0EB787A0" w14:textId="77777777" w:rsidTr="00621990">
        <w:tc>
          <w:tcPr>
            <w:tcW w:w="2263" w:type="dxa"/>
          </w:tcPr>
          <w:p w14:paraId="2B38BCAB" w14:textId="5080B46F" w:rsidR="00454F69" w:rsidRPr="00154F1D" w:rsidRDefault="00454F69" w:rsidP="00103095">
            <w:pPr>
              <w:keepNext/>
              <w:spacing w:beforeLines="20" w:before="48" w:afterLines="20" w:after="48"/>
              <w:rPr>
                <w:sz w:val="20"/>
                <w:szCs w:val="20"/>
              </w:rPr>
            </w:pPr>
            <w:r w:rsidRPr="00154F1D">
              <w:rPr>
                <w:sz w:val="20"/>
                <w:szCs w:val="20"/>
              </w:rPr>
              <w:t>Maintaining relationship with young person</w:t>
            </w:r>
          </w:p>
        </w:tc>
        <w:tc>
          <w:tcPr>
            <w:tcW w:w="3402" w:type="dxa"/>
          </w:tcPr>
          <w:p w14:paraId="3AAAB51A" w14:textId="77777777" w:rsidR="00454F69" w:rsidRPr="00154F1D" w:rsidRDefault="00454F69" w:rsidP="00103095">
            <w:pPr>
              <w:keepNext/>
              <w:spacing w:beforeLines="20" w:before="48" w:afterLines="20" w:after="48"/>
              <w:rPr>
                <w:sz w:val="20"/>
                <w:szCs w:val="20"/>
              </w:rPr>
            </w:pPr>
            <w:r w:rsidRPr="00154F1D">
              <w:rPr>
                <w:sz w:val="20"/>
                <w:szCs w:val="20"/>
              </w:rPr>
              <w:t>8 years and 9 days</w:t>
            </w:r>
          </w:p>
        </w:tc>
        <w:tc>
          <w:tcPr>
            <w:tcW w:w="3345" w:type="dxa"/>
          </w:tcPr>
          <w:p w14:paraId="41F27D23" w14:textId="77777777" w:rsidR="00454F69" w:rsidRPr="00154F1D" w:rsidRDefault="00454F69" w:rsidP="00103095">
            <w:pPr>
              <w:keepNext/>
              <w:spacing w:beforeLines="20" w:before="48" w:afterLines="20" w:after="48"/>
              <w:rPr>
                <w:sz w:val="20"/>
                <w:szCs w:val="20"/>
              </w:rPr>
            </w:pPr>
            <w:r w:rsidRPr="00154F1D">
              <w:rPr>
                <w:sz w:val="20"/>
                <w:szCs w:val="20"/>
              </w:rPr>
              <w:t>30 months (single count)</w:t>
            </w:r>
          </w:p>
        </w:tc>
      </w:tr>
      <w:tr w:rsidR="00454F69" w:rsidRPr="00154F1D" w14:paraId="1D58DBA0" w14:textId="77777777" w:rsidTr="00621990">
        <w:tc>
          <w:tcPr>
            <w:tcW w:w="2263" w:type="dxa"/>
            <w:vMerge w:val="restart"/>
          </w:tcPr>
          <w:p w14:paraId="31DACBC9" w14:textId="77777777" w:rsidR="00454F69" w:rsidRPr="00154F1D" w:rsidRDefault="00454F69" w:rsidP="00103095">
            <w:pPr>
              <w:keepNext/>
              <w:spacing w:beforeLines="20" w:before="48" w:afterLines="20" w:after="48"/>
              <w:rPr>
                <w:sz w:val="20"/>
                <w:szCs w:val="20"/>
              </w:rPr>
            </w:pPr>
            <w:r w:rsidRPr="00154F1D">
              <w:rPr>
                <w:sz w:val="20"/>
                <w:szCs w:val="20"/>
              </w:rPr>
              <w:t>GBH</w:t>
            </w:r>
          </w:p>
        </w:tc>
        <w:tc>
          <w:tcPr>
            <w:tcW w:w="3402" w:type="dxa"/>
          </w:tcPr>
          <w:p w14:paraId="782913CB" w14:textId="104B48F0" w:rsidR="00454F69" w:rsidRPr="00154F1D" w:rsidRDefault="00454F69" w:rsidP="00103095">
            <w:pPr>
              <w:keepNext/>
              <w:spacing w:beforeLines="20" w:before="48" w:afterLines="20" w:after="48"/>
              <w:rPr>
                <w:sz w:val="20"/>
                <w:szCs w:val="20"/>
              </w:rPr>
            </w:pPr>
            <w:r w:rsidRPr="00154F1D">
              <w:rPr>
                <w:sz w:val="20"/>
                <w:szCs w:val="20"/>
              </w:rPr>
              <w:t>8 years and 17 days</w:t>
            </w:r>
          </w:p>
        </w:tc>
        <w:tc>
          <w:tcPr>
            <w:tcW w:w="3345" w:type="dxa"/>
            <w:vMerge w:val="restart"/>
          </w:tcPr>
          <w:p w14:paraId="454258E3" w14:textId="30256531" w:rsidR="00454F69" w:rsidRPr="00154F1D" w:rsidRDefault="00454F69" w:rsidP="00103095">
            <w:pPr>
              <w:keepNext/>
              <w:spacing w:beforeLines="20" w:before="48" w:afterLines="20" w:after="48"/>
              <w:rPr>
                <w:sz w:val="20"/>
                <w:szCs w:val="20"/>
              </w:rPr>
            </w:pPr>
            <w:r w:rsidRPr="00154F1D">
              <w:rPr>
                <w:sz w:val="20"/>
                <w:szCs w:val="20"/>
              </w:rPr>
              <w:t>1 year and 3 months (76% custodial) (single count)</w:t>
            </w:r>
          </w:p>
        </w:tc>
      </w:tr>
      <w:tr w:rsidR="00454F69" w:rsidRPr="00154F1D" w14:paraId="515F1171" w14:textId="77777777" w:rsidTr="00621990">
        <w:tc>
          <w:tcPr>
            <w:tcW w:w="2263" w:type="dxa"/>
            <w:vMerge/>
          </w:tcPr>
          <w:p w14:paraId="74EE56D3" w14:textId="77777777" w:rsidR="00454F69" w:rsidRPr="00154F1D" w:rsidRDefault="00454F69" w:rsidP="00103095">
            <w:pPr>
              <w:keepNext/>
              <w:spacing w:beforeLines="20" w:before="48" w:afterLines="20" w:after="48"/>
              <w:rPr>
                <w:sz w:val="20"/>
                <w:szCs w:val="20"/>
              </w:rPr>
            </w:pPr>
          </w:p>
        </w:tc>
        <w:tc>
          <w:tcPr>
            <w:tcW w:w="3402" w:type="dxa"/>
          </w:tcPr>
          <w:p w14:paraId="04CA9986" w14:textId="67426FF8" w:rsidR="00454F69" w:rsidRPr="00154F1D" w:rsidRDefault="00454F69" w:rsidP="00103095">
            <w:pPr>
              <w:keepNext/>
              <w:spacing w:beforeLines="20" w:before="48" w:afterLines="20" w:after="48"/>
              <w:rPr>
                <w:sz w:val="20"/>
                <w:szCs w:val="20"/>
              </w:rPr>
            </w:pPr>
            <w:r w:rsidRPr="00154F1D">
              <w:rPr>
                <w:sz w:val="20"/>
                <w:szCs w:val="20"/>
              </w:rPr>
              <w:t>12 years 3 months and 8 days</w:t>
            </w:r>
          </w:p>
        </w:tc>
        <w:tc>
          <w:tcPr>
            <w:tcW w:w="3345" w:type="dxa"/>
            <w:vMerge/>
          </w:tcPr>
          <w:p w14:paraId="6B7061A6" w14:textId="77777777" w:rsidR="00454F69" w:rsidRPr="00154F1D" w:rsidRDefault="00454F69" w:rsidP="00103095">
            <w:pPr>
              <w:keepNext/>
              <w:spacing w:beforeLines="20" w:before="48" w:afterLines="20" w:after="48"/>
              <w:rPr>
                <w:sz w:val="20"/>
                <w:szCs w:val="20"/>
              </w:rPr>
            </w:pPr>
          </w:p>
        </w:tc>
      </w:tr>
      <w:tr w:rsidR="00454F69" w:rsidRPr="00154F1D" w14:paraId="21635929" w14:textId="77777777" w:rsidTr="00621990">
        <w:tc>
          <w:tcPr>
            <w:tcW w:w="2263" w:type="dxa"/>
            <w:vMerge/>
          </w:tcPr>
          <w:p w14:paraId="472D0ADF" w14:textId="77777777" w:rsidR="00454F69" w:rsidRPr="00154F1D" w:rsidRDefault="00454F69" w:rsidP="00103095">
            <w:pPr>
              <w:spacing w:beforeLines="20" w:before="48" w:afterLines="20" w:after="48"/>
              <w:rPr>
                <w:sz w:val="20"/>
                <w:szCs w:val="20"/>
              </w:rPr>
            </w:pPr>
          </w:p>
        </w:tc>
        <w:tc>
          <w:tcPr>
            <w:tcW w:w="3402" w:type="dxa"/>
          </w:tcPr>
          <w:p w14:paraId="6FCAC246" w14:textId="74367FE0" w:rsidR="00454F69" w:rsidRPr="00154F1D" w:rsidRDefault="00454F69" w:rsidP="00103095">
            <w:pPr>
              <w:spacing w:beforeLines="20" w:before="48" w:afterLines="20" w:after="48"/>
              <w:rPr>
                <w:sz w:val="20"/>
                <w:szCs w:val="20"/>
              </w:rPr>
            </w:pPr>
            <w:r w:rsidRPr="00154F1D">
              <w:rPr>
                <w:sz w:val="20"/>
                <w:szCs w:val="20"/>
              </w:rPr>
              <w:t>12 years 3 months and 5 days</w:t>
            </w:r>
          </w:p>
        </w:tc>
        <w:tc>
          <w:tcPr>
            <w:tcW w:w="3345" w:type="dxa"/>
            <w:vMerge/>
          </w:tcPr>
          <w:p w14:paraId="508BE1D4" w14:textId="77777777" w:rsidR="00454F69" w:rsidRPr="00154F1D" w:rsidRDefault="00454F69" w:rsidP="00103095">
            <w:pPr>
              <w:spacing w:beforeLines="20" w:before="48" w:afterLines="20" w:after="48"/>
              <w:rPr>
                <w:sz w:val="20"/>
                <w:szCs w:val="20"/>
              </w:rPr>
            </w:pPr>
          </w:p>
        </w:tc>
      </w:tr>
      <w:tr w:rsidR="00454F69" w:rsidRPr="00154F1D" w14:paraId="078BD403" w14:textId="77777777" w:rsidTr="00621990">
        <w:tc>
          <w:tcPr>
            <w:tcW w:w="2263" w:type="dxa"/>
            <w:vMerge/>
          </w:tcPr>
          <w:p w14:paraId="7B6036E2" w14:textId="77777777" w:rsidR="00454F69" w:rsidRPr="00154F1D" w:rsidRDefault="00454F69" w:rsidP="00103095">
            <w:pPr>
              <w:spacing w:beforeLines="20" w:before="48" w:afterLines="20" w:after="48"/>
              <w:rPr>
                <w:sz w:val="20"/>
                <w:szCs w:val="20"/>
              </w:rPr>
            </w:pPr>
          </w:p>
        </w:tc>
        <w:tc>
          <w:tcPr>
            <w:tcW w:w="3402" w:type="dxa"/>
          </w:tcPr>
          <w:p w14:paraId="1FA6D7A8" w14:textId="44C16BF0" w:rsidR="00454F69" w:rsidRPr="00154F1D" w:rsidRDefault="00454F69" w:rsidP="00103095">
            <w:pPr>
              <w:spacing w:beforeLines="20" w:before="48" w:afterLines="20" w:after="48"/>
              <w:rPr>
                <w:sz w:val="20"/>
                <w:szCs w:val="20"/>
              </w:rPr>
            </w:pPr>
            <w:r w:rsidRPr="00154F1D">
              <w:rPr>
                <w:sz w:val="20"/>
                <w:szCs w:val="20"/>
              </w:rPr>
              <w:t>3 years 15 days and continuing</w:t>
            </w:r>
          </w:p>
        </w:tc>
        <w:tc>
          <w:tcPr>
            <w:tcW w:w="3345" w:type="dxa"/>
            <w:vMerge/>
          </w:tcPr>
          <w:p w14:paraId="5EAC0013" w14:textId="77777777" w:rsidR="00454F69" w:rsidRPr="00154F1D" w:rsidRDefault="00454F69" w:rsidP="00103095">
            <w:pPr>
              <w:spacing w:beforeLines="20" w:before="48" w:afterLines="20" w:after="48"/>
              <w:rPr>
                <w:sz w:val="20"/>
                <w:szCs w:val="20"/>
              </w:rPr>
            </w:pPr>
          </w:p>
        </w:tc>
      </w:tr>
      <w:tr w:rsidR="00454F69" w:rsidRPr="00154F1D" w14:paraId="3D74015D" w14:textId="77777777" w:rsidTr="00621990">
        <w:tc>
          <w:tcPr>
            <w:tcW w:w="2263" w:type="dxa"/>
            <w:vMerge/>
          </w:tcPr>
          <w:p w14:paraId="1A513B47" w14:textId="77777777" w:rsidR="00454F69" w:rsidRPr="00154F1D" w:rsidRDefault="00454F69" w:rsidP="00103095">
            <w:pPr>
              <w:spacing w:beforeLines="20" w:before="48" w:afterLines="20" w:after="48"/>
              <w:rPr>
                <w:sz w:val="20"/>
                <w:szCs w:val="20"/>
              </w:rPr>
            </w:pPr>
          </w:p>
        </w:tc>
        <w:tc>
          <w:tcPr>
            <w:tcW w:w="3402" w:type="dxa"/>
          </w:tcPr>
          <w:p w14:paraId="12814358" w14:textId="48832B20" w:rsidR="00454F69" w:rsidRPr="00154F1D" w:rsidRDefault="00454F69" w:rsidP="00103095">
            <w:pPr>
              <w:spacing w:beforeLines="20" w:before="48" w:afterLines="20" w:after="48"/>
              <w:rPr>
                <w:sz w:val="20"/>
                <w:szCs w:val="20"/>
              </w:rPr>
            </w:pPr>
            <w:r w:rsidRPr="00154F1D">
              <w:rPr>
                <w:sz w:val="20"/>
                <w:szCs w:val="20"/>
              </w:rPr>
              <w:t>5 years and 11 months and 5 days and continuing</w:t>
            </w:r>
          </w:p>
        </w:tc>
        <w:tc>
          <w:tcPr>
            <w:tcW w:w="3345" w:type="dxa"/>
            <w:vMerge/>
          </w:tcPr>
          <w:p w14:paraId="040135A7" w14:textId="77777777" w:rsidR="00454F69" w:rsidRPr="00154F1D" w:rsidRDefault="00454F69" w:rsidP="00103095">
            <w:pPr>
              <w:spacing w:beforeLines="20" w:before="48" w:afterLines="20" w:after="48"/>
              <w:rPr>
                <w:sz w:val="20"/>
                <w:szCs w:val="20"/>
              </w:rPr>
            </w:pPr>
          </w:p>
        </w:tc>
      </w:tr>
      <w:tr w:rsidR="00454F69" w:rsidRPr="00154F1D" w14:paraId="7F7853A4" w14:textId="77777777" w:rsidTr="00621990">
        <w:tc>
          <w:tcPr>
            <w:tcW w:w="2263" w:type="dxa"/>
          </w:tcPr>
          <w:p w14:paraId="10BE62DA" w14:textId="1AC18E79" w:rsidR="00454F69" w:rsidRPr="00154F1D" w:rsidRDefault="00454F69" w:rsidP="00103095">
            <w:pPr>
              <w:spacing w:beforeLines="20" w:before="48" w:afterLines="20" w:after="48"/>
              <w:rPr>
                <w:sz w:val="20"/>
                <w:szCs w:val="20"/>
              </w:rPr>
            </w:pPr>
            <w:r w:rsidRPr="00154F1D">
              <w:rPr>
                <w:sz w:val="20"/>
                <w:szCs w:val="20"/>
              </w:rPr>
              <w:t>Injure property</w:t>
            </w:r>
          </w:p>
        </w:tc>
        <w:tc>
          <w:tcPr>
            <w:tcW w:w="3402" w:type="dxa"/>
          </w:tcPr>
          <w:p w14:paraId="72E30C26" w14:textId="77777777" w:rsidR="00454F69" w:rsidRPr="00154F1D" w:rsidRDefault="00454F69" w:rsidP="00103095">
            <w:pPr>
              <w:spacing w:beforeLines="20" w:before="48" w:afterLines="20" w:after="48"/>
              <w:rPr>
                <w:sz w:val="20"/>
                <w:szCs w:val="20"/>
              </w:rPr>
            </w:pPr>
            <w:r w:rsidRPr="00154F1D">
              <w:rPr>
                <w:sz w:val="20"/>
                <w:szCs w:val="20"/>
              </w:rPr>
              <w:t>9 years and 2 days</w:t>
            </w:r>
          </w:p>
        </w:tc>
        <w:tc>
          <w:tcPr>
            <w:tcW w:w="3345" w:type="dxa"/>
          </w:tcPr>
          <w:p w14:paraId="0B560E89" w14:textId="77777777" w:rsidR="00454F69" w:rsidRPr="00154F1D" w:rsidRDefault="00454F69" w:rsidP="00103095">
            <w:pPr>
              <w:spacing w:beforeLines="20" w:before="48" w:afterLines="20" w:after="48"/>
              <w:rPr>
                <w:sz w:val="20"/>
                <w:szCs w:val="20"/>
              </w:rPr>
            </w:pPr>
            <w:r w:rsidRPr="00154F1D">
              <w:rPr>
                <w:sz w:val="20"/>
                <w:szCs w:val="20"/>
              </w:rPr>
              <w:t>Not available</w:t>
            </w:r>
          </w:p>
        </w:tc>
      </w:tr>
      <w:tr w:rsidR="00454F69" w:rsidRPr="00154F1D" w14:paraId="069C6DBF" w14:textId="77777777" w:rsidTr="00621990">
        <w:tc>
          <w:tcPr>
            <w:tcW w:w="2263" w:type="dxa"/>
            <w:vMerge w:val="restart"/>
          </w:tcPr>
          <w:p w14:paraId="462DAB6C" w14:textId="77777777" w:rsidR="00454F69" w:rsidRPr="00154F1D" w:rsidRDefault="00454F69" w:rsidP="00103095">
            <w:pPr>
              <w:spacing w:beforeLines="20" w:before="48" w:afterLines="20" w:after="48"/>
              <w:rPr>
                <w:sz w:val="20"/>
                <w:szCs w:val="20"/>
              </w:rPr>
            </w:pPr>
            <w:r w:rsidRPr="00154F1D">
              <w:rPr>
                <w:sz w:val="20"/>
                <w:szCs w:val="20"/>
              </w:rPr>
              <w:t xml:space="preserve">Assault </w:t>
            </w:r>
          </w:p>
        </w:tc>
        <w:tc>
          <w:tcPr>
            <w:tcW w:w="3402" w:type="dxa"/>
          </w:tcPr>
          <w:p w14:paraId="277CD010" w14:textId="02888DBE" w:rsidR="00454F69" w:rsidRPr="00154F1D" w:rsidRDefault="00454F69" w:rsidP="00103095">
            <w:pPr>
              <w:spacing w:beforeLines="20" w:before="48" w:afterLines="20" w:after="48"/>
              <w:rPr>
                <w:sz w:val="20"/>
                <w:szCs w:val="20"/>
              </w:rPr>
            </w:pPr>
            <w:r w:rsidRPr="00154F1D">
              <w:rPr>
                <w:sz w:val="20"/>
                <w:szCs w:val="20"/>
              </w:rPr>
              <w:t>8 years 2 months and 8 days</w:t>
            </w:r>
          </w:p>
        </w:tc>
        <w:tc>
          <w:tcPr>
            <w:tcW w:w="3345" w:type="dxa"/>
            <w:vMerge w:val="restart"/>
          </w:tcPr>
          <w:p w14:paraId="7A46BBB8" w14:textId="77777777" w:rsidR="00454F69" w:rsidRPr="00154F1D" w:rsidRDefault="00454F69" w:rsidP="00103095">
            <w:pPr>
              <w:spacing w:beforeLines="20" w:before="48" w:afterLines="20" w:after="48"/>
              <w:rPr>
                <w:sz w:val="20"/>
                <w:szCs w:val="20"/>
              </w:rPr>
            </w:pPr>
            <w:r w:rsidRPr="00154F1D">
              <w:rPr>
                <w:sz w:val="20"/>
                <w:szCs w:val="20"/>
              </w:rPr>
              <w:t>7 months (48.1% custodial) (single count)</w:t>
            </w:r>
          </w:p>
        </w:tc>
      </w:tr>
      <w:tr w:rsidR="00454F69" w:rsidRPr="00154F1D" w14:paraId="37A85678" w14:textId="77777777" w:rsidTr="00621990">
        <w:tc>
          <w:tcPr>
            <w:tcW w:w="2263" w:type="dxa"/>
            <w:vMerge/>
          </w:tcPr>
          <w:p w14:paraId="3A2ADB14" w14:textId="77777777" w:rsidR="00454F69" w:rsidRPr="00154F1D" w:rsidRDefault="00454F69" w:rsidP="00103095">
            <w:pPr>
              <w:spacing w:beforeLines="20" w:before="48" w:afterLines="20" w:after="48"/>
              <w:rPr>
                <w:sz w:val="20"/>
                <w:szCs w:val="20"/>
              </w:rPr>
            </w:pPr>
          </w:p>
        </w:tc>
        <w:tc>
          <w:tcPr>
            <w:tcW w:w="3402" w:type="dxa"/>
          </w:tcPr>
          <w:p w14:paraId="7EF03EE2" w14:textId="7FAA1EDF" w:rsidR="00454F69" w:rsidRPr="00154F1D" w:rsidRDefault="00454F69" w:rsidP="00103095">
            <w:pPr>
              <w:spacing w:beforeLines="20" w:before="48" w:afterLines="20" w:after="48"/>
              <w:rPr>
                <w:sz w:val="20"/>
                <w:szCs w:val="20"/>
              </w:rPr>
            </w:pPr>
            <w:r w:rsidRPr="00154F1D">
              <w:rPr>
                <w:sz w:val="20"/>
                <w:szCs w:val="20"/>
              </w:rPr>
              <w:t>9 years 7 days and continuing</w:t>
            </w:r>
          </w:p>
        </w:tc>
        <w:tc>
          <w:tcPr>
            <w:tcW w:w="3345" w:type="dxa"/>
            <w:vMerge/>
          </w:tcPr>
          <w:p w14:paraId="61A9517F" w14:textId="77777777" w:rsidR="00454F69" w:rsidRPr="00154F1D" w:rsidRDefault="00454F69" w:rsidP="00103095">
            <w:pPr>
              <w:spacing w:beforeLines="20" w:before="48" w:afterLines="20" w:after="48"/>
              <w:rPr>
                <w:sz w:val="20"/>
                <w:szCs w:val="20"/>
              </w:rPr>
            </w:pPr>
          </w:p>
        </w:tc>
      </w:tr>
      <w:tr w:rsidR="00454F69" w:rsidRPr="00154F1D" w14:paraId="6E0ACD17" w14:textId="77777777" w:rsidTr="00621990">
        <w:tc>
          <w:tcPr>
            <w:tcW w:w="2263" w:type="dxa"/>
            <w:vMerge/>
          </w:tcPr>
          <w:p w14:paraId="500A118F" w14:textId="77777777" w:rsidR="00454F69" w:rsidRPr="00154F1D" w:rsidRDefault="00454F69" w:rsidP="00103095">
            <w:pPr>
              <w:spacing w:beforeLines="20" w:before="48" w:afterLines="20" w:after="48"/>
              <w:rPr>
                <w:sz w:val="20"/>
                <w:szCs w:val="20"/>
              </w:rPr>
            </w:pPr>
          </w:p>
        </w:tc>
        <w:tc>
          <w:tcPr>
            <w:tcW w:w="3402" w:type="dxa"/>
          </w:tcPr>
          <w:p w14:paraId="04076AC3" w14:textId="65F2A5DC" w:rsidR="00454F69" w:rsidRPr="00154F1D" w:rsidRDefault="00454F69" w:rsidP="00103095">
            <w:pPr>
              <w:spacing w:beforeLines="20" w:before="48" w:afterLines="20" w:after="48"/>
              <w:rPr>
                <w:sz w:val="20"/>
                <w:szCs w:val="20"/>
              </w:rPr>
            </w:pPr>
            <w:r w:rsidRPr="00154F1D">
              <w:rPr>
                <w:sz w:val="20"/>
                <w:szCs w:val="20"/>
              </w:rPr>
              <w:t>12 years 3 months and 7 days and continuing</w:t>
            </w:r>
          </w:p>
        </w:tc>
        <w:tc>
          <w:tcPr>
            <w:tcW w:w="3345" w:type="dxa"/>
            <w:vMerge/>
          </w:tcPr>
          <w:p w14:paraId="2B977FB3" w14:textId="77777777" w:rsidR="00454F69" w:rsidRPr="00154F1D" w:rsidRDefault="00454F69" w:rsidP="00103095">
            <w:pPr>
              <w:spacing w:beforeLines="20" w:before="48" w:afterLines="20" w:after="48"/>
              <w:rPr>
                <w:sz w:val="20"/>
                <w:szCs w:val="20"/>
              </w:rPr>
            </w:pPr>
          </w:p>
        </w:tc>
      </w:tr>
      <w:tr w:rsidR="00454F69" w:rsidRPr="00154F1D" w14:paraId="616E1231" w14:textId="77777777" w:rsidTr="00621990">
        <w:tc>
          <w:tcPr>
            <w:tcW w:w="2263" w:type="dxa"/>
            <w:vMerge/>
          </w:tcPr>
          <w:p w14:paraId="2F6AEE1B" w14:textId="77777777" w:rsidR="00454F69" w:rsidRPr="00154F1D" w:rsidRDefault="00454F69" w:rsidP="00103095">
            <w:pPr>
              <w:spacing w:beforeLines="20" w:before="48" w:afterLines="20" w:after="48"/>
              <w:rPr>
                <w:sz w:val="20"/>
                <w:szCs w:val="20"/>
              </w:rPr>
            </w:pPr>
          </w:p>
        </w:tc>
        <w:tc>
          <w:tcPr>
            <w:tcW w:w="3402" w:type="dxa"/>
          </w:tcPr>
          <w:p w14:paraId="30BE034E" w14:textId="7C4D4BA7" w:rsidR="00454F69" w:rsidRPr="00154F1D" w:rsidRDefault="00454F69" w:rsidP="00103095">
            <w:pPr>
              <w:spacing w:beforeLines="20" w:before="48" w:afterLines="20" w:after="48"/>
              <w:rPr>
                <w:sz w:val="20"/>
                <w:szCs w:val="20"/>
              </w:rPr>
            </w:pPr>
            <w:r w:rsidRPr="00154F1D">
              <w:rPr>
                <w:sz w:val="20"/>
                <w:szCs w:val="20"/>
              </w:rPr>
              <w:t>9 years and 11 months and 7 days</w:t>
            </w:r>
          </w:p>
        </w:tc>
        <w:tc>
          <w:tcPr>
            <w:tcW w:w="3345" w:type="dxa"/>
            <w:vMerge/>
          </w:tcPr>
          <w:p w14:paraId="04919E2F" w14:textId="77777777" w:rsidR="00454F69" w:rsidRPr="00154F1D" w:rsidRDefault="00454F69" w:rsidP="00103095">
            <w:pPr>
              <w:spacing w:beforeLines="20" w:before="48" w:afterLines="20" w:after="48"/>
              <w:rPr>
                <w:sz w:val="20"/>
                <w:szCs w:val="20"/>
              </w:rPr>
            </w:pPr>
          </w:p>
        </w:tc>
      </w:tr>
      <w:tr w:rsidR="00454F69" w:rsidRPr="00154F1D" w14:paraId="1A43CCA2" w14:textId="77777777" w:rsidTr="00621990">
        <w:tc>
          <w:tcPr>
            <w:tcW w:w="2263" w:type="dxa"/>
            <w:vMerge w:val="restart"/>
          </w:tcPr>
          <w:p w14:paraId="56BCC694" w14:textId="77777777" w:rsidR="00454F69" w:rsidRPr="00154F1D" w:rsidRDefault="00454F69" w:rsidP="00103095">
            <w:pPr>
              <w:spacing w:beforeLines="20" w:before="48" w:afterLines="20" w:after="48"/>
              <w:rPr>
                <w:sz w:val="20"/>
                <w:szCs w:val="20"/>
              </w:rPr>
            </w:pPr>
            <w:r w:rsidRPr="00154F1D">
              <w:rPr>
                <w:sz w:val="20"/>
                <w:szCs w:val="20"/>
              </w:rPr>
              <w:t>Set fire to vegetation/arson (include attempted)</w:t>
            </w:r>
          </w:p>
        </w:tc>
        <w:tc>
          <w:tcPr>
            <w:tcW w:w="3402" w:type="dxa"/>
          </w:tcPr>
          <w:p w14:paraId="5E1058AD" w14:textId="319F43B4" w:rsidR="00454F69" w:rsidRPr="00154F1D" w:rsidRDefault="00454F69" w:rsidP="00103095">
            <w:pPr>
              <w:spacing w:beforeLines="20" w:before="48" w:afterLines="20" w:after="48"/>
              <w:rPr>
                <w:sz w:val="20"/>
                <w:szCs w:val="20"/>
              </w:rPr>
            </w:pPr>
            <w:r w:rsidRPr="00154F1D">
              <w:rPr>
                <w:sz w:val="20"/>
                <w:szCs w:val="20"/>
              </w:rPr>
              <w:t>6 years 6 months and 1 days</w:t>
            </w:r>
          </w:p>
        </w:tc>
        <w:tc>
          <w:tcPr>
            <w:tcW w:w="3345" w:type="dxa"/>
            <w:vMerge w:val="restart"/>
          </w:tcPr>
          <w:p w14:paraId="4E234F76" w14:textId="10B30D5E" w:rsidR="00454F69" w:rsidRPr="00154F1D" w:rsidRDefault="00454F69" w:rsidP="00103095">
            <w:pPr>
              <w:spacing w:beforeLines="20" w:before="48" w:afterLines="20" w:after="48"/>
              <w:rPr>
                <w:sz w:val="20"/>
                <w:szCs w:val="20"/>
              </w:rPr>
            </w:pPr>
            <w:r w:rsidRPr="00154F1D">
              <w:rPr>
                <w:sz w:val="20"/>
                <w:szCs w:val="20"/>
              </w:rPr>
              <w:t xml:space="preserve">Arson only available (single count) </w:t>
            </w:r>
          </w:p>
          <w:p w14:paraId="5AC031D0" w14:textId="586339C8" w:rsidR="00454F69" w:rsidRPr="00154F1D" w:rsidRDefault="00454F69" w:rsidP="00103095">
            <w:pPr>
              <w:spacing w:beforeLines="20" w:before="48" w:afterLines="20" w:after="48"/>
              <w:rPr>
                <w:sz w:val="20"/>
                <w:szCs w:val="20"/>
              </w:rPr>
            </w:pPr>
            <w:r w:rsidRPr="00154F1D">
              <w:rPr>
                <w:sz w:val="20"/>
                <w:szCs w:val="20"/>
              </w:rPr>
              <w:t>1 year and 3 months (46.2% custodial)</w:t>
            </w:r>
          </w:p>
        </w:tc>
      </w:tr>
      <w:tr w:rsidR="00454F69" w:rsidRPr="00154F1D" w14:paraId="5EE94290" w14:textId="77777777" w:rsidTr="00621990">
        <w:tc>
          <w:tcPr>
            <w:tcW w:w="2263" w:type="dxa"/>
            <w:vMerge/>
          </w:tcPr>
          <w:p w14:paraId="360E350D" w14:textId="77777777" w:rsidR="00454F69" w:rsidRPr="00154F1D" w:rsidRDefault="00454F69" w:rsidP="00103095">
            <w:pPr>
              <w:spacing w:beforeLines="20" w:before="48" w:afterLines="20" w:after="48"/>
              <w:rPr>
                <w:sz w:val="20"/>
                <w:szCs w:val="20"/>
              </w:rPr>
            </w:pPr>
          </w:p>
        </w:tc>
        <w:tc>
          <w:tcPr>
            <w:tcW w:w="3402" w:type="dxa"/>
          </w:tcPr>
          <w:p w14:paraId="16D1B000" w14:textId="731E654C" w:rsidR="00454F69" w:rsidRPr="00154F1D" w:rsidRDefault="00454F69" w:rsidP="00103095">
            <w:pPr>
              <w:spacing w:beforeLines="20" w:before="48" w:afterLines="20" w:after="48"/>
              <w:rPr>
                <w:sz w:val="20"/>
                <w:szCs w:val="20"/>
              </w:rPr>
            </w:pPr>
            <w:r w:rsidRPr="00154F1D">
              <w:rPr>
                <w:sz w:val="20"/>
                <w:szCs w:val="20"/>
              </w:rPr>
              <w:t>6 years 11 months and 9 days</w:t>
            </w:r>
          </w:p>
        </w:tc>
        <w:tc>
          <w:tcPr>
            <w:tcW w:w="3345" w:type="dxa"/>
            <w:vMerge/>
          </w:tcPr>
          <w:p w14:paraId="0559BE61" w14:textId="77777777" w:rsidR="00454F69" w:rsidRPr="00154F1D" w:rsidRDefault="00454F69" w:rsidP="00103095">
            <w:pPr>
              <w:spacing w:beforeLines="20" w:before="48" w:afterLines="20" w:after="48"/>
              <w:rPr>
                <w:sz w:val="20"/>
                <w:szCs w:val="20"/>
              </w:rPr>
            </w:pPr>
          </w:p>
        </w:tc>
      </w:tr>
      <w:tr w:rsidR="00454F69" w:rsidRPr="00154F1D" w14:paraId="46E296AF" w14:textId="77777777" w:rsidTr="00621990">
        <w:tc>
          <w:tcPr>
            <w:tcW w:w="2263" w:type="dxa"/>
            <w:vMerge/>
          </w:tcPr>
          <w:p w14:paraId="35AB7869" w14:textId="77777777" w:rsidR="00454F69" w:rsidRPr="00154F1D" w:rsidRDefault="00454F69" w:rsidP="00103095">
            <w:pPr>
              <w:spacing w:beforeLines="20" w:before="48" w:afterLines="20" w:after="48"/>
              <w:rPr>
                <w:sz w:val="20"/>
                <w:szCs w:val="20"/>
              </w:rPr>
            </w:pPr>
          </w:p>
        </w:tc>
        <w:tc>
          <w:tcPr>
            <w:tcW w:w="3402" w:type="dxa"/>
          </w:tcPr>
          <w:p w14:paraId="7716E0C4" w14:textId="703509EA" w:rsidR="00454F69" w:rsidRPr="00154F1D" w:rsidRDefault="00454F69" w:rsidP="00103095">
            <w:pPr>
              <w:spacing w:beforeLines="20" w:before="48" w:afterLines="20" w:after="48"/>
              <w:rPr>
                <w:sz w:val="20"/>
                <w:szCs w:val="20"/>
              </w:rPr>
            </w:pPr>
            <w:r w:rsidRPr="00154F1D">
              <w:rPr>
                <w:sz w:val="20"/>
                <w:szCs w:val="20"/>
              </w:rPr>
              <w:t>12 years 1 month and 12 days and continuing</w:t>
            </w:r>
          </w:p>
        </w:tc>
        <w:tc>
          <w:tcPr>
            <w:tcW w:w="3345" w:type="dxa"/>
            <w:vMerge/>
          </w:tcPr>
          <w:p w14:paraId="43B9B85D" w14:textId="77777777" w:rsidR="00454F69" w:rsidRPr="00154F1D" w:rsidRDefault="00454F69" w:rsidP="00103095">
            <w:pPr>
              <w:spacing w:beforeLines="20" w:before="48" w:afterLines="20" w:after="48"/>
              <w:rPr>
                <w:sz w:val="20"/>
                <w:szCs w:val="20"/>
              </w:rPr>
            </w:pPr>
          </w:p>
        </w:tc>
      </w:tr>
      <w:tr w:rsidR="00454F69" w:rsidRPr="00154F1D" w14:paraId="0A9157AF" w14:textId="77777777" w:rsidTr="00621990">
        <w:tc>
          <w:tcPr>
            <w:tcW w:w="2263" w:type="dxa"/>
            <w:vMerge/>
          </w:tcPr>
          <w:p w14:paraId="7DBB9BAD" w14:textId="77777777" w:rsidR="00454F69" w:rsidRPr="00154F1D" w:rsidRDefault="00454F69" w:rsidP="00103095">
            <w:pPr>
              <w:spacing w:beforeLines="20" w:before="48" w:afterLines="20" w:after="48"/>
              <w:rPr>
                <w:sz w:val="20"/>
                <w:szCs w:val="20"/>
              </w:rPr>
            </w:pPr>
          </w:p>
        </w:tc>
        <w:tc>
          <w:tcPr>
            <w:tcW w:w="3402" w:type="dxa"/>
          </w:tcPr>
          <w:p w14:paraId="1C39A633" w14:textId="51A8A0C7" w:rsidR="00454F69" w:rsidRPr="00154F1D" w:rsidRDefault="00454F69" w:rsidP="00103095">
            <w:pPr>
              <w:spacing w:beforeLines="20" w:before="48" w:afterLines="20" w:after="48"/>
              <w:rPr>
                <w:sz w:val="20"/>
                <w:szCs w:val="20"/>
              </w:rPr>
            </w:pPr>
            <w:r w:rsidRPr="00154F1D">
              <w:rPr>
                <w:sz w:val="20"/>
                <w:szCs w:val="20"/>
              </w:rPr>
              <w:t>4 years 7 months and 23 days and continuing</w:t>
            </w:r>
          </w:p>
        </w:tc>
        <w:tc>
          <w:tcPr>
            <w:tcW w:w="3345" w:type="dxa"/>
            <w:vMerge/>
          </w:tcPr>
          <w:p w14:paraId="6AA9AE51" w14:textId="77777777" w:rsidR="00454F69" w:rsidRPr="00154F1D" w:rsidRDefault="00454F69" w:rsidP="00103095">
            <w:pPr>
              <w:spacing w:beforeLines="20" w:before="48" w:afterLines="20" w:after="48"/>
              <w:rPr>
                <w:sz w:val="20"/>
                <w:szCs w:val="20"/>
              </w:rPr>
            </w:pPr>
          </w:p>
        </w:tc>
      </w:tr>
      <w:tr w:rsidR="00454F69" w:rsidRPr="00154F1D" w14:paraId="55C95F7D" w14:textId="77777777" w:rsidTr="00621990">
        <w:tc>
          <w:tcPr>
            <w:tcW w:w="2263" w:type="dxa"/>
            <w:vMerge/>
          </w:tcPr>
          <w:p w14:paraId="04DD8A87" w14:textId="77777777" w:rsidR="00454F69" w:rsidRPr="00154F1D" w:rsidRDefault="00454F69" w:rsidP="00103095">
            <w:pPr>
              <w:spacing w:beforeLines="20" w:before="48" w:afterLines="20" w:after="48"/>
              <w:rPr>
                <w:sz w:val="20"/>
                <w:szCs w:val="20"/>
              </w:rPr>
            </w:pPr>
          </w:p>
        </w:tc>
        <w:tc>
          <w:tcPr>
            <w:tcW w:w="3402" w:type="dxa"/>
          </w:tcPr>
          <w:p w14:paraId="2EFC9E79" w14:textId="0F2083DD" w:rsidR="00454F69" w:rsidRPr="00154F1D" w:rsidRDefault="00454F69" w:rsidP="00103095">
            <w:pPr>
              <w:spacing w:beforeLines="20" w:before="48" w:afterLines="20" w:after="48"/>
              <w:rPr>
                <w:sz w:val="20"/>
                <w:szCs w:val="20"/>
              </w:rPr>
            </w:pPr>
            <w:r w:rsidRPr="00154F1D">
              <w:rPr>
                <w:sz w:val="20"/>
                <w:szCs w:val="20"/>
              </w:rPr>
              <w:t>7 years and 7 months and 26 days and continuing</w:t>
            </w:r>
          </w:p>
        </w:tc>
        <w:tc>
          <w:tcPr>
            <w:tcW w:w="3345" w:type="dxa"/>
            <w:vMerge/>
          </w:tcPr>
          <w:p w14:paraId="2C58628C" w14:textId="77777777" w:rsidR="00454F69" w:rsidRPr="00154F1D" w:rsidRDefault="00454F69" w:rsidP="00103095">
            <w:pPr>
              <w:spacing w:beforeLines="20" w:before="48" w:afterLines="20" w:after="48"/>
              <w:rPr>
                <w:sz w:val="20"/>
                <w:szCs w:val="20"/>
              </w:rPr>
            </w:pPr>
          </w:p>
        </w:tc>
      </w:tr>
      <w:tr w:rsidR="00454F69" w:rsidRPr="00154F1D" w14:paraId="7DB5D6B5" w14:textId="77777777" w:rsidTr="00621990">
        <w:tc>
          <w:tcPr>
            <w:tcW w:w="2263" w:type="dxa"/>
            <w:vMerge/>
          </w:tcPr>
          <w:p w14:paraId="296114F4" w14:textId="77777777" w:rsidR="00454F69" w:rsidRPr="00154F1D" w:rsidRDefault="00454F69" w:rsidP="00103095">
            <w:pPr>
              <w:spacing w:beforeLines="20" w:before="48" w:afterLines="20" w:after="48"/>
              <w:rPr>
                <w:sz w:val="20"/>
                <w:szCs w:val="20"/>
              </w:rPr>
            </w:pPr>
          </w:p>
        </w:tc>
        <w:tc>
          <w:tcPr>
            <w:tcW w:w="3402" w:type="dxa"/>
          </w:tcPr>
          <w:p w14:paraId="659DA3EF" w14:textId="122F5201" w:rsidR="00454F69" w:rsidRPr="00154F1D" w:rsidRDefault="00454F69" w:rsidP="00103095">
            <w:pPr>
              <w:spacing w:beforeLines="20" w:before="48" w:afterLines="20" w:after="48"/>
              <w:rPr>
                <w:sz w:val="20"/>
                <w:szCs w:val="20"/>
              </w:rPr>
            </w:pPr>
            <w:r w:rsidRPr="00154F1D">
              <w:rPr>
                <w:sz w:val="20"/>
                <w:szCs w:val="20"/>
              </w:rPr>
              <w:t>11 years 9 months and 25 days and continuing</w:t>
            </w:r>
          </w:p>
        </w:tc>
        <w:tc>
          <w:tcPr>
            <w:tcW w:w="3345" w:type="dxa"/>
            <w:vMerge/>
          </w:tcPr>
          <w:p w14:paraId="6BA6EBED" w14:textId="77777777" w:rsidR="00454F69" w:rsidRPr="00154F1D" w:rsidRDefault="00454F69" w:rsidP="00103095">
            <w:pPr>
              <w:spacing w:beforeLines="20" w:before="48" w:afterLines="20" w:after="48"/>
              <w:rPr>
                <w:sz w:val="20"/>
                <w:szCs w:val="20"/>
              </w:rPr>
            </w:pPr>
          </w:p>
        </w:tc>
      </w:tr>
      <w:tr w:rsidR="00454F69" w:rsidRPr="00154F1D" w14:paraId="63D32E94" w14:textId="77777777" w:rsidTr="00621990">
        <w:tc>
          <w:tcPr>
            <w:tcW w:w="2263" w:type="dxa"/>
            <w:vMerge/>
          </w:tcPr>
          <w:p w14:paraId="43FAE872" w14:textId="77777777" w:rsidR="00454F69" w:rsidRPr="00154F1D" w:rsidRDefault="00454F69" w:rsidP="00103095">
            <w:pPr>
              <w:spacing w:beforeLines="20" w:before="48" w:afterLines="20" w:after="48"/>
              <w:rPr>
                <w:sz w:val="20"/>
                <w:szCs w:val="20"/>
              </w:rPr>
            </w:pPr>
          </w:p>
        </w:tc>
        <w:tc>
          <w:tcPr>
            <w:tcW w:w="3402" w:type="dxa"/>
          </w:tcPr>
          <w:p w14:paraId="1CFA7BCE" w14:textId="0306A19D" w:rsidR="00454F69" w:rsidRPr="00154F1D" w:rsidRDefault="00454F69" w:rsidP="00103095">
            <w:pPr>
              <w:spacing w:beforeLines="20" w:before="48" w:afterLines="20" w:after="48"/>
              <w:rPr>
                <w:sz w:val="20"/>
                <w:szCs w:val="20"/>
              </w:rPr>
            </w:pPr>
            <w:r w:rsidRPr="00154F1D">
              <w:rPr>
                <w:sz w:val="20"/>
                <w:szCs w:val="20"/>
              </w:rPr>
              <w:t>5 years 6 months and 20 days and continuing</w:t>
            </w:r>
          </w:p>
        </w:tc>
        <w:tc>
          <w:tcPr>
            <w:tcW w:w="3345" w:type="dxa"/>
            <w:vMerge/>
          </w:tcPr>
          <w:p w14:paraId="506C3FAA" w14:textId="77777777" w:rsidR="00454F69" w:rsidRPr="00154F1D" w:rsidRDefault="00454F69" w:rsidP="00103095">
            <w:pPr>
              <w:spacing w:beforeLines="20" w:before="48" w:afterLines="20" w:after="48"/>
              <w:rPr>
                <w:sz w:val="20"/>
                <w:szCs w:val="20"/>
              </w:rPr>
            </w:pPr>
          </w:p>
        </w:tc>
      </w:tr>
      <w:tr w:rsidR="00454F69" w:rsidRPr="00154F1D" w14:paraId="163DE5AA" w14:textId="77777777" w:rsidTr="00621990">
        <w:tc>
          <w:tcPr>
            <w:tcW w:w="2263" w:type="dxa"/>
          </w:tcPr>
          <w:p w14:paraId="37AECB18" w14:textId="77777777" w:rsidR="00454F69" w:rsidRPr="00154F1D" w:rsidRDefault="00454F69" w:rsidP="00103095">
            <w:pPr>
              <w:spacing w:beforeLines="20" w:before="48" w:afterLines="20" w:after="48"/>
              <w:rPr>
                <w:sz w:val="20"/>
                <w:szCs w:val="20"/>
              </w:rPr>
            </w:pPr>
            <w:r w:rsidRPr="00154F1D">
              <w:rPr>
                <w:sz w:val="20"/>
                <w:szCs w:val="20"/>
              </w:rPr>
              <w:t>Rape</w:t>
            </w:r>
          </w:p>
        </w:tc>
        <w:tc>
          <w:tcPr>
            <w:tcW w:w="3402" w:type="dxa"/>
          </w:tcPr>
          <w:p w14:paraId="47B21DB4" w14:textId="77777777" w:rsidR="00454F69" w:rsidRPr="00154F1D" w:rsidRDefault="00454F69" w:rsidP="00103095">
            <w:pPr>
              <w:spacing w:beforeLines="20" w:before="48" w:afterLines="20" w:after="48"/>
              <w:rPr>
                <w:sz w:val="20"/>
                <w:szCs w:val="20"/>
              </w:rPr>
            </w:pPr>
            <w:r w:rsidRPr="00154F1D">
              <w:rPr>
                <w:sz w:val="20"/>
                <w:szCs w:val="20"/>
              </w:rPr>
              <w:t>12 years 8 months and 11 days</w:t>
            </w:r>
          </w:p>
        </w:tc>
        <w:tc>
          <w:tcPr>
            <w:tcW w:w="3345" w:type="dxa"/>
          </w:tcPr>
          <w:p w14:paraId="4D216C20" w14:textId="5F29B4E6" w:rsidR="00454F69" w:rsidRPr="00154F1D" w:rsidRDefault="00454F69" w:rsidP="00103095">
            <w:pPr>
              <w:spacing w:beforeLines="20" w:before="48" w:afterLines="20" w:after="48"/>
              <w:rPr>
                <w:sz w:val="20"/>
                <w:szCs w:val="20"/>
              </w:rPr>
            </w:pPr>
            <w:r w:rsidRPr="00154F1D">
              <w:rPr>
                <w:sz w:val="20"/>
                <w:szCs w:val="20"/>
              </w:rPr>
              <w:t>3 years and 4.5 months (single count)</w:t>
            </w:r>
          </w:p>
        </w:tc>
      </w:tr>
      <w:tr w:rsidR="00454F69" w:rsidRPr="00154F1D" w14:paraId="3279B6EF" w14:textId="77777777" w:rsidTr="00621990">
        <w:tc>
          <w:tcPr>
            <w:tcW w:w="2263" w:type="dxa"/>
          </w:tcPr>
          <w:p w14:paraId="5FA05CA9" w14:textId="77777777" w:rsidR="00454F69" w:rsidRPr="00154F1D" w:rsidRDefault="00454F69" w:rsidP="00103095">
            <w:pPr>
              <w:spacing w:beforeLines="20" w:before="48" w:afterLines="20" w:after="48"/>
              <w:rPr>
                <w:sz w:val="20"/>
                <w:szCs w:val="20"/>
              </w:rPr>
            </w:pPr>
            <w:r w:rsidRPr="00154F1D">
              <w:rPr>
                <w:sz w:val="20"/>
                <w:szCs w:val="20"/>
              </w:rPr>
              <w:t>False threat of danger</w:t>
            </w:r>
          </w:p>
        </w:tc>
        <w:tc>
          <w:tcPr>
            <w:tcW w:w="3402" w:type="dxa"/>
          </w:tcPr>
          <w:p w14:paraId="3F4E2648" w14:textId="36B833CF" w:rsidR="00454F69" w:rsidRPr="00154F1D" w:rsidRDefault="00454F69" w:rsidP="00103095">
            <w:pPr>
              <w:spacing w:beforeLines="20" w:before="48" w:afterLines="20" w:after="48"/>
              <w:rPr>
                <w:sz w:val="20"/>
                <w:szCs w:val="20"/>
              </w:rPr>
            </w:pPr>
            <w:r w:rsidRPr="00154F1D">
              <w:rPr>
                <w:sz w:val="20"/>
                <w:szCs w:val="20"/>
              </w:rPr>
              <w:t>9 years 9 months and 14 days and continuing</w:t>
            </w:r>
          </w:p>
        </w:tc>
        <w:tc>
          <w:tcPr>
            <w:tcW w:w="3345" w:type="dxa"/>
          </w:tcPr>
          <w:p w14:paraId="341F5E84" w14:textId="77777777" w:rsidR="00454F69" w:rsidRPr="00154F1D" w:rsidRDefault="00454F69" w:rsidP="00103095">
            <w:pPr>
              <w:spacing w:beforeLines="20" w:before="48" w:afterLines="20" w:after="48"/>
              <w:rPr>
                <w:sz w:val="20"/>
                <w:szCs w:val="20"/>
              </w:rPr>
            </w:pPr>
            <w:r w:rsidRPr="00154F1D">
              <w:rPr>
                <w:sz w:val="20"/>
                <w:szCs w:val="20"/>
              </w:rPr>
              <w:t>Not available</w:t>
            </w:r>
          </w:p>
        </w:tc>
      </w:tr>
      <w:tr w:rsidR="00454F69" w:rsidRPr="00154F1D" w14:paraId="76D2689B" w14:textId="77777777" w:rsidTr="00621990">
        <w:tc>
          <w:tcPr>
            <w:tcW w:w="2263" w:type="dxa"/>
          </w:tcPr>
          <w:p w14:paraId="026BC585" w14:textId="77777777" w:rsidR="00454F69" w:rsidRPr="00154F1D" w:rsidRDefault="00454F69" w:rsidP="00103095">
            <w:pPr>
              <w:spacing w:beforeLines="20" w:before="48" w:afterLines="20" w:after="48"/>
              <w:rPr>
                <w:sz w:val="20"/>
                <w:szCs w:val="20"/>
              </w:rPr>
            </w:pPr>
            <w:r w:rsidRPr="00154F1D">
              <w:rPr>
                <w:sz w:val="20"/>
                <w:szCs w:val="20"/>
              </w:rPr>
              <w:t>Aggravated burglary</w:t>
            </w:r>
          </w:p>
        </w:tc>
        <w:tc>
          <w:tcPr>
            <w:tcW w:w="3402" w:type="dxa"/>
          </w:tcPr>
          <w:p w14:paraId="7B8538DC" w14:textId="77777777" w:rsidR="00454F69" w:rsidRPr="00154F1D" w:rsidRDefault="00454F69" w:rsidP="00103095">
            <w:pPr>
              <w:spacing w:beforeLines="20" w:before="48" w:afterLines="20" w:after="48"/>
              <w:rPr>
                <w:sz w:val="20"/>
                <w:szCs w:val="20"/>
              </w:rPr>
            </w:pPr>
            <w:r w:rsidRPr="00154F1D">
              <w:rPr>
                <w:sz w:val="20"/>
                <w:szCs w:val="20"/>
              </w:rPr>
              <w:t>5 years 1 month and 12 days</w:t>
            </w:r>
          </w:p>
        </w:tc>
        <w:tc>
          <w:tcPr>
            <w:tcW w:w="3345" w:type="dxa"/>
          </w:tcPr>
          <w:p w14:paraId="68A5E568" w14:textId="36C66C64" w:rsidR="00454F69" w:rsidRPr="00154F1D" w:rsidRDefault="00454F69" w:rsidP="00103095">
            <w:pPr>
              <w:spacing w:beforeLines="20" w:before="48" w:afterLines="20" w:after="48"/>
              <w:rPr>
                <w:sz w:val="20"/>
                <w:szCs w:val="20"/>
              </w:rPr>
            </w:pPr>
            <w:r w:rsidRPr="00154F1D">
              <w:rPr>
                <w:sz w:val="20"/>
                <w:szCs w:val="20"/>
              </w:rPr>
              <w:t>Not available for single count</w:t>
            </w:r>
          </w:p>
          <w:p w14:paraId="2DB794C1" w14:textId="1E551466" w:rsidR="00454F69" w:rsidRPr="00154F1D" w:rsidRDefault="00454F69" w:rsidP="00103095">
            <w:pPr>
              <w:spacing w:beforeLines="20" w:before="48" w:afterLines="20" w:after="48"/>
              <w:rPr>
                <w:b/>
                <w:sz w:val="20"/>
                <w:szCs w:val="20"/>
              </w:rPr>
            </w:pPr>
            <w:r w:rsidRPr="00154F1D">
              <w:rPr>
                <w:sz w:val="20"/>
                <w:szCs w:val="20"/>
              </w:rPr>
              <w:t>1 years and 2.5 months (all counts) (71% custodial)</w:t>
            </w:r>
          </w:p>
        </w:tc>
      </w:tr>
      <w:tr w:rsidR="00454F69" w:rsidRPr="00154F1D" w14:paraId="58E83117" w14:textId="77777777" w:rsidTr="00621990">
        <w:tc>
          <w:tcPr>
            <w:tcW w:w="2263" w:type="dxa"/>
          </w:tcPr>
          <w:p w14:paraId="010400DE" w14:textId="77777777" w:rsidR="00454F69" w:rsidRPr="00154F1D" w:rsidRDefault="00454F69" w:rsidP="00103095">
            <w:pPr>
              <w:spacing w:beforeLines="20" w:before="48" w:afterLines="20" w:after="48"/>
              <w:rPr>
                <w:sz w:val="20"/>
                <w:szCs w:val="20"/>
              </w:rPr>
            </w:pPr>
            <w:r w:rsidRPr="00154F1D">
              <w:rPr>
                <w:sz w:val="20"/>
                <w:szCs w:val="20"/>
              </w:rPr>
              <w:t>Death by dangerous driving</w:t>
            </w:r>
          </w:p>
        </w:tc>
        <w:tc>
          <w:tcPr>
            <w:tcW w:w="3402" w:type="dxa"/>
          </w:tcPr>
          <w:p w14:paraId="11A1F02F" w14:textId="77777777" w:rsidR="00454F69" w:rsidRPr="00154F1D" w:rsidRDefault="00454F69" w:rsidP="00103095">
            <w:pPr>
              <w:spacing w:beforeLines="20" w:before="48" w:afterLines="20" w:after="48"/>
              <w:rPr>
                <w:sz w:val="20"/>
                <w:szCs w:val="20"/>
              </w:rPr>
            </w:pPr>
            <w:r w:rsidRPr="00154F1D">
              <w:rPr>
                <w:sz w:val="20"/>
                <w:szCs w:val="20"/>
              </w:rPr>
              <w:t>10 years 5 months and 2 days</w:t>
            </w:r>
          </w:p>
        </w:tc>
        <w:tc>
          <w:tcPr>
            <w:tcW w:w="3345" w:type="dxa"/>
          </w:tcPr>
          <w:p w14:paraId="0C880303" w14:textId="77777777" w:rsidR="00454F69" w:rsidRPr="00154F1D" w:rsidRDefault="00454F69" w:rsidP="00103095">
            <w:pPr>
              <w:spacing w:beforeLines="20" w:before="48" w:afterLines="20" w:after="48"/>
              <w:rPr>
                <w:sz w:val="20"/>
                <w:szCs w:val="20"/>
              </w:rPr>
            </w:pPr>
            <w:r w:rsidRPr="00154F1D">
              <w:rPr>
                <w:sz w:val="20"/>
                <w:szCs w:val="20"/>
              </w:rPr>
              <w:t>2 years (single count)</w:t>
            </w:r>
          </w:p>
        </w:tc>
      </w:tr>
      <w:tr w:rsidR="00454F69" w:rsidRPr="00154F1D" w14:paraId="0AF8C439" w14:textId="77777777" w:rsidTr="00621990">
        <w:tc>
          <w:tcPr>
            <w:tcW w:w="2263" w:type="dxa"/>
          </w:tcPr>
          <w:p w14:paraId="5EB01AE1" w14:textId="77777777" w:rsidR="00454F69" w:rsidRPr="00154F1D" w:rsidRDefault="00454F69" w:rsidP="00103095">
            <w:pPr>
              <w:spacing w:beforeLines="20" w:before="48" w:afterLines="20" w:after="48"/>
              <w:rPr>
                <w:sz w:val="20"/>
                <w:szCs w:val="20"/>
              </w:rPr>
            </w:pPr>
            <w:r w:rsidRPr="00154F1D">
              <w:rPr>
                <w:sz w:val="20"/>
                <w:szCs w:val="20"/>
              </w:rPr>
              <w:t>Stalking</w:t>
            </w:r>
          </w:p>
        </w:tc>
        <w:tc>
          <w:tcPr>
            <w:tcW w:w="3402" w:type="dxa"/>
          </w:tcPr>
          <w:p w14:paraId="282F1DBD" w14:textId="63231E51" w:rsidR="00454F69" w:rsidRPr="00154F1D" w:rsidRDefault="00454F69" w:rsidP="00103095">
            <w:pPr>
              <w:spacing w:beforeLines="20" w:before="48" w:afterLines="20" w:after="48"/>
              <w:rPr>
                <w:sz w:val="20"/>
                <w:szCs w:val="20"/>
              </w:rPr>
            </w:pPr>
            <w:r w:rsidRPr="00154F1D">
              <w:rPr>
                <w:sz w:val="20"/>
                <w:szCs w:val="20"/>
              </w:rPr>
              <w:t>13 years 2 months and 12 days</w:t>
            </w:r>
          </w:p>
        </w:tc>
        <w:tc>
          <w:tcPr>
            <w:tcW w:w="3345" w:type="dxa"/>
          </w:tcPr>
          <w:p w14:paraId="3294A132" w14:textId="77777777" w:rsidR="00454F69" w:rsidRPr="00154F1D" w:rsidRDefault="00454F69" w:rsidP="00103095">
            <w:pPr>
              <w:spacing w:beforeLines="20" w:before="48" w:afterLines="20" w:after="48"/>
              <w:rPr>
                <w:sz w:val="20"/>
                <w:szCs w:val="20"/>
              </w:rPr>
            </w:pPr>
            <w:r w:rsidRPr="00154F1D">
              <w:rPr>
                <w:sz w:val="20"/>
                <w:szCs w:val="20"/>
              </w:rPr>
              <w:t>Not available</w:t>
            </w:r>
          </w:p>
        </w:tc>
      </w:tr>
      <w:tr w:rsidR="00454F69" w14:paraId="705957E3" w14:textId="77777777" w:rsidTr="00621990">
        <w:tc>
          <w:tcPr>
            <w:tcW w:w="2263" w:type="dxa"/>
          </w:tcPr>
          <w:p w14:paraId="1B97E027" w14:textId="7C198ACC" w:rsidR="00454F69" w:rsidRPr="00154F1D" w:rsidRDefault="00454F69" w:rsidP="00103095">
            <w:pPr>
              <w:autoSpaceDE w:val="0"/>
              <w:autoSpaceDN w:val="0"/>
              <w:adjustRightInd w:val="0"/>
              <w:spacing w:beforeLines="20" w:before="48" w:afterLines="20" w:after="48"/>
              <w:rPr>
                <w:sz w:val="20"/>
                <w:szCs w:val="20"/>
              </w:rPr>
            </w:pPr>
            <w:r w:rsidRPr="00154F1D">
              <w:rPr>
                <w:sz w:val="20"/>
                <w:szCs w:val="20"/>
              </w:rPr>
              <w:t>Motor vehicle</w:t>
            </w:r>
            <w:r w:rsidR="00621990" w:rsidRPr="00154F1D">
              <w:rPr>
                <w:sz w:val="20"/>
                <w:szCs w:val="20"/>
              </w:rPr>
              <w:t xml:space="preserve"> s</w:t>
            </w:r>
            <w:r w:rsidRPr="00154F1D">
              <w:rPr>
                <w:sz w:val="20"/>
                <w:szCs w:val="20"/>
              </w:rPr>
              <w:t>tealing</w:t>
            </w:r>
          </w:p>
        </w:tc>
        <w:tc>
          <w:tcPr>
            <w:tcW w:w="3402" w:type="dxa"/>
          </w:tcPr>
          <w:p w14:paraId="2C7EFF34" w14:textId="77777777" w:rsidR="00454F69" w:rsidRPr="00154F1D" w:rsidRDefault="00454F69" w:rsidP="00103095">
            <w:pPr>
              <w:spacing w:beforeLines="20" w:before="48" w:afterLines="20" w:after="48"/>
              <w:rPr>
                <w:sz w:val="20"/>
                <w:szCs w:val="20"/>
              </w:rPr>
            </w:pPr>
            <w:r w:rsidRPr="00154F1D">
              <w:rPr>
                <w:sz w:val="20"/>
                <w:szCs w:val="20"/>
              </w:rPr>
              <w:t>7 years and 13 days</w:t>
            </w:r>
          </w:p>
        </w:tc>
        <w:tc>
          <w:tcPr>
            <w:tcW w:w="3345" w:type="dxa"/>
          </w:tcPr>
          <w:p w14:paraId="1F1128DD" w14:textId="77777777" w:rsidR="00454F69" w:rsidRPr="000458EC" w:rsidRDefault="00454F69" w:rsidP="00103095">
            <w:pPr>
              <w:spacing w:beforeLines="20" w:before="48" w:afterLines="20" w:after="48"/>
              <w:rPr>
                <w:sz w:val="20"/>
                <w:szCs w:val="20"/>
              </w:rPr>
            </w:pPr>
            <w:r w:rsidRPr="00154F1D">
              <w:rPr>
                <w:sz w:val="20"/>
                <w:szCs w:val="20"/>
              </w:rPr>
              <w:t>Not available</w:t>
            </w:r>
            <w:r w:rsidRPr="000458EC">
              <w:rPr>
                <w:sz w:val="20"/>
                <w:szCs w:val="20"/>
              </w:rPr>
              <w:t xml:space="preserve"> </w:t>
            </w:r>
          </w:p>
        </w:tc>
      </w:tr>
    </w:tbl>
    <w:p w14:paraId="2E8D82BF" w14:textId="77777777" w:rsidR="00454F69" w:rsidRDefault="00454F69" w:rsidP="00454F69"/>
    <w:p w14:paraId="56CB5928" w14:textId="77777777" w:rsidR="0014208F" w:rsidRDefault="0014208F" w:rsidP="0014208F"/>
    <w:p w14:paraId="36749965" w14:textId="3E1C52D1" w:rsidR="0014208F" w:rsidRPr="00953012" w:rsidRDefault="0014208F" w:rsidP="0014208F">
      <w:pPr>
        <w:pStyle w:val="p1"/>
        <w:rPr>
          <w:sz w:val="18"/>
          <w:szCs w:val="18"/>
        </w:rPr>
      </w:pPr>
    </w:p>
    <w:p w14:paraId="43B9E8D1" w14:textId="56019DA6" w:rsidR="0014208F" w:rsidRPr="0038701A" w:rsidRDefault="0014208F" w:rsidP="0014208F">
      <w:pPr>
        <w:rPr>
          <w:szCs w:val="22"/>
        </w:rPr>
      </w:pPr>
    </w:p>
    <w:p w14:paraId="26FECF70" w14:textId="77777777" w:rsidR="00F25EC1" w:rsidRPr="005A02AA" w:rsidRDefault="00F25EC1" w:rsidP="005A02AA">
      <w:pPr>
        <w:rPr>
          <w:rFonts w:ascii="Calibri" w:eastAsiaTheme="minorEastAsia" w:hAnsi="Calibri"/>
          <w:sz w:val="17"/>
          <w:szCs w:val="17"/>
          <w:lang w:val="en-US"/>
        </w:rPr>
      </w:pPr>
    </w:p>
    <w:p w14:paraId="168A4AA6" w14:textId="77777777" w:rsidR="00CF1BD8" w:rsidRPr="00601572" w:rsidRDefault="00CF1BD8">
      <w:pPr>
        <w:rPr>
          <w:rFonts w:eastAsiaTheme="minorEastAsia"/>
          <w:sz w:val="16"/>
          <w:szCs w:val="16"/>
          <w:lang w:val="en-US"/>
        </w:rPr>
      </w:pPr>
    </w:p>
    <w:sectPr w:rsidR="00CF1BD8" w:rsidRPr="00601572" w:rsidSect="00D44CC5">
      <w:headerReference w:type="default" r:id="rId48"/>
      <w:pgSz w:w="11900" w:h="16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3EB7B" w14:textId="77777777" w:rsidR="008D738D" w:rsidRDefault="008D738D" w:rsidP="00940B55">
      <w:r>
        <w:separator/>
      </w:r>
    </w:p>
  </w:endnote>
  <w:endnote w:type="continuationSeparator" w:id="0">
    <w:p w14:paraId="4AC92690" w14:textId="77777777" w:rsidR="008D738D" w:rsidRDefault="008D738D" w:rsidP="00940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Frutiger 45 Light">
    <w:altName w:val="Calibri"/>
    <w:charset w:val="00"/>
    <w:family w:val="swiss"/>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vTT5235d5a9+20">
    <w:altName w:val="Cambria"/>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F3C9A" w14:textId="6E6A21EA" w:rsidR="00EE78D8" w:rsidRDefault="00EE78D8" w:rsidP="005F2C54">
    <w:pPr>
      <w:pStyle w:val="Footer"/>
      <w:framePr w:w="373"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672D056" w14:textId="77777777" w:rsidR="00EE78D8" w:rsidRDefault="00EE78D8" w:rsidP="005F2C54">
    <w:pPr>
      <w:pStyle w:val="Footer"/>
      <w:tabs>
        <w:tab w:val="clear" w:pos="9026"/>
        <w:tab w:val="right" w:pos="8306"/>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D34D6" w14:textId="77777777" w:rsidR="00EE78D8" w:rsidRDefault="00EE78D8" w:rsidP="005F2C54">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AFB0BB7" w14:textId="77777777" w:rsidR="00EE78D8" w:rsidRDefault="00EE78D8" w:rsidP="005F2C54">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C87AD" w14:textId="77777777" w:rsidR="00EE78D8" w:rsidRDefault="00EE78D8" w:rsidP="005F2C54">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A26AE" w14:textId="77777777" w:rsidR="00EE78D8" w:rsidRDefault="00EE78D8" w:rsidP="005F2C54">
    <w:pPr>
      <w:pStyle w:val="Footer"/>
      <w:framePr w:w="373"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5EAC9D1" w14:textId="77777777" w:rsidR="00EE78D8" w:rsidRDefault="00EE78D8" w:rsidP="005F2C54">
    <w:pPr>
      <w:pStyle w:val="Footer"/>
      <w:tabs>
        <w:tab w:val="clear" w:pos="9026"/>
        <w:tab w:val="right" w:pos="8306"/>
      </w:tabs>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EA75C" w14:textId="77777777" w:rsidR="00EE78D8" w:rsidRDefault="00EE78D8" w:rsidP="005F2C54">
    <w:pPr>
      <w:pStyle w:val="Footer"/>
      <w:framePr w:wrap="none"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617499D" w14:textId="77777777" w:rsidR="00EE78D8" w:rsidRDefault="00EE78D8" w:rsidP="005F2C54">
    <w:pPr>
      <w:pStyle w:val="Footer"/>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84015113"/>
      <w:docPartObj>
        <w:docPartGallery w:val="Page Numbers (Bottom of Page)"/>
        <w:docPartUnique/>
      </w:docPartObj>
    </w:sdtPr>
    <w:sdtEndPr>
      <w:rPr>
        <w:rStyle w:val="PageNumber"/>
      </w:rPr>
    </w:sdtEndPr>
    <w:sdtContent>
      <w:p w14:paraId="3F3FB7C3" w14:textId="77777777" w:rsidR="00EE78D8" w:rsidRDefault="00EE78D8" w:rsidP="00496D5B">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0A798118" w14:textId="77777777" w:rsidR="00EE78D8" w:rsidRDefault="00EE78D8" w:rsidP="00496D5B">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10203630"/>
      <w:docPartObj>
        <w:docPartGallery w:val="Page Numbers (Bottom of Page)"/>
        <w:docPartUnique/>
      </w:docPartObj>
    </w:sdtPr>
    <w:sdtEndPr>
      <w:rPr>
        <w:rStyle w:val="PageNumber"/>
      </w:rPr>
    </w:sdtEndPr>
    <w:sdtContent>
      <w:p w14:paraId="25463D33" w14:textId="77777777" w:rsidR="00EE78D8" w:rsidRDefault="00EE78D8" w:rsidP="00496D5B">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sdtContent>
  </w:sdt>
  <w:p w14:paraId="12A689B3" w14:textId="77777777" w:rsidR="00EE78D8" w:rsidRDefault="00EE78D8" w:rsidP="00496D5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FAED1C" w14:textId="77777777" w:rsidR="008D738D" w:rsidRDefault="008D738D" w:rsidP="00940B55">
      <w:r>
        <w:separator/>
      </w:r>
    </w:p>
  </w:footnote>
  <w:footnote w:type="continuationSeparator" w:id="0">
    <w:p w14:paraId="48B8A21B" w14:textId="77777777" w:rsidR="008D738D" w:rsidRDefault="008D738D" w:rsidP="00940B55">
      <w:r>
        <w:continuationSeparator/>
      </w:r>
    </w:p>
  </w:footnote>
  <w:footnote w:id="1">
    <w:p w14:paraId="2AD435B1" w14:textId="40DDE005" w:rsidR="00EE78D8" w:rsidRPr="00805558" w:rsidRDefault="00EE78D8" w:rsidP="00ED6EE8">
      <w:pPr>
        <w:pStyle w:val="FootnoteText"/>
        <w:rPr>
          <w:lang w:val="en-US"/>
        </w:rPr>
      </w:pPr>
      <w:r>
        <w:rPr>
          <w:rStyle w:val="FootnoteReference"/>
        </w:rPr>
        <w:footnoteRef/>
      </w:r>
      <w:r>
        <w:t xml:space="preserve"> </w:t>
      </w:r>
      <w:r>
        <w:tab/>
      </w:r>
      <w:r>
        <w:rPr>
          <w:lang w:val="en-US"/>
        </w:rPr>
        <w:t>[1958] VR 45.</w:t>
      </w:r>
    </w:p>
  </w:footnote>
  <w:footnote w:id="2">
    <w:p w14:paraId="0B08BDEF" w14:textId="3BA5E5D6" w:rsidR="00EE78D8" w:rsidRPr="00D6244E" w:rsidRDefault="00EE78D8" w:rsidP="00D80045">
      <w:pPr>
        <w:pStyle w:val="FootnoteText"/>
        <w:rPr>
          <w:lang w:val="en-US"/>
        </w:rPr>
      </w:pPr>
      <w:r>
        <w:rPr>
          <w:rStyle w:val="FootnoteReference"/>
        </w:rPr>
        <w:footnoteRef/>
      </w:r>
      <w:r>
        <w:tab/>
        <w:t xml:space="preserve">Department of Justice, </w:t>
      </w:r>
      <w:r>
        <w:rPr>
          <w:i/>
        </w:rPr>
        <w:t xml:space="preserve">Disability Justice Plan for Tasmania 2017–2020 </w:t>
      </w:r>
      <w:r>
        <w:t xml:space="preserve">(2017) </w:t>
      </w:r>
      <w:r>
        <w:rPr>
          <w:lang w:val="en-US"/>
        </w:rPr>
        <w:t>19.</w:t>
      </w:r>
    </w:p>
  </w:footnote>
  <w:footnote w:id="3">
    <w:p w14:paraId="43722BA2" w14:textId="01DCEACE" w:rsidR="00EE78D8" w:rsidRPr="00D6244E" w:rsidRDefault="00EE78D8">
      <w:pPr>
        <w:pStyle w:val="FootnoteText"/>
        <w:rPr>
          <w:lang w:val="en-US"/>
        </w:rPr>
      </w:pPr>
      <w:r>
        <w:rPr>
          <w:rStyle w:val="FootnoteReference"/>
        </w:rPr>
        <w:footnoteRef/>
      </w:r>
      <w:r>
        <w:t xml:space="preserve"> </w:t>
      </w:r>
      <w:r>
        <w:tab/>
      </w:r>
      <w:r>
        <w:rPr>
          <w:lang w:val="en-US"/>
        </w:rPr>
        <w:t xml:space="preserve">Ibid 5. </w:t>
      </w:r>
      <w:r w:rsidRPr="00C90E35">
        <w:rPr>
          <w:i/>
          <w:szCs w:val="18"/>
        </w:rPr>
        <w:t>Convention on the Rights of Persons with Disabilities</w:t>
      </w:r>
      <w:r w:rsidRPr="00C90E35">
        <w:rPr>
          <w:szCs w:val="18"/>
        </w:rPr>
        <w:t>, opened for signature 30 March 2007, 2515 UNTS 3 (entered into force 3 May 2008) (‘</w:t>
      </w:r>
      <w:r w:rsidRPr="00DA1DBF">
        <w:rPr>
          <w:i/>
          <w:szCs w:val="18"/>
        </w:rPr>
        <w:t>CRPD</w:t>
      </w:r>
      <w:r w:rsidRPr="00C90E35">
        <w:rPr>
          <w:szCs w:val="18"/>
        </w:rPr>
        <w:t>’).</w:t>
      </w:r>
    </w:p>
  </w:footnote>
  <w:footnote w:id="4">
    <w:p w14:paraId="10703B40" w14:textId="47101DB2" w:rsidR="00EE78D8" w:rsidRPr="00317613" w:rsidRDefault="00EE78D8">
      <w:pPr>
        <w:pStyle w:val="FootnoteText"/>
        <w:rPr>
          <w:lang w:val="en-US"/>
        </w:rPr>
      </w:pPr>
      <w:r>
        <w:rPr>
          <w:rStyle w:val="FootnoteReference"/>
        </w:rPr>
        <w:footnoteRef/>
      </w:r>
      <w:r>
        <w:tab/>
      </w:r>
      <w:r>
        <w:rPr>
          <w:lang w:val="en-US"/>
        </w:rPr>
        <w:t xml:space="preserve">Tasmania Law Reform Institute (TLRI), </w:t>
      </w:r>
      <w:r>
        <w:rPr>
          <w:i/>
          <w:lang w:val="en-US"/>
        </w:rPr>
        <w:t>Facilitating Equal Access to Justice: An Intermediary/Communication Assistant Scheme for Tasmania?</w:t>
      </w:r>
      <w:r>
        <w:rPr>
          <w:lang w:val="en-US"/>
        </w:rPr>
        <w:t>, Final Report No 23 (2018).</w:t>
      </w:r>
    </w:p>
  </w:footnote>
  <w:footnote w:id="5">
    <w:p w14:paraId="37E3C8F4" w14:textId="664F455E" w:rsidR="00EE78D8" w:rsidRPr="00FE1C4B" w:rsidRDefault="00EE78D8">
      <w:pPr>
        <w:pStyle w:val="FootnoteText"/>
        <w:rPr>
          <w:lang w:val="en-US"/>
        </w:rPr>
      </w:pPr>
      <w:r>
        <w:rPr>
          <w:rStyle w:val="FootnoteReference"/>
        </w:rPr>
        <w:footnoteRef/>
      </w:r>
      <w:r>
        <w:tab/>
        <w:t xml:space="preserve">Ibid </w:t>
      </w:r>
      <w:r>
        <w:rPr>
          <w:lang w:val="en-US"/>
        </w:rPr>
        <w:t>vii.</w:t>
      </w:r>
    </w:p>
  </w:footnote>
  <w:footnote w:id="6">
    <w:p w14:paraId="22F38CEC" w14:textId="5FDC489C" w:rsidR="00EE78D8" w:rsidRPr="00626D51" w:rsidRDefault="00EE78D8">
      <w:pPr>
        <w:pStyle w:val="FootnoteText"/>
        <w:rPr>
          <w:lang w:val="en-US"/>
        </w:rPr>
      </w:pPr>
      <w:r>
        <w:rPr>
          <w:rStyle w:val="FootnoteReference"/>
        </w:rPr>
        <w:footnoteRef/>
      </w:r>
      <w:r>
        <w:tab/>
      </w:r>
      <w:r>
        <w:rPr>
          <w:lang w:val="en-US"/>
        </w:rPr>
        <w:t>See Parts 4 and 5.</w:t>
      </w:r>
    </w:p>
  </w:footnote>
  <w:footnote w:id="7">
    <w:p w14:paraId="602242FC" w14:textId="74E3445D" w:rsidR="00EE78D8" w:rsidRPr="00317613" w:rsidRDefault="00EE78D8">
      <w:pPr>
        <w:pStyle w:val="FootnoteText"/>
        <w:rPr>
          <w:lang w:val="en-US"/>
        </w:rPr>
      </w:pPr>
      <w:r>
        <w:rPr>
          <w:rStyle w:val="FootnoteReference"/>
        </w:rPr>
        <w:footnoteRef/>
      </w:r>
      <w:r>
        <w:tab/>
      </w:r>
      <w:r w:rsidRPr="00C90E35">
        <w:rPr>
          <w:lang w:val="en-US"/>
        </w:rPr>
        <w:t xml:space="preserve">TLRI, </w:t>
      </w:r>
      <w:r w:rsidRPr="00C90E35">
        <w:rPr>
          <w:i/>
          <w:lang w:val="en-US"/>
        </w:rPr>
        <w:t>Review of the Guardianship and Administration Act 1995 (Tas)</w:t>
      </w:r>
      <w:r w:rsidRPr="00C90E35">
        <w:rPr>
          <w:lang w:val="en-US"/>
        </w:rPr>
        <w:t>, Final Report No 26 (2018).</w:t>
      </w:r>
    </w:p>
  </w:footnote>
  <w:footnote w:id="8">
    <w:p w14:paraId="38D347E6" w14:textId="71B8A72C" w:rsidR="00EE78D8" w:rsidRPr="00472E3A" w:rsidRDefault="00EE78D8">
      <w:pPr>
        <w:pStyle w:val="FootnoteText"/>
        <w:rPr>
          <w:lang w:val="en-US"/>
        </w:rPr>
      </w:pPr>
      <w:r>
        <w:rPr>
          <w:rStyle w:val="FootnoteReference"/>
        </w:rPr>
        <w:footnoteRef/>
      </w:r>
      <w:r>
        <w:tab/>
        <w:t xml:space="preserve">New South Wales Law Reform Commission (NSWLRC), </w:t>
      </w:r>
      <w:r>
        <w:rPr>
          <w:i/>
        </w:rPr>
        <w:t>People with Cognitive and Mental Health Impairments in the Criminal Justice System: Diversion</w:t>
      </w:r>
      <w:r>
        <w:t>,</w:t>
      </w:r>
      <w:r>
        <w:rPr>
          <w:i/>
        </w:rPr>
        <w:t xml:space="preserve"> </w:t>
      </w:r>
      <w:r>
        <w:rPr>
          <w:lang w:val="en-US"/>
        </w:rPr>
        <w:t>Report 135 (2012) Ch 5.</w:t>
      </w:r>
    </w:p>
  </w:footnote>
  <w:footnote w:id="9">
    <w:p w14:paraId="0DE2DF1A" w14:textId="4EE611E1" w:rsidR="00EE78D8" w:rsidRPr="005E674C" w:rsidRDefault="00EE78D8">
      <w:pPr>
        <w:pStyle w:val="FootnoteText"/>
        <w:rPr>
          <w:lang w:val="en-US"/>
        </w:rPr>
      </w:pPr>
      <w:r>
        <w:rPr>
          <w:rStyle w:val="FootnoteReference"/>
        </w:rPr>
        <w:footnoteRef/>
      </w:r>
      <w:r>
        <w:tab/>
      </w:r>
      <w:r>
        <w:rPr>
          <w:lang w:val="en-US"/>
        </w:rPr>
        <w:t>Ibid Recommendation 5.2.</w:t>
      </w:r>
    </w:p>
  </w:footnote>
  <w:footnote w:id="10">
    <w:p w14:paraId="610C847E" w14:textId="28F840E5" w:rsidR="00EE78D8" w:rsidRPr="00AA39D8" w:rsidRDefault="00EE78D8">
      <w:pPr>
        <w:pStyle w:val="FootnoteText"/>
        <w:rPr>
          <w:lang w:val="en-US"/>
        </w:rPr>
      </w:pPr>
      <w:r>
        <w:rPr>
          <w:rStyle w:val="FootnoteReference"/>
        </w:rPr>
        <w:footnoteRef/>
      </w:r>
      <w:r>
        <w:tab/>
      </w:r>
      <w:r>
        <w:rPr>
          <w:lang w:val="en-US"/>
        </w:rPr>
        <w:t>Ibid 120.</w:t>
      </w:r>
    </w:p>
  </w:footnote>
  <w:footnote w:id="11">
    <w:p w14:paraId="78758BCD" w14:textId="601D4CF0" w:rsidR="00EE78D8" w:rsidRPr="00AA39D8" w:rsidRDefault="00EE78D8">
      <w:pPr>
        <w:pStyle w:val="FootnoteText"/>
        <w:rPr>
          <w:lang w:val="en-US"/>
        </w:rPr>
      </w:pPr>
      <w:r>
        <w:rPr>
          <w:rStyle w:val="FootnoteReference"/>
        </w:rPr>
        <w:footnoteRef/>
      </w:r>
      <w:r>
        <w:tab/>
      </w:r>
      <w:r>
        <w:rPr>
          <w:lang w:val="en-US"/>
        </w:rPr>
        <w:t>Ibid 122–136; Recommendation 5.1.</w:t>
      </w:r>
    </w:p>
  </w:footnote>
  <w:footnote w:id="12">
    <w:p w14:paraId="0C08077B" w14:textId="415B24B1" w:rsidR="00EE78D8" w:rsidRPr="00D67AC9" w:rsidRDefault="00EE78D8">
      <w:pPr>
        <w:pStyle w:val="FootnoteText"/>
        <w:rPr>
          <w:lang w:val="en-US"/>
        </w:rPr>
      </w:pPr>
      <w:r>
        <w:rPr>
          <w:rStyle w:val="FootnoteReference"/>
        </w:rPr>
        <w:footnoteRef/>
      </w:r>
      <w:r>
        <w:tab/>
      </w:r>
      <w:r w:rsidRPr="00C90E35">
        <w:rPr>
          <w:lang w:val="en-US"/>
        </w:rPr>
        <w:t>See TLRI, above n</w:t>
      </w:r>
      <w:r>
        <w:rPr>
          <w:lang w:val="en-US"/>
        </w:rPr>
        <w:t xml:space="preserve"> </w:t>
      </w:r>
      <w:r>
        <w:rPr>
          <w:highlight w:val="yellow"/>
          <w:lang w:val="en-US"/>
        </w:rPr>
        <w:fldChar w:fldCharType="begin"/>
      </w:r>
      <w:r>
        <w:rPr>
          <w:lang w:val="en-US"/>
        </w:rPr>
        <w:instrText xml:space="preserve"> NOTEREF _Ref534966370 \h </w:instrText>
      </w:r>
      <w:r>
        <w:rPr>
          <w:highlight w:val="yellow"/>
          <w:lang w:val="en-US"/>
        </w:rPr>
      </w:r>
      <w:r>
        <w:rPr>
          <w:highlight w:val="yellow"/>
          <w:lang w:val="en-US"/>
        </w:rPr>
        <w:fldChar w:fldCharType="separate"/>
      </w:r>
      <w:r w:rsidR="001F209C">
        <w:rPr>
          <w:lang w:val="en-US"/>
        </w:rPr>
        <w:t>7</w:t>
      </w:r>
      <w:r>
        <w:rPr>
          <w:highlight w:val="yellow"/>
          <w:lang w:val="en-US"/>
        </w:rPr>
        <w:fldChar w:fldCharType="end"/>
      </w:r>
      <w:r>
        <w:rPr>
          <w:lang w:val="en-US"/>
        </w:rPr>
        <w:t>.</w:t>
      </w:r>
    </w:p>
  </w:footnote>
  <w:footnote w:id="13">
    <w:p w14:paraId="070874AB" w14:textId="229D0B3C" w:rsidR="00EE78D8" w:rsidRPr="00D67AC9" w:rsidRDefault="00EE78D8">
      <w:pPr>
        <w:pStyle w:val="FootnoteText"/>
        <w:rPr>
          <w:lang w:val="en-US"/>
        </w:rPr>
      </w:pPr>
      <w:r>
        <w:rPr>
          <w:rStyle w:val="FootnoteReference"/>
        </w:rPr>
        <w:footnoteRef/>
      </w:r>
      <w:r>
        <w:tab/>
      </w:r>
      <w:r>
        <w:rPr>
          <w:lang w:val="en-US"/>
        </w:rPr>
        <w:t xml:space="preserve">See discussion of the Diversion List at </w:t>
      </w:r>
      <w:r w:rsidRPr="00C90E35">
        <w:rPr>
          <w:lang w:val="en-US"/>
        </w:rPr>
        <w:t>[2.2.2]</w:t>
      </w:r>
      <w:r>
        <w:rPr>
          <w:lang w:val="en-US"/>
        </w:rPr>
        <w:t>–[2.3.3].</w:t>
      </w:r>
    </w:p>
  </w:footnote>
  <w:footnote w:id="14">
    <w:p w14:paraId="4AF77B92" w14:textId="3B4C1CA0" w:rsidR="00EE78D8" w:rsidRPr="00C80EE0" w:rsidRDefault="00EE78D8" w:rsidP="00CE2168">
      <w:pPr>
        <w:pStyle w:val="FootnoteTextTLRI"/>
      </w:pPr>
      <w:r>
        <w:rPr>
          <w:rStyle w:val="FootnoteReference"/>
        </w:rPr>
        <w:footnoteRef/>
      </w:r>
      <w:r>
        <w:tab/>
      </w:r>
      <w:r w:rsidRPr="000A74BC">
        <w:t>The eligibility criteria state that an offender is eligible if he or she has (or is likely to have) a mental illness, intellectual disability, acqui</w:t>
      </w:r>
      <w:r>
        <w:t>r</w:t>
      </w:r>
      <w:r w:rsidRPr="000A74BC">
        <w:t>ed brain injury, autism spectrum disorder and/or a neurological impairment, including dementia</w:t>
      </w:r>
      <w:r>
        <w:t>:</w:t>
      </w:r>
      <w:r w:rsidRPr="000A74BC">
        <w:t xml:space="preserve"> Magistrates Court Tasmania, </w:t>
      </w:r>
      <w:r w:rsidRPr="000A74BC">
        <w:rPr>
          <w:i/>
        </w:rPr>
        <w:t>Tasmanian Magistrates Court Diversion List: Procedural Manual Version 1.4</w:t>
      </w:r>
      <w:r w:rsidRPr="000A74BC">
        <w:t xml:space="preserve"> (2014) 5. </w:t>
      </w:r>
      <w:r w:rsidRPr="00224FA5">
        <w:rPr>
          <w:rStyle w:val="FootnoteTextTLRIChar"/>
        </w:rPr>
        <w:t xml:space="preserve">Other eligibility criteria include: </w:t>
      </w:r>
      <w:r>
        <w:rPr>
          <w:rStyle w:val="FootnoteTextTLRIChar"/>
        </w:rPr>
        <w:t xml:space="preserve">that </w:t>
      </w:r>
      <w:r w:rsidRPr="00224FA5">
        <w:rPr>
          <w:rStyle w:val="FootnoteTextTLRIChar"/>
        </w:rPr>
        <w:t xml:space="preserve">the defendant has not been charged with an excluded criminal offence that involves serious violence or serious sexual assault, unless the court, at its discretion, considers the harm minor; the impairment/s cause/s a substantially reduced capacity in at least one of the areas of self-care, self-management, social interaction or communication; a connection exists between the mental impairment and/or mental illness and the offending behaviour, the defendant being likely to derive benefit from participation in a problem-solving court process; the defendant may not be eligible if, based on the opinion of Forensic Mental Health Services (Court Liaison) staff, </w:t>
      </w:r>
      <w:r>
        <w:rPr>
          <w:rStyle w:val="FootnoteTextTLRIChar"/>
        </w:rPr>
        <w:t xml:space="preserve">he or she </w:t>
      </w:r>
      <w:r w:rsidRPr="00224FA5">
        <w:rPr>
          <w:rStyle w:val="FootnoteTextTLRIChar"/>
        </w:rPr>
        <w:t>has exhausted all reasonable and available treatment and/or support services for the mental illness and/or impaired intellectual functioning</w:t>
      </w:r>
      <w:r>
        <w:rPr>
          <w:rStyle w:val="FootnoteTextTLRIChar"/>
        </w:rPr>
        <w:t>.</w:t>
      </w:r>
      <w:r w:rsidRPr="00224FA5">
        <w:rPr>
          <w:rStyle w:val="FootnoteTextTLRIChar"/>
        </w:rPr>
        <w:t xml:space="preserve"> The defendant </w:t>
      </w:r>
      <w:r>
        <w:rPr>
          <w:rStyle w:val="FootnoteTextTLRIChar"/>
        </w:rPr>
        <w:t xml:space="preserve">must </w:t>
      </w:r>
      <w:r w:rsidRPr="00224FA5">
        <w:rPr>
          <w:rStyle w:val="FootnoteTextTLRIChar"/>
        </w:rPr>
        <w:t xml:space="preserve">consent to participate in the List, including attending court regularly and following the reasonable directions of </w:t>
      </w:r>
      <w:r w:rsidRPr="00154F1D">
        <w:rPr>
          <w:rStyle w:val="FootnoteTextTLRIChar"/>
        </w:rPr>
        <w:t>Forensic Mental Health Service</w:t>
      </w:r>
      <w:r>
        <w:rPr>
          <w:rStyle w:val="FootnoteTextTLRIChar"/>
        </w:rPr>
        <w:t>s</w:t>
      </w:r>
      <w:r w:rsidRPr="00224FA5">
        <w:rPr>
          <w:rStyle w:val="FootnoteTextTLRIChar"/>
        </w:rPr>
        <w:t xml:space="preserve"> (Court Liaison) staff</w:t>
      </w:r>
      <w:r>
        <w:rPr>
          <w:rStyle w:val="FootnoteTextTLRIChar"/>
        </w:rPr>
        <w:t>:</w:t>
      </w:r>
      <w:r w:rsidRPr="00224FA5">
        <w:rPr>
          <w:rStyle w:val="FootnoteTextTLRIChar"/>
        </w:rPr>
        <w:t xml:space="preserve"> </w:t>
      </w:r>
      <w:r>
        <w:rPr>
          <w:rStyle w:val="FootnoteTextTLRIChar"/>
        </w:rPr>
        <w:t xml:space="preserve">at </w:t>
      </w:r>
      <w:r w:rsidRPr="00224FA5">
        <w:rPr>
          <w:rStyle w:val="FootnoteTextTLRIChar"/>
        </w:rPr>
        <w:t xml:space="preserve">5. See also F Davidson </w:t>
      </w:r>
      <w:r>
        <w:rPr>
          <w:rStyle w:val="FootnoteTextTLRIChar"/>
        </w:rPr>
        <w:t>et al</w:t>
      </w:r>
      <w:r w:rsidRPr="00224FA5">
        <w:rPr>
          <w:rStyle w:val="FootnoteTextTLRIChar"/>
        </w:rPr>
        <w:t xml:space="preserve">, ‘Mental Health and Criminal Charges: Variation in Diversion Pathways in Australia’ (2017) </w:t>
      </w:r>
      <w:r w:rsidRPr="00224FA5">
        <w:rPr>
          <w:rStyle w:val="FootnoteTextTLRIChar"/>
          <w:i/>
        </w:rPr>
        <w:t>Psychiatry, Psychology and Law</w:t>
      </w:r>
      <w:r w:rsidRPr="00224FA5">
        <w:rPr>
          <w:rStyle w:val="FootnoteTextTLRIChar"/>
        </w:rPr>
        <w:t xml:space="preserve"> online edition.</w:t>
      </w:r>
    </w:p>
  </w:footnote>
  <w:footnote w:id="15">
    <w:p w14:paraId="7296144F" w14:textId="47811237" w:rsidR="00EE78D8" w:rsidRPr="00BE2A05" w:rsidRDefault="00EE78D8" w:rsidP="00053A1D">
      <w:pPr>
        <w:pStyle w:val="FootnoteText"/>
        <w:rPr>
          <w:lang w:val="en-US"/>
        </w:rPr>
      </w:pPr>
      <w:r>
        <w:rPr>
          <w:rStyle w:val="FootnoteReference"/>
        </w:rPr>
        <w:footnoteRef/>
      </w:r>
      <w:r>
        <w:tab/>
        <w:t xml:space="preserve">Magistrates Court Tasmania, above n </w:t>
      </w:r>
      <w:r>
        <w:fldChar w:fldCharType="begin"/>
      </w:r>
      <w:r>
        <w:instrText xml:space="preserve"> NOTEREF _Ref534969682 \h </w:instrText>
      </w:r>
      <w:r>
        <w:fldChar w:fldCharType="separate"/>
      </w:r>
      <w:r w:rsidR="001F209C">
        <w:t>14</w:t>
      </w:r>
      <w:r>
        <w:fldChar w:fldCharType="end"/>
      </w:r>
      <w:r>
        <w:t>, 4.</w:t>
      </w:r>
    </w:p>
  </w:footnote>
  <w:footnote w:id="16">
    <w:p w14:paraId="02960C38" w14:textId="514557DC" w:rsidR="00EE78D8" w:rsidRPr="002A5474" w:rsidRDefault="00EE78D8" w:rsidP="00053A1D">
      <w:pPr>
        <w:pStyle w:val="FootnoteText"/>
        <w:rPr>
          <w:lang w:val="en-US"/>
        </w:rPr>
      </w:pPr>
      <w:r>
        <w:rPr>
          <w:rStyle w:val="FootnoteReference"/>
        </w:rPr>
        <w:footnoteRef/>
      </w:r>
      <w:r>
        <w:tab/>
      </w:r>
      <w:r>
        <w:rPr>
          <w:lang w:val="en-US"/>
        </w:rPr>
        <w:t xml:space="preserve">E Newitt and V Stojcevski, </w:t>
      </w:r>
      <w:r>
        <w:rPr>
          <w:i/>
          <w:lang w:val="en-US"/>
        </w:rPr>
        <w:t xml:space="preserve">Mental Health Diversion List </w:t>
      </w:r>
      <w:r>
        <w:rPr>
          <w:lang w:val="en-US"/>
        </w:rPr>
        <w:t>(Evaluation Report, 2009) 13.</w:t>
      </w:r>
    </w:p>
  </w:footnote>
  <w:footnote w:id="17">
    <w:p w14:paraId="515F7B03" w14:textId="6F4B4DAF" w:rsidR="00EE78D8" w:rsidRPr="00BE2A05" w:rsidRDefault="00EE78D8" w:rsidP="00053A1D">
      <w:pPr>
        <w:pStyle w:val="FootnoteText"/>
        <w:rPr>
          <w:lang w:val="en-US"/>
        </w:rPr>
      </w:pPr>
      <w:r>
        <w:rPr>
          <w:rStyle w:val="FootnoteReference"/>
        </w:rPr>
        <w:footnoteRef/>
      </w:r>
      <w:r>
        <w:tab/>
        <w:t xml:space="preserve">Magistrates Court Tasmania, above n </w:t>
      </w:r>
      <w:r>
        <w:fldChar w:fldCharType="begin"/>
      </w:r>
      <w:r>
        <w:instrText xml:space="preserve"> NOTEREF _Ref534969682 \h </w:instrText>
      </w:r>
      <w:r>
        <w:fldChar w:fldCharType="separate"/>
      </w:r>
      <w:r w:rsidR="001F209C">
        <w:t>14</w:t>
      </w:r>
      <w:r>
        <w:fldChar w:fldCharType="end"/>
      </w:r>
      <w:r>
        <w:t>, 5.</w:t>
      </w:r>
    </w:p>
  </w:footnote>
  <w:footnote w:id="18">
    <w:p w14:paraId="56FF048C" w14:textId="35662A3C" w:rsidR="00EE78D8" w:rsidRPr="00A01E73" w:rsidRDefault="00EE78D8" w:rsidP="00053A1D">
      <w:pPr>
        <w:pStyle w:val="FootnoteText"/>
        <w:rPr>
          <w:lang w:val="en-US"/>
        </w:rPr>
      </w:pPr>
      <w:r>
        <w:rPr>
          <w:rStyle w:val="FootnoteReference"/>
        </w:rPr>
        <w:footnoteRef/>
      </w:r>
      <w:r>
        <w:tab/>
      </w:r>
      <w:r>
        <w:rPr>
          <w:lang w:val="en-US"/>
        </w:rPr>
        <w:t xml:space="preserve">Newitt and Stojcevski, </w:t>
      </w:r>
      <w:r w:rsidRPr="00755F82">
        <w:rPr>
          <w:lang w:val="en-US"/>
        </w:rPr>
        <w:t xml:space="preserve">above n </w:t>
      </w:r>
      <w:r w:rsidRPr="00755F82">
        <w:rPr>
          <w:lang w:val="en-US"/>
        </w:rPr>
        <w:fldChar w:fldCharType="begin"/>
      </w:r>
      <w:r w:rsidRPr="00755F82">
        <w:rPr>
          <w:lang w:val="en-US"/>
        </w:rPr>
        <w:instrText xml:space="preserve"> NOTEREF _Ref534969763 \h </w:instrText>
      </w:r>
      <w:r>
        <w:rPr>
          <w:lang w:val="en-US"/>
        </w:rPr>
        <w:instrText xml:space="preserve"> \* MERGEFORMAT </w:instrText>
      </w:r>
      <w:r w:rsidRPr="00755F82">
        <w:rPr>
          <w:lang w:val="en-US"/>
        </w:rPr>
      </w:r>
      <w:r w:rsidRPr="00755F82">
        <w:rPr>
          <w:lang w:val="en-US"/>
        </w:rPr>
        <w:fldChar w:fldCharType="separate"/>
      </w:r>
      <w:r w:rsidR="001F209C">
        <w:rPr>
          <w:lang w:val="en-US"/>
        </w:rPr>
        <w:t>16</w:t>
      </w:r>
      <w:r w:rsidRPr="00755F82">
        <w:rPr>
          <w:lang w:val="en-US"/>
        </w:rPr>
        <w:fldChar w:fldCharType="end"/>
      </w:r>
      <w:r w:rsidRPr="00755F82">
        <w:rPr>
          <w:lang w:val="en-US"/>
        </w:rPr>
        <w:t>,</w:t>
      </w:r>
      <w:r>
        <w:rPr>
          <w:lang w:val="en-US"/>
        </w:rPr>
        <w:t xml:space="preserve"> 6.</w:t>
      </w:r>
    </w:p>
  </w:footnote>
  <w:footnote w:id="19">
    <w:p w14:paraId="49BBF9AA" w14:textId="440ACCCA" w:rsidR="00EE78D8" w:rsidRPr="009E324A" w:rsidRDefault="00EE78D8" w:rsidP="00414F9D">
      <w:pPr>
        <w:pStyle w:val="FootnoteText"/>
        <w:rPr>
          <w:lang w:val="en-US"/>
        </w:rPr>
      </w:pPr>
      <w:r>
        <w:rPr>
          <w:rStyle w:val="FootnoteReference"/>
        </w:rPr>
        <w:footnoteRef/>
      </w:r>
      <w:r>
        <w:tab/>
      </w:r>
      <w:r>
        <w:rPr>
          <w:lang w:val="en-US"/>
        </w:rPr>
        <w:t xml:space="preserve">Magistrates Court of Tasmania, </w:t>
      </w:r>
      <w:r>
        <w:rPr>
          <w:i/>
          <w:lang w:val="en-US"/>
        </w:rPr>
        <w:t xml:space="preserve">Annual Report 2015–16 </w:t>
      </w:r>
      <w:r>
        <w:rPr>
          <w:lang w:val="en-US"/>
        </w:rPr>
        <w:t>(2016) 12–13.</w:t>
      </w:r>
    </w:p>
  </w:footnote>
  <w:footnote w:id="20">
    <w:p w14:paraId="3DD3DFF3" w14:textId="0456C334" w:rsidR="00EE78D8" w:rsidRPr="00906B51" w:rsidRDefault="00EE78D8">
      <w:pPr>
        <w:pStyle w:val="FootnoteText"/>
        <w:rPr>
          <w:lang w:val="en-US"/>
        </w:rPr>
      </w:pPr>
      <w:r>
        <w:rPr>
          <w:rStyle w:val="FootnoteReference"/>
        </w:rPr>
        <w:footnoteRef/>
      </w:r>
      <w:r>
        <w:tab/>
        <w:t xml:space="preserve">I </w:t>
      </w:r>
      <w:r w:rsidRPr="00906B51">
        <w:rPr>
          <w:lang w:val="en-US"/>
        </w:rPr>
        <w:t>Bartkowiak-Thé</w:t>
      </w:r>
      <w:r w:rsidRPr="00890291">
        <w:rPr>
          <w:lang w:val="en-US"/>
        </w:rPr>
        <w:t>ron</w:t>
      </w:r>
      <w:r>
        <w:rPr>
          <w:lang w:val="en-US"/>
        </w:rPr>
        <w:t xml:space="preserve"> </w:t>
      </w:r>
      <w:r w:rsidRPr="00906B51">
        <w:rPr>
          <w:lang w:val="en-US"/>
        </w:rPr>
        <w:t xml:space="preserve">and </w:t>
      </w:r>
      <w:r>
        <w:rPr>
          <w:lang w:val="en-US"/>
        </w:rPr>
        <w:t xml:space="preserve">J </w:t>
      </w:r>
      <w:r w:rsidRPr="00890291">
        <w:rPr>
          <w:lang w:val="en-US"/>
        </w:rPr>
        <w:t xml:space="preserve">Fleming, </w:t>
      </w:r>
      <w:r>
        <w:rPr>
          <w:i/>
          <w:lang w:val="en-US"/>
        </w:rPr>
        <w:t xml:space="preserve">Integration and Collaboration: Building Capacity and Engagement for the Provision of Criminal Justice Services to Tasmania’s Mentally Ill </w:t>
      </w:r>
      <w:r>
        <w:rPr>
          <w:lang w:val="en-US"/>
        </w:rPr>
        <w:t>(TILES, University of Tasmania, 2011)</w:t>
      </w:r>
      <w:r w:rsidRPr="00906B51">
        <w:rPr>
          <w:lang w:val="en-US"/>
        </w:rPr>
        <w:t xml:space="preserve"> </w:t>
      </w:r>
      <w:r>
        <w:rPr>
          <w:lang w:val="en-US"/>
        </w:rPr>
        <w:t>6.</w:t>
      </w:r>
    </w:p>
  </w:footnote>
  <w:footnote w:id="21">
    <w:p w14:paraId="4DD2684D" w14:textId="752B3EAC" w:rsidR="00EE78D8" w:rsidRPr="00906B51" w:rsidRDefault="00EE78D8">
      <w:pPr>
        <w:pStyle w:val="FootnoteText"/>
        <w:rPr>
          <w:lang w:val="en-US"/>
        </w:rPr>
      </w:pPr>
      <w:r>
        <w:rPr>
          <w:rStyle w:val="FootnoteReference"/>
        </w:rPr>
        <w:footnoteRef/>
      </w:r>
      <w:r>
        <w:tab/>
        <w:t xml:space="preserve">Ibid </w:t>
      </w:r>
      <w:r>
        <w:rPr>
          <w:lang w:val="en-US"/>
        </w:rPr>
        <w:t>7.</w:t>
      </w:r>
    </w:p>
  </w:footnote>
  <w:footnote w:id="22">
    <w:p w14:paraId="7F99E1DD" w14:textId="0FD22ED3" w:rsidR="00EE78D8" w:rsidRPr="0065213A" w:rsidRDefault="00EE78D8" w:rsidP="005650F9">
      <w:pPr>
        <w:pStyle w:val="FootnoteText"/>
        <w:rPr>
          <w:lang w:val="en-US"/>
        </w:rPr>
      </w:pPr>
      <w:r>
        <w:rPr>
          <w:rStyle w:val="FootnoteReference"/>
        </w:rPr>
        <w:footnoteRef/>
      </w:r>
      <w:r>
        <w:tab/>
        <w:t xml:space="preserve">A Loughlan, </w:t>
      </w:r>
      <w:r>
        <w:rPr>
          <w:i/>
        </w:rPr>
        <w:t xml:space="preserve">Manifest Madness: Mental Incapacity in Criminal Law </w:t>
      </w:r>
      <w:r>
        <w:t>(Oxford University Press, 2012) 67.</w:t>
      </w:r>
    </w:p>
  </w:footnote>
  <w:footnote w:id="23">
    <w:p w14:paraId="665C9CD8" w14:textId="71DC1196" w:rsidR="00EE78D8" w:rsidRPr="001C31FF" w:rsidRDefault="00EE78D8">
      <w:pPr>
        <w:pStyle w:val="FootnoteText"/>
        <w:rPr>
          <w:lang w:val="en-US"/>
        </w:rPr>
      </w:pPr>
      <w:r>
        <w:rPr>
          <w:rStyle w:val="FootnoteReference"/>
        </w:rPr>
        <w:footnoteRef/>
      </w:r>
      <w:r>
        <w:tab/>
      </w:r>
      <w:r>
        <w:rPr>
          <w:lang w:val="en-US"/>
        </w:rPr>
        <w:t xml:space="preserve">The specific requirements of the test contained in the </w:t>
      </w:r>
      <w:r>
        <w:rPr>
          <w:i/>
          <w:lang w:val="en-US"/>
        </w:rPr>
        <w:t xml:space="preserve">Criminal Justice (Mental Impairment) Act 1999 </w:t>
      </w:r>
      <w:r w:rsidRPr="00B830E9">
        <w:rPr>
          <w:lang w:val="en-US"/>
        </w:rPr>
        <w:t xml:space="preserve">s 8 </w:t>
      </w:r>
      <w:r>
        <w:rPr>
          <w:lang w:val="en-US"/>
        </w:rPr>
        <w:t>are discussed further at [4.2].</w:t>
      </w:r>
    </w:p>
  </w:footnote>
  <w:footnote w:id="24">
    <w:p w14:paraId="4D7AEAEC" w14:textId="7226D406" w:rsidR="00EE78D8" w:rsidRPr="00C059DF" w:rsidRDefault="00EE78D8" w:rsidP="005650F9">
      <w:pPr>
        <w:pStyle w:val="FootnoteText"/>
        <w:rPr>
          <w:lang w:val="en-US"/>
        </w:rPr>
      </w:pPr>
      <w:r>
        <w:rPr>
          <w:rStyle w:val="FootnoteReference"/>
        </w:rPr>
        <w:footnoteRef/>
      </w:r>
      <w:r>
        <w:tab/>
        <w:t>Victoria Law Reform Commission (</w:t>
      </w:r>
      <w:r>
        <w:rPr>
          <w:lang w:val="en-US"/>
        </w:rPr>
        <w:t xml:space="preserve">VLRC), </w:t>
      </w:r>
      <w:r w:rsidRPr="00A97684">
        <w:rPr>
          <w:i/>
          <w:lang w:val="en-US"/>
        </w:rPr>
        <w:t>Review of the</w:t>
      </w:r>
      <w:r>
        <w:rPr>
          <w:lang w:val="en-US"/>
        </w:rPr>
        <w:t xml:space="preserve"> </w:t>
      </w:r>
      <w:r>
        <w:rPr>
          <w:i/>
          <w:lang w:val="en-US"/>
        </w:rPr>
        <w:t xml:space="preserve">Crimes (Mental Impairment and Unfitness to be Tried) Act </w:t>
      </w:r>
      <w:r w:rsidRPr="00B90EFB">
        <w:rPr>
          <w:i/>
          <w:lang w:val="en-US"/>
        </w:rPr>
        <w:t>1997</w:t>
      </w:r>
      <w:r w:rsidRPr="00B90EFB">
        <w:rPr>
          <w:lang w:val="en-US"/>
        </w:rPr>
        <w:t>,</w:t>
      </w:r>
      <w:r>
        <w:rPr>
          <w:lang w:val="en-US"/>
        </w:rPr>
        <w:t xml:space="preserve"> Final Report 28 (2014) 103.</w:t>
      </w:r>
    </w:p>
  </w:footnote>
  <w:footnote w:id="25">
    <w:p w14:paraId="3A13A2D7" w14:textId="10A30A98" w:rsidR="00EE78D8" w:rsidRPr="008308C0" w:rsidRDefault="00EE78D8">
      <w:pPr>
        <w:pStyle w:val="FootnoteText"/>
        <w:rPr>
          <w:lang w:val="en-US"/>
        </w:rPr>
      </w:pPr>
      <w:r>
        <w:rPr>
          <w:rStyle w:val="FootnoteReference"/>
        </w:rPr>
        <w:footnoteRef/>
      </w:r>
      <w:r>
        <w:rPr>
          <w:i/>
          <w:lang w:val="en-US"/>
        </w:rPr>
        <w:tab/>
        <w:t xml:space="preserve">Criminal Code </w:t>
      </w:r>
      <w:r>
        <w:rPr>
          <w:lang w:val="en-US"/>
        </w:rPr>
        <w:t>(Tas) s 16. This is discussed further at [7.3].</w:t>
      </w:r>
    </w:p>
  </w:footnote>
  <w:footnote w:id="26">
    <w:p w14:paraId="09E70923" w14:textId="6B67A852" w:rsidR="00EE78D8" w:rsidRPr="00940B55" w:rsidRDefault="00EE78D8" w:rsidP="002C1F1C">
      <w:pPr>
        <w:pStyle w:val="FootnoteText"/>
        <w:rPr>
          <w:lang w:val="en-US"/>
        </w:rPr>
      </w:pPr>
      <w:r>
        <w:rPr>
          <w:rStyle w:val="FootnoteReference"/>
        </w:rPr>
        <w:footnoteRef/>
      </w:r>
      <w:r>
        <w:tab/>
      </w:r>
      <w:r>
        <w:rPr>
          <w:lang w:val="en-US"/>
        </w:rPr>
        <w:t xml:space="preserve">This table is taken from the VLRC, </w:t>
      </w:r>
      <w:r>
        <w:rPr>
          <w:i/>
          <w:lang w:val="en-US"/>
        </w:rPr>
        <w:t>Review of the Crimes (Mental Impairment and Unfitness to be Tried Act 1997</w:t>
      </w:r>
      <w:r>
        <w:rPr>
          <w:lang w:val="en-US"/>
        </w:rPr>
        <w:t>, Consultation Paper (2013) 33.</w:t>
      </w:r>
    </w:p>
  </w:footnote>
  <w:footnote w:id="27">
    <w:p w14:paraId="68ECC28C" w14:textId="7B661A2C" w:rsidR="00EE78D8" w:rsidRPr="00695972" w:rsidRDefault="00EE78D8" w:rsidP="00053A1D">
      <w:pPr>
        <w:pStyle w:val="FootnoteText"/>
        <w:rPr>
          <w:lang w:val="en-US"/>
        </w:rPr>
      </w:pPr>
      <w:r>
        <w:rPr>
          <w:rStyle w:val="FootnoteReference"/>
        </w:rPr>
        <w:footnoteRef/>
      </w:r>
      <w:r>
        <w:tab/>
      </w:r>
      <w:r>
        <w:rPr>
          <w:i/>
          <w:lang w:val="en-US"/>
        </w:rPr>
        <w:t xml:space="preserve">Criminal Justice (Mental Impairment) Act 1997 </w:t>
      </w:r>
      <w:r>
        <w:rPr>
          <w:lang w:val="en-US"/>
        </w:rPr>
        <w:t>(Tas) ss 18, 21. These dispositions are discussed further in Part 8.</w:t>
      </w:r>
    </w:p>
  </w:footnote>
  <w:footnote w:id="28">
    <w:p w14:paraId="6A9171F6" w14:textId="514AE6BB" w:rsidR="00EE78D8" w:rsidRPr="00C91DCE" w:rsidRDefault="00EE78D8" w:rsidP="003206C8">
      <w:pPr>
        <w:pStyle w:val="FootnoteText"/>
      </w:pPr>
      <w:r>
        <w:rPr>
          <w:rStyle w:val="FootnoteReference"/>
        </w:rPr>
        <w:footnoteRef/>
      </w:r>
      <w:r>
        <w:tab/>
      </w:r>
      <w:r w:rsidRPr="00C40C84">
        <w:rPr>
          <w:i/>
        </w:rPr>
        <w:t>Sentencing Act 1997</w:t>
      </w:r>
      <w:r w:rsidRPr="00C91DCE">
        <w:t xml:space="preserve"> (Tas) Part 10. A mental illness is defined as a mental illness within the meaning in the </w:t>
      </w:r>
      <w:r w:rsidRPr="00A16AAC">
        <w:rPr>
          <w:i/>
        </w:rPr>
        <w:t>Mental Health Act 2013</w:t>
      </w:r>
      <w:r w:rsidRPr="00C91DCE">
        <w:t xml:space="preserve"> (Tas) s 4. The </w:t>
      </w:r>
      <w:r w:rsidRPr="00C40C84">
        <w:rPr>
          <w:i/>
        </w:rPr>
        <w:t>Mental Health Act 2013</w:t>
      </w:r>
      <w:r w:rsidRPr="00C91DCE">
        <w:t xml:space="preserve"> (Tas) </w:t>
      </w:r>
      <w:r>
        <w:t xml:space="preserve">s 4 </w:t>
      </w:r>
      <w:r w:rsidRPr="00C91DCE">
        <w:t>states that</w:t>
      </w:r>
      <w:r>
        <w:t>: ‘(1)(a)</w:t>
      </w:r>
      <w:r w:rsidRPr="00C91DCE">
        <w:t xml:space="preserve"> a person is taken to have a mental illness </w:t>
      </w:r>
      <w:r w:rsidRPr="00717DDD">
        <w:t>if he or she experiences, temporarily, repeatedly or continually –</w:t>
      </w:r>
      <w:r>
        <w:t xml:space="preserve"> </w:t>
      </w:r>
      <w:r w:rsidRPr="00717DDD">
        <w:t>(i) a serious impairment of thought (which may include delusions); or</w:t>
      </w:r>
      <w:r>
        <w:t xml:space="preserve"> </w:t>
      </w:r>
      <w:r w:rsidRPr="00717DDD">
        <w:t>(ii) a serious impairment of mood, volition, perception or cognition; and</w:t>
      </w:r>
      <w:r>
        <w:t xml:space="preserve"> </w:t>
      </w:r>
      <w:r w:rsidRPr="00717DDD">
        <w:t>(b) nothing prevents the serious or permanent physiological, biochemical or psychological effects of alcohol use or drug-taking from being regarded as an indication that a person has a mental illness.</w:t>
      </w:r>
      <w:r>
        <w:t xml:space="preserve"> </w:t>
      </w:r>
      <w:r w:rsidRPr="00717DDD">
        <w:t>(2) However, under this Act, a person is not to be taken to have a mental illness by reason only of the person</w:t>
      </w:r>
      <w:r>
        <w:t>’</w:t>
      </w:r>
      <w:r w:rsidRPr="00717DDD">
        <w:t>s –</w:t>
      </w:r>
      <w:r>
        <w:t xml:space="preserve"> </w:t>
      </w:r>
      <w:r w:rsidRPr="00717DDD">
        <w:t>(a) current or past expression of, or failure or refusal to express, a particular political opinion or belief; or</w:t>
      </w:r>
      <w:r>
        <w:t xml:space="preserve"> </w:t>
      </w:r>
      <w:r w:rsidRPr="00717DDD">
        <w:t>(b) current or past expression of, or failure or refusal to express, a particular religious opinion or belief; or</w:t>
      </w:r>
      <w:r>
        <w:t xml:space="preserve"> </w:t>
      </w:r>
      <w:r w:rsidRPr="00717DDD">
        <w:t>(c) current or past expression of, or failure or refusal to express, a particular philosophy; or</w:t>
      </w:r>
      <w:r>
        <w:t xml:space="preserve"> </w:t>
      </w:r>
      <w:r w:rsidRPr="00717DDD">
        <w:t>(d) current or past expression of, or failure or refusal to express, a particular sexual preference or orientation; or</w:t>
      </w:r>
      <w:r>
        <w:t xml:space="preserve"> </w:t>
      </w:r>
      <w:r w:rsidRPr="00717DDD">
        <w:t>(e) current or past engagement in, or failure or refusal to engage in, a particular political or religious activity; or</w:t>
      </w:r>
      <w:r>
        <w:t xml:space="preserve"> </w:t>
      </w:r>
      <w:r w:rsidRPr="00717DDD">
        <w:t>(f) current or past engagement in a particular sexual activity or sexual promiscuity; or</w:t>
      </w:r>
      <w:r>
        <w:t xml:space="preserve"> </w:t>
      </w:r>
      <w:r w:rsidRPr="00717DDD">
        <w:t>(g) current or past engagement in illegal conduct; or</w:t>
      </w:r>
      <w:r>
        <w:t xml:space="preserve"> </w:t>
      </w:r>
      <w:r w:rsidRPr="00717DDD">
        <w:t>(h) current or past engagement in an antisocial activity; or</w:t>
      </w:r>
      <w:r>
        <w:t xml:space="preserve"> </w:t>
      </w:r>
      <w:r w:rsidRPr="00717DDD">
        <w:t>(i) particular economic or social status; or</w:t>
      </w:r>
      <w:r>
        <w:t xml:space="preserve"> </w:t>
      </w:r>
      <w:r w:rsidRPr="00717DDD">
        <w:t>(j) membership of a particular cultural or racial group; or</w:t>
      </w:r>
      <w:r>
        <w:t xml:space="preserve"> </w:t>
      </w:r>
      <w:r w:rsidRPr="00717DDD">
        <w:t>(k) intoxication (however induced); or</w:t>
      </w:r>
      <w:r>
        <w:t xml:space="preserve"> </w:t>
      </w:r>
      <w:r w:rsidRPr="00717DDD">
        <w:t>(l) intellectual or physical disability; or</w:t>
      </w:r>
      <w:r>
        <w:t xml:space="preserve"> </w:t>
      </w:r>
      <w:r w:rsidRPr="00717DDD">
        <w:t>(m) acquired brain injury; or</w:t>
      </w:r>
      <w:r>
        <w:t xml:space="preserve"> </w:t>
      </w:r>
      <w:r w:rsidRPr="00717DDD">
        <w:t>(n) dementia; or</w:t>
      </w:r>
      <w:r>
        <w:t xml:space="preserve"> </w:t>
      </w:r>
      <w:r w:rsidRPr="00717DDD">
        <w:t>(o) temporary unconsciousness.</w:t>
      </w:r>
      <w:r>
        <w:t>’</w:t>
      </w:r>
    </w:p>
  </w:footnote>
  <w:footnote w:id="29">
    <w:p w14:paraId="6211CEBE" w14:textId="56BBF558" w:rsidR="00EE78D8" w:rsidRPr="001B57D5" w:rsidRDefault="00EE78D8">
      <w:pPr>
        <w:pStyle w:val="FootnoteText"/>
        <w:rPr>
          <w:lang w:val="en-US"/>
        </w:rPr>
      </w:pPr>
      <w:r>
        <w:rPr>
          <w:rStyle w:val="FootnoteReference"/>
        </w:rPr>
        <w:footnoteRef/>
      </w:r>
      <w:r>
        <w:tab/>
        <w:t xml:space="preserve">Tasmania, </w:t>
      </w:r>
      <w:r w:rsidRPr="00F6664B">
        <w:rPr>
          <w:i/>
        </w:rPr>
        <w:t>Parliamentary Debates</w:t>
      </w:r>
      <w:r>
        <w:t xml:space="preserve">, House of Assembly, </w:t>
      </w:r>
      <w:r w:rsidRPr="00FD4C78">
        <w:t>23 March 1999, Part 2 33</w:t>
      </w:r>
      <w:r>
        <w:t>–</w:t>
      </w:r>
      <w:r w:rsidRPr="00FD4C78">
        <w:t>114</w:t>
      </w:r>
      <w:r>
        <w:t xml:space="preserve"> </w:t>
      </w:r>
      <w:r w:rsidRPr="00702EB4">
        <w:rPr>
          <w:lang w:val="en-US"/>
        </w:rPr>
        <w:t>(Patmore).</w:t>
      </w:r>
      <w:r>
        <w:rPr>
          <w:lang w:val="en-US"/>
        </w:rPr>
        <w:t xml:space="preserve"> </w:t>
      </w:r>
    </w:p>
  </w:footnote>
  <w:footnote w:id="30">
    <w:p w14:paraId="3E1BAC02" w14:textId="17214ECC" w:rsidR="00EE78D8" w:rsidRPr="005A1E7B" w:rsidRDefault="00EE78D8">
      <w:pPr>
        <w:pStyle w:val="FootnoteText"/>
        <w:rPr>
          <w:lang w:val="en-US"/>
        </w:rPr>
      </w:pPr>
      <w:r>
        <w:rPr>
          <w:rStyle w:val="FootnoteReference"/>
        </w:rPr>
        <w:footnoteRef/>
      </w:r>
      <w:r>
        <w:rPr>
          <w:lang w:val="en-US"/>
        </w:rPr>
        <w:tab/>
        <w:t xml:space="preserve">A Smith, ‘Out of the Frying Pan: Forensic Mental Health Orders – Have Changes to the Review Processes for People Found “Unfit to Plead” or “Not Guilty by Reason of Insanity” Enhanced the Liberty of the Subject?’ (2010) </w:t>
      </w:r>
      <w:r>
        <w:rPr>
          <w:i/>
          <w:lang w:val="en-US"/>
        </w:rPr>
        <w:t xml:space="preserve">Law Letter </w:t>
      </w:r>
      <w:r>
        <w:rPr>
          <w:lang w:val="en-US"/>
        </w:rPr>
        <w:t>22, 22.</w:t>
      </w:r>
    </w:p>
  </w:footnote>
  <w:footnote w:id="31">
    <w:p w14:paraId="4C1F3C5E" w14:textId="7E87117C" w:rsidR="00EE78D8" w:rsidRPr="0024402C" w:rsidRDefault="00EE78D8">
      <w:pPr>
        <w:pStyle w:val="FootnoteText"/>
        <w:rPr>
          <w:lang w:val="en-US"/>
        </w:rPr>
      </w:pPr>
      <w:r>
        <w:rPr>
          <w:rStyle w:val="FootnoteReference"/>
        </w:rPr>
        <w:footnoteRef/>
      </w:r>
      <w:r>
        <w:tab/>
      </w:r>
      <w:r>
        <w:rPr>
          <w:lang w:val="en-US"/>
        </w:rPr>
        <w:t>Ibid 24. Smith referred to at least two known examples of discharge after two years from a restriction order imposed for the offence of murder.</w:t>
      </w:r>
    </w:p>
  </w:footnote>
  <w:footnote w:id="32">
    <w:p w14:paraId="57AE5691" w14:textId="7B72B850" w:rsidR="00EE78D8" w:rsidRPr="00963DBE" w:rsidRDefault="00EE78D8" w:rsidP="00C8325B">
      <w:pPr>
        <w:pStyle w:val="FootnoteText"/>
        <w:rPr>
          <w:lang w:val="en-US"/>
        </w:rPr>
      </w:pPr>
      <w:r>
        <w:rPr>
          <w:rStyle w:val="FootnoteReference"/>
        </w:rPr>
        <w:footnoteRef/>
      </w:r>
      <w:r>
        <w:tab/>
        <w:t xml:space="preserve">Tasmania, </w:t>
      </w:r>
      <w:r w:rsidRPr="00F6664B">
        <w:rPr>
          <w:i/>
        </w:rPr>
        <w:t>Parliamentary Debates</w:t>
      </w:r>
      <w:r>
        <w:t xml:space="preserve">, House of Assembly, </w:t>
      </w:r>
      <w:r w:rsidRPr="00FD4C78">
        <w:t>23 March 1999, Part 2 33</w:t>
      </w:r>
      <w:r>
        <w:t>–</w:t>
      </w:r>
      <w:r w:rsidRPr="00FD4C78">
        <w:t>114</w:t>
      </w:r>
      <w:r>
        <w:t xml:space="preserve"> </w:t>
      </w:r>
      <w:r w:rsidRPr="00702EB4">
        <w:rPr>
          <w:lang w:val="en-US"/>
        </w:rPr>
        <w:t>(Patmore)</w:t>
      </w:r>
      <w:r w:rsidRPr="00FD4C78">
        <w:t>.</w:t>
      </w:r>
    </w:p>
  </w:footnote>
  <w:footnote w:id="33">
    <w:p w14:paraId="563BCEEB" w14:textId="633B8F19" w:rsidR="00EE78D8" w:rsidRPr="00105C7F" w:rsidRDefault="00EE78D8" w:rsidP="00C8325B">
      <w:pPr>
        <w:pStyle w:val="FootnoteText"/>
        <w:rPr>
          <w:lang w:val="en-US"/>
        </w:rPr>
      </w:pPr>
      <w:r>
        <w:rPr>
          <w:rStyle w:val="FootnoteReference"/>
        </w:rPr>
        <w:footnoteRef/>
      </w:r>
      <w:r>
        <w:tab/>
        <w:t>Ibid.</w:t>
      </w:r>
    </w:p>
  </w:footnote>
  <w:footnote w:id="34">
    <w:p w14:paraId="4F7DE9D5" w14:textId="4D501271" w:rsidR="00EE78D8" w:rsidRPr="00105C7F" w:rsidRDefault="00EE78D8" w:rsidP="00C8325B">
      <w:pPr>
        <w:pStyle w:val="FootnoteText"/>
        <w:rPr>
          <w:lang w:val="en-US"/>
        </w:rPr>
      </w:pPr>
      <w:r>
        <w:rPr>
          <w:rStyle w:val="FootnoteReference"/>
        </w:rPr>
        <w:footnoteRef/>
      </w:r>
      <w:r>
        <w:tab/>
      </w:r>
      <w:r w:rsidRPr="00A16AAC">
        <w:rPr>
          <w:i/>
        </w:rPr>
        <w:t>Criminal Justice Mental Impairment Act 1999</w:t>
      </w:r>
      <w:r w:rsidRPr="00A16AAC">
        <w:t xml:space="preserve"> (Tas)</w:t>
      </w:r>
      <w:r>
        <w:rPr>
          <w:i/>
          <w:lang w:val="en-US"/>
        </w:rPr>
        <w:t xml:space="preserve"> </w:t>
      </w:r>
      <w:r>
        <w:rPr>
          <w:lang w:val="en-US"/>
        </w:rPr>
        <w:t>s 17.</w:t>
      </w:r>
    </w:p>
  </w:footnote>
  <w:footnote w:id="35">
    <w:p w14:paraId="2BBBC958" w14:textId="21C37B7E" w:rsidR="00EE78D8" w:rsidRPr="00EF5DF7" w:rsidRDefault="00EE78D8">
      <w:pPr>
        <w:pStyle w:val="FootnoteText"/>
        <w:rPr>
          <w:lang w:val="en-US"/>
        </w:rPr>
      </w:pPr>
      <w:r>
        <w:rPr>
          <w:rStyle w:val="FootnoteReference"/>
        </w:rPr>
        <w:footnoteRef/>
      </w:r>
      <w:r>
        <w:tab/>
        <w:t xml:space="preserve">Tasmania, </w:t>
      </w:r>
      <w:r w:rsidRPr="00F6664B">
        <w:rPr>
          <w:i/>
        </w:rPr>
        <w:t>Parliamentary Debates</w:t>
      </w:r>
      <w:r>
        <w:t xml:space="preserve">, House of Assembly, </w:t>
      </w:r>
      <w:r w:rsidRPr="00FD4C78">
        <w:t>23 March 1999, Part 2 33</w:t>
      </w:r>
      <w:r>
        <w:t>–</w:t>
      </w:r>
      <w:r w:rsidRPr="00FD4C78">
        <w:t>114</w:t>
      </w:r>
      <w:r>
        <w:t xml:space="preserve"> </w:t>
      </w:r>
      <w:r w:rsidRPr="00702EB4">
        <w:rPr>
          <w:lang w:val="en-US"/>
        </w:rPr>
        <w:t>(Patmore)</w:t>
      </w:r>
      <w:r>
        <w:rPr>
          <w:lang w:val="en-US"/>
        </w:rPr>
        <w:t>.</w:t>
      </w:r>
    </w:p>
  </w:footnote>
  <w:footnote w:id="36">
    <w:p w14:paraId="2F5CB6B9" w14:textId="7C14B7C5" w:rsidR="00EE78D8" w:rsidRPr="00EF5DF7" w:rsidRDefault="00EE78D8">
      <w:pPr>
        <w:pStyle w:val="FootnoteText"/>
        <w:rPr>
          <w:lang w:val="en-US"/>
        </w:rPr>
      </w:pPr>
      <w:r>
        <w:rPr>
          <w:rStyle w:val="FootnoteReference"/>
        </w:rPr>
        <w:footnoteRef/>
      </w:r>
      <w:r>
        <w:tab/>
      </w:r>
      <w:r>
        <w:rPr>
          <w:lang w:val="en-US"/>
        </w:rPr>
        <w:t>Ibid.</w:t>
      </w:r>
    </w:p>
  </w:footnote>
  <w:footnote w:id="37">
    <w:p w14:paraId="68073B9F" w14:textId="7258CB95" w:rsidR="00EE78D8" w:rsidRPr="006E77A8" w:rsidRDefault="00EE78D8">
      <w:pPr>
        <w:pStyle w:val="FootnoteText"/>
        <w:rPr>
          <w:lang w:val="en-US"/>
        </w:rPr>
      </w:pPr>
      <w:r>
        <w:rPr>
          <w:rStyle w:val="FootnoteReference"/>
        </w:rPr>
        <w:footnoteRef/>
      </w:r>
      <w:r>
        <w:tab/>
        <w:t xml:space="preserve">P Gooding et al, ‘Unfitness to Stand Trial and the Indefinite Detention of Persons with Cognitive Disabilities in Australia: Human Rights Challenges and Proposals for Change’ (2017) 40 </w:t>
      </w:r>
      <w:r>
        <w:rPr>
          <w:i/>
        </w:rPr>
        <w:t xml:space="preserve">Melbourne University Law Review </w:t>
      </w:r>
      <w:r>
        <w:t>816</w:t>
      </w:r>
      <w:r w:rsidRPr="00547923">
        <w:t>, 819</w:t>
      </w:r>
      <w:r>
        <w:t>.</w:t>
      </w:r>
    </w:p>
  </w:footnote>
  <w:footnote w:id="38">
    <w:p w14:paraId="625267FB" w14:textId="5DD8CF2C" w:rsidR="00EE78D8" w:rsidRPr="00BF4F3F" w:rsidRDefault="00EE78D8" w:rsidP="00ED1D65">
      <w:pPr>
        <w:pStyle w:val="FootnoteText"/>
        <w:rPr>
          <w:lang w:val="en-US"/>
        </w:rPr>
      </w:pPr>
      <w:r>
        <w:rPr>
          <w:rStyle w:val="FootnoteReference"/>
        </w:rPr>
        <w:footnoteRef/>
      </w:r>
      <w:r>
        <w:tab/>
      </w:r>
      <w:r w:rsidRPr="00EC0C7E">
        <w:rPr>
          <w:lang w:val="en-US"/>
        </w:rPr>
        <w:t xml:space="preserve">The identification of these principles </w:t>
      </w:r>
      <w:r>
        <w:rPr>
          <w:lang w:val="en-US"/>
        </w:rPr>
        <w:t>w</w:t>
      </w:r>
      <w:r w:rsidRPr="00EC0C7E">
        <w:rPr>
          <w:lang w:val="en-US"/>
        </w:rPr>
        <w:t>as drawn from the VLRC’s report, see VLRC,</w:t>
      </w:r>
      <w:r>
        <w:rPr>
          <w:lang w:val="en-US"/>
        </w:rPr>
        <w:t xml:space="preserve">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w:t>
      </w:r>
    </w:p>
  </w:footnote>
  <w:footnote w:id="39">
    <w:p w14:paraId="50C53FF1" w14:textId="46B125EE" w:rsidR="00EE78D8" w:rsidRPr="006E2E2B" w:rsidRDefault="00EE78D8">
      <w:pPr>
        <w:pStyle w:val="FootnoteText"/>
        <w:rPr>
          <w:lang w:val="en-US"/>
        </w:rPr>
      </w:pPr>
      <w:r>
        <w:rPr>
          <w:rStyle w:val="FootnoteReference"/>
        </w:rPr>
        <w:footnoteRef/>
      </w:r>
      <w:r>
        <w:tab/>
      </w:r>
      <w:r w:rsidRPr="00154F1D">
        <w:rPr>
          <w:i/>
        </w:rPr>
        <w:t>International Covenant on Civil and Political Rights</w:t>
      </w:r>
      <w:r>
        <w:rPr>
          <w:lang w:val="en-US"/>
        </w:rPr>
        <w:t xml:space="preserve">, opened for signature </w:t>
      </w:r>
      <w:r w:rsidRPr="007D0D07">
        <w:rPr>
          <w:lang w:val="en-US"/>
        </w:rPr>
        <w:t>16 December 1966, 999 UNTS 171 (entered into force 23 March 1976)</w:t>
      </w:r>
      <w:r>
        <w:rPr>
          <w:lang w:val="en-US"/>
        </w:rPr>
        <w:t xml:space="preserve"> arts 14, 10, 26 (‘</w:t>
      </w:r>
      <w:r w:rsidRPr="007D0D07">
        <w:rPr>
          <w:i/>
          <w:lang w:val="en-US"/>
        </w:rPr>
        <w:t>ICCPR</w:t>
      </w:r>
      <w:r>
        <w:rPr>
          <w:lang w:val="en-US"/>
        </w:rPr>
        <w:t xml:space="preserve">’); </w:t>
      </w:r>
      <w:r w:rsidRPr="00CB15D7">
        <w:rPr>
          <w:i/>
          <w:lang w:val="en-US"/>
        </w:rPr>
        <w:t>C</w:t>
      </w:r>
      <w:r>
        <w:rPr>
          <w:i/>
          <w:lang w:val="en-US"/>
        </w:rPr>
        <w:t>RP</w:t>
      </w:r>
      <w:r w:rsidRPr="00CB15D7">
        <w:rPr>
          <w:i/>
          <w:lang w:val="en-US"/>
        </w:rPr>
        <w:t>D</w:t>
      </w:r>
      <w:r>
        <w:rPr>
          <w:lang w:val="en-US"/>
        </w:rPr>
        <w:t xml:space="preserve"> arts 4, 5, 12, 13 14.</w:t>
      </w:r>
      <w:r w:rsidRPr="007D0D07">
        <w:rPr>
          <w:lang w:val="en-US"/>
        </w:rPr>
        <w:t xml:space="preserve"> </w:t>
      </w:r>
      <w:r>
        <w:rPr>
          <w:lang w:val="en-US"/>
        </w:rPr>
        <w:t>For a more detailed discussion of these provisions in the context of fitness to stand trial, see [4.4].</w:t>
      </w:r>
    </w:p>
  </w:footnote>
  <w:footnote w:id="40">
    <w:p w14:paraId="0DA73863" w14:textId="4CE4C7BF" w:rsidR="00EE78D8" w:rsidRPr="00E75B82" w:rsidRDefault="00EE78D8">
      <w:pPr>
        <w:pStyle w:val="FootnoteText"/>
        <w:rPr>
          <w:lang w:val="en-US"/>
        </w:rPr>
      </w:pPr>
      <w:r>
        <w:rPr>
          <w:rStyle w:val="FootnoteReference"/>
        </w:rPr>
        <w:footnoteRef/>
      </w:r>
      <w:r>
        <w:tab/>
      </w:r>
      <w:r>
        <w:rPr>
          <w:lang w:val="en-US"/>
        </w:rPr>
        <w:t xml:space="preserve">See for example, B McSherry et al, </w:t>
      </w:r>
      <w:r>
        <w:rPr>
          <w:i/>
          <w:lang w:val="en-US"/>
        </w:rPr>
        <w:t xml:space="preserve">Unfitness to Plead and Indefinite Detention of Persons with Cognitive Disabilities: Addressing the Legal Barriers and Creating Appropriate Alternative Supports in the Community </w:t>
      </w:r>
      <w:r w:rsidRPr="00BE07D9">
        <w:rPr>
          <w:lang w:val="en-US"/>
        </w:rPr>
        <w:t xml:space="preserve">(Melbourne Social </w:t>
      </w:r>
      <w:r>
        <w:rPr>
          <w:lang w:val="en-US"/>
        </w:rPr>
        <w:t>Eq</w:t>
      </w:r>
      <w:r w:rsidRPr="00BE07D9">
        <w:rPr>
          <w:lang w:val="en-US"/>
        </w:rPr>
        <w:t xml:space="preserve">uity </w:t>
      </w:r>
      <w:r>
        <w:rPr>
          <w:lang w:val="en-US"/>
        </w:rPr>
        <w:t>I</w:t>
      </w:r>
      <w:r w:rsidRPr="00BE07D9">
        <w:rPr>
          <w:lang w:val="en-US"/>
        </w:rPr>
        <w:t>ns</w:t>
      </w:r>
      <w:r>
        <w:rPr>
          <w:lang w:val="en-US"/>
        </w:rPr>
        <w:t>t</w:t>
      </w:r>
      <w:r w:rsidRPr="00BE07D9">
        <w:rPr>
          <w:lang w:val="en-US"/>
        </w:rPr>
        <w:t>itute, 2017)</w:t>
      </w:r>
      <w:r>
        <w:rPr>
          <w:lang w:val="en-US"/>
        </w:rPr>
        <w:t>.</w:t>
      </w:r>
    </w:p>
  </w:footnote>
  <w:footnote w:id="41">
    <w:p w14:paraId="7C7C44A3" w14:textId="08D2F901" w:rsidR="00EE78D8" w:rsidRPr="003D2BCE" w:rsidRDefault="00EE78D8">
      <w:pPr>
        <w:pStyle w:val="FootnoteText"/>
        <w:rPr>
          <w:lang w:val="en-US"/>
        </w:rPr>
      </w:pPr>
      <w:r>
        <w:rPr>
          <w:rStyle w:val="FootnoteReference"/>
        </w:rPr>
        <w:footnoteRef/>
      </w:r>
      <w:r>
        <w:tab/>
        <w:t xml:space="preserve">VLRC, above n </w:t>
      </w:r>
      <w:r>
        <w:fldChar w:fldCharType="begin"/>
      </w:r>
      <w:r>
        <w:instrText xml:space="preserve"> NOTEREF _Ref534979326 \h </w:instrText>
      </w:r>
      <w:r>
        <w:fldChar w:fldCharType="separate"/>
      </w:r>
      <w:r w:rsidR="001F209C">
        <w:t>26</w:t>
      </w:r>
      <w:r>
        <w:fldChar w:fldCharType="end"/>
      </w:r>
      <w:r>
        <w:t xml:space="preserve">, 18 quoting A Mason, ‘Fair Trial’ (1995) 19 </w:t>
      </w:r>
      <w:r>
        <w:rPr>
          <w:i/>
        </w:rPr>
        <w:t xml:space="preserve">Criminal Law Journal </w:t>
      </w:r>
      <w:r>
        <w:t>7, 7.</w:t>
      </w:r>
    </w:p>
  </w:footnote>
  <w:footnote w:id="42">
    <w:p w14:paraId="7999353D" w14:textId="4D8B3FA6" w:rsidR="00EE78D8" w:rsidRPr="003D2BCE" w:rsidRDefault="00EE78D8">
      <w:pPr>
        <w:pStyle w:val="FootnoteText"/>
        <w:rPr>
          <w:lang w:val="en-US"/>
        </w:rPr>
      </w:pPr>
      <w:r>
        <w:rPr>
          <w:rStyle w:val="FootnoteReference"/>
        </w:rPr>
        <w:footnoteRef/>
      </w:r>
      <w:r>
        <w:tab/>
        <w:t xml:space="preserve">VLRC, above n </w:t>
      </w:r>
      <w:r>
        <w:fldChar w:fldCharType="begin"/>
      </w:r>
      <w:r>
        <w:instrText xml:space="preserve"> NOTEREF _Ref534979326 \h </w:instrText>
      </w:r>
      <w:r>
        <w:fldChar w:fldCharType="separate"/>
      </w:r>
      <w:r w:rsidR="001F209C">
        <w:t>26</w:t>
      </w:r>
      <w:r>
        <w:fldChar w:fldCharType="end"/>
      </w:r>
      <w:r>
        <w:t>, 18</w:t>
      </w:r>
      <w:r>
        <w:rPr>
          <w:lang w:val="en-US"/>
        </w:rPr>
        <w:t>.</w:t>
      </w:r>
    </w:p>
  </w:footnote>
  <w:footnote w:id="43">
    <w:p w14:paraId="471E302F" w14:textId="06E6824E" w:rsidR="00EE78D8" w:rsidRPr="003D2BCE" w:rsidRDefault="00EE78D8">
      <w:pPr>
        <w:pStyle w:val="FootnoteText"/>
        <w:rPr>
          <w:lang w:val="en-US"/>
        </w:rPr>
      </w:pPr>
      <w:r>
        <w:rPr>
          <w:rStyle w:val="FootnoteReference"/>
        </w:rPr>
        <w:footnoteRef/>
      </w:r>
      <w:r>
        <w:tab/>
      </w:r>
      <w:r w:rsidRPr="00A16AAC">
        <w:rPr>
          <w:i/>
        </w:rPr>
        <w:t>Criminal Justice Mental Impairment Act 1999</w:t>
      </w:r>
      <w:r w:rsidRPr="00A16AAC">
        <w:t xml:space="preserve"> (Tas)</w:t>
      </w:r>
      <w:r>
        <w:t xml:space="preserve"> </w:t>
      </w:r>
      <w:r>
        <w:rPr>
          <w:lang w:val="en-US"/>
        </w:rPr>
        <w:t xml:space="preserve">s 16. </w:t>
      </w:r>
    </w:p>
  </w:footnote>
  <w:footnote w:id="44">
    <w:p w14:paraId="3FB9F4AC" w14:textId="5421AD9F" w:rsidR="00EE78D8" w:rsidRPr="003D2BCE" w:rsidRDefault="00EE78D8">
      <w:pPr>
        <w:pStyle w:val="FootnoteText"/>
        <w:rPr>
          <w:lang w:val="en-US"/>
        </w:rPr>
      </w:pPr>
      <w:r>
        <w:rPr>
          <w:rStyle w:val="FootnoteReference"/>
        </w:rPr>
        <w:footnoteRef/>
      </w:r>
      <w:r>
        <w:tab/>
        <w:t xml:space="preserve">Ibid </w:t>
      </w:r>
      <w:r>
        <w:rPr>
          <w:lang w:val="en-US"/>
        </w:rPr>
        <w:t>s 16(3)(c), (d).</w:t>
      </w:r>
    </w:p>
  </w:footnote>
  <w:footnote w:id="45">
    <w:p w14:paraId="432C039B" w14:textId="2B0E8AF3" w:rsidR="00EE78D8" w:rsidRPr="003D2BCE" w:rsidRDefault="00EE78D8">
      <w:pPr>
        <w:pStyle w:val="FootnoteText"/>
        <w:rPr>
          <w:lang w:val="en-US"/>
        </w:rPr>
      </w:pPr>
      <w:r>
        <w:rPr>
          <w:rStyle w:val="FootnoteReference"/>
        </w:rPr>
        <w:footnoteRef/>
      </w:r>
      <w:r>
        <w:tab/>
        <w:t xml:space="preserve">Ibid </w:t>
      </w:r>
      <w:r>
        <w:rPr>
          <w:lang w:val="en-US"/>
        </w:rPr>
        <w:t>s 16(3)(b).</w:t>
      </w:r>
    </w:p>
  </w:footnote>
  <w:footnote w:id="46">
    <w:p w14:paraId="14C631EA" w14:textId="67F54C1D" w:rsidR="00EE78D8" w:rsidRPr="00D046AB" w:rsidRDefault="00EE78D8" w:rsidP="000B332E">
      <w:pPr>
        <w:pStyle w:val="FootnoteText"/>
        <w:rPr>
          <w:lang w:val="en-US"/>
        </w:rPr>
      </w:pPr>
      <w:r>
        <w:rPr>
          <w:rStyle w:val="FootnoteReference"/>
        </w:rPr>
        <w:footnoteRef/>
      </w:r>
      <w:r>
        <w:tab/>
        <w:t xml:space="preserve">Ibid </w:t>
      </w:r>
      <w:r>
        <w:rPr>
          <w:lang w:val="en-US"/>
        </w:rPr>
        <w:t>s 34.</w:t>
      </w:r>
    </w:p>
  </w:footnote>
  <w:footnote w:id="47">
    <w:p w14:paraId="4BC134EA" w14:textId="418B0E01" w:rsidR="00EE78D8" w:rsidRPr="00BD5D77" w:rsidRDefault="00EE78D8" w:rsidP="000B0BD0">
      <w:pPr>
        <w:pStyle w:val="FootnoteText"/>
        <w:rPr>
          <w:lang w:val="en-US"/>
        </w:rPr>
      </w:pPr>
      <w:r>
        <w:rPr>
          <w:rStyle w:val="FootnoteReference"/>
        </w:rPr>
        <w:footnoteRef/>
      </w:r>
      <w:r>
        <w:tab/>
        <w:t xml:space="preserve">VLRC, above n </w:t>
      </w:r>
      <w:r>
        <w:fldChar w:fldCharType="begin"/>
      </w:r>
      <w:r>
        <w:instrText xml:space="preserve"> NOTEREF _Ref534978514 \h </w:instrText>
      </w:r>
      <w:r>
        <w:fldChar w:fldCharType="separate"/>
      </w:r>
      <w:r w:rsidR="001F209C">
        <w:t>24</w:t>
      </w:r>
      <w:r>
        <w:fldChar w:fldCharType="end"/>
      </w:r>
      <w:r>
        <w:t>, 30.</w:t>
      </w:r>
    </w:p>
  </w:footnote>
  <w:footnote w:id="48">
    <w:p w14:paraId="12758B1E" w14:textId="6ED6585E" w:rsidR="00EE78D8" w:rsidRPr="00F66C2F" w:rsidRDefault="00EE78D8" w:rsidP="000B332E">
      <w:pPr>
        <w:pStyle w:val="FootnoteText"/>
        <w:rPr>
          <w:lang w:val="en-US"/>
        </w:rPr>
      </w:pPr>
      <w:r>
        <w:rPr>
          <w:rStyle w:val="FootnoteReference"/>
        </w:rPr>
        <w:footnoteRef/>
      </w:r>
      <w:r>
        <w:tab/>
      </w:r>
      <w:r w:rsidRPr="00A16AAC">
        <w:rPr>
          <w:i/>
        </w:rPr>
        <w:t>Criminal Justice Mental Impairment Act 1999</w:t>
      </w:r>
      <w:r w:rsidRPr="00A16AAC">
        <w:t xml:space="preserve"> (Tas)</w:t>
      </w:r>
      <w:r>
        <w:t xml:space="preserve"> s 37(2).</w:t>
      </w:r>
    </w:p>
  </w:footnote>
  <w:footnote w:id="49">
    <w:p w14:paraId="1DA01AA4" w14:textId="76628B5B" w:rsidR="00EE78D8" w:rsidRPr="0089268A" w:rsidRDefault="00EE78D8">
      <w:pPr>
        <w:pStyle w:val="FootnoteText"/>
        <w:rPr>
          <w:lang w:val="en-US"/>
        </w:rPr>
      </w:pPr>
      <w:r>
        <w:rPr>
          <w:rStyle w:val="FootnoteReference"/>
        </w:rPr>
        <w:footnoteRef/>
      </w:r>
      <w:r>
        <w:tab/>
        <w:t xml:space="preserve">B Butler, </w:t>
      </w:r>
      <w:r>
        <w:rPr>
          <w:i/>
        </w:rPr>
        <w:t xml:space="preserve">Promoting Balance in the Forensic Mental Health System: Review of the Queensland Mental Health Act 2000 </w:t>
      </w:r>
      <w:r>
        <w:t xml:space="preserve">(Final Report, 2006) </w:t>
      </w:r>
      <w:r>
        <w:rPr>
          <w:lang w:val="en-US"/>
        </w:rPr>
        <w:t>28–29 (the ‘Butler Report’).</w:t>
      </w:r>
    </w:p>
  </w:footnote>
  <w:footnote w:id="50">
    <w:p w14:paraId="046316CC" w14:textId="3008F3D4" w:rsidR="00EE78D8" w:rsidRPr="000D6DC5" w:rsidRDefault="00EE78D8">
      <w:pPr>
        <w:pStyle w:val="FootnoteText"/>
        <w:rPr>
          <w:lang w:val="en-US"/>
        </w:rPr>
      </w:pPr>
      <w:r>
        <w:rPr>
          <w:rStyle w:val="FootnoteReference"/>
        </w:rPr>
        <w:footnoteRef/>
      </w:r>
      <w:r>
        <w:tab/>
      </w:r>
      <w:r w:rsidRPr="00A16AAC">
        <w:rPr>
          <w:i/>
        </w:rPr>
        <w:t>Criminal Justice Mental Impairment Act 1999</w:t>
      </w:r>
      <w:r w:rsidRPr="00A16AAC">
        <w:t xml:space="preserve"> (Tas)</w:t>
      </w:r>
      <w:r>
        <w:t xml:space="preserve"> s </w:t>
      </w:r>
      <w:r>
        <w:rPr>
          <w:lang w:val="en-US"/>
        </w:rPr>
        <w:t>35(1)(b).</w:t>
      </w:r>
    </w:p>
  </w:footnote>
  <w:footnote w:id="51">
    <w:p w14:paraId="609CB9BB" w14:textId="627ED239" w:rsidR="00EE78D8" w:rsidRPr="000D6DC5" w:rsidRDefault="00EE78D8">
      <w:pPr>
        <w:pStyle w:val="FootnoteText"/>
        <w:rPr>
          <w:lang w:val="en-US"/>
        </w:rPr>
      </w:pPr>
      <w:r>
        <w:rPr>
          <w:rStyle w:val="FootnoteReference"/>
        </w:rPr>
        <w:footnoteRef/>
      </w:r>
      <w:r>
        <w:rPr>
          <w:lang w:val="en-US"/>
        </w:rPr>
        <w:tab/>
        <w:t>Ibid s 35(1)(a).</w:t>
      </w:r>
    </w:p>
  </w:footnote>
  <w:footnote w:id="52">
    <w:p w14:paraId="119C7959" w14:textId="3653B61D" w:rsidR="00EE78D8" w:rsidRPr="007A5B28" w:rsidRDefault="00EE78D8">
      <w:pPr>
        <w:pStyle w:val="FootnoteText"/>
        <w:rPr>
          <w:lang w:val="en-US"/>
        </w:rPr>
      </w:pPr>
      <w:r>
        <w:rPr>
          <w:rStyle w:val="FootnoteReference"/>
        </w:rPr>
        <w:footnoteRef/>
      </w:r>
      <w:r>
        <w:tab/>
      </w:r>
      <w:r>
        <w:rPr>
          <w:lang w:val="en-US"/>
        </w:rPr>
        <w:t>Ibid s 35(2)(a).</w:t>
      </w:r>
    </w:p>
  </w:footnote>
  <w:footnote w:id="53">
    <w:p w14:paraId="4415B81E" w14:textId="447E5578" w:rsidR="00EE78D8" w:rsidRPr="00F66C2F" w:rsidRDefault="00EE78D8">
      <w:pPr>
        <w:pStyle w:val="FootnoteText"/>
        <w:rPr>
          <w:lang w:val="en-US"/>
        </w:rPr>
      </w:pPr>
      <w:r>
        <w:rPr>
          <w:rStyle w:val="FootnoteReference"/>
        </w:rPr>
        <w:footnoteRef/>
      </w:r>
      <w:r>
        <w:tab/>
      </w:r>
      <w:r>
        <w:rPr>
          <w:lang w:val="en-US"/>
        </w:rPr>
        <w:t>Ibid s</w:t>
      </w:r>
      <w:r>
        <w:t xml:space="preserve"> 37(2).</w:t>
      </w:r>
    </w:p>
  </w:footnote>
  <w:footnote w:id="54">
    <w:p w14:paraId="5739221C" w14:textId="3DA1BBC1" w:rsidR="00EE78D8" w:rsidRPr="00DC5CF9" w:rsidRDefault="00EE78D8">
      <w:pPr>
        <w:pStyle w:val="FootnoteText"/>
        <w:rPr>
          <w:lang w:val="en-US"/>
        </w:rPr>
      </w:pPr>
      <w:r>
        <w:rPr>
          <w:rStyle w:val="FootnoteReference"/>
        </w:rPr>
        <w:footnoteRef/>
      </w:r>
      <w:r>
        <w:tab/>
      </w:r>
      <w:r>
        <w:rPr>
          <w:lang w:val="en-US"/>
        </w:rPr>
        <w:t>Ibid s 33(1). However, in relation to supervision orders, the court does not require a report to determine if the defendant should be detained or subjected to a more rigorous form of supervision or to vary in minor respects the conditions on which the defendant was released: s 33(2).</w:t>
      </w:r>
    </w:p>
  </w:footnote>
  <w:footnote w:id="55">
    <w:p w14:paraId="18192081" w14:textId="6BB0F8D3" w:rsidR="00EE78D8" w:rsidRPr="00F24336" w:rsidRDefault="00EE78D8" w:rsidP="00C92F06">
      <w:pPr>
        <w:pStyle w:val="FootnoteText"/>
        <w:rPr>
          <w:lang w:val="en-US"/>
        </w:rPr>
      </w:pPr>
      <w:r>
        <w:rPr>
          <w:rStyle w:val="FootnoteReference"/>
        </w:rPr>
        <w:footnoteRef/>
      </w:r>
      <w:r>
        <w:tab/>
      </w:r>
      <w:r>
        <w:rPr>
          <w:lang w:val="en-US"/>
        </w:rPr>
        <w:t xml:space="preserve">NSWLRC, above n 8, xv; NSWLRC, </w:t>
      </w:r>
      <w:r w:rsidRPr="00C92F06">
        <w:rPr>
          <w:i/>
          <w:lang w:val="en-US"/>
        </w:rPr>
        <w:t>People with Cognitive and Mental Health Impairments in the Criminal Justice System:</w:t>
      </w:r>
      <w:r w:rsidRPr="00C92F06">
        <w:rPr>
          <w:lang w:val="en-US"/>
        </w:rPr>
        <w:t xml:space="preserve"> </w:t>
      </w:r>
      <w:r>
        <w:rPr>
          <w:i/>
          <w:lang w:val="en-US"/>
        </w:rPr>
        <w:t>Criminal Responsibility and Consequences</w:t>
      </w:r>
      <w:r w:rsidRPr="00C92F06">
        <w:rPr>
          <w:lang w:val="en-US"/>
        </w:rPr>
        <w:t>,</w:t>
      </w:r>
      <w:r>
        <w:rPr>
          <w:i/>
          <w:lang w:val="en-US"/>
        </w:rPr>
        <w:t xml:space="preserve"> </w:t>
      </w:r>
      <w:r>
        <w:rPr>
          <w:lang w:val="en-US"/>
        </w:rPr>
        <w:t xml:space="preserve">Report 138 (2013) 6–7. See also Law Reform Committee, Parliament of Victoria, </w:t>
      </w:r>
      <w:r>
        <w:rPr>
          <w:i/>
          <w:lang w:val="en-US"/>
        </w:rPr>
        <w:t xml:space="preserve">Inquiry into Access to and Interaction with the Justice System by People with an </w:t>
      </w:r>
      <w:r w:rsidRPr="001076E6">
        <w:rPr>
          <w:i/>
          <w:lang w:val="en-US"/>
        </w:rPr>
        <w:t xml:space="preserve">Intellectual Disability and </w:t>
      </w:r>
      <w:r>
        <w:rPr>
          <w:i/>
          <w:lang w:val="en-US"/>
        </w:rPr>
        <w:t>Their Families and Carer</w:t>
      </w:r>
      <w:r w:rsidRPr="001076E6">
        <w:rPr>
          <w:i/>
          <w:lang w:val="en-US"/>
        </w:rPr>
        <w:t>s</w:t>
      </w:r>
      <w:r>
        <w:rPr>
          <w:lang w:val="en-US"/>
        </w:rPr>
        <w:t xml:space="preserve"> </w:t>
      </w:r>
      <w:r w:rsidRPr="001076E6">
        <w:rPr>
          <w:lang w:val="en-US"/>
        </w:rPr>
        <w:t>(2013) 11</w:t>
      </w:r>
      <w:r>
        <w:rPr>
          <w:lang w:val="en-US"/>
        </w:rPr>
        <w:t xml:space="preserve"> (‘Law Reform Committee’)</w:t>
      </w:r>
      <w:r w:rsidRPr="001076E6">
        <w:rPr>
          <w:lang w:val="en-US"/>
        </w:rPr>
        <w:t xml:space="preserve">; </w:t>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xml:space="preserve">, 2; K Dean et al, </w:t>
      </w:r>
      <w:r>
        <w:rPr>
          <w:i/>
          <w:lang w:val="en-US"/>
        </w:rPr>
        <w:t xml:space="preserve">The Justice System and Mental Health: A Review of the Literature </w:t>
      </w:r>
      <w:r>
        <w:rPr>
          <w:lang w:val="en-US"/>
        </w:rPr>
        <w:t>(2013) 4</w:t>
      </w:r>
      <w:r w:rsidRPr="001076E6">
        <w:rPr>
          <w:lang w:val="en-US"/>
        </w:rPr>
        <w:t>.</w:t>
      </w:r>
    </w:p>
  </w:footnote>
  <w:footnote w:id="56">
    <w:p w14:paraId="730A8133" w14:textId="2F9FBE86" w:rsidR="00EE78D8" w:rsidRPr="00E13550" w:rsidRDefault="00EE78D8">
      <w:pPr>
        <w:pStyle w:val="FootnoteText"/>
        <w:rPr>
          <w:lang w:val="en-US"/>
        </w:rPr>
      </w:pPr>
      <w:r>
        <w:rPr>
          <w:rStyle w:val="FootnoteReference"/>
        </w:rPr>
        <w:footnoteRef/>
      </w:r>
      <w:r>
        <w:tab/>
        <w:t xml:space="preserve">Australian Institute of Health and Welfare, </w:t>
      </w:r>
      <w:r>
        <w:rPr>
          <w:i/>
        </w:rPr>
        <w:t xml:space="preserve">The Health of Australia’s Prisoners 2015 </w:t>
      </w:r>
      <w:r>
        <w:t xml:space="preserve">(2015) </w:t>
      </w:r>
      <w:r>
        <w:rPr>
          <w:lang w:val="en-US"/>
        </w:rPr>
        <w:t>36.</w:t>
      </w:r>
    </w:p>
  </w:footnote>
  <w:footnote w:id="57">
    <w:p w14:paraId="08F744B6" w14:textId="51D9FB3E" w:rsidR="00EE78D8" w:rsidRPr="00D6057D" w:rsidRDefault="00EE78D8">
      <w:pPr>
        <w:pStyle w:val="FootnoteText"/>
        <w:rPr>
          <w:lang w:val="en-US"/>
        </w:rPr>
      </w:pPr>
      <w:r>
        <w:rPr>
          <w:rStyle w:val="FootnoteReference"/>
        </w:rPr>
        <w:footnoteRef/>
      </w:r>
      <w:r>
        <w:tab/>
        <w:t xml:space="preserve">Magistrates’ Court Victoria, Submission No IDAJ31 to Law Reform Committee, Parliament of Victoria, </w:t>
      </w:r>
      <w:r>
        <w:rPr>
          <w:i/>
        </w:rPr>
        <w:t>Inquiry into Access to and Interaction with the Justice System by People with an Intellectual Disability and Their Families and Carers</w:t>
      </w:r>
      <w:r>
        <w:t xml:space="preserve">, (2011) 5 quoted in VLRC, above n </w:t>
      </w:r>
      <w:r>
        <w:fldChar w:fldCharType="begin"/>
      </w:r>
      <w:r>
        <w:instrText xml:space="preserve"> NOTEREF _Ref534979326 \h </w:instrText>
      </w:r>
      <w:r>
        <w:fldChar w:fldCharType="separate"/>
      </w:r>
      <w:r w:rsidR="001F209C">
        <w:t>26</w:t>
      </w:r>
      <w:r>
        <w:fldChar w:fldCharType="end"/>
      </w:r>
      <w:r>
        <w:t>, 34.</w:t>
      </w:r>
    </w:p>
  </w:footnote>
  <w:footnote w:id="58">
    <w:p w14:paraId="34C3ED7A" w14:textId="5AEE233C" w:rsidR="00EE78D8" w:rsidRPr="00465957" w:rsidRDefault="00EE78D8">
      <w:pPr>
        <w:pStyle w:val="FootnoteText"/>
        <w:rPr>
          <w:lang w:val="en-US"/>
        </w:rPr>
      </w:pPr>
      <w:r>
        <w:rPr>
          <w:rStyle w:val="FootnoteReference"/>
        </w:rPr>
        <w:footnoteRef/>
      </w:r>
      <w:r>
        <w:tab/>
      </w:r>
      <w:r>
        <w:rPr>
          <w:lang w:val="en-US"/>
        </w:rPr>
        <w:t xml:space="preserve">Dean et al,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xml:space="preserve">, 13; Law Reform Committee,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w:t>
      </w:r>
    </w:p>
  </w:footnote>
  <w:footnote w:id="59">
    <w:p w14:paraId="57E6D2ED" w14:textId="18945C88" w:rsidR="00EE78D8" w:rsidRPr="000C040E" w:rsidRDefault="00EE78D8">
      <w:pPr>
        <w:pStyle w:val="FootnoteText"/>
        <w:rPr>
          <w:lang w:val="en-US"/>
        </w:rPr>
      </w:pPr>
      <w:r>
        <w:rPr>
          <w:rStyle w:val="FootnoteReference"/>
        </w:rPr>
        <w:footnoteRef/>
      </w:r>
      <w:r>
        <w:tab/>
      </w:r>
      <w:r>
        <w:rPr>
          <w:lang w:val="en-US"/>
        </w:rPr>
        <w:t xml:space="preserve">M Nixon et al, ‘Estimating the Risk of Crime and Victimisation in People with Intellectual Disabilities: A Data-Linkage Study’ (2017) 52 </w:t>
      </w:r>
      <w:r w:rsidRPr="000C040E">
        <w:rPr>
          <w:i/>
        </w:rPr>
        <w:t>Social Psychiatry and Psychiatric Epidemiology</w:t>
      </w:r>
      <w:r>
        <w:rPr>
          <w:i/>
        </w:rPr>
        <w:t xml:space="preserve"> </w:t>
      </w:r>
      <w:r>
        <w:t>617, 617.</w:t>
      </w:r>
    </w:p>
  </w:footnote>
  <w:footnote w:id="60">
    <w:p w14:paraId="089E5CA8" w14:textId="6E2827C6" w:rsidR="00EE78D8" w:rsidRPr="006D16F2" w:rsidRDefault="00EE78D8">
      <w:pPr>
        <w:pStyle w:val="FootnoteText"/>
        <w:rPr>
          <w:lang w:val="en-US"/>
        </w:rPr>
      </w:pPr>
      <w:r>
        <w:rPr>
          <w:rStyle w:val="FootnoteReference"/>
        </w:rPr>
        <w:footnoteRef/>
      </w:r>
      <w:r>
        <w:tab/>
        <w:t xml:space="preserve">Law Council of Australia, </w:t>
      </w:r>
      <w:r>
        <w:rPr>
          <w:i/>
        </w:rPr>
        <w:t>The Justice Project: People with Disability</w:t>
      </w:r>
      <w:r>
        <w:t xml:space="preserve">, Consultation Paper (2017) 14 referring to C Jennings, </w:t>
      </w:r>
      <w:r>
        <w:rPr>
          <w:i/>
        </w:rPr>
        <w:t>Triple Disadvantage: Out of Sight, Out of Mind</w:t>
      </w:r>
      <w:r>
        <w:t>,</w:t>
      </w:r>
      <w:r>
        <w:rPr>
          <w:i/>
        </w:rPr>
        <w:t xml:space="preserve"> </w:t>
      </w:r>
      <w:r w:rsidRPr="00E93A03">
        <w:t>Violence Against Women with Disabilities Project</w:t>
      </w:r>
      <w:r>
        <w:rPr>
          <w:i/>
        </w:rPr>
        <w:t xml:space="preserve"> </w:t>
      </w:r>
      <w:r>
        <w:t>(Domestic Violence and Incest Resource Centre, 2</w:t>
      </w:r>
      <w:r w:rsidRPr="00381F9A">
        <w:rPr>
          <w:vertAlign w:val="superscript"/>
        </w:rPr>
        <w:t>nd</w:t>
      </w:r>
      <w:r>
        <w:t xml:space="preserve"> ed, 2003) 12.</w:t>
      </w:r>
    </w:p>
  </w:footnote>
  <w:footnote w:id="61">
    <w:p w14:paraId="66841899" w14:textId="05B727E3" w:rsidR="00EE78D8" w:rsidRPr="00586137" w:rsidRDefault="00EE78D8">
      <w:pPr>
        <w:pStyle w:val="FootnoteText"/>
        <w:rPr>
          <w:lang w:val="en-US"/>
        </w:rPr>
      </w:pPr>
      <w:r>
        <w:rPr>
          <w:rStyle w:val="FootnoteReference"/>
        </w:rPr>
        <w:footnoteRef/>
      </w:r>
      <w:r>
        <w:tab/>
        <w:t xml:space="preserve">Gooding et al, above n </w:t>
      </w:r>
      <w:r>
        <w:fldChar w:fldCharType="begin"/>
      </w:r>
      <w:r>
        <w:instrText xml:space="preserve"> NOTEREF _Ref534982760 \h </w:instrText>
      </w:r>
      <w:r>
        <w:fldChar w:fldCharType="separate"/>
      </w:r>
      <w:r w:rsidR="001F209C">
        <w:t>37</w:t>
      </w:r>
      <w:r>
        <w:fldChar w:fldCharType="end"/>
      </w:r>
      <w:r>
        <w:t>, 827.</w:t>
      </w:r>
    </w:p>
  </w:footnote>
  <w:footnote w:id="62">
    <w:p w14:paraId="6357555A" w14:textId="35AD2317" w:rsidR="00EE78D8" w:rsidRPr="00654F03" w:rsidRDefault="00EE78D8" w:rsidP="00850451">
      <w:pPr>
        <w:pStyle w:val="FootnoteText"/>
        <w:rPr>
          <w:lang w:val="en-US"/>
        </w:rPr>
      </w:pPr>
      <w:r>
        <w:rPr>
          <w:rStyle w:val="FootnoteReference"/>
        </w:rPr>
        <w:footnoteRef/>
      </w:r>
      <w:r>
        <w:tab/>
      </w:r>
      <w:r>
        <w:rPr>
          <w:lang w:val="en-US"/>
        </w:rPr>
        <w:t xml:space="preserve">Dean et al,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5.</w:t>
      </w:r>
    </w:p>
  </w:footnote>
  <w:footnote w:id="63">
    <w:p w14:paraId="4FEFBE2D" w14:textId="5691674A" w:rsidR="00EE78D8" w:rsidRPr="00906B51" w:rsidRDefault="00EE78D8">
      <w:pPr>
        <w:pStyle w:val="FootnoteText"/>
        <w:rPr>
          <w:lang w:val="en-US"/>
        </w:rPr>
      </w:pPr>
      <w:r>
        <w:rPr>
          <w:rStyle w:val="FootnoteReference"/>
        </w:rPr>
        <w:footnoteRef/>
      </w:r>
      <w:r>
        <w:tab/>
      </w:r>
      <w:r>
        <w:rPr>
          <w:lang w:val="en-US"/>
        </w:rPr>
        <w:t xml:space="preserve">M Bagaric and R Edney, </w:t>
      </w:r>
      <w:r>
        <w:rPr>
          <w:i/>
          <w:lang w:val="en-US"/>
        </w:rPr>
        <w:t>Sentencing in Australia</w:t>
      </w:r>
      <w:r>
        <w:rPr>
          <w:lang w:val="en-US"/>
        </w:rPr>
        <w:t xml:space="preserve"> (Thomson Reuters, 2016) 347.</w:t>
      </w:r>
    </w:p>
  </w:footnote>
  <w:footnote w:id="64">
    <w:p w14:paraId="580ADA96" w14:textId="1F2DC4E8" w:rsidR="00EE78D8" w:rsidRPr="00BE6F72"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xml:space="preserve">, 7; Dean et al,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8–9.</w:t>
      </w:r>
    </w:p>
  </w:footnote>
  <w:footnote w:id="65">
    <w:p w14:paraId="08327A10" w14:textId="736C2A8B" w:rsidR="00EE78D8" w:rsidRPr="00B3399B" w:rsidRDefault="00EE78D8">
      <w:pPr>
        <w:pStyle w:val="FootnoteText"/>
        <w:rPr>
          <w:i/>
          <w:lang w:val="en-US"/>
        </w:rPr>
      </w:pPr>
      <w:r>
        <w:rPr>
          <w:rStyle w:val="FootnoteReference"/>
        </w:rPr>
        <w:footnoteRef/>
      </w:r>
      <w:r>
        <w:tab/>
      </w:r>
      <w:r>
        <w:rPr>
          <w:lang w:val="en-US"/>
        </w:rPr>
        <w:t xml:space="preserve">J Ogloff et al, ‘The Identification of Mental Disorders in the Criminal Justice System’ </w:t>
      </w:r>
      <w:r>
        <w:rPr>
          <w:i/>
          <w:lang w:val="en-US"/>
        </w:rPr>
        <w:t xml:space="preserve">Trends and Issues in Criminal Justice </w:t>
      </w:r>
      <w:r w:rsidRPr="00074255">
        <w:rPr>
          <w:lang w:val="en-US"/>
        </w:rPr>
        <w:t>334 (2007) 2.</w:t>
      </w:r>
    </w:p>
  </w:footnote>
  <w:footnote w:id="66">
    <w:p w14:paraId="438C6A3B" w14:textId="65963C3E" w:rsidR="00EE78D8" w:rsidRPr="00022776" w:rsidRDefault="00EE78D8">
      <w:pPr>
        <w:pStyle w:val="FootnoteText"/>
        <w:rPr>
          <w:lang w:val="en-US"/>
        </w:rPr>
      </w:pPr>
      <w:r>
        <w:rPr>
          <w:rStyle w:val="FootnoteReference"/>
        </w:rPr>
        <w:footnoteRef/>
      </w:r>
      <w:r>
        <w:tab/>
        <w:t xml:space="preserve">C Cunneen et al, </w:t>
      </w:r>
      <w:r>
        <w:rPr>
          <w:i/>
        </w:rPr>
        <w:t xml:space="preserve">Penal Culture and Hyperincarceration: The Revival of the Prison </w:t>
      </w:r>
      <w:r>
        <w:t>(Taylor and Francis, 2013) 91 (references omitted).</w:t>
      </w:r>
    </w:p>
  </w:footnote>
  <w:footnote w:id="67">
    <w:p w14:paraId="4007DAA7" w14:textId="28DD7323" w:rsidR="00EE78D8" w:rsidRPr="00FF2AE3" w:rsidRDefault="00EE78D8">
      <w:pPr>
        <w:pStyle w:val="FootnoteText"/>
        <w:rPr>
          <w:lang w:val="en-US"/>
        </w:rPr>
      </w:pPr>
      <w:r>
        <w:rPr>
          <w:rStyle w:val="FootnoteReference"/>
        </w:rPr>
        <w:footnoteRef/>
      </w:r>
      <w:r>
        <w:tab/>
        <w:t xml:space="preserve">Ibid </w:t>
      </w:r>
      <w:r>
        <w:rPr>
          <w:lang w:val="en-US"/>
        </w:rPr>
        <w:t>191.</w:t>
      </w:r>
    </w:p>
  </w:footnote>
  <w:footnote w:id="68">
    <w:p w14:paraId="11DC9835" w14:textId="01328F75" w:rsidR="00EE78D8" w:rsidRPr="00906B51" w:rsidRDefault="00EE78D8" w:rsidP="00751CC6">
      <w:pPr>
        <w:pStyle w:val="FootnoteText"/>
        <w:rPr>
          <w:lang w:val="en-US"/>
        </w:rPr>
      </w:pPr>
      <w:r>
        <w:rPr>
          <w:rStyle w:val="FootnoteReference"/>
        </w:rPr>
        <w:footnoteRef/>
      </w:r>
      <w:r>
        <w:tab/>
      </w:r>
      <w:r>
        <w:rPr>
          <w:lang w:val="en-US"/>
        </w:rPr>
        <w:t>See Appendix 8.</w:t>
      </w:r>
    </w:p>
  </w:footnote>
  <w:footnote w:id="69">
    <w:p w14:paraId="3A2AE45C" w14:textId="31E26A0D" w:rsidR="00EE78D8" w:rsidRPr="00EF166C" w:rsidRDefault="00EE78D8" w:rsidP="00EF166C">
      <w:pPr>
        <w:pStyle w:val="FootnoteText"/>
        <w:jc w:val="left"/>
      </w:pPr>
      <w:r w:rsidRPr="00EF166C">
        <w:rPr>
          <w:rStyle w:val="FootnoteReference"/>
        </w:rPr>
        <w:footnoteRef/>
      </w:r>
      <w:r w:rsidRPr="00EF166C">
        <w:tab/>
        <w:t>E Bevin, ‘New taskforce to probe how mentally ill prisoners are dealt with after Voula Delios</w:t>
      </w:r>
      <w:r>
        <w:t>’</w:t>
      </w:r>
      <w:r w:rsidRPr="00EF166C">
        <w:t xml:space="preserve">s murder’, </w:t>
      </w:r>
      <w:r w:rsidRPr="00EF166C">
        <w:rPr>
          <w:i/>
        </w:rPr>
        <w:t>ABC News</w:t>
      </w:r>
      <w:r w:rsidRPr="00EF166C">
        <w:t>, 2 October 2018</w:t>
      </w:r>
      <w:r>
        <w:t xml:space="preserve"> </w:t>
      </w:r>
      <w:r w:rsidRPr="00EF166C">
        <w:t>&lt;https://www.abc.net.au/news/2018-10-02/prisoner-mental-health-focus-of-new-taskforce/10328332&gt;.</w:t>
      </w:r>
    </w:p>
  </w:footnote>
  <w:footnote w:id="70">
    <w:p w14:paraId="1BDA152B" w14:textId="56A3DE41" w:rsidR="00EE78D8" w:rsidRPr="00C53A32" w:rsidRDefault="00EE78D8">
      <w:pPr>
        <w:pStyle w:val="FootnoteText"/>
        <w:rPr>
          <w:lang w:val="en-US"/>
        </w:rPr>
      </w:pPr>
      <w:r>
        <w:rPr>
          <w:rStyle w:val="FootnoteReference"/>
        </w:rPr>
        <w:footnoteRef/>
      </w:r>
      <w:r>
        <w:tab/>
        <w:t xml:space="preserve">Custodial Inspector Tasmania, </w:t>
      </w:r>
      <w:r>
        <w:rPr>
          <w:i/>
        </w:rPr>
        <w:t>Annual Report 2017–18</w:t>
      </w:r>
      <w:r>
        <w:t xml:space="preserve"> (2018)</w:t>
      </w:r>
      <w:r w:rsidRPr="00C53A32">
        <w:t xml:space="preserve"> </w:t>
      </w:r>
      <w:r>
        <w:t>13.</w:t>
      </w:r>
    </w:p>
  </w:footnote>
  <w:footnote w:id="71">
    <w:p w14:paraId="0E718C8C" w14:textId="721EEEFB" w:rsidR="00EE78D8" w:rsidRPr="00C53A32" w:rsidRDefault="00EE78D8">
      <w:pPr>
        <w:pStyle w:val="FootnoteText"/>
        <w:rPr>
          <w:lang w:val="en-US"/>
        </w:rPr>
      </w:pPr>
      <w:r>
        <w:rPr>
          <w:rStyle w:val="FootnoteReference"/>
        </w:rPr>
        <w:footnoteRef/>
      </w:r>
      <w:r>
        <w:tab/>
        <w:t xml:space="preserve">Ibid </w:t>
      </w:r>
      <w:r>
        <w:rPr>
          <w:lang w:val="en-US"/>
        </w:rPr>
        <w:t>13.</w:t>
      </w:r>
    </w:p>
  </w:footnote>
  <w:footnote w:id="72">
    <w:p w14:paraId="734A5DE4" w14:textId="01EC2B04" w:rsidR="00EE78D8" w:rsidRPr="00EF5655" w:rsidRDefault="00EE78D8">
      <w:pPr>
        <w:pStyle w:val="FootnoteText"/>
        <w:rPr>
          <w:lang w:val="en-US"/>
        </w:rPr>
      </w:pPr>
      <w:r>
        <w:rPr>
          <w:rStyle w:val="FootnoteReference"/>
        </w:rPr>
        <w:footnoteRef/>
      </w:r>
      <w:r>
        <w:tab/>
      </w:r>
      <w:r>
        <w:rPr>
          <w:lang w:val="en-US"/>
        </w:rPr>
        <w:t>See discussion in Part 4.</w:t>
      </w:r>
    </w:p>
  </w:footnote>
  <w:footnote w:id="73">
    <w:p w14:paraId="2FEAB60B" w14:textId="0B277B73" w:rsidR="00EE78D8" w:rsidRPr="00EF5655" w:rsidRDefault="00EE78D8">
      <w:pPr>
        <w:pStyle w:val="FootnoteText"/>
        <w:rPr>
          <w:lang w:val="en-US"/>
        </w:rPr>
      </w:pPr>
      <w:r>
        <w:rPr>
          <w:rStyle w:val="FootnoteReference"/>
        </w:rPr>
        <w:footnoteRef/>
      </w:r>
      <w:r>
        <w:tab/>
      </w:r>
      <w:r>
        <w:rPr>
          <w:lang w:val="en-US"/>
        </w:rPr>
        <w:t>J Walvisch</w:t>
      </w:r>
      <w:r w:rsidRPr="0062405B">
        <w:rPr>
          <w:lang w:val="en-US"/>
        </w:rPr>
        <w:t>, submission to VLRC</w:t>
      </w:r>
      <w:r>
        <w:rPr>
          <w:lang w:val="en-US"/>
        </w:rPr>
        <w:t xml:space="preserve">, above n </w:t>
      </w:r>
      <w:r>
        <w:rPr>
          <w:lang w:val="en-US"/>
        </w:rPr>
        <w:fldChar w:fldCharType="begin"/>
      </w:r>
      <w:r>
        <w:rPr>
          <w:lang w:val="en-US"/>
        </w:rPr>
        <w:instrText xml:space="preserve"> NOTEREF _Ref534979326 \h </w:instrText>
      </w:r>
      <w:r>
        <w:rPr>
          <w:lang w:val="en-US"/>
        </w:rPr>
      </w:r>
      <w:r>
        <w:rPr>
          <w:lang w:val="en-US"/>
        </w:rPr>
        <w:fldChar w:fldCharType="separate"/>
      </w:r>
      <w:r w:rsidR="001F209C">
        <w:rPr>
          <w:lang w:val="en-US"/>
        </w:rPr>
        <w:t>26</w:t>
      </w:r>
      <w:r>
        <w:rPr>
          <w:lang w:val="en-US"/>
        </w:rPr>
        <w:fldChar w:fldCharType="end"/>
      </w:r>
      <w:r>
        <w:rPr>
          <w:lang w:val="en-US"/>
        </w:rPr>
        <w:t>.</w:t>
      </w:r>
    </w:p>
  </w:footnote>
  <w:footnote w:id="74">
    <w:p w14:paraId="0F1ECAF0" w14:textId="134D54A4" w:rsidR="00EE78D8" w:rsidRPr="00906B51" w:rsidRDefault="00EE78D8">
      <w:pPr>
        <w:pStyle w:val="FootnoteText"/>
        <w:rPr>
          <w:lang w:val="en-US"/>
        </w:rPr>
      </w:pPr>
      <w:r>
        <w:rPr>
          <w:rStyle w:val="FootnoteReference"/>
        </w:rPr>
        <w:footnoteRef/>
      </w:r>
      <w:r>
        <w:tab/>
      </w:r>
      <w:r>
        <w:rPr>
          <w:lang w:val="en-US"/>
        </w:rPr>
        <w:t xml:space="preserve">See Bagaric and Edney, above n </w:t>
      </w:r>
      <w:r>
        <w:rPr>
          <w:lang w:val="en-US"/>
        </w:rPr>
        <w:fldChar w:fldCharType="begin"/>
      </w:r>
      <w:r>
        <w:rPr>
          <w:lang w:val="en-US"/>
        </w:rPr>
        <w:instrText xml:space="preserve"> NOTEREF _Ref534983520 \h </w:instrText>
      </w:r>
      <w:r>
        <w:rPr>
          <w:lang w:val="en-US"/>
        </w:rPr>
      </w:r>
      <w:r>
        <w:rPr>
          <w:lang w:val="en-US"/>
        </w:rPr>
        <w:fldChar w:fldCharType="separate"/>
      </w:r>
      <w:r w:rsidR="001F209C">
        <w:rPr>
          <w:lang w:val="en-US"/>
        </w:rPr>
        <w:t>63</w:t>
      </w:r>
      <w:r>
        <w:rPr>
          <w:lang w:val="en-US"/>
        </w:rPr>
        <w:fldChar w:fldCharType="end"/>
      </w:r>
      <w:r>
        <w:rPr>
          <w:lang w:val="en-US"/>
        </w:rPr>
        <w:t>, 347–367.</w:t>
      </w:r>
    </w:p>
  </w:footnote>
  <w:footnote w:id="75">
    <w:p w14:paraId="70BCDBBA" w14:textId="7E679AA5" w:rsidR="00EE78D8" w:rsidRPr="00056ECD" w:rsidRDefault="00EE78D8">
      <w:pPr>
        <w:pStyle w:val="FootnoteText"/>
        <w:rPr>
          <w:lang w:val="en-US"/>
        </w:rPr>
      </w:pPr>
      <w:r>
        <w:rPr>
          <w:rStyle w:val="FootnoteReference"/>
        </w:rPr>
        <w:footnoteRef/>
      </w:r>
      <w:r>
        <w:tab/>
      </w:r>
      <w:r>
        <w:rPr>
          <w:lang w:val="en-US"/>
        </w:rPr>
        <w:t>Ibid 347.</w:t>
      </w:r>
    </w:p>
  </w:footnote>
  <w:footnote w:id="76">
    <w:p w14:paraId="62EB3600" w14:textId="6D197C9B" w:rsidR="00EE78D8" w:rsidRPr="00056ECD" w:rsidRDefault="00EE78D8">
      <w:pPr>
        <w:pStyle w:val="FootnoteText"/>
        <w:rPr>
          <w:lang w:val="en-US"/>
        </w:rPr>
      </w:pPr>
      <w:r>
        <w:rPr>
          <w:rStyle w:val="FootnoteReference"/>
        </w:rPr>
        <w:footnoteRef/>
      </w:r>
      <w:r>
        <w:tab/>
      </w:r>
      <w:r>
        <w:rPr>
          <w:i/>
          <w:lang w:val="en-US"/>
        </w:rPr>
        <w:t xml:space="preserve">Channon v The Queen </w:t>
      </w:r>
      <w:r>
        <w:rPr>
          <w:lang w:val="en-US"/>
        </w:rPr>
        <w:t xml:space="preserve">(1978) 33 FLR 433, 436–437 cited in </w:t>
      </w:r>
      <w:r>
        <w:rPr>
          <w:i/>
          <w:lang w:val="en-US"/>
        </w:rPr>
        <w:t xml:space="preserve">Acting Director of Public Prosecutions v CBF </w:t>
      </w:r>
      <w:r>
        <w:rPr>
          <w:lang w:val="en-US"/>
        </w:rPr>
        <w:t>[2016] TASCCA 1 [42] (Porter J).</w:t>
      </w:r>
    </w:p>
  </w:footnote>
  <w:footnote w:id="77">
    <w:p w14:paraId="72C0BF82" w14:textId="583274AB" w:rsidR="00EE78D8" w:rsidRPr="00AB682F" w:rsidRDefault="00EE78D8">
      <w:pPr>
        <w:pStyle w:val="FootnoteText"/>
        <w:rPr>
          <w:lang w:val="en-US"/>
        </w:rPr>
      </w:pPr>
      <w:r>
        <w:rPr>
          <w:rStyle w:val="FootnoteReference"/>
        </w:rPr>
        <w:footnoteRef/>
      </w:r>
      <w:r>
        <w:tab/>
      </w:r>
      <w:r>
        <w:rPr>
          <w:lang w:val="en-US"/>
        </w:rPr>
        <w:t>(1988) 164 CLR 465.</w:t>
      </w:r>
    </w:p>
  </w:footnote>
  <w:footnote w:id="78">
    <w:p w14:paraId="2A3CD3B1" w14:textId="51C2305A" w:rsidR="00EE78D8" w:rsidRPr="00BD5424" w:rsidRDefault="00EE78D8">
      <w:pPr>
        <w:pStyle w:val="FootnoteText"/>
        <w:rPr>
          <w:lang w:val="en-US"/>
        </w:rPr>
      </w:pPr>
      <w:r>
        <w:rPr>
          <w:rStyle w:val="FootnoteReference"/>
        </w:rPr>
        <w:footnoteRef/>
      </w:r>
      <w:r>
        <w:tab/>
        <w:t xml:space="preserve">Ibid </w:t>
      </w:r>
      <w:r>
        <w:rPr>
          <w:lang w:val="en-US"/>
        </w:rPr>
        <w:t>476–477 (Mason CJ, Brennan, Dawson and Toohey JJ).</w:t>
      </w:r>
    </w:p>
  </w:footnote>
  <w:footnote w:id="79">
    <w:p w14:paraId="48EBA723" w14:textId="67A4B50F" w:rsidR="00EE78D8" w:rsidRPr="0075410D" w:rsidRDefault="00EE78D8" w:rsidP="00056ECD">
      <w:pPr>
        <w:pStyle w:val="FootnoteText"/>
        <w:rPr>
          <w:lang w:val="en-US"/>
        </w:rPr>
      </w:pPr>
      <w:r>
        <w:rPr>
          <w:rStyle w:val="FootnoteReference"/>
        </w:rPr>
        <w:footnoteRef/>
      </w:r>
      <w:r>
        <w:tab/>
      </w:r>
      <w:r>
        <w:rPr>
          <w:i/>
          <w:lang w:val="en-US"/>
        </w:rPr>
        <w:t xml:space="preserve">Director of Public Prosecutions (Acting) v CBF </w:t>
      </w:r>
      <w:r>
        <w:rPr>
          <w:lang w:val="en-US"/>
        </w:rPr>
        <w:t>[2016] TASCCA 1.</w:t>
      </w:r>
    </w:p>
  </w:footnote>
  <w:footnote w:id="80">
    <w:p w14:paraId="50A9BB06" w14:textId="21C5BDEB" w:rsidR="00EE78D8" w:rsidRPr="00056ECD" w:rsidRDefault="00EE78D8">
      <w:pPr>
        <w:pStyle w:val="FootnoteText"/>
        <w:rPr>
          <w:lang w:val="en-US"/>
        </w:rPr>
      </w:pPr>
      <w:r>
        <w:rPr>
          <w:rStyle w:val="FootnoteReference"/>
        </w:rPr>
        <w:footnoteRef/>
      </w:r>
      <w:r>
        <w:tab/>
        <w:t>(2007) 16 VR 269, 276 (Maxwell P, Buchanan and Vincent JJA).</w:t>
      </w:r>
    </w:p>
  </w:footnote>
  <w:footnote w:id="81">
    <w:p w14:paraId="5760A6F5" w14:textId="43ACEE66" w:rsidR="00EE78D8" w:rsidRPr="00056ECD" w:rsidRDefault="00EE78D8">
      <w:pPr>
        <w:pStyle w:val="FootnoteText"/>
        <w:rPr>
          <w:lang w:val="en-US"/>
        </w:rPr>
      </w:pPr>
      <w:r>
        <w:rPr>
          <w:rStyle w:val="FootnoteReference"/>
        </w:rPr>
        <w:footnoteRef/>
      </w:r>
      <w:r>
        <w:tab/>
      </w:r>
      <w:r>
        <w:rPr>
          <w:i/>
          <w:lang w:val="en-US"/>
        </w:rPr>
        <w:t xml:space="preserve">Startup v Tasmania </w:t>
      </w:r>
      <w:r>
        <w:rPr>
          <w:lang w:val="en-US"/>
        </w:rPr>
        <w:t xml:space="preserve">[2010] TASCCA 5; </w:t>
      </w:r>
      <w:r>
        <w:rPr>
          <w:i/>
          <w:lang w:val="en-US"/>
        </w:rPr>
        <w:t xml:space="preserve">Groenewege v Tasmania </w:t>
      </w:r>
      <w:r>
        <w:rPr>
          <w:lang w:val="en-US"/>
        </w:rPr>
        <w:t xml:space="preserve">[2013] TASCCA 7; </w:t>
      </w:r>
      <w:r>
        <w:rPr>
          <w:i/>
          <w:lang w:val="en-US"/>
        </w:rPr>
        <w:t xml:space="preserve">Director of Public Prosecutions (Acting) v CBF </w:t>
      </w:r>
      <w:r>
        <w:rPr>
          <w:lang w:val="en-US"/>
        </w:rPr>
        <w:t>[2016] TASCCA 1.</w:t>
      </w:r>
    </w:p>
  </w:footnote>
  <w:footnote w:id="82">
    <w:p w14:paraId="1E48E701" w14:textId="6D76ABE2" w:rsidR="00EE78D8" w:rsidRPr="005A02C0" w:rsidRDefault="00EE78D8">
      <w:pPr>
        <w:pStyle w:val="FootnoteText"/>
        <w:rPr>
          <w:lang w:val="en-US"/>
        </w:rPr>
      </w:pPr>
      <w:r>
        <w:rPr>
          <w:rStyle w:val="FootnoteReference"/>
        </w:rPr>
        <w:footnoteRef/>
      </w:r>
      <w:r>
        <w:tab/>
      </w:r>
      <w:r>
        <w:rPr>
          <w:lang w:val="en-US"/>
        </w:rPr>
        <w:t xml:space="preserve">See Freiberg, </w:t>
      </w:r>
      <w:r>
        <w:rPr>
          <w:i/>
          <w:lang w:val="en-US"/>
        </w:rPr>
        <w:t xml:space="preserve">Fox and Freiberg’s Sentencing: State and Federal Law in Victoria </w:t>
      </w:r>
      <w:r w:rsidRPr="0062405B">
        <w:rPr>
          <w:lang w:val="en-US"/>
        </w:rPr>
        <w:t xml:space="preserve">(Lawbook, </w:t>
      </w:r>
      <w:r w:rsidRPr="00D3429B">
        <w:rPr>
          <w:lang w:val="en-US"/>
        </w:rPr>
        <w:t>3</w:t>
      </w:r>
      <w:r w:rsidRPr="00D3429B">
        <w:rPr>
          <w:vertAlign w:val="superscript"/>
          <w:lang w:val="en-US"/>
        </w:rPr>
        <w:t>rd</w:t>
      </w:r>
      <w:r w:rsidRPr="00D3429B">
        <w:rPr>
          <w:lang w:val="en-US"/>
        </w:rPr>
        <w:t xml:space="preserve"> ed</w:t>
      </w:r>
      <w:r>
        <w:rPr>
          <w:lang w:val="en-US"/>
        </w:rPr>
        <w:t xml:space="preserve">, </w:t>
      </w:r>
      <w:r w:rsidRPr="0062405B">
        <w:rPr>
          <w:lang w:val="en-US"/>
        </w:rPr>
        <w:t>2014)</w:t>
      </w:r>
      <w:r>
        <w:rPr>
          <w:i/>
          <w:lang w:val="en-US"/>
        </w:rPr>
        <w:t xml:space="preserve"> </w:t>
      </w:r>
      <w:r>
        <w:rPr>
          <w:lang w:val="en-US"/>
        </w:rPr>
        <w:t xml:space="preserve">289–298; Bagaric and Edney, above n </w:t>
      </w:r>
      <w:r>
        <w:rPr>
          <w:lang w:val="en-US"/>
        </w:rPr>
        <w:fldChar w:fldCharType="begin"/>
      </w:r>
      <w:r>
        <w:rPr>
          <w:lang w:val="en-US"/>
        </w:rPr>
        <w:instrText xml:space="preserve"> NOTEREF _Ref534983520 \h </w:instrText>
      </w:r>
      <w:r>
        <w:rPr>
          <w:lang w:val="en-US"/>
        </w:rPr>
      </w:r>
      <w:r>
        <w:rPr>
          <w:lang w:val="en-US"/>
        </w:rPr>
        <w:fldChar w:fldCharType="separate"/>
      </w:r>
      <w:r w:rsidR="001F209C">
        <w:rPr>
          <w:lang w:val="en-US"/>
        </w:rPr>
        <w:t>63</w:t>
      </w:r>
      <w:r>
        <w:rPr>
          <w:lang w:val="en-US"/>
        </w:rPr>
        <w:fldChar w:fldCharType="end"/>
      </w:r>
      <w:r>
        <w:rPr>
          <w:lang w:val="en-US"/>
        </w:rPr>
        <w:t xml:space="preserve">, 348–367; See D Gee and J Ogloff, ‘Sentencing Offenders with Impaired Mental Functioning: R v Verdins, Buckley and Vo [2007] at the Clinical Coalface’ (2014) 21 </w:t>
      </w:r>
      <w:r>
        <w:rPr>
          <w:i/>
          <w:lang w:val="en-US"/>
        </w:rPr>
        <w:t xml:space="preserve">Psychiatry, Psychology and Law </w:t>
      </w:r>
      <w:r>
        <w:rPr>
          <w:lang w:val="en-US"/>
        </w:rPr>
        <w:t>46 for further discussion of these principles.</w:t>
      </w:r>
    </w:p>
  </w:footnote>
  <w:footnote w:id="83">
    <w:p w14:paraId="44BF8D5A" w14:textId="5E4FA699" w:rsidR="00EE78D8" w:rsidRPr="00754547" w:rsidRDefault="00EE78D8">
      <w:pPr>
        <w:pStyle w:val="FootnoteText"/>
        <w:rPr>
          <w:lang w:val="en-US"/>
        </w:rPr>
      </w:pPr>
      <w:r>
        <w:rPr>
          <w:rStyle w:val="FootnoteReference"/>
        </w:rPr>
        <w:footnoteRef/>
      </w:r>
      <w:r>
        <w:tab/>
      </w:r>
      <w:r>
        <w:rPr>
          <w:lang w:val="en-US"/>
        </w:rPr>
        <w:t xml:space="preserve">J Walvisch and A Carroll, ‘Sentencing Offenders with Personality Disorders: A Critical Analysis of </w:t>
      </w:r>
      <w:r>
        <w:rPr>
          <w:i/>
          <w:lang w:val="en-US"/>
        </w:rPr>
        <w:t xml:space="preserve">DPP (Vic) v O’Neill </w:t>
      </w:r>
      <w:r>
        <w:rPr>
          <w:lang w:val="en-US"/>
        </w:rPr>
        <w:t xml:space="preserve">(2017) 41 </w:t>
      </w:r>
      <w:r>
        <w:rPr>
          <w:i/>
          <w:lang w:val="en-US"/>
        </w:rPr>
        <w:t xml:space="preserve">Melbourne University Law Review </w:t>
      </w:r>
      <w:r>
        <w:rPr>
          <w:lang w:val="en-US"/>
        </w:rPr>
        <w:t>417, 422.</w:t>
      </w:r>
    </w:p>
  </w:footnote>
  <w:footnote w:id="84">
    <w:p w14:paraId="5D50A00B" w14:textId="0584999A" w:rsidR="00EE78D8" w:rsidRPr="00CA3CF5" w:rsidRDefault="00EE78D8">
      <w:pPr>
        <w:pStyle w:val="FootnoteText"/>
        <w:rPr>
          <w:lang w:val="en-US"/>
        </w:rPr>
      </w:pPr>
      <w:r>
        <w:rPr>
          <w:rStyle w:val="FootnoteReference"/>
        </w:rPr>
        <w:footnoteRef/>
      </w:r>
      <w:r>
        <w:tab/>
      </w:r>
      <w:r>
        <w:rPr>
          <w:lang w:val="en-US"/>
        </w:rPr>
        <w:t>Ibid 423–424.</w:t>
      </w:r>
    </w:p>
  </w:footnote>
  <w:footnote w:id="85">
    <w:p w14:paraId="3EBF0AA7" w14:textId="2A6BEB47" w:rsidR="00EE78D8" w:rsidRPr="00CB288E" w:rsidRDefault="00EE78D8">
      <w:pPr>
        <w:pStyle w:val="FootnoteText"/>
        <w:rPr>
          <w:lang w:val="en-US"/>
        </w:rPr>
      </w:pPr>
      <w:r>
        <w:rPr>
          <w:rStyle w:val="FootnoteReference"/>
        </w:rPr>
        <w:footnoteRef/>
      </w:r>
      <w:r>
        <w:tab/>
      </w:r>
      <w:r>
        <w:rPr>
          <w:lang w:val="en-US"/>
        </w:rPr>
        <w:t>[2015] VSCA 325.</w:t>
      </w:r>
    </w:p>
  </w:footnote>
  <w:footnote w:id="86">
    <w:p w14:paraId="26A7EDAF" w14:textId="0EBE81B7" w:rsidR="00EE78D8" w:rsidRPr="00701382" w:rsidRDefault="00EE78D8" w:rsidP="00AF71C0">
      <w:pPr>
        <w:pStyle w:val="FootnoteText"/>
        <w:rPr>
          <w:lang w:val="en-US"/>
        </w:rPr>
      </w:pPr>
      <w:r>
        <w:rPr>
          <w:rStyle w:val="FootnoteReference"/>
        </w:rPr>
        <w:footnoteRef/>
      </w:r>
      <w:r>
        <w:tab/>
      </w:r>
      <w:r>
        <w:rPr>
          <w:lang w:val="en-US"/>
        </w:rPr>
        <w:t xml:space="preserve">Walvisch and Carroll, above n </w:t>
      </w:r>
      <w:r>
        <w:rPr>
          <w:lang w:val="en-US"/>
        </w:rPr>
        <w:fldChar w:fldCharType="begin"/>
      </w:r>
      <w:r>
        <w:rPr>
          <w:lang w:val="en-US"/>
        </w:rPr>
        <w:instrText xml:space="preserve"> NOTEREF _Ref535005024 \h </w:instrText>
      </w:r>
      <w:r>
        <w:rPr>
          <w:lang w:val="en-US"/>
        </w:rPr>
      </w:r>
      <w:r>
        <w:rPr>
          <w:lang w:val="en-US"/>
        </w:rPr>
        <w:fldChar w:fldCharType="separate"/>
      </w:r>
      <w:r w:rsidR="001F209C">
        <w:rPr>
          <w:lang w:val="en-US"/>
        </w:rPr>
        <w:t>83</w:t>
      </w:r>
      <w:r>
        <w:rPr>
          <w:lang w:val="en-US"/>
        </w:rPr>
        <w:fldChar w:fldCharType="end"/>
      </w:r>
      <w:r>
        <w:rPr>
          <w:lang w:val="en-US"/>
        </w:rPr>
        <w:t>, 425.</w:t>
      </w:r>
    </w:p>
  </w:footnote>
  <w:footnote w:id="87">
    <w:p w14:paraId="4EC0579C" w14:textId="74CFB4C5" w:rsidR="00EE78D8" w:rsidRPr="00CA3CF5" w:rsidRDefault="00EE78D8">
      <w:pPr>
        <w:pStyle w:val="FootnoteText"/>
        <w:rPr>
          <w:lang w:val="en-US"/>
        </w:rPr>
      </w:pPr>
      <w:r>
        <w:rPr>
          <w:rStyle w:val="FootnoteReference"/>
        </w:rPr>
        <w:footnoteRef/>
      </w:r>
      <w:r>
        <w:tab/>
      </w:r>
      <w:r>
        <w:rPr>
          <w:lang w:val="en-US"/>
        </w:rPr>
        <w:t>Ibid 426.</w:t>
      </w:r>
    </w:p>
  </w:footnote>
  <w:footnote w:id="88">
    <w:p w14:paraId="4F1DD400" w14:textId="345BF16F" w:rsidR="00EE78D8" w:rsidRPr="00CA3CF5" w:rsidRDefault="00EE78D8">
      <w:pPr>
        <w:pStyle w:val="FootnoteText"/>
        <w:rPr>
          <w:lang w:val="en-US"/>
        </w:rPr>
      </w:pPr>
      <w:r>
        <w:rPr>
          <w:rStyle w:val="FootnoteReference"/>
        </w:rPr>
        <w:footnoteRef/>
      </w:r>
      <w:r>
        <w:tab/>
      </w:r>
      <w:r>
        <w:rPr>
          <w:lang w:val="en-US"/>
        </w:rPr>
        <w:t>Ibid 427.</w:t>
      </w:r>
    </w:p>
  </w:footnote>
  <w:footnote w:id="89">
    <w:p w14:paraId="22D9067D" w14:textId="69EC5923" w:rsidR="00EE78D8" w:rsidRPr="00CA3CF5" w:rsidRDefault="00EE78D8">
      <w:pPr>
        <w:pStyle w:val="FootnoteText"/>
        <w:rPr>
          <w:lang w:val="en-US"/>
        </w:rPr>
      </w:pPr>
      <w:r>
        <w:rPr>
          <w:rStyle w:val="FootnoteReference"/>
        </w:rPr>
        <w:footnoteRef/>
      </w:r>
      <w:r>
        <w:tab/>
      </w:r>
      <w:r>
        <w:rPr>
          <w:lang w:val="en-US"/>
        </w:rPr>
        <w:t>Ibid 428.</w:t>
      </w:r>
    </w:p>
  </w:footnote>
  <w:footnote w:id="90">
    <w:p w14:paraId="50B50811" w14:textId="67A77839" w:rsidR="00EE78D8" w:rsidRPr="00CB288E" w:rsidRDefault="00EE78D8" w:rsidP="006A02DF">
      <w:pPr>
        <w:pStyle w:val="FootnoteText"/>
        <w:rPr>
          <w:lang w:val="en-US"/>
        </w:rPr>
      </w:pPr>
      <w:r>
        <w:rPr>
          <w:rStyle w:val="FootnoteReference"/>
        </w:rPr>
        <w:footnoteRef/>
      </w:r>
      <w:r>
        <w:tab/>
      </w:r>
      <w:r>
        <w:rPr>
          <w:lang w:val="en-US"/>
        </w:rPr>
        <w:t xml:space="preserve">Bagaric and Edney, above n </w:t>
      </w:r>
      <w:r>
        <w:rPr>
          <w:lang w:val="en-US"/>
        </w:rPr>
        <w:fldChar w:fldCharType="begin"/>
      </w:r>
      <w:r>
        <w:rPr>
          <w:lang w:val="en-US"/>
        </w:rPr>
        <w:instrText xml:space="preserve"> NOTEREF _Ref534983520 \h </w:instrText>
      </w:r>
      <w:r>
        <w:rPr>
          <w:lang w:val="en-US"/>
        </w:rPr>
      </w:r>
      <w:r>
        <w:rPr>
          <w:lang w:val="en-US"/>
        </w:rPr>
        <w:fldChar w:fldCharType="separate"/>
      </w:r>
      <w:r w:rsidR="001F209C">
        <w:rPr>
          <w:lang w:val="en-US"/>
        </w:rPr>
        <w:t>63</w:t>
      </w:r>
      <w:r>
        <w:rPr>
          <w:lang w:val="en-US"/>
        </w:rPr>
        <w:fldChar w:fldCharType="end"/>
      </w:r>
      <w:r>
        <w:rPr>
          <w:lang w:val="en-US"/>
        </w:rPr>
        <w:t>, 312.</w:t>
      </w:r>
    </w:p>
  </w:footnote>
  <w:footnote w:id="91">
    <w:p w14:paraId="0A3B8614" w14:textId="2B2493D8" w:rsidR="00EE78D8" w:rsidRPr="007E0C35" w:rsidRDefault="00EE78D8">
      <w:pPr>
        <w:pStyle w:val="FootnoteText"/>
        <w:rPr>
          <w:lang w:val="en-US"/>
        </w:rPr>
      </w:pPr>
      <w:r>
        <w:rPr>
          <w:rStyle w:val="FootnoteReference"/>
        </w:rPr>
        <w:footnoteRef/>
      </w:r>
      <w:r>
        <w:rPr>
          <w:lang w:val="en-US"/>
        </w:rPr>
        <w:tab/>
      </w:r>
      <w:r w:rsidRPr="000079E4">
        <w:rPr>
          <w:i/>
          <w:lang w:val="en-US"/>
        </w:rPr>
        <w:t>Director of Public Prosecutions v O</w:t>
      </w:r>
      <w:r>
        <w:rPr>
          <w:i/>
          <w:lang w:val="en-US"/>
        </w:rPr>
        <w:t>’</w:t>
      </w:r>
      <w:r w:rsidRPr="000079E4">
        <w:rPr>
          <w:i/>
          <w:lang w:val="en-US"/>
        </w:rPr>
        <w:t>Neill</w:t>
      </w:r>
      <w:r w:rsidRPr="000079E4">
        <w:rPr>
          <w:lang w:val="en-US"/>
        </w:rPr>
        <w:t xml:space="preserve"> [2015] VSCA 325</w:t>
      </w:r>
      <w:r>
        <w:rPr>
          <w:lang w:val="en-US"/>
        </w:rPr>
        <w:t>,</w:t>
      </w:r>
      <w:r w:rsidRPr="000079E4">
        <w:rPr>
          <w:lang w:val="en-US"/>
        </w:rPr>
        <w:t xml:space="preserve"> </w:t>
      </w:r>
      <w:r>
        <w:rPr>
          <w:lang w:val="en-US"/>
        </w:rPr>
        <w:t xml:space="preserve">[74] as summarised in </w:t>
      </w:r>
      <w:r>
        <w:rPr>
          <w:i/>
          <w:lang w:val="en-US"/>
        </w:rPr>
        <w:t xml:space="preserve">Director of Public Prosecutions (Acting) v CBF </w:t>
      </w:r>
      <w:r>
        <w:rPr>
          <w:lang w:val="en-US"/>
        </w:rPr>
        <w:t>[2016] TASCCA 1,</w:t>
      </w:r>
      <w:r>
        <w:rPr>
          <w:i/>
          <w:lang w:val="en-US"/>
        </w:rPr>
        <w:t xml:space="preserve"> </w:t>
      </w:r>
      <w:r w:rsidRPr="007E0C35">
        <w:rPr>
          <w:lang w:val="en-US"/>
        </w:rPr>
        <w:t>[39] (Porter J).</w:t>
      </w:r>
    </w:p>
  </w:footnote>
  <w:footnote w:id="92">
    <w:p w14:paraId="234B660D" w14:textId="3548902C" w:rsidR="00EE78D8" w:rsidRPr="00CB288E" w:rsidRDefault="00EE78D8">
      <w:pPr>
        <w:pStyle w:val="FootnoteText"/>
        <w:rPr>
          <w:lang w:val="en-US"/>
        </w:rPr>
      </w:pPr>
      <w:r>
        <w:rPr>
          <w:rStyle w:val="FootnoteReference"/>
        </w:rPr>
        <w:footnoteRef/>
      </w:r>
      <w:r>
        <w:tab/>
      </w:r>
      <w:r w:rsidRPr="000079E4">
        <w:rPr>
          <w:i/>
          <w:lang w:val="en-US"/>
        </w:rPr>
        <w:t>Director of Public Prosecutions v O</w:t>
      </w:r>
      <w:r>
        <w:rPr>
          <w:i/>
          <w:lang w:val="en-US"/>
        </w:rPr>
        <w:t>’</w:t>
      </w:r>
      <w:r w:rsidRPr="000079E4">
        <w:rPr>
          <w:i/>
          <w:lang w:val="en-US"/>
        </w:rPr>
        <w:t>Neill</w:t>
      </w:r>
      <w:r w:rsidRPr="000079E4">
        <w:rPr>
          <w:lang w:val="en-US"/>
        </w:rPr>
        <w:t xml:space="preserve"> [2015] VSCA 325</w:t>
      </w:r>
      <w:r>
        <w:rPr>
          <w:lang w:val="en-US"/>
        </w:rPr>
        <w:t xml:space="preserve">, [75] as summarised in </w:t>
      </w:r>
      <w:r>
        <w:rPr>
          <w:i/>
          <w:lang w:val="en-US"/>
        </w:rPr>
        <w:t xml:space="preserve">Director of Public Prosecutions (Acting) v CBF </w:t>
      </w:r>
      <w:r>
        <w:rPr>
          <w:lang w:val="en-US"/>
        </w:rPr>
        <w:t>[2016] TASCCA 1,</w:t>
      </w:r>
      <w:r>
        <w:rPr>
          <w:i/>
          <w:lang w:val="en-US"/>
        </w:rPr>
        <w:t xml:space="preserve"> </w:t>
      </w:r>
      <w:r w:rsidRPr="007E0C35">
        <w:rPr>
          <w:lang w:val="en-US"/>
        </w:rPr>
        <w:t>[39] (Porter J).</w:t>
      </w:r>
    </w:p>
  </w:footnote>
  <w:footnote w:id="93">
    <w:p w14:paraId="36C0C479" w14:textId="112F9BD8" w:rsidR="00EE78D8" w:rsidRPr="00072094" w:rsidRDefault="00EE78D8" w:rsidP="00E603B3">
      <w:pPr>
        <w:pStyle w:val="FootnoteText"/>
        <w:rPr>
          <w:lang w:val="en-US"/>
        </w:rPr>
      </w:pPr>
      <w:r>
        <w:rPr>
          <w:rStyle w:val="FootnoteReference"/>
        </w:rPr>
        <w:footnoteRef/>
      </w:r>
      <w:r>
        <w:tab/>
      </w:r>
      <w:r>
        <w:rPr>
          <w:lang w:val="en-US"/>
        </w:rPr>
        <w:t>See discussion at [2.3.2].</w:t>
      </w:r>
    </w:p>
  </w:footnote>
  <w:footnote w:id="94">
    <w:p w14:paraId="1C3E1E7D" w14:textId="4633E5E0" w:rsidR="00EE78D8" w:rsidRPr="00663CE7" w:rsidRDefault="00EE78D8" w:rsidP="00E603B3">
      <w:pPr>
        <w:pStyle w:val="FootnoteText"/>
        <w:rPr>
          <w:u w:val="single"/>
          <w:lang w:val="en-US"/>
        </w:rPr>
      </w:pPr>
      <w:r>
        <w:rPr>
          <w:rStyle w:val="FootnoteReference"/>
        </w:rPr>
        <w:footnoteRef/>
      </w:r>
      <w:r>
        <w:tab/>
      </w:r>
      <w:r>
        <w:rPr>
          <w:i/>
          <w:lang w:val="en-US"/>
        </w:rPr>
        <w:t>Sentencing Act 1997</w:t>
      </w:r>
      <w:r>
        <w:rPr>
          <w:lang w:val="en-US"/>
        </w:rPr>
        <w:t xml:space="preserve"> (Tas) s 75(1).</w:t>
      </w:r>
    </w:p>
  </w:footnote>
  <w:footnote w:id="95">
    <w:p w14:paraId="162474A9" w14:textId="37AC8C43" w:rsidR="00EE78D8" w:rsidRPr="00663CE7" w:rsidRDefault="00EE78D8" w:rsidP="00E603B3">
      <w:pPr>
        <w:pStyle w:val="FootnoteText"/>
        <w:rPr>
          <w:lang w:val="en-US"/>
        </w:rPr>
      </w:pPr>
      <w:r>
        <w:rPr>
          <w:rStyle w:val="FootnoteReference"/>
        </w:rPr>
        <w:footnoteRef/>
      </w:r>
      <w:r>
        <w:tab/>
      </w:r>
      <w:r>
        <w:rPr>
          <w:lang w:val="en-US"/>
        </w:rPr>
        <w:t>Ibid ss 75(1), (2A).</w:t>
      </w:r>
    </w:p>
  </w:footnote>
  <w:footnote w:id="96">
    <w:p w14:paraId="44B7683E" w14:textId="3BCFC57F" w:rsidR="00EE78D8" w:rsidRPr="006A6946" w:rsidRDefault="00EE78D8" w:rsidP="00BD1BC1">
      <w:pPr>
        <w:pStyle w:val="FootnoteText"/>
        <w:rPr>
          <w:lang w:val="en-US"/>
        </w:rPr>
      </w:pPr>
      <w:r>
        <w:rPr>
          <w:rStyle w:val="FootnoteReference"/>
        </w:rPr>
        <w:footnoteRef/>
      </w:r>
      <w:r>
        <w:tab/>
      </w:r>
      <w:r w:rsidRPr="0062405B">
        <w:t xml:space="preserve">See TLRI, </w:t>
      </w:r>
      <w:r w:rsidRPr="0062405B">
        <w:rPr>
          <w:i/>
        </w:rPr>
        <w:t>A Comparative Review of National Legislation for the Indefinite Detention of ‘Dangerous Criminals’</w:t>
      </w:r>
      <w:r w:rsidRPr="0062405B">
        <w:t>,</w:t>
      </w:r>
      <w:r w:rsidRPr="0062405B">
        <w:rPr>
          <w:i/>
        </w:rPr>
        <w:t xml:space="preserve"> </w:t>
      </w:r>
      <w:r w:rsidRPr="0062405B">
        <w:t>Research Paper No 4</w:t>
      </w:r>
      <w:r w:rsidRPr="0062405B">
        <w:rPr>
          <w:i/>
        </w:rPr>
        <w:t xml:space="preserve"> </w:t>
      </w:r>
      <w:r w:rsidRPr="0062405B">
        <w:t>(2017</w:t>
      </w:r>
      <w:r>
        <w:t>).</w:t>
      </w:r>
    </w:p>
  </w:footnote>
  <w:footnote w:id="97">
    <w:p w14:paraId="38254EFA" w14:textId="56A4384A" w:rsidR="00EE78D8" w:rsidRPr="00DC55A7" w:rsidRDefault="00EE78D8">
      <w:pPr>
        <w:pStyle w:val="FootnoteText"/>
        <w:rPr>
          <w:lang w:val="en-US"/>
        </w:rPr>
      </w:pPr>
      <w:r>
        <w:rPr>
          <w:rStyle w:val="FootnoteReference"/>
        </w:rPr>
        <w:footnoteRef/>
      </w:r>
      <w:r>
        <w:tab/>
      </w:r>
      <w:r>
        <w:rPr>
          <w:i/>
          <w:lang w:val="en-US"/>
        </w:rPr>
        <w:t xml:space="preserve">Sentencing Act 1997 </w:t>
      </w:r>
      <w:r>
        <w:rPr>
          <w:lang w:val="en-US"/>
        </w:rPr>
        <w:t>(Tas) s 19(1)(d).</w:t>
      </w:r>
    </w:p>
  </w:footnote>
  <w:footnote w:id="98">
    <w:p w14:paraId="758E2CC8" w14:textId="5D5669B0" w:rsidR="00EE78D8" w:rsidRPr="006208F5" w:rsidRDefault="00EE78D8">
      <w:pPr>
        <w:pStyle w:val="FootnoteText"/>
        <w:rPr>
          <w:lang w:val="en-US"/>
        </w:rPr>
      </w:pPr>
      <w:r>
        <w:rPr>
          <w:rStyle w:val="FootnoteReference"/>
        </w:rPr>
        <w:footnoteRef/>
      </w:r>
      <w:r>
        <w:tab/>
      </w:r>
      <w:r w:rsidRPr="0062405B">
        <w:t xml:space="preserve">K </w:t>
      </w:r>
      <w:r w:rsidRPr="0062405B">
        <w:rPr>
          <w:lang w:val="en-US"/>
        </w:rPr>
        <w:t xml:space="preserve">Warner, </w:t>
      </w:r>
      <w:r w:rsidRPr="0062405B">
        <w:rPr>
          <w:i/>
          <w:lang w:val="en-US"/>
        </w:rPr>
        <w:t xml:space="preserve">Sentencing in Tasmania </w:t>
      </w:r>
      <w:r w:rsidRPr="0062405B">
        <w:rPr>
          <w:lang w:val="en-US"/>
        </w:rPr>
        <w:t xml:space="preserve">(Federation Press, </w:t>
      </w:r>
      <w:r w:rsidRPr="00D90487">
        <w:rPr>
          <w:lang w:val="en-US"/>
        </w:rPr>
        <w:t>2</w:t>
      </w:r>
      <w:r w:rsidRPr="00D90487">
        <w:rPr>
          <w:vertAlign w:val="superscript"/>
          <w:lang w:val="en-US"/>
        </w:rPr>
        <w:t>nd</w:t>
      </w:r>
      <w:r w:rsidRPr="00D90487">
        <w:rPr>
          <w:lang w:val="en-US"/>
        </w:rPr>
        <w:t xml:space="preserve"> ed</w:t>
      </w:r>
      <w:r>
        <w:rPr>
          <w:lang w:val="en-US"/>
        </w:rPr>
        <w:t>,</w:t>
      </w:r>
      <w:r w:rsidRPr="0062405B">
        <w:rPr>
          <w:i/>
          <w:lang w:val="en-US"/>
        </w:rPr>
        <w:t xml:space="preserve"> </w:t>
      </w:r>
      <w:r w:rsidRPr="0062405B">
        <w:rPr>
          <w:lang w:val="en-US"/>
        </w:rPr>
        <w:t>2002) 221</w:t>
      </w:r>
      <w:r>
        <w:rPr>
          <w:lang w:val="en-US"/>
        </w:rPr>
        <w:t>.</w:t>
      </w:r>
    </w:p>
  </w:footnote>
  <w:footnote w:id="99">
    <w:p w14:paraId="690D8F8A" w14:textId="206D3C21" w:rsidR="00EE78D8" w:rsidRPr="001633DE" w:rsidRDefault="00EE78D8">
      <w:pPr>
        <w:pStyle w:val="FootnoteText"/>
        <w:rPr>
          <w:lang w:val="en-US"/>
        </w:rPr>
      </w:pPr>
      <w:r>
        <w:rPr>
          <w:rStyle w:val="FootnoteReference"/>
        </w:rPr>
        <w:footnoteRef/>
      </w:r>
      <w:r>
        <w:tab/>
        <w:t>[2018] TASSC 49.</w:t>
      </w:r>
    </w:p>
  </w:footnote>
  <w:footnote w:id="100">
    <w:p w14:paraId="35E90E85" w14:textId="2CE232E1" w:rsidR="00EE78D8" w:rsidRPr="0078717A" w:rsidRDefault="00EE78D8">
      <w:pPr>
        <w:pStyle w:val="FootnoteText"/>
        <w:rPr>
          <w:lang w:val="en-US"/>
        </w:rPr>
      </w:pPr>
      <w:r>
        <w:rPr>
          <w:rStyle w:val="FootnoteReference"/>
        </w:rPr>
        <w:footnoteRef/>
      </w:r>
      <w:r>
        <w:tab/>
      </w:r>
      <w:r>
        <w:rPr>
          <w:lang w:val="en-US"/>
        </w:rPr>
        <w:t>(1988) 165 CLR 611.</w:t>
      </w:r>
    </w:p>
  </w:footnote>
  <w:footnote w:id="101">
    <w:p w14:paraId="629BF1D6" w14:textId="21E9D576" w:rsidR="00EE78D8" w:rsidRPr="0078717A" w:rsidRDefault="00EE78D8">
      <w:pPr>
        <w:pStyle w:val="FootnoteText"/>
        <w:rPr>
          <w:lang w:val="en-US"/>
        </w:rPr>
      </w:pPr>
      <w:r>
        <w:rPr>
          <w:rStyle w:val="FootnoteReference"/>
        </w:rPr>
        <w:footnoteRef/>
      </w:r>
      <w:r>
        <w:tab/>
        <w:t xml:space="preserve">Ibid </w:t>
      </w:r>
      <w:r>
        <w:rPr>
          <w:lang w:val="en-US"/>
        </w:rPr>
        <w:t>617–618. See also at 619.</w:t>
      </w:r>
    </w:p>
  </w:footnote>
  <w:footnote w:id="102">
    <w:p w14:paraId="00E23A45" w14:textId="2EDF80FF" w:rsidR="00EE78D8" w:rsidRPr="00AB3BD8" w:rsidRDefault="00EE78D8" w:rsidP="00AB3BD8">
      <w:pPr>
        <w:pStyle w:val="FootnoteText"/>
        <w:rPr>
          <w:lang w:val="en-US"/>
        </w:rPr>
      </w:pPr>
      <w:r>
        <w:rPr>
          <w:rStyle w:val="FootnoteReference"/>
        </w:rPr>
        <w:footnoteRef/>
      </w:r>
      <w:r>
        <w:tab/>
      </w:r>
      <w:r>
        <w:rPr>
          <w:lang w:val="en-US"/>
        </w:rPr>
        <w:t xml:space="preserve">It is noted that in Western Australia in the period 1 July 2010 to 30 June 2015, 0.03 per cent of matters finalised in the adult courts involved accused who were found either mentally unfit to stand trial or not guilty by reason of unsoundness of mind: Department of the Attorney-General, Western Australia, </w:t>
      </w:r>
      <w:r>
        <w:rPr>
          <w:i/>
          <w:lang w:val="en-US"/>
        </w:rPr>
        <w:t>Review of the Criminal Law (Mentally Impaired Accused) Act 1996</w:t>
      </w:r>
      <w:r w:rsidRPr="00F154B0">
        <w:rPr>
          <w:lang w:val="en-US"/>
        </w:rPr>
        <w:t>,</w:t>
      </w:r>
      <w:r>
        <w:rPr>
          <w:i/>
          <w:lang w:val="en-US"/>
        </w:rPr>
        <w:t xml:space="preserve"> </w:t>
      </w:r>
      <w:r>
        <w:rPr>
          <w:lang w:val="en-US"/>
        </w:rPr>
        <w:t xml:space="preserve">Final Report (2016) 27. In Victoria, it was noted that insanity and fitness to stand trial cases made up only </w:t>
      </w:r>
      <w:r w:rsidRPr="0063337E">
        <w:rPr>
          <w:lang w:val="en-US"/>
        </w:rPr>
        <w:t>approximately</w:t>
      </w:r>
      <w:r>
        <w:rPr>
          <w:lang w:val="en-US"/>
        </w:rPr>
        <w:t xml:space="preserve"> one percent of the total cases that resulted in a sentence or a CMIA order in the higher courts: </w:t>
      </w:r>
      <w:r w:rsidRPr="0063337E">
        <w:rPr>
          <w:lang w:val="en-US"/>
        </w:rPr>
        <w:t xml:space="preserve">VLRC, above n </w:t>
      </w:r>
      <w:r w:rsidRPr="0063337E">
        <w:rPr>
          <w:lang w:val="en-US"/>
        </w:rPr>
        <w:fldChar w:fldCharType="begin"/>
      </w:r>
      <w:r w:rsidRPr="0063337E">
        <w:rPr>
          <w:lang w:val="en-US"/>
        </w:rPr>
        <w:instrText xml:space="preserve"> NOTEREF _Ref534978514 \h </w:instrText>
      </w:r>
      <w:r>
        <w:rPr>
          <w:lang w:val="en-US"/>
        </w:rPr>
        <w:instrText xml:space="preserve"> \* MERGEFORMAT </w:instrText>
      </w:r>
      <w:r w:rsidRPr="0063337E">
        <w:rPr>
          <w:lang w:val="en-US"/>
        </w:rPr>
      </w:r>
      <w:r w:rsidRPr="0063337E">
        <w:rPr>
          <w:lang w:val="en-US"/>
        </w:rPr>
        <w:fldChar w:fldCharType="separate"/>
      </w:r>
      <w:r w:rsidR="001F209C">
        <w:rPr>
          <w:lang w:val="en-US"/>
        </w:rPr>
        <w:t>24</w:t>
      </w:r>
      <w:r w:rsidRPr="0063337E">
        <w:rPr>
          <w:lang w:val="en-US"/>
        </w:rPr>
        <w:fldChar w:fldCharType="end"/>
      </w:r>
      <w:r w:rsidRPr="0063337E">
        <w:rPr>
          <w:lang w:val="en-US"/>
        </w:rPr>
        <w:t>, 15.</w:t>
      </w:r>
    </w:p>
  </w:footnote>
  <w:footnote w:id="103">
    <w:p w14:paraId="27B6777A" w14:textId="45D7A9A9" w:rsidR="00EE78D8" w:rsidRPr="003652B9" w:rsidRDefault="00EE78D8">
      <w:pPr>
        <w:pStyle w:val="FootnoteText"/>
        <w:rPr>
          <w:lang w:val="en-US"/>
        </w:rPr>
      </w:pPr>
      <w:r>
        <w:rPr>
          <w:rStyle w:val="FootnoteReference"/>
        </w:rPr>
        <w:footnoteRef/>
      </w:r>
      <w:r>
        <w:tab/>
      </w:r>
      <w:r>
        <w:rPr>
          <w:lang w:val="en-US"/>
        </w:rPr>
        <w:t xml:space="preserve">There were also three cases identified where it was not possible to determine if the order made under the </w:t>
      </w:r>
      <w:r>
        <w:rPr>
          <w:i/>
          <w:lang w:val="en-US"/>
        </w:rPr>
        <w:t xml:space="preserve">Criminal Justice (Mental Impairment) Act 1999 </w:t>
      </w:r>
      <w:r>
        <w:rPr>
          <w:lang w:val="en-US"/>
        </w:rPr>
        <w:t>(Tas) was a result of a sentence imposed by the court or finding of unfitness or insanity.</w:t>
      </w:r>
    </w:p>
  </w:footnote>
  <w:footnote w:id="104">
    <w:p w14:paraId="723E1C28" w14:textId="0597C05B" w:rsidR="00EE78D8" w:rsidRPr="000D67D2" w:rsidRDefault="00EE78D8" w:rsidP="00D2181E">
      <w:pPr>
        <w:pStyle w:val="FootnoteText"/>
        <w:rPr>
          <w:lang w:val="en-US"/>
        </w:rPr>
      </w:pPr>
      <w:r>
        <w:rPr>
          <w:rStyle w:val="FootnoteReference"/>
        </w:rPr>
        <w:footnoteRef/>
      </w:r>
      <w:r>
        <w:tab/>
      </w:r>
      <w:r>
        <w:rPr>
          <w:lang w:val="en-US"/>
        </w:rPr>
        <w:t xml:space="preserve">The offence categories are taken from the Australian Bureau of Crime Statistics, </w:t>
      </w:r>
      <w:r>
        <w:rPr>
          <w:i/>
          <w:lang w:val="en-US"/>
        </w:rPr>
        <w:t xml:space="preserve">Australian and New Zealand Standard Offence Classification (ANZSOC) </w:t>
      </w:r>
      <w:r>
        <w:rPr>
          <w:lang w:val="en-US"/>
        </w:rPr>
        <w:t>(2011, 3</w:t>
      </w:r>
      <w:r w:rsidRPr="000D67D2">
        <w:rPr>
          <w:vertAlign w:val="superscript"/>
          <w:lang w:val="en-US"/>
        </w:rPr>
        <w:t>rd</w:t>
      </w:r>
      <w:r>
        <w:rPr>
          <w:lang w:val="en-US"/>
        </w:rPr>
        <w:t xml:space="preserve"> ed).</w:t>
      </w:r>
    </w:p>
  </w:footnote>
  <w:footnote w:id="105">
    <w:p w14:paraId="1C6ADB02" w14:textId="2B1396E4" w:rsidR="00EE78D8" w:rsidRPr="00204E8A" w:rsidRDefault="00EE78D8">
      <w:pPr>
        <w:pStyle w:val="FootnoteText"/>
        <w:rPr>
          <w:lang w:val="en-US"/>
        </w:rPr>
      </w:pPr>
      <w:r>
        <w:rPr>
          <w:rStyle w:val="FootnoteReference"/>
        </w:rPr>
        <w:footnoteRef/>
      </w:r>
      <w:r>
        <w:tab/>
      </w:r>
      <w:r>
        <w:rPr>
          <w:lang w:val="en-US"/>
        </w:rPr>
        <w:t>Information provided by Betty Evans, Department of Justice, email 2 April 2018.</w:t>
      </w:r>
    </w:p>
  </w:footnote>
  <w:footnote w:id="106">
    <w:p w14:paraId="5FA686C4" w14:textId="1F327129" w:rsidR="00EE78D8" w:rsidRPr="000F7FF5" w:rsidRDefault="00EE78D8">
      <w:pPr>
        <w:pStyle w:val="FootnoteText"/>
        <w:rPr>
          <w:lang w:val="en-US"/>
        </w:rPr>
      </w:pPr>
      <w:r>
        <w:rPr>
          <w:rStyle w:val="FootnoteReference"/>
        </w:rPr>
        <w:footnoteRef/>
      </w:r>
      <w:r>
        <w:tab/>
      </w:r>
      <w:r>
        <w:rPr>
          <w:lang w:val="en-US"/>
        </w:rPr>
        <w:t>These cases were identified using a search for Magistrates Court decisions on the Australasian Legal Information Institute (AUSTLII database).</w:t>
      </w:r>
    </w:p>
  </w:footnote>
  <w:footnote w:id="107">
    <w:p w14:paraId="153F02D2" w14:textId="6D2BF5DA" w:rsidR="00EE78D8" w:rsidRPr="000F7FF5" w:rsidRDefault="00EE78D8">
      <w:pPr>
        <w:pStyle w:val="FootnoteText"/>
        <w:rPr>
          <w:lang w:val="en-US"/>
        </w:rPr>
      </w:pPr>
      <w:r>
        <w:rPr>
          <w:rStyle w:val="FootnoteReference"/>
        </w:rPr>
        <w:footnoteRef/>
      </w:r>
      <w:r>
        <w:tab/>
      </w:r>
      <w:r>
        <w:rPr>
          <w:lang w:val="en-US"/>
        </w:rPr>
        <w:t xml:space="preserve">In </w:t>
      </w:r>
      <w:r>
        <w:rPr>
          <w:i/>
          <w:lang w:val="en-US"/>
        </w:rPr>
        <w:t xml:space="preserve">Brazendale v O </w:t>
      </w:r>
      <w:r>
        <w:rPr>
          <w:lang w:val="en-US"/>
        </w:rPr>
        <w:t>[2008] TASMC 3, the defendant unsuccessfully relied on the defence of insanity in relation to charges of stalking and assault with indecent intent.</w:t>
      </w:r>
    </w:p>
  </w:footnote>
  <w:footnote w:id="108">
    <w:p w14:paraId="68DC2A94" w14:textId="6A82763A" w:rsidR="00EE78D8" w:rsidRPr="000F7FF5" w:rsidRDefault="00EE78D8">
      <w:pPr>
        <w:pStyle w:val="FootnoteText"/>
        <w:rPr>
          <w:lang w:val="en-US"/>
        </w:rPr>
      </w:pPr>
      <w:r>
        <w:rPr>
          <w:rStyle w:val="FootnoteReference"/>
        </w:rPr>
        <w:footnoteRef/>
      </w:r>
      <w:r>
        <w:tab/>
      </w:r>
      <w:r>
        <w:rPr>
          <w:i/>
          <w:lang w:val="en-US"/>
        </w:rPr>
        <w:t xml:space="preserve">McKenna v Smith </w:t>
      </w:r>
      <w:r>
        <w:rPr>
          <w:lang w:val="en-US"/>
        </w:rPr>
        <w:t>[2014] TASMC 11.</w:t>
      </w:r>
    </w:p>
  </w:footnote>
  <w:footnote w:id="109">
    <w:p w14:paraId="3F06A152" w14:textId="4E39D445" w:rsidR="00EE78D8" w:rsidRPr="000F7FF5" w:rsidRDefault="00EE78D8">
      <w:pPr>
        <w:pStyle w:val="FootnoteText"/>
        <w:rPr>
          <w:lang w:val="en-US"/>
        </w:rPr>
      </w:pPr>
      <w:r>
        <w:rPr>
          <w:rStyle w:val="FootnoteReference"/>
        </w:rPr>
        <w:footnoteRef/>
      </w:r>
      <w:r>
        <w:tab/>
      </w:r>
      <w:r>
        <w:rPr>
          <w:i/>
          <w:lang w:val="en-US"/>
        </w:rPr>
        <w:t xml:space="preserve">Bonde v Weate </w:t>
      </w:r>
      <w:r>
        <w:rPr>
          <w:lang w:val="en-US"/>
        </w:rPr>
        <w:t xml:space="preserve">[2017] TASMC 11. </w:t>
      </w:r>
    </w:p>
  </w:footnote>
  <w:footnote w:id="110">
    <w:p w14:paraId="1893EF6B" w14:textId="5CCB8F3D" w:rsidR="00EE78D8" w:rsidRDefault="00EE78D8">
      <w:pPr>
        <w:pStyle w:val="FootnoteText"/>
      </w:pPr>
      <w:r>
        <w:rPr>
          <w:rStyle w:val="FootnoteReference"/>
        </w:rPr>
        <w:footnoteRef/>
      </w:r>
      <w:r>
        <w:tab/>
      </w:r>
      <w:r w:rsidRPr="00BD2BA1">
        <w:t xml:space="preserve">ALRC, </w:t>
      </w:r>
      <w:r w:rsidRPr="00BD2BA1">
        <w:rPr>
          <w:i/>
        </w:rPr>
        <w:t>Equality, Capacity and Disability in Commonwealth Laws</w:t>
      </w:r>
      <w:r w:rsidRPr="00BD2BA1">
        <w:t>, Final Report No 124 (2014), 194–195 quoting the VLRC, above</w:t>
      </w:r>
      <w:r>
        <w:t xml:space="preserve"> </w:t>
      </w:r>
      <w:r>
        <w:fldChar w:fldCharType="begin"/>
      </w:r>
      <w:r>
        <w:instrText xml:space="preserve"> NOTEREF _Ref534979326 \h </w:instrText>
      </w:r>
      <w:r>
        <w:fldChar w:fldCharType="separate"/>
      </w:r>
      <w:r w:rsidR="001F209C">
        <w:t>26</w:t>
      </w:r>
      <w:r>
        <w:fldChar w:fldCharType="end"/>
      </w:r>
      <w:r w:rsidRPr="00BD2BA1">
        <w:t>, 52.</w:t>
      </w:r>
    </w:p>
  </w:footnote>
  <w:footnote w:id="111">
    <w:p w14:paraId="445D19F0" w14:textId="5E4B74AA" w:rsidR="00EE78D8" w:rsidRPr="00EC5F62" w:rsidRDefault="00EE78D8">
      <w:pPr>
        <w:pStyle w:val="FootnoteText"/>
        <w:rPr>
          <w:lang w:val="en-US"/>
        </w:rPr>
      </w:pPr>
      <w:r>
        <w:rPr>
          <w:rStyle w:val="FootnoteReference"/>
        </w:rPr>
        <w:footnoteRef/>
      </w:r>
      <w:r>
        <w:tab/>
      </w:r>
      <w:r>
        <w:rPr>
          <w:lang w:val="en-US"/>
        </w:rPr>
        <w:t>See [2.4].</w:t>
      </w:r>
    </w:p>
  </w:footnote>
  <w:footnote w:id="112">
    <w:p w14:paraId="56609C94" w14:textId="07D4357B" w:rsidR="00EE78D8" w:rsidRPr="00805558" w:rsidRDefault="00EE78D8">
      <w:pPr>
        <w:pStyle w:val="FootnoteText"/>
        <w:rPr>
          <w:lang w:val="en-US"/>
        </w:rPr>
      </w:pPr>
      <w:r>
        <w:rPr>
          <w:rStyle w:val="FootnoteReference"/>
        </w:rPr>
        <w:footnoteRef/>
      </w:r>
      <w:r>
        <w:tab/>
      </w:r>
      <w:r>
        <w:rPr>
          <w:lang w:val="en-US"/>
        </w:rPr>
        <w:t>[1958] VR 45.</w:t>
      </w:r>
    </w:p>
  </w:footnote>
  <w:footnote w:id="113">
    <w:p w14:paraId="7B3C890E" w14:textId="2CD866FD" w:rsidR="00EE78D8" w:rsidRPr="001A0328" w:rsidRDefault="00EE78D8" w:rsidP="00AF5F07">
      <w:pPr>
        <w:pStyle w:val="FootnoteText"/>
        <w:spacing w:after="40"/>
        <w:rPr>
          <w:lang w:val="en-US"/>
        </w:rPr>
      </w:pPr>
      <w:r>
        <w:rPr>
          <w:rStyle w:val="FootnoteReference"/>
        </w:rPr>
        <w:footnoteRef/>
      </w:r>
      <w:r>
        <w:tab/>
        <w:t xml:space="preserve">Director of Public Prosecutions (DPP), </w:t>
      </w:r>
      <w:r>
        <w:rPr>
          <w:i/>
        </w:rPr>
        <w:t xml:space="preserve">Prosecution Policy and </w:t>
      </w:r>
      <w:r w:rsidRPr="00D2156E">
        <w:rPr>
          <w:i/>
        </w:rPr>
        <w:t>Guidelines</w:t>
      </w:r>
      <w:r>
        <w:t xml:space="preserve">, </w:t>
      </w:r>
      <w:r w:rsidRPr="00664FA9">
        <w:rPr>
          <w:lang w:val="en-US"/>
        </w:rPr>
        <w:t>119</w:t>
      </w:r>
      <w:r>
        <w:rPr>
          <w:lang w:val="en-US"/>
        </w:rPr>
        <w:t>–120.</w:t>
      </w:r>
    </w:p>
  </w:footnote>
  <w:footnote w:id="114">
    <w:p w14:paraId="26A36EC1" w14:textId="1E05BEE1" w:rsidR="00EE78D8" w:rsidRPr="008956EB" w:rsidRDefault="00EE78D8" w:rsidP="00AF5F07">
      <w:pPr>
        <w:pStyle w:val="FootnoteText"/>
        <w:spacing w:after="40"/>
        <w:rPr>
          <w:lang w:val="en-US"/>
        </w:rPr>
      </w:pPr>
      <w:r>
        <w:rPr>
          <w:rStyle w:val="FootnoteReference"/>
        </w:rPr>
        <w:footnoteRef/>
      </w:r>
      <w:r>
        <w:tab/>
      </w:r>
      <w:r>
        <w:rPr>
          <w:i/>
        </w:rPr>
        <w:t xml:space="preserve">R v Chanthasaeng, Songsagkong </w:t>
      </w:r>
      <w:r>
        <w:t>[2008] NSWCS 122, [48]</w:t>
      </w:r>
      <w:r w:rsidRPr="000F2E2F">
        <w:t xml:space="preserve"> </w:t>
      </w:r>
      <w:r>
        <w:t>(Nicolson SC DCJ).</w:t>
      </w:r>
    </w:p>
  </w:footnote>
  <w:footnote w:id="115">
    <w:p w14:paraId="3BC5567C" w14:textId="04F3C730" w:rsidR="00EE78D8" w:rsidRPr="008956EB" w:rsidRDefault="00EE78D8" w:rsidP="00AF5F07">
      <w:pPr>
        <w:pStyle w:val="FootnoteText"/>
        <w:spacing w:after="40"/>
        <w:rPr>
          <w:lang w:val="en-US"/>
        </w:rPr>
      </w:pPr>
      <w:r>
        <w:rPr>
          <w:rStyle w:val="FootnoteReference"/>
        </w:rPr>
        <w:footnoteRef/>
      </w:r>
      <w:r>
        <w:tab/>
      </w:r>
      <w:r w:rsidRPr="004F08E1">
        <w:t xml:space="preserve">Ibid </w:t>
      </w:r>
      <w:r>
        <w:rPr>
          <w:lang w:val="en-US"/>
        </w:rPr>
        <w:t>[47].</w:t>
      </w:r>
    </w:p>
  </w:footnote>
  <w:footnote w:id="116">
    <w:p w14:paraId="1BC20690" w14:textId="0AB72397" w:rsidR="00EE78D8" w:rsidRPr="001A0328" w:rsidRDefault="00EE78D8" w:rsidP="00AF5F07">
      <w:pPr>
        <w:pStyle w:val="FootnoteText"/>
        <w:spacing w:after="40"/>
        <w:rPr>
          <w:lang w:val="en-US"/>
        </w:rPr>
      </w:pPr>
      <w:r>
        <w:rPr>
          <w:rStyle w:val="FootnoteReference"/>
        </w:rPr>
        <w:footnoteRef/>
      </w:r>
      <w:r>
        <w:tab/>
      </w:r>
      <w:r>
        <w:rPr>
          <w:lang w:val="en-US"/>
        </w:rPr>
        <w:t xml:space="preserve">DPP Guidelines, above n </w:t>
      </w:r>
      <w:r>
        <w:rPr>
          <w:lang w:val="en-US"/>
        </w:rPr>
        <w:fldChar w:fldCharType="begin"/>
      </w:r>
      <w:r>
        <w:rPr>
          <w:lang w:val="en-US"/>
        </w:rPr>
        <w:instrText xml:space="preserve"> NOTEREF _Ref535010444 \h </w:instrText>
      </w:r>
      <w:r>
        <w:rPr>
          <w:lang w:val="en-US"/>
        </w:rPr>
      </w:r>
      <w:r>
        <w:rPr>
          <w:lang w:val="en-US"/>
        </w:rPr>
        <w:fldChar w:fldCharType="separate"/>
      </w:r>
      <w:r w:rsidR="001F209C">
        <w:rPr>
          <w:lang w:val="en-US"/>
        </w:rPr>
        <w:t>113</w:t>
      </w:r>
      <w:r>
        <w:rPr>
          <w:lang w:val="en-US"/>
        </w:rPr>
        <w:fldChar w:fldCharType="end"/>
      </w:r>
      <w:r>
        <w:rPr>
          <w:lang w:val="en-US"/>
        </w:rPr>
        <w:t>, 120.</w:t>
      </w:r>
    </w:p>
  </w:footnote>
  <w:footnote w:id="117">
    <w:p w14:paraId="5D678090" w14:textId="32FE4914" w:rsidR="00EE78D8" w:rsidRPr="00697097" w:rsidRDefault="00EE78D8" w:rsidP="00AF5F07">
      <w:pPr>
        <w:pStyle w:val="FootnoteText"/>
        <w:spacing w:after="40"/>
        <w:rPr>
          <w:lang w:val="en-US"/>
        </w:rPr>
      </w:pPr>
      <w:r>
        <w:rPr>
          <w:rStyle w:val="FootnoteReference"/>
        </w:rPr>
        <w:footnoteRef/>
      </w:r>
      <w:r>
        <w:tab/>
        <w:t>(2011) 210 A Crim R 199.</w:t>
      </w:r>
    </w:p>
  </w:footnote>
  <w:footnote w:id="118">
    <w:p w14:paraId="66BC08C0" w14:textId="40CB217A" w:rsidR="00EE78D8" w:rsidRPr="008D3776" w:rsidRDefault="00EE78D8" w:rsidP="00B076D7">
      <w:pPr>
        <w:pStyle w:val="FootnoteText"/>
        <w:rPr>
          <w:lang w:val="en-US"/>
        </w:rPr>
      </w:pPr>
      <w:r>
        <w:rPr>
          <w:rStyle w:val="FootnoteReference"/>
        </w:rPr>
        <w:footnoteRef/>
      </w:r>
      <w:r>
        <w:tab/>
        <w:t xml:space="preserve">Ibid </w:t>
      </w:r>
      <w:r>
        <w:rPr>
          <w:lang w:val="en-US"/>
        </w:rPr>
        <w:t>[29].</w:t>
      </w:r>
    </w:p>
  </w:footnote>
  <w:footnote w:id="119">
    <w:p w14:paraId="2A47E8A3" w14:textId="717008E4" w:rsidR="00EE78D8" w:rsidRPr="00805558"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xml:space="preserve">, 68. </w:t>
      </w:r>
    </w:p>
  </w:footnote>
  <w:footnote w:id="120">
    <w:p w14:paraId="5300EFE8" w14:textId="3C96AA0A" w:rsidR="00EE78D8" w:rsidRPr="004B791B" w:rsidRDefault="00EE78D8">
      <w:pPr>
        <w:pStyle w:val="FootnoteText"/>
        <w:rPr>
          <w:lang w:val="en-US"/>
        </w:rPr>
      </w:pPr>
      <w:r>
        <w:rPr>
          <w:rStyle w:val="FootnoteReference"/>
        </w:rPr>
        <w:footnoteRef/>
      </w:r>
      <w:r>
        <w:tab/>
      </w:r>
      <w:r>
        <w:rPr>
          <w:lang w:val="en-US"/>
        </w:rPr>
        <w:t>Ibid.</w:t>
      </w:r>
    </w:p>
  </w:footnote>
  <w:footnote w:id="121">
    <w:p w14:paraId="1658F705" w14:textId="3449D79E" w:rsidR="00EE78D8" w:rsidRPr="00267FD6" w:rsidRDefault="00EE78D8">
      <w:pPr>
        <w:pStyle w:val="FootnoteText"/>
        <w:rPr>
          <w:lang w:val="en-US"/>
        </w:rPr>
      </w:pPr>
      <w:r>
        <w:rPr>
          <w:rStyle w:val="FootnoteReference"/>
        </w:rPr>
        <w:footnoteRef/>
      </w:r>
      <w:r>
        <w:tab/>
        <w:t xml:space="preserve">A White, S Meares and J Batchelor, ‘The Role of Cognition in Fitness to Stand: A Systematic Review’ (2014) 25 </w:t>
      </w:r>
      <w:r>
        <w:rPr>
          <w:i/>
        </w:rPr>
        <w:t xml:space="preserve">Journal of Forensic Psychiatry and Psychology </w:t>
      </w:r>
      <w:r>
        <w:t>77, 77.</w:t>
      </w:r>
    </w:p>
  </w:footnote>
  <w:footnote w:id="122">
    <w:p w14:paraId="6391200A" w14:textId="3B2323A3" w:rsidR="00EE78D8" w:rsidRPr="0003383C" w:rsidRDefault="00EE78D8">
      <w:pPr>
        <w:pStyle w:val="FootnoteText"/>
        <w:rPr>
          <w:lang w:val="en-US"/>
        </w:rPr>
      </w:pPr>
      <w:r>
        <w:rPr>
          <w:rStyle w:val="FootnoteReference"/>
        </w:rPr>
        <w:footnoteRef/>
      </w:r>
      <w:r>
        <w:tab/>
        <w:t xml:space="preserve">NSWLRC, </w:t>
      </w:r>
      <w:r>
        <w:rPr>
          <w:lang w:val="en-US"/>
        </w:rPr>
        <w:t xml:space="preserve">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xml:space="preserve">, </w:t>
      </w:r>
      <w:r>
        <w:t xml:space="preserve">17; </w:t>
      </w:r>
      <w:r>
        <w:rPr>
          <w:lang w:val="en-US"/>
        </w:rPr>
        <w:t xml:space="preserve">Law Commission of England and Wales, </w:t>
      </w:r>
      <w:r>
        <w:rPr>
          <w:i/>
          <w:lang w:val="en-US"/>
        </w:rPr>
        <w:t>Unfitness to Plead: A Consultation Paper</w:t>
      </w:r>
      <w:r>
        <w:rPr>
          <w:lang w:val="en-US"/>
        </w:rPr>
        <w:t>,</w:t>
      </w:r>
      <w:r>
        <w:rPr>
          <w:i/>
          <w:lang w:val="en-US"/>
        </w:rPr>
        <w:t xml:space="preserve"> </w:t>
      </w:r>
      <w:r>
        <w:rPr>
          <w:lang w:val="en-US"/>
        </w:rPr>
        <w:t>Consultation Paper No 197 (2010) 59–60.</w:t>
      </w:r>
    </w:p>
  </w:footnote>
  <w:footnote w:id="123">
    <w:p w14:paraId="127D1AAF" w14:textId="750077CF" w:rsidR="00EE78D8" w:rsidRPr="007C1606" w:rsidRDefault="00EE78D8">
      <w:pPr>
        <w:pStyle w:val="FootnoteText"/>
        <w:rPr>
          <w:lang w:val="en-US"/>
        </w:rPr>
      </w:pPr>
      <w:r>
        <w:rPr>
          <w:rStyle w:val="FootnoteReference"/>
        </w:rPr>
        <w:footnoteRef/>
      </w:r>
      <w:r>
        <w:tab/>
      </w:r>
      <w:r>
        <w:rPr>
          <w:lang w:val="en-US"/>
        </w:rPr>
        <w:t>Emphasis added.</w:t>
      </w:r>
    </w:p>
  </w:footnote>
  <w:footnote w:id="124">
    <w:p w14:paraId="74F1080E" w14:textId="2EA9E9E6" w:rsidR="00EE78D8" w:rsidRPr="00926CF1" w:rsidRDefault="00EE78D8" w:rsidP="00C67E45">
      <w:pPr>
        <w:pStyle w:val="FootnoteText"/>
        <w:rPr>
          <w:lang w:val="en-US"/>
        </w:rPr>
      </w:pPr>
      <w:r>
        <w:rPr>
          <w:rStyle w:val="FootnoteReference"/>
        </w:rPr>
        <w:footnoteRef/>
      </w:r>
      <w:r>
        <w:tab/>
      </w:r>
      <w:r>
        <w:rPr>
          <w:lang w:val="en-US"/>
        </w:rPr>
        <w:t xml:space="preserve">See T Minkowitz, ‘Rethinking Criminal Responsibility from a Critical Disability Perspective: The Abolition of Insanity/Incapacity Acquittals and Unfitness to Plead, and Beyond’ (2014) 23 </w:t>
      </w:r>
      <w:r>
        <w:rPr>
          <w:i/>
          <w:lang w:val="en-US"/>
        </w:rPr>
        <w:t xml:space="preserve">Griffith Law Review </w:t>
      </w:r>
      <w:r>
        <w:rPr>
          <w:lang w:val="en-US"/>
        </w:rPr>
        <w:t xml:space="preserve">434. See also discussion in P Gooding and C O’Mahoney, ‘Laws on Unfitness to Stand Trial and the UN Convention on the Rights of Persons with Disabilities: Comparing Reform in England, Wales, Northern Ireland and Australia’ (2016) 44 </w:t>
      </w:r>
      <w:r>
        <w:rPr>
          <w:i/>
          <w:lang w:val="en-US"/>
        </w:rPr>
        <w:t xml:space="preserve">International Journal of Law, Crime and Justice </w:t>
      </w:r>
      <w:r>
        <w:rPr>
          <w:lang w:val="en-US"/>
        </w:rPr>
        <w:t>122, 137–138.</w:t>
      </w:r>
    </w:p>
  </w:footnote>
  <w:footnote w:id="125">
    <w:p w14:paraId="14E074A5" w14:textId="79C29116" w:rsidR="00EE78D8" w:rsidRPr="00091E56" w:rsidRDefault="00EE78D8" w:rsidP="005701F9">
      <w:pPr>
        <w:pStyle w:val="FootnoteText"/>
        <w:rPr>
          <w:lang w:val="en-US"/>
        </w:rPr>
      </w:pPr>
      <w:r>
        <w:rPr>
          <w:rStyle w:val="FootnoteReference"/>
        </w:rPr>
        <w:footnoteRef/>
      </w:r>
      <w:r>
        <w:tab/>
      </w:r>
      <w:r>
        <w:rPr>
          <w:lang w:val="en-US"/>
        </w:rPr>
        <w:t xml:space="preserve">This critique is summarised by </w:t>
      </w:r>
      <w:r>
        <w:t xml:space="preserve">Gooding et al, above n </w:t>
      </w:r>
      <w:r>
        <w:fldChar w:fldCharType="begin"/>
      </w:r>
      <w:r>
        <w:instrText xml:space="preserve"> NOTEREF _Ref534982760 \h </w:instrText>
      </w:r>
      <w:r>
        <w:fldChar w:fldCharType="separate"/>
      </w:r>
      <w:r w:rsidR="001F209C">
        <w:t>37</w:t>
      </w:r>
      <w:r>
        <w:fldChar w:fldCharType="end"/>
      </w:r>
      <w:r>
        <w:rPr>
          <w:lang w:val="en-US"/>
        </w:rPr>
        <w:t>, 842–845.</w:t>
      </w:r>
    </w:p>
  </w:footnote>
  <w:footnote w:id="126">
    <w:p w14:paraId="01E7A367" w14:textId="1D179F26" w:rsidR="00EE78D8" w:rsidRPr="0050574D" w:rsidRDefault="00EE78D8" w:rsidP="005701F9">
      <w:pPr>
        <w:pStyle w:val="FootnoteText"/>
        <w:rPr>
          <w:lang w:val="en-US"/>
        </w:rPr>
      </w:pPr>
      <w:r>
        <w:rPr>
          <w:rStyle w:val="FootnoteReference"/>
        </w:rPr>
        <w:footnoteRef/>
      </w:r>
      <w:r>
        <w:rPr>
          <w:lang w:val="en-US"/>
        </w:rPr>
        <w:tab/>
      </w:r>
      <w:r w:rsidRPr="00FC28C6">
        <w:rPr>
          <w:i/>
          <w:lang w:val="en-US"/>
        </w:rPr>
        <w:t>CRPD</w:t>
      </w:r>
      <w:r>
        <w:rPr>
          <w:lang w:val="en-US"/>
        </w:rPr>
        <w:t xml:space="preserve"> art 12(1). See discussion in A Arstein-Kerslake et al, ‘Human Rights and Unfitness to Plead: The Demands of the Convention on the Rights of Persons with Disabilities’ (2017) 17(3) </w:t>
      </w:r>
      <w:r>
        <w:rPr>
          <w:i/>
          <w:lang w:val="en-US"/>
        </w:rPr>
        <w:t>Human Rights Law Review</w:t>
      </w:r>
      <w:r>
        <w:rPr>
          <w:lang w:val="en-US"/>
        </w:rPr>
        <w:t xml:space="preserve"> 399 [online: </w:t>
      </w:r>
      <w:r w:rsidRPr="000E566D">
        <w:rPr>
          <w:lang w:val="en-US"/>
        </w:rPr>
        <w:t>https://doi.org/10.1093/hrlr/ngx025</w:t>
      </w:r>
      <w:r>
        <w:rPr>
          <w:lang w:val="en-US"/>
        </w:rPr>
        <w:t xml:space="preserve">]. </w:t>
      </w:r>
    </w:p>
  </w:footnote>
  <w:footnote w:id="127">
    <w:p w14:paraId="2E746882" w14:textId="74D8833E" w:rsidR="00EE78D8" w:rsidRPr="002360B7" w:rsidRDefault="00EE78D8" w:rsidP="005701F9">
      <w:pPr>
        <w:pStyle w:val="FootnoteText"/>
        <w:rPr>
          <w:lang w:val="en-US"/>
        </w:rPr>
      </w:pPr>
      <w:r>
        <w:rPr>
          <w:rStyle w:val="FootnoteReference"/>
        </w:rPr>
        <w:footnoteRef/>
      </w:r>
      <w:r>
        <w:tab/>
      </w:r>
      <w:r>
        <w:rPr>
          <w:lang w:val="en-US"/>
        </w:rPr>
        <w:t xml:space="preserve">Gooding and O’Mahoney, above n </w:t>
      </w:r>
      <w:r>
        <w:rPr>
          <w:lang w:val="en-US"/>
        </w:rPr>
        <w:fldChar w:fldCharType="begin"/>
      </w:r>
      <w:r>
        <w:rPr>
          <w:lang w:val="en-US"/>
        </w:rPr>
        <w:instrText xml:space="preserve"> NOTEREF _Ref535056394 \h </w:instrText>
      </w:r>
      <w:r>
        <w:rPr>
          <w:lang w:val="en-US"/>
        </w:rPr>
      </w:r>
      <w:r>
        <w:rPr>
          <w:lang w:val="en-US"/>
        </w:rPr>
        <w:fldChar w:fldCharType="separate"/>
      </w:r>
      <w:r w:rsidR="001F209C">
        <w:rPr>
          <w:lang w:val="en-US"/>
        </w:rPr>
        <w:t>124</w:t>
      </w:r>
      <w:r>
        <w:rPr>
          <w:lang w:val="en-US"/>
        </w:rPr>
        <w:fldChar w:fldCharType="end"/>
      </w:r>
      <w:r>
        <w:rPr>
          <w:lang w:val="en-US"/>
        </w:rPr>
        <w:t xml:space="preserve">, 131. See also discussion in Arstein-Kerslake et al, above n </w:t>
      </w:r>
      <w:r>
        <w:rPr>
          <w:lang w:val="en-US"/>
        </w:rPr>
        <w:fldChar w:fldCharType="begin"/>
      </w:r>
      <w:r>
        <w:rPr>
          <w:lang w:val="en-US"/>
        </w:rPr>
        <w:instrText xml:space="preserve"> NOTEREF _Ref535056500 \h </w:instrText>
      </w:r>
      <w:r>
        <w:rPr>
          <w:lang w:val="en-US"/>
        </w:rPr>
      </w:r>
      <w:r>
        <w:rPr>
          <w:lang w:val="en-US"/>
        </w:rPr>
        <w:fldChar w:fldCharType="separate"/>
      </w:r>
      <w:r w:rsidR="001F209C">
        <w:rPr>
          <w:lang w:val="en-US"/>
        </w:rPr>
        <w:t>126</w:t>
      </w:r>
      <w:r>
        <w:rPr>
          <w:lang w:val="en-US"/>
        </w:rPr>
        <w:fldChar w:fldCharType="end"/>
      </w:r>
      <w:r>
        <w:rPr>
          <w:lang w:val="en-US"/>
        </w:rPr>
        <w:t>, 406–7.</w:t>
      </w:r>
    </w:p>
  </w:footnote>
  <w:footnote w:id="128">
    <w:p w14:paraId="727E764F" w14:textId="1AF77870" w:rsidR="00EE78D8" w:rsidRPr="000263BD" w:rsidRDefault="00EE78D8">
      <w:pPr>
        <w:pStyle w:val="FootnoteText"/>
        <w:rPr>
          <w:i/>
          <w:lang w:val="en-US"/>
        </w:rPr>
      </w:pPr>
      <w:r>
        <w:rPr>
          <w:rStyle w:val="FootnoteReference"/>
        </w:rPr>
        <w:footnoteRef/>
      </w:r>
      <w:r>
        <w:tab/>
      </w:r>
      <w:r>
        <w:rPr>
          <w:lang w:val="en-US"/>
        </w:rPr>
        <w:t xml:space="preserve">Melbourne Social Equity Institute, </w:t>
      </w:r>
      <w:r w:rsidRPr="00D73EC5">
        <w:rPr>
          <w:i/>
          <w:lang w:val="en-US"/>
        </w:rPr>
        <w:t>Addressing the Indefinite Detention of People with Cognitive and Psychiatric Impairment Due to Unfitness to Plead Law</w:t>
      </w:r>
      <w:r>
        <w:rPr>
          <w:lang w:val="en-US"/>
        </w:rPr>
        <w:t xml:space="preserve"> (Submission to the Senate Community Affairs Reference Committee, 2016) 5–6.</w:t>
      </w:r>
    </w:p>
  </w:footnote>
  <w:footnote w:id="129">
    <w:p w14:paraId="0744C872" w14:textId="14DF4F27" w:rsidR="00EE78D8" w:rsidRPr="005B504C" w:rsidRDefault="00EE78D8" w:rsidP="00AF2295">
      <w:pPr>
        <w:pStyle w:val="FootnoteText"/>
        <w:rPr>
          <w:lang w:val="en-US"/>
        </w:rPr>
      </w:pPr>
      <w:r>
        <w:rPr>
          <w:rStyle w:val="FootnoteReference"/>
        </w:rPr>
        <w:footnoteRef/>
      </w:r>
      <w:r>
        <w:tab/>
        <w:t xml:space="preserve">Gooding et al, above n </w:t>
      </w:r>
      <w:r>
        <w:fldChar w:fldCharType="begin"/>
      </w:r>
      <w:r>
        <w:instrText xml:space="preserve"> NOTEREF _Ref534982760 \h </w:instrText>
      </w:r>
      <w:r>
        <w:fldChar w:fldCharType="separate"/>
      </w:r>
      <w:r w:rsidR="001F209C">
        <w:t>37</w:t>
      </w:r>
      <w:r>
        <w:fldChar w:fldCharType="end"/>
      </w:r>
      <w:r>
        <w:rPr>
          <w:lang w:val="en-US"/>
        </w:rPr>
        <w:t xml:space="preserve">, 843. See UNCRPD, </w:t>
      </w:r>
      <w:r>
        <w:rPr>
          <w:i/>
          <w:lang w:val="en-US"/>
        </w:rPr>
        <w:t xml:space="preserve">Guidelines on Article 14 of the Convention on the Rights of Persons with Disabilities: The Right to Liberty and Security of Persons with Disabilities </w:t>
      </w:r>
      <w:r>
        <w:rPr>
          <w:lang w:val="en-US"/>
        </w:rPr>
        <w:t>(2015).</w:t>
      </w:r>
    </w:p>
  </w:footnote>
  <w:footnote w:id="130">
    <w:p w14:paraId="2A80C077" w14:textId="61ADC2D0" w:rsidR="00EE78D8" w:rsidRPr="00213C47" w:rsidRDefault="00EE78D8">
      <w:pPr>
        <w:pStyle w:val="FootnoteText"/>
        <w:rPr>
          <w:lang w:val="en-US"/>
        </w:rPr>
      </w:pPr>
      <w:r>
        <w:rPr>
          <w:rStyle w:val="FootnoteReference"/>
        </w:rPr>
        <w:footnoteRef/>
      </w:r>
      <w:r>
        <w:tab/>
      </w:r>
      <w:r>
        <w:rPr>
          <w:lang w:val="en-US"/>
        </w:rPr>
        <w:t xml:space="preserve">Minkowitz, above n </w:t>
      </w:r>
      <w:r>
        <w:rPr>
          <w:lang w:val="en-US"/>
        </w:rPr>
        <w:fldChar w:fldCharType="begin"/>
      </w:r>
      <w:r>
        <w:rPr>
          <w:lang w:val="en-US"/>
        </w:rPr>
        <w:instrText xml:space="preserve"> NOTEREF _Ref535056394 \h </w:instrText>
      </w:r>
      <w:r>
        <w:rPr>
          <w:lang w:val="en-US"/>
        </w:rPr>
      </w:r>
      <w:r>
        <w:rPr>
          <w:lang w:val="en-US"/>
        </w:rPr>
        <w:fldChar w:fldCharType="separate"/>
      </w:r>
      <w:r w:rsidR="001F209C">
        <w:rPr>
          <w:lang w:val="en-US"/>
        </w:rPr>
        <w:t>124</w:t>
      </w:r>
      <w:r>
        <w:rPr>
          <w:lang w:val="en-US"/>
        </w:rPr>
        <w:fldChar w:fldCharType="end"/>
      </w:r>
      <w:r>
        <w:rPr>
          <w:lang w:val="en-US"/>
        </w:rPr>
        <w:t>, 434.</w:t>
      </w:r>
    </w:p>
  </w:footnote>
  <w:footnote w:id="131">
    <w:p w14:paraId="2AFE417F" w14:textId="3C14B1DB" w:rsidR="00EE78D8" w:rsidRPr="00267BC1" w:rsidRDefault="00EE78D8">
      <w:pPr>
        <w:pStyle w:val="FootnoteText"/>
        <w:rPr>
          <w:lang w:val="en-US"/>
        </w:rPr>
      </w:pPr>
      <w:r>
        <w:rPr>
          <w:rStyle w:val="FootnoteReference"/>
        </w:rPr>
        <w:footnoteRef/>
      </w:r>
      <w:r>
        <w:tab/>
        <w:t xml:space="preserve">However, the dismantling of the regime suggested by </w:t>
      </w:r>
      <w:r>
        <w:rPr>
          <w:lang w:val="en-US"/>
        </w:rPr>
        <w:t xml:space="preserve">Arstein-Kerslake et al, </w:t>
      </w:r>
      <w:r w:rsidRPr="00404D75">
        <w:rPr>
          <w:lang w:val="en-US"/>
        </w:rPr>
        <w:t xml:space="preserve">above n </w:t>
      </w:r>
      <w:r w:rsidRPr="00404D75">
        <w:rPr>
          <w:lang w:val="en-US"/>
        </w:rPr>
        <w:fldChar w:fldCharType="begin"/>
      </w:r>
      <w:r w:rsidRPr="00404D75">
        <w:rPr>
          <w:lang w:val="en-US"/>
        </w:rPr>
        <w:instrText xml:space="preserve"> NOTEREF _Ref535056500 \h  \* MERGEFORMAT </w:instrText>
      </w:r>
      <w:r w:rsidRPr="00404D75">
        <w:rPr>
          <w:lang w:val="en-US"/>
        </w:rPr>
      </w:r>
      <w:r w:rsidRPr="00404D75">
        <w:rPr>
          <w:lang w:val="en-US"/>
        </w:rPr>
        <w:fldChar w:fldCharType="separate"/>
      </w:r>
      <w:r w:rsidR="001F209C">
        <w:rPr>
          <w:lang w:val="en-US"/>
        </w:rPr>
        <w:t>126</w:t>
      </w:r>
      <w:r w:rsidRPr="00404D75">
        <w:rPr>
          <w:lang w:val="en-US"/>
        </w:rPr>
        <w:fldChar w:fldCharType="end"/>
      </w:r>
      <w:r w:rsidRPr="00404D75">
        <w:rPr>
          <w:lang w:val="en-US"/>
        </w:rPr>
        <w:t>,</w:t>
      </w:r>
      <w:r>
        <w:rPr>
          <w:lang w:val="en-US"/>
        </w:rPr>
        <w:t xml:space="preserve"> 417–418 seems to require reshaping of the law to such a degree as to amount to fundamental changes to the current fitness to stand trial doctrine that are akin to abolition. However, the authors acknowledge that there will be cases where a person is unable to participate in their trial even with supports and that some alternative approach will be necessary. They also acknowledge that the reforms ‘will take time and will probably require incremental change’: at 418.</w:t>
      </w:r>
    </w:p>
  </w:footnote>
  <w:footnote w:id="132">
    <w:p w14:paraId="0EBDBC31" w14:textId="1865F149" w:rsidR="00EE78D8" w:rsidRPr="004405C1" w:rsidRDefault="00EE78D8" w:rsidP="00AF2295">
      <w:pPr>
        <w:pStyle w:val="FootnoteText"/>
        <w:rPr>
          <w:lang w:val="en-US"/>
        </w:rPr>
      </w:pPr>
      <w:r>
        <w:rPr>
          <w:rStyle w:val="FootnoteReference"/>
        </w:rPr>
        <w:footnoteRef/>
      </w:r>
      <w:r>
        <w:tab/>
      </w:r>
      <w:r>
        <w:rPr>
          <w:lang w:val="en-US"/>
        </w:rPr>
        <w:t xml:space="preserve">See for example, discussion in Arstein-Kerslake et al, </w:t>
      </w:r>
      <w:r w:rsidRPr="00404D75">
        <w:rPr>
          <w:lang w:val="en-US"/>
        </w:rPr>
        <w:t>ibid</w:t>
      </w:r>
      <w:r>
        <w:rPr>
          <w:lang w:val="en-US"/>
        </w:rPr>
        <w:t xml:space="preserve">; Gooding and O’Mahoney, above n </w:t>
      </w:r>
      <w:r>
        <w:rPr>
          <w:lang w:val="en-US"/>
        </w:rPr>
        <w:fldChar w:fldCharType="begin"/>
      </w:r>
      <w:r>
        <w:rPr>
          <w:lang w:val="en-US"/>
        </w:rPr>
        <w:instrText xml:space="preserve"> NOTEREF _Ref535056394 \h </w:instrText>
      </w:r>
      <w:r>
        <w:rPr>
          <w:lang w:val="en-US"/>
        </w:rPr>
      </w:r>
      <w:r>
        <w:rPr>
          <w:lang w:val="en-US"/>
        </w:rPr>
        <w:fldChar w:fldCharType="separate"/>
      </w:r>
      <w:r w:rsidR="001F209C">
        <w:rPr>
          <w:lang w:val="en-US"/>
        </w:rPr>
        <w:t>124</w:t>
      </w:r>
      <w:r>
        <w:rPr>
          <w:lang w:val="en-US"/>
        </w:rPr>
        <w:fldChar w:fldCharType="end"/>
      </w:r>
      <w:r>
        <w:rPr>
          <w:lang w:val="en-US"/>
        </w:rPr>
        <w:t xml:space="preserve">; Melbourne Social Equity Institute, above n </w:t>
      </w:r>
      <w:r>
        <w:rPr>
          <w:lang w:val="en-US"/>
        </w:rPr>
        <w:fldChar w:fldCharType="begin"/>
      </w:r>
      <w:r>
        <w:rPr>
          <w:lang w:val="en-US"/>
        </w:rPr>
        <w:instrText xml:space="preserve"> NOTEREF _Ref535087573 \h </w:instrText>
      </w:r>
      <w:r>
        <w:rPr>
          <w:lang w:val="en-US"/>
        </w:rPr>
      </w:r>
      <w:r>
        <w:rPr>
          <w:lang w:val="en-US"/>
        </w:rPr>
        <w:fldChar w:fldCharType="separate"/>
      </w:r>
      <w:r w:rsidR="001F209C">
        <w:rPr>
          <w:lang w:val="en-US"/>
        </w:rPr>
        <w:t>128</w:t>
      </w:r>
      <w:r>
        <w:rPr>
          <w:lang w:val="en-US"/>
        </w:rPr>
        <w:fldChar w:fldCharType="end"/>
      </w:r>
      <w:r>
        <w:rPr>
          <w:lang w:val="en-US"/>
        </w:rPr>
        <w:t xml:space="preserve">; </w:t>
      </w:r>
      <w:r>
        <w:t xml:space="preserve">Gooding et al, above n </w:t>
      </w:r>
      <w:r>
        <w:fldChar w:fldCharType="begin"/>
      </w:r>
      <w:r>
        <w:instrText xml:space="preserve"> NOTEREF _Ref534982760 \h </w:instrText>
      </w:r>
      <w:r>
        <w:fldChar w:fldCharType="separate"/>
      </w:r>
      <w:r w:rsidR="001F209C">
        <w:t>37</w:t>
      </w:r>
      <w:r>
        <w:fldChar w:fldCharType="end"/>
      </w:r>
      <w:r>
        <w:rPr>
          <w:lang w:val="en-US"/>
        </w:rPr>
        <w:t>.</w:t>
      </w:r>
    </w:p>
  </w:footnote>
  <w:footnote w:id="133">
    <w:p w14:paraId="7172C2DC" w14:textId="331A0876" w:rsidR="00EE78D8" w:rsidRPr="00217C1F" w:rsidRDefault="00EE78D8">
      <w:pPr>
        <w:pStyle w:val="FootnoteText"/>
        <w:rPr>
          <w:lang w:val="en-US"/>
        </w:rPr>
      </w:pPr>
      <w:r>
        <w:rPr>
          <w:rStyle w:val="FootnoteReference"/>
        </w:rPr>
        <w:footnoteRef/>
      </w:r>
      <w:r>
        <w:tab/>
      </w:r>
      <w:r>
        <w:rPr>
          <w:lang w:val="en-US"/>
        </w:rPr>
        <w:t xml:space="preserve">Arstein-Kerslake et al, above </w:t>
      </w:r>
      <w:r w:rsidRPr="00404D75">
        <w:rPr>
          <w:lang w:val="en-US"/>
        </w:rPr>
        <w:t xml:space="preserve">n </w:t>
      </w:r>
      <w:r w:rsidRPr="00404D75">
        <w:rPr>
          <w:lang w:val="en-US"/>
        </w:rPr>
        <w:fldChar w:fldCharType="begin"/>
      </w:r>
      <w:r w:rsidRPr="00404D75">
        <w:rPr>
          <w:lang w:val="en-US"/>
        </w:rPr>
        <w:instrText xml:space="preserve"> NOTEREF _Ref535056500 \h  \* MERGEFORMAT </w:instrText>
      </w:r>
      <w:r w:rsidRPr="00404D75">
        <w:rPr>
          <w:lang w:val="en-US"/>
        </w:rPr>
      </w:r>
      <w:r w:rsidRPr="00404D75">
        <w:rPr>
          <w:lang w:val="en-US"/>
        </w:rPr>
        <w:fldChar w:fldCharType="separate"/>
      </w:r>
      <w:r w:rsidR="001F209C">
        <w:rPr>
          <w:lang w:val="en-US"/>
        </w:rPr>
        <w:t>126</w:t>
      </w:r>
      <w:r w:rsidRPr="00404D75">
        <w:rPr>
          <w:lang w:val="en-US"/>
        </w:rPr>
        <w:fldChar w:fldCharType="end"/>
      </w:r>
      <w:r w:rsidRPr="00404D75">
        <w:rPr>
          <w:lang w:val="en-US"/>
        </w:rPr>
        <w:t>,</w:t>
      </w:r>
      <w:r>
        <w:rPr>
          <w:lang w:val="en-US"/>
        </w:rPr>
        <w:t xml:space="preserve"> 417.</w:t>
      </w:r>
    </w:p>
  </w:footnote>
  <w:footnote w:id="134">
    <w:p w14:paraId="5A27A49A" w14:textId="17E2C5FA" w:rsidR="00EE78D8" w:rsidRPr="00507ECB" w:rsidRDefault="00EE78D8">
      <w:pPr>
        <w:pStyle w:val="FootnoteText"/>
        <w:rPr>
          <w:lang w:val="en-US"/>
        </w:rPr>
      </w:pPr>
      <w:r>
        <w:rPr>
          <w:rStyle w:val="FootnoteReference"/>
        </w:rPr>
        <w:footnoteRef/>
      </w:r>
      <w:r>
        <w:tab/>
        <w:t xml:space="preserve">P </w:t>
      </w:r>
      <w:r>
        <w:rPr>
          <w:lang w:val="en-US"/>
        </w:rPr>
        <w:t>Gooding, ‘Evolving Conceptualisations of Legal Capacity and Criminal Law in Australia’ (Presentation to the Legal Intersections Resource Centre: Disability at the Margins Vulnerability, Empowerment and the Criminal Law, University of Wollongong, November 2013).</w:t>
      </w:r>
    </w:p>
  </w:footnote>
  <w:footnote w:id="135">
    <w:p w14:paraId="77E59330" w14:textId="174CA565" w:rsidR="00EE78D8" w:rsidRPr="00130FB1" w:rsidRDefault="00EE78D8" w:rsidP="00507ECB">
      <w:pPr>
        <w:pStyle w:val="FootnoteText"/>
        <w:rPr>
          <w:lang w:val="en-US"/>
        </w:rPr>
      </w:pPr>
      <w:r>
        <w:rPr>
          <w:rStyle w:val="FootnoteReference"/>
        </w:rPr>
        <w:footnoteRef/>
      </w:r>
      <w:r>
        <w:tab/>
      </w:r>
      <w:r>
        <w:rPr>
          <w:lang w:val="en-US"/>
        </w:rPr>
        <w:t>Ibid.</w:t>
      </w:r>
    </w:p>
  </w:footnote>
  <w:footnote w:id="136">
    <w:p w14:paraId="0730C07C" w14:textId="486C539B" w:rsidR="00EE78D8" w:rsidRPr="00DF2F62" w:rsidRDefault="00EE78D8" w:rsidP="0084508A">
      <w:pPr>
        <w:pStyle w:val="FootnoteText"/>
        <w:rPr>
          <w:lang w:val="en-US"/>
        </w:rPr>
      </w:pPr>
      <w:r>
        <w:rPr>
          <w:rStyle w:val="FootnoteReference"/>
        </w:rPr>
        <w:footnoteRef/>
      </w:r>
      <w:r>
        <w:tab/>
      </w:r>
      <w:r>
        <w:rPr>
          <w:lang w:val="en-US"/>
        </w:rPr>
        <w:t xml:space="preserve">Gooding and O’Mahoney, above n </w:t>
      </w:r>
      <w:r>
        <w:rPr>
          <w:lang w:val="en-US"/>
        </w:rPr>
        <w:fldChar w:fldCharType="begin"/>
      </w:r>
      <w:r>
        <w:rPr>
          <w:lang w:val="en-US"/>
        </w:rPr>
        <w:instrText xml:space="preserve"> NOTEREF _Ref535056394 \h </w:instrText>
      </w:r>
      <w:r>
        <w:rPr>
          <w:lang w:val="en-US"/>
        </w:rPr>
      </w:r>
      <w:r>
        <w:rPr>
          <w:lang w:val="en-US"/>
        </w:rPr>
        <w:fldChar w:fldCharType="separate"/>
      </w:r>
      <w:r w:rsidR="001F209C">
        <w:rPr>
          <w:lang w:val="en-US"/>
        </w:rPr>
        <w:t>124</w:t>
      </w:r>
      <w:r>
        <w:rPr>
          <w:lang w:val="en-US"/>
        </w:rPr>
        <w:fldChar w:fldCharType="end"/>
      </w:r>
      <w:r>
        <w:rPr>
          <w:lang w:val="en-US"/>
        </w:rPr>
        <w:t>, 138.</w:t>
      </w:r>
    </w:p>
  </w:footnote>
  <w:footnote w:id="137">
    <w:p w14:paraId="5A413038" w14:textId="13914877" w:rsidR="00EE78D8" w:rsidRPr="00253E8A" w:rsidRDefault="00EE78D8">
      <w:pPr>
        <w:pStyle w:val="FootnoteText"/>
        <w:rPr>
          <w:lang w:val="en-US"/>
        </w:rPr>
      </w:pPr>
      <w:r>
        <w:rPr>
          <w:rStyle w:val="FootnoteReference"/>
        </w:rPr>
        <w:footnoteRef/>
      </w:r>
      <w:r>
        <w:tab/>
      </w:r>
      <w:r>
        <w:rPr>
          <w:lang w:val="en-US"/>
        </w:rPr>
        <w:t xml:space="preserve">Arstein-Kerslake et al, above n </w:t>
      </w:r>
      <w:r>
        <w:rPr>
          <w:lang w:val="en-US"/>
        </w:rPr>
        <w:fldChar w:fldCharType="begin"/>
      </w:r>
      <w:r>
        <w:rPr>
          <w:lang w:val="en-US"/>
        </w:rPr>
        <w:instrText xml:space="preserve"> NOTEREF _Ref535056500 \h </w:instrText>
      </w:r>
      <w:r>
        <w:rPr>
          <w:lang w:val="en-US"/>
        </w:rPr>
      </w:r>
      <w:r>
        <w:rPr>
          <w:lang w:val="en-US"/>
        </w:rPr>
        <w:fldChar w:fldCharType="separate"/>
      </w:r>
      <w:r w:rsidR="001F209C">
        <w:rPr>
          <w:lang w:val="en-US"/>
        </w:rPr>
        <w:t>126</w:t>
      </w:r>
      <w:r>
        <w:rPr>
          <w:lang w:val="en-US"/>
        </w:rPr>
        <w:fldChar w:fldCharType="end"/>
      </w:r>
      <w:r>
        <w:rPr>
          <w:lang w:val="en-US"/>
        </w:rPr>
        <w:t>, 418.</w:t>
      </w:r>
    </w:p>
  </w:footnote>
  <w:footnote w:id="138">
    <w:p w14:paraId="5D7F00F7" w14:textId="7271C178" w:rsidR="00EE78D8" w:rsidRPr="00253E8A" w:rsidRDefault="00EE78D8">
      <w:pPr>
        <w:pStyle w:val="FootnoteText"/>
        <w:rPr>
          <w:lang w:val="en-US"/>
        </w:rPr>
      </w:pPr>
      <w:r>
        <w:rPr>
          <w:rStyle w:val="FootnoteReference"/>
        </w:rPr>
        <w:footnoteRef/>
      </w:r>
      <w:r>
        <w:rPr>
          <w:lang w:val="en-US"/>
        </w:rPr>
        <w:tab/>
        <w:t>Ibid.</w:t>
      </w:r>
    </w:p>
  </w:footnote>
  <w:footnote w:id="139">
    <w:p w14:paraId="30A9E8C5" w14:textId="64623D18" w:rsidR="00EE78D8" w:rsidRPr="00253E8A" w:rsidRDefault="00EE78D8">
      <w:pPr>
        <w:pStyle w:val="FootnoteText"/>
        <w:rPr>
          <w:lang w:val="en-US"/>
        </w:rPr>
      </w:pPr>
      <w:r>
        <w:rPr>
          <w:rStyle w:val="FootnoteReference"/>
        </w:rPr>
        <w:footnoteRef/>
      </w:r>
      <w:r>
        <w:tab/>
      </w:r>
      <w:r>
        <w:rPr>
          <w:lang w:val="en-US"/>
        </w:rPr>
        <w:t>Ibid.</w:t>
      </w:r>
    </w:p>
  </w:footnote>
  <w:footnote w:id="140">
    <w:p w14:paraId="6D5D2C4B" w14:textId="2267A717" w:rsidR="00EE78D8" w:rsidRPr="00666AC1" w:rsidRDefault="00EE78D8">
      <w:pPr>
        <w:pStyle w:val="FootnoteText"/>
        <w:rPr>
          <w:lang w:val="en-US"/>
        </w:rPr>
      </w:pPr>
      <w:r>
        <w:rPr>
          <w:rStyle w:val="FootnoteReference"/>
        </w:rPr>
        <w:footnoteRef/>
      </w:r>
      <w:r>
        <w:tab/>
      </w:r>
      <w:r>
        <w:rPr>
          <w:lang w:val="en-US"/>
        </w:rPr>
        <w:t>Ibid 409–412.</w:t>
      </w:r>
    </w:p>
  </w:footnote>
  <w:footnote w:id="141">
    <w:p w14:paraId="3108956B" w14:textId="706ABBF0" w:rsidR="00EE78D8" w:rsidRPr="00610CCE" w:rsidRDefault="00EE78D8">
      <w:pPr>
        <w:pStyle w:val="FootnoteText"/>
        <w:rPr>
          <w:lang w:val="en-US"/>
        </w:rPr>
      </w:pPr>
      <w:r>
        <w:rPr>
          <w:rStyle w:val="FootnoteReference"/>
        </w:rPr>
        <w:footnoteRef/>
      </w:r>
      <w:r>
        <w:tab/>
      </w:r>
      <w:r>
        <w:rPr>
          <w:lang w:val="en-US"/>
        </w:rPr>
        <w:t>This is discussed further at [4.4].</w:t>
      </w:r>
    </w:p>
  </w:footnote>
  <w:footnote w:id="142">
    <w:p w14:paraId="003431AE" w14:textId="53DCECAB" w:rsidR="00EE78D8" w:rsidRPr="002A3D4C" w:rsidRDefault="00EE78D8">
      <w:pPr>
        <w:pStyle w:val="FootnoteText"/>
        <w:rPr>
          <w:lang w:val="en-US"/>
        </w:rPr>
      </w:pPr>
      <w:r>
        <w:rPr>
          <w:rStyle w:val="FootnoteReference"/>
        </w:rPr>
        <w:footnoteRef/>
      </w:r>
      <w:r>
        <w:tab/>
      </w:r>
      <w:r w:rsidRPr="00163525">
        <w:t xml:space="preserve">ALRC, above n </w:t>
      </w:r>
      <w:r>
        <w:fldChar w:fldCharType="begin"/>
      </w:r>
      <w:r>
        <w:instrText xml:space="preserve"> NOTEREF _Ref536035283 \h </w:instrText>
      </w:r>
      <w:r>
        <w:fldChar w:fldCharType="separate"/>
      </w:r>
      <w:r w:rsidR="001F209C">
        <w:t>110</w:t>
      </w:r>
      <w:r>
        <w:fldChar w:fldCharType="end"/>
      </w:r>
      <w:r w:rsidRPr="00163525">
        <w:t xml:space="preserve">, [7.14], [7.18]. </w:t>
      </w:r>
      <w:r w:rsidRPr="00163525">
        <w:rPr>
          <w:lang w:val="en-US"/>
        </w:rPr>
        <w:t xml:space="preserve">Department of the Attorney-General, Western Australia, above n </w:t>
      </w:r>
      <w:r w:rsidRPr="00163525">
        <w:rPr>
          <w:lang w:val="en-US"/>
        </w:rPr>
        <w:fldChar w:fldCharType="begin"/>
      </w:r>
      <w:r w:rsidRPr="00163525">
        <w:rPr>
          <w:lang w:val="en-US"/>
        </w:rPr>
        <w:instrText xml:space="preserve"> NOTEREF _Ref535061852 \h  \* MERGEFORMAT </w:instrText>
      </w:r>
      <w:r w:rsidRPr="00163525">
        <w:rPr>
          <w:lang w:val="en-US"/>
        </w:rPr>
      </w:r>
      <w:r w:rsidRPr="00163525">
        <w:rPr>
          <w:lang w:val="en-US"/>
        </w:rPr>
        <w:fldChar w:fldCharType="separate"/>
      </w:r>
      <w:r w:rsidR="001F209C">
        <w:rPr>
          <w:lang w:val="en-US"/>
        </w:rPr>
        <w:t>102</w:t>
      </w:r>
      <w:r w:rsidRPr="00163525">
        <w:rPr>
          <w:lang w:val="en-US"/>
        </w:rPr>
        <w:fldChar w:fldCharType="end"/>
      </w:r>
      <w:r w:rsidRPr="00163525">
        <w:rPr>
          <w:lang w:val="en-US"/>
        </w:rPr>
        <w:t>,</w:t>
      </w:r>
      <w:r w:rsidRPr="00163525">
        <w:t xml:space="preserve"> 46</w:t>
      </w:r>
      <w:r>
        <w:t>;</w:t>
      </w:r>
      <w:r w:rsidRPr="00163525">
        <w:t xml:space="preserve"> VLRC, above n </w:t>
      </w:r>
      <w:r w:rsidRPr="00163525">
        <w:fldChar w:fldCharType="begin"/>
      </w:r>
      <w:r w:rsidRPr="00163525">
        <w:instrText xml:space="preserve"> NOTEREF _Ref534978514 \h </w:instrText>
      </w:r>
      <w:r>
        <w:instrText xml:space="preserve"> \* MERGEFORMAT </w:instrText>
      </w:r>
      <w:r w:rsidRPr="00163525">
        <w:fldChar w:fldCharType="separate"/>
      </w:r>
      <w:r w:rsidR="001F209C">
        <w:t>24</w:t>
      </w:r>
      <w:r w:rsidRPr="00163525">
        <w:fldChar w:fldCharType="end"/>
      </w:r>
      <w:r w:rsidRPr="00163525">
        <w:t xml:space="preserve">; Law Commission of England and Wales, </w:t>
      </w:r>
      <w:r w:rsidRPr="00163525">
        <w:rPr>
          <w:i/>
        </w:rPr>
        <w:t xml:space="preserve">Unfitness to Plead Volume 1: Report </w:t>
      </w:r>
      <w:r w:rsidRPr="00163525">
        <w:t xml:space="preserve">(Law Com No 364, 2016) 61; Northern Ireland Law Reform Commission, </w:t>
      </w:r>
      <w:r w:rsidRPr="00163525">
        <w:rPr>
          <w:i/>
        </w:rPr>
        <w:t>Unfitness to Plead</w:t>
      </w:r>
      <w:r w:rsidRPr="00163525">
        <w:t>, Report</w:t>
      </w:r>
      <w:r w:rsidRPr="00163525">
        <w:rPr>
          <w:i/>
        </w:rPr>
        <w:t xml:space="preserve"> </w:t>
      </w:r>
      <w:r w:rsidRPr="00163525">
        <w:t>(2013) 27–28.</w:t>
      </w:r>
    </w:p>
  </w:footnote>
  <w:footnote w:id="143">
    <w:p w14:paraId="0591FDC1" w14:textId="621559BF" w:rsidR="00EE78D8" w:rsidRPr="00025473" w:rsidRDefault="00EE78D8">
      <w:pPr>
        <w:pStyle w:val="FootnoteText"/>
        <w:rPr>
          <w:highlight w:val="yellow"/>
          <w:lang w:val="en-US"/>
        </w:rPr>
      </w:pPr>
      <w:r>
        <w:rPr>
          <w:rStyle w:val="FootnoteReference"/>
        </w:rPr>
        <w:footnoteRef/>
      </w:r>
      <w:r>
        <w:tab/>
      </w:r>
      <w:r>
        <w:rPr>
          <w:lang w:val="en-US"/>
        </w:rPr>
        <w:t xml:space="preserve">ALRC, </w:t>
      </w:r>
      <w:r>
        <w:t xml:space="preserve">above n </w:t>
      </w:r>
      <w:r>
        <w:fldChar w:fldCharType="begin"/>
      </w:r>
      <w:r>
        <w:instrText xml:space="preserve"> NOTEREF _Ref536035283 \h </w:instrText>
      </w:r>
      <w:r>
        <w:fldChar w:fldCharType="separate"/>
      </w:r>
      <w:r w:rsidR="001F209C">
        <w:t>110</w:t>
      </w:r>
      <w:r>
        <w:fldChar w:fldCharType="end"/>
      </w:r>
      <w:r>
        <w:rPr>
          <w:lang w:val="en-US"/>
        </w:rPr>
        <w:t xml:space="preserve">, 136; 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xml:space="preserve">, 70; </w:t>
      </w:r>
      <w:r w:rsidRPr="009D733A">
        <w:rPr>
          <w:lang w:val="en-US"/>
        </w:rPr>
        <w:t xml:space="preserve">Law Commission UK, above n </w:t>
      </w:r>
      <w:r w:rsidRPr="009D733A">
        <w:rPr>
          <w:lang w:val="en-US"/>
        </w:rPr>
        <w:fldChar w:fldCharType="begin"/>
      </w:r>
      <w:r w:rsidRPr="009D733A">
        <w:rPr>
          <w:lang w:val="en-US"/>
        </w:rPr>
        <w:instrText xml:space="preserve"> NOTEREF _Ref535065725 \h </w:instrText>
      </w:r>
      <w:r>
        <w:rPr>
          <w:lang w:val="en-US"/>
        </w:rPr>
        <w:instrText xml:space="preserve"> \* MERGEFORMAT </w:instrText>
      </w:r>
      <w:r w:rsidRPr="009D733A">
        <w:rPr>
          <w:lang w:val="en-US"/>
        </w:rPr>
      </w:r>
      <w:r w:rsidRPr="009D733A">
        <w:rPr>
          <w:lang w:val="en-US"/>
        </w:rPr>
        <w:fldChar w:fldCharType="separate"/>
      </w:r>
      <w:r w:rsidR="001F209C">
        <w:rPr>
          <w:lang w:val="en-US"/>
        </w:rPr>
        <w:t>122</w:t>
      </w:r>
      <w:r w:rsidRPr="009D733A">
        <w:rPr>
          <w:lang w:val="en-US"/>
        </w:rPr>
        <w:fldChar w:fldCharType="end"/>
      </w:r>
      <w:r w:rsidRPr="009D733A">
        <w:rPr>
          <w:lang w:val="en-US"/>
        </w:rPr>
        <w:t>, 27</w:t>
      </w:r>
      <w:r w:rsidRPr="00163525">
        <w:rPr>
          <w:lang w:val="en-US"/>
        </w:rPr>
        <w:t>, 32; Law</w:t>
      </w:r>
      <w:r>
        <w:rPr>
          <w:lang w:val="en-US"/>
        </w:rPr>
        <w:t xml:space="preserve"> Commission of England and Wales, above n </w:t>
      </w:r>
      <w:r>
        <w:rPr>
          <w:lang w:val="en-US"/>
        </w:rPr>
        <w:fldChar w:fldCharType="begin"/>
      </w:r>
      <w:r>
        <w:rPr>
          <w:lang w:val="en-US"/>
        </w:rPr>
        <w:instrText xml:space="preserve"> NOTEREF _Ref535064644 \h </w:instrText>
      </w:r>
      <w:r>
        <w:rPr>
          <w:lang w:val="en-US"/>
        </w:rPr>
      </w:r>
      <w:r>
        <w:rPr>
          <w:lang w:val="en-US"/>
        </w:rPr>
        <w:fldChar w:fldCharType="separate"/>
      </w:r>
      <w:r w:rsidR="001F209C">
        <w:rPr>
          <w:lang w:val="en-US"/>
        </w:rPr>
        <w:t>142</w:t>
      </w:r>
      <w:r>
        <w:rPr>
          <w:lang w:val="en-US"/>
        </w:rPr>
        <w:fldChar w:fldCharType="end"/>
      </w:r>
      <w:r w:rsidRPr="00883CDC">
        <w:rPr>
          <w:lang w:val="en-US"/>
        </w:rPr>
        <w:t>, 61, 64.</w:t>
      </w:r>
    </w:p>
  </w:footnote>
  <w:footnote w:id="144">
    <w:p w14:paraId="5D74BBB4" w14:textId="1AF027E6" w:rsidR="00EE78D8" w:rsidRPr="009D733A" w:rsidRDefault="00EE78D8">
      <w:pPr>
        <w:pStyle w:val="FootnoteText"/>
        <w:rPr>
          <w:highlight w:val="yellow"/>
          <w:lang w:val="en-US"/>
        </w:rPr>
      </w:pPr>
      <w:r w:rsidRPr="00883CDC">
        <w:rPr>
          <w:rStyle w:val="FootnoteReference"/>
        </w:rPr>
        <w:footnoteRef/>
      </w:r>
      <w:r w:rsidRPr="00883CDC">
        <w:rPr>
          <w:lang w:val="en-US"/>
        </w:rPr>
        <w:tab/>
      </w:r>
      <w:r>
        <w:rPr>
          <w:lang w:val="en-US"/>
        </w:rPr>
        <w:t xml:space="preserve">Law Commission of England and Wales, above n </w:t>
      </w:r>
      <w:r>
        <w:rPr>
          <w:lang w:val="en-US"/>
        </w:rPr>
        <w:fldChar w:fldCharType="begin"/>
      </w:r>
      <w:r>
        <w:rPr>
          <w:lang w:val="en-US"/>
        </w:rPr>
        <w:instrText xml:space="preserve"> NOTEREF _Ref535065725 \h </w:instrText>
      </w:r>
      <w:r>
        <w:rPr>
          <w:lang w:val="en-US"/>
        </w:rPr>
      </w:r>
      <w:r>
        <w:rPr>
          <w:lang w:val="en-US"/>
        </w:rPr>
        <w:fldChar w:fldCharType="separate"/>
      </w:r>
      <w:r w:rsidR="001F209C">
        <w:rPr>
          <w:lang w:val="en-US"/>
        </w:rPr>
        <w:t>122</w:t>
      </w:r>
      <w:r>
        <w:rPr>
          <w:lang w:val="en-US"/>
        </w:rPr>
        <w:fldChar w:fldCharType="end"/>
      </w:r>
      <w:r w:rsidRPr="00883CDC">
        <w:rPr>
          <w:lang w:val="en-US"/>
        </w:rPr>
        <w:t xml:space="preserve">, 28; </w:t>
      </w:r>
      <w:r w:rsidRPr="00883CDC">
        <w:t xml:space="preserve">Law Commission of England and Wales, above n </w:t>
      </w:r>
      <w:r w:rsidRPr="00883CDC">
        <w:fldChar w:fldCharType="begin"/>
      </w:r>
      <w:r w:rsidRPr="00883CDC">
        <w:instrText xml:space="preserve"> NOTEREF _Ref535064644 \h </w:instrText>
      </w:r>
      <w:r>
        <w:instrText xml:space="preserve"> \* MERGEFORMAT </w:instrText>
      </w:r>
      <w:r w:rsidRPr="00883CDC">
        <w:fldChar w:fldCharType="separate"/>
      </w:r>
      <w:r w:rsidR="001F209C">
        <w:t>142</w:t>
      </w:r>
      <w:r w:rsidRPr="00883CDC">
        <w:fldChar w:fldCharType="end"/>
      </w:r>
      <w:r w:rsidRPr="00883CDC">
        <w:t>,</w:t>
      </w:r>
      <w:r w:rsidRPr="00883CDC">
        <w:rPr>
          <w:lang w:val="en-US"/>
        </w:rPr>
        <w:t xml:space="preserve"> 61–62.</w:t>
      </w:r>
    </w:p>
  </w:footnote>
  <w:footnote w:id="145">
    <w:p w14:paraId="19D517EC" w14:textId="231E62C5" w:rsidR="00EE78D8" w:rsidRPr="00D17D79" w:rsidRDefault="00EE78D8">
      <w:pPr>
        <w:pStyle w:val="FootnoteText"/>
        <w:rPr>
          <w:lang w:val="en-US"/>
        </w:rPr>
      </w:pPr>
      <w:r w:rsidRPr="00404D75">
        <w:rPr>
          <w:rStyle w:val="FootnoteReference"/>
        </w:rPr>
        <w:footnoteRef/>
      </w:r>
      <w:r w:rsidRPr="004B0A87">
        <w:tab/>
        <w:t>Ibid</w:t>
      </w:r>
      <w:r w:rsidRPr="004B0A87">
        <w:rPr>
          <w:lang w:val="en-US"/>
        </w:rPr>
        <w:t xml:space="preserve"> 62.</w:t>
      </w:r>
    </w:p>
  </w:footnote>
  <w:footnote w:id="146">
    <w:p w14:paraId="057C5D15" w14:textId="085F3D69" w:rsidR="00EE78D8" w:rsidRPr="00926CF3" w:rsidRDefault="00EE78D8">
      <w:pPr>
        <w:pStyle w:val="FootnoteText"/>
        <w:rPr>
          <w:lang w:val="en-US"/>
        </w:rPr>
      </w:pPr>
      <w:r>
        <w:rPr>
          <w:rStyle w:val="FootnoteReference"/>
        </w:rPr>
        <w:footnoteRef/>
      </w:r>
      <w:r>
        <w:tab/>
        <w:t xml:space="preserve">VLRC, above n </w:t>
      </w:r>
      <w:r>
        <w:fldChar w:fldCharType="begin"/>
      </w:r>
      <w:r>
        <w:instrText xml:space="preserve"> NOTEREF _Ref534978514 \h </w:instrText>
      </w:r>
      <w:r>
        <w:fldChar w:fldCharType="separate"/>
      </w:r>
      <w:r w:rsidR="001F209C">
        <w:t>24</w:t>
      </w:r>
      <w:r>
        <w:fldChar w:fldCharType="end"/>
      </w:r>
      <w:r>
        <w:t>, 70.</w:t>
      </w:r>
    </w:p>
  </w:footnote>
  <w:footnote w:id="147">
    <w:p w14:paraId="554745FF" w14:textId="472EEEAB" w:rsidR="00EE78D8" w:rsidRPr="00B70E9F" w:rsidRDefault="00EE78D8" w:rsidP="00856442">
      <w:pPr>
        <w:pStyle w:val="FootnoteText"/>
        <w:rPr>
          <w:lang w:val="en-US"/>
        </w:rPr>
      </w:pPr>
      <w:r>
        <w:rPr>
          <w:rStyle w:val="FootnoteReference"/>
        </w:rPr>
        <w:footnoteRef/>
      </w:r>
      <w:r>
        <w:tab/>
      </w:r>
      <w:r w:rsidRPr="00AF4523">
        <w:t>I Freckelton, ‘Rationality and Flexibility in Assessment of Fitness to Stand Trial’ (1996) 19</w:t>
      </w:r>
      <w:r>
        <w:t>(1)</w:t>
      </w:r>
      <w:r w:rsidRPr="00AF4523">
        <w:t xml:space="preserve"> </w:t>
      </w:r>
      <w:r w:rsidRPr="00AF4523">
        <w:rPr>
          <w:i/>
        </w:rPr>
        <w:t>International Journal of Law and Psychiatry</w:t>
      </w:r>
      <w:r w:rsidRPr="00AF4523">
        <w:t xml:space="preserve"> 39</w:t>
      </w:r>
      <w:r w:rsidRPr="00A57A3E">
        <w:t>,</w:t>
      </w:r>
      <w:r w:rsidRPr="00AF4523">
        <w:rPr>
          <w:i/>
        </w:rPr>
        <w:t xml:space="preserve"> </w:t>
      </w:r>
      <w:r w:rsidRPr="00AF4523">
        <w:t>54</w:t>
      </w:r>
      <w:r>
        <w:t>–5</w:t>
      </w:r>
      <w:r w:rsidRPr="00AF4523">
        <w:t>5;</w:t>
      </w:r>
      <w:r>
        <w:t xml:space="preserve"> VLRC, above n </w:t>
      </w:r>
      <w:r>
        <w:fldChar w:fldCharType="begin"/>
      </w:r>
      <w:r>
        <w:instrText xml:space="preserve"> NOTEREF _Ref534978514 \h </w:instrText>
      </w:r>
      <w:r>
        <w:fldChar w:fldCharType="separate"/>
      </w:r>
      <w:r w:rsidR="001F209C">
        <w:t>24</w:t>
      </w:r>
      <w:r>
        <w:fldChar w:fldCharType="end"/>
      </w:r>
      <w:r>
        <w:t>, 99</w:t>
      </w:r>
      <w:r w:rsidRPr="00163525">
        <w:t xml:space="preserve">; Law Commission of England and Wales, above n </w:t>
      </w:r>
      <w:r w:rsidRPr="00163525">
        <w:fldChar w:fldCharType="begin"/>
      </w:r>
      <w:r w:rsidRPr="00163525">
        <w:instrText xml:space="preserve"> NOTEREF _Ref535064644 \h </w:instrText>
      </w:r>
      <w:r>
        <w:instrText xml:space="preserve"> \* MERGEFORMAT </w:instrText>
      </w:r>
      <w:r w:rsidRPr="00163525">
        <w:fldChar w:fldCharType="separate"/>
      </w:r>
      <w:r w:rsidR="001F209C">
        <w:t>142</w:t>
      </w:r>
      <w:r w:rsidRPr="00163525">
        <w:fldChar w:fldCharType="end"/>
      </w:r>
      <w:r w:rsidRPr="00163525">
        <w:t>, 61.</w:t>
      </w:r>
    </w:p>
  </w:footnote>
  <w:footnote w:id="148">
    <w:p w14:paraId="155D7C8A" w14:textId="4A79B8FC" w:rsidR="00EE78D8" w:rsidRPr="00AF4523" w:rsidRDefault="00EE78D8">
      <w:pPr>
        <w:pStyle w:val="FootnoteText"/>
        <w:rPr>
          <w:lang w:val="en-US"/>
        </w:rPr>
      </w:pPr>
      <w:r>
        <w:rPr>
          <w:rStyle w:val="FootnoteReference"/>
        </w:rPr>
        <w:footnoteRef/>
      </w:r>
      <w:r>
        <w:tab/>
      </w:r>
      <w:r w:rsidRPr="00AF4523">
        <w:t xml:space="preserve">Freckelton, </w:t>
      </w:r>
      <w:r>
        <w:t xml:space="preserve">above n </w:t>
      </w:r>
      <w:r>
        <w:fldChar w:fldCharType="begin"/>
      </w:r>
      <w:r>
        <w:instrText xml:space="preserve"> NOTEREF _Ref535063810 \h </w:instrText>
      </w:r>
      <w:r>
        <w:fldChar w:fldCharType="separate"/>
      </w:r>
      <w:r w:rsidR="001F209C">
        <w:t>147</w:t>
      </w:r>
      <w:r>
        <w:fldChar w:fldCharType="end"/>
      </w:r>
      <w:r>
        <w:t>,</w:t>
      </w:r>
      <w:r w:rsidRPr="00AF4523">
        <w:t xml:space="preserve"> 49.</w:t>
      </w:r>
      <w:r w:rsidRPr="00AF4523">
        <w:rPr>
          <w:lang w:val="en-US"/>
        </w:rPr>
        <w:t xml:space="preserve"> </w:t>
      </w:r>
    </w:p>
  </w:footnote>
  <w:footnote w:id="149">
    <w:p w14:paraId="27B28AE2" w14:textId="4339FA4C" w:rsidR="00EE78D8" w:rsidRPr="005B432C" w:rsidRDefault="00EE78D8">
      <w:pPr>
        <w:pStyle w:val="FootnoteText"/>
        <w:rPr>
          <w:lang w:val="en-US"/>
        </w:rPr>
      </w:pPr>
      <w:r w:rsidRPr="00AF4523">
        <w:rPr>
          <w:rStyle w:val="FootnoteReference"/>
        </w:rPr>
        <w:footnoteRef/>
      </w:r>
      <w:r>
        <w:tab/>
        <w:t>Ibid.</w:t>
      </w:r>
    </w:p>
  </w:footnote>
  <w:footnote w:id="150">
    <w:p w14:paraId="2455E105" w14:textId="20E8099A" w:rsidR="00EE78D8" w:rsidRPr="00403A46" w:rsidRDefault="00EE78D8">
      <w:pPr>
        <w:pStyle w:val="FootnoteText"/>
        <w:rPr>
          <w:lang w:val="en-US"/>
        </w:rPr>
      </w:pPr>
      <w:r>
        <w:rPr>
          <w:rStyle w:val="FootnoteReference"/>
        </w:rPr>
        <w:footnoteRef/>
      </w:r>
      <w:r>
        <w:rPr>
          <w:lang w:val="en-US"/>
        </w:rPr>
        <w:tab/>
      </w:r>
      <w:r w:rsidRPr="00163525">
        <w:t xml:space="preserve">Law Commission of England and Wales, above n </w:t>
      </w:r>
      <w:r w:rsidRPr="00163525">
        <w:fldChar w:fldCharType="begin"/>
      </w:r>
      <w:r w:rsidRPr="00163525">
        <w:instrText xml:space="preserve"> NOTEREF _Ref535064644 \h </w:instrText>
      </w:r>
      <w:r>
        <w:instrText xml:space="preserve"> \* MERGEFORMAT </w:instrText>
      </w:r>
      <w:r w:rsidRPr="00163525">
        <w:fldChar w:fldCharType="separate"/>
      </w:r>
      <w:r w:rsidR="001F209C">
        <w:t>142</w:t>
      </w:r>
      <w:r w:rsidRPr="00163525">
        <w:fldChar w:fldCharType="end"/>
      </w:r>
      <w:r w:rsidRPr="00163525">
        <w:t>,</w:t>
      </w:r>
      <w:r w:rsidRPr="00163525">
        <w:rPr>
          <w:lang w:val="en-US"/>
        </w:rPr>
        <w:t xml:space="preserve"> 64</w:t>
      </w:r>
      <w:r>
        <w:rPr>
          <w:lang w:val="en-US"/>
        </w:rPr>
        <w:t xml:space="preserve"> citing R MacKay, B Mitchell and L Howe, ‘A Continued Upturn in Unfitness to Plead – More Disability in Relation to the Trial Under the 1991 Act’ [2007] </w:t>
      </w:r>
      <w:r>
        <w:rPr>
          <w:i/>
          <w:lang w:val="en-US"/>
        </w:rPr>
        <w:t xml:space="preserve">Criminal Law Review </w:t>
      </w:r>
      <w:r>
        <w:rPr>
          <w:lang w:val="en-US"/>
        </w:rPr>
        <w:t>530.</w:t>
      </w:r>
    </w:p>
  </w:footnote>
  <w:footnote w:id="151">
    <w:p w14:paraId="3F26C5CE" w14:textId="7E11E502" w:rsidR="00EE78D8" w:rsidRPr="00B75BCC" w:rsidRDefault="00EE78D8">
      <w:pPr>
        <w:pStyle w:val="FootnoteText"/>
        <w:rPr>
          <w:lang w:val="en-US"/>
        </w:rPr>
      </w:pPr>
      <w:r>
        <w:rPr>
          <w:rStyle w:val="FootnoteReference"/>
        </w:rPr>
        <w:footnoteRef/>
      </w:r>
      <w:r>
        <w:tab/>
        <w:t xml:space="preserve">A White et al, ‘The Role of Cognitive Assessment in Determining Fitness to Stand Trial’ (2012) 11 </w:t>
      </w:r>
      <w:r>
        <w:rPr>
          <w:i/>
        </w:rPr>
        <w:t xml:space="preserve">International Journal of </w:t>
      </w:r>
      <w:r w:rsidRPr="00B75BCC">
        <w:rPr>
          <w:i/>
        </w:rPr>
        <w:t>Forensic Mental Health</w:t>
      </w:r>
      <w:r>
        <w:rPr>
          <w:i/>
        </w:rPr>
        <w:t xml:space="preserve"> </w:t>
      </w:r>
      <w:r>
        <w:t xml:space="preserve">102, </w:t>
      </w:r>
      <w:r>
        <w:rPr>
          <w:lang w:val="en-US"/>
        </w:rPr>
        <w:t>102.</w:t>
      </w:r>
    </w:p>
  </w:footnote>
  <w:footnote w:id="152">
    <w:p w14:paraId="3A225639" w14:textId="73EF083C" w:rsidR="00EE78D8" w:rsidRPr="00B91F24" w:rsidRDefault="00EE78D8" w:rsidP="00B91F24">
      <w:pPr>
        <w:pStyle w:val="FootnoteText"/>
      </w:pPr>
      <w:r w:rsidRPr="00B91F24">
        <w:rPr>
          <w:rStyle w:val="FootnoteReference"/>
        </w:rPr>
        <w:footnoteRef/>
      </w:r>
      <w:r w:rsidRPr="00B91F24">
        <w:rPr>
          <w:rStyle w:val="FootnoteReference"/>
        </w:rPr>
        <w:tab/>
      </w:r>
      <w:r>
        <w:t>Ibid</w:t>
      </w:r>
      <w:r w:rsidRPr="00B91F24">
        <w:t xml:space="preserve"> 108. See also A White</w:t>
      </w:r>
      <w:r>
        <w:t xml:space="preserve"> et al</w:t>
      </w:r>
      <w:r w:rsidRPr="00B91F24">
        <w:t xml:space="preserve">, ‘Fitness to Stand Trial in One Australian Jurisdiction: The Role of Cognitive Abilities, Neurological Dysfunction and Psychiatric Disorder’ (2016) 23 </w:t>
      </w:r>
      <w:r w:rsidRPr="0031572A">
        <w:rPr>
          <w:i/>
        </w:rPr>
        <w:t>Psychiatry, Psychology and Law</w:t>
      </w:r>
      <w:r w:rsidRPr="00B91F24">
        <w:t xml:space="preserve"> 499; S van der Wijngaart, R Hawkins and P Golus, ‘The Role of Psychologists in the South Australian Fitness to Stand Trial Process’ (2015) 22 </w:t>
      </w:r>
      <w:r w:rsidRPr="0031572A">
        <w:rPr>
          <w:i/>
        </w:rPr>
        <w:t>Psychiatry, Psychology and Law</w:t>
      </w:r>
      <w:r w:rsidRPr="00B91F24">
        <w:t xml:space="preserve"> 75.</w:t>
      </w:r>
    </w:p>
  </w:footnote>
  <w:footnote w:id="153">
    <w:p w14:paraId="70295A32" w14:textId="23AB0F33" w:rsidR="00EE78D8" w:rsidRPr="005365E7" w:rsidRDefault="00EE78D8">
      <w:pPr>
        <w:pStyle w:val="FootnoteText"/>
        <w:rPr>
          <w:lang w:val="en-US"/>
        </w:rPr>
      </w:pPr>
      <w:r>
        <w:rPr>
          <w:rStyle w:val="FootnoteReference"/>
        </w:rPr>
        <w:footnoteRef/>
      </w:r>
      <w:r>
        <w:tab/>
      </w:r>
      <w:r w:rsidRPr="0031572A">
        <w:t xml:space="preserve">Law Commission of England and Wales, above n </w:t>
      </w:r>
      <w:r>
        <w:fldChar w:fldCharType="begin"/>
      </w:r>
      <w:r>
        <w:instrText xml:space="preserve"> NOTEREF _Ref535064644 \h </w:instrText>
      </w:r>
      <w:r>
        <w:fldChar w:fldCharType="separate"/>
      </w:r>
      <w:r w:rsidR="001F209C">
        <w:t>142</w:t>
      </w:r>
      <w:r>
        <w:fldChar w:fldCharType="end"/>
      </w:r>
      <w:r w:rsidRPr="0031572A">
        <w:t>,</w:t>
      </w:r>
      <w:r>
        <w:t xml:space="preserve"> Recommendation 10.9, 66–67.</w:t>
      </w:r>
    </w:p>
  </w:footnote>
  <w:footnote w:id="154">
    <w:p w14:paraId="4DB1F897" w14:textId="2B341844" w:rsidR="00EE78D8" w:rsidRPr="00427FE8" w:rsidRDefault="00EE78D8">
      <w:pPr>
        <w:pStyle w:val="FootnoteText"/>
        <w:rPr>
          <w:lang w:val="en-US"/>
        </w:rPr>
      </w:pPr>
      <w:r>
        <w:rPr>
          <w:rStyle w:val="FootnoteReference"/>
        </w:rPr>
        <w:footnoteRef/>
      </w:r>
      <w:r>
        <w:tab/>
        <w:t>Ibid 63.</w:t>
      </w:r>
    </w:p>
  </w:footnote>
  <w:footnote w:id="155">
    <w:p w14:paraId="0A5F16F7" w14:textId="76581AB4" w:rsidR="00EE78D8" w:rsidRPr="005738BB" w:rsidRDefault="00EE78D8" w:rsidP="00A50086">
      <w:pPr>
        <w:pStyle w:val="FootnoteText"/>
        <w:rPr>
          <w:i/>
          <w:lang w:val="en-US"/>
        </w:rPr>
      </w:pPr>
      <w:r>
        <w:rPr>
          <w:rStyle w:val="FootnoteReference"/>
        </w:rPr>
        <w:footnoteRef/>
      </w:r>
      <w:r>
        <w:tab/>
      </w:r>
      <w:r>
        <w:rPr>
          <w:lang w:val="en-US"/>
        </w:rPr>
        <w:t xml:space="preserve">W Brookbanks and R Mackay, ‘Decisional Competence and “Best Interests”: Establishing the Threshold for Fitness to Stand Trial’ (2010) 12 </w:t>
      </w:r>
      <w:r>
        <w:rPr>
          <w:i/>
          <w:lang w:val="en-US"/>
        </w:rPr>
        <w:t xml:space="preserve">Otago Law Review </w:t>
      </w:r>
      <w:r>
        <w:rPr>
          <w:lang w:val="en-US"/>
        </w:rPr>
        <w:t xml:space="preserve">265, </w:t>
      </w:r>
      <w:r w:rsidRPr="005738BB">
        <w:rPr>
          <w:lang w:val="en-US"/>
        </w:rPr>
        <w:t>266</w:t>
      </w:r>
      <w:r>
        <w:rPr>
          <w:lang w:val="en-US"/>
        </w:rPr>
        <w:t xml:space="preserve">. See also </w:t>
      </w:r>
      <w:r w:rsidRPr="0031572A">
        <w:t xml:space="preserve">Law Commission of England and Wales, above n </w:t>
      </w:r>
      <w:r>
        <w:fldChar w:fldCharType="begin"/>
      </w:r>
      <w:r>
        <w:instrText xml:space="preserve"> NOTEREF _Ref535064644 \h </w:instrText>
      </w:r>
      <w:r>
        <w:fldChar w:fldCharType="separate"/>
      </w:r>
      <w:r w:rsidR="001F209C">
        <w:t>142</w:t>
      </w:r>
      <w:r>
        <w:fldChar w:fldCharType="end"/>
      </w:r>
      <w:r>
        <w:t>,</w:t>
      </w:r>
      <w:r>
        <w:rPr>
          <w:lang w:val="en-US"/>
        </w:rPr>
        <w:t xml:space="preserve"> 87.</w:t>
      </w:r>
    </w:p>
  </w:footnote>
  <w:footnote w:id="156">
    <w:p w14:paraId="7C01530C" w14:textId="3FE1674D" w:rsidR="00EE78D8" w:rsidRPr="00BA180A" w:rsidRDefault="00EE78D8">
      <w:pPr>
        <w:pStyle w:val="FootnoteText"/>
        <w:rPr>
          <w:lang w:val="en-US"/>
        </w:rPr>
      </w:pPr>
      <w:r>
        <w:rPr>
          <w:rStyle w:val="FootnoteReference"/>
        </w:rPr>
        <w:footnoteRef/>
      </w:r>
      <w:r>
        <w:tab/>
      </w:r>
      <w:r w:rsidRPr="0031572A">
        <w:t xml:space="preserve">Law Commission of England and Wales, above n </w:t>
      </w:r>
      <w:r>
        <w:fldChar w:fldCharType="begin"/>
      </w:r>
      <w:r>
        <w:instrText xml:space="preserve"> NOTEREF _Ref535064644 \h </w:instrText>
      </w:r>
      <w:r>
        <w:fldChar w:fldCharType="separate"/>
      </w:r>
      <w:r w:rsidR="001F209C">
        <w:t>142</w:t>
      </w:r>
      <w:r>
        <w:fldChar w:fldCharType="end"/>
      </w:r>
      <w:r>
        <w:t xml:space="preserve">, </w:t>
      </w:r>
      <w:r>
        <w:rPr>
          <w:lang w:val="en-US"/>
        </w:rPr>
        <w:t>62–63.</w:t>
      </w:r>
    </w:p>
  </w:footnote>
  <w:footnote w:id="157">
    <w:p w14:paraId="2297E3BB" w14:textId="78CAD53E" w:rsidR="00EE78D8" w:rsidRPr="004B53E7" w:rsidRDefault="00EE78D8">
      <w:pPr>
        <w:pStyle w:val="FootnoteText"/>
        <w:rPr>
          <w:lang w:val="en-US"/>
        </w:rPr>
      </w:pPr>
      <w:r>
        <w:rPr>
          <w:rStyle w:val="FootnoteReference"/>
        </w:rPr>
        <w:footnoteRef/>
      </w:r>
      <w:r>
        <w:tab/>
      </w:r>
      <w:r w:rsidRPr="0031572A">
        <w:t xml:space="preserve">Law Commission of England and Wales, above n </w:t>
      </w:r>
      <w:r>
        <w:fldChar w:fldCharType="begin"/>
      </w:r>
      <w:r>
        <w:instrText xml:space="preserve"> NOTEREF _Ref535065725 \h </w:instrText>
      </w:r>
      <w:r>
        <w:fldChar w:fldCharType="separate"/>
      </w:r>
      <w:r w:rsidR="001F209C">
        <w:t>122</w:t>
      </w:r>
      <w:r>
        <w:fldChar w:fldCharType="end"/>
      </w:r>
      <w:r>
        <w:t xml:space="preserve">, </w:t>
      </w:r>
      <w:r>
        <w:rPr>
          <w:lang w:val="en-US"/>
        </w:rPr>
        <w:t>53.</w:t>
      </w:r>
    </w:p>
  </w:footnote>
  <w:footnote w:id="158">
    <w:p w14:paraId="5DFC2031" w14:textId="4421607C" w:rsidR="00EE78D8" w:rsidRPr="004B53E7" w:rsidRDefault="00EE78D8">
      <w:pPr>
        <w:pStyle w:val="FootnoteText"/>
        <w:rPr>
          <w:lang w:val="en-US"/>
        </w:rPr>
      </w:pPr>
      <w:r>
        <w:rPr>
          <w:rStyle w:val="FootnoteReference"/>
        </w:rPr>
        <w:footnoteRef/>
      </w:r>
      <w:r>
        <w:tab/>
      </w:r>
      <w:r>
        <w:rPr>
          <w:lang w:val="en-US"/>
        </w:rPr>
        <w:t xml:space="preserve">Ibid 54; </w:t>
      </w:r>
      <w:r w:rsidRPr="0031572A">
        <w:t xml:space="preserve">Law Commission of England and Wales, above n </w:t>
      </w:r>
      <w:r>
        <w:fldChar w:fldCharType="begin"/>
      </w:r>
      <w:r>
        <w:instrText xml:space="preserve"> NOTEREF _Ref535064644 \h </w:instrText>
      </w:r>
      <w:r>
        <w:fldChar w:fldCharType="separate"/>
      </w:r>
      <w:r w:rsidR="001F209C">
        <w:t>142</w:t>
      </w:r>
      <w:r>
        <w:fldChar w:fldCharType="end"/>
      </w:r>
      <w:r>
        <w:t>,</w:t>
      </w:r>
      <w:r>
        <w:rPr>
          <w:lang w:val="en-US"/>
        </w:rPr>
        <w:t xml:space="preserve"> Recommendation 10.22. </w:t>
      </w:r>
    </w:p>
  </w:footnote>
  <w:footnote w:id="159">
    <w:p w14:paraId="02EF73B0" w14:textId="62CE42F4" w:rsidR="00EE78D8" w:rsidRPr="00C032F0" w:rsidRDefault="00EE78D8" w:rsidP="00E71204">
      <w:pPr>
        <w:pStyle w:val="FootnoteText"/>
        <w:rPr>
          <w:lang w:val="en-US"/>
        </w:rPr>
      </w:pPr>
      <w:r>
        <w:rPr>
          <w:rStyle w:val="FootnoteReference"/>
        </w:rPr>
        <w:footnoteRef/>
      </w:r>
      <w:r>
        <w:tab/>
        <w:t xml:space="preserve">ALRC, above n </w:t>
      </w:r>
      <w:r>
        <w:fldChar w:fldCharType="begin"/>
      </w:r>
      <w:r>
        <w:instrText xml:space="preserve"> NOTEREF _Ref536035283 \h </w:instrText>
      </w:r>
      <w:r>
        <w:fldChar w:fldCharType="separate"/>
      </w:r>
      <w:r w:rsidR="001F209C">
        <w:t>110</w:t>
      </w:r>
      <w:r>
        <w:fldChar w:fldCharType="end"/>
      </w:r>
      <w:r>
        <w:t xml:space="preserve">, </w:t>
      </w:r>
      <w:r>
        <w:rPr>
          <w:lang w:val="en-US"/>
        </w:rPr>
        <w:t>Recommendation 7-1.</w:t>
      </w:r>
    </w:p>
  </w:footnote>
  <w:footnote w:id="160">
    <w:p w14:paraId="3735D339" w14:textId="1DE726DE" w:rsidR="00EE78D8" w:rsidRPr="00255910" w:rsidRDefault="00EE78D8" w:rsidP="00E71204">
      <w:pPr>
        <w:pStyle w:val="FootnoteText"/>
        <w:rPr>
          <w:lang w:val="en-US"/>
        </w:rPr>
      </w:pPr>
      <w:r>
        <w:rPr>
          <w:rStyle w:val="FootnoteReference"/>
        </w:rPr>
        <w:footnoteRef/>
      </w:r>
      <w:r>
        <w:tab/>
        <w:t>Ibid</w:t>
      </w:r>
      <w:r>
        <w:rPr>
          <w:lang w:val="en-US"/>
        </w:rPr>
        <w:t xml:space="preserve"> 201.</w:t>
      </w:r>
    </w:p>
  </w:footnote>
  <w:footnote w:id="161">
    <w:p w14:paraId="1DC3D2E9" w14:textId="6C8E5C6E" w:rsidR="00EE78D8" w:rsidRPr="001873CC" w:rsidRDefault="00EE78D8">
      <w:pPr>
        <w:pStyle w:val="FootnoteText"/>
        <w:rPr>
          <w:lang w:val="en-US"/>
        </w:rPr>
      </w:pPr>
      <w:r>
        <w:rPr>
          <w:rStyle w:val="FootnoteReference"/>
        </w:rPr>
        <w:footnoteRef/>
      </w:r>
      <w:r>
        <w:tab/>
      </w:r>
      <w:r w:rsidRPr="0031572A">
        <w:t xml:space="preserve">Law Commission of England and Wales, above n </w:t>
      </w:r>
      <w:r>
        <w:fldChar w:fldCharType="begin"/>
      </w:r>
      <w:r>
        <w:instrText xml:space="preserve"> NOTEREF _Ref535064644 \h </w:instrText>
      </w:r>
      <w:r>
        <w:fldChar w:fldCharType="separate"/>
      </w:r>
      <w:r w:rsidR="001F209C">
        <w:t>142</w:t>
      </w:r>
      <w:r>
        <w:fldChar w:fldCharType="end"/>
      </w:r>
      <w:r>
        <w:t xml:space="preserve">, </w:t>
      </w:r>
      <w:r>
        <w:rPr>
          <w:lang w:val="en-US"/>
        </w:rPr>
        <w:t xml:space="preserve">Recommendations 10.14–10.21. The draft legislation prepared by the Law Commission appears in </w:t>
      </w:r>
      <w:r w:rsidRPr="00762DA9">
        <w:rPr>
          <w:lang w:val="en-US"/>
        </w:rPr>
        <w:t xml:space="preserve">Appendix </w:t>
      </w:r>
      <w:r>
        <w:rPr>
          <w:lang w:val="en-US"/>
        </w:rPr>
        <w:t>1.</w:t>
      </w:r>
    </w:p>
  </w:footnote>
  <w:footnote w:id="162">
    <w:p w14:paraId="17096157" w14:textId="49CD3FAA" w:rsidR="00EE78D8" w:rsidRPr="008A5805" w:rsidRDefault="00EE78D8">
      <w:pPr>
        <w:pStyle w:val="FootnoteText"/>
        <w:rPr>
          <w:lang w:val="en-US"/>
        </w:rPr>
      </w:pPr>
      <w:r>
        <w:rPr>
          <w:rStyle w:val="FootnoteReference"/>
        </w:rPr>
        <w:footnoteRef/>
      </w:r>
      <w:r>
        <w:tab/>
        <w:t xml:space="preserve">Northern Ireland Law Reform Commission, above n </w:t>
      </w:r>
      <w:r>
        <w:fldChar w:fldCharType="begin"/>
      </w:r>
      <w:r>
        <w:instrText xml:space="preserve"> NOTEREF _Ref535064644 \h </w:instrText>
      </w:r>
      <w:r>
        <w:fldChar w:fldCharType="separate"/>
      </w:r>
      <w:r w:rsidR="001F209C">
        <w:t>142</w:t>
      </w:r>
      <w:r>
        <w:fldChar w:fldCharType="end"/>
      </w:r>
      <w:r>
        <w:t>,</w:t>
      </w:r>
      <w:r>
        <w:rPr>
          <w:i/>
        </w:rPr>
        <w:t xml:space="preserve"> </w:t>
      </w:r>
      <w:r>
        <w:t>52.</w:t>
      </w:r>
    </w:p>
  </w:footnote>
  <w:footnote w:id="163">
    <w:p w14:paraId="6DC81969" w14:textId="024EF676" w:rsidR="00EE78D8" w:rsidRPr="002E27CC" w:rsidRDefault="00EE78D8">
      <w:pPr>
        <w:pStyle w:val="FootnoteText"/>
        <w:rPr>
          <w:lang w:val="en-US"/>
        </w:rPr>
      </w:pPr>
      <w:r>
        <w:rPr>
          <w:rStyle w:val="FootnoteReference"/>
        </w:rPr>
        <w:footnoteRef/>
      </w:r>
      <w:r>
        <w:tab/>
      </w:r>
      <w:r>
        <w:rPr>
          <w:lang w:val="en-US"/>
        </w:rPr>
        <w:t xml:space="preserve">Scottish Law Commission, </w:t>
      </w:r>
      <w:r>
        <w:rPr>
          <w:i/>
          <w:lang w:val="en-US"/>
        </w:rPr>
        <w:t xml:space="preserve">Report on Insanity and Diminished Responsibility </w:t>
      </w:r>
      <w:r>
        <w:rPr>
          <w:lang w:val="en-US"/>
        </w:rPr>
        <w:t>(2004) Recommendation 19.</w:t>
      </w:r>
    </w:p>
  </w:footnote>
  <w:footnote w:id="164">
    <w:p w14:paraId="35223EB8" w14:textId="59EC7C38" w:rsidR="00EE78D8" w:rsidRPr="004676DF" w:rsidRDefault="00EE78D8">
      <w:pPr>
        <w:pStyle w:val="FootnoteText"/>
        <w:rPr>
          <w:lang w:val="en-US"/>
        </w:rPr>
      </w:pPr>
      <w:r>
        <w:rPr>
          <w:rStyle w:val="FootnoteReference"/>
        </w:rPr>
        <w:footnoteRef/>
      </w:r>
      <w:r>
        <w:rPr>
          <w:i/>
          <w:lang w:val="en-US"/>
        </w:rPr>
        <w:tab/>
        <w:t xml:space="preserve">Criminal Procedure (Scotland) Act 1995 </w:t>
      </w:r>
      <w:r w:rsidRPr="00B87258">
        <w:rPr>
          <w:lang w:val="en-US"/>
        </w:rPr>
        <w:t xml:space="preserve">s </w:t>
      </w:r>
      <w:r>
        <w:rPr>
          <w:lang w:val="en-US"/>
        </w:rPr>
        <w:t>53F(1)</w:t>
      </w:r>
      <w:r w:rsidRPr="00B87258">
        <w:rPr>
          <w:lang w:val="en-US"/>
        </w:rPr>
        <w:t xml:space="preserve"> inserted by</w:t>
      </w:r>
      <w:r>
        <w:rPr>
          <w:i/>
          <w:lang w:val="en-US"/>
        </w:rPr>
        <w:t xml:space="preserve"> Criminal Justice and Licensing (Scotland) Act 2010</w:t>
      </w:r>
      <w:r>
        <w:rPr>
          <w:lang w:val="en-US"/>
        </w:rPr>
        <w:t xml:space="preserve"> s 170.</w:t>
      </w:r>
    </w:p>
  </w:footnote>
  <w:footnote w:id="165">
    <w:p w14:paraId="1A4B3009" w14:textId="1E3583A1" w:rsidR="00EE78D8" w:rsidRPr="004676DF" w:rsidRDefault="00EE78D8">
      <w:pPr>
        <w:pStyle w:val="FootnoteText"/>
        <w:rPr>
          <w:lang w:val="en-US"/>
        </w:rPr>
      </w:pPr>
      <w:r>
        <w:rPr>
          <w:rStyle w:val="FootnoteReference"/>
        </w:rPr>
        <w:footnoteRef/>
      </w:r>
      <w:r>
        <w:tab/>
      </w:r>
      <w:r>
        <w:rPr>
          <w:lang w:val="en-US"/>
        </w:rPr>
        <w:t>Ibid</w:t>
      </w:r>
      <w:r>
        <w:rPr>
          <w:i/>
          <w:lang w:val="en-US"/>
        </w:rPr>
        <w:t xml:space="preserve"> </w:t>
      </w:r>
      <w:r w:rsidRPr="00B87258">
        <w:rPr>
          <w:lang w:val="en-US"/>
        </w:rPr>
        <w:t xml:space="preserve">s </w:t>
      </w:r>
      <w:r>
        <w:rPr>
          <w:lang w:val="en-US"/>
        </w:rPr>
        <w:t>53F(2)</w:t>
      </w:r>
      <w:r w:rsidRPr="00B87258">
        <w:rPr>
          <w:lang w:val="en-US"/>
        </w:rPr>
        <w:t xml:space="preserve"> inserted by</w:t>
      </w:r>
      <w:r>
        <w:rPr>
          <w:i/>
          <w:lang w:val="en-US"/>
        </w:rPr>
        <w:t xml:space="preserve"> Criminal Justice and Licensing (Scotland) Act 2010</w:t>
      </w:r>
      <w:r>
        <w:rPr>
          <w:lang w:val="en-US"/>
        </w:rPr>
        <w:t xml:space="preserve"> s 170.</w:t>
      </w:r>
    </w:p>
  </w:footnote>
  <w:footnote w:id="166">
    <w:p w14:paraId="66BEF083" w14:textId="231F7C5A" w:rsidR="00EE78D8" w:rsidRPr="005F6A1A" w:rsidRDefault="00EE78D8">
      <w:pPr>
        <w:pStyle w:val="FootnoteText"/>
        <w:rPr>
          <w:lang w:val="en-US"/>
        </w:rPr>
      </w:pPr>
      <w:r>
        <w:rPr>
          <w:rStyle w:val="FootnoteReference"/>
        </w:rPr>
        <w:footnoteRef/>
      </w:r>
      <w:r>
        <w:tab/>
        <w:t xml:space="preserve">VLRC, above n </w:t>
      </w:r>
      <w:r>
        <w:fldChar w:fldCharType="begin"/>
      </w:r>
      <w:r>
        <w:instrText xml:space="preserve"> NOTEREF _Ref534978514 \h </w:instrText>
      </w:r>
      <w:r>
        <w:fldChar w:fldCharType="separate"/>
      </w:r>
      <w:r w:rsidR="001F209C">
        <w:t>24</w:t>
      </w:r>
      <w:r>
        <w:fldChar w:fldCharType="end"/>
      </w:r>
      <w:r>
        <w:t xml:space="preserve">, </w:t>
      </w:r>
      <w:r>
        <w:rPr>
          <w:lang w:val="en-US"/>
        </w:rPr>
        <w:t>72.</w:t>
      </w:r>
    </w:p>
  </w:footnote>
  <w:footnote w:id="167">
    <w:p w14:paraId="55DC27E7" w14:textId="2E570602" w:rsidR="00EE78D8" w:rsidRPr="00534881" w:rsidRDefault="00EE78D8">
      <w:pPr>
        <w:pStyle w:val="FootnoteText"/>
        <w:rPr>
          <w:lang w:val="en-US"/>
        </w:rPr>
      </w:pPr>
      <w:r>
        <w:rPr>
          <w:rStyle w:val="FootnoteReference"/>
        </w:rPr>
        <w:footnoteRef/>
      </w:r>
      <w:r>
        <w:tab/>
      </w:r>
      <w:r>
        <w:rPr>
          <w:lang w:val="en-US"/>
        </w:rPr>
        <w:t xml:space="preserve">Department of the Attorney General, Western Australia, above n </w:t>
      </w:r>
      <w:r>
        <w:rPr>
          <w:lang w:val="en-US"/>
        </w:rPr>
        <w:fldChar w:fldCharType="begin"/>
      </w:r>
      <w:r>
        <w:rPr>
          <w:lang w:val="en-US"/>
        </w:rPr>
        <w:instrText xml:space="preserve"> NOTEREF _Ref535061852 \h </w:instrText>
      </w:r>
      <w:r>
        <w:rPr>
          <w:lang w:val="en-US"/>
        </w:rPr>
      </w:r>
      <w:r>
        <w:rPr>
          <w:lang w:val="en-US"/>
        </w:rPr>
        <w:fldChar w:fldCharType="separate"/>
      </w:r>
      <w:r w:rsidR="001F209C">
        <w:rPr>
          <w:lang w:val="en-US"/>
        </w:rPr>
        <w:t>102</w:t>
      </w:r>
      <w:r>
        <w:rPr>
          <w:lang w:val="en-US"/>
        </w:rPr>
        <w:fldChar w:fldCharType="end"/>
      </w:r>
      <w:r>
        <w:rPr>
          <w:lang w:val="en-US"/>
        </w:rPr>
        <w:t>, 47.</w:t>
      </w:r>
    </w:p>
  </w:footnote>
  <w:footnote w:id="168">
    <w:p w14:paraId="169EF848" w14:textId="7E40B0FE" w:rsidR="00EE78D8" w:rsidRPr="007703A7"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26–27.</w:t>
      </w:r>
    </w:p>
  </w:footnote>
  <w:footnote w:id="169">
    <w:p w14:paraId="2FA242BA" w14:textId="0E6A0A80" w:rsidR="00EE78D8" w:rsidRPr="007920E6" w:rsidRDefault="00EE78D8">
      <w:pPr>
        <w:pStyle w:val="FootnoteText"/>
        <w:rPr>
          <w:lang w:val="en-US"/>
        </w:rPr>
      </w:pPr>
      <w:r>
        <w:rPr>
          <w:rStyle w:val="FootnoteReference"/>
        </w:rPr>
        <w:footnoteRef/>
      </w:r>
      <w:r>
        <w:tab/>
        <w:t xml:space="preserve">Ibid 30. See draft provision in </w:t>
      </w:r>
      <w:r w:rsidRPr="00885EF8">
        <w:t xml:space="preserve">Appendix </w:t>
      </w:r>
      <w:r>
        <w:t xml:space="preserve">1. The adoption of an underlying principles of a fair trial approach was not contained in recommendation of the VLRC (see draft provision </w:t>
      </w:r>
      <w:r w:rsidRPr="00885EF8">
        <w:t xml:space="preserve">Appendix </w:t>
      </w:r>
      <w:r>
        <w:t xml:space="preserve">1) but was </w:t>
      </w:r>
      <w:r>
        <w:rPr>
          <w:lang w:val="en-US"/>
        </w:rPr>
        <w:t xml:space="preserve">adopted in the </w:t>
      </w:r>
      <w:r>
        <w:rPr>
          <w:i/>
          <w:lang w:val="en-US"/>
        </w:rPr>
        <w:t xml:space="preserve">Crimes (Mental Impairment and Unfitness to be Tried) Amendment Bill 2016 </w:t>
      </w:r>
      <w:r>
        <w:rPr>
          <w:lang w:val="en-US"/>
        </w:rPr>
        <w:t>(Vic) cl 8. This legislation has not been passed by the Victorian Parliament.</w:t>
      </w:r>
    </w:p>
  </w:footnote>
  <w:footnote w:id="170">
    <w:p w14:paraId="791E7C58" w14:textId="410B996B" w:rsidR="00EE78D8" w:rsidRPr="00B65A8A" w:rsidRDefault="00EE78D8">
      <w:pPr>
        <w:pStyle w:val="FootnoteText"/>
        <w:rPr>
          <w:lang w:val="en-US"/>
        </w:rPr>
      </w:pPr>
      <w:r>
        <w:rPr>
          <w:rStyle w:val="FootnoteReference"/>
        </w:rPr>
        <w:footnoteRef/>
      </w:r>
      <w:r>
        <w:rPr>
          <w:lang w:val="en-US"/>
        </w:rPr>
        <w:tab/>
        <w:t xml:space="preserve">Gooding and O’Mahoney, above n </w:t>
      </w:r>
      <w:r>
        <w:rPr>
          <w:lang w:val="en-US"/>
        </w:rPr>
        <w:fldChar w:fldCharType="begin"/>
      </w:r>
      <w:r>
        <w:rPr>
          <w:lang w:val="en-US"/>
        </w:rPr>
        <w:instrText xml:space="preserve"> NOTEREF _Ref535056394 \h </w:instrText>
      </w:r>
      <w:r>
        <w:rPr>
          <w:lang w:val="en-US"/>
        </w:rPr>
      </w:r>
      <w:r>
        <w:rPr>
          <w:lang w:val="en-US"/>
        </w:rPr>
        <w:fldChar w:fldCharType="separate"/>
      </w:r>
      <w:r w:rsidR="001F209C">
        <w:rPr>
          <w:lang w:val="en-US"/>
        </w:rPr>
        <w:t>124</w:t>
      </w:r>
      <w:r>
        <w:rPr>
          <w:lang w:val="en-US"/>
        </w:rPr>
        <w:fldChar w:fldCharType="end"/>
      </w:r>
      <w:r>
        <w:rPr>
          <w:lang w:val="en-US"/>
        </w:rPr>
        <w:t xml:space="preserve">, referring to the UNCRPD, </w:t>
      </w:r>
      <w:r>
        <w:rPr>
          <w:i/>
          <w:lang w:val="en-US"/>
        </w:rPr>
        <w:t xml:space="preserve">General Comment No 1: Equal Recognition Before the Law (Article 12) </w:t>
      </w:r>
      <w:r>
        <w:rPr>
          <w:lang w:val="en-US"/>
        </w:rPr>
        <w:t xml:space="preserve">(2014). </w:t>
      </w:r>
    </w:p>
  </w:footnote>
  <w:footnote w:id="171">
    <w:p w14:paraId="3E1D7D34" w14:textId="555C59B5" w:rsidR="00EE78D8" w:rsidRPr="001775C0" w:rsidRDefault="00EE78D8">
      <w:pPr>
        <w:pStyle w:val="FootnoteText"/>
        <w:rPr>
          <w:lang w:val="en-US"/>
        </w:rPr>
      </w:pPr>
      <w:r>
        <w:rPr>
          <w:rStyle w:val="FootnoteReference"/>
        </w:rPr>
        <w:footnoteRef/>
      </w:r>
      <w:r>
        <w:tab/>
      </w:r>
      <w:r w:rsidRPr="001775C0">
        <w:rPr>
          <w:lang w:val="en-US"/>
        </w:rPr>
        <w:t>ALRC</w:t>
      </w:r>
      <w:r>
        <w:rPr>
          <w:lang w:val="en-US"/>
        </w:rPr>
        <w:t xml:space="preserve">, </w:t>
      </w:r>
      <w:r>
        <w:t xml:space="preserve">above n </w:t>
      </w:r>
      <w:r>
        <w:fldChar w:fldCharType="begin"/>
      </w:r>
      <w:r>
        <w:instrText xml:space="preserve"> NOTEREF _Ref535061709 \h </w:instrText>
      </w:r>
      <w:r>
        <w:fldChar w:fldCharType="separate"/>
      </w:r>
      <w:r w:rsidR="001F209C">
        <w:rPr>
          <w:b/>
          <w:bCs/>
          <w:lang w:val="en-US"/>
        </w:rPr>
        <w:t>Error! Bookmark not defined.</w:t>
      </w:r>
      <w:r>
        <w:fldChar w:fldCharType="end"/>
      </w:r>
      <w:r>
        <w:t xml:space="preserve">, </w:t>
      </w:r>
      <w:r w:rsidRPr="001775C0">
        <w:rPr>
          <w:lang w:val="en-US"/>
        </w:rPr>
        <w:t>73.</w:t>
      </w:r>
    </w:p>
  </w:footnote>
  <w:footnote w:id="172">
    <w:p w14:paraId="7304399A" w14:textId="02A62D7A" w:rsidR="00EE78D8" w:rsidRPr="003C127C" w:rsidRDefault="00EE78D8">
      <w:pPr>
        <w:pStyle w:val="FootnoteText"/>
        <w:rPr>
          <w:lang w:val="en-US"/>
        </w:rPr>
      </w:pPr>
      <w:r w:rsidRPr="001775C0">
        <w:rPr>
          <w:rStyle w:val="FootnoteReference"/>
        </w:rPr>
        <w:footnoteRef/>
      </w:r>
      <w:r>
        <w:tab/>
      </w:r>
      <w:r>
        <w:rPr>
          <w:lang w:val="en-US"/>
        </w:rPr>
        <w:t>Ibid</w:t>
      </w:r>
      <w:r w:rsidRPr="001775C0">
        <w:rPr>
          <w:lang w:val="en-US"/>
        </w:rPr>
        <w:t>.</w:t>
      </w:r>
    </w:p>
  </w:footnote>
  <w:footnote w:id="173">
    <w:p w14:paraId="07C85B33" w14:textId="2401B7A6" w:rsidR="00EE78D8" w:rsidRPr="008D64AE" w:rsidRDefault="00EE78D8" w:rsidP="006D3A3E">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xml:space="preserve">, 74 referring to I Freckelton, above n </w:t>
      </w:r>
      <w:r>
        <w:rPr>
          <w:lang w:val="en-US"/>
        </w:rPr>
        <w:fldChar w:fldCharType="begin"/>
      </w:r>
      <w:r>
        <w:rPr>
          <w:lang w:val="en-US"/>
        </w:rPr>
        <w:instrText xml:space="preserve"> NOTEREF _Ref535063810 \h </w:instrText>
      </w:r>
      <w:r>
        <w:rPr>
          <w:lang w:val="en-US"/>
        </w:rPr>
      </w:r>
      <w:r>
        <w:rPr>
          <w:lang w:val="en-US"/>
        </w:rPr>
        <w:fldChar w:fldCharType="separate"/>
      </w:r>
      <w:r w:rsidR="001F209C">
        <w:rPr>
          <w:lang w:val="en-US"/>
        </w:rPr>
        <w:t>147</w:t>
      </w:r>
      <w:r>
        <w:rPr>
          <w:lang w:val="en-US"/>
        </w:rPr>
        <w:fldChar w:fldCharType="end"/>
      </w:r>
      <w:r>
        <w:rPr>
          <w:lang w:val="en-US"/>
        </w:rPr>
        <w:t>,</w:t>
      </w:r>
      <w:r w:rsidRPr="006D3A3E">
        <w:rPr>
          <w:lang w:val="en-US"/>
        </w:rPr>
        <w:t xml:space="preserve"> 57</w:t>
      </w:r>
      <w:r>
        <w:rPr>
          <w:lang w:val="en-US"/>
        </w:rPr>
        <w:t>.</w:t>
      </w:r>
    </w:p>
  </w:footnote>
  <w:footnote w:id="174">
    <w:p w14:paraId="197CE271" w14:textId="273D97E3" w:rsidR="00EE78D8" w:rsidRPr="00A97C18" w:rsidRDefault="00EE78D8" w:rsidP="00A047B9">
      <w:pPr>
        <w:pStyle w:val="FootnoteText"/>
        <w:rPr>
          <w:lang w:val="en-US"/>
        </w:rPr>
      </w:pPr>
      <w:r>
        <w:rPr>
          <w:rStyle w:val="FootnoteReference"/>
        </w:rPr>
        <w:footnoteRef/>
      </w:r>
      <w:r>
        <w:tab/>
      </w:r>
      <w:r>
        <w:rPr>
          <w:lang w:val="en-US"/>
        </w:rPr>
        <w:t>See Appendix 4.</w:t>
      </w:r>
    </w:p>
  </w:footnote>
  <w:footnote w:id="175">
    <w:p w14:paraId="6707C511" w14:textId="22698E8A" w:rsidR="00EE78D8" w:rsidRPr="00A97C18" w:rsidRDefault="00EE78D8" w:rsidP="00A047B9">
      <w:pPr>
        <w:pStyle w:val="FootnoteText"/>
        <w:rPr>
          <w:lang w:val="en-US"/>
        </w:rPr>
      </w:pPr>
      <w:r>
        <w:rPr>
          <w:rStyle w:val="FootnoteReference"/>
        </w:rPr>
        <w:footnoteRef/>
      </w:r>
      <w:r>
        <w:tab/>
        <w:t xml:space="preserve">Law Reform Committee, above n </w:t>
      </w:r>
      <w:r>
        <w:fldChar w:fldCharType="begin"/>
      </w:r>
      <w:r>
        <w:instrText xml:space="preserve"> NOTEREF _Ref534982374 \h </w:instrText>
      </w:r>
      <w:r>
        <w:fldChar w:fldCharType="separate"/>
      </w:r>
      <w:r w:rsidR="001F209C">
        <w:t>55</w:t>
      </w:r>
      <w:r>
        <w:fldChar w:fldCharType="end"/>
      </w:r>
      <w:r>
        <w:t xml:space="preserve">, </w:t>
      </w:r>
      <w:r>
        <w:rPr>
          <w:lang w:val="en-US"/>
        </w:rPr>
        <w:t>Recommendation 29.</w:t>
      </w:r>
    </w:p>
  </w:footnote>
  <w:footnote w:id="176">
    <w:p w14:paraId="7224683F" w14:textId="53044371" w:rsidR="00EE78D8" w:rsidRPr="00553BF8"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xml:space="preserve">, 74. </w:t>
      </w:r>
    </w:p>
  </w:footnote>
  <w:footnote w:id="177">
    <w:p w14:paraId="5C0087F2" w14:textId="14C1645C" w:rsidR="00EE78D8" w:rsidRPr="00694033" w:rsidRDefault="00EE78D8">
      <w:pPr>
        <w:pStyle w:val="FootnoteText"/>
        <w:rPr>
          <w:lang w:val="en-US"/>
        </w:rPr>
      </w:pPr>
      <w:r>
        <w:rPr>
          <w:rStyle w:val="FootnoteReference"/>
        </w:rPr>
        <w:footnoteRef/>
      </w:r>
      <w:r>
        <w:tab/>
      </w:r>
      <w:r>
        <w:rPr>
          <w:lang w:val="en-US"/>
        </w:rPr>
        <w:t>Ibid.</w:t>
      </w:r>
    </w:p>
  </w:footnote>
  <w:footnote w:id="178">
    <w:p w14:paraId="250DCA94" w14:textId="5A33EC78" w:rsidR="00EE78D8" w:rsidRPr="00C733E3" w:rsidRDefault="00EE78D8">
      <w:pPr>
        <w:pStyle w:val="FootnoteText"/>
        <w:rPr>
          <w:lang w:val="en-US"/>
        </w:rPr>
      </w:pPr>
      <w:r>
        <w:rPr>
          <w:rStyle w:val="FootnoteReference"/>
        </w:rPr>
        <w:footnoteRef/>
      </w:r>
      <w:r>
        <w:tab/>
        <w:t>Ibid 75.</w:t>
      </w:r>
    </w:p>
  </w:footnote>
  <w:footnote w:id="179">
    <w:p w14:paraId="18AA3C0B" w14:textId="488F9739" w:rsidR="00EE78D8" w:rsidRPr="00C733E3" w:rsidRDefault="00EE78D8">
      <w:pPr>
        <w:pStyle w:val="FootnoteText"/>
        <w:rPr>
          <w:lang w:val="en-US"/>
        </w:rPr>
      </w:pPr>
      <w:r>
        <w:rPr>
          <w:rStyle w:val="FootnoteReference"/>
        </w:rPr>
        <w:footnoteRef/>
      </w:r>
      <w:r>
        <w:tab/>
        <w:t>Ibid</w:t>
      </w:r>
      <w:r>
        <w:rPr>
          <w:lang w:val="en-US"/>
        </w:rPr>
        <w:t xml:space="preserve"> referring to the submission of the Victorian Equal Opportunity and Human Rights Commission.</w:t>
      </w:r>
    </w:p>
  </w:footnote>
  <w:footnote w:id="180">
    <w:p w14:paraId="5BF14B20" w14:textId="44A3FC43" w:rsidR="00EE78D8" w:rsidRPr="006830FC" w:rsidRDefault="00EE78D8">
      <w:pPr>
        <w:pStyle w:val="FootnoteText"/>
        <w:rPr>
          <w:lang w:val="en-US"/>
        </w:rPr>
      </w:pPr>
      <w:r>
        <w:rPr>
          <w:rStyle w:val="FootnoteReference"/>
        </w:rPr>
        <w:footnoteRef/>
      </w:r>
      <w:r>
        <w:tab/>
        <w:t>Ibid</w:t>
      </w:r>
      <w:r>
        <w:rPr>
          <w:lang w:val="en-US"/>
        </w:rPr>
        <w:t xml:space="preserve"> 76.</w:t>
      </w:r>
    </w:p>
  </w:footnote>
  <w:footnote w:id="181">
    <w:p w14:paraId="7E6706CD" w14:textId="328E7358" w:rsidR="00EE78D8" w:rsidRPr="009E56E5" w:rsidRDefault="00EE78D8">
      <w:pPr>
        <w:pStyle w:val="FootnoteText"/>
        <w:rPr>
          <w:lang w:val="en-US"/>
        </w:rPr>
      </w:pPr>
      <w:r>
        <w:rPr>
          <w:rStyle w:val="FootnoteReference"/>
        </w:rPr>
        <w:footnoteRef/>
      </w:r>
      <w:r>
        <w:tab/>
      </w:r>
      <w:r>
        <w:rPr>
          <w:lang w:val="en-US"/>
        </w:rPr>
        <w:t xml:space="preserve">ALRC, </w:t>
      </w:r>
      <w:r>
        <w:t xml:space="preserve">above n </w:t>
      </w:r>
      <w:r>
        <w:fldChar w:fldCharType="begin"/>
      </w:r>
      <w:r>
        <w:instrText xml:space="preserve"> NOTEREF _Ref536035283 \h </w:instrText>
      </w:r>
      <w:r>
        <w:fldChar w:fldCharType="separate"/>
      </w:r>
      <w:r w:rsidR="001F209C">
        <w:t>110</w:t>
      </w:r>
      <w:r>
        <w:fldChar w:fldCharType="end"/>
      </w:r>
      <w:r>
        <w:t>,</w:t>
      </w:r>
      <w:r>
        <w:rPr>
          <w:lang w:val="en-US"/>
        </w:rPr>
        <w:t xml:space="preserve"> 63.</w:t>
      </w:r>
    </w:p>
  </w:footnote>
  <w:footnote w:id="182">
    <w:p w14:paraId="4410F826" w14:textId="51EF878C" w:rsidR="00EE78D8" w:rsidRPr="00255910" w:rsidRDefault="00EE78D8">
      <w:pPr>
        <w:pStyle w:val="FootnoteText"/>
        <w:rPr>
          <w:lang w:val="en-US"/>
        </w:rPr>
      </w:pPr>
      <w:r>
        <w:rPr>
          <w:rStyle w:val="FootnoteReference"/>
        </w:rPr>
        <w:footnoteRef/>
      </w:r>
      <w:r>
        <w:tab/>
      </w:r>
      <w:r>
        <w:rPr>
          <w:lang w:val="en-US"/>
        </w:rPr>
        <w:t>Ibid 202.</w:t>
      </w:r>
    </w:p>
  </w:footnote>
  <w:footnote w:id="183">
    <w:p w14:paraId="1DA5D76F" w14:textId="6D2FDDF9" w:rsidR="00EE78D8" w:rsidRPr="009B70E2" w:rsidRDefault="00EE78D8">
      <w:pPr>
        <w:pStyle w:val="FootnoteText"/>
        <w:rPr>
          <w:lang w:val="en-US"/>
        </w:rPr>
      </w:pPr>
      <w:r>
        <w:rPr>
          <w:rStyle w:val="FootnoteReference"/>
        </w:rPr>
        <w:footnoteRef/>
      </w:r>
      <w:r>
        <w:tab/>
      </w:r>
      <w:r>
        <w:rPr>
          <w:lang w:val="en-US"/>
        </w:rPr>
        <w:t>See ibid 76–77.</w:t>
      </w:r>
    </w:p>
  </w:footnote>
  <w:footnote w:id="184">
    <w:p w14:paraId="18A7291D" w14:textId="48D0F50D" w:rsidR="00EE78D8" w:rsidRPr="00016188" w:rsidRDefault="00EE78D8" w:rsidP="006D57E6">
      <w:pPr>
        <w:pStyle w:val="FootnoteText"/>
        <w:rPr>
          <w:lang w:val="en-US"/>
        </w:rPr>
      </w:pPr>
      <w:r>
        <w:rPr>
          <w:rStyle w:val="FootnoteReference"/>
        </w:rPr>
        <w:footnoteRef/>
      </w:r>
      <w:r>
        <w:tab/>
      </w:r>
      <w:r w:rsidRPr="00A16AAC">
        <w:rPr>
          <w:i/>
        </w:rPr>
        <w:t>Guardianship and Administration Act 1995</w:t>
      </w:r>
      <w:r w:rsidRPr="00A16AAC">
        <w:t xml:space="preserve"> (Tas)</w:t>
      </w:r>
      <w:r>
        <w:t xml:space="preserve"> </w:t>
      </w:r>
      <w:r>
        <w:rPr>
          <w:lang w:val="en-US"/>
        </w:rPr>
        <w:t xml:space="preserve">s 20. It is noted that the UNCRPD has argued that substitute decision-making regimes such as guardianship ‘must be abolished in order to ensure that full legal capacity is restored to persons with disabilities on an equal basis with others’: UNCRPD, </w:t>
      </w:r>
      <w:r>
        <w:rPr>
          <w:i/>
          <w:lang w:val="en-US"/>
        </w:rPr>
        <w:t>General Comment No 1 (2014)</w:t>
      </w:r>
      <w:r w:rsidRPr="00CE74AF">
        <w:rPr>
          <w:i/>
          <w:lang w:val="en-US"/>
        </w:rPr>
        <w:t>,</w:t>
      </w:r>
      <w:r w:rsidRPr="00CE74AF">
        <w:rPr>
          <w:lang w:val="en-US"/>
        </w:rPr>
        <w:t xml:space="preserve"> </w:t>
      </w:r>
      <w:r>
        <w:rPr>
          <w:i/>
          <w:lang w:val="en-US"/>
        </w:rPr>
        <w:t xml:space="preserve">Article 12: Equal Recognition Before the Law </w:t>
      </w:r>
      <w:r>
        <w:rPr>
          <w:lang w:val="en-US"/>
        </w:rPr>
        <w:t>(2014).</w:t>
      </w:r>
    </w:p>
  </w:footnote>
  <w:footnote w:id="185">
    <w:p w14:paraId="2D94E121" w14:textId="7A156E1C" w:rsidR="00EE78D8" w:rsidRPr="00524841" w:rsidRDefault="00EE78D8">
      <w:pPr>
        <w:pStyle w:val="FootnoteText"/>
        <w:rPr>
          <w:lang w:val="en-US"/>
        </w:rPr>
      </w:pPr>
      <w:r>
        <w:rPr>
          <w:rStyle w:val="FootnoteReference"/>
        </w:rPr>
        <w:footnoteRef/>
      </w:r>
      <w:r>
        <w:rPr>
          <w:lang w:val="en-US"/>
        </w:rPr>
        <w:tab/>
        <w:t xml:space="preserve">TLRI, above n </w:t>
      </w:r>
      <w:r>
        <w:rPr>
          <w:lang w:val="en-US"/>
        </w:rPr>
        <w:fldChar w:fldCharType="begin"/>
      </w:r>
      <w:r>
        <w:rPr>
          <w:lang w:val="en-US"/>
        </w:rPr>
        <w:instrText xml:space="preserve"> NOTEREF _Ref534966370 \h </w:instrText>
      </w:r>
      <w:r>
        <w:rPr>
          <w:lang w:val="en-US"/>
        </w:rPr>
      </w:r>
      <w:r>
        <w:rPr>
          <w:lang w:val="en-US"/>
        </w:rPr>
        <w:fldChar w:fldCharType="separate"/>
      </w:r>
      <w:r w:rsidR="001F209C">
        <w:rPr>
          <w:lang w:val="en-US"/>
        </w:rPr>
        <w:t>7</w:t>
      </w:r>
      <w:r>
        <w:rPr>
          <w:lang w:val="en-US"/>
        </w:rPr>
        <w:fldChar w:fldCharType="end"/>
      </w:r>
      <w:r>
        <w:rPr>
          <w:lang w:val="en-US"/>
        </w:rPr>
        <w:t>, Part 6.</w:t>
      </w:r>
    </w:p>
  </w:footnote>
  <w:footnote w:id="186">
    <w:p w14:paraId="56769FCA" w14:textId="3CD57C5D" w:rsidR="00EE78D8" w:rsidRPr="001643EA"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76.</w:t>
      </w:r>
    </w:p>
  </w:footnote>
  <w:footnote w:id="187">
    <w:p w14:paraId="7919C89F" w14:textId="519E0FC5" w:rsidR="00EE78D8" w:rsidRPr="00CF6EC4" w:rsidRDefault="00EE78D8">
      <w:pPr>
        <w:pStyle w:val="FootnoteText"/>
        <w:rPr>
          <w:lang w:val="en-US"/>
        </w:rPr>
      </w:pPr>
      <w:r>
        <w:rPr>
          <w:rStyle w:val="FootnoteReference"/>
        </w:rPr>
        <w:footnoteRef/>
      </w:r>
      <w:r>
        <w:tab/>
      </w:r>
      <w:r w:rsidRPr="0031572A">
        <w:t xml:space="preserve">Law Commission of England and Wales, above n </w:t>
      </w:r>
      <w:r>
        <w:fldChar w:fldCharType="begin"/>
      </w:r>
      <w:r>
        <w:instrText xml:space="preserve"> NOTEREF _Ref535064644 \h </w:instrText>
      </w:r>
      <w:r>
        <w:fldChar w:fldCharType="separate"/>
      </w:r>
      <w:r w:rsidR="001F209C">
        <w:t>142</w:t>
      </w:r>
      <w:r>
        <w:fldChar w:fldCharType="end"/>
      </w:r>
      <w:r>
        <w:t>,</w:t>
      </w:r>
      <w:r>
        <w:rPr>
          <w:lang w:val="en-US"/>
        </w:rPr>
        <w:t xml:space="preserve"> 4.</w:t>
      </w:r>
    </w:p>
  </w:footnote>
  <w:footnote w:id="188">
    <w:p w14:paraId="480F2BB9" w14:textId="3D6B3310" w:rsidR="00EE78D8" w:rsidRPr="00BF2649"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72.</w:t>
      </w:r>
    </w:p>
  </w:footnote>
  <w:footnote w:id="189">
    <w:p w14:paraId="0C4E5500" w14:textId="4F6C3CA5" w:rsidR="00EE78D8" w:rsidRPr="00BF2649" w:rsidRDefault="00EE78D8">
      <w:pPr>
        <w:pStyle w:val="FootnoteText"/>
        <w:rPr>
          <w:lang w:val="en-US"/>
        </w:rPr>
      </w:pPr>
      <w:r>
        <w:rPr>
          <w:rStyle w:val="FootnoteReference"/>
        </w:rPr>
        <w:footnoteRef/>
      </w:r>
      <w:r>
        <w:tab/>
        <w:t>Ibid</w:t>
      </w:r>
      <w:r>
        <w:rPr>
          <w:lang w:val="en-US"/>
        </w:rPr>
        <w:t>.</w:t>
      </w:r>
    </w:p>
  </w:footnote>
  <w:footnote w:id="190">
    <w:p w14:paraId="5939221D" w14:textId="1C633749" w:rsidR="00EE78D8" w:rsidRPr="00637FB8" w:rsidRDefault="00EE78D8">
      <w:pPr>
        <w:pStyle w:val="FootnoteText"/>
        <w:rPr>
          <w:lang w:val="en-US"/>
        </w:rPr>
      </w:pPr>
      <w:r>
        <w:rPr>
          <w:rStyle w:val="FootnoteReference"/>
        </w:rPr>
        <w:footnoteRef/>
      </w:r>
      <w:r>
        <w:tab/>
      </w:r>
      <w:r>
        <w:rPr>
          <w:lang w:val="en-US"/>
        </w:rPr>
        <w:t xml:space="preserve">See Department of the Attorney-General, Western Australia, above n </w:t>
      </w:r>
      <w:r>
        <w:rPr>
          <w:lang w:val="en-US"/>
        </w:rPr>
        <w:fldChar w:fldCharType="begin"/>
      </w:r>
      <w:r>
        <w:rPr>
          <w:lang w:val="en-US"/>
        </w:rPr>
        <w:instrText xml:space="preserve"> NOTEREF _Ref535061852 \h </w:instrText>
      </w:r>
      <w:r>
        <w:rPr>
          <w:lang w:val="en-US"/>
        </w:rPr>
      </w:r>
      <w:r>
        <w:rPr>
          <w:lang w:val="en-US"/>
        </w:rPr>
        <w:fldChar w:fldCharType="separate"/>
      </w:r>
      <w:r w:rsidR="001F209C">
        <w:rPr>
          <w:lang w:val="en-US"/>
        </w:rPr>
        <w:t>102</w:t>
      </w:r>
      <w:r>
        <w:rPr>
          <w:lang w:val="en-US"/>
        </w:rPr>
        <w:fldChar w:fldCharType="end"/>
      </w:r>
      <w:r>
        <w:rPr>
          <w:lang w:val="en-US"/>
        </w:rPr>
        <w:t>, 47.</w:t>
      </w:r>
    </w:p>
  </w:footnote>
  <w:footnote w:id="191">
    <w:p w14:paraId="12502322" w14:textId="07D58A4E" w:rsidR="00EE78D8" w:rsidRPr="00EF4CF3" w:rsidRDefault="00EE78D8" w:rsidP="000B0663">
      <w:pPr>
        <w:pStyle w:val="FootnoteText"/>
        <w:rPr>
          <w:lang w:val="en-US"/>
        </w:rPr>
      </w:pPr>
      <w:r>
        <w:rPr>
          <w:rStyle w:val="FootnoteReference"/>
        </w:rPr>
        <w:footnoteRef/>
      </w:r>
      <w:r>
        <w:tab/>
        <w:t xml:space="preserve">Gooding et al, above n </w:t>
      </w:r>
      <w:r>
        <w:fldChar w:fldCharType="begin"/>
      </w:r>
      <w:r>
        <w:instrText xml:space="preserve"> NOTEREF _Ref534982760 \h </w:instrText>
      </w:r>
      <w:r>
        <w:fldChar w:fldCharType="separate"/>
      </w:r>
      <w:r w:rsidR="001F209C">
        <w:t>37</w:t>
      </w:r>
      <w:r>
        <w:fldChar w:fldCharType="end"/>
      </w:r>
      <w:r>
        <w:rPr>
          <w:lang w:val="en-US"/>
        </w:rPr>
        <w:t>, 837.</w:t>
      </w:r>
    </w:p>
  </w:footnote>
  <w:footnote w:id="192">
    <w:p w14:paraId="27608214" w14:textId="20FFD83D" w:rsidR="00EE78D8" w:rsidRPr="00697097" w:rsidRDefault="00EE78D8" w:rsidP="000B0663">
      <w:pPr>
        <w:pStyle w:val="FootnoteText"/>
        <w:rPr>
          <w:lang w:val="en-US"/>
        </w:rPr>
      </w:pPr>
      <w:r>
        <w:rPr>
          <w:rStyle w:val="FootnoteReference"/>
        </w:rPr>
        <w:footnoteRef/>
      </w:r>
      <w:r>
        <w:tab/>
        <w:t>Ibid</w:t>
      </w:r>
      <w:r>
        <w:rPr>
          <w:lang w:val="en-US"/>
        </w:rPr>
        <w:t xml:space="preserve"> 840.</w:t>
      </w:r>
    </w:p>
  </w:footnote>
  <w:footnote w:id="193">
    <w:p w14:paraId="4DDBB602" w14:textId="534E44DE" w:rsidR="00EE78D8" w:rsidRPr="00E20E7A" w:rsidRDefault="00EE78D8">
      <w:pPr>
        <w:pStyle w:val="FootnoteText"/>
        <w:rPr>
          <w:lang w:val="en-US"/>
        </w:rPr>
      </w:pPr>
      <w:r>
        <w:rPr>
          <w:rStyle w:val="FootnoteReference"/>
        </w:rPr>
        <w:footnoteRef/>
      </w:r>
      <w:r>
        <w:tab/>
        <w:t xml:space="preserve">Law Reform Committee, above n </w:t>
      </w:r>
      <w:r>
        <w:fldChar w:fldCharType="begin"/>
      </w:r>
      <w:r>
        <w:instrText xml:space="preserve"> NOTEREF _Ref534982374 \h </w:instrText>
      </w:r>
      <w:r>
        <w:fldChar w:fldCharType="separate"/>
      </w:r>
      <w:r w:rsidR="001F209C">
        <w:t>55</w:t>
      </w:r>
      <w:r>
        <w:fldChar w:fldCharType="end"/>
      </w:r>
      <w:r>
        <w:t>, 230.</w:t>
      </w:r>
    </w:p>
  </w:footnote>
  <w:footnote w:id="194">
    <w:p w14:paraId="3C6B11FB" w14:textId="25C8182A" w:rsidR="00EE78D8" w:rsidRPr="00707B7F" w:rsidRDefault="00EE78D8" w:rsidP="000B0663">
      <w:pPr>
        <w:pStyle w:val="FootnoteText"/>
        <w:rPr>
          <w:lang w:val="en-US"/>
        </w:rPr>
      </w:pPr>
      <w:r>
        <w:rPr>
          <w:rStyle w:val="FootnoteReference"/>
        </w:rPr>
        <w:footnoteRef/>
      </w:r>
      <w:r>
        <w:tab/>
        <w:t>Ibid</w:t>
      </w:r>
      <w:r>
        <w:rPr>
          <w:lang w:val="en-US"/>
        </w:rPr>
        <w:t>.</w:t>
      </w:r>
    </w:p>
  </w:footnote>
  <w:footnote w:id="195">
    <w:p w14:paraId="729DA66B" w14:textId="3EC2852E" w:rsidR="00EE78D8" w:rsidRPr="00707B7F" w:rsidRDefault="00EE78D8" w:rsidP="000B0663">
      <w:pPr>
        <w:pStyle w:val="FootnoteText"/>
        <w:rPr>
          <w:lang w:val="en-US"/>
        </w:rPr>
      </w:pPr>
      <w:r>
        <w:rPr>
          <w:rStyle w:val="FootnoteReference"/>
        </w:rPr>
        <w:footnoteRef/>
      </w:r>
      <w:r>
        <w:tab/>
        <w:t xml:space="preserve">ALRC, above n </w:t>
      </w:r>
      <w:r>
        <w:fldChar w:fldCharType="begin"/>
      </w:r>
      <w:r>
        <w:instrText xml:space="preserve"> NOTEREF _Ref536035283 \h </w:instrText>
      </w:r>
      <w:r>
        <w:fldChar w:fldCharType="separate"/>
      </w:r>
      <w:r w:rsidR="001F209C">
        <w:t>110</w:t>
      </w:r>
      <w:r>
        <w:fldChar w:fldCharType="end"/>
      </w:r>
      <w:r>
        <w:rPr>
          <w:lang w:val="en-US"/>
        </w:rPr>
        <w:t>, 192.</w:t>
      </w:r>
    </w:p>
  </w:footnote>
  <w:footnote w:id="196">
    <w:p w14:paraId="250647B7" w14:textId="7BB2B9CF" w:rsidR="00EE78D8" w:rsidRPr="00707B7F" w:rsidRDefault="00EE78D8" w:rsidP="00D76007">
      <w:pPr>
        <w:pStyle w:val="FootnoteText"/>
        <w:rPr>
          <w:lang w:val="en-US"/>
        </w:rPr>
      </w:pPr>
      <w:r>
        <w:rPr>
          <w:rStyle w:val="FootnoteReference"/>
        </w:rPr>
        <w:footnoteRef/>
      </w:r>
      <w:r>
        <w:tab/>
        <w:t xml:space="preserve">VLRC, above n </w:t>
      </w:r>
      <w:r>
        <w:fldChar w:fldCharType="begin"/>
      </w:r>
      <w:r>
        <w:instrText xml:space="preserve"> NOTEREF _Ref534978514 \h </w:instrText>
      </w:r>
      <w:r>
        <w:fldChar w:fldCharType="separate"/>
      </w:r>
      <w:r w:rsidR="001F209C">
        <w:t>24</w:t>
      </w:r>
      <w:r>
        <w:fldChar w:fldCharType="end"/>
      </w:r>
      <w:r>
        <w:t>,</w:t>
      </w:r>
      <w:r>
        <w:rPr>
          <w:lang w:val="en-US"/>
        </w:rPr>
        <w:t xml:space="preserve"> 89. The recommendation of the VLRC for courts to consider support measures that may assist an accused to stand trial when determining fitness was </w:t>
      </w:r>
      <w:r>
        <w:t xml:space="preserve">was </w:t>
      </w:r>
      <w:r>
        <w:rPr>
          <w:lang w:val="en-US"/>
        </w:rPr>
        <w:t xml:space="preserve">adopted in the </w:t>
      </w:r>
      <w:r>
        <w:rPr>
          <w:i/>
          <w:lang w:val="en-US"/>
        </w:rPr>
        <w:t xml:space="preserve">Crimes (Mental Impairment and Unfitness to be Tried) Amendment Bill 2016 </w:t>
      </w:r>
      <w:r>
        <w:rPr>
          <w:lang w:val="en-US"/>
        </w:rPr>
        <w:t>(Vic) cl 8. This legislation has not been passed by the Victorian Parliament.</w:t>
      </w:r>
    </w:p>
  </w:footnote>
  <w:footnote w:id="197">
    <w:p w14:paraId="7CFA003C" w14:textId="190E7235" w:rsidR="00EE78D8" w:rsidRPr="00B31D6A" w:rsidRDefault="00EE78D8" w:rsidP="000B0663">
      <w:pPr>
        <w:pStyle w:val="FootnoteText"/>
        <w:rPr>
          <w:lang w:val="en-US"/>
        </w:rPr>
      </w:pPr>
      <w:r>
        <w:rPr>
          <w:rStyle w:val="FootnoteReference"/>
        </w:rPr>
        <w:footnoteRef/>
      </w:r>
      <w:r>
        <w:tab/>
      </w:r>
      <w:r w:rsidRPr="0031572A">
        <w:t xml:space="preserve">Law Commission of England and Wales, above n </w:t>
      </w:r>
      <w:r>
        <w:fldChar w:fldCharType="begin"/>
      </w:r>
      <w:r>
        <w:instrText xml:space="preserve"> NOTEREF _Ref535064644 \h </w:instrText>
      </w:r>
      <w:r>
        <w:fldChar w:fldCharType="separate"/>
      </w:r>
      <w:r w:rsidR="001F209C">
        <w:t>142</w:t>
      </w:r>
      <w:r>
        <w:fldChar w:fldCharType="end"/>
      </w:r>
      <w:r w:rsidRPr="00644F25">
        <w:rPr>
          <w:lang w:val="en-US"/>
        </w:rPr>
        <w:t>, 72</w:t>
      </w:r>
      <w:r>
        <w:rPr>
          <w:lang w:val="en-US"/>
        </w:rPr>
        <w:t>.</w:t>
      </w:r>
    </w:p>
  </w:footnote>
  <w:footnote w:id="198">
    <w:p w14:paraId="1DE7E5F3" w14:textId="7F8BA286" w:rsidR="00EE78D8" w:rsidRPr="00B31D6A" w:rsidRDefault="00EE78D8" w:rsidP="000B0663">
      <w:pPr>
        <w:pStyle w:val="FootnoteText"/>
        <w:rPr>
          <w:lang w:val="en-US"/>
        </w:rPr>
      </w:pPr>
      <w:r>
        <w:rPr>
          <w:rStyle w:val="FootnoteReference"/>
        </w:rPr>
        <w:footnoteRef/>
      </w:r>
      <w:r>
        <w:tab/>
        <w:t>Ibid</w:t>
      </w:r>
      <w:r>
        <w:rPr>
          <w:lang w:val="en-US"/>
        </w:rPr>
        <w:t xml:space="preserve"> 73.</w:t>
      </w:r>
    </w:p>
  </w:footnote>
  <w:footnote w:id="199">
    <w:p w14:paraId="646D6155" w14:textId="663A10D6" w:rsidR="00EE78D8" w:rsidRPr="002F069D" w:rsidRDefault="00EE78D8" w:rsidP="000B0663">
      <w:pPr>
        <w:pStyle w:val="FootnoteText"/>
        <w:rPr>
          <w:lang w:val="en-US"/>
        </w:rPr>
      </w:pPr>
      <w:r>
        <w:rPr>
          <w:rStyle w:val="FootnoteReference"/>
        </w:rPr>
        <w:footnoteRef/>
      </w:r>
      <w:r>
        <w:tab/>
        <w:t xml:space="preserve">NSWLRC, </w:t>
      </w:r>
      <w:r>
        <w:rPr>
          <w:lang w:val="en-US"/>
        </w:rPr>
        <w:t xml:space="preserve">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Recommendation 2.2.</w:t>
      </w:r>
    </w:p>
  </w:footnote>
  <w:footnote w:id="200">
    <w:p w14:paraId="533BF3B6" w14:textId="3A9CC82F" w:rsidR="00EE78D8" w:rsidRPr="00D95E33" w:rsidRDefault="00EE78D8" w:rsidP="000B0663">
      <w:pPr>
        <w:pStyle w:val="FootnoteText"/>
        <w:rPr>
          <w:lang w:val="en-US"/>
        </w:rPr>
      </w:pPr>
      <w:r>
        <w:rPr>
          <w:rStyle w:val="FootnoteReference"/>
        </w:rPr>
        <w:footnoteRef/>
      </w:r>
      <w:r>
        <w:tab/>
      </w:r>
      <w:r>
        <w:rPr>
          <w:lang w:val="en-US"/>
        </w:rPr>
        <w:t xml:space="preserve">Department of the Attorney-General, Western Australia, above n </w:t>
      </w:r>
      <w:r>
        <w:rPr>
          <w:lang w:val="en-US"/>
        </w:rPr>
        <w:fldChar w:fldCharType="begin"/>
      </w:r>
      <w:r>
        <w:rPr>
          <w:lang w:val="en-US"/>
        </w:rPr>
        <w:instrText xml:space="preserve"> NOTEREF _Ref535061852 \h </w:instrText>
      </w:r>
      <w:r>
        <w:rPr>
          <w:lang w:val="en-US"/>
        </w:rPr>
      </w:r>
      <w:r>
        <w:rPr>
          <w:lang w:val="en-US"/>
        </w:rPr>
        <w:fldChar w:fldCharType="separate"/>
      </w:r>
      <w:r w:rsidR="001F209C">
        <w:rPr>
          <w:lang w:val="en-US"/>
        </w:rPr>
        <w:t>102</w:t>
      </w:r>
      <w:r>
        <w:rPr>
          <w:lang w:val="en-US"/>
        </w:rPr>
        <w:fldChar w:fldCharType="end"/>
      </w:r>
      <w:r>
        <w:t xml:space="preserve">, </w:t>
      </w:r>
      <w:r>
        <w:rPr>
          <w:lang w:val="en-US"/>
        </w:rPr>
        <w:t>Recommendation 8.</w:t>
      </w:r>
    </w:p>
  </w:footnote>
  <w:footnote w:id="201">
    <w:p w14:paraId="3E01744B" w14:textId="04726FC3" w:rsidR="00EE78D8" w:rsidRPr="00D95E33" w:rsidRDefault="00EE78D8" w:rsidP="000B0663">
      <w:pPr>
        <w:pStyle w:val="FootnoteText"/>
        <w:rPr>
          <w:lang w:val="en-US"/>
        </w:rPr>
      </w:pPr>
      <w:r>
        <w:rPr>
          <w:rStyle w:val="FootnoteReference"/>
        </w:rPr>
        <w:footnoteRef/>
      </w:r>
      <w:r>
        <w:tab/>
        <w:t xml:space="preserve">Ibid </w:t>
      </w:r>
      <w:r>
        <w:rPr>
          <w:lang w:val="en-US"/>
        </w:rPr>
        <w:t>50.</w:t>
      </w:r>
    </w:p>
  </w:footnote>
  <w:footnote w:id="202">
    <w:p w14:paraId="58D73FA8" w14:textId="61986377" w:rsidR="00EE78D8" w:rsidRPr="00040992" w:rsidRDefault="00EE78D8" w:rsidP="000B0663">
      <w:pPr>
        <w:pStyle w:val="FootnoteText"/>
        <w:rPr>
          <w:lang w:val="en-US"/>
        </w:rPr>
      </w:pPr>
      <w:r>
        <w:rPr>
          <w:rStyle w:val="FootnoteReference"/>
        </w:rPr>
        <w:footnoteRef/>
      </w:r>
      <w:r>
        <w:tab/>
      </w:r>
      <w:r w:rsidRPr="0031572A">
        <w:t xml:space="preserve">Law Commission of England and Wales, above n </w:t>
      </w:r>
      <w:r>
        <w:fldChar w:fldCharType="begin"/>
      </w:r>
      <w:r>
        <w:instrText xml:space="preserve"> NOTEREF _Ref535064644 \h </w:instrText>
      </w:r>
      <w:r>
        <w:fldChar w:fldCharType="separate"/>
      </w:r>
      <w:r w:rsidR="001F209C">
        <w:t>142</w:t>
      </w:r>
      <w:r>
        <w:fldChar w:fldCharType="end"/>
      </w:r>
      <w:r>
        <w:rPr>
          <w:lang w:val="en-US"/>
        </w:rPr>
        <w:t>, 29.</w:t>
      </w:r>
    </w:p>
  </w:footnote>
  <w:footnote w:id="203">
    <w:p w14:paraId="54B1E4C6" w14:textId="01B534AC" w:rsidR="00EE78D8" w:rsidRPr="008D56FD" w:rsidRDefault="00EE78D8" w:rsidP="000B0663">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86.</w:t>
      </w:r>
    </w:p>
  </w:footnote>
  <w:footnote w:id="204">
    <w:p w14:paraId="47A26A7A" w14:textId="2BDF939F" w:rsidR="00EE78D8" w:rsidRPr="007D6F7A" w:rsidRDefault="00EE78D8" w:rsidP="000B0663">
      <w:pPr>
        <w:pStyle w:val="FootnoteText"/>
        <w:rPr>
          <w:lang w:val="en-US"/>
        </w:rPr>
      </w:pPr>
      <w:r>
        <w:rPr>
          <w:rStyle w:val="FootnoteReference"/>
        </w:rPr>
        <w:footnoteRef/>
      </w:r>
      <w:r>
        <w:tab/>
      </w:r>
      <w:r w:rsidRPr="00154F1D">
        <w:rPr>
          <w:lang w:val="en-US"/>
        </w:rPr>
        <w:t>See [2.4.5].</w:t>
      </w:r>
    </w:p>
  </w:footnote>
  <w:footnote w:id="205">
    <w:p w14:paraId="3CDBAF66" w14:textId="18F6961B" w:rsidR="00EE78D8" w:rsidRPr="008D56FD" w:rsidRDefault="00EE78D8" w:rsidP="000B0663">
      <w:pPr>
        <w:pStyle w:val="FootnoteText"/>
        <w:rPr>
          <w:lang w:val="en-US"/>
        </w:rPr>
      </w:pPr>
      <w:r>
        <w:rPr>
          <w:rStyle w:val="FootnoteReference"/>
        </w:rPr>
        <w:footnoteRef/>
      </w:r>
      <w:r>
        <w:tab/>
        <w:t xml:space="preserve">Northern Ireland Law Reform Commission, </w:t>
      </w:r>
      <w:r>
        <w:rPr>
          <w:i/>
        </w:rPr>
        <w:t xml:space="preserve">Unfitness to Plead, </w:t>
      </w:r>
      <w:r w:rsidRPr="0058587B">
        <w:t>Consultation Paper</w:t>
      </w:r>
      <w:r>
        <w:rPr>
          <w:i/>
        </w:rPr>
        <w:t xml:space="preserve"> </w:t>
      </w:r>
      <w:r w:rsidRPr="0058587B">
        <w:t xml:space="preserve">13 </w:t>
      </w:r>
      <w:r>
        <w:t>(2012)</w:t>
      </w:r>
      <w:r>
        <w:rPr>
          <w:lang w:val="en-US"/>
        </w:rPr>
        <w:t xml:space="preserve"> 120; </w:t>
      </w:r>
      <w:r>
        <w:t xml:space="preserve">Northern Ireland Law Reform Commission, above n </w:t>
      </w:r>
      <w:r>
        <w:fldChar w:fldCharType="begin"/>
      </w:r>
      <w:r>
        <w:instrText xml:space="preserve"> NOTEREF _Ref535064644 \h </w:instrText>
      </w:r>
      <w:r>
        <w:fldChar w:fldCharType="separate"/>
      </w:r>
      <w:r w:rsidR="001F209C">
        <w:t>142</w:t>
      </w:r>
      <w:r>
        <w:fldChar w:fldCharType="end"/>
      </w:r>
      <w:r>
        <w:t>,</w:t>
      </w:r>
      <w:r>
        <w:rPr>
          <w:lang w:val="en-US"/>
        </w:rPr>
        <w:t xml:space="preserve"> 85–87.</w:t>
      </w:r>
    </w:p>
  </w:footnote>
  <w:footnote w:id="206">
    <w:p w14:paraId="52E4B72B" w14:textId="7CBE6CBD" w:rsidR="00EE78D8" w:rsidRPr="008D56FD" w:rsidRDefault="00EE78D8" w:rsidP="000B0663">
      <w:pPr>
        <w:pStyle w:val="FootnoteText"/>
        <w:rPr>
          <w:lang w:val="en-US"/>
        </w:rPr>
      </w:pPr>
      <w:r>
        <w:rPr>
          <w:rStyle w:val="FootnoteReference"/>
        </w:rPr>
        <w:footnoteRef/>
      </w:r>
      <w:r>
        <w:tab/>
        <w:t xml:space="preserve">Northern Ireland Law Reform Commission, </w:t>
      </w:r>
      <w:r w:rsidRPr="00FF6166">
        <w:t>Consultation Paper</w:t>
      </w:r>
      <w:r>
        <w:rPr>
          <w:i/>
        </w:rPr>
        <w:t xml:space="preserve"> </w:t>
      </w:r>
      <w:r>
        <w:t xml:space="preserve">13, above n </w:t>
      </w:r>
      <w:r>
        <w:fldChar w:fldCharType="begin"/>
      </w:r>
      <w:r>
        <w:instrText xml:space="preserve"> NOTEREF _Ref535080919 \h </w:instrText>
      </w:r>
      <w:r>
        <w:fldChar w:fldCharType="separate"/>
      </w:r>
      <w:r w:rsidR="001F209C">
        <w:t>205</w:t>
      </w:r>
      <w:r>
        <w:fldChar w:fldCharType="end"/>
      </w:r>
      <w:r>
        <w:t>,</w:t>
      </w:r>
      <w:r>
        <w:rPr>
          <w:lang w:val="en-US"/>
        </w:rPr>
        <w:t xml:space="preserve"> 120.</w:t>
      </w:r>
    </w:p>
  </w:footnote>
  <w:footnote w:id="207">
    <w:p w14:paraId="2B53C1AB" w14:textId="3833B3AB" w:rsidR="00EE78D8" w:rsidRPr="00FA5B92" w:rsidRDefault="00EE78D8" w:rsidP="000B0663">
      <w:pPr>
        <w:pStyle w:val="FootnoteText"/>
        <w:rPr>
          <w:lang w:val="en-US"/>
        </w:rPr>
      </w:pPr>
      <w:r>
        <w:rPr>
          <w:rStyle w:val="FootnoteReference"/>
        </w:rPr>
        <w:footnoteRef/>
      </w:r>
      <w:r>
        <w:tab/>
        <w:t xml:space="preserve">Northern Ireland Law Reform Commission, above n </w:t>
      </w:r>
      <w:r>
        <w:fldChar w:fldCharType="begin"/>
      </w:r>
      <w:r>
        <w:instrText xml:space="preserve"> NOTEREF _Ref535064644 \h </w:instrText>
      </w:r>
      <w:r>
        <w:fldChar w:fldCharType="separate"/>
      </w:r>
      <w:r w:rsidR="001F209C">
        <w:t>142</w:t>
      </w:r>
      <w:r>
        <w:fldChar w:fldCharType="end"/>
      </w:r>
      <w:r>
        <w:t xml:space="preserve">, 86–87; Northern Ireland Law Reform Commission, ibid </w:t>
      </w:r>
      <w:r>
        <w:rPr>
          <w:lang w:val="en-US"/>
        </w:rPr>
        <w:t>122.</w:t>
      </w:r>
    </w:p>
  </w:footnote>
  <w:footnote w:id="208">
    <w:p w14:paraId="092093AC" w14:textId="0664949B" w:rsidR="00EE78D8" w:rsidRPr="007261B0" w:rsidRDefault="00EE78D8">
      <w:pPr>
        <w:pStyle w:val="FootnoteText"/>
        <w:rPr>
          <w:lang w:val="en-US"/>
        </w:rPr>
      </w:pPr>
      <w:r>
        <w:rPr>
          <w:rStyle w:val="FootnoteReference"/>
        </w:rPr>
        <w:footnoteRef/>
      </w:r>
      <w:r>
        <w:tab/>
        <w:t xml:space="preserve">TLRI, above n </w:t>
      </w:r>
      <w:r>
        <w:fldChar w:fldCharType="begin"/>
      </w:r>
      <w:r>
        <w:instrText xml:space="preserve"> NOTEREF _Ref535082003 \h </w:instrText>
      </w:r>
      <w:r>
        <w:fldChar w:fldCharType="separate"/>
      </w:r>
      <w:r w:rsidR="001F209C">
        <w:t>4</w:t>
      </w:r>
      <w:r>
        <w:fldChar w:fldCharType="end"/>
      </w:r>
      <w:r>
        <w:t>,</w:t>
      </w:r>
      <w:r>
        <w:rPr>
          <w:lang w:val="en-US"/>
        </w:rPr>
        <w:t xml:space="preserve"> vi.</w:t>
      </w:r>
    </w:p>
  </w:footnote>
  <w:footnote w:id="209">
    <w:p w14:paraId="0A899F87" w14:textId="6C369AD8" w:rsidR="00EE78D8" w:rsidRPr="00FC3383" w:rsidRDefault="00EE78D8">
      <w:pPr>
        <w:pStyle w:val="FootnoteText"/>
        <w:rPr>
          <w:lang w:val="en-US"/>
        </w:rPr>
      </w:pPr>
      <w:r>
        <w:rPr>
          <w:rStyle w:val="FootnoteReference"/>
        </w:rPr>
        <w:footnoteRef/>
      </w:r>
      <w:r>
        <w:tab/>
      </w:r>
      <w:r>
        <w:rPr>
          <w:lang w:val="en-US"/>
        </w:rPr>
        <w:t>Ibid.</w:t>
      </w:r>
    </w:p>
  </w:footnote>
  <w:footnote w:id="210">
    <w:p w14:paraId="35773926" w14:textId="7C6077AF" w:rsidR="00EE78D8" w:rsidRPr="00524841" w:rsidRDefault="00EE78D8">
      <w:pPr>
        <w:pStyle w:val="FootnoteText"/>
        <w:rPr>
          <w:lang w:val="en-US"/>
        </w:rPr>
      </w:pPr>
      <w:r>
        <w:rPr>
          <w:rStyle w:val="FootnoteReference"/>
        </w:rPr>
        <w:footnoteRef/>
      </w:r>
      <w:r>
        <w:tab/>
      </w:r>
      <w:r>
        <w:rPr>
          <w:lang w:val="en-US"/>
        </w:rPr>
        <w:t xml:space="preserve">See </w:t>
      </w:r>
      <w:r w:rsidRPr="003820E9">
        <w:rPr>
          <w:lang w:val="en-US"/>
        </w:rPr>
        <w:t xml:space="preserve">TLRI, above n </w:t>
      </w:r>
      <w:r w:rsidRPr="003820E9">
        <w:rPr>
          <w:lang w:val="en-US"/>
        </w:rPr>
        <w:fldChar w:fldCharType="begin"/>
      </w:r>
      <w:r w:rsidRPr="003820E9">
        <w:rPr>
          <w:lang w:val="en-US"/>
        </w:rPr>
        <w:instrText xml:space="preserve"> NOTEREF _Ref534966370 \h  \* MERGEFORMAT </w:instrText>
      </w:r>
      <w:r w:rsidRPr="003820E9">
        <w:rPr>
          <w:lang w:val="en-US"/>
        </w:rPr>
      </w:r>
      <w:r w:rsidRPr="003820E9">
        <w:rPr>
          <w:lang w:val="en-US"/>
        </w:rPr>
        <w:fldChar w:fldCharType="separate"/>
      </w:r>
      <w:r w:rsidR="001F209C">
        <w:rPr>
          <w:lang w:val="en-US"/>
        </w:rPr>
        <w:t>7</w:t>
      </w:r>
      <w:r w:rsidRPr="003820E9">
        <w:rPr>
          <w:lang w:val="en-US"/>
        </w:rPr>
        <w:fldChar w:fldCharType="end"/>
      </w:r>
      <w:r w:rsidRPr="003820E9">
        <w:rPr>
          <w:lang w:val="en-US"/>
        </w:rPr>
        <w:t>,</w:t>
      </w:r>
      <w:r>
        <w:rPr>
          <w:lang w:val="en-US"/>
        </w:rPr>
        <w:t xml:space="preserve"> Part 7.</w:t>
      </w:r>
    </w:p>
  </w:footnote>
  <w:footnote w:id="211">
    <w:p w14:paraId="473976D1" w14:textId="0322D849" w:rsidR="00EE78D8" w:rsidRPr="007A4971" w:rsidRDefault="00EE78D8" w:rsidP="000B0663">
      <w:pPr>
        <w:pStyle w:val="FootnoteText"/>
        <w:rPr>
          <w:lang w:val="en-US"/>
        </w:rPr>
      </w:pPr>
      <w:r>
        <w:rPr>
          <w:rStyle w:val="FootnoteReference"/>
        </w:rPr>
        <w:footnoteRef/>
      </w:r>
      <w:r>
        <w:tab/>
      </w:r>
      <w:r>
        <w:rPr>
          <w:lang w:val="en-US"/>
        </w:rPr>
        <w:t xml:space="preserve">See 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xml:space="preserve">, 87–89, </w:t>
      </w:r>
      <w:r w:rsidRPr="0031572A">
        <w:t xml:space="preserve">Law Commission of England and Wales, above n </w:t>
      </w:r>
      <w:r>
        <w:fldChar w:fldCharType="begin"/>
      </w:r>
      <w:r>
        <w:instrText xml:space="preserve"> NOTEREF _Ref535064644 \h </w:instrText>
      </w:r>
      <w:r>
        <w:fldChar w:fldCharType="separate"/>
      </w:r>
      <w:r w:rsidR="001F209C">
        <w:t>142</w:t>
      </w:r>
      <w:r>
        <w:fldChar w:fldCharType="end"/>
      </w:r>
      <w:r>
        <w:rPr>
          <w:lang w:val="en-US"/>
        </w:rPr>
        <w:t>, 31–32, 37–55. See also</w:t>
      </w:r>
      <w:r w:rsidRPr="00155F68">
        <w:t xml:space="preserve"> </w:t>
      </w:r>
      <w:r>
        <w:t xml:space="preserve">Gooding et al, above n </w:t>
      </w:r>
      <w:r>
        <w:fldChar w:fldCharType="begin"/>
      </w:r>
      <w:r>
        <w:instrText xml:space="preserve"> NOTEREF _Ref534982760 \h </w:instrText>
      </w:r>
      <w:r>
        <w:fldChar w:fldCharType="separate"/>
      </w:r>
      <w:r w:rsidR="001F209C">
        <w:t>37</w:t>
      </w:r>
      <w:r>
        <w:fldChar w:fldCharType="end"/>
      </w:r>
      <w:r>
        <w:t xml:space="preserve">, </w:t>
      </w:r>
      <w:r>
        <w:rPr>
          <w:lang w:val="en-US"/>
        </w:rPr>
        <w:t>838–840.</w:t>
      </w:r>
    </w:p>
  </w:footnote>
  <w:footnote w:id="212">
    <w:p w14:paraId="02900486" w14:textId="4D3372C9" w:rsidR="00EE78D8" w:rsidRPr="00D81103" w:rsidRDefault="00EE78D8" w:rsidP="000B0663">
      <w:pPr>
        <w:pStyle w:val="FootnoteText"/>
        <w:rPr>
          <w:lang w:val="en-US"/>
        </w:rPr>
      </w:pPr>
      <w:r>
        <w:rPr>
          <w:rStyle w:val="FootnoteReference"/>
        </w:rPr>
        <w:footnoteRef/>
      </w:r>
      <w:r>
        <w:tab/>
      </w:r>
      <w:r>
        <w:rPr>
          <w:lang w:val="en-US"/>
        </w:rPr>
        <w:t xml:space="preserve">Melbourne Social Equity Institute, above n </w:t>
      </w:r>
      <w:r>
        <w:rPr>
          <w:lang w:val="en-US"/>
        </w:rPr>
        <w:fldChar w:fldCharType="begin"/>
      </w:r>
      <w:r>
        <w:rPr>
          <w:lang w:val="en-US"/>
        </w:rPr>
        <w:instrText xml:space="preserve"> NOTEREF _Ref535087573 \h </w:instrText>
      </w:r>
      <w:r>
        <w:rPr>
          <w:lang w:val="en-US"/>
        </w:rPr>
      </w:r>
      <w:r>
        <w:rPr>
          <w:lang w:val="en-US"/>
        </w:rPr>
        <w:fldChar w:fldCharType="separate"/>
      </w:r>
      <w:r w:rsidR="001F209C">
        <w:rPr>
          <w:lang w:val="en-US"/>
        </w:rPr>
        <w:t>128</w:t>
      </w:r>
      <w:r>
        <w:rPr>
          <w:lang w:val="en-US"/>
        </w:rPr>
        <w:fldChar w:fldCharType="end"/>
      </w:r>
      <w:r>
        <w:rPr>
          <w:lang w:val="en-US"/>
        </w:rPr>
        <w:t>, 4–5.</w:t>
      </w:r>
    </w:p>
  </w:footnote>
  <w:footnote w:id="213">
    <w:p w14:paraId="6A0A3EED" w14:textId="3566780E" w:rsidR="00EE78D8" w:rsidRPr="0057714A" w:rsidRDefault="00EE78D8" w:rsidP="000B0663">
      <w:pPr>
        <w:pStyle w:val="FootnoteText"/>
        <w:rPr>
          <w:lang w:val="en-US"/>
        </w:rPr>
      </w:pPr>
      <w:r>
        <w:rPr>
          <w:rStyle w:val="FootnoteReference"/>
        </w:rPr>
        <w:footnoteRef/>
      </w:r>
      <w:r>
        <w:tab/>
      </w:r>
      <w:r>
        <w:rPr>
          <w:lang w:val="en-US"/>
        </w:rPr>
        <w:t xml:space="preserve">Ibid 5 referring to Gooding and O’Mahoney, above n </w:t>
      </w:r>
      <w:r>
        <w:rPr>
          <w:lang w:val="en-US"/>
        </w:rPr>
        <w:fldChar w:fldCharType="begin"/>
      </w:r>
      <w:r>
        <w:rPr>
          <w:lang w:val="en-US"/>
        </w:rPr>
        <w:instrText xml:space="preserve"> NOTEREF _Ref535056394 \h </w:instrText>
      </w:r>
      <w:r>
        <w:rPr>
          <w:lang w:val="en-US"/>
        </w:rPr>
      </w:r>
      <w:r>
        <w:rPr>
          <w:lang w:val="en-US"/>
        </w:rPr>
        <w:fldChar w:fldCharType="separate"/>
      </w:r>
      <w:r w:rsidR="001F209C">
        <w:rPr>
          <w:lang w:val="en-US"/>
        </w:rPr>
        <w:t>124</w:t>
      </w:r>
      <w:r>
        <w:rPr>
          <w:lang w:val="en-US"/>
        </w:rPr>
        <w:fldChar w:fldCharType="end"/>
      </w:r>
      <w:r>
        <w:rPr>
          <w:lang w:val="en-US"/>
        </w:rPr>
        <w:t xml:space="preserve">. </w:t>
      </w:r>
      <w:r>
        <w:t xml:space="preserve">A report that outlines the nature of supports that may be effective for persons with cognitive disabilities in the criminal justice system was published in September 2017, in a project funded by the National Disability Research and Development Grants, see </w:t>
      </w:r>
      <w:r w:rsidRPr="00CA6742">
        <w:t>McSherry et al, above n</w:t>
      </w:r>
      <w:r>
        <w:t xml:space="preserve"> </w:t>
      </w:r>
      <w:r>
        <w:fldChar w:fldCharType="begin"/>
      </w:r>
      <w:r>
        <w:instrText xml:space="preserve"> NOTEREF _Ref536017353 \h </w:instrText>
      </w:r>
      <w:r>
        <w:fldChar w:fldCharType="separate"/>
      </w:r>
      <w:r w:rsidR="001F209C">
        <w:t>40</w:t>
      </w:r>
      <w:r>
        <w:fldChar w:fldCharType="end"/>
      </w:r>
      <w:r>
        <w:t>.</w:t>
      </w:r>
    </w:p>
  </w:footnote>
  <w:footnote w:id="214">
    <w:p w14:paraId="05AA2675" w14:textId="4414F214" w:rsidR="00EE78D8" w:rsidRPr="001040F6" w:rsidRDefault="00EE78D8">
      <w:pPr>
        <w:pStyle w:val="FootnoteText"/>
        <w:rPr>
          <w:lang w:val="en-US"/>
        </w:rPr>
      </w:pPr>
      <w:r>
        <w:rPr>
          <w:rStyle w:val="FootnoteReference"/>
        </w:rPr>
        <w:footnoteRef/>
      </w:r>
      <w:r>
        <w:tab/>
        <w:t xml:space="preserve">Gooding et al, above n </w:t>
      </w:r>
      <w:r>
        <w:fldChar w:fldCharType="begin"/>
      </w:r>
      <w:r>
        <w:instrText xml:space="preserve"> NOTEREF _Ref534982760 \h </w:instrText>
      </w:r>
      <w:r>
        <w:fldChar w:fldCharType="separate"/>
      </w:r>
      <w:r w:rsidR="001F209C">
        <w:t>37</w:t>
      </w:r>
      <w:r>
        <w:fldChar w:fldCharType="end"/>
      </w:r>
      <w:r>
        <w:t>,</w:t>
      </w:r>
      <w:r>
        <w:rPr>
          <w:lang w:val="en-US"/>
        </w:rPr>
        <w:t xml:space="preserve"> 842.</w:t>
      </w:r>
    </w:p>
  </w:footnote>
  <w:footnote w:id="215">
    <w:p w14:paraId="1C98003A" w14:textId="44A5E327" w:rsidR="00EE78D8" w:rsidRPr="009A123A"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80.</w:t>
      </w:r>
    </w:p>
  </w:footnote>
  <w:footnote w:id="216">
    <w:p w14:paraId="56146D3D" w14:textId="5F3F3991" w:rsidR="00EE78D8" w:rsidRPr="009A123A" w:rsidRDefault="00EE78D8">
      <w:pPr>
        <w:pStyle w:val="FootnoteText"/>
        <w:rPr>
          <w:lang w:val="en-US"/>
        </w:rPr>
      </w:pPr>
      <w:r>
        <w:rPr>
          <w:rStyle w:val="FootnoteReference"/>
        </w:rPr>
        <w:footnoteRef/>
      </w:r>
      <w:r>
        <w:tab/>
      </w:r>
      <w:r>
        <w:rPr>
          <w:lang w:val="en-US"/>
        </w:rPr>
        <w:t>Ibid. See [6.2.6].</w:t>
      </w:r>
    </w:p>
  </w:footnote>
  <w:footnote w:id="217">
    <w:p w14:paraId="3DE03808" w14:textId="44046E8A" w:rsidR="00EE78D8" w:rsidRPr="007E72FB"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xml:space="preserve">, 36; 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81.</w:t>
      </w:r>
    </w:p>
  </w:footnote>
  <w:footnote w:id="218">
    <w:p w14:paraId="04848410" w14:textId="2E937135" w:rsidR="00EE78D8" w:rsidRPr="00362296"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w:t>
      </w:r>
    </w:p>
  </w:footnote>
  <w:footnote w:id="219">
    <w:p w14:paraId="5F604697" w14:textId="432A5FCE" w:rsidR="00EE78D8" w:rsidRPr="003F47B4" w:rsidRDefault="00EE78D8">
      <w:pPr>
        <w:pStyle w:val="FootnoteText"/>
        <w:rPr>
          <w:lang w:val="en-US"/>
        </w:rPr>
      </w:pPr>
      <w:r>
        <w:rPr>
          <w:rStyle w:val="FootnoteReference"/>
        </w:rPr>
        <w:footnoteRef/>
      </w:r>
      <w:r>
        <w:tab/>
        <w:t xml:space="preserve">VLRC, </w:t>
      </w:r>
      <w:r>
        <w:rPr>
          <w:lang w:val="en-US"/>
        </w:rPr>
        <w:t xml:space="preserve">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xml:space="preserve">, </w:t>
      </w:r>
      <w:r>
        <w:t>80.</w:t>
      </w:r>
    </w:p>
  </w:footnote>
  <w:footnote w:id="220">
    <w:p w14:paraId="092DF92F" w14:textId="62446650" w:rsidR="00EE78D8" w:rsidRPr="003F47B4" w:rsidRDefault="00EE78D8">
      <w:pPr>
        <w:pStyle w:val="FootnoteText"/>
        <w:rPr>
          <w:lang w:val="en-US"/>
        </w:rPr>
      </w:pPr>
      <w:r>
        <w:rPr>
          <w:rStyle w:val="FootnoteReference"/>
        </w:rPr>
        <w:footnoteRef/>
      </w:r>
      <w:r>
        <w:tab/>
        <w:t>Ibid 81.</w:t>
      </w:r>
    </w:p>
  </w:footnote>
  <w:footnote w:id="221">
    <w:p w14:paraId="7B7A465B" w14:textId="31A6C0C5" w:rsidR="00EE78D8" w:rsidRPr="00892B25" w:rsidRDefault="00EE78D8">
      <w:pPr>
        <w:pStyle w:val="FootnoteText"/>
        <w:rPr>
          <w:lang w:val="en-US"/>
        </w:rPr>
      </w:pPr>
      <w:r>
        <w:rPr>
          <w:rStyle w:val="FootnoteReference"/>
        </w:rPr>
        <w:footnoteRef/>
      </w:r>
      <w:r>
        <w:tab/>
      </w:r>
      <w:r>
        <w:rPr>
          <w:lang w:val="en-US"/>
        </w:rPr>
        <w:t>See [2.4].</w:t>
      </w:r>
    </w:p>
  </w:footnote>
  <w:footnote w:id="222">
    <w:p w14:paraId="58BF6C1E" w14:textId="5BD4781F" w:rsidR="00EE78D8" w:rsidRPr="00F63BF6" w:rsidRDefault="00EE78D8">
      <w:pPr>
        <w:pStyle w:val="FootnoteText"/>
        <w:rPr>
          <w:lang w:val="en-US"/>
        </w:rPr>
      </w:pPr>
      <w:r>
        <w:rPr>
          <w:rStyle w:val="FootnoteReference"/>
        </w:rPr>
        <w:footnoteRef/>
      </w:r>
      <w:r>
        <w:tab/>
      </w:r>
      <w:r>
        <w:rPr>
          <w:lang w:val="en-US"/>
        </w:rPr>
        <w:t xml:space="preserve">Law Commission of England and Wales, above n </w:t>
      </w:r>
      <w:r>
        <w:rPr>
          <w:lang w:val="en-US"/>
        </w:rPr>
        <w:fldChar w:fldCharType="begin"/>
      </w:r>
      <w:r>
        <w:rPr>
          <w:lang w:val="en-US"/>
        </w:rPr>
        <w:instrText xml:space="preserve"> NOTEREF _Ref535064644 \h </w:instrText>
      </w:r>
      <w:r>
        <w:rPr>
          <w:lang w:val="en-US"/>
        </w:rPr>
      </w:r>
      <w:r>
        <w:rPr>
          <w:lang w:val="en-US"/>
        </w:rPr>
        <w:fldChar w:fldCharType="separate"/>
      </w:r>
      <w:r w:rsidR="001F209C">
        <w:rPr>
          <w:lang w:val="en-US"/>
        </w:rPr>
        <w:t>142</w:t>
      </w:r>
      <w:r>
        <w:rPr>
          <w:lang w:val="en-US"/>
        </w:rPr>
        <w:fldChar w:fldCharType="end"/>
      </w:r>
      <w:r>
        <w:rPr>
          <w:lang w:val="en-US"/>
        </w:rPr>
        <w:t>, 93.</w:t>
      </w:r>
    </w:p>
  </w:footnote>
  <w:footnote w:id="223">
    <w:p w14:paraId="2ADF5153" w14:textId="17C3F2EF" w:rsidR="00EE78D8" w:rsidRPr="00892B25" w:rsidRDefault="00EE78D8">
      <w:pPr>
        <w:pStyle w:val="FootnoteText"/>
        <w:rPr>
          <w:lang w:val="en-US"/>
        </w:rPr>
      </w:pPr>
      <w:r>
        <w:rPr>
          <w:rStyle w:val="FootnoteReference"/>
        </w:rPr>
        <w:footnoteRef/>
      </w:r>
      <w:r>
        <w:tab/>
      </w:r>
      <w:r>
        <w:rPr>
          <w:lang w:val="en-US"/>
        </w:rPr>
        <w:t>Ibid.</w:t>
      </w:r>
    </w:p>
  </w:footnote>
  <w:footnote w:id="224">
    <w:p w14:paraId="5EC7E990" w14:textId="0C44DD5B" w:rsidR="00EE78D8" w:rsidRPr="002614FB"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81.</w:t>
      </w:r>
    </w:p>
  </w:footnote>
  <w:footnote w:id="225">
    <w:p w14:paraId="5F71DFD0" w14:textId="399CDD57" w:rsidR="00EE78D8" w:rsidRPr="00CA2421"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36.</w:t>
      </w:r>
    </w:p>
  </w:footnote>
  <w:footnote w:id="226">
    <w:p w14:paraId="6A831BEB" w14:textId="3D19C2B0" w:rsidR="00EE78D8" w:rsidRPr="00CA2421" w:rsidRDefault="00EE78D8">
      <w:pPr>
        <w:pStyle w:val="FootnoteText"/>
        <w:rPr>
          <w:lang w:val="en-US"/>
        </w:rPr>
      </w:pPr>
      <w:r>
        <w:rPr>
          <w:rStyle w:val="FootnoteReference"/>
        </w:rPr>
        <w:footnoteRef/>
      </w:r>
      <w:r>
        <w:tab/>
      </w:r>
      <w:r>
        <w:rPr>
          <w:lang w:val="en-US"/>
        </w:rPr>
        <w:t>Ibid.</w:t>
      </w:r>
    </w:p>
  </w:footnote>
  <w:footnote w:id="227">
    <w:p w14:paraId="0EC1E36D" w14:textId="204E9D00" w:rsidR="00EE78D8" w:rsidRPr="00362296" w:rsidRDefault="00EE78D8">
      <w:pPr>
        <w:pStyle w:val="FootnoteText"/>
        <w:rPr>
          <w:lang w:val="en-US"/>
        </w:rPr>
      </w:pPr>
      <w:r>
        <w:rPr>
          <w:rStyle w:val="FootnoteReference"/>
        </w:rPr>
        <w:footnoteRef/>
      </w:r>
      <w:r>
        <w:tab/>
      </w:r>
      <w:r>
        <w:rPr>
          <w:lang w:val="en-US"/>
        </w:rPr>
        <w:t>Ibid 36–37.</w:t>
      </w:r>
    </w:p>
  </w:footnote>
  <w:footnote w:id="228">
    <w:p w14:paraId="69C2EC35" w14:textId="3703202F" w:rsidR="00EE78D8" w:rsidRPr="00CA23E9"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80.</w:t>
      </w:r>
    </w:p>
  </w:footnote>
  <w:footnote w:id="229">
    <w:p w14:paraId="688B252D" w14:textId="463EAC34" w:rsidR="00EE78D8" w:rsidRPr="00892B25" w:rsidRDefault="00EE78D8">
      <w:pPr>
        <w:pStyle w:val="FootnoteText"/>
        <w:rPr>
          <w:lang w:val="en-US"/>
        </w:rPr>
      </w:pPr>
      <w:r>
        <w:rPr>
          <w:rStyle w:val="FootnoteReference"/>
        </w:rPr>
        <w:footnoteRef/>
      </w:r>
      <w:r>
        <w:tab/>
      </w:r>
      <w:r>
        <w:rPr>
          <w:lang w:val="en-US"/>
        </w:rPr>
        <w:t xml:space="preserve">Law Commission of England and Wales, above n </w:t>
      </w:r>
      <w:r>
        <w:rPr>
          <w:lang w:val="en-US"/>
        </w:rPr>
        <w:fldChar w:fldCharType="begin"/>
      </w:r>
      <w:r>
        <w:rPr>
          <w:lang w:val="en-US"/>
        </w:rPr>
        <w:instrText xml:space="preserve"> NOTEREF _Ref535064644 \h </w:instrText>
      </w:r>
      <w:r>
        <w:rPr>
          <w:lang w:val="en-US"/>
        </w:rPr>
      </w:r>
      <w:r>
        <w:rPr>
          <w:lang w:val="en-US"/>
        </w:rPr>
        <w:fldChar w:fldCharType="separate"/>
      </w:r>
      <w:r w:rsidR="001F209C">
        <w:rPr>
          <w:lang w:val="en-US"/>
        </w:rPr>
        <w:t>142</w:t>
      </w:r>
      <w:r>
        <w:rPr>
          <w:lang w:val="en-US"/>
        </w:rPr>
        <w:fldChar w:fldCharType="end"/>
      </w:r>
      <w:r>
        <w:rPr>
          <w:lang w:val="en-US"/>
        </w:rPr>
        <w:t>, 93.</w:t>
      </w:r>
    </w:p>
  </w:footnote>
  <w:footnote w:id="230">
    <w:p w14:paraId="2EA36CC3" w14:textId="43D80498" w:rsidR="00EE78D8" w:rsidRPr="00362296" w:rsidRDefault="00EE78D8">
      <w:pPr>
        <w:pStyle w:val="FootnoteText"/>
        <w:rPr>
          <w:lang w:val="en-US"/>
        </w:rPr>
      </w:pPr>
      <w:r>
        <w:rPr>
          <w:rStyle w:val="FootnoteReference"/>
        </w:rPr>
        <w:footnoteRef/>
      </w:r>
      <w:r>
        <w:tab/>
        <w:t>NSWLRC</w:t>
      </w:r>
      <w:r>
        <w:rPr>
          <w:lang w:val="en-US"/>
        </w:rPr>
        <w:t xml:space="preserve">,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w:t>
      </w:r>
      <w:r>
        <w:t xml:space="preserve"> </w:t>
      </w:r>
      <w:r>
        <w:rPr>
          <w:lang w:val="en-US"/>
        </w:rPr>
        <w:t>37.</w:t>
      </w:r>
    </w:p>
  </w:footnote>
  <w:footnote w:id="231">
    <w:p w14:paraId="5623D7D2" w14:textId="7D9AE4ED" w:rsidR="00EE78D8" w:rsidRPr="008403AE"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81.</w:t>
      </w:r>
    </w:p>
  </w:footnote>
  <w:footnote w:id="232">
    <w:p w14:paraId="4B39AE8D" w14:textId="2735F3ED" w:rsidR="00EE78D8" w:rsidRPr="005A61FF" w:rsidRDefault="00EE78D8">
      <w:pPr>
        <w:pStyle w:val="FootnoteText"/>
        <w:rPr>
          <w:lang w:val="en-US"/>
        </w:rPr>
      </w:pPr>
      <w:r>
        <w:rPr>
          <w:rStyle w:val="FootnoteReference"/>
        </w:rPr>
        <w:footnoteRef/>
      </w:r>
      <w:r>
        <w:tab/>
        <w:t>Ibid 81–82.</w:t>
      </w:r>
    </w:p>
  </w:footnote>
  <w:footnote w:id="233">
    <w:p w14:paraId="6ED0CA67" w14:textId="446F51A6" w:rsidR="00EE78D8" w:rsidRPr="00AD110E" w:rsidRDefault="00EE78D8" w:rsidP="001867E2">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xml:space="preserve">, 81. It is noted that a new provision that created a test for determining whether an accused was fit to plead guilty to a charge was adopted in the </w:t>
      </w:r>
      <w:r>
        <w:rPr>
          <w:i/>
          <w:lang w:val="en-US"/>
        </w:rPr>
        <w:t xml:space="preserve">Crimes (Mental Impairment and Unfitness to be Tried) Amendment Bill 2016 </w:t>
      </w:r>
      <w:r>
        <w:rPr>
          <w:lang w:val="en-US"/>
        </w:rPr>
        <w:t>(Vic) cl 8. This legislation has not been passed by the Victorian Parliament.</w:t>
      </w:r>
    </w:p>
  </w:footnote>
  <w:footnote w:id="234">
    <w:p w14:paraId="5BEC5874" w14:textId="1DB8C278" w:rsidR="00EE78D8" w:rsidRPr="005A61FF" w:rsidRDefault="00EE78D8">
      <w:pPr>
        <w:pStyle w:val="FootnoteText"/>
        <w:rPr>
          <w:lang w:val="en-US"/>
        </w:rPr>
      </w:pPr>
      <w:r>
        <w:rPr>
          <w:rStyle w:val="FootnoteReference"/>
        </w:rPr>
        <w:footnoteRef/>
      </w:r>
      <w:r>
        <w:tab/>
      </w:r>
      <w:r>
        <w:rPr>
          <w:lang w:val="en-US"/>
        </w:rPr>
        <w:t>See [4.4.9].</w:t>
      </w:r>
    </w:p>
  </w:footnote>
  <w:footnote w:id="235">
    <w:p w14:paraId="60B98285" w14:textId="17CFD145" w:rsidR="00EE78D8" w:rsidRPr="00834F0F" w:rsidRDefault="00EE78D8" w:rsidP="006203D1">
      <w:pPr>
        <w:pStyle w:val="FootnoteText"/>
        <w:rPr>
          <w:lang w:val="en-US"/>
        </w:rPr>
      </w:pPr>
      <w:r>
        <w:rPr>
          <w:rStyle w:val="FootnoteReference"/>
        </w:rPr>
        <w:footnoteRef/>
      </w:r>
      <w:r>
        <w:tab/>
      </w:r>
      <w:r>
        <w:rPr>
          <w:lang w:val="en-US"/>
        </w:rPr>
        <w:t>See [2.2.2]–[2.2.3].</w:t>
      </w:r>
    </w:p>
  </w:footnote>
  <w:footnote w:id="236">
    <w:p w14:paraId="26022962" w14:textId="778E7822" w:rsidR="00EE78D8" w:rsidRPr="006A3070" w:rsidRDefault="00EE78D8">
      <w:pPr>
        <w:pStyle w:val="FootnoteText"/>
        <w:rPr>
          <w:lang w:val="en-US"/>
        </w:rPr>
      </w:pPr>
      <w:r>
        <w:rPr>
          <w:rStyle w:val="FootnoteReference"/>
        </w:rPr>
        <w:footnoteRef/>
      </w:r>
      <w:r>
        <w:tab/>
      </w:r>
      <w:r w:rsidRPr="00A16AAC">
        <w:rPr>
          <w:i/>
        </w:rPr>
        <w:t>Criminal Justice Mental Impairment Act 1999</w:t>
      </w:r>
      <w:r>
        <w:rPr>
          <w:i/>
          <w:lang w:val="en-US"/>
        </w:rPr>
        <w:t xml:space="preserve"> </w:t>
      </w:r>
      <w:r>
        <w:rPr>
          <w:lang w:val="en-US"/>
        </w:rPr>
        <w:t>(Tas) s 9.</w:t>
      </w:r>
    </w:p>
  </w:footnote>
  <w:footnote w:id="237">
    <w:p w14:paraId="2559BF4D" w14:textId="62E4EE1D" w:rsidR="00EE78D8" w:rsidRPr="006A3070" w:rsidRDefault="00EE78D8">
      <w:pPr>
        <w:pStyle w:val="FootnoteText"/>
        <w:rPr>
          <w:lang w:val="en-US"/>
        </w:rPr>
      </w:pPr>
      <w:r>
        <w:rPr>
          <w:rStyle w:val="FootnoteReference"/>
        </w:rPr>
        <w:footnoteRef/>
      </w:r>
      <w:r>
        <w:tab/>
        <w:t xml:space="preserve">Ibid </w:t>
      </w:r>
      <w:r>
        <w:rPr>
          <w:lang w:val="en-US"/>
        </w:rPr>
        <w:t>s 10.</w:t>
      </w:r>
    </w:p>
  </w:footnote>
  <w:footnote w:id="238">
    <w:p w14:paraId="6A71CC21" w14:textId="0B7FBFEE" w:rsidR="00EE78D8" w:rsidRPr="006A3070" w:rsidRDefault="00EE78D8" w:rsidP="00D8320E">
      <w:pPr>
        <w:pStyle w:val="FootnoteText"/>
        <w:rPr>
          <w:lang w:val="en-US"/>
        </w:rPr>
      </w:pPr>
      <w:r>
        <w:rPr>
          <w:rStyle w:val="FootnoteReference"/>
        </w:rPr>
        <w:footnoteRef/>
      </w:r>
      <w:r>
        <w:tab/>
        <w:t>Ibid s 10(5).</w:t>
      </w:r>
    </w:p>
  </w:footnote>
  <w:footnote w:id="239">
    <w:p w14:paraId="53153A23" w14:textId="2C0B9774" w:rsidR="00EE78D8" w:rsidRPr="00D8320E" w:rsidRDefault="00EE78D8">
      <w:pPr>
        <w:pStyle w:val="FootnoteText"/>
        <w:rPr>
          <w:lang w:val="en-US"/>
        </w:rPr>
      </w:pPr>
      <w:r>
        <w:rPr>
          <w:rStyle w:val="FootnoteReference"/>
        </w:rPr>
        <w:footnoteRef/>
      </w:r>
      <w:r>
        <w:tab/>
      </w:r>
      <w:r>
        <w:rPr>
          <w:i/>
          <w:lang w:val="en-US"/>
        </w:rPr>
        <w:t xml:space="preserve">Heapes v The Queen </w:t>
      </w:r>
      <w:r>
        <w:rPr>
          <w:lang w:val="en-US"/>
        </w:rPr>
        <w:t xml:space="preserve">[2000] TASSC 77, [17] (Evans J) citing </w:t>
      </w:r>
      <w:r>
        <w:rPr>
          <w:i/>
          <w:lang w:val="en-US"/>
        </w:rPr>
        <w:t xml:space="preserve">Kesavarajah v R </w:t>
      </w:r>
      <w:r>
        <w:rPr>
          <w:lang w:val="en-US"/>
        </w:rPr>
        <w:t xml:space="preserve">(1994) 181 CLR 230, 245 and </w:t>
      </w:r>
      <w:r>
        <w:rPr>
          <w:i/>
          <w:lang w:val="en-US"/>
        </w:rPr>
        <w:t xml:space="preserve">R v Enright </w:t>
      </w:r>
      <w:r>
        <w:rPr>
          <w:lang w:val="en-US"/>
        </w:rPr>
        <w:t>[19990] 1 Qd R 563.</w:t>
      </w:r>
    </w:p>
  </w:footnote>
  <w:footnote w:id="240">
    <w:p w14:paraId="1EDD8697" w14:textId="75244B85" w:rsidR="00EE78D8" w:rsidRPr="0009156C" w:rsidRDefault="00EE78D8">
      <w:pPr>
        <w:pStyle w:val="FootnoteText"/>
        <w:rPr>
          <w:lang w:val="en-US"/>
        </w:rPr>
      </w:pPr>
      <w:r>
        <w:rPr>
          <w:rStyle w:val="FootnoteReference"/>
        </w:rPr>
        <w:footnoteRef/>
      </w:r>
      <w:r>
        <w:tab/>
      </w:r>
      <w:r w:rsidRPr="00A16AAC">
        <w:rPr>
          <w:i/>
        </w:rPr>
        <w:t>Criminal Justice Mental Impairment Act 1999</w:t>
      </w:r>
      <w:r>
        <w:rPr>
          <w:i/>
          <w:lang w:val="en-US"/>
        </w:rPr>
        <w:t xml:space="preserve"> </w:t>
      </w:r>
      <w:r>
        <w:rPr>
          <w:lang w:val="en-US"/>
        </w:rPr>
        <w:t>(Tas) s 5.</w:t>
      </w:r>
    </w:p>
  </w:footnote>
  <w:footnote w:id="241">
    <w:p w14:paraId="65F26713" w14:textId="0F7C28F3" w:rsidR="00EE78D8" w:rsidRPr="0009156C" w:rsidRDefault="00EE78D8">
      <w:pPr>
        <w:pStyle w:val="FootnoteText"/>
        <w:rPr>
          <w:lang w:val="en-US"/>
        </w:rPr>
      </w:pPr>
      <w:r>
        <w:rPr>
          <w:rStyle w:val="FootnoteReference"/>
        </w:rPr>
        <w:footnoteRef/>
      </w:r>
      <w:r>
        <w:tab/>
        <w:t xml:space="preserve">Ibid </w:t>
      </w:r>
      <w:r>
        <w:rPr>
          <w:lang w:val="en-US"/>
        </w:rPr>
        <w:t>s 12.</w:t>
      </w:r>
    </w:p>
  </w:footnote>
  <w:footnote w:id="242">
    <w:p w14:paraId="061CD6AB" w14:textId="64DBBCE0" w:rsidR="00EE78D8" w:rsidRPr="0009156C" w:rsidRDefault="00EE78D8">
      <w:pPr>
        <w:pStyle w:val="FootnoteText"/>
        <w:rPr>
          <w:lang w:val="en-US"/>
        </w:rPr>
      </w:pPr>
      <w:r>
        <w:rPr>
          <w:rStyle w:val="FootnoteReference"/>
        </w:rPr>
        <w:footnoteRef/>
      </w:r>
      <w:r>
        <w:tab/>
        <w:t xml:space="preserve">Ibid </w:t>
      </w:r>
      <w:r>
        <w:rPr>
          <w:lang w:val="en-US"/>
        </w:rPr>
        <w:t xml:space="preserve">s 19; </w:t>
      </w:r>
      <w:r>
        <w:rPr>
          <w:i/>
          <w:lang w:val="en-US"/>
        </w:rPr>
        <w:t xml:space="preserve">Tasmania v Drake </w:t>
      </w:r>
      <w:r>
        <w:rPr>
          <w:lang w:val="en-US"/>
        </w:rPr>
        <w:t>[2006] TASSC 21.</w:t>
      </w:r>
    </w:p>
  </w:footnote>
  <w:footnote w:id="243">
    <w:p w14:paraId="2A99A73D" w14:textId="38261080" w:rsidR="00EE78D8" w:rsidRPr="00FC197D" w:rsidRDefault="00EE78D8">
      <w:pPr>
        <w:pStyle w:val="FootnoteText"/>
        <w:rPr>
          <w:lang w:val="en-US"/>
        </w:rPr>
      </w:pPr>
      <w:r>
        <w:rPr>
          <w:rStyle w:val="FootnoteReference"/>
        </w:rPr>
        <w:footnoteRef/>
      </w:r>
      <w:r>
        <w:tab/>
      </w:r>
      <w:r w:rsidRPr="00A16AAC">
        <w:rPr>
          <w:i/>
        </w:rPr>
        <w:t>Criminal Justice Mental Impairment Act 1999</w:t>
      </w:r>
      <w:r>
        <w:rPr>
          <w:i/>
          <w:lang w:val="en-US"/>
        </w:rPr>
        <w:t xml:space="preserve"> </w:t>
      </w:r>
      <w:r>
        <w:rPr>
          <w:lang w:val="en-US"/>
        </w:rPr>
        <w:t>(Tas) s 11</w:t>
      </w:r>
      <w:r>
        <w:t>.</w:t>
      </w:r>
    </w:p>
  </w:footnote>
  <w:footnote w:id="244">
    <w:p w14:paraId="0B248A84" w14:textId="295A6042" w:rsidR="00EE78D8" w:rsidRPr="00EC22FC" w:rsidRDefault="00EE78D8">
      <w:pPr>
        <w:pStyle w:val="FootnoteText"/>
        <w:rPr>
          <w:lang w:val="en-US"/>
        </w:rPr>
      </w:pPr>
      <w:r>
        <w:rPr>
          <w:rStyle w:val="FootnoteReference"/>
        </w:rPr>
        <w:footnoteRef/>
      </w:r>
      <w:r>
        <w:tab/>
        <w:t xml:space="preserve">Ibid </w:t>
      </w:r>
      <w:r>
        <w:rPr>
          <w:lang w:val="en-US"/>
        </w:rPr>
        <w:t>s 14.</w:t>
      </w:r>
    </w:p>
  </w:footnote>
  <w:footnote w:id="245">
    <w:p w14:paraId="2A976453" w14:textId="5F6F7D8A" w:rsidR="00EE78D8" w:rsidRPr="00D177D7" w:rsidRDefault="00EE78D8">
      <w:pPr>
        <w:pStyle w:val="FootnoteText"/>
        <w:rPr>
          <w:lang w:val="en-US"/>
        </w:rPr>
      </w:pPr>
      <w:r>
        <w:rPr>
          <w:rStyle w:val="FootnoteReference"/>
        </w:rPr>
        <w:footnoteRef/>
      </w:r>
      <w:r>
        <w:rPr>
          <w:lang w:val="en-US"/>
        </w:rPr>
        <w:tab/>
        <w:t>Ibid s 12(4).</w:t>
      </w:r>
    </w:p>
  </w:footnote>
  <w:footnote w:id="246">
    <w:p w14:paraId="6FB42180" w14:textId="0B680414" w:rsidR="00EE78D8" w:rsidRPr="00EA6CA9" w:rsidRDefault="00EE78D8">
      <w:pPr>
        <w:pStyle w:val="FootnoteText"/>
        <w:rPr>
          <w:lang w:val="en-US"/>
        </w:rPr>
      </w:pPr>
      <w:r>
        <w:rPr>
          <w:rStyle w:val="FootnoteReference"/>
        </w:rPr>
        <w:footnoteRef/>
      </w:r>
      <w:r>
        <w:tab/>
      </w:r>
      <w:r w:rsidRPr="00EA6CA9">
        <w:rPr>
          <w:i/>
          <w:lang w:val="en-US"/>
        </w:rPr>
        <w:t>Tasmania v Bosworth</w:t>
      </w:r>
      <w:r>
        <w:rPr>
          <w:lang w:val="en-US"/>
        </w:rPr>
        <w:t xml:space="preserve"> </w:t>
      </w:r>
      <w:r w:rsidRPr="00EA6CA9">
        <w:rPr>
          <w:lang w:val="en-US"/>
        </w:rPr>
        <w:t>(2005) 13 Tas SR 457</w:t>
      </w:r>
      <w:r>
        <w:rPr>
          <w:lang w:val="en-US"/>
        </w:rPr>
        <w:t>, [14] (Crawford J).</w:t>
      </w:r>
    </w:p>
  </w:footnote>
  <w:footnote w:id="247">
    <w:p w14:paraId="7B871485" w14:textId="624AA8CE" w:rsidR="00EE78D8" w:rsidRPr="00960BDC" w:rsidRDefault="00EE78D8">
      <w:pPr>
        <w:pStyle w:val="FootnoteText"/>
        <w:rPr>
          <w:lang w:val="en-US"/>
        </w:rPr>
      </w:pPr>
      <w:r>
        <w:rPr>
          <w:rStyle w:val="FootnoteReference"/>
        </w:rPr>
        <w:footnoteRef/>
      </w:r>
      <w:r>
        <w:tab/>
      </w:r>
      <w:r w:rsidRPr="00A16AAC">
        <w:rPr>
          <w:i/>
        </w:rPr>
        <w:t>Criminal Justice Mental Impairment Act 1999</w:t>
      </w:r>
      <w:r>
        <w:rPr>
          <w:i/>
          <w:lang w:val="en-US"/>
        </w:rPr>
        <w:t xml:space="preserve"> </w:t>
      </w:r>
      <w:r>
        <w:rPr>
          <w:lang w:val="en-US"/>
        </w:rPr>
        <w:t>(Tas) s 14(3).</w:t>
      </w:r>
    </w:p>
  </w:footnote>
  <w:footnote w:id="248">
    <w:p w14:paraId="5889A582" w14:textId="154EF4B8" w:rsidR="00EE78D8" w:rsidRPr="005C010B" w:rsidRDefault="00EE78D8">
      <w:pPr>
        <w:pStyle w:val="FootnoteText"/>
        <w:rPr>
          <w:lang w:val="en-US"/>
        </w:rPr>
      </w:pPr>
      <w:r>
        <w:rPr>
          <w:rStyle w:val="FootnoteReference"/>
        </w:rPr>
        <w:footnoteRef/>
      </w:r>
      <w:r>
        <w:tab/>
        <w:t>Ibid s 15(1). The requirements for a special hearing are discussed in detail in Part 6.</w:t>
      </w:r>
    </w:p>
  </w:footnote>
  <w:footnote w:id="249">
    <w:p w14:paraId="63DBCD7C" w14:textId="6D2E8A3D" w:rsidR="00EE78D8" w:rsidRPr="001A715E" w:rsidRDefault="00EE78D8" w:rsidP="00794DD8">
      <w:pPr>
        <w:pStyle w:val="FootnoteText"/>
        <w:rPr>
          <w:lang w:val="en-US"/>
        </w:rPr>
      </w:pPr>
      <w:r>
        <w:rPr>
          <w:rStyle w:val="FootnoteReference"/>
        </w:rPr>
        <w:footnoteRef/>
      </w:r>
      <w:r>
        <w:tab/>
        <w:t xml:space="preserve">VLRC, above n </w:t>
      </w:r>
      <w:r>
        <w:fldChar w:fldCharType="begin"/>
      </w:r>
      <w:r>
        <w:instrText xml:space="preserve"> NOTEREF _Ref534978514 \h </w:instrText>
      </w:r>
      <w:r>
        <w:fldChar w:fldCharType="separate"/>
      </w:r>
      <w:r w:rsidR="001F209C">
        <w:t>24</w:t>
      </w:r>
      <w:r>
        <w:fldChar w:fldCharType="end"/>
      </w:r>
      <w:r>
        <w:t xml:space="preserve">, 230 fn 32; </w:t>
      </w:r>
      <w:r>
        <w:rPr>
          <w:i/>
        </w:rPr>
        <w:t xml:space="preserve">Criminal Code </w:t>
      </w:r>
      <w:r>
        <w:t xml:space="preserve">(NT) s 43L; </w:t>
      </w:r>
      <w:r>
        <w:rPr>
          <w:i/>
        </w:rPr>
        <w:t xml:space="preserve">Crimes (Mental Impairment and Unfitness to be Tried) Act 1997 </w:t>
      </w:r>
      <w:r>
        <w:t xml:space="preserve">(Vic) s 11. It is noted that </w:t>
      </w:r>
      <w:r>
        <w:rPr>
          <w:lang w:val="en-US"/>
        </w:rPr>
        <w:t xml:space="preserve">the </w:t>
      </w:r>
      <w:r>
        <w:rPr>
          <w:i/>
          <w:lang w:val="en-US"/>
        </w:rPr>
        <w:t xml:space="preserve">Crimes (Mental Impairment and Unfitness to be Tried) Amendment Bill 2016 </w:t>
      </w:r>
      <w:r>
        <w:rPr>
          <w:lang w:val="en-US"/>
        </w:rPr>
        <w:t>(Vic) cl 9 provides that responsibility for determining fitness to stand trial is to be decided by a  judge (and not the jury). This legislation has not been passed by the Victorian Parliament.</w:t>
      </w:r>
    </w:p>
  </w:footnote>
  <w:footnote w:id="250">
    <w:p w14:paraId="0F001F2C" w14:textId="422D261C" w:rsidR="00EE78D8" w:rsidRPr="0004261F" w:rsidRDefault="00EE78D8" w:rsidP="006B59D1">
      <w:pPr>
        <w:pStyle w:val="FootnoteText"/>
        <w:rPr>
          <w:lang w:val="en-US"/>
        </w:rPr>
      </w:pPr>
      <w:r>
        <w:rPr>
          <w:rStyle w:val="FootnoteReference"/>
        </w:rPr>
        <w:footnoteRef/>
      </w:r>
      <w:r>
        <w:tab/>
      </w:r>
      <w:r>
        <w:rPr>
          <w:lang w:val="en-US"/>
        </w:rPr>
        <w:t>VLRC</w:t>
      </w:r>
      <w:r>
        <w:t xml:space="preserve">, above n </w:t>
      </w:r>
      <w:r>
        <w:fldChar w:fldCharType="begin"/>
      </w:r>
      <w:r>
        <w:instrText xml:space="preserve"> NOTEREF _Ref534978514 \h </w:instrText>
      </w:r>
      <w:r>
        <w:fldChar w:fldCharType="separate"/>
      </w:r>
      <w:r w:rsidR="001F209C">
        <w:t>24</w:t>
      </w:r>
      <w:r>
        <w:fldChar w:fldCharType="end"/>
      </w:r>
      <w:r>
        <w:t>,</w:t>
      </w:r>
      <w:r>
        <w:rPr>
          <w:lang w:val="en-US"/>
        </w:rPr>
        <w:t xml:space="preserve"> 230 fn 32.</w:t>
      </w:r>
    </w:p>
  </w:footnote>
  <w:footnote w:id="251">
    <w:p w14:paraId="12B8A611" w14:textId="590AFFAC" w:rsidR="00EE78D8" w:rsidRPr="00A111A1" w:rsidRDefault="00EE78D8" w:rsidP="006B59D1">
      <w:pPr>
        <w:pStyle w:val="FootnoteText"/>
        <w:rPr>
          <w:lang w:val="en-US"/>
        </w:rPr>
      </w:pPr>
      <w:r>
        <w:rPr>
          <w:rStyle w:val="FootnoteReference"/>
        </w:rPr>
        <w:footnoteRef/>
      </w:r>
      <w:r>
        <w:tab/>
      </w:r>
      <w:r>
        <w:rPr>
          <w:i/>
          <w:lang w:val="en-US"/>
        </w:rPr>
        <w:t xml:space="preserve">Criminal Law Consolidation Act 1935 </w:t>
      </w:r>
      <w:r>
        <w:rPr>
          <w:lang w:val="en-US"/>
        </w:rPr>
        <w:t>(SA) s 269B.</w:t>
      </w:r>
    </w:p>
  </w:footnote>
  <w:footnote w:id="252">
    <w:p w14:paraId="52A2FC29" w14:textId="06A90A78" w:rsidR="00EE78D8" w:rsidRPr="00E32A28" w:rsidRDefault="00EE78D8">
      <w:pPr>
        <w:pStyle w:val="FootnoteText"/>
        <w:rPr>
          <w:lang w:val="en-US"/>
        </w:rPr>
      </w:pPr>
      <w:r>
        <w:rPr>
          <w:rStyle w:val="FootnoteReference"/>
        </w:rPr>
        <w:footnoteRef/>
      </w:r>
      <w:r>
        <w:tab/>
      </w:r>
      <w:r>
        <w:rPr>
          <w:i/>
        </w:rPr>
        <w:t xml:space="preserve">Mental Health (Forensic Provisions) Act 1990 </w:t>
      </w:r>
      <w:r>
        <w:t xml:space="preserve">(NSW) s 9; </w:t>
      </w:r>
      <w:r>
        <w:rPr>
          <w:i/>
        </w:rPr>
        <w:t>Criminal Law (Mentally Impaired Accused) Act 1996</w:t>
      </w:r>
      <w:r>
        <w:t xml:space="preserve"> (WA) s 12; </w:t>
      </w:r>
      <w:r>
        <w:rPr>
          <w:i/>
        </w:rPr>
        <w:t xml:space="preserve">Crimes Act 1900 </w:t>
      </w:r>
      <w:r>
        <w:t xml:space="preserve">(ACT) s 314; </w:t>
      </w:r>
      <w:r>
        <w:rPr>
          <w:i/>
        </w:rPr>
        <w:t xml:space="preserve">Crimes Act 1914 </w:t>
      </w:r>
      <w:r>
        <w:t>(Cth) s 20B(2).</w:t>
      </w:r>
    </w:p>
  </w:footnote>
  <w:footnote w:id="253">
    <w:p w14:paraId="57C3ED6A" w14:textId="468437A8" w:rsidR="00EE78D8" w:rsidRPr="00730FDC" w:rsidRDefault="00EE78D8">
      <w:pPr>
        <w:pStyle w:val="FootnoteText"/>
        <w:rPr>
          <w:lang w:val="en-US"/>
        </w:rPr>
      </w:pPr>
      <w:r>
        <w:rPr>
          <w:rStyle w:val="FootnoteReference"/>
        </w:rPr>
        <w:footnoteRef/>
      </w:r>
      <w:r>
        <w:tab/>
      </w:r>
      <w:r>
        <w:rPr>
          <w:i/>
        </w:rPr>
        <w:t xml:space="preserve">Criminal Procedure (Insanity) Act 1964 </w:t>
      </w:r>
      <w:r>
        <w:t>(UK) s 4(5).</w:t>
      </w:r>
    </w:p>
  </w:footnote>
  <w:footnote w:id="254">
    <w:p w14:paraId="2557DC75" w14:textId="04DDE35B" w:rsidR="00EE78D8" w:rsidRPr="002D6061" w:rsidRDefault="00EE78D8">
      <w:pPr>
        <w:pStyle w:val="FootnoteText"/>
        <w:rPr>
          <w:lang w:val="en-US"/>
        </w:rPr>
      </w:pPr>
      <w:r>
        <w:rPr>
          <w:rStyle w:val="FootnoteReference"/>
        </w:rPr>
        <w:footnoteRef/>
      </w:r>
      <w:r>
        <w:tab/>
      </w:r>
      <w:r>
        <w:rPr>
          <w:lang w:val="en-US"/>
        </w:rPr>
        <w:t xml:space="preserve">It is noted that the procedure under the </w:t>
      </w:r>
      <w:r>
        <w:rPr>
          <w:i/>
          <w:lang w:val="en-US"/>
        </w:rPr>
        <w:t xml:space="preserve">Criminal Code </w:t>
      </w:r>
      <w:r>
        <w:rPr>
          <w:lang w:val="en-US"/>
        </w:rPr>
        <w:t xml:space="preserve">(Qld) has fallen into disuse, and fitness to stand trial is routinely dealt with by the </w:t>
      </w:r>
      <w:r w:rsidRPr="00993FE2">
        <w:rPr>
          <w:lang w:val="en-US"/>
        </w:rPr>
        <w:t xml:space="preserve">Mental Health Commission </w:t>
      </w:r>
      <w:r>
        <w:rPr>
          <w:lang w:val="en-US"/>
        </w:rPr>
        <w:t xml:space="preserve">(MHC), J O’Leary, S O’Toole and B Watt, ‘Exploring Juvenile Fitness for Trial in Queensland’ (2013) 20 </w:t>
      </w:r>
      <w:r>
        <w:rPr>
          <w:i/>
          <w:lang w:val="en-US"/>
        </w:rPr>
        <w:t xml:space="preserve">Psychiatry, Psychology and Law </w:t>
      </w:r>
      <w:r>
        <w:rPr>
          <w:lang w:val="en-US"/>
        </w:rPr>
        <w:t>853, 854.</w:t>
      </w:r>
    </w:p>
  </w:footnote>
  <w:footnote w:id="255">
    <w:p w14:paraId="75B5C27C" w14:textId="7FB9E75C" w:rsidR="00EE78D8" w:rsidRPr="00705B17" w:rsidRDefault="00EE78D8" w:rsidP="00357F66">
      <w:pPr>
        <w:pStyle w:val="FootnoteText"/>
        <w:rPr>
          <w:lang w:val="en-US"/>
        </w:rPr>
      </w:pPr>
      <w:r>
        <w:rPr>
          <w:rStyle w:val="FootnoteReference"/>
        </w:rPr>
        <w:footnoteRef/>
      </w:r>
      <w:r>
        <w:tab/>
      </w:r>
      <w:r>
        <w:rPr>
          <w:i/>
          <w:lang w:val="en-US"/>
        </w:rPr>
        <w:t xml:space="preserve">Crimes Act 1900 </w:t>
      </w:r>
      <w:r>
        <w:rPr>
          <w:lang w:val="en-US"/>
        </w:rPr>
        <w:t xml:space="preserve">(ACT) s 310; </w:t>
      </w:r>
      <w:r>
        <w:rPr>
          <w:i/>
          <w:lang w:val="en-US"/>
        </w:rPr>
        <w:t xml:space="preserve">Criminal Law (Mentally Impaired Accused) Act 1996 </w:t>
      </w:r>
      <w:r>
        <w:rPr>
          <w:lang w:val="en-US"/>
        </w:rPr>
        <w:t xml:space="preserve">(WA) s 11; </w:t>
      </w:r>
      <w:r>
        <w:rPr>
          <w:i/>
          <w:lang w:val="en-US"/>
        </w:rPr>
        <w:t xml:space="preserve">Criminal Law Consolidation Act 1935 </w:t>
      </w:r>
      <w:r>
        <w:rPr>
          <w:lang w:val="en-US"/>
        </w:rPr>
        <w:t>(SA).</w:t>
      </w:r>
    </w:p>
  </w:footnote>
  <w:footnote w:id="256">
    <w:p w14:paraId="0664E4C5" w14:textId="7DAAA2B1" w:rsidR="00EE78D8" w:rsidRPr="00672689" w:rsidRDefault="00EE78D8" w:rsidP="00672689">
      <w:pPr>
        <w:pStyle w:val="FootnoteText"/>
        <w:rPr>
          <w:lang w:val="en-US"/>
        </w:rPr>
      </w:pPr>
      <w:r>
        <w:rPr>
          <w:rStyle w:val="FootnoteReference"/>
        </w:rPr>
        <w:footnoteRef/>
      </w:r>
      <w:r>
        <w:rPr>
          <w:i/>
          <w:lang w:val="en-US"/>
        </w:rPr>
        <w:tab/>
        <w:t xml:space="preserve">Crimes Act 1900 </w:t>
      </w:r>
      <w:r>
        <w:rPr>
          <w:lang w:val="en-US"/>
        </w:rPr>
        <w:t>(ACT) s 315.</w:t>
      </w:r>
    </w:p>
  </w:footnote>
  <w:footnote w:id="257">
    <w:p w14:paraId="1DEBCB6A" w14:textId="19AA77BE" w:rsidR="00EE78D8" w:rsidRPr="00DB0731" w:rsidRDefault="00EE78D8">
      <w:pPr>
        <w:pStyle w:val="FootnoteText"/>
        <w:rPr>
          <w:lang w:val="en-US"/>
        </w:rPr>
      </w:pPr>
      <w:r>
        <w:rPr>
          <w:rStyle w:val="FootnoteReference"/>
        </w:rPr>
        <w:footnoteRef/>
      </w:r>
      <w:r>
        <w:tab/>
      </w:r>
      <w:r>
        <w:rPr>
          <w:lang w:val="en-US"/>
        </w:rPr>
        <w:t xml:space="preserve">See VLRC, above n </w:t>
      </w:r>
      <w:r>
        <w:rPr>
          <w:lang w:val="en-US"/>
        </w:rPr>
        <w:fldChar w:fldCharType="begin"/>
      </w:r>
      <w:r>
        <w:rPr>
          <w:lang w:val="en-US"/>
        </w:rPr>
        <w:instrText xml:space="preserve"> NOTEREF _Ref534979326 \h </w:instrText>
      </w:r>
      <w:r>
        <w:rPr>
          <w:lang w:val="en-US"/>
        </w:rPr>
      </w:r>
      <w:r>
        <w:rPr>
          <w:lang w:val="en-US"/>
        </w:rPr>
        <w:fldChar w:fldCharType="separate"/>
      </w:r>
      <w:r w:rsidR="001F209C">
        <w:rPr>
          <w:lang w:val="en-US"/>
        </w:rPr>
        <w:t>26</w:t>
      </w:r>
      <w:r>
        <w:rPr>
          <w:lang w:val="en-US"/>
        </w:rPr>
        <w:fldChar w:fldCharType="end"/>
      </w:r>
      <w:r>
        <w:rPr>
          <w:lang w:val="en-US"/>
        </w:rPr>
        <w:t>, 121.</w:t>
      </w:r>
    </w:p>
  </w:footnote>
  <w:footnote w:id="258">
    <w:p w14:paraId="48EF2E81" w14:textId="617FF1F4" w:rsidR="00EE78D8" w:rsidRPr="006203D1" w:rsidRDefault="00EE78D8">
      <w:pPr>
        <w:pStyle w:val="FootnoteText"/>
        <w:rPr>
          <w:lang w:val="en-US"/>
        </w:rPr>
      </w:pPr>
      <w:r>
        <w:rPr>
          <w:rStyle w:val="FootnoteReference"/>
        </w:rPr>
        <w:footnoteRef/>
      </w:r>
      <w:r>
        <w:tab/>
      </w:r>
      <w:r w:rsidRPr="00B70268">
        <w:rPr>
          <w:lang w:val="en-US"/>
        </w:rPr>
        <w:t>V</w:t>
      </w:r>
      <w:r>
        <w:rPr>
          <w:lang w:val="en-US"/>
        </w:rPr>
        <w:t>LRC</w:t>
      </w:r>
      <w:r w:rsidRPr="00B70268">
        <w:rPr>
          <w:lang w:val="en-US"/>
        </w:rPr>
        <w:t xml:space="preserve">, </w:t>
      </w:r>
      <w:r w:rsidRPr="00B70268">
        <w:t xml:space="preserve">above n </w:t>
      </w:r>
      <w:r w:rsidRPr="00B70268">
        <w:fldChar w:fldCharType="begin"/>
      </w:r>
      <w:r w:rsidRPr="00B70268">
        <w:instrText xml:space="preserve"> NOTEREF _Ref534978514 \h </w:instrText>
      </w:r>
      <w:r>
        <w:instrText xml:space="preserve"> \* MERGEFORMAT </w:instrText>
      </w:r>
      <w:r w:rsidRPr="00B70268">
        <w:fldChar w:fldCharType="separate"/>
      </w:r>
      <w:r w:rsidR="001F209C">
        <w:t>24</w:t>
      </w:r>
      <w:r w:rsidRPr="00B70268">
        <w:fldChar w:fldCharType="end"/>
      </w:r>
      <w:r w:rsidRPr="00B70268">
        <w:rPr>
          <w:lang w:val="en-US"/>
        </w:rPr>
        <w:t>, 128.</w:t>
      </w:r>
    </w:p>
  </w:footnote>
  <w:footnote w:id="259">
    <w:p w14:paraId="41FDE2CF" w14:textId="1890423F" w:rsidR="00EE78D8" w:rsidRPr="00791D5F" w:rsidRDefault="00EE78D8">
      <w:pPr>
        <w:pStyle w:val="FootnoteText"/>
        <w:rPr>
          <w:lang w:val="en-US"/>
        </w:rPr>
      </w:pPr>
      <w:r>
        <w:rPr>
          <w:rStyle w:val="FootnoteReference"/>
        </w:rPr>
        <w:footnoteRef/>
      </w:r>
      <w:r>
        <w:tab/>
      </w:r>
      <w:r>
        <w:rPr>
          <w:lang w:val="en-US"/>
        </w:rPr>
        <w:t>Ibid Recommendation 27, 136.</w:t>
      </w:r>
    </w:p>
  </w:footnote>
  <w:footnote w:id="260">
    <w:p w14:paraId="40DF641E" w14:textId="714A1C69" w:rsidR="00EE78D8" w:rsidRPr="00AE5892" w:rsidRDefault="00EE78D8">
      <w:pPr>
        <w:pStyle w:val="FootnoteText"/>
        <w:rPr>
          <w:lang w:val="en-US"/>
        </w:rPr>
      </w:pPr>
      <w:r>
        <w:rPr>
          <w:rStyle w:val="FootnoteReference"/>
        </w:rPr>
        <w:footnoteRef/>
      </w:r>
      <w:r>
        <w:tab/>
      </w:r>
      <w:r>
        <w:rPr>
          <w:lang w:val="en-US"/>
        </w:rPr>
        <w:t>Ibid Recommendation 28.</w:t>
      </w:r>
    </w:p>
  </w:footnote>
  <w:footnote w:id="261">
    <w:p w14:paraId="5DF2FBA5" w14:textId="236C58A4" w:rsidR="00EE78D8" w:rsidRPr="000062B9" w:rsidRDefault="00EE78D8" w:rsidP="00406B4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_Ref534979326 \h </w:instrText>
      </w:r>
      <w:r>
        <w:rPr>
          <w:lang w:val="en-US"/>
        </w:rPr>
      </w:r>
      <w:r>
        <w:rPr>
          <w:lang w:val="en-US"/>
        </w:rPr>
        <w:fldChar w:fldCharType="separate"/>
      </w:r>
      <w:r w:rsidR="001F209C">
        <w:rPr>
          <w:lang w:val="en-US"/>
        </w:rPr>
        <w:t>26</w:t>
      </w:r>
      <w:r>
        <w:rPr>
          <w:lang w:val="en-US"/>
        </w:rPr>
        <w:fldChar w:fldCharType="end"/>
      </w:r>
      <w:r>
        <w:rPr>
          <w:lang w:val="en-US"/>
        </w:rPr>
        <w:t>, 121, 126.</w:t>
      </w:r>
    </w:p>
  </w:footnote>
  <w:footnote w:id="262">
    <w:p w14:paraId="4DACE2D9" w14:textId="6EB07583" w:rsidR="00EE78D8" w:rsidRPr="00C67AC2" w:rsidRDefault="00EE78D8" w:rsidP="00406B48">
      <w:pPr>
        <w:pStyle w:val="FootnoteText"/>
        <w:rPr>
          <w:lang w:val="en-US"/>
        </w:rPr>
      </w:pPr>
      <w:r>
        <w:rPr>
          <w:rStyle w:val="FootnoteReference"/>
        </w:rPr>
        <w:footnoteRef/>
      </w:r>
      <w:r>
        <w:tab/>
      </w:r>
      <w:r>
        <w:rPr>
          <w:i/>
          <w:lang w:val="en-US"/>
        </w:rPr>
        <w:t xml:space="preserve">Mental Health Act 2016 </w:t>
      </w:r>
      <w:r>
        <w:rPr>
          <w:lang w:val="en-US"/>
        </w:rPr>
        <w:t>(Qld) s 172.</w:t>
      </w:r>
    </w:p>
  </w:footnote>
  <w:footnote w:id="263">
    <w:p w14:paraId="54C93FD5" w14:textId="46AD4BBC" w:rsidR="00EE78D8" w:rsidRPr="00FC3383" w:rsidRDefault="00EE78D8">
      <w:pPr>
        <w:pStyle w:val="FootnoteText"/>
        <w:rPr>
          <w:lang w:val="en-US"/>
        </w:rPr>
      </w:pPr>
      <w:r>
        <w:rPr>
          <w:rStyle w:val="FootnoteReference"/>
        </w:rPr>
        <w:footnoteRef/>
      </w:r>
      <w:r>
        <w:tab/>
      </w:r>
      <w:r w:rsidRPr="00E11A90">
        <w:rPr>
          <w:lang w:val="en-US"/>
        </w:rPr>
        <w:t>Ibid</w:t>
      </w:r>
      <w:r>
        <w:rPr>
          <w:lang w:val="en-US"/>
        </w:rPr>
        <w:t xml:space="preserve"> s 174. </w:t>
      </w:r>
    </w:p>
  </w:footnote>
  <w:footnote w:id="264">
    <w:p w14:paraId="10AAC799" w14:textId="38AA79C4" w:rsidR="00EE78D8" w:rsidRPr="00FC3383" w:rsidRDefault="00EE78D8">
      <w:pPr>
        <w:pStyle w:val="FootnoteText"/>
        <w:rPr>
          <w:lang w:val="en-US"/>
        </w:rPr>
      </w:pPr>
      <w:r>
        <w:rPr>
          <w:rStyle w:val="FootnoteReference"/>
        </w:rPr>
        <w:footnoteRef/>
      </w:r>
      <w:r>
        <w:tab/>
      </w:r>
      <w:r>
        <w:rPr>
          <w:lang w:val="en-US"/>
        </w:rPr>
        <w:t xml:space="preserve">Magistrates Court (Qld), </w:t>
      </w:r>
      <w:r>
        <w:rPr>
          <w:i/>
          <w:lang w:val="en-US"/>
        </w:rPr>
        <w:t>Practice Direction 1 of 2017: Mental Health Act 2016 Proceedings in the Magistrates Court</w:t>
      </w:r>
      <w:r>
        <w:rPr>
          <w:lang w:val="en-US"/>
        </w:rPr>
        <w:t xml:space="preserve"> (2017) 1.</w:t>
      </w:r>
    </w:p>
  </w:footnote>
  <w:footnote w:id="265">
    <w:p w14:paraId="0365EB64" w14:textId="7962BD42" w:rsidR="00EE78D8" w:rsidRPr="000062B9" w:rsidRDefault="00EE78D8">
      <w:pPr>
        <w:pStyle w:val="FootnoteText"/>
        <w:rPr>
          <w:lang w:val="en-US"/>
        </w:rPr>
      </w:pPr>
      <w:r>
        <w:rPr>
          <w:rStyle w:val="FootnoteReference"/>
        </w:rPr>
        <w:footnoteRef/>
      </w:r>
      <w:r>
        <w:rPr>
          <w:lang w:val="en-US"/>
        </w:rPr>
        <w:tab/>
        <w:t xml:space="preserve">VLRC, above n </w:t>
      </w:r>
      <w:r>
        <w:rPr>
          <w:lang w:val="en-US"/>
        </w:rPr>
        <w:fldChar w:fldCharType="begin"/>
      </w:r>
      <w:r>
        <w:rPr>
          <w:lang w:val="en-US"/>
        </w:rPr>
        <w:instrText xml:space="preserve"> NOTEREF _Ref534979326 \h </w:instrText>
      </w:r>
      <w:r>
        <w:rPr>
          <w:lang w:val="en-US"/>
        </w:rPr>
      </w:r>
      <w:r>
        <w:rPr>
          <w:lang w:val="en-US"/>
        </w:rPr>
        <w:fldChar w:fldCharType="separate"/>
      </w:r>
      <w:r w:rsidR="001F209C">
        <w:rPr>
          <w:lang w:val="en-US"/>
        </w:rPr>
        <w:t>26</w:t>
      </w:r>
      <w:r>
        <w:rPr>
          <w:lang w:val="en-US"/>
        </w:rPr>
        <w:fldChar w:fldCharType="end"/>
      </w:r>
      <w:r>
        <w:rPr>
          <w:lang w:val="en-US"/>
        </w:rPr>
        <w:t xml:space="preserve">, </w:t>
      </w:r>
      <w:r w:rsidRPr="000A11B8">
        <w:rPr>
          <w:lang w:val="en-US"/>
        </w:rPr>
        <w:t>123.</w:t>
      </w:r>
    </w:p>
  </w:footnote>
  <w:footnote w:id="266">
    <w:p w14:paraId="7EC11C3D" w14:textId="41E9B0EB" w:rsidR="00EE78D8" w:rsidRPr="00732059" w:rsidRDefault="00EE78D8" w:rsidP="00D51AE0">
      <w:pPr>
        <w:pStyle w:val="FootnoteText"/>
        <w:jc w:val="left"/>
        <w:rPr>
          <w:lang w:val="en-US"/>
        </w:rPr>
      </w:pPr>
      <w:r>
        <w:rPr>
          <w:rStyle w:val="FootnoteReference"/>
        </w:rPr>
        <w:footnoteRef/>
      </w:r>
      <w:r>
        <w:tab/>
      </w:r>
      <w:r>
        <w:rPr>
          <w:lang w:val="en-US"/>
        </w:rPr>
        <w:t xml:space="preserve">It is noted that proposed reforms will strengthen the framework in NSW for diverting people with cognitive and mental health impairment charged with low level offending into the health and disability sector, see NSW Government (Justice), </w:t>
      </w:r>
      <w:r>
        <w:rPr>
          <w:i/>
          <w:lang w:val="en-US"/>
        </w:rPr>
        <w:t>Forensic Mental Health Reforms</w:t>
      </w:r>
      <w:r>
        <w:rPr>
          <w:lang w:val="en-US"/>
        </w:rPr>
        <w:t xml:space="preserve"> &lt;</w:t>
      </w:r>
      <w:r w:rsidRPr="00732059">
        <w:rPr>
          <w:lang w:val="en-US"/>
        </w:rPr>
        <w:t>https://www.justice.nsw.gov.au/Pages/Reforms/forensic-mental-health.aspx</w:t>
      </w:r>
      <w:r>
        <w:rPr>
          <w:lang w:val="en-US"/>
        </w:rPr>
        <w:t>&gt;.</w:t>
      </w:r>
    </w:p>
  </w:footnote>
  <w:footnote w:id="267">
    <w:p w14:paraId="0511C3A1" w14:textId="00FA9F6D" w:rsidR="00EE78D8" w:rsidRPr="00DF7272" w:rsidRDefault="00EE78D8" w:rsidP="008D6A65">
      <w:pPr>
        <w:pStyle w:val="FootnoteText"/>
        <w:rPr>
          <w:lang w:val="en-US"/>
        </w:rPr>
      </w:pPr>
      <w:r>
        <w:rPr>
          <w:rStyle w:val="FootnoteReference"/>
        </w:rPr>
        <w:footnoteRef/>
      </w:r>
      <w:r>
        <w:tab/>
      </w:r>
      <w:r>
        <w:rPr>
          <w:lang w:val="en-US"/>
        </w:rPr>
        <w:t xml:space="preserve">Mentally ill is defined under the </w:t>
      </w:r>
      <w:r>
        <w:rPr>
          <w:i/>
          <w:lang w:val="en-US"/>
        </w:rPr>
        <w:t xml:space="preserve">Mental Health Act 2007 </w:t>
      </w:r>
      <w:r>
        <w:rPr>
          <w:lang w:val="en-US"/>
        </w:rPr>
        <w:t xml:space="preserve">(NSW) s 14 as a person who is suffering from a mental illness and because of that illness, there are reasonable grounds for believing that care, treatment or control of that person is necessary of the person’s own protection from serious harm, or for the protection of others from serious harm. </w:t>
      </w:r>
    </w:p>
  </w:footnote>
  <w:footnote w:id="268">
    <w:p w14:paraId="158AAE1D" w14:textId="0D99E2EA" w:rsidR="00EE78D8" w:rsidRPr="00DF7272" w:rsidRDefault="00EE78D8" w:rsidP="008D6A65">
      <w:pPr>
        <w:pStyle w:val="FootnoteText"/>
        <w:rPr>
          <w:lang w:val="en-US"/>
        </w:rPr>
      </w:pPr>
      <w:r>
        <w:rPr>
          <w:rStyle w:val="FootnoteReference"/>
        </w:rPr>
        <w:footnoteRef/>
      </w:r>
      <w:r>
        <w:rPr>
          <w:lang w:val="en-US"/>
        </w:rPr>
        <w:tab/>
        <w:t xml:space="preserve">See NSWLRC, above n </w:t>
      </w:r>
      <w:r>
        <w:rPr>
          <w:lang w:val="en-US"/>
        </w:rPr>
        <w:fldChar w:fldCharType="begin"/>
      </w:r>
      <w:r>
        <w:rPr>
          <w:lang w:val="en-US"/>
        </w:rPr>
        <w:instrText xml:space="preserve"> NOTEREF _Ref535170374 \h </w:instrText>
      </w:r>
      <w:r>
        <w:rPr>
          <w:lang w:val="en-US"/>
        </w:rPr>
      </w:r>
      <w:r>
        <w:rPr>
          <w:lang w:val="en-US"/>
        </w:rPr>
        <w:fldChar w:fldCharType="separate"/>
      </w:r>
      <w:r w:rsidR="001F209C">
        <w:rPr>
          <w:lang w:val="en-US"/>
        </w:rPr>
        <w:t>8</w:t>
      </w:r>
      <w:r>
        <w:rPr>
          <w:lang w:val="en-US"/>
        </w:rPr>
        <w:fldChar w:fldCharType="end"/>
      </w:r>
      <w:r>
        <w:rPr>
          <w:lang w:val="en-US"/>
        </w:rPr>
        <w:t>, 247–248. The court takes into account the seriousness of the offence, the likely sentence if convicted, the availability of a treatment plan, the defendant’s criminal history and failure of previous diversion: at 248–251.</w:t>
      </w:r>
    </w:p>
  </w:footnote>
  <w:footnote w:id="269">
    <w:p w14:paraId="00F1D5A2" w14:textId="7B719EE1" w:rsidR="00EE78D8" w:rsidRPr="00CF59C6"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_Ref534979326 \h </w:instrText>
      </w:r>
      <w:r>
        <w:rPr>
          <w:lang w:val="en-US"/>
        </w:rPr>
      </w:r>
      <w:r>
        <w:rPr>
          <w:lang w:val="en-US"/>
        </w:rPr>
        <w:fldChar w:fldCharType="separate"/>
      </w:r>
      <w:r w:rsidR="001F209C">
        <w:rPr>
          <w:lang w:val="en-US"/>
        </w:rPr>
        <w:t>26</w:t>
      </w:r>
      <w:r>
        <w:rPr>
          <w:lang w:val="en-US"/>
        </w:rPr>
        <w:fldChar w:fldCharType="end"/>
      </w:r>
      <w:r>
        <w:rPr>
          <w:lang w:val="en-US"/>
        </w:rPr>
        <w:t>, 73.</w:t>
      </w:r>
    </w:p>
  </w:footnote>
  <w:footnote w:id="270">
    <w:p w14:paraId="1AEAFBFD" w14:textId="32A16A85" w:rsidR="00EE78D8" w:rsidRPr="00CF59C6" w:rsidRDefault="00EE78D8">
      <w:pPr>
        <w:pStyle w:val="FootnoteText"/>
        <w:rPr>
          <w:lang w:val="en-US"/>
        </w:rPr>
      </w:pPr>
      <w:r>
        <w:rPr>
          <w:rStyle w:val="FootnoteReference"/>
        </w:rPr>
        <w:footnoteRef/>
      </w:r>
      <w:r>
        <w:tab/>
      </w:r>
      <w:r w:rsidRPr="00A16AAC">
        <w:rPr>
          <w:i/>
        </w:rPr>
        <w:t>Criminal Justice Mental Impairment Act 1999</w:t>
      </w:r>
      <w:r>
        <w:rPr>
          <w:i/>
          <w:lang w:val="en-US"/>
        </w:rPr>
        <w:t xml:space="preserve"> </w:t>
      </w:r>
      <w:r>
        <w:rPr>
          <w:lang w:val="en-US"/>
        </w:rPr>
        <w:t>(Tas) s 11.</w:t>
      </w:r>
    </w:p>
  </w:footnote>
  <w:footnote w:id="271">
    <w:p w14:paraId="0AAB82EF" w14:textId="1745F9B9" w:rsidR="00EE78D8" w:rsidRPr="00CF59C6"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_Ref534979326 \h </w:instrText>
      </w:r>
      <w:r>
        <w:rPr>
          <w:lang w:val="en-US"/>
        </w:rPr>
      </w:r>
      <w:r>
        <w:rPr>
          <w:lang w:val="en-US"/>
        </w:rPr>
        <w:fldChar w:fldCharType="separate"/>
      </w:r>
      <w:r w:rsidR="001F209C">
        <w:rPr>
          <w:lang w:val="en-US"/>
        </w:rPr>
        <w:t>26</w:t>
      </w:r>
      <w:r>
        <w:rPr>
          <w:lang w:val="en-US"/>
        </w:rPr>
        <w:fldChar w:fldCharType="end"/>
      </w:r>
      <w:r>
        <w:rPr>
          <w:lang w:val="en-US"/>
        </w:rPr>
        <w:t>, 73.</w:t>
      </w:r>
    </w:p>
  </w:footnote>
  <w:footnote w:id="272">
    <w:p w14:paraId="63591A9B" w14:textId="2D8CF4CB" w:rsidR="00EE78D8" w:rsidRPr="00CF59C6"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97.</w:t>
      </w:r>
    </w:p>
  </w:footnote>
  <w:footnote w:id="273">
    <w:p w14:paraId="3DA56802" w14:textId="4284D838" w:rsidR="00EE78D8" w:rsidRPr="000A11B8"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98.</w:t>
      </w:r>
    </w:p>
  </w:footnote>
  <w:footnote w:id="274">
    <w:p w14:paraId="43CED36F" w14:textId="252C7BDD" w:rsidR="00EE78D8" w:rsidRPr="00CF59C6" w:rsidRDefault="00EE78D8" w:rsidP="00D26BEA">
      <w:pPr>
        <w:pStyle w:val="FootnoteText"/>
        <w:rPr>
          <w:lang w:val="en-US"/>
        </w:rPr>
      </w:pPr>
      <w:r>
        <w:rPr>
          <w:rStyle w:val="FootnoteReference"/>
        </w:rPr>
        <w:footnoteRef/>
      </w:r>
      <w:r>
        <w:tab/>
      </w:r>
      <w:r>
        <w:rPr>
          <w:lang w:val="en-US"/>
        </w:rPr>
        <w:t>Ibid.</w:t>
      </w:r>
    </w:p>
  </w:footnote>
  <w:footnote w:id="275">
    <w:p w14:paraId="3370B40B" w14:textId="77B9B372" w:rsidR="00EE78D8" w:rsidRPr="00CF59C6" w:rsidRDefault="00EE78D8">
      <w:pPr>
        <w:pStyle w:val="FootnoteText"/>
        <w:rPr>
          <w:lang w:val="en-US"/>
        </w:rPr>
      </w:pPr>
      <w:r>
        <w:rPr>
          <w:rStyle w:val="FootnoteReference"/>
        </w:rPr>
        <w:footnoteRef/>
      </w:r>
      <w:r>
        <w:tab/>
      </w:r>
      <w:r>
        <w:rPr>
          <w:lang w:val="en-US"/>
        </w:rPr>
        <w:t>Ibid.</w:t>
      </w:r>
    </w:p>
  </w:footnote>
  <w:footnote w:id="276">
    <w:p w14:paraId="095AB5B0" w14:textId="113D5E4C" w:rsidR="00EE78D8" w:rsidRPr="002F47F4" w:rsidRDefault="00EE78D8">
      <w:pPr>
        <w:pStyle w:val="FootnoteText"/>
        <w:rPr>
          <w:lang w:val="en-US"/>
        </w:rPr>
      </w:pPr>
      <w:r>
        <w:rPr>
          <w:rStyle w:val="FootnoteReference"/>
        </w:rPr>
        <w:footnoteRef/>
      </w:r>
      <w:r>
        <w:tab/>
      </w:r>
      <w:r>
        <w:rPr>
          <w:lang w:val="en-US"/>
        </w:rPr>
        <w:t xml:space="preserve">Law Reform Committee, </w:t>
      </w:r>
      <w:r>
        <w:t xml:space="preserve">above n </w:t>
      </w:r>
      <w:r>
        <w:fldChar w:fldCharType="begin"/>
      </w:r>
      <w:r>
        <w:instrText xml:space="preserve"> NOTEREF _Ref534982374 \h </w:instrText>
      </w:r>
      <w:r>
        <w:fldChar w:fldCharType="separate"/>
      </w:r>
      <w:r w:rsidR="001F209C">
        <w:t>55</w:t>
      </w:r>
      <w:r>
        <w:fldChar w:fldCharType="end"/>
      </w:r>
      <w:r>
        <w:t>,</w:t>
      </w:r>
      <w:r>
        <w:rPr>
          <w:lang w:val="en-US"/>
        </w:rPr>
        <w:t xml:space="preserve"> 227.</w:t>
      </w:r>
    </w:p>
  </w:footnote>
  <w:footnote w:id="277">
    <w:p w14:paraId="779B10CD" w14:textId="01E02EDF" w:rsidR="00EE78D8" w:rsidRPr="002F47F4"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230–231.</w:t>
      </w:r>
    </w:p>
  </w:footnote>
  <w:footnote w:id="278">
    <w:p w14:paraId="589A7BE6" w14:textId="67B27E84" w:rsidR="00EE78D8" w:rsidRPr="002F47F4" w:rsidRDefault="00EE78D8">
      <w:pPr>
        <w:pStyle w:val="FootnoteText"/>
        <w:rPr>
          <w:lang w:val="en-US"/>
        </w:rPr>
      </w:pPr>
      <w:r>
        <w:rPr>
          <w:rStyle w:val="FootnoteReference"/>
        </w:rPr>
        <w:footnoteRef/>
      </w:r>
      <w:r>
        <w:tab/>
        <w:t>Ibid</w:t>
      </w:r>
      <w:r>
        <w:rPr>
          <w:lang w:val="en-US"/>
        </w:rPr>
        <w:t>.</w:t>
      </w:r>
    </w:p>
  </w:footnote>
  <w:footnote w:id="279">
    <w:p w14:paraId="595546CA" w14:textId="45AC871D" w:rsidR="00EE78D8" w:rsidRPr="002F47F4" w:rsidRDefault="00EE78D8">
      <w:pPr>
        <w:pStyle w:val="FootnoteText"/>
        <w:rPr>
          <w:lang w:val="en-US"/>
        </w:rPr>
      </w:pPr>
      <w:r>
        <w:rPr>
          <w:rStyle w:val="FootnoteReference"/>
        </w:rPr>
        <w:footnoteRef/>
      </w:r>
      <w:r>
        <w:tab/>
        <w:t xml:space="preserve">Ibid </w:t>
      </w:r>
      <w:r>
        <w:rPr>
          <w:lang w:val="en-US"/>
        </w:rPr>
        <w:t>231.</w:t>
      </w:r>
    </w:p>
  </w:footnote>
  <w:footnote w:id="280">
    <w:p w14:paraId="71F0A02B" w14:textId="219C0216" w:rsidR="00EE78D8" w:rsidRPr="00C67AC2" w:rsidRDefault="00EE78D8" w:rsidP="008E480A">
      <w:pPr>
        <w:pStyle w:val="FootnoteText"/>
        <w:rPr>
          <w:lang w:val="en-US"/>
        </w:rPr>
      </w:pPr>
      <w:r>
        <w:rPr>
          <w:rStyle w:val="FootnoteReference"/>
        </w:rPr>
        <w:footnoteRef/>
      </w:r>
      <w:r>
        <w:tab/>
        <w:t xml:space="preserve">This was considered by the VLRC, see </w:t>
      </w:r>
      <w:r w:rsidRPr="00B70268">
        <w:t xml:space="preserve">above n </w:t>
      </w:r>
      <w:r w:rsidRPr="00B70268">
        <w:fldChar w:fldCharType="begin"/>
      </w:r>
      <w:r w:rsidRPr="00B70268">
        <w:instrText xml:space="preserve"> NOTEREF _Ref534978514 \h </w:instrText>
      </w:r>
      <w:r>
        <w:instrText xml:space="preserve"> \* MERGEFORMAT </w:instrText>
      </w:r>
      <w:r w:rsidRPr="00B70268">
        <w:fldChar w:fldCharType="separate"/>
      </w:r>
      <w:r w:rsidR="001F209C">
        <w:t>24</w:t>
      </w:r>
      <w:r w:rsidRPr="00B70268">
        <w:fldChar w:fldCharType="end"/>
      </w:r>
      <w:r w:rsidRPr="00200E00">
        <w:rPr>
          <w:lang w:val="en-US"/>
        </w:rPr>
        <w:t>, 140</w:t>
      </w:r>
      <w:r>
        <w:rPr>
          <w:lang w:val="en-US"/>
        </w:rPr>
        <w:t xml:space="preserve">. </w:t>
      </w:r>
    </w:p>
  </w:footnote>
  <w:footnote w:id="281">
    <w:p w14:paraId="5CA94FC9" w14:textId="3BC6475C" w:rsidR="00EE78D8" w:rsidRPr="00EC4908" w:rsidRDefault="00EE78D8">
      <w:pPr>
        <w:pStyle w:val="FootnoteText"/>
        <w:rPr>
          <w:lang w:val="en-US"/>
        </w:rPr>
      </w:pPr>
      <w:r>
        <w:rPr>
          <w:rStyle w:val="FootnoteReference"/>
        </w:rPr>
        <w:footnoteRef/>
      </w:r>
      <w:r>
        <w:tab/>
      </w:r>
      <w:r w:rsidRPr="00A16AAC">
        <w:rPr>
          <w:i/>
        </w:rPr>
        <w:t>Criminal Justice Mental Impairment Act 1999</w:t>
      </w:r>
      <w:r w:rsidRPr="00A16AAC">
        <w:t xml:space="preserve"> (Tas)</w:t>
      </w:r>
      <w:r>
        <w:rPr>
          <w:lang w:val="en-US"/>
        </w:rPr>
        <w:t xml:space="preserve"> s 14(1).</w:t>
      </w:r>
    </w:p>
  </w:footnote>
  <w:footnote w:id="282">
    <w:p w14:paraId="00D2140F" w14:textId="06C8325D" w:rsidR="00EE78D8" w:rsidRPr="00E03B0A" w:rsidRDefault="00EE78D8">
      <w:pPr>
        <w:pStyle w:val="FootnoteText"/>
        <w:rPr>
          <w:lang w:val="en-US"/>
        </w:rPr>
      </w:pPr>
      <w:r>
        <w:rPr>
          <w:rStyle w:val="FootnoteReference"/>
        </w:rPr>
        <w:footnoteRef/>
      </w:r>
      <w:r>
        <w:tab/>
        <w:t>Ibid s 15(1).</w:t>
      </w:r>
    </w:p>
  </w:footnote>
  <w:footnote w:id="283">
    <w:p w14:paraId="30C431F2" w14:textId="4A692CC2" w:rsidR="00EE78D8" w:rsidRPr="00770ABD" w:rsidRDefault="00EE78D8">
      <w:pPr>
        <w:pStyle w:val="FootnoteText"/>
        <w:rPr>
          <w:lang w:val="en-US"/>
        </w:rPr>
      </w:pPr>
      <w:r>
        <w:rPr>
          <w:rStyle w:val="FootnoteReference"/>
        </w:rPr>
        <w:footnoteRef/>
      </w:r>
      <w:r>
        <w:tab/>
        <w:t>Department of Health and Human Services (</w:t>
      </w:r>
      <w:r>
        <w:rPr>
          <w:lang w:val="en-US"/>
        </w:rPr>
        <w:t xml:space="preserve">DHHS), </w:t>
      </w:r>
      <w:r w:rsidRPr="00200E00">
        <w:rPr>
          <w:i/>
          <w:lang w:val="en-US"/>
        </w:rPr>
        <w:t>Mental Health Act Guide</w:t>
      </w:r>
      <w:r>
        <w:rPr>
          <w:lang w:val="en-US"/>
        </w:rPr>
        <w:t>, 97.</w:t>
      </w:r>
    </w:p>
  </w:footnote>
  <w:footnote w:id="284">
    <w:p w14:paraId="31482947" w14:textId="4A547939" w:rsidR="00EE78D8" w:rsidRPr="003E057D" w:rsidRDefault="00EE78D8">
      <w:pPr>
        <w:pStyle w:val="FootnoteText"/>
        <w:rPr>
          <w:lang w:val="en-US"/>
        </w:rPr>
      </w:pPr>
      <w:r>
        <w:rPr>
          <w:rStyle w:val="FootnoteReference"/>
        </w:rPr>
        <w:footnoteRef/>
      </w:r>
      <w:r>
        <w:tab/>
      </w:r>
      <w:r w:rsidRPr="00A16AAC">
        <w:rPr>
          <w:i/>
        </w:rPr>
        <w:t>Criminal Justice Mental Impairment Act 1999</w:t>
      </w:r>
      <w:r w:rsidRPr="00A16AAC">
        <w:t xml:space="preserve"> (Tas)</w:t>
      </w:r>
      <w:r>
        <w:t xml:space="preserve"> </w:t>
      </w:r>
      <w:r>
        <w:rPr>
          <w:lang w:val="en-US"/>
        </w:rPr>
        <w:t>s 15(2).</w:t>
      </w:r>
    </w:p>
  </w:footnote>
  <w:footnote w:id="285">
    <w:p w14:paraId="1AE5CBFE" w14:textId="0F36526D" w:rsidR="00EE78D8" w:rsidRPr="003B7AE4" w:rsidRDefault="00EE78D8">
      <w:pPr>
        <w:pStyle w:val="FootnoteText"/>
        <w:rPr>
          <w:lang w:val="en-US"/>
        </w:rPr>
      </w:pPr>
      <w:r>
        <w:rPr>
          <w:rStyle w:val="FootnoteReference"/>
        </w:rPr>
        <w:footnoteRef/>
      </w:r>
      <w:r>
        <w:tab/>
        <w:t xml:space="preserve">Ibid </w:t>
      </w:r>
      <w:r>
        <w:rPr>
          <w:lang w:val="en-US"/>
        </w:rPr>
        <w:t>s 15(3).</w:t>
      </w:r>
    </w:p>
  </w:footnote>
  <w:footnote w:id="286">
    <w:p w14:paraId="5387BFA9" w14:textId="7A184CAD" w:rsidR="00EE78D8" w:rsidRPr="003E057D" w:rsidRDefault="00EE78D8">
      <w:pPr>
        <w:pStyle w:val="FootnoteText"/>
        <w:rPr>
          <w:lang w:val="en-US"/>
        </w:rPr>
      </w:pPr>
      <w:r>
        <w:rPr>
          <w:rStyle w:val="FootnoteReference"/>
        </w:rPr>
        <w:footnoteRef/>
      </w:r>
      <w:r>
        <w:tab/>
        <w:t>Ibid s</w:t>
      </w:r>
      <w:r>
        <w:rPr>
          <w:lang w:val="en-US"/>
        </w:rPr>
        <w:t>16(1).</w:t>
      </w:r>
    </w:p>
  </w:footnote>
  <w:footnote w:id="287">
    <w:p w14:paraId="0234AA82" w14:textId="0A0BBF70" w:rsidR="00EE78D8" w:rsidRPr="003B7AE4" w:rsidRDefault="00EE78D8">
      <w:pPr>
        <w:pStyle w:val="FootnoteText"/>
        <w:rPr>
          <w:lang w:val="en-US"/>
        </w:rPr>
      </w:pPr>
      <w:r>
        <w:rPr>
          <w:rStyle w:val="FootnoteReference"/>
        </w:rPr>
        <w:footnoteRef/>
      </w:r>
      <w:r>
        <w:tab/>
        <w:t xml:space="preserve">Ibid </w:t>
      </w:r>
      <w:r>
        <w:rPr>
          <w:lang w:val="en-US"/>
        </w:rPr>
        <w:t>s 16(3).</w:t>
      </w:r>
    </w:p>
  </w:footnote>
  <w:footnote w:id="288">
    <w:p w14:paraId="673EBC65" w14:textId="59DE2E3B" w:rsidR="00EE78D8" w:rsidRPr="00DD4586" w:rsidRDefault="00EE78D8">
      <w:pPr>
        <w:pStyle w:val="FootnoteText"/>
        <w:rPr>
          <w:lang w:val="en-US"/>
        </w:rPr>
      </w:pPr>
      <w:r>
        <w:rPr>
          <w:rStyle w:val="FootnoteReference"/>
        </w:rPr>
        <w:footnoteRef/>
      </w:r>
      <w:r>
        <w:tab/>
      </w:r>
      <w:r>
        <w:rPr>
          <w:lang w:val="en-US"/>
        </w:rPr>
        <w:t>(2005) 13 Tas R 457.</w:t>
      </w:r>
    </w:p>
  </w:footnote>
  <w:footnote w:id="289">
    <w:p w14:paraId="347943CE" w14:textId="4940D08F" w:rsidR="00EE78D8" w:rsidRPr="00AA005C" w:rsidRDefault="00EE78D8">
      <w:pPr>
        <w:pStyle w:val="FootnoteText"/>
        <w:rPr>
          <w:lang w:val="en-US"/>
        </w:rPr>
      </w:pPr>
      <w:r>
        <w:rPr>
          <w:rStyle w:val="FootnoteReference"/>
        </w:rPr>
        <w:footnoteRef/>
      </w:r>
      <w:r>
        <w:tab/>
      </w:r>
      <w:r>
        <w:rPr>
          <w:lang w:val="en-US"/>
        </w:rPr>
        <w:t>Ibid [15].</w:t>
      </w:r>
    </w:p>
  </w:footnote>
  <w:footnote w:id="290">
    <w:p w14:paraId="0D48AB50" w14:textId="568DCF52" w:rsidR="00EE78D8" w:rsidRPr="00FA1032" w:rsidRDefault="00EE78D8">
      <w:pPr>
        <w:pStyle w:val="FootnoteText"/>
        <w:rPr>
          <w:lang w:val="en-US"/>
        </w:rPr>
      </w:pPr>
      <w:r>
        <w:rPr>
          <w:rStyle w:val="FootnoteReference"/>
        </w:rPr>
        <w:footnoteRef/>
      </w:r>
      <w:r>
        <w:tab/>
      </w:r>
      <w:r w:rsidRPr="00A16AAC">
        <w:rPr>
          <w:i/>
        </w:rPr>
        <w:t>Criminal Justice Mental Impairment Act 1999</w:t>
      </w:r>
      <w:r w:rsidRPr="00A16AAC">
        <w:t xml:space="preserve"> (Tas)</w:t>
      </w:r>
      <w:r>
        <w:rPr>
          <w:lang w:val="en-US"/>
        </w:rPr>
        <w:t xml:space="preserve"> s 38.</w:t>
      </w:r>
    </w:p>
  </w:footnote>
  <w:footnote w:id="291">
    <w:p w14:paraId="22209E15" w14:textId="48245ED5" w:rsidR="00EE78D8" w:rsidRPr="00980470" w:rsidRDefault="00EE78D8">
      <w:pPr>
        <w:pStyle w:val="FootnoteText"/>
        <w:rPr>
          <w:i/>
          <w:lang w:val="en-US"/>
        </w:rPr>
      </w:pPr>
      <w:r>
        <w:rPr>
          <w:rStyle w:val="FootnoteReference"/>
        </w:rPr>
        <w:footnoteRef/>
      </w:r>
      <w:r>
        <w:tab/>
      </w:r>
      <w:r>
        <w:rPr>
          <w:lang w:val="en-US"/>
        </w:rPr>
        <w:t>Ibid</w:t>
      </w:r>
      <w:r>
        <w:rPr>
          <w:i/>
          <w:lang w:val="en-US"/>
        </w:rPr>
        <w:t xml:space="preserve"> </w:t>
      </w:r>
      <w:r w:rsidRPr="00980470">
        <w:rPr>
          <w:lang w:val="en-US"/>
        </w:rPr>
        <w:t>s 16(1)</w:t>
      </w:r>
      <w:r>
        <w:rPr>
          <w:lang w:val="en-US"/>
        </w:rPr>
        <w:t>;</w:t>
      </w:r>
      <w:r w:rsidRPr="00980470">
        <w:rPr>
          <w:lang w:val="en-US"/>
        </w:rPr>
        <w:t xml:space="preserve"> </w:t>
      </w:r>
      <w:r w:rsidRPr="00980470">
        <w:rPr>
          <w:i/>
          <w:lang w:val="en-US"/>
        </w:rPr>
        <w:t>Criminal Code</w:t>
      </w:r>
      <w:r w:rsidRPr="00980470">
        <w:rPr>
          <w:lang w:val="en-US"/>
        </w:rPr>
        <w:t xml:space="preserve"> s 369(2)</w:t>
      </w:r>
      <w:r>
        <w:rPr>
          <w:lang w:val="en-US"/>
        </w:rPr>
        <w:t xml:space="preserve">; </w:t>
      </w:r>
      <w:r>
        <w:rPr>
          <w:i/>
        </w:rPr>
        <w:t xml:space="preserve">Tasmania v Bosworth </w:t>
      </w:r>
      <w:r>
        <w:t>(</w:t>
      </w:r>
      <w:r>
        <w:rPr>
          <w:lang w:val="en-US"/>
        </w:rPr>
        <w:t>2005) 13 Tas R 457 [33] (Crawford J).</w:t>
      </w:r>
    </w:p>
  </w:footnote>
  <w:footnote w:id="292">
    <w:p w14:paraId="045910AC" w14:textId="5F7AD9DC" w:rsidR="00EE78D8" w:rsidRPr="00C7215F" w:rsidRDefault="00EE78D8">
      <w:pPr>
        <w:pStyle w:val="FootnoteText"/>
        <w:rPr>
          <w:lang w:val="en-US"/>
        </w:rPr>
      </w:pPr>
      <w:r>
        <w:rPr>
          <w:rStyle w:val="FootnoteReference"/>
        </w:rPr>
        <w:footnoteRef/>
      </w:r>
      <w:r>
        <w:tab/>
      </w:r>
      <w:r>
        <w:rPr>
          <w:lang w:val="en-US"/>
        </w:rPr>
        <w:t xml:space="preserve">DHHS, above n </w:t>
      </w:r>
      <w:r>
        <w:rPr>
          <w:lang w:val="en-US"/>
        </w:rPr>
        <w:fldChar w:fldCharType="begin"/>
      </w:r>
      <w:r>
        <w:rPr>
          <w:lang w:val="en-US"/>
        </w:rPr>
        <w:instrText xml:space="preserve"> NOTEREF _Ref535149801 \h </w:instrText>
      </w:r>
      <w:r>
        <w:rPr>
          <w:lang w:val="en-US"/>
        </w:rPr>
      </w:r>
      <w:r>
        <w:rPr>
          <w:lang w:val="en-US"/>
        </w:rPr>
        <w:fldChar w:fldCharType="separate"/>
      </w:r>
      <w:r w:rsidR="001F209C">
        <w:rPr>
          <w:lang w:val="en-US"/>
        </w:rPr>
        <w:t>283</w:t>
      </w:r>
      <w:r>
        <w:rPr>
          <w:lang w:val="en-US"/>
        </w:rPr>
        <w:fldChar w:fldCharType="end"/>
      </w:r>
      <w:r>
        <w:rPr>
          <w:lang w:val="en-US"/>
        </w:rPr>
        <w:t xml:space="preserve">, 98; </w:t>
      </w:r>
      <w:r>
        <w:t xml:space="preserve">Tasmania, </w:t>
      </w:r>
      <w:r w:rsidRPr="00F6664B">
        <w:rPr>
          <w:i/>
        </w:rPr>
        <w:t>Parliamentary Debates</w:t>
      </w:r>
      <w:r>
        <w:t xml:space="preserve">, House of Assembly, </w:t>
      </w:r>
      <w:r w:rsidRPr="00200E00">
        <w:t>23 March 1999, Part 2 33</w:t>
      </w:r>
      <w:r>
        <w:t>–</w:t>
      </w:r>
      <w:r w:rsidRPr="00200E00">
        <w:t>114 (Patmore)</w:t>
      </w:r>
      <w:r w:rsidRPr="00200E00">
        <w:rPr>
          <w:lang w:val="en-US"/>
        </w:rPr>
        <w:t>.</w:t>
      </w:r>
    </w:p>
  </w:footnote>
  <w:footnote w:id="293">
    <w:p w14:paraId="7F2CE5D7" w14:textId="4BBF8B93" w:rsidR="00EE78D8" w:rsidRPr="008926CB" w:rsidRDefault="00EE78D8">
      <w:pPr>
        <w:pStyle w:val="FootnoteText"/>
        <w:rPr>
          <w:lang w:val="en-US"/>
        </w:rPr>
      </w:pPr>
      <w:r>
        <w:rPr>
          <w:rStyle w:val="FootnoteReference"/>
        </w:rPr>
        <w:footnoteRef/>
      </w:r>
      <w:r>
        <w:tab/>
      </w:r>
      <w:r>
        <w:rPr>
          <w:lang w:val="en-US"/>
        </w:rPr>
        <w:t>15 June 2015, Wood J (Sentence).</w:t>
      </w:r>
    </w:p>
  </w:footnote>
  <w:footnote w:id="294">
    <w:p w14:paraId="57FC2198" w14:textId="294D8A96" w:rsidR="00EE78D8" w:rsidRPr="00164AD7" w:rsidRDefault="00EE78D8">
      <w:pPr>
        <w:pStyle w:val="FootnoteText"/>
        <w:rPr>
          <w:lang w:val="en-US"/>
        </w:rPr>
      </w:pPr>
      <w:r>
        <w:rPr>
          <w:rStyle w:val="FootnoteReference"/>
        </w:rPr>
        <w:footnoteRef/>
      </w:r>
      <w:r>
        <w:rPr>
          <w:lang w:val="en-US"/>
        </w:rPr>
        <w:tab/>
        <w:t>Ibid.</w:t>
      </w:r>
    </w:p>
  </w:footnote>
  <w:footnote w:id="295">
    <w:p w14:paraId="5B333A66" w14:textId="5146F757" w:rsidR="00EE78D8" w:rsidRPr="00C504F7" w:rsidRDefault="00EE78D8">
      <w:pPr>
        <w:pStyle w:val="FootnoteText"/>
        <w:rPr>
          <w:lang w:val="en-US"/>
        </w:rPr>
      </w:pPr>
      <w:r>
        <w:rPr>
          <w:rStyle w:val="FootnoteReference"/>
        </w:rPr>
        <w:footnoteRef/>
      </w:r>
      <w:r>
        <w:tab/>
      </w:r>
      <w:r>
        <w:rPr>
          <w:lang w:val="en-US"/>
        </w:rPr>
        <w:t>See [7.3] for further discussion of onus and standard of proof for insanity.</w:t>
      </w:r>
    </w:p>
  </w:footnote>
  <w:footnote w:id="296">
    <w:p w14:paraId="094F2D6B" w14:textId="6DC4AE6D" w:rsidR="00EE78D8" w:rsidRPr="00AF2A67" w:rsidRDefault="00EE78D8">
      <w:pPr>
        <w:pStyle w:val="FootnoteText"/>
        <w:rPr>
          <w:lang w:val="en-US"/>
        </w:rPr>
      </w:pPr>
      <w:r>
        <w:rPr>
          <w:rStyle w:val="FootnoteReference"/>
        </w:rPr>
        <w:footnoteRef/>
      </w:r>
      <w:r>
        <w:tab/>
      </w:r>
      <w:r w:rsidRPr="00A16AAC">
        <w:rPr>
          <w:i/>
        </w:rPr>
        <w:t>Criminal Justice Mental Impairment Act 1999</w:t>
      </w:r>
      <w:r w:rsidRPr="00A16AAC">
        <w:t xml:space="preserve"> (Tas)</w:t>
      </w:r>
      <w:r>
        <w:t xml:space="preserve"> </w:t>
      </w:r>
      <w:r>
        <w:rPr>
          <w:lang w:val="en-US"/>
        </w:rPr>
        <w:t>s 17.</w:t>
      </w:r>
    </w:p>
  </w:footnote>
  <w:footnote w:id="297">
    <w:p w14:paraId="49A1ECF5" w14:textId="1ECA6985" w:rsidR="00EE78D8" w:rsidRPr="00670147" w:rsidRDefault="00EE78D8">
      <w:pPr>
        <w:pStyle w:val="FootnoteText"/>
        <w:rPr>
          <w:lang w:val="en-US"/>
        </w:rPr>
      </w:pPr>
      <w:r>
        <w:rPr>
          <w:rStyle w:val="FootnoteReference"/>
        </w:rPr>
        <w:footnoteRef/>
      </w:r>
      <w:r>
        <w:tab/>
        <w:t>Ibid s 18(1).</w:t>
      </w:r>
    </w:p>
  </w:footnote>
  <w:footnote w:id="298">
    <w:p w14:paraId="62D7A821" w14:textId="62DDB3F7" w:rsidR="00EE78D8" w:rsidRPr="00AA005C" w:rsidRDefault="00EE78D8">
      <w:pPr>
        <w:pStyle w:val="FootnoteText"/>
        <w:rPr>
          <w:i/>
          <w:lang w:val="en-US"/>
        </w:rPr>
      </w:pPr>
      <w:r>
        <w:rPr>
          <w:rStyle w:val="FootnoteReference"/>
        </w:rPr>
        <w:footnoteRef/>
      </w:r>
      <w:r>
        <w:tab/>
      </w:r>
      <w:r>
        <w:rPr>
          <w:i/>
        </w:rPr>
        <w:t xml:space="preserve">Tasmania v Bosworth </w:t>
      </w:r>
      <w:r>
        <w:t>(</w:t>
      </w:r>
      <w:r>
        <w:rPr>
          <w:lang w:val="en-US"/>
        </w:rPr>
        <w:t>2005) 13 Tas R 457 [16] (Crawford J).</w:t>
      </w:r>
    </w:p>
  </w:footnote>
  <w:footnote w:id="299">
    <w:p w14:paraId="14D2A8DA" w14:textId="48833191" w:rsidR="00EE78D8" w:rsidRPr="00164AD7" w:rsidRDefault="00EE78D8">
      <w:pPr>
        <w:pStyle w:val="FootnoteText"/>
        <w:rPr>
          <w:lang w:val="en-US"/>
        </w:rPr>
      </w:pPr>
      <w:r>
        <w:rPr>
          <w:rStyle w:val="FootnoteReference"/>
        </w:rPr>
        <w:footnoteRef/>
      </w:r>
      <w:r>
        <w:tab/>
      </w:r>
      <w:r>
        <w:rPr>
          <w:lang w:val="en-US"/>
        </w:rPr>
        <w:t>This is discussed at [4.4].</w:t>
      </w:r>
    </w:p>
  </w:footnote>
  <w:footnote w:id="300">
    <w:p w14:paraId="6275D47F" w14:textId="5889D7FE" w:rsidR="00EE78D8" w:rsidRPr="001D6605" w:rsidRDefault="00EE78D8">
      <w:pPr>
        <w:pStyle w:val="FootnoteText"/>
        <w:rPr>
          <w:lang w:val="en-US"/>
        </w:rPr>
      </w:pPr>
      <w:r>
        <w:rPr>
          <w:rStyle w:val="FootnoteReference"/>
        </w:rPr>
        <w:footnoteRef/>
      </w:r>
      <w:r>
        <w:tab/>
        <w:t xml:space="preserve">In Western Australia, a review conducted into the operation of fitness to stand trial did not recommend that a special hearing be adopted, but instead recommended that the juridical officer was to have regard to whether there was a case to answer on the balance of probabilities after inquiring into the question and informing him or herself in any way the judicial officer thinks fit: Department of the Attorney-General, Western Australia, above n </w:t>
      </w:r>
      <w:r>
        <w:fldChar w:fldCharType="begin"/>
      </w:r>
      <w:r>
        <w:instrText xml:space="preserve"> NOTEREF _Ref535061852 \h </w:instrText>
      </w:r>
      <w:r>
        <w:fldChar w:fldCharType="separate"/>
      </w:r>
      <w:r w:rsidR="001F209C">
        <w:t>102</w:t>
      </w:r>
      <w:r>
        <w:fldChar w:fldCharType="end"/>
      </w:r>
      <w:r>
        <w:t>, Recommendation 9.</w:t>
      </w:r>
    </w:p>
  </w:footnote>
  <w:footnote w:id="301">
    <w:p w14:paraId="0EC150A5" w14:textId="3F771638" w:rsidR="00EE78D8" w:rsidRPr="00262C7A" w:rsidRDefault="00EE78D8">
      <w:pPr>
        <w:pStyle w:val="FootnoteText"/>
        <w:rPr>
          <w:lang w:val="en-US"/>
        </w:rPr>
      </w:pPr>
      <w:r>
        <w:rPr>
          <w:rStyle w:val="FootnoteReference"/>
        </w:rPr>
        <w:footnoteRef/>
      </w:r>
      <w:r>
        <w:tab/>
        <w:t xml:space="preserve">Gooding et al, above n </w:t>
      </w:r>
      <w:r>
        <w:fldChar w:fldCharType="begin"/>
      </w:r>
      <w:r>
        <w:instrText xml:space="preserve"> NOTEREF _Ref534982760 \h </w:instrText>
      </w:r>
      <w:r>
        <w:fldChar w:fldCharType="separate"/>
      </w:r>
      <w:r w:rsidR="001F209C">
        <w:t>37</w:t>
      </w:r>
      <w:r>
        <w:fldChar w:fldCharType="end"/>
      </w:r>
      <w:r>
        <w:rPr>
          <w:lang w:val="en-US"/>
        </w:rPr>
        <w:t xml:space="preserve">, 845–846; </w:t>
      </w:r>
    </w:p>
  </w:footnote>
  <w:footnote w:id="302">
    <w:p w14:paraId="18D57564" w14:textId="2DE1A4D6" w:rsidR="00EE78D8" w:rsidRPr="0030437E" w:rsidRDefault="00EE78D8" w:rsidP="00002124">
      <w:pPr>
        <w:pStyle w:val="FootnoteText"/>
        <w:rPr>
          <w:lang w:val="en-US"/>
        </w:rPr>
      </w:pPr>
      <w:r>
        <w:rPr>
          <w:rStyle w:val="FootnoteReference"/>
        </w:rPr>
        <w:footnoteRef/>
      </w:r>
      <w:r>
        <w:tab/>
      </w:r>
      <w:r>
        <w:rPr>
          <w:lang w:val="en-US"/>
        </w:rPr>
        <w:t>See Appendix 5.</w:t>
      </w:r>
    </w:p>
  </w:footnote>
  <w:footnote w:id="303">
    <w:p w14:paraId="500542F0" w14:textId="44449728" w:rsidR="00EE78D8" w:rsidRPr="0030437E" w:rsidRDefault="00EE78D8" w:rsidP="00002124">
      <w:pPr>
        <w:pStyle w:val="FootnoteText"/>
        <w:rPr>
          <w:lang w:val="en-US"/>
        </w:rPr>
      </w:pPr>
      <w:r>
        <w:rPr>
          <w:rStyle w:val="FootnoteReference"/>
        </w:rPr>
        <w:footnoteRef/>
      </w:r>
      <w:r>
        <w:tab/>
      </w:r>
      <w:r>
        <w:rPr>
          <w:lang w:val="en-US"/>
        </w:rPr>
        <w:t xml:space="preserve">See Arstein-Kerslake et al, above n </w:t>
      </w:r>
      <w:r w:rsidRPr="00F6201F">
        <w:rPr>
          <w:lang w:val="en-US"/>
        </w:rPr>
        <w:fldChar w:fldCharType="begin"/>
      </w:r>
      <w:r w:rsidRPr="00F6201F">
        <w:rPr>
          <w:lang w:val="en-US"/>
        </w:rPr>
        <w:instrText xml:space="preserve"> NOTEREF _Ref535056500 \h  \* MERGEFORMAT </w:instrText>
      </w:r>
      <w:r w:rsidRPr="00F6201F">
        <w:rPr>
          <w:lang w:val="en-US"/>
        </w:rPr>
      </w:r>
      <w:r w:rsidRPr="00F6201F">
        <w:rPr>
          <w:lang w:val="en-US"/>
        </w:rPr>
        <w:fldChar w:fldCharType="separate"/>
      </w:r>
      <w:r w:rsidR="001F209C">
        <w:rPr>
          <w:lang w:val="en-US"/>
        </w:rPr>
        <w:t>126</w:t>
      </w:r>
      <w:r w:rsidRPr="00F6201F">
        <w:rPr>
          <w:lang w:val="en-US"/>
        </w:rPr>
        <w:fldChar w:fldCharType="end"/>
      </w:r>
      <w:r>
        <w:rPr>
          <w:lang w:val="en-US"/>
        </w:rPr>
        <w:t>, 404.</w:t>
      </w:r>
    </w:p>
  </w:footnote>
  <w:footnote w:id="304">
    <w:p w14:paraId="2DDEFB3F" w14:textId="2A277BCE" w:rsidR="00EE78D8" w:rsidRPr="0030437E" w:rsidRDefault="00EE78D8">
      <w:pPr>
        <w:pStyle w:val="FootnoteText"/>
        <w:rPr>
          <w:lang w:val="en-US"/>
        </w:rPr>
      </w:pPr>
      <w:r>
        <w:rPr>
          <w:rStyle w:val="FootnoteReference"/>
        </w:rPr>
        <w:footnoteRef/>
      </w:r>
      <w:r>
        <w:tab/>
      </w:r>
      <w:r>
        <w:rPr>
          <w:lang w:val="en-US"/>
        </w:rPr>
        <w:t xml:space="preserve">See </w:t>
      </w:r>
      <w:r w:rsidRPr="00306233">
        <w:rPr>
          <w:lang w:val="en-US"/>
        </w:rPr>
        <w:t xml:space="preserve">McSherry et al, above n </w:t>
      </w:r>
      <w:r w:rsidRPr="00306233">
        <w:rPr>
          <w:lang w:val="en-US"/>
        </w:rPr>
        <w:fldChar w:fldCharType="begin"/>
      </w:r>
      <w:r w:rsidRPr="00306233">
        <w:rPr>
          <w:lang w:val="en-US"/>
        </w:rPr>
        <w:instrText xml:space="preserve"> NOTEREF _Ref536017353 \h </w:instrText>
      </w:r>
      <w:r>
        <w:rPr>
          <w:lang w:val="en-US"/>
        </w:rPr>
        <w:instrText xml:space="preserve"> \* MERGEFORMAT </w:instrText>
      </w:r>
      <w:r w:rsidRPr="00306233">
        <w:rPr>
          <w:lang w:val="en-US"/>
        </w:rPr>
      </w:r>
      <w:r w:rsidRPr="00306233">
        <w:rPr>
          <w:lang w:val="en-US"/>
        </w:rPr>
        <w:fldChar w:fldCharType="separate"/>
      </w:r>
      <w:r w:rsidR="001F209C">
        <w:rPr>
          <w:lang w:val="en-US"/>
        </w:rPr>
        <w:t>40</w:t>
      </w:r>
      <w:r w:rsidRPr="00306233">
        <w:rPr>
          <w:lang w:val="en-US"/>
        </w:rPr>
        <w:fldChar w:fldCharType="end"/>
      </w:r>
      <w:r w:rsidRPr="00306233">
        <w:rPr>
          <w:lang w:val="en-US"/>
        </w:rPr>
        <w:t>, 19;</w:t>
      </w:r>
      <w:r>
        <w:rPr>
          <w:lang w:val="en-US"/>
        </w:rPr>
        <w:t xml:space="preserve"> </w:t>
      </w:r>
      <w:r w:rsidRPr="00F90BDF">
        <w:rPr>
          <w:lang w:val="en-US"/>
        </w:rPr>
        <w:t xml:space="preserve">Arstein-Kerslake et al, above n </w:t>
      </w:r>
      <w:r w:rsidRPr="00F90BDF">
        <w:rPr>
          <w:lang w:val="en-US"/>
        </w:rPr>
        <w:fldChar w:fldCharType="begin"/>
      </w:r>
      <w:r w:rsidRPr="00F90BDF">
        <w:rPr>
          <w:lang w:val="en-US"/>
        </w:rPr>
        <w:instrText xml:space="preserve"> NOTEREF _Ref535056500 \h  \* MERGEFORMAT </w:instrText>
      </w:r>
      <w:r w:rsidRPr="00F90BDF">
        <w:rPr>
          <w:lang w:val="en-US"/>
        </w:rPr>
      </w:r>
      <w:r w:rsidRPr="00F90BDF">
        <w:rPr>
          <w:lang w:val="en-US"/>
        </w:rPr>
        <w:fldChar w:fldCharType="separate"/>
      </w:r>
      <w:r w:rsidR="001F209C">
        <w:rPr>
          <w:lang w:val="en-US"/>
        </w:rPr>
        <w:t>126</w:t>
      </w:r>
      <w:r w:rsidRPr="00F90BDF">
        <w:rPr>
          <w:lang w:val="en-US"/>
        </w:rPr>
        <w:fldChar w:fldCharType="end"/>
      </w:r>
      <w:r w:rsidRPr="00F90BDF">
        <w:rPr>
          <w:lang w:val="en-US"/>
        </w:rPr>
        <w:t xml:space="preserve">, </w:t>
      </w:r>
      <w:r>
        <w:rPr>
          <w:lang w:val="en-US"/>
        </w:rPr>
        <w:t xml:space="preserve">403–404; </w:t>
      </w:r>
      <w:r>
        <w:t xml:space="preserve">Gooding et al, above n </w:t>
      </w:r>
      <w:r>
        <w:fldChar w:fldCharType="begin"/>
      </w:r>
      <w:r>
        <w:instrText xml:space="preserve"> NOTEREF _Ref534982760 \h </w:instrText>
      </w:r>
      <w:r>
        <w:fldChar w:fldCharType="separate"/>
      </w:r>
      <w:r w:rsidR="001F209C">
        <w:t>37</w:t>
      </w:r>
      <w:r>
        <w:fldChar w:fldCharType="end"/>
      </w:r>
      <w:r>
        <w:t xml:space="preserve">, </w:t>
      </w:r>
      <w:r>
        <w:rPr>
          <w:lang w:val="en-US"/>
        </w:rPr>
        <w:t>845–850.</w:t>
      </w:r>
    </w:p>
  </w:footnote>
  <w:footnote w:id="305">
    <w:p w14:paraId="125E6BD8" w14:textId="792D4047" w:rsidR="00EE78D8" w:rsidRPr="00595239" w:rsidRDefault="00EE78D8">
      <w:pPr>
        <w:pStyle w:val="FootnoteText"/>
        <w:rPr>
          <w:lang w:val="en-US"/>
        </w:rPr>
      </w:pPr>
      <w:r>
        <w:rPr>
          <w:rStyle w:val="FootnoteReference"/>
        </w:rPr>
        <w:footnoteRef/>
      </w:r>
      <w:r>
        <w:tab/>
        <w:t xml:space="preserve">Gooding et al, above n </w:t>
      </w:r>
      <w:r>
        <w:fldChar w:fldCharType="begin"/>
      </w:r>
      <w:r>
        <w:instrText xml:space="preserve"> NOTEREF _Ref534982760 \h </w:instrText>
      </w:r>
      <w:r>
        <w:fldChar w:fldCharType="separate"/>
      </w:r>
      <w:r w:rsidR="001F209C">
        <w:t>37</w:t>
      </w:r>
      <w:r>
        <w:fldChar w:fldCharType="end"/>
      </w:r>
      <w:r>
        <w:t>, 862–863.</w:t>
      </w:r>
    </w:p>
  </w:footnote>
  <w:footnote w:id="306">
    <w:p w14:paraId="4CB1D1C1" w14:textId="2F3C2DDE" w:rsidR="00EE78D8" w:rsidRPr="00A43DBE" w:rsidRDefault="00EE78D8">
      <w:pPr>
        <w:pStyle w:val="FootnoteText"/>
        <w:rPr>
          <w:lang w:val="en-US"/>
        </w:rPr>
      </w:pPr>
      <w:r>
        <w:rPr>
          <w:rStyle w:val="FootnoteReference"/>
        </w:rPr>
        <w:footnoteRef/>
      </w:r>
      <w:r>
        <w:tab/>
      </w:r>
      <w:r w:rsidRPr="00A16AAC">
        <w:rPr>
          <w:i/>
        </w:rPr>
        <w:t>Criminal Justice Mental Impairment Act 1999</w:t>
      </w:r>
      <w:r w:rsidRPr="00A16AAC">
        <w:t xml:space="preserve"> (Tas)</w:t>
      </w:r>
      <w:r>
        <w:rPr>
          <w:lang w:val="en-US"/>
        </w:rPr>
        <w:t xml:space="preserve"> s 17.</w:t>
      </w:r>
    </w:p>
  </w:footnote>
  <w:footnote w:id="307">
    <w:p w14:paraId="3C86216C" w14:textId="4127465E" w:rsidR="00EE78D8" w:rsidRPr="00A219A6" w:rsidRDefault="00EE78D8" w:rsidP="00E57E9F">
      <w:pPr>
        <w:pStyle w:val="FootnoteText"/>
        <w:rPr>
          <w:lang w:val="en-US"/>
        </w:rPr>
      </w:pPr>
      <w:r>
        <w:rPr>
          <w:rStyle w:val="FootnoteReference"/>
        </w:rPr>
        <w:footnoteRef/>
      </w:r>
      <w:r>
        <w:tab/>
      </w:r>
      <w:r>
        <w:rPr>
          <w:lang w:val="en-US"/>
        </w:rPr>
        <w:t xml:space="preserve">See Law Commission of England and Wales, </w:t>
      </w:r>
      <w:r w:rsidRPr="0031572A">
        <w:t xml:space="preserve">above n </w:t>
      </w:r>
      <w:r>
        <w:fldChar w:fldCharType="begin"/>
      </w:r>
      <w:r>
        <w:instrText xml:space="preserve"> NOTEREF _Ref535064644 \h </w:instrText>
      </w:r>
      <w:r>
        <w:fldChar w:fldCharType="separate"/>
      </w:r>
      <w:r w:rsidR="001F209C">
        <w:t>142</w:t>
      </w:r>
      <w:r>
        <w:fldChar w:fldCharType="end"/>
      </w:r>
      <w:r>
        <w:t>,</w:t>
      </w:r>
      <w:r>
        <w:rPr>
          <w:lang w:val="en-US"/>
        </w:rPr>
        <w:t xml:space="preserve"> 157.</w:t>
      </w:r>
    </w:p>
  </w:footnote>
  <w:footnote w:id="308">
    <w:p w14:paraId="3FB3BC90" w14:textId="6896560C" w:rsidR="00EE78D8" w:rsidRPr="00BA1BDF" w:rsidRDefault="00EE78D8" w:rsidP="00BA1BDF">
      <w:pPr>
        <w:pStyle w:val="FootnoteText"/>
        <w:rPr>
          <w:i/>
          <w:lang w:val="en-US"/>
        </w:rPr>
      </w:pPr>
      <w:r>
        <w:rPr>
          <w:rStyle w:val="FootnoteReference"/>
        </w:rPr>
        <w:footnoteRef/>
      </w:r>
      <w:r>
        <w:rPr>
          <w:lang w:val="en-US"/>
        </w:rPr>
        <w:tab/>
        <w:t xml:space="preserve">P Gooding et al, ‘Supporting Accused Persons with Cognitive Disabilities to Participate in Criminal Proceedings in Australia: Avoiding the Pitfalls of Unfitness to Stand Trial Laws’ (2017) 35 </w:t>
      </w:r>
      <w:r>
        <w:rPr>
          <w:i/>
          <w:lang w:val="en-US"/>
        </w:rPr>
        <w:t xml:space="preserve">Law in Context </w:t>
      </w:r>
      <w:r>
        <w:rPr>
          <w:lang w:val="en-US"/>
        </w:rPr>
        <w:t xml:space="preserve">64, 69 citing K Eagle and A Ellis, ‘The Widening Net of Preventative Detention and the Unfit for Trial’ </w:t>
      </w:r>
      <w:r w:rsidRPr="00BA1BDF">
        <w:rPr>
          <w:lang w:val="en-US"/>
        </w:rPr>
        <w:t xml:space="preserve">(2016) 90(3) </w:t>
      </w:r>
      <w:r w:rsidRPr="00255E08">
        <w:rPr>
          <w:i/>
          <w:lang w:val="en-US"/>
        </w:rPr>
        <w:t>Australian Law Journal</w:t>
      </w:r>
      <w:r w:rsidRPr="00BA1BDF">
        <w:rPr>
          <w:lang w:val="en-US"/>
        </w:rPr>
        <w:t xml:space="preserve"> 174.</w:t>
      </w:r>
      <w:r>
        <w:rPr>
          <w:lang w:val="en-US"/>
        </w:rPr>
        <w:t xml:space="preserve"> </w:t>
      </w:r>
    </w:p>
  </w:footnote>
  <w:footnote w:id="309">
    <w:p w14:paraId="1AA08542" w14:textId="2F8AD107" w:rsidR="00EE78D8" w:rsidRPr="002B0FFB" w:rsidRDefault="00EE78D8">
      <w:pPr>
        <w:pStyle w:val="FootnoteText"/>
        <w:rPr>
          <w:lang w:val="en-US"/>
        </w:rPr>
      </w:pPr>
      <w:r>
        <w:rPr>
          <w:rStyle w:val="FootnoteReference"/>
        </w:rPr>
        <w:footnoteRef/>
      </w:r>
      <w:r>
        <w:rPr>
          <w:lang w:val="en-US"/>
        </w:rPr>
        <w:tab/>
        <w:t>See Part 8 for a discussion of disposition.</w:t>
      </w:r>
    </w:p>
  </w:footnote>
  <w:footnote w:id="310">
    <w:p w14:paraId="7F4EABC0" w14:textId="3E18ADF7" w:rsidR="00EE78D8" w:rsidRPr="008E480A" w:rsidRDefault="00EE78D8">
      <w:pPr>
        <w:pStyle w:val="FootnoteText"/>
        <w:rPr>
          <w:lang w:val="en-US"/>
        </w:rPr>
      </w:pPr>
      <w:r>
        <w:rPr>
          <w:rStyle w:val="FootnoteReference"/>
        </w:rPr>
        <w:footnoteRef/>
      </w:r>
      <w:r>
        <w:rPr>
          <w:lang w:val="en-US"/>
        </w:rPr>
        <w:tab/>
        <w:t>See Appendix 8.</w:t>
      </w:r>
    </w:p>
  </w:footnote>
  <w:footnote w:id="311">
    <w:p w14:paraId="35C9D018" w14:textId="1F7A0681" w:rsidR="00EE78D8" w:rsidRPr="00831509" w:rsidRDefault="00EE78D8">
      <w:pPr>
        <w:pStyle w:val="FootnoteText"/>
        <w:rPr>
          <w:lang w:val="en-US"/>
        </w:rPr>
      </w:pPr>
      <w:r>
        <w:rPr>
          <w:rStyle w:val="FootnoteReference"/>
        </w:rPr>
        <w:footnoteRef/>
      </w:r>
      <w:r>
        <w:rPr>
          <w:lang w:val="en-US"/>
        </w:rPr>
        <w:tab/>
        <w:t xml:space="preserve">See ALRC, above n </w:t>
      </w:r>
      <w:r>
        <w:rPr>
          <w:lang w:val="en-US"/>
        </w:rPr>
        <w:fldChar w:fldCharType="begin"/>
      </w:r>
      <w:r>
        <w:rPr>
          <w:lang w:val="en-US"/>
        </w:rPr>
        <w:instrText xml:space="preserve"> NOTEREF _Ref536035283 \h </w:instrText>
      </w:r>
      <w:r>
        <w:rPr>
          <w:lang w:val="en-US"/>
        </w:rPr>
      </w:r>
      <w:r>
        <w:rPr>
          <w:lang w:val="en-US"/>
        </w:rPr>
        <w:fldChar w:fldCharType="separate"/>
      </w:r>
      <w:r w:rsidR="001F209C">
        <w:rPr>
          <w:lang w:val="en-US"/>
        </w:rPr>
        <w:t>110</w:t>
      </w:r>
      <w:r>
        <w:rPr>
          <w:lang w:val="en-US"/>
        </w:rPr>
        <w:fldChar w:fldCharType="end"/>
      </w:r>
      <w:r>
        <w:rPr>
          <w:lang w:val="en-US"/>
        </w:rPr>
        <w:t>, Recommendation 3-1</w:t>
      </w:r>
      <w:r w:rsidRPr="00C37786">
        <w:rPr>
          <w:lang w:val="en-US"/>
        </w:rPr>
        <w:t xml:space="preserve">. See also TLRI, above n </w:t>
      </w:r>
      <w:r w:rsidRPr="00C37786">
        <w:rPr>
          <w:lang w:val="en-US"/>
        </w:rPr>
        <w:fldChar w:fldCharType="begin"/>
      </w:r>
      <w:r w:rsidRPr="00C37786">
        <w:rPr>
          <w:lang w:val="en-US"/>
        </w:rPr>
        <w:instrText xml:space="preserve"> NOTEREF _Ref534966370 \h </w:instrText>
      </w:r>
      <w:r>
        <w:rPr>
          <w:lang w:val="en-US"/>
        </w:rPr>
        <w:instrText xml:space="preserve"> \* MERGEFORMAT </w:instrText>
      </w:r>
      <w:r w:rsidRPr="00C37786">
        <w:rPr>
          <w:lang w:val="en-US"/>
        </w:rPr>
      </w:r>
      <w:r w:rsidRPr="00C37786">
        <w:rPr>
          <w:lang w:val="en-US"/>
        </w:rPr>
        <w:fldChar w:fldCharType="separate"/>
      </w:r>
      <w:r w:rsidR="001F209C">
        <w:rPr>
          <w:lang w:val="en-US"/>
        </w:rPr>
        <w:t>7</w:t>
      </w:r>
      <w:r w:rsidRPr="00C37786">
        <w:rPr>
          <w:lang w:val="en-US"/>
        </w:rPr>
        <w:fldChar w:fldCharType="end"/>
      </w:r>
      <w:r w:rsidRPr="00C37786">
        <w:rPr>
          <w:lang w:val="en-US"/>
        </w:rPr>
        <w:t>,</w:t>
      </w:r>
      <w:r w:rsidRPr="00C37786">
        <w:rPr>
          <w:i/>
          <w:lang w:val="en-US"/>
        </w:rPr>
        <w:t xml:space="preserve"> </w:t>
      </w:r>
      <w:r w:rsidRPr="00662C0F">
        <w:rPr>
          <w:lang w:val="en-US"/>
        </w:rPr>
        <w:t>Part 3,</w:t>
      </w:r>
      <w:r>
        <w:rPr>
          <w:i/>
          <w:lang w:val="en-US"/>
        </w:rPr>
        <w:t xml:space="preserve"> </w:t>
      </w:r>
      <w:r w:rsidRPr="00C37786">
        <w:rPr>
          <w:lang w:val="en-US"/>
        </w:rPr>
        <w:t>where recommendations were made for a shift from the paternalistic ‘best interests’ approach to representative decision-making based on a person’s will, preferences and rights.</w:t>
      </w:r>
    </w:p>
  </w:footnote>
  <w:footnote w:id="312">
    <w:p w14:paraId="62E5CB0D" w14:textId="1AC0BF20" w:rsidR="00EE78D8" w:rsidRPr="00E745C8" w:rsidRDefault="00EE78D8">
      <w:pPr>
        <w:pStyle w:val="FootnoteText"/>
        <w:rPr>
          <w:lang w:val="en-US"/>
        </w:rPr>
      </w:pPr>
      <w:r>
        <w:rPr>
          <w:rStyle w:val="FootnoteReference"/>
        </w:rPr>
        <w:footnoteRef/>
      </w:r>
      <w:r>
        <w:rPr>
          <w:i/>
          <w:lang w:val="en-US"/>
        </w:rPr>
        <w:tab/>
        <w:t xml:space="preserve">Criminal Law Consolidation Act 1935 </w:t>
      </w:r>
      <w:r>
        <w:rPr>
          <w:lang w:val="en-US"/>
        </w:rPr>
        <w:t>(SA) s 269B.</w:t>
      </w:r>
    </w:p>
  </w:footnote>
  <w:footnote w:id="313">
    <w:p w14:paraId="0C133957" w14:textId="2F4F8F48" w:rsidR="00EE78D8" w:rsidRPr="009D57DA" w:rsidRDefault="00EE78D8">
      <w:pPr>
        <w:pStyle w:val="FootnoteText"/>
        <w:rPr>
          <w:lang w:val="en-US"/>
        </w:rPr>
      </w:pPr>
      <w:r>
        <w:rPr>
          <w:rStyle w:val="FootnoteReference"/>
        </w:rPr>
        <w:footnoteRef/>
      </w:r>
      <w:r>
        <w:tab/>
      </w:r>
      <w:r>
        <w:rPr>
          <w:i/>
          <w:lang w:val="en-US"/>
        </w:rPr>
        <w:t xml:space="preserve">Criminal Code </w:t>
      </w:r>
      <w:r>
        <w:rPr>
          <w:lang w:val="en-US"/>
        </w:rPr>
        <w:t xml:space="preserve">(NT) s 43XA inserted by </w:t>
      </w:r>
      <w:r>
        <w:rPr>
          <w:i/>
          <w:lang w:val="en-US"/>
        </w:rPr>
        <w:t xml:space="preserve">Criminal Code (Amendment (Mental Impairment and Unfitness to be Tried) Act 2017 </w:t>
      </w:r>
      <w:r>
        <w:rPr>
          <w:lang w:val="en-US"/>
        </w:rPr>
        <w:t>(NT).</w:t>
      </w:r>
    </w:p>
  </w:footnote>
  <w:footnote w:id="314">
    <w:p w14:paraId="243750A0" w14:textId="7E37D8A1" w:rsidR="00EE78D8" w:rsidRPr="00005878" w:rsidRDefault="00EE78D8">
      <w:pPr>
        <w:pStyle w:val="FootnoteText"/>
        <w:rPr>
          <w:lang w:val="en-US"/>
        </w:rPr>
      </w:pPr>
      <w:r>
        <w:rPr>
          <w:rStyle w:val="FootnoteReference"/>
        </w:rPr>
        <w:footnoteRef/>
      </w:r>
      <w:r>
        <w:tab/>
      </w:r>
      <w:r>
        <w:rPr>
          <w:i/>
          <w:lang w:val="en-US"/>
        </w:rPr>
        <w:t xml:space="preserve">Crimes (Mental Impairment and Unfitness to be Tried) Act 1997 </w:t>
      </w:r>
      <w:r>
        <w:rPr>
          <w:lang w:val="en-US"/>
        </w:rPr>
        <w:t xml:space="preserve">(Vic) s 21(4). It is noted that the VLRC has now recommended repeal of this provision: see 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234 Recommendation 52.</w:t>
      </w:r>
    </w:p>
  </w:footnote>
  <w:footnote w:id="315">
    <w:p w14:paraId="76ECEAC8" w14:textId="738CD476" w:rsidR="00EE78D8" w:rsidRPr="00692357" w:rsidRDefault="00EE78D8">
      <w:pPr>
        <w:pStyle w:val="FootnoteText"/>
        <w:rPr>
          <w:lang w:val="en-US"/>
        </w:rPr>
      </w:pPr>
      <w:r>
        <w:rPr>
          <w:rStyle w:val="FootnoteReference"/>
        </w:rPr>
        <w:footnoteRef/>
      </w:r>
      <w:r>
        <w:tab/>
      </w:r>
      <w:r>
        <w:rPr>
          <w:i/>
          <w:lang w:val="en-US"/>
        </w:rPr>
        <w:t xml:space="preserve">SM v The Queen </w:t>
      </w:r>
      <w:r>
        <w:rPr>
          <w:lang w:val="en-US"/>
        </w:rPr>
        <w:t xml:space="preserve">VSCA 342. See discussion in 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235.</w:t>
      </w:r>
    </w:p>
  </w:footnote>
  <w:footnote w:id="316">
    <w:p w14:paraId="730CF8C4" w14:textId="5E9C4A02" w:rsidR="00EE78D8" w:rsidRPr="00A05E38"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235–236.</w:t>
      </w:r>
    </w:p>
  </w:footnote>
  <w:footnote w:id="317">
    <w:p w14:paraId="3B431935" w14:textId="48913E8C" w:rsidR="00EE78D8" w:rsidRPr="00E5312D" w:rsidRDefault="00EE78D8">
      <w:pPr>
        <w:pStyle w:val="FootnoteText"/>
        <w:rPr>
          <w:lang w:val="en-US"/>
        </w:rPr>
      </w:pPr>
      <w:r>
        <w:rPr>
          <w:rStyle w:val="FootnoteReference"/>
        </w:rPr>
        <w:footnoteRef/>
      </w:r>
      <w:r>
        <w:tab/>
        <w:t xml:space="preserve">Law Commission of England and Wales, above n </w:t>
      </w:r>
      <w:r>
        <w:rPr>
          <w:lang w:val="en-US"/>
        </w:rPr>
        <w:fldChar w:fldCharType="begin"/>
      </w:r>
      <w:r>
        <w:instrText xml:space="preserve"> NOTEREF _Ref535064644 \h </w:instrText>
      </w:r>
      <w:r>
        <w:rPr>
          <w:lang w:val="en-US"/>
        </w:rPr>
      </w:r>
      <w:r>
        <w:rPr>
          <w:lang w:val="en-US"/>
        </w:rPr>
        <w:fldChar w:fldCharType="separate"/>
      </w:r>
      <w:r w:rsidR="001F209C">
        <w:t>142</w:t>
      </w:r>
      <w:r>
        <w:rPr>
          <w:lang w:val="en-US"/>
        </w:rPr>
        <w:fldChar w:fldCharType="end"/>
      </w:r>
      <w:r>
        <w:rPr>
          <w:lang w:val="en-US"/>
        </w:rPr>
        <w:t>, 181.</w:t>
      </w:r>
    </w:p>
  </w:footnote>
  <w:footnote w:id="318">
    <w:p w14:paraId="5076FA16" w14:textId="5F236FDF" w:rsidR="00EE78D8" w:rsidRPr="00E5312D" w:rsidRDefault="00EE78D8">
      <w:pPr>
        <w:pStyle w:val="FootnoteText"/>
        <w:rPr>
          <w:lang w:val="en-US"/>
        </w:rPr>
      </w:pPr>
      <w:r>
        <w:rPr>
          <w:rStyle w:val="FootnoteReference"/>
        </w:rPr>
        <w:footnoteRef/>
      </w:r>
      <w:r>
        <w:tab/>
        <w:t xml:space="preserve">Ibid </w:t>
      </w:r>
      <w:r>
        <w:rPr>
          <w:lang w:val="en-US"/>
        </w:rPr>
        <w:t>184.</w:t>
      </w:r>
    </w:p>
  </w:footnote>
  <w:footnote w:id="319">
    <w:p w14:paraId="43EA9FFE" w14:textId="747402C8" w:rsidR="00EE78D8" w:rsidRPr="003270C9" w:rsidRDefault="00EE78D8">
      <w:pPr>
        <w:pStyle w:val="FootnoteText"/>
        <w:rPr>
          <w:lang w:val="en-US"/>
        </w:rPr>
      </w:pPr>
      <w:r>
        <w:rPr>
          <w:rStyle w:val="FootnoteReference"/>
        </w:rPr>
        <w:footnoteRef/>
      </w:r>
      <w:r>
        <w:tab/>
        <w:t xml:space="preserve">VLRC, above n </w:t>
      </w:r>
      <w:r>
        <w:fldChar w:fldCharType="begin"/>
      </w:r>
      <w:r>
        <w:instrText xml:space="preserve"> NOTEREF _Ref534978514 \h </w:instrText>
      </w:r>
      <w:r>
        <w:fldChar w:fldCharType="separate"/>
      </w:r>
      <w:r w:rsidR="001F209C">
        <w:t>24</w:t>
      </w:r>
      <w:r>
        <w:fldChar w:fldCharType="end"/>
      </w:r>
      <w:r>
        <w:t>, 236.</w:t>
      </w:r>
    </w:p>
  </w:footnote>
  <w:footnote w:id="320">
    <w:p w14:paraId="3F748B46" w14:textId="6D87A15D" w:rsidR="00EE78D8" w:rsidRPr="003270C9" w:rsidRDefault="00EE78D8">
      <w:pPr>
        <w:pStyle w:val="FootnoteText"/>
        <w:rPr>
          <w:lang w:val="en-US"/>
        </w:rPr>
      </w:pPr>
      <w:r>
        <w:rPr>
          <w:rStyle w:val="FootnoteReference"/>
        </w:rPr>
        <w:footnoteRef/>
      </w:r>
      <w:r>
        <w:tab/>
        <w:t>Ibid.</w:t>
      </w:r>
    </w:p>
  </w:footnote>
  <w:footnote w:id="321">
    <w:p w14:paraId="2C2A6E1E" w14:textId="07466772" w:rsidR="00EE78D8" w:rsidRPr="003270C9" w:rsidRDefault="00EE78D8">
      <w:pPr>
        <w:pStyle w:val="FootnoteText"/>
        <w:rPr>
          <w:lang w:val="en-US"/>
        </w:rPr>
      </w:pPr>
      <w:r>
        <w:rPr>
          <w:rStyle w:val="FootnoteReference"/>
        </w:rPr>
        <w:footnoteRef/>
      </w:r>
      <w:r>
        <w:tab/>
        <w:t xml:space="preserve">Ibid </w:t>
      </w:r>
      <w:r>
        <w:rPr>
          <w:lang w:val="en-US"/>
        </w:rPr>
        <w:t>233, 236.</w:t>
      </w:r>
    </w:p>
  </w:footnote>
  <w:footnote w:id="322">
    <w:p w14:paraId="17D5962F" w14:textId="32FB413A" w:rsidR="00EE78D8" w:rsidRPr="009909FB" w:rsidRDefault="00EE78D8">
      <w:pPr>
        <w:pStyle w:val="FootnoteText"/>
        <w:rPr>
          <w:lang w:val="en-US"/>
        </w:rPr>
      </w:pPr>
      <w:r>
        <w:rPr>
          <w:rStyle w:val="FootnoteReference"/>
        </w:rPr>
        <w:footnoteRef/>
      </w:r>
      <w:r>
        <w:tab/>
        <w:t xml:space="preserve">Ibid </w:t>
      </w:r>
      <w:r>
        <w:rPr>
          <w:lang w:val="en-US"/>
        </w:rPr>
        <w:t>234.</w:t>
      </w:r>
    </w:p>
  </w:footnote>
  <w:footnote w:id="323">
    <w:p w14:paraId="3DF580F4" w14:textId="69F91865" w:rsidR="00EE78D8" w:rsidRPr="00B62084" w:rsidRDefault="00EE78D8">
      <w:pPr>
        <w:pStyle w:val="FootnoteText"/>
        <w:rPr>
          <w:lang w:val="en-US"/>
        </w:rPr>
      </w:pPr>
      <w:r>
        <w:rPr>
          <w:rStyle w:val="FootnoteReference"/>
        </w:rPr>
        <w:footnoteRef/>
      </w:r>
      <w:r>
        <w:tab/>
        <w:t xml:space="preserve">Law Commission of England and Wales, above n </w:t>
      </w:r>
      <w:r>
        <w:fldChar w:fldCharType="begin"/>
      </w:r>
      <w:r>
        <w:instrText xml:space="preserve"> NOTEREF _Ref535064644 \h </w:instrText>
      </w:r>
      <w:r>
        <w:fldChar w:fldCharType="separate"/>
      </w:r>
      <w:r w:rsidR="001F209C">
        <w:t>142</w:t>
      </w:r>
      <w:r>
        <w:fldChar w:fldCharType="end"/>
      </w:r>
      <w:r>
        <w:t xml:space="preserve">, </w:t>
      </w:r>
      <w:r>
        <w:rPr>
          <w:lang w:val="en-US"/>
        </w:rPr>
        <w:t>183–184.</w:t>
      </w:r>
    </w:p>
  </w:footnote>
  <w:footnote w:id="324">
    <w:p w14:paraId="089E8039" w14:textId="4437FCDF" w:rsidR="00EE78D8" w:rsidRPr="0027751B" w:rsidRDefault="00EE78D8">
      <w:pPr>
        <w:pStyle w:val="FootnoteText"/>
        <w:rPr>
          <w:lang w:val="en-US"/>
        </w:rPr>
      </w:pPr>
      <w:r>
        <w:rPr>
          <w:rStyle w:val="FootnoteReference"/>
        </w:rPr>
        <w:footnoteRef/>
      </w:r>
      <w:r>
        <w:tab/>
      </w:r>
      <w:r>
        <w:rPr>
          <w:lang w:val="en-US"/>
        </w:rPr>
        <w:t>See discussion at [6.4].</w:t>
      </w:r>
    </w:p>
  </w:footnote>
  <w:footnote w:id="325">
    <w:p w14:paraId="5C962599" w14:textId="7490B89D" w:rsidR="00EE78D8" w:rsidRPr="00513943" w:rsidRDefault="00EE78D8">
      <w:pPr>
        <w:pStyle w:val="FootnoteText"/>
        <w:rPr>
          <w:lang w:val="en-US"/>
        </w:rPr>
      </w:pPr>
      <w:r>
        <w:rPr>
          <w:rStyle w:val="FootnoteReference"/>
        </w:rPr>
        <w:footnoteRef/>
      </w:r>
      <w:r>
        <w:tab/>
        <w:t xml:space="preserve">VLRC, above n </w:t>
      </w:r>
      <w:r>
        <w:fldChar w:fldCharType="begin"/>
      </w:r>
      <w:r>
        <w:instrText xml:space="preserve"> NOTEREF _Ref534978514 \h </w:instrText>
      </w:r>
      <w:r>
        <w:fldChar w:fldCharType="separate"/>
      </w:r>
      <w:r w:rsidR="001F209C">
        <w:t>24</w:t>
      </w:r>
      <w:r>
        <w:fldChar w:fldCharType="end"/>
      </w:r>
      <w:r>
        <w:t xml:space="preserve">, 234; </w:t>
      </w:r>
      <w:r>
        <w:rPr>
          <w:lang w:val="en-US"/>
        </w:rPr>
        <w:t xml:space="preserve">Law Commission </w:t>
      </w:r>
      <w:r>
        <w:t xml:space="preserve">of England and Wales, above n </w:t>
      </w:r>
      <w:r>
        <w:fldChar w:fldCharType="begin"/>
      </w:r>
      <w:r>
        <w:instrText xml:space="preserve"> NOTEREF _Ref535064644 \h </w:instrText>
      </w:r>
      <w:r>
        <w:fldChar w:fldCharType="separate"/>
      </w:r>
      <w:r w:rsidR="001F209C">
        <w:t>142</w:t>
      </w:r>
      <w:r>
        <w:fldChar w:fldCharType="end"/>
      </w:r>
      <w:r>
        <w:t>,</w:t>
      </w:r>
      <w:r>
        <w:rPr>
          <w:lang w:val="en-US"/>
        </w:rPr>
        <w:t xml:space="preserve"> 186.</w:t>
      </w:r>
    </w:p>
  </w:footnote>
  <w:footnote w:id="326">
    <w:p w14:paraId="2D7E7AD5" w14:textId="2A8843FA" w:rsidR="00EE78D8" w:rsidRPr="00A47716" w:rsidRDefault="00EE78D8" w:rsidP="00A47716">
      <w:pPr>
        <w:pStyle w:val="FootnoteTextTLRI"/>
        <w:rPr>
          <w:rStyle w:val="FootnoteTextChar"/>
        </w:rPr>
      </w:pPr>
      <w:r w:rsidRPr="00C01310">
        <w:rPr>
          <w:rStyle w:val="FootnoteReference"/>
        </w:rPr>
        <w:footnoteRef/>
      </w:r>
      <w:r>
        <w:tab/>
      </w:r>
      <w:r w:rsidRPr="00A02937">
        <w:t xml:space="preserve">A </w:t>
      </w:r>
      <w:r w:rsidRPr="00180290">
        <w:t xml:space="preserve">Schloenhardt, </w:t>
      </w:r>
      <w:r w:rsidRPr="00A02937">
        <w:rPr>
          <w:i/>
        </w:rPr>
        <w:t xml:space="preserve">Queensland Criminal Law </w:t>
      </w:r>
      <w:r w:rsidRPr="00A02937">
        <w:t>(Oxford University Press, 2015) [17.1.2].</w:t>
      </w:r>
    </w:p>
  </w:footnote>
  <w:footnote w:id="327">
    <w:p w14:paraId="683AF9D8" w14:textId="06E10C89" w:rsidR="00EE78D8" w:rsidRPr="00A47716" w:rsidRDefault="00EE78D8" w:rsidP="00A47716">
      <w:pPr>
        <w:pStyle w:val="FootnoteTextTLRI"/>
        <w:rPr>
          <w:rStyle w:val="FootnoteTextChar"/>
        </w:rPr>
      </w:pPr>
      <w:r w:rsidRPr="00C01310">
        <w:rPr>
          <w:rStyle w:val="FootnoteReference"/>
        </w:rPr>
        <w:footnoteRef/>
      </w:r>
      <w:r>
        <w:tab/>
      </w:r>
      <w:r w:rsidRPr="00A47716">
        <w:rPr>
          <w:rStyle w:val="FootnoteTextChar"/>
        </w:rPr>
        <w:t xml:space="preserve">See A Simester and W Brookbanks, </w:t>
      </w:r>
      <w:r w:rsidRPr="00A47716">
        <w:rPr>
          <w:rStyle w:val="FootnoteTextChar"/>
          <w:i/>
        </w:rPr>
        <w:t>Principles of Criminal Law</w:t>
      </w:r>
      <w:r w:rsidRPr="00A47716">
        <w:rPr>
          <w:rStyle w:val="FootnoteTextChar"/>
        </w:rPr>
        <w:t xml:space="preserve"> (Thomson Reuters, 4</w:t>
      </w:r>
      <w:r w:rsidRPr="00ED382B">
        <w:rPr>
          <w:rStyle w:val="FootnoteTextChar"/>
          <w:vertAlign w:val="superscript"/>
        </w:rPr>
        <w:t>th</w:t>
      </w:r>
      <w:r>
        <w:rPr>
          <w:rStyle w:val="FootnoteTextChar"/>
        </w:rPr>
        <w:t xml:space="preserve"> </w:t>
      </w:r>
      <w:r w:rsidRPr="00A47716">
        <w:rPr>
          <w:rStyle w:val="FootnoteTextChar"/>
        </w:rPr>
        <w:t xml:space="preserve">ed, 2012) 322–340, 347; S Bronitt and B McSherry, </w:t>
      </w:r>
      <w:r w:rsidRPr="00A47716">
        <w:rPr>
          <w:rStyle w:val="FootnoteTextChar"/>
          <w:i/>
        </w:rPr>
        <w:t>Principles of Criminal Law</w:t>
      </w:r>
      <w:r w:rsidRPr="00A47716">
        <w:rPr>
          <w:rStyle w:val="FootnoteTextChar"/>
        </w:rPr>
        <w:t xml:space="preserve"> (Lawbook Co, 3</w:t>
      </w:r>
      <w:r w:rsidRPr="00FF6166">
        <w:rPr>
          <w:rStyle w:val="FootnoteTextChar"/>
          <w:vertAlign w:val="superscript"/>
        </w:rPr>
        <w:t>rd</w:t>
      </w:r>
      <w:r w:rsidRPr="00A47716">
        <w:rPr>
          <w:rStyle w:val="FootnoteTextChar"/>
        </w:rPr>
        <w:t xml:space="preserve"> ed, 2010) [4.30]–[4.35]; B McSherry, ‘Defining What is a “Disease of the Mind”: The Untenability of Current Legal Interpretations’ (1993) 1 </w:t>
      </w:r>
      <w:r w:rsidRPr="00A47716">
        <w:rPr>
          <w:rStyle w:val="FootnoteTextChar"/>
          <w:i/>
        </w:rPr>
        <w:t>Journal of Law and Medicine</w:t>
      </w:r>
      <w:r w:rsidRPr="00A47716">
        <w:rPr>
          <w:rStyle w:val="FootnoteTextChar"/>
        </w:rPr>
        <w:t xml:space="preserve"> 76; VLRC, </w:t>
      </w:r>
      <w:r w:rsidRPr="00180290">
        <w:rPr>
          <w:rStyle w:val="FootnoteTextChar"/>
        </w:rPr>
        <w:t xml:space="preserve">above n </w:t>
      </w:r>
      <w:r w:rsidRPr="00180290">
        <w:rPr>
          <w:rStyle w:val="FootnoteTextChar"/>
        </w:rPr>
        <w:fldChar w:fldCharType="begin"/>
      </w:r>
      <w:r w:rsidRPr="00180290">
        <w:rPr>
          <w:rStyle w:val="FootnoteTextChar"/>
        </w:rPr>
        <w:instrText xml:space="preserve"> NOTEREF _Ref534979326 \h  \* MERGEFORMAT </w:instrText>
      </w:r>
      <w:r w:rsidRPr="00180290">
        <w:rPr>
          <w:rStyle w:val="FootnoteTextChar"/>
        </w:rPr>
      </w:r>
      <w:r w:rsidRPr="00180290">
        <w:rPr>
          <w:rStyle w:val="FootnoteTextChar"/>
        </w:rPr>
        <w:fldChar w:fldCharType="separate"/>
      </w:r>
      <w:r w:rsidR="001F209C">
        <w:rPr>
          <w:rStyle w:val="FootnoteTextChar"/>
        </w:rPr>
        <w:t>26</w:t>
      </w:r>
      <w:r w:rsidRPr="00180290">
        <w:rPr>
          <w:rStyle w:val="FootnoteTextChar"/>
        </w:rPr>
        <w:fldChar w:fldCharType="end"/>
      </w:r>
      <w:r w:rsidRPr="00180290">
        <w:rPr>
          <w:rStyle w:val="FootnoteTextChar"/>
        </w:rPr>
        <w:t>, [5.11]–[5.44];</w:t>
      </w:r>
      <w:r w:rsidRPr="00A47716">
        <w:rPr>
          <w:rStyle w:val="FootnoteTextChar"/>
        </w:rPr>
        <w:t xml:space="preserve"> NSWLRC, above n </w:t>
      </w:r>
      <w:r w:rsidRPr="00A47716">
        <w:rPr>
          <w:rStyle w:val="FootnoteTextChar"/>
        </w:rPr>
        <w:fldChar w:fldCharType="begin"/>
      </w:r>
      <w:r w:rsidRPr="00A47716">
        <w:rPr>
          <w:rStyle w:val="FootnoteTextChar"/>
        </w:rPr>
        <w:instrText xml:space="preserve"> NOTEREF _Ref534982374 \h </w:instrText>
      </w:r>
      <w:r>
        <w:rPr>
          <w:rStyle w:val="FootnoteTextChar"/>
        </w:rPr>
        <w:instrText xml:space="preserve"> \* MERGEFORMAT </w:instrText>
      </w:r>
      <w:r w:rsidRPr="00A47716">
        <w:rPr>
          <w:rStyle w:val="FootnoteTextChar"/>
        </w:rPr>
      </w:r>
      <w:r w:rsidRPr="00A47716">
        <w:rPr>
          <w:rStyle w:val="FootnoteTextChar"/>
        </w:rPr>
        <w:fldChar w:fldCharType="separate"/>
      </w:r>
      <w:r w:rsidR="001F209C">
        <w:rPr>
          <w:rStyle w:val="FootnoteTextChar"/>
        </w:rPr>
        <w:t>55</w:t>
      </w:r>
      <w:r w:rsidRPr="00A47716">
        <w:rPr>
          <w:rStyle w:val="FootnoteTextChar"/>
        </w:rPr>
        <w:fldChar w:fldCharType="end"/>
      </w:r>
      <w:r w:rsidRPr="00A47716">
        <w:rPr>
          <w:rStyle w:val="FootnoteTextChar"/>
        </w:rPr>
        <w:t>, [3.13]–[3.109].</w:t>
      </w:r>
    </w:p>
  </w:footnote>
  <w:footnote w:id="328">
    <w:p w14:paraId="5BDE7C0E" w14:textId="373F30B6" w:rsidR="00EE78D8" w:rsidRPr="00C01310" w:rsidRDefault="00EE78D8" w:rsidP="00C022D6">
      <w:pPr>
        <w:pStyle w:val="FootnoteTextTLRI"/>
        <w:rPr>
          <w:lang w:val="en-AU"/>
        </w:rPr>
      </w:pPr>
      <w:r w:rsidRPr="00C01310">
        <w:rPr>
          <w:rStyle w:val="FootnoteReference"/>
          <w:lang w:val="en-AU"/>
        </w:rPr>
        <w:footnoteRef/>
      </w:r>
      <w:r w:rsidRPr="00C01310">
        <w:rPr>
          <w:lang w:val="en-AU"/>
        </w:rPr>
        <w:tab/>
        <w:t xml:space="preserve">(1843) 10 Cl&amp;F 200; 8 ER 718. See F McAuley, </w:t>
      </w:r>
      <w:r w:rsidRPr="00C01310">
        <w:rPr>
          <w:i/>
          <w:lang w:val="en-AU"/>
        </w:rPr>
        <w:t>Insanity, Psychiatry and Criminal Responsibility</w:t>
      </w:r>
      <w:r w:rsidRPr="00C01310">
        <w:rPr>
          <w:lang w:val="en-AU"/>
        </w:rPr>
        <w:t xml:space="preserve"> </w:t>
      </w:r>
      <w:r>
        <w:rPr>
          <w:lang w:val="en-AU"/>
        </w:rPr>
        <w:t>(</w:t>
      </w:r>
      <w:r w:rsidRPr="00C01310">
        <w:rPr>
          <w:lang w:val="en-AU"/>
        </w:rPr>
        <w:t>Round Hall Press, 1993</w:t>
      </w:r>
      <w:r>
        <w:rPr>
          <w:lang w:val="en-AU"/>
        </w:rPr>
        <w:t>)</w:t>
      </w:r>
      <w:r w:rsidRPr="00C01310">
        <w:rPr>
          <w:lang w:val="en-AU"/>
        </w:rPr>
        <w:t xml:space="preserve"> 18–26</w:t>
      </w:r>
      <w:r>
        <w:rPr>
          <w:lang w:val="en-AU"/>
        </w:rPr>
        <w:t>.</w:t>
      </w:r>
      <w:r w:rsidRPr="00C01310">
        <w:rPr>
          <w:lang w:val="en-AU"/>
        </w:rPr>
        <w:t xml:space="preserve"> </w:t>
      </w:r>
      <w:r>
        <w:rPr>
          <w:lang w:val="en-AU"/>
        </w:rPr>
        <w:t>F</w:t>
      </w:r>
      <w:r w:rsidRPr="00C01310">
        <w:rPr>
          <w:lang w:val="en-AU"/>
        </w:rPr>
        <w:t>or a summary of the history of the insanity defence</w:t>
      </w:r>
      <w:r>
        <w:rPr>
          <w:lang w:val="en-AU"/>
        </w:rPr>
        <w:t xml:space="preserve"> see </w:t>
      </w:r>
      <w:r w:rsidRPr="00C01310">
        <w:rPr>
          <w:lang w:val="en-AU"/>
        </w:rPr>
        <w:t xml:space="preserve">R Mackay, </w:t>
      </w:r>
      <w:r w:rsidRPr="00C01310">
        <w:rPr>
          <w:i/>
          <w:lang w:val="en-AU"/>
        </w:rPr>
        <w:t>Mental Condition Defences in the Criminal Law</w:t>
      </w:r>
      <w:r>
        <w:rPr>
          <w:lang w:val="en-AU"/>
        </w:rPr>
        <w:t xml:space="preserve"> (</w:t>
      </w:r>
      <w:r w:rsidRPr="0096048D">
        <w:rPr>
          <w:lang w:val="en-AU"/>
        </w:rPr>
        <w:t>Clarendon Press, 1995</w:t>
      </w:r>
      <w:r>
        <w:rPr>
          <w:lang w:val="en-AU"/>
        </w:rPr>
        <w:t>)</w:t>
      </w:r>
      <w:r w:rsidRPr="00C01310">
        <w:rPr>
          <w:i/>
          <w:lang w:val="en-AU"/>
        </w:rPr>
        <w:t xml:space="preserve"> </w:t>
      </w:r>
      <w:r w:rsidRPr="00C01310">
        <w:rPr>
          <w:lang w:val="en-AU"/>
        </w:rPr>
        <w:t>92–</w:t>
      </w:r>
      <w:r>
        <w:rPr>
          <w:lang w:val="en-AU"/>
        </w:rPr>
        <w:t>9</w:t>
      </w:r>
      <w:r w:rsidRPr="00C01310">
        <w:rPr>
          <w:lang w:val="en-AU"/>
        </w:rPr>
        <w:t>6</w:t>
      </w:r>
      <w:r>
        <w:rPr>
          <w:lang w:val="en-AU"/>
        </w:rPr>
        <w:t>.</w:t>
      </w:r>
      <w:r w:rsidRPr="00C01310">
        <w:rPr>
          <w:i/>
          <w:lang w:val="en-AU"/>
        </w:rPr>
        <w:t xml:space="preserve"> </w:t>
      </w:r>
    </w:p>
  </w:footnote>
  <w:footnote w:id="329">
    <w:p w14:paraId="014A181B" w14:textId="77777777" w:rsidR="00EE78D8" w:rsidRPr="00C01310" w:rsidRDefault="00EE78D8" w:rsidP="00C022D6">
      <w:pPr>
        <w:pStyle w:val="FootnoteTextTLRI"/>
        <w:rPr>
          <w:lang w:val="en-AU"/>
        </w:rPr>
      </w:pPr>
      <w:r w:rsidRPr="00C01310">
        <w:rPr>
          <w:rStyle w:val="FootnoteReference"/>
          <w:lang w:val="en-AU"/>
        </w:rPr>
        <w:footnoteRef/>
      </w:r>
      <w:r>
        <w:rPr>
          <w:lang w:val="en-AU"/>
        </w:rPr>
        <w:tab/>
      </w:r>
      <w:r w:rsidRPr="00C01310">
        <w:rPr>
          <w:lang w:val="en-AU"/>
        </w:rPr>
        <w:t xml:space="preserve">See summary in A Norrie, </w:t>
      </w:r>
      <w:r w:rsidRPr="00C01310">
        <w:rPr>
          <w:i/>
          <w:lang w:val="en-AU"/>
        </w:rPr>
        <w:t>Crime, Reason and History: A Critical Introduction to the Criminal Law</w:t>
      </w:r>
      <w:r w:rsidRPr="00C01310">
        <w:rPr>
          <w:lang w:val="en-AU"/>
        </w:rPr>
        <w:t xml:space="preserve"> (LexisNexis, 2001) 179–180. </w:t>
      </w:r>
    </w:p>
  </w:footnote>
  <w:footnote w:id="330">
    <w:p w14:paraId="2863985D" w14:textId="764DDA7D" w:rsidR="00EE78D8" w:rsidRPr="00376681" w:rsidRDefault="00EE78D8" w:rsidP="00D02682">
      <w:pPr>
        <w:pStyle w:val="FootnoteTextTLRI"/>
      </w:pPr>
      <w:r w:rsidRPr="00376681">
        <w:rPr>
          <w:rStyle w:val="FootnoteReference"/>
          <w:szCs w:val="18"/>
        </w:rPr>
        <w:footnoteRef/>
      </w:r>
      <w:r w:rsidRPr="00376681">
        <w:t xml:space="preserve"> </w:t>
      </w:r>
      <w:r w:rsidRPr="00376681">
        <w:tab/>
        <w:t>(1843) 10 Cl and Finn 200</w:t>
      </w:r>
      <w:r>
        <w:t xml:space="preserve">, </w:t>
      </w:r>
      <w:r w:rsidRPr="00376681">
        <w:t>210; 8 ER 718</w:t>
      </w:r>
      <w:r>
        <w:t xml:space="preserve">, </w:t>
      </w:r>
      <w:r w:rsidRPr="00376681">
        <w:t>722</w:t>
      </w:r>
      <w:r>
        <w:t>.</w:t>
      </w:r>
      <w:r w:rsidRPr="00376681">
        <w:t xml:space="preserve"> </w:t>
      </w:r>
    </w:p>
  </w:footnote>
  <w:footnote w:id="331">
    <w:p w14:paraId="2E54EF7C" w14:textId="7DB24534" w:rsidR="00EE78D8" w:rsidRPr="00376681" w:rsidRDefault="00EE78D8" w:rsidP="00D02682">
      <w:pPr>
        <w:pStyle w:val="FootnoteTextTLRI"/>
      </w:pPr>
      <w:r w:rsidRPr="00376681">
        <w:rPr>
          <w:rStyle w:val="FootnoteReference"/>
          <w:szCs w:val="18"/>
        </w:rPr>
        <w:footnoteRef/>
      </w:r>
      <w:r w:rsidRPr="00376681">
        <w:t xml:space="preserve"> </w:t>
      </w:r>
      <w:r w:rsidRPr="00376681">
        <w:tab/>
      </w:r>
      <w:r>
        <w:t>Ibid</w:t>
      </w:r>
      <w:r w:rsidRPr="00376681">
        <w:t>.</w:t>
      </w:r>
    </w:p>
  </w:footnote>
  <w:footnote w:id="332">
    <w:p w14:paraId="7F747966" w14:textId="77777777" w:rsidR="00EE78D8" w:rsidRPr="00C01310" w:rsidRDefault="00EE78D8" w:rsidP="00C022D6">
      <w:pPr>
        <w:pStyle w:val="FootnoteTextTLRI"/>
        <w:rPr>
          <w:lang w:val="en-AU"/>
        </w:rPr>
      </w:pPr>
      <w:r w:rsidRPr="00C01310">
        <w:rPr>
          <w:rStyle w:val="FootnoteReference"/>
          <w:lang w:val="en-AU"/>
        </w:rPr>
        <w:footnoteRef/>
      </w:r>
      <w:r w:rsidRPr="00C01310">
        <w:rPr>
          <w:lang w:val="en-AU"/>
        </w:rPr>
        <w:t xml:space="preserve"> </w:t>
      </w:r>
      <w:r w:rsidRPr="00C01310">
        <w:rPr>
          <w:lang w:val="en-AU"/>
        </w:rPr>
        <w:tab/>
        <w:t xml:space="preserve">N Lacey, C Wells and </w:t>
      </w:r>
      <w:r>
        <w:rPr>
          <w:lang w:val="en-AU"/>
        </w:rPr>
        <w:t xml:space="preserve">O </w:t>
      </w:r>
      <w:r w:rsidRPr="00C01310">
        <w:rPr>
          <w:lang w:val="en-AU"/>
        </w:rPr>
        <w:t xml:space="preserve">Quick, </w:t>
      </w:r>
      <w:r w:rsidRPr="00C01310">
        <w:rPr>
          <w:i/>
          <w:lang w:val="en-AU"/>
        </w:rPr>
        <w:t>Reconstructing Criminal Law</w:t>
      </w:r>
      <w:r w:rsidRPr="00C01310">
        <w:rPr>
          <w:lang w:val="en-AU"/>
        </w:rPr>
        <w:t xml:space="preserve"> (Cambridge University Press, 4</w:t>
      </w:r>
      <w:r w:rsidRPr="00C01310">
        <w:rPr>
          <w:vertAlign w:val="superscript"/>
          <w:lang w:val="en-AU"/>
        </w:rPr>
        <w:t>th</w:t>
      </w:r>
      <w:r w:rsidRPr="00C01310">
        <w:rPr>
          <w:lang w:val="en-AU"/>
        </w:rPr>
        <w:t xml:space="preserve"> ed, 2010) 95</w:t>
      </w:r>
      <w:r>
        <w:rPr>
          <w:lang w:val="en-AU"/>
        </w:rPr>
        <w:t>.</w:t>
      </w:r>
    </w:p>
  </w:footnote>
  <w:footnote w:id="333">
    <w:p w14:paraId="3262400E" w14:textId="650062FD" w:rsidR="00EE78D8" w:rsidRPr="00C01310" w:rsidRDefault="00EE78D8" w:rsidP="00C022D6">
      <w:pPr>
        <w:pStyle w:val="FootnoteTextTLRI"/>
        <w:rPr>
          <w:lang w:val="en-AU"/>
        </w:rPr>
      </w:pPr>
      <w:r w:rsidRPr="00C01310">
        <w:rPr>
          <w:rStyle w:val="FootnoteReference"/>
          <w:lang w:val="en-AU"/>
        </w:rPr>
        <w:footnoteRef/>
      </w:r>
      <w:r w:rsidRPr="00C01310">
        <w:rPr>
          <w:lang w:val="en-AU"/>
        </w:rPr>
        <w:t xml:space="preserve"> </w:t>
      </w:r>
      <w:r w:rsidRPr="00C01310">
        <w:rPr>
          <w:lang w:val="en-AU"/>
        </w:rPr>
        <w:tab/>
        <w:t xml:space="preserve">C Wells, ‘Provocation: The Case for Abolition’ in A Ashworth and B Mitchell (eds), </w:t>
      </w:r>
      <w:r w:rsidRPr="00C01310">
        <w:rPr>
          <w:i/>
          <w:lang w:val="en-AU"/>
        </w:rPr>
        <w:t>Rethinking English Homicide Law</w:t>
      </w:r>
      <w:r w:rsidRPr="00C01310">
        <w:rPr>
          <w:lang w:val="en-AU"/>
        </w:rPr>
        <w:t xml:space="preserve"> (Oxford University Press, 1984). Bronitt and McSherry write that ‘[t]he concept of criminal responsibility is based on the notion that individuals possess the capacity to make rational choices in performing or refraining from performing acts’</w:t>
      </w:r>
      <w:r>
        <w:rPr>
          <w:lang w:val="en-AU"/>
        </w:rPr>
        <w:t>:</w:t>
      </w:r>
      <w:r w:rsidRPr="00C01310">
        <w:rPr>
          <w:lang w:val="en-AU"/>
        </w:rPr>
        <w:t xml:space="preserve"> Bronitt and McSherry, </w:t>
      </w:r>
      <w:r w:rsidRPr="00D0550F">
        <w:rPr>
          <w:lang w:val="en-AU"/>
        </w:rPr>
        <w:t>above n</w:t>
      </w:r>
      <w:r>
        <w:rPr>
          <w:i/>
          <w:lang w:val="en-AU"/>
        </w:rPr>
        <w:t xml:space="preserve"> </w:t>
      </w:r>
      <w:r>
        <w:rPr>
          <w:lang w:val="en-AU"/>
        </w:rPr>
        <w:fldChar w:fldCharType="begin"/>
      </w:r>
      <w:r>
        <w:rPr>
          <w:lang w:val="en-AU"/>
        </w:rPr>
        <w:instrText xml:space="preserve"> NOTEREF _Ref535171610 \h </w:instrText>
      </w:r>
      <w:r>
        <w:rPr>
          <w:lang w:val="en-AU"/>
        </w:rPr>
      </w:r>
      <w:r>
        <w:rPr>
          <w:lang w:val="en-AU"/>
        </w:rPr>
        <w:fldChar w:fldCharType="separate"/>
      </w:r>
      <w:r w:rsidR="001F209C">
        <w:rPr>
          <w:lang w:val="en-AU"/>
        </w:rPr>
        <w:t>327</w:t>
      </w:r>
      <w:r>
        <w:rPr>
          <w:lang w:val="en-AU"/>
        </w:rPr>
        <w:fldChar w:fldCharType="end"/>
      </w:r>
      <w:r>
        <w:rPr>
          <w:lang w:val="en-AU"/>
        </w:rPr>
        <w:t>,</w:t>
      </w:r>
      <w:r w:rsidRPr="00C01310">
        <w:rPr>
          <w:lang w:val="en-AU"/>
        </w:rPr>
        <w:t xml:space="preserve"> 201</w:t>
      </w:r>
      <w:r>
        <w:rPr>
          <w:lang w:val="en-AU"/>
        </w:rPr>
        <w:t>,</w:t>
      </w:r>
      <w:r w:rsidRPr="00C01310">
        <w:rPr>
          <w:lang w:val="en-AU"/>
        </w:rPr>
        <w:t xml:space="preserve"> [4.05]. See also P Fairall and S Yeo</w:t>
      </w:r>
      <w:r>
        <w:rPr>
          <w:lang w:val="en-AU"/>
        </w:rPr>
        <w:t>,</w:t>
      </w:r>
      <w:r w:rsidRPr="00C01310">
        <w:rPr>
          <w:lang w:val="en-AU"/>
        </w:rPr>
        <w:t xml:space="preserve"> </w:t>
      </w:r>
      <w:r w:rsidRPr="00C01310">
        <w:rPr>
          <w:i/>
          <w:lang w:val="en-AU"/>
        </w:rPr>
        <w:t xml:space="preserve">Criminal Defences </w:t>
      </w:r>
      <w:r w:rsidRPr="00C01310">
        <w:rPr>
          <w:lang w:val="en-AU"/>
        </w:rPr>
        <w:t>(Lexis Nexis, 4</w:t>
      </w:r>
      <w:r w:rsidRPr="00C01310">
        <w:rPr>
          <w:vertAlign w:val="superscript"/>
          <w:lang w:val="en-AU"/>
        </w:rPr>
        <w:t>th</w:t>
      </w:r>
      <w:r w:rsidRPr="00C01310">
        <w:rPr>
          <w:lang w:val="en-AU"/>
        </w:rPr>
        <w:t xml:space="preserve"> ed, 2005)</w:t>
      </w:r>
      <w:r w:rsidRPr="00C01310">
        <w:rPr>
          <w:i/>
          <w:lang w:val="en-AU"/>
        </w:rPr>
        <w:t xml:space="preserve"> </w:t>
      </w:r>
      <w:r w:rsidRPr="00C01310">
        <w:rPr>
          <w:lang w:val="en-AU"/>
        </w:rPr>
        <w:t xml:space="preserve">[13.1]; S Yannoulidis, </w:t>
      </w:r>
      <w:r w:rsidRPr="00C01310">
        <w:rPr>
          <w:i/>
          <w:lang w:val="en-AU"/>
        </w:rPr>
        <w:t>Mental State Defences in Criminal Law</w:t>
      </w:r>
      <w:r w:rsidRPr="00C01310">
        <w:rPr>
          <w:lang w:val="en-AU"/>
        </w:rPr>
        <w:t xml:space="preserve"> (Ashgate, 2012) 51–</w:t>
      </w:r>
      <w:r>
        <w:rPr>
          <w:lang w:val="en-AU"/>
        </w:rPr>
        <w:t>5</w:t>
      </w:r>
      <w:r w:rsidRPr="00C01310">
        <w:rPr>
          <w:lang w:val="en-AU"/>
        </w:rPr>
        <w:t>2.</w:t>
      </w:r>
    </w:p>
  </w:footnote>
  <w:footnote w:id="334">
    <w:p w14:paraId="0EBF50A1" w14:textId="3C135651" w:rsidR="00EE78D8" w:rsidRPr="00C01310" w:rsidRDefault="00EE78D8" w:rsidP="00EB1D88">
      <w:pPr>
        <w:pStyle w:val="FootnoteTextTLRI"/>
        <w:rPr>
          <w:lang w:val="en-AU"/>
        </w:rPr>
      </w:pPr>
      <w:r w:rsidRPr="00C01310">
        <w:rPr>
          <w:rStyle w:val="FootnoteReference"/>
          <w:lang w:val="en-AU"/>
        </w:rPr>
        <w:footnoteRef/>
      </w:r>
      <w:r w:rsidRPr="00C01310">
        <w:rPr>
          <w:lang w:val="en-AU"/>
        </w:rPr>
        <w:t xml:space="preserve"> </w:t>
      </w:r>
      <w:r w:rsidRPr="00C01310">
        <w:rPr>
          <w:lang w:val="en-AU"/>
        </w:rPr>
        <w:tab/>
        <w:t xml:space="preserve">Bronitt and McSherry, </w:t>
      </w:r>
      <w:r>
        <w:rPr>
          <w:lang w:val="en-AU"/>
        </w:rPr>
        <w:t xml:space="preserve">above n </w:t>
      </w:r>
      <w:r>
        <w:rPr>
          <w:lang w:val="en-AU"/>
        </w:rPr>
        <w:fldChar w:fldCharType="begin"/>
      </w:r>
      <w:r>
        <w:rPr>
          <w:lang w:val="en-AU"/>
        </w:rPr>
        <w:instrText xml:space="preserve"> NOTEREF _Ref535171610 \h </w:instrText>
      </w:r>
      <w:r>
        <w:rPr>
          <w:lang w:val="en-AU"/>
        </w:rPr>
      </w:r>
      <w:r>
        <w:rPr>
          <w:lang w:val="en-AU"/>
        </w:rPr>
        <w:fldChar w:fldCharType="separate"/>
      </w:r>
      <w:r w:rsidR="001F209C">
        <w:rPr>
          <w:lang w:val="en-AU"/>
        </w:rPr>
        <w:t>327</w:t>
      </w:r>
      <w:r>
        <w:rPr>
          <w:lang w:val="en-AU"/>
        </w:rPr>
        <w:fldChar w:fldCharType="end"/>
      </w:r>
      <w:r>
        <w:rPr>
          <w:lang w:val="en-AU"/>
        </w:rPr>
        <w:t xml:space="preserve">, </w:t>
      </w:r>
      <w:r w:rsidRPr="00C01310">
        <w:rPr>
          <w:lang w:val="en-AU"/>
        </w:rPr>
        <w:t>[4.10].</w:t>
      </w:r>
    </w:p>
  </w:footnote>
  <w:footnote w:id="335">
    <w:p w14:paraId="5C84F2A6" w14:textId="45D840B1" w:rsidR="00EE78D8" w:rsidRPr="00C01310" w:rsidRDefault="00EE78D8" w:rsidP="00EB1D88">
      <w:pPr>
        <w:pStyle w:val="FootnoteTextTLRI"/>
        <w:rPr>
          <w:lang w:val="en-AU"/>
        </w:rPr>
      </w:pPr>
      <w:r w:rsidRPr="00C01310">
        <w:rPr>
          <w:rStyle w:val="FootnoteReference"/>
          <w:lang w:val="en-AU"/>
        </w:rPr>
        <w:footnoteRef/>
      </w:r>
      <w:r w:rsidRPr="00C01310">
        <w:rPr>
          <w:lang w:val="en-AU"/>
        </w:rPr>
        <w:t xml:space="preserve"> </w:t>
      </w:r>
      <w:r w:rsidRPr="00C01310">
        <w:rPr>
          <w:lang w:val="en-AU"/>
        </w:rPr>
        <w:tab/>
        <w:t xml:space="preserve">Lacey, Wells and Quick, </w:t>
      </w:r>
      <w:r>
        <w:rPr>
          <w:lang w:val="en-AU"/>
        </w:rPr>
        <w:t xml:space="preserve">above n </w:t>
      </w:r>
      <w:r>
        <w:rPr>
          <w:lang w:val="en-AU"/>
        </w:rPr>
        <w:fldChar w:fldCharType="begin"/>
      </w:r>
      <w:r>
        <w:rPr>
          <w:lang w:val="en-AU"/>
        </w:rPr>
        <w:instrText xml:space="preserve"> NOTEREF _Ref303942913 \h </w:instrText>
      </w:r>
      <w:r>
        <w:rPr>
          <w:lang w:val="en-AU"/>
        </w:rPr>
      </w:r>
      <w:r>
        <w:rPr>
          <w:lang w:val="en-AU"/>
        </w:rPr>
        <w:fldChar w:fldCharType="separate"/>
      </w:r>
      <w:r w:rsidR="001F209C">
        <w:rPr>
          <w:lang w:val="en-AU"/>
        </w:rPr>
        <w:t>332</w:t>
      </w:r>
      <w:r>
        <w:rPr>
          <w:lang w:val="en-AU"/>
        </w:rPr>
        <w:fldChar w:fldCharType="end"/>
      </w:r>
      <w:r w:rsidRPr="00C01310">
        <w:rPr>
          <w:lang w:val="en-AU"/>
        </w:rPr>
        <w:t>, 120.</w:t>
      </w:r>
    </w:p>
  </w:footnote>
  <w:footnote w:id="336">
    <w:p w14:paraId="735DB30D" w14:textId="0F6AEE17" w:rsidR="00EE78D8" w:rsidRPr="00C01310" w:rsidRDefault="00EE78D8" w:rsidP="00EB1D88">
      <w:pPr>
        <w:pStyle w:val="FootnoteTextTLRI"/>
        <w:rPr>
          <w:lang w:val="en-AU"/>
        </w:rPr>
      </w:pPr>
      <w:r w:rsidRPr="00C01310">
        <w:rPr>
          <w:rStyle w:val="FootnoteReference"/>
          <w:lang w:val="en-AU"/>
        </w:rPr>
        <w:footnoteRef/>
      </w:r>
      <w:r w:rsidRPr="00C01310">
        <w:rPr>
          <w:lang w:val="en-AU"/>
        </w:rPr>
        <w:tab/>
        <w:t xml:space="preserve">Fairall and Yeo, </w:t>
      </w:r>
      <w:r>
        <w:rPr>
          <w:lang w:val="en-AU"/>
        </w:rPr>
        <w:t xml:space="preserve">above n </w:t>
      </w:r>
      <w:r>
        <w:rPr>
          <w:lang w:val="en-AU"/>
        </w:rPr>
        <w:fldChar w:fldCharType="begin"/>
      </w:r>
      <w:r>
        <w:rPr>
          <w:lang w:val="en-AU"/>
        </w:rPr>
        <w:instrText xml:space="preserve"> NOTEREF _Ref303942891 \h </w:instrText>
      </w:r>
      <w:r>
        <w:rPr>
          <w:lang w:val="en-AU"/>
        </w:rPr>
      </w:r>
      <w:r>
        <w:rPr>
          <w:lang w:val="en-AU"/>
        </w:rPr>
        <w:fldChar w:fldCharType="separate"/>
      </w:r>
      <w:r w:rsidR="001F209C">
        <w:rPr>
          <w:lang w:val="en-AU"/>
        </w:rPr>
        <w:t>333</w:t>
      </w:r>
      <w:r>
        <w:rPr>
          <w:lang w:val="en-AU"/>
        </w:rPr>
        <w:fldChar w:fldCharType="end"/>
      </w:r>
      <w:r w:rsidRPr="00C01310">
        <w:rPr>
          <w:lang w:val="en-AU"/>
        </w:rPr>
        <w:t>, [13.1]. This is an argument from the perspective of retributive theory.</w:t>
      </w:r>
    </w:p>
  </w:footnote>
  <w:footnote w:id="337">
    <w:p w14:paraId="6CAAF760" w14:textId="77777777" w:rsidR="00EE78D8" w:rsidRPr="00C01310" w:rsidRDefault="00EE78D8" w:rsidP="00EB1D88">
      <w:pPr>
        <w:pStyle w:val="FootnoteTextTLRI"/>
        <w:rPr>
          <w:i/>
          <w:lang w:val="en-AU"/>
        </w:rPr>
      </w:pPr>
      <w:r w:rsidRPr="00C01310">
        <w:rPr>
          <w:rStyle w:val="FootnoteReference"/>
          <w:lang w:val="en-AU"/>
        </w:rPr>
        <w:footnoteRef/>
      </w:r>
      <w:r w:rsidRPr="00C01310">
        <w:rPr>
          <w:lang w:val="en-AU"/>
        </w:rPr>
        <w:t xml:space="preserve"> </w:t>
      </w:r>
      <w:r w:rsidRPr="00C01310">
        <w:rPr>
          <w:lang w:val="en-AU"/>
        </w:rPr>
        <w:tab/>
        <w:t xml:space="preserve">Ibid. In </w:t>
      </w:r>
      <w:r w:rsidRPr="00C01310">
        <w:rPr>
          <w:i/>
          <w:lang w:val="en-AU"/>
        </w:rPr>
        <w:t xml:space="preserve">R v Porter </w:t>
      </w:r>
      <w:r w:rsidRPr="00C01310">
        <w:rPr>
          <w:lang w:val="en-AU"/>
        </w:rPr>
        <w:t>(1933) 55 CLR 182, Dixon J stated that ‘it is perfectly useless for the law to attempt, by threatening punishment, to deter people from committing crimes if their mental condition is such that they cannot be in the least influenced by the possibility or probability of subsequent punishment … what is the point of punishing people if they be beyond the control of the law for reasons of mental health’.</w:t>
      </w:r>
      <w:r w:rsidRPr="00C01310">
        <w:rPr>
          <w:i/>
          <w:lang w:val="en-AU"/>
        </w:rPr>
        <w:t xml:space="preserve"> </w:t>
      </w:r>
    </w:p>
  </w:footnote>
  <w:footnote w:id="338">
    <w:p w14:paraId="75E10F3D" w14:textId="03BCD6BB" w:rsidR="00EE78D8" w:rsidRPr="0010177D" w:rsidRDefault="00EE78D8" w:rsidP="00EB1D88">
      <w:pPr>
        <w:pStyle w:val="FootnoteText"/>
        <w:rPr>
          <w:lang w:val="en-US"/>
        </w:rPr>
      </w:pPr>
      <w:r>
        <w:rPr>
          <w:rStyle w:val="FootnoteReference"/>
        </w:rPr>
        <w:footnoteRef/>
      </w:r>
      <w:r>
        <w:tab/>
        <w:t xml:space="preserve">R Heaton and C De Than, </w:t>
      </w:r>
      <w:r>
        <w:rPr>
          <w:i/>
        </w:rPr>
        <w:t xml:space="preserve">Criminal Law </w:t>
      </w:r>
      <w:r>
        <w:t>(Oxford University Press, 2011) 229.</w:t>
      </w:r>
    </w:p>
  </w:footnote>
  <w:footnote w:id="339">
    <w:p w14:paraId="5A2E9349" w14:textId="4044DE32" w:rsidR="00EE78D8" w:rsidRDefault="00EE78D8">
      <w:pPr>
        <w:pStyle w:val="FootnoteText"/>
      </w:pPr>
      <w:r>
        <w:rPr>
          <w:rStyle w:val="FootnoteReference"/>
        </w:rPr>
        <w:footnoteRef/>
      </w:r>
      <w:r>
        <w:tab/>
        <w:t xml:space="preserve">Law Commission of England and Wales, </w:t>
      </w:r>
      <w:r>
        <w:rPr>
          <w:i/>
        </w:rPr>
        <w:t xml:space="preserve">Criminal Liability: Insanity and Automatism A Discussion Paper </w:t>
      </w:r>
      <w:r>
        <w:t>(2013) 197.</w:t>
      </w:r>
    </w:p>
  </w:footnote>
  <w:footnote w:id="340">
    <w:p w14:paraId="41DCAB5A" w14:textId="2CF66D2A" w:rsidR="00EE78D8" w:rsidRDefault="00EE78D8">
      <w:pPr>
        <w:pStyle w:val="FootnoteText"/>
      </w:pPr>
      <w:r>
        <w:rPr>
          <w:rStyle w:val="FootnoteReference"/>
        </w:rPr>
        <w:footnoteRef/>
      </w:r>
      <w:r>
        <w:tab/>
        <w:t>Ibid.</w:t>
      </w:r>
    </w:p>
  </w:footnote>
  <w:footnote w:id="341">
    <w:p w14:paraId="64EE56AA" w14:textId="04C6B350" w:rsidR="00EE78D8" w:rsidRDefault="00EE78D8">
      <w:pPr>
        <w:pStyle w:val="FootnoteText"/>
      </w:pPr>
      <w:r>
        <w:rPr>
          <w:rStyle w:val="FootnoteReference"/>
        </w:rPr>
        <w:footnoteRef/>
      </w:r>
      <w:r>
        <w:tab/>
        <w:t>Ibid.</w:t>
      </w:r>
    </w:p>
  </w:footnote>
  <w:footnote w:id="342">
    <w:p w14:paraId="6BE0922C" w14:textId="72FF79E3" w:rsidR="00EE78D8" w:rsidRPr="00E40EA3" w:rsidRDefault="00EE78D8">
      <w:pPr>
        <w:pStyle w:val="FootnoteText"/>
        <w:rPr>
          <w:lang w:val="en-US"/>
        </w:rPr>
      </w:pPr>
      <w:r>
        <w:rPr>
          <w:rStyle w:val="FootnoteReference"/>
        </w:rPr>
        <w:footnoteRef/>
      </w:r>
      <w:r>
        <w:tab/>
      </w:r>
      <w:r>
        <w:rPr>
          <w:i/>
          <w:lang w:val="en-US"/>
        </w:rPr>
        <w:t xml:space="preserve">Sullivan </w:t>
      </w:r>
      <w:r>
        <w:rPr>
          <w:lang w:val="en-US"/>
        </w:rPr>
        <w:t xml:space="preserve">[1983] 2 All ER 673 (Lord Diplock) quoted in </w:t>
      </w:r>
      <w:r>
        <w:t xml:space="preserve">Heaton and De Than, </w:t>
      </w:r>
      <w:r w:rsidRPr="00944FE2">
        <w:t xml:space="preserve">above n </w:t>
      </w:r>
      <w:r w:rsidRPr="00944FE2">
        <w:fldChar w:fldCharType="begin"/>
      </w:r>
      <w:r w:rsidRPr="00944FE2">
        <w:instrText xml:space="preserve"> NOTEREF _Ref535173466 \h </w:instrText>
      </w:r>
      <w:r>
        <w:instrText xml:space="preserve"> \* MERGEFORMAT </w:instrText>
      </w:r>
      <w:r w:rsidRPr="00944FE2">
        <w:fldChar w:fldCharType="separate"/>
      </w:r>
      <w:r w:rsidR="001F209C">
        <w:t>338</w:t>
      </w:r>
      <w:r w:rsidRPr="00944FE2">
        <w:fldChar w:fldCharType="end"/>
      </w:r>
      <w:r w:rsidRPr="00944FE2">
        <w:t>,</w:t>
      </w:r>
      <w:r>
        <w:t xml:space="preserve"> 229.</w:t>
      </w:r>
    </w:p>
  </w:footnote>
  <w:footnote w:id="343">
    <w:p w14:paraId="29A81BD8" w14:textId="6B2EDA46" w:rsidR="00EE78D8" w:rsidRPr="00853082" w:rsidRDefault="00EE78D8" w:rsidP="007922D1">
      <w:pPr>
        <w:pStyle w:val="FootnoteText"/>
        <w:spacing w:after="40"/>
        <w:rPr>
          <w:lang w:val="en-US"/>
        </w:rPr>
      </w:pPr>
      <w:r>
        <w:rPr>
          <w:rStyle w:val="FootnoteReference"/>
        </w:rPr>
        <w:footnoteRef/>
      </w:r>
      <w:r>
        <w:tab/>
      </w:r>
      <w:r>
        <w:rPr>
          <w:rFonts w:eastAsiaTheme="minorEastAsia"/>
          <w:szCs w:val="18"/>
          <w:lang w:eastAsia="ja-JP"/>
        </w:rPr>
        <w:t xml:space="preserve">J Child and G Sullivan, ‘When Does the Insanity Defence Apply? Some Recent Cases’ (2014) </w:t>
      </w:r>
      <w:r w:rsidRPr="00907AC2">
        <w:rPr>
          <w:rFonts w:eastAsiaTheme="minorEastAsia"/>
          <w:i/>
          <w:szCs w:val="18"/>
          <w:lang w:eastAsia="ja-JP"/>
        </w:rPr>
        <w:t>Criminal Law Review</w:t>
      </w:r>
      <w:r>
        <w:rPr>
          <w:rFonts w:eastAsiaTheme="minorEastAsia"/>
          <w:szCs w:val="18"/>
          <w:lang w:eastAsia="ja-JP"/>
        </w:rPr>
        <w:t xml:space="preserve"> 787,</w:t>
      </w:r>
      <w:r>
        <w:rPr>
          <w:lang w:val="en-US"/>
        </w:rPr>
        <w:t xml:space="preserve"> 789.</w:t>
      </w:r>
    </w:p>
  </w:footnote>
  <w:footnote w:id="344">
    <w:p w14:paraId="07F8B9CE" w14:textId="20C42937" w:rsidR="00EE78D8" w:rsidRPr="00EA64B7" w:rsidRDefault="00EE78D8" w:rsidP="007922D1">
      <w:pPr>
        <w:pStyle w:val="FootnoteText"/>
        <w:spacing w:after="40"/>
        <w:rPr>
          <w:lang w:val="en-US"/>
        </w:rPr>
      </w:pPr>
      <w:r>
        <w:rPr>
          <w:rStyle w:val="FootnoteReference"/>
        </w:rPr>
        <w:footnoteRef/>
      </w:r>
      <w:r>
        <w:tab/>
      </w:r>
      <w:r>
        <w:rPr>
          <w:lang w:val="en-US"/>
        </w:rPr>
        <w:t>Ibid. McSherry outlines the ‘</w:t>
      </w:r>
      <w:r>
        <w:t xml:space="preserve">the tortuous legal interpretations of the term “disease of the mind”’ and stated that the question which underlies ‘I believe, [is] simply this: is this individual likely to cause harm to others if not confined? If so then his or her mental condition will be considered to be disease of the mind for the purposes of the insanity defence’: </w:t>
      </w:r>
      <w:r>
        <w:rPr>
          <w:lang w:val="en-US"/>
        </w:rPr>
        <w:t xml:space="preserve">McSherry, above n </w:t>
      </w:r>
      <w:r>
        <w:rPr>
          <w:lang w:val="en-US"/>
        </w:rPr>
        <w:fldChar w:fldCharType="begin"/>
      </w:r>
      <w:r>
        <w:rPr>
          <w:lang w:val="en-US"/>
        </w:rPr>
        <w:instrText xml:space="preserve"> NOTEREF _Ref535171610 \h </w:instrText>
      </w:r>
      <w:r>
        <w:rPr>
          <w:lang w:val="en-US"/>
        </w:rPr>
      </w:r>
      <w:r>
        <w:rPr>
          <w:lang w:val="en-US"/>
        </w:rPr>
        <w:fldChar w:fldCharType="separate"/>
      </w:r>
      <w:r w:rsidR="001F209C">
        <w:rPr>
          <w:lang w:val="en-US"/>
        </w:rPr>
        <w:t>327</w:t>
      </w:r>
      <w:r>
        <w:rPr>
          <w:lang w:val="en-US"/>
        </w:rPr>
        <w:fldChar w:fldCharType="end"/>
      </w:r>
      <w:r>
        <w:rPr>
          <w:lang w:val="en-US"/>
        </w:rPr>
        <w:t>, 82</w:t>
      </w:r>
      <w:r>
        <w:t>.</w:t>
      </w:r>
    </w:p>
  </w:footnote>
  <w:footnote w:id="345">
    <w:p w14:paraId="7F3B8530" w14:textId="6B08B19F" w:rsidR="00EE78D8" w:rsidRPr="00C01310" w:rsidRDefault="00EE78D8" w:rsidP="007922D1">
      <w:pPr>
        <w:pStyle w:val="FootnoteTextTLRI"/>
        <w:spacing w:after="0"/>
        <w:rPr>
          <w:lang w:val="en-AU"/>
        </w:rPr>
      </w:pPr>
      <w:r w:rsidRPr="00C01310">
        <w:rPr>
          <w:rStyle w:val="FootnoteReference"/>
          <w:lang w:val="en-AU"/>
        </w:rPr>
        <w:footnoteRef/>
      </w:r>
      <w:r>
        <w:rPr>
          <w:lang w:val="en-AU"/>
        </w:rPr>
        <w:tab/>
      </w:r>
      <w:r w:rsidRPr="00C01310">
        <w:rPr>
          <w:i/>
          <w:lang w:val="en-AU"/>
        </w:rPr>
        <w:t xml:space="preserve">Hawkins </w:t>
      </w:r>
      <w:r>
        <w:rPr>
          <w:lang w:val="en-AU"/>
        </w:rPr>
        <w:t>(1994) 179 CLR 500, 507</w:t>
      </w:r>
      <w:r w:rsidRPr="00C01310">
        <w:rPr>
          <w:lang w:val="en-AU"/>
        </w:rPr>
        <w:t>. Leader-Elliott suggests that ‘it must now be taken that the object of the presumption is to ensure that the issues of fault, voluntariness and insanity can be resolved without speculation about possible mental abnormalities unless there is acceptable evidence — usually medical —</w:t>
      </w:r>
      <w:r>
        <w:rPr>
          <w:lang w:val="en-AU"/>
        </w:rPr>
        <w:t xml:space="preserve"> </w:t>
      </w:r>
      <w:r w:rsidRPr="00C01310">
        <w:rPr>
          <w:lang w:val="en-AU"/>
        </w:rPr>
        <w:t>of abnormality, disorder or disease’</w:t>
      </w:r>
      <w:r>
        <w:rPr>
          <w:lang w:val="en-AU"/>
        </w:rPr>
        <w:t xml:space="preserve">: </w:t>
      </w:r>
      <w:r w:rsidRPr="00C01310">
        <w:rPr>
          <w:lang w:val="en-AU"/>
        </w:rPr>
        <w:t xml:space="preserve">I Leader-Elliott, ‘Case Comment: </w:t>
      </w:r>
      <w:r w:rsidRPr="00C01310">
        <w:rPr>
          <w:i/>
          <w:lang w:val="en-AU"/>
        </w:rPr>
        <w:t>Hawkins v the Queen</w:t>
      </w:r>
      <w:r w:rsidRPr="00C01310">
        <w:rPr>
          <w:lang w:val="en-AU"/>
        </w:rPr>
        <w:t xml:space="preserve">’ (1994) 18 </w:t>
      </w:r>
      <w:r w:rsidRPr="00C01310">
        <w:rPr>
          <w:i/>
          <w:lang w:val="en-AU"/>
        </w:rPr>
        <w:t>Criminal Law Journal</w:t>
      </w:r>
      <w:r w:rsidRPr="00C01310">
        <w:rPr>
          <w:lang w:val="en-AU"/>
        </w:rPr>
        <w:t xml:space="preserve"> 351</w:t>
      </w:r>
      <w:r>
        <w:rPr>
          <w:lang w:val="en-AU"/>
        </w:rPr>
        <w:t>, 351</w:t>
      </w:r>
      <w:r w:rsidRPr="00C01310">
        <w:rPr>
          <w:lang w:val="en-AU"/>
        </w:rPr>
        <w:t>.</w:t>
      </w:r>
    </w:p>
  </w:footnote>
  <w:footnote w:id="346">
    <w:p w14:paraId="2E7901D6" w14:textId="357D81FD" w:rsidR="00EE78D8" w:rsidRPr="00376681" w:rsidRDefault="00EE78D8" w:rsidP="003F1B95">
      <w:pPr>
        <w:pStyle w:val="FootnoteTextTLRI"/>
      </w:pPr>
      <w:r w:rsidRPr="00376681">
        <w:rPr>
          <w:rStyle w:val="FootnoteReference"/>
          <w:szCs w:val="18"/>
        </w:rPr>
        <w:footnoteRef/>
      </w:r>
      <w:r>
        <w:tab/>
      </w:r>
      <w:r w:rsidRPr="00376681">
        <w:t xml:space="preserve">Bronitt </w:t>
      </w:r>
      <w:r>
        <w:t>and</w:t>
      </w:r>
      <w:r w:rsidRPr="00376681">
        <w:t xml:space="preserve"> McSherry, </w:t>
      </w:r>
      <w:r>
        <w:rPr>
          <w:lang w:val="en-AU"/>
        </w:rPr>
        <w:t xml:space="preserve">above n </w:t>
      </w:r>
      <w:r>
        <w:rPr>
          <w:lang w:val="en-AU"/>
        </w:rPr>
        <w:fldChar w:fldCharType="begin"/>
      </w:r>
      <w:r>
        <w:rPr>
          <w:lang w:val="en-AU"/>
        </w:rPr>
        <w:instrText xml:space="preserve"> NOTEREF _Ref535171610 \h </w:instrText>
      </w:r>
      <w:r>
        <w:rPr>
          <w:lang w:val="en-AU"/>
        </w:rPr>
      </w:r>
      <w:r>
        <w:rPr>
          <w:lang w:val="en-AU"/>
        </w:rPr>
        <w:fldChar w:fldCharType="separate"/>
      </w:r>
      <w:r w:rsidR="001F209C">
        <w:rPr>
          <w:lang w:val="en-AU"/>
        </w:rPr>
        <w:t>327</w:t>
      </w:r>
      <w:r>
        <w:rPr>
          <w:lang w:val="en-AU"/>
        </w:rPr>
        <w:fldChar w:fldCharType="end"/>
      </w:r>
      <w:r>
        <w:rPr>
          <w:lang w:val="en-AU"/>
        </w:rPr>
        <w:t xml:space="preserve">, </w:t>
      </w:r>
      <w:r w:rsidRPr="00376681">
        <w:t>[4.30].</w:t>
      </w:r>
    </w:p>
  </w:footnote>
  <w:footnote w:id="347">
    <w:p w14:paraId="7348467B" w14:textId="4BBEDFDD" w:rsidR="00EE78D8" w:rsidRPr="00376681" w:rsidRDefault="00EE78D8" w:rsidP="003F1B95">
      <w:pPr>
        <w:pStyle w:val="FootnoteTextTLRI"/>
      </w:pPr>
      <w:r w:rsidRPr="00376681">
        <w:rPr>
          <w:rStyle w:val="FootnoteReference"/>
          <w:szCs w:val="18"/>
        </w:rPr>
        <w:footnoteRef/>
      </w:r>
      <w:r>
        <w:tab/>
      </w:r>
      <w:r w:rsidRPr="00D34A3E">
        <w:t xml:space="preserve">D Howard and B Westmore, </w:t>
      </w:r>
      <w:r w:rsidRPr="00F952D3">
        <w:rPr>
          <w:i/>
        </w:rPr>
        <w:t>Crime and Mental Health Law in New South Wales</w:t>
      </w:r>
      <w:r w:rsidRPr="00D34A3E">
        <w:t xml:space="preserve"> (LexisNexis Butterworths, 2</w:t>
      </w:r>
      <w:r w:rsidRPr="00FF6166">
        <w:rPr>
          <w:vertAlign w:val="superscript"/>
        </w:rPr>
        <w:t>nd</w:t>
      </w:r>
      <w:r w:rsidRPr="00D34A3E">
        <w:t xml:space="preserve"> ed, 2010)</w:t>
      </w:r>
      <w:r w:rsidRPr="00376681">
        <w:t xml:space="preserve"> [6.28]</w:t>
      </w:r>
      <w:r>
        <w:t>;</w:t>
      </w:r>
      <w:r w:rsidRPr="00376681">
        <w:t xml:space="preserve"> </w:t>
      </w:r>
      <w:r w:rsidRPr="00FD4A4C">
        <w:t xml:space="preserve">J Blackwood and K Warner, </w:t>
      </w:r>
      <w:r w:rsidRPr="00FD4A4C">
        <w:rPr>
          <w:i/>
        </w:rPr>
        <w:t>Tasmanian Criminal Law: Texts and Cases</w:t>
      </w:r>
      <w:r w:rsidRPr="00FD4A4C">
        <w:t xml:space="preserve"> (University of Tasmania Law Press, 2014) vol 1, 247;</w:t>
      </w:r>
      <w:r w:rsidRPr="00376681">
        <w:t xml:space="preserve"> </w:t>
      </w:r>
      <w:r>
        <w:rPr>
          <w:i/>
        </w:rPr>
        <w:t>Jeffrey</w:t>
      </w:r>
      <w:r w:rsidRPr="00376681">
        <w:rPr>
          <w:i/>
        </w:rPr>
        <w:t xml:space="preserve"> </w:t>
      </w:r>
      <w:r>
        <w:t>[1982]</w:t>
      </w:r>
      <w:r w:rsidRPr="00376681">
        <w:t xml:space="preserve"> Tas SR 35.</w:t>
      </w:r>
    </w:p>
  </w:footnote>
  <w:footnote w:id="348">
    <w:p w14:paraId="124F8ABA" w14:textId="295F6F18" w:rsidR="00EE78D8" w:rsidRPr="00236CDB" w:rsidRDefault="00EE78D8" w:rsidP="00236CDB">
      <w:pPr>
        <w:pStyle w:val="FootnoteText"/>
      </w:pPr>
      <w:r>
        <w:rPr>
          <w:rStyle w:val="FootnoteReference"/>
        </w:rPr>
        <w:footnoteRef/>
      </w:r>
      <w:r>
        <w:tab/>
      </w:r>
      <w:r w:rsidRPr="00236CDB">
        <w:t>This has been interpreted to mean intellectual disability.</w:t>
      </w:r>
    </w:p>
  </w:footnote>
  <w:footnote w:id="349">
    <w:p w14:paraId="1089BDF7" w14:textId="6C3418D8" w:rsidR="00EE78D8" w:rsidRPr="00863BB1" w:rsidRDefault="00EE78D8" w:rsidP="004147CB">
      <w:pPr>
        <w:pStyle w:val="FootnoteText"/>
        <w:rPr>
          <w:lang w:val="en-US"/>
        </w:rPr>
      </w:pPr>
      <w:r>
        <w:rPr>
          <w:rStyle w:val="FootnoteReference"/>
        </w:rPr>
        <w:footnoteRef/>
      </w:r>
      <w:r>
        <w:tab/>
      </w:r>
      <w:r>
        <w:rPr>
          <w:lang w:val="en-US"/>
        </w:rPr>
        <w:t xml:space="preserve">See McSherry, above n </w:t>
      </w:r>
      <w:r>
        <w:rPr>
          <w:lang w:val="en-US"/>
        </w:rPr>
        <w:fldChar w:fldCharType="begin"/>
      </w:r>
      <w:r>
        <w:rPr>
          <w:lang w:val="en-US"/>
        </w:rPr>
        <w:instrText xml:space="preserve"> NOTEREF _Ref535171610 \h </w:instrText>
      </w:r>
      <w:r>
        <w:rPr>
          <w:lang w:val="en-US"/>
        </w:rPr>
      </w:r>
      <w:r>
        <w:rPr>
          <w:lang w:val="en-US"/>
        </w:rPr>
        <w:fldChar w:fldCharType="separate"/>
      </w:r>
      <w:r w:rsidR="001F209C">
        <w:rPr>
          <w:lang w:val="en-US"/>
        </w:rPr>
        <w:t>327</w:t>
      </w:r>
      <w:r>
        <w:rPr>
          <w:lang w:val="en-US"/>
        </w:rPr>
        <w:fldChar w:fldCharType="end"/>
      </w:r>
      <w:r>
        <w:rPr>
          <w:lang w:val="en-US"/>
        </w:rPr>
        <w:t>, 78.</w:t>
      </w:r>
    </w:p>
  </w:footnote>
  <w:footnote w:id="350">
    <w:p w14:paraId="0F496FA5" w14:textId="2B5C1CB4" w:rsidR="00EE78D8" w:rsidRPr="00AF4566" w:rsidRDefault="00EE78D8" w:rsidP="004147CB">
      <w:pPr>
        <w:pStyle w:val="FootnoteText"/>
        <w:rPr>
          <w:lang w:val="en-US"/>
        </w:rPr>
      </w:pPr>
      <w:r>
        <w:rPr>
          <w:rStyle w:val="FootnoteReference"/>
        </w:rPr>
        <w:footnoteRef/>
      </w:r>
      <w:r>
        <w:tab/>
      </w:r>
      <w:r>
        <w:rPr>
          <w:i/>
          <w:lang w:val="en-US"/>
        </w:rPr>
        <w:t xml:space="preserve">R v Porter </w:t>
      </w:r>
      <w:r>
        <w:rPr>
          <w:lang w:val="en-US"/>
        </w:rPr>
        <w:t>(133) 55 CLR 182, 188 (Dixon J).</w:t>
      </w:r>
    </w:p>
  </w:footnote>
  <w:footnote w:id="351">
    <w:p w14:paraId="0F4CC84A" w14:textId="486B20A8" w:rsidR="00EE78D8" w:rsidRPr="00AF4566" w:rsidRDefault="00EE78D8" w:rsidP="004147CB">
      <w:pPr>
        <w:pStyle w:val="FootnoteText"/>
        <w:rPr>
          <w:i/>
          <w:lang w:val="en-US"/>
        </w:rPr>
      </w:pPr>
      <w:r>
        <w:rPr>
          <w:rStyle w:val="FootnoteReference"/>
        </w:rPr>
        <w:footnoteRef/>
      </w:r>
      <w:r>
        <w:tab/>
      </w:r>
      <w:r w:rsidRPr="00AF4566">
        <w:rPr>
          <w:i/>
          <w:lang w:val="en-US"/>
        </w:rPr>
        <w:t>Falconer</w:t>
      </w:r>
      <w:r>
        <w:rPr>
          <w:lang w:val="en-US"/>
        </w:rPr>
        <w:t xml:space="preserve"> </w:t>
      </w:r>
      <w:r w:rsidRPr="00AF4566">
        <w:rPr>
          <w:lang w:val="en-US"/>
        </w:rPr>
        <w:t>(1990) 171 CLR 30</w:t>
      </w:r>
      <w:r>
        <w:rPr>
          <w:i/>
          <w:lang w:val="en-US"/>
        </w:rPr>
        <w:t xml:space="preserve">. </w:t>
      </w:r>
    </w:p>
  </w:footnote>
  <w:footnote w:id="352">
    <w:p w14:paraId="0FAC6CF8" w14:textId="086A8E3A" w:rsidR="00EE78D8" w:rsidRPr="00376681" w:rsidRDefault="00EE78D8" w:rsidP="004147CB">
      <w:pPr>
        <w:pStyle w:val="FootnoteTextTLRI"/>
      </w:pPr>
      <w:r w:rsidRPr="00376681">
        <w:rPr>
          <w:rStyle w:val="FootnoteReference"/>
          <w:szCs w:val="18"/>
        </w:rPr>
        <w:footnoteRef/>
      </w:r>
      <w:r>
        <w:tab/>
      </w:r>
      <w:r w:rsidRPr="00376681">
        <w:t>(1985) 42 SASR 266</w:t>
      </w:r>
      <w:r>
        <w:t>,</w:t>
      </w:r>
      <w:r w:rsidRPr="00376681">
        <w:t xml:space="preserve"> 274. This was adopted by the High Court in </w:t>
      </w:r>
      <w:r w:rsidRPr="00376681">
        <w:rPr>
          <w:i/>
        </w:rPr>
        <w:t xml:space="preserve">R v Falconer </w:t>
      </w:r>
      <w:r w:rsidRPr="00376681">
        <w:t>(1990) 171 CLR 30</w:t>
      </w:r>
      <w:r>
        <w:t>, 53</w:t>
      </w:r>
      <w:r w:rsidRPr="00376681">
        <w:t xml:space="preserve"> </w:t>
      </w:r>
      <w:r>
        <w:t>(</w:t>
      </w:r>
      <w:r w:rsidRPr="00376681">
        <w:t>Mason CJ, Brennan and McHugh JJ</w:t>
      </w:r>
      <w:r>
        <w:t>),</w:t>
      </w:r>
      <w:r w:rsidRPr="00376681">
        <w:t xml:space="preserve"> </w:t>
      </w:r>
      <w:r>
        <w:t>60 (</w:t>
      </w:r>
      <w:r w:rsidRPr="00376681">
        <w:t>Deane and Dawson JJ</w:t>
      </w:r>
      <w:r>
        <w:t>)</w:t>
      </w:r>
      <w:r w:rsidRPr="00376681">
        <w:t xml:space="preserve">; 78 </w:t>
      </w:r>
      <w:r>
        <w:t>(</w:t>
      </w:r>
      <w:r w:rsidRPr="00376681">
        <w:t>Toohey J</w:t>
      </w:r>
      <w:r>
        <w:t>), 85 (</w:t>
      </w:r>
      <w:r w:rsidRPr="00376681">
        <w:t>Gaudron J</w:t>
      </w:r>
      <w:r>
        <w:t>)</w:t>
      </w:r>
      <w:r w:rsidRPr="00376681">
        <w:t>.</w:t>
      </w:r>
    </w:p>
  </w:footnote>
  <w:footnote w:id="353">
    <w:p w14:paraId="64DD0E67" w14:textId="067BA0AB" w:rsidR="00EE78D8" w:rsidRPr="004901A2" w:rsidRDefault="00EE78D8" w:rsidP="004147CB">
      <w:pPr>
        <w:pStyle w:val="FootnoteText"/>
        <w:rPr>
          <w:lang w:val="en-US"/>
        </w:rPr>
      </w:pPr>
      <w:r>
        <w:rPr>
          <w:rStyle w:val="FootnoteReference"/>
        </w:rPr>
        <w:footnoteRef/>
      </w:r>
      <w:r>
        <w:tab/>
        <w:t xml:space="preserve">A Simester et al, </w:t>
      </w:r>
      <w:r>
        <w:rPr>
          <w:i/>
        </w:rPr>
        <w:t xml:space="preserve">Simester and Sullivan’s Criminal Law: Theory and Doctrine </w:t>
      </w:r>
      <w:r>
        <w:t xml:space="preserve">(Hart Publishing, 2013) </w:t>
      </w:r>
      <w:r>
        <w:rPr>
          <w:lang w:val="en-US"/>
        </w:rPr>
        <w:t>719.</w:t>
      </w:r>
    </w:p>
  </w:footnote>
  <w:footnote w:id="354">
    <w:p w14:paraId="347F7AB3" w14:textId="046EED46" w:rsidR="00EE78D8" w:rsidRPr="00A3323B" w:rsidRDefault="00EE78D8">
      <w:pPr>
        <w:pStyle w:val="FootnoteText"/>
        <w:rPr>
          <w:lang w:val="en-US"/>
        </w:rPr>
      </w:pPr>
      <w:r>
        <w:rPr>
          <w:rStyle w:val="FootnoteReference"/>
        </w:rPr>
        <w:footnoteRef/>
      </w:r>
      <w:r>
        <w:tab/>
      </w:r>
      <w:r>
        <w:rPr>
          <w:lang w:val="en-US"/>
        </w:rPr>
        <w:t xml:space="preserve">See further Blackwood and Warner, above n </w:t>
      </w:r>
      <w:r>
        <w:rPr>
          <w:lang w:val="en-US"/>
        </w:rPr>
        <w:fldChar w:fldCharType="begin"/>
      </w:r>
      <w:r>
        <w:rPr>
          <w:lang w:val="en-US"/>
        </w:rPr>
        <w:instrText xml:space="preserve"> NOTEREF _Ref535179556 \h </w:instrText>
      </w:r>
      <w:r>
        <w:rPr>
          <w:lang w:val="en-US"/>
        </w:rPr>
      </w:r>
      <w:r>
        <w:rPr>
          <w:lang w:val="en-US"/>
        </w:rPr>
        <w:fldChar w:fldCharType="separate"/>
      </w:r>
      <w:r w:rsidR="001F209C">
        <w:rPr>
          <w:lang w:val="en-US"/>
        </w:rPr>
        <w:t>347</w:t>
      </w:r>
      <w:r>
        <w:rPr>
          <w:lang w:val="en-US"/>
        </w:rPr>
        <w:fldChar w:fldCharType="end"/>
      </w:r>
      <w:r>
        <w:rPr>
          <w:lang w:val="en-US"/>
        </w:rPr>
        <w:t>, Chapter 5.</w:t>
      </w:r>
    </w:p>
  </w:footnote>
  <w:footnote w:id="355">
    <w:p w14:paraId="3FAB3BB8" w14:textId="16D5BA91" w:rsidR="00EE78D8" w:rsidRPr="00376681" w:rsidRDefault="00EE78D8" w:rsidP="000F3E5F">
      <w:pPr>
        <w:pStyle w:val="FootnoteTextTLRI"/>
      </w:pPr>
      <w:r w:rsidRPr="00376681">
        <w:rPr>
          <w:rStyle w:val="FootnoteReference"/>
          <w:szCs w:val="18"/>
        </w:rPr>
        <w:footnoteRef/>
      </w:r>
      <w:r>
        <w:tab/>
      </w:r>
      <w:r w:rsidRPr="006A587E">
        <w:rPr>
          <w:i/>
        </w:rPr>
        <w:t>Criminal Code</w:t>
      </w:r>
      <w:r>
        <w:t xml:space="preserve"> (Tas) s</w:t>
      </w:r>
      <w:r w:rsidRPr="00376681">
        <w:t xml:space="preserve"> 17(1); </w:t>
      </w:r>
      <w:r w:rsidRPr="00376681">
        <w:rPr>
          <w:i/>
        </w:rPr>
        <w:t xml:space="preserve">Dearnley </w:t>
      </w:r>
      <w:r w:rsidRPr="00376681">
        <w:t>[1947] St R Qd R 51</w:t>
      </w:r>
      <w:r>
        <w:t xml:space="preserve">, </w:t>
      </w:r>
      <w:r w:rsidRPr="00376681">
        <w:t>61.</w:t>
      </w:r>
      <w:r>
        <w:t xml:space="preserve"> It is noted that complex questions arise in relation to the interaction of mental illness and alcohol and/or drugs for the purposes of the insanity and intoxication defences, see Blackwood and Warner, above n </w:t>
      </w:r>
      <w:r>
        <w:fldChar w:fldCharType="begin"/>
      </w:r>
      <w:r>
        <w:instrText xml:space="preserve"> NOTEREF _Ref535179556 \h </w:instrText>
      </w:r>
      <w:r>
        <w:fldChar w:fldCharType="separate"/>
      </w:r>
      <w:r w:rsidR="001F209C">
        <w:t>347</w:t>
      </w:r>
      <w:r>
        <w:fldChar w:fldCharType="end"/>
      </w:r>
      <w:r>
        <w:t>, 330.</w:t>
      </w:r>
    </w:p>
  </w:footnote>
  <w:footnote w:id="356">
    <w:p w14:paraId="7513ACC6" w14:textId="197FC135" w:rsidR="00EE78D8" w:rsidRPr="00376681" w:rsidRDefault="00EE78D8" w:rsidP="00F477F8">
      <w:pPr>
        <w:pStyle w:val="FootnoteTextTLRI"/>
      </w:pPr>
      <w:r w:rsidRPr="00376681">
        <w:rPr>
          <w:rStyle w:val="FootnoteReference"/>
          <w:szCs w:val="18"/>
        </w:rPr>
        <w:footnoteRef/>
      </w:r>
      <w:r>
        <w:tab/>
      </w:r>
      <w:r w:rsidRPr="00376681">
        <w:rPr>
          <w:i/>
        </w:rPr>
        <w:t>Bratty v A-G (Northern Ireland</w:t>
      </w:r>
      <w:r w:rsidRPr="00376681">
        <w:t xml:space="preserve">) </w:t>
      </w:r>
      <w:r>
        <w:t xml:space="preserve">[1963] </w:t>
      </w:r>
      <w:r w:rsidRPr="00376681">
        <w:t>AC 386.</w:t>
      </w:r>
    </w:p>
  </w:footnote>
  <w:footnote w:id="357">
    <w:p w14:paraId="0ED81481" w14:textId="3650B10F" w:rsidR="00EE78D8" w:rsidRPr="00376681" w:rsidRDefault="00EE78D8" w:rsidP="00F477F8">
      <w:pPr>
        <w:pStyle w:val="FootnoteTextTLRI"/>
      </w:pPr>
      <w:r w:rsidRPr="00376681">
        <w:rPr>
          <w:rStyle w:val="FootnoteReference"/>
          <w:szCs w:val="18"/>
        </w:rPr>
        <w:footnoteRef/>
      </w:r>
      <w:r>
        <w:tab/>
      </w:r>
      <w:r w:rsidRPr="00376681">
        <w:rPr>
          <w:i/>
        </w:rPr>
        <w:t xml:space="preserve">Milloy </w:t>
      </w:r>
      <w:r w:rsidRPr="00376681">
        <w:t>[1993] 1 Qd R 298.</w:t>
      </w:r>
    </w:p>
  </w:footnote>
  <w:footnote w:id="358">
    <w:p w14:paraId="129753FC" w14:textId="2AE583F2" w:rsidR="00EE78D8" w:rsidRPr="00376681" w:rsidRDefault="00EE78D8" w:rsidP="00F477F8">
      <w:pPr>
        <w:pStyle w:val="FootnoteTextTLRI"/>
        <w:rPr>
          <w:i/>
        </w:rPr>
      </w:pPr>
      <w:r w:rsidRPr="00376681">
        <w:rPr>
          <w:rStyle w:val="FootnoteReference"/>
          <w:szCs w:val="18"/>
        </w:rPr>
        <w:footnoteRef/>
      </w:r>
      <w:r>
        <w:tab/>
      </w:r>
      <w:r w:rsidRPr="00376681">
        <w:rPr>
          <w:i/>
        </w:rPr>
        <w:t>Bratty v A-G (Northern Ireland</w:t>
      </w:r>
      <w:r w:rsidRPr="00376681">
        <w:t xml:space="preserve">) </w:t>
      </w:r>
      <w:r>
        <w:t xml:space="preserve">[1963] </w:t>
      </w:r>
      <w:r w:rsidRPr="00376681">
        <w:t>AC 386.</w:t>
      </w:r>
    </w:p>
  </w:footnote>
  <w:footnote w:id="359">
    <w:p w14:paraId="527DAA16" w14:textId="16D1D92D" w:rsidR="00EE78D8" w:rsidRPr="00376681" w:rsidRDefault="00EE78D8" w:rsidP="00F477F8">
      <w:pPr>
        <w:pStyle w:val="FootnoteTextTLRI"/>
        <w:rPr>
          <w:i/>
        </w:rPr>
      </w:pPr>
      <w:r w:rsidRPr="00376681">
        <w:rPr>
          <w:rStyle w:val="FootnoteReference"/>
          <w:szCs w:val="18"/>
        </w:rPr>
        <w:footnoteRef/>
      </w:r>
      <w:r>
        <w:tab/>
      </w:r>
      <w:r w:rsidRPr="00376681">
        <w:rPr>
          <w:i/>
        </w:rPr>
        <w:t xml:space="preserve">Hennessy </w:t>
      </w:r>
      <w:r w:rsidRPr="00376681">
        <w:t>[1989] 2 All ER 9</w:t>
      </w:r>
      <w:r>
        <w:t xml:space="preserve">, </w:t>
      </w:r>
      <w:r w:rsidRPr="00376681">
        <w:t>14.</w:t>
      </w:r>
    </w:p>
  </w:footnote>
  <w:footnote w:id="360">
    <w:p w14:paraId="39F2E908" w14:textId="4129D238" w:rsidR="00EE78D8" w:rsidRPr="00376681" w:rsidRDefault="00EE78D8" w:rsidP="00F477F8">
      <w:pPr>
        <w:pStyle w:val="FootnoteTextTLRI"/>
      </w:pPr>
      <w:r w:rsidRPr="00376681">
        <w:rPr>
          <w:rStyle w:val="FootnoteReference"/>
          <w:szCs w:val="18"/>
        </w:rPr>
        <w:footnoteRef/>
      </w:r>
      <w:r>
        <w:tab/>
      </w:r>
      <w:r w:rsidRPr="00376681">
        <w:rPr>
          <w:i/>
        </w:rPr>
        <w:t>Kemp</w:t>
      </w:r>
      <w:r w:rsidRPr="00376681">
        <w:t xml:space="preserve"> [1957] 1 QB 399.</w:t>
      </w:r>
    </w:p>
  </w:footnote>
  <w:footnote w:id="361">
    <w:p w14:paraId="36E2A5FB" w14:textId="1A88C80D" w:rsidR="00EE78D8" w:rsidRPr="00376681" w:rsidRDefault="00EE78D8" w:rsidP="00F477F8">
      <w:pPr>
        <w:pStyle w:val="FootnoteTextTLRI"/>
      </w:pPr>
      <w:r w:rsidRPr="00376681">
        <w:rPr>
          <w:rStyle w:val="FootnoteReference"/>
          <w:szCs w:val="18"/>
        </w:rPr>
        <w:footnoteRef/>
      </w:r>
      <w:r>
        <w:tab/>
      </w:r>
      <w:r w:rsidRPr="00376681">
        <w:rPr>
          <w:i/>
        </w:rPr>
        <w:t>Walsh</w:t>
      </w:r>
      <w:r w:rsidRPr="00376681">
        <w:t xml:space="preserve"> [1993] TASSC 91.</w:t>
      </w:r>
    </w:p>
  </w:footnote>
  <w:footnote w:id="362">
    <w:p w14:paraId="5721B98B" w14:textId="14DDDDBE" w:rsidR="00EE78D8" w:rsidRPr="00AD5CBC" w:rsidRDefault="00EE78D8">
      <w:pPr>
        <w:pStyle w:val="FootnoteText"/>
        <w:rPr>
          <w:lang w:val="en-US"/>
        </w:rPr>
      </w:pPr>
      <w:r>
        <w:rPr>
          <w:rStyle w:val="FootnoteReference"/>
        </w:rPr>
        <w:footnoteRef/>
      </w:r>
      <w:r>
        <w:tab/>
      </w:r>
      <w:r>
        <w:rPr>
          <w:lang w:val="en-US"/>
        </w:rPr>
        <w:t xml:space="preserve">Schloenhardt, </w:t>
      </w:r>
      <w:r w:rsidRPr="00905330">
        <w:rPr>
          <w:lang w:val="en-US"/>
        </w:rPr>
        <w:t xml:space="preserve">above n </w:t>
      </w:r>
      <w:r w:rsidRPr="00905330">
        <w:rPr>
          <w:lang w:val="en-US"/>
        </w:rPr>
        <w:fldChar w:fldCharType="begin"/>
      </w:r>
      <w:r w:rsidRPr="00905330">
        <w:rPr>
          <w:lang w:val="en-US"/>
        </w:rPr>
        <w:instrText xml:space="preserve"> NOTEREF _Ref535179768 \h </w:instrText>
      </w:r>
      <w:r>
        <w:rPr>
          <w:lang w:val="en-US"/>
        </w:rPr>
        <w:instrText xml:space="preserve"> \* MERGEFORMAT </w:instrText>
      </w:r>
      <w:r w:rsidRPr="00905330">
        <w:rPr>
          <w:lang w:val="en-US"/>
        </w:rPr>
      </w:r>
      <w:r w:rsidRPr="00905330">
        <w:rPr>
          <w:lang w:val="en-US"/>
        </w:rPr>
        <w:fldChar w:fldCharType="separate"/>
      </w:r>
      <w:r w:rsidR="001F209C">
        <w:rPr>
          <w:lang w:val="en-US"/>
        </w:rPr>
        <w:t>326</w:t>
      </w:r>
      <w:r w:rsidRPr="00905330">
        <w:rPr>
          <w:lang w:val="en-US"/>
        </w:rPr>
        <w:fldChar w:fldCharType="end"/>
      </w:r>
      <w:r w:rsidRPr="00905330">
        <w:rPr>
          <w:lang w:val="en-US"/>
        </w:rPr>
        <w:t>,</w:t>
      </w:r>
      <w:r>
        <w:rPr>
          <w:lang w:val="en-US"/>
        </w:rPr>
        <w:t xml:space="preserve"> 560.</w:t>
      </w:r>
    </w:p>
  </w:footnote>
  <w:footnote w:id="363">
    <w:p w14:paraId="0C37E8C4" w14:textId="76BEAF44" w:rsidR="00EE78D8" w:rsidRPr="00271FF5" w:rsidRDefault="00EE78D8">
      <w:pPr>
        <w:pStyle w:val="FootnoteText"/>
        <w:rPr>
          <w:lang w:val="en-US"/>
        </w:rPr>
      </w:pPr>
      <w:r>
        <w:rPr>
          <w:rStyle w:val="FootnoteReference"/>
        </w:rPr>
        <w:footnoteRef/>
      </w:r>
      <w:r>
        <w:tab/>
      </w:r>
      <w:r w:rsidRPr="00376681">
        <w:rPr>
          <w:i/>
        </w:rPr>
        <w:t xml:space="preserve">Hennessy </w:t>
      </w:r>
      <w:r w:rsidRPr="00376681">
        <w:t>[1989] 2 All ER 9</w:t>
      </w:r>
      <w:r>
        <w:t>, which was a case involving</w:t>
      </w:r>
      <w:r w:rsidRPr="00376681">
        <w:t xml:space="preserve"> </w:t>
      </w:r>
      <w:r>
        <w:t xml:space="preserve">hyperglycaemia which is high blood sugar resulting from a failure to take insulin. In contrast, in </w:t>
      </w:r>
      <w:r>
        <w:rPr>
          <w:i/>
        </w:rPr>
        <w:t xml:space="preserve">Quick </w:t>
      </w:r>
      <w:r>
        <w:t>[1973] 3 WLR 26, hypoglyceaemia was held not to be a mental disease because the condition resulted in low blood sugar from an excess of insulin (which the defendant had administered as prescribed by the doctor).</w:t>
      </w:r>
    </w:p>
  </w:footnote>
  <w:footnote w:id="364">
    <w:p w14:paraId="02138D56" w14:textId="072669BB" w:rsidR="00EE78D8" w:rsidRPr="000F3E5F" w:rsidRDefault="00EE78D8">
      <w:pPr>
        <w:pStyle w:val="FootnoteText"/>
        <w:rPr>
          <w:lang w:val="en-US"/>
        </w:rPr>
      </w:pPr>
      <w:r>
        <w:rPr>
          <w:rStyle w:val="FootnoteReference"/>
        </w:rPr>
        <w:footnoteRef/>
      </w:r>
      <w:r>
        <w:tab/>
      </w:r>
      <w:r w:rsidRPr="00040929">
        <w:rPr>
          <w:i/>
          <w:lang w:val="en-US"/>
        </w:rPr>
        <w:t>Kemp</w:t>
      </w:r>
      <w:r>
        <w:rPr>
          <w:i/>
          <w:lang w:val="en-US"/>
        </w:rPr>
        <w:t xml:space="preserve"> </w:t>
      </w:r>
      <w:r w:rsidRPr="00376681">
        <w:t>[1957] 1 QB 399.</w:t>
      </w:r>
    </w:p>
  </w:footnote>
  <w:footnote w:id="365">
    <w:p w14:paraId="2A8E2534" w14:textId="39F4A417" w:rsidR="00EE78D8" w:rsidRPr="000F3E5F" w:rsidRDefault="00EE78D8">
      <w:pPr>
        <w:pStyle w:val="FootnoteText"/>
        <w:rPr>
          <w:lang w:val="en-US"/>
        </w:rPr>
      </w:pPr>
      <w:r>
        <w:rPr>
          <w:rStyle w:val="FootnoteReference"/>
        </w:rPr>
        <w:footnoteRef/>
      </w:r>
      <w:r>
        <w:tab/>
      </w:r>
      <w:r w:rsidRPr="00040929">
        <w:rPr>
          <w:i/>
          <w:lang w:val="en-US"/>
        </w:rPr>
        <w:t>Sullivan</w:t>
      </w:r>
      <w:r>
        <w:rPr>
          <w:i/>
          <w:lang w:val="en-US"/>
        </w:rPr>
        <w:t xml:space="preserve"> </w:t>
      </w:r>
      <w:r>
        <w:rPr>
          <w:lang w:val="en-US"/>
        </w:rPr>
        <w:t>[1983] 2 All ER 673.</w:t>
      </w:r>
    </w:p>
  </w:footnote>
  <w:footnote w:id="366">
    <w:p w14:paraId="0CB56608" w14:textId="4F90A169" w:rsidR="00EE78D8" w:rsidRPr="00792634" w:rsidRDefault="00EE78D8">
      <w:pPr>
        <w:pStyle w:val="FootnoteText"/>
        <w:rPr>
          <w:lang w:val="en-US"/>
        </w:rPr>
      </w:pPr>
      <w:r>
        <w:rPr>
          <w:rStyle w:val="FootnoteReference"/>
        </w:rPr>
        <w:footnoteRef/>
      </w:r>
      <w:r>
        <w:tab/>
      </w:r>
      <w:r>
        <w:rPr>
          <w:lang w:val="en-US"/>
        </w:rPr>
        <w:t>(1992) 75 CCC (3d) 287.</w:t>
      </w:r>
    </w:p>
  </w:footnote>
  <w:footnote w:id="367">
    <w:p w14:paraId="6838E35E" w14:textId="29068982" w:rsidR="00EE78D8" w:rsidRPr="00792634" w:rsidRDefault="00EE78D8">
      <w:pPr>
        <w:pStyle w:val="FootnoteText"/>
        <w:rPr>
          <w:lang w:val="en-US"/>
        </w:rPr>
      </w:pPr>
      <w:r>
        <w:rPr>
          <w:rStyle w:val="FootnoteReference"/>
        </w:rPr>
        <w:footnoteRef/>
      </w:r>
      <w:r>
        <w:tab/>
      </w:r>
      <w:r>
        <w:rPr>
          <w:i/>
          <w:lang w:val="en-US"/>
        </w:rPr>
        <w:t xml:space="preserve">Burgess </w:t>
      </w:r>
      <w:r>
        <w:rPr>
          <w:lang w:val="en-US"/>
        </w:rPr>
        <w:t xml:space="preserve">[1991] 2 QB 92. See further discussion in Blackwood and Warner, above n </w:t>
      </w:r>
      <w:r>
        <w:rPr>
          <w:lang w:val="en-US"/>
        </w:rPr>
        <w:fldChar w:fldCharType="begin"/>
      </w:r>
      <w:r>
        <w:rPr>
          <w:lang w:val="en-US"/>
        </w:rPr>
        <w:instrText xml:space="preserve"> NOTEREF _Ref535179556 \h </w:instrText>
      </w:r>
      <w:r>
        <w:rPr>
          <w:lang w:val="en-US"/>
        </w:rPr>
      </w:r>
      <w:r>
        <w:rPr>
          <w:lang w:val="en-US"/>
        </w:rPr>
        <w:fldChar w:fldCharType="separate"/>
      </w:r>
      <w:r w:rsidR="001F209C">
        <w:rPr>
          <w:lang w:val="en-US"/>
        </w:rPr>
        <w:t>347</w:t>
      </w:r>
      <w:r>
        <w:rPr>
          <w:lang w:val="en-US"/>
        </w:rPr>
        <w:fldChar w:fldCharType="end"/>
      </w:r>
      <w:r>
        <w:rPr>
          <w:lang w:val="en-US"/>
        </w:rPr>
        <w:t>, 232–234.</w:t>
      </w:r>
    </w:p>
  </w:footnote>
  <w:footnote w:id="368">
    <w:p w14:paraId="773BDF28" w14:textId="659D055D" w:rsidR="00EE78D8" w:rsidRPr="00410CBA" w:rsidRDefault="00EE78D8">
      <w:pPr>
        <w:pStyle w:val="FootnoteText"/>
        <w:rPr>
          <w:lang w:val="en-US"/>
        </w:rPr>
      </w:pPr>
      <w:r>
        <w:rPr>
          <w:rStyle w:val="FootnoteReference"/>
        </w:rPr>
        <w:footnoteRef/>
      </w:r>
      <w:r>
        <w:tab/>
      </w:r>
      <w:r>
        <w:rPr>
          <w:lang w:val="en-US"/>
        </w:rPr>
        <w:t xml:space="preserve">See </w:t>
      </w:r>
      <w:r>
        <w:rPr>
          <w:i/>
          <w:lang w:val="en-US"/>
        </w:rPr>
        <w:t xml:space="preserve">Lusted v Kingston </w:t>
      </w:r>
      <w:r>
        <w:rPr>
          <w:lang w:val="en-US"/>
        </w:rPr>
        <w:t xml:space="preserve">[2016] TASMC 1 referring to </w:t>
      </w:r>
      <w:r>
        <w:rPr>
          <w:i/>
          <w:lang w:val="en-US"/>
        </w:rPr>
        <w:t xml:space="preserve">Coulsen v The Queen </w:t>
      </w:r>
      <w:r>
        <w:rPr>
          <w:lang w:val="en-US"/>
        </w:rPr>
        <w:t>[2010] VSCA 146.</w:t>
      </w:r>
    </w:p>
  </w:footnote>
  <w:footnote w:id="369">
    <w:p w14:paraId="3F6D2735" w14:textId="4FD3A09E" w:rsidR="00EE78D8" w:rsidRPr="00BF5380" w:rsidRDefault="00EE78D8">
      <w:pPr>
        <w:pStyle w:val="FootnoteText"/>
        <w:rPr>
          <w:lang w:val="en-US"/>
        </w:rPr>
      </w:pPr>
      <w:r>
        <w:rPr>
          <w:rStyle w:val="FootnoteReference"/>
        </w:rPr>
        <w:footnoteRef/>
      </w:r>
      <w:r>
        <w:tab/>
      </w:r>
      <w:r w:rsidRPr="00376681">
        <w:rPr>
          <w:i/>
        </w:rPr>
        <w:t xml:space="preserve">Jeffrey </w:t>
      </w:r>
      <w:r w:rsidRPr="00376681">
        <w:t>[1982]</w:t>
      </w:r>
      <w:r>
        <w:t xml:space="preserve"> TAS SR 35</w:t>
      </w:r>
    </w:p>
  </w:footnote>
  <w:footnote w:id="370">
    <w:p w14:paraId="4821908F" w14:textId="21BE7421" w:rsidR="00EE78D8" w:rsidRPr="00BF5380" w:rsidRDefault="00EE78D8">
      <w:pPr>
        <w:pStyle w:val="FootnoteText"/>
        <w:rPr>
          <w:lang w:val="en-US"/>
        </w:rPr>
      </w:pPr>
      <w:r>
        <w:rPr>
          <w:rStyle w:val="FootnoteReference"/>
        </w:rPr>
        <w:footnoteRef/>
      </w:r>
      <w:r>
        <w:tab/>
      </w:r>
      <w:r w:rsidRPr="00376681">
        <w:rPr>
          <w:i/>
        </w:rPr>
        <w:t xml:space="preserve">Hodges </w:t>
      </w:r>
      <w:r w:rsidRPr="00376681">
        <w:t>(1985) 19 A Crim R 129</w:t>
      </w:r>
      <w:r>
        <w:t>.</w:t>
      </w:r>
    </w:p>
  </w:footnote>
  <w:footnote w:id="371">
    <w:p w14:paraId="13E4E56D" w14:textId="5D7F7054" w:rsidR="00EE78D8" w:rsidRPr="000F321F" w:rsidRDefault="00EE78D8" w:rsidP="004E46A0">
      <w:pPr>
        <w:pStyle w:val="FootnoteTextTLRI"/>
      </w:pPr>
      <w:r w:rsidRPr="00376681">
        <w:rPr>
          <w:rStyle w:val="FootnoteReference"/>
          <w:szCs w:val="18"/>
        </w:rPr>
        <w:footnoteRef/>
      </w:r>
      <w:r>
        <w:tab/>
      </w:r>
      <w:r w:rsidRPr="00376681">
        <w:rPr>
          <w:i/>
        </w:rPr>
        <w:t xml:space="preserve">Jeffrey </w:t>
      </w:r>
      <w:r w:rsidRPr="00376681">
        <w:t>[1982]</w:t>
      </w:r>
      <w:r>
        <w:t xml:space="preserve"> TAS SR 35</w:t>
      </w:r>
      <w:r w:rsidRPr="00376681">
        <w:t xml:space="preserve">; </w:t>
      </w:r>
      <w:r w:rsidRPr="00376681">
        <w:rPr>
          <w:i/>
        </w:rPr>
        <w:t xml:space="preserve">Willgoss </w:t>
      </w:r>
      <w:r w:rsidRPr="00376681">
        <w:t>(1960) 105 CLR 295</w:t>
      </w:r>
      <w:r>
        <w:t xml:space="preserve">; </w:t>
      </w:r>
      <w:r>
        <w:rPr>
          <w:i/>
        </w:rPr>
        <w:t xml:space="preserve">Williams v The Queen </w:t>
      </w:r>
      <w:r w:rsidRPr="00A53599">
        <w:t>[1978] Tas SR 98</w:t>
      </w:r>
      <w:r w:rsidRPr="00376681">
        <w:t xml:space="preserve">. </w:t>
      </w:r>
      <w:r w:rsidRPr="000F321F">
        <w:t xml:space="preserve">This has been considered in various law reform reports: </w:t>
      </w:r>
      <w:r w:rsidRPr="004E661A">
        <w:t>Law Reform Commission</w:t>
      </w:r>
      <w:r>
        <w:t xml:space="preserve"> of Western Australia</w:t>
      </w:r>
      <w:r w:rsidRPr="004E661A">
        <w:t xml:space="preserve"> (L</w:t>
      </w:r>
      <w:r>
        <w:t>RC</w:t>
      </w:r>
      <w:r w:rsidRPr="004E661A">
        <w:t xml:space="preserve">WA), </w:t>
      </w:r>
      <w:r w:rsidRPr="00740CFA">
        <w:rPr>
          <w:i/>
        </w:rPr>
        <w:t>A Review of the Law of Homicide</w:t>
      </w:r>
      <w:r>
        <w:t>, Final Report 97 (2007</w:t>
      </w:r>
      <w:r w:rsidRPr="00740CFA">
        <w:t>), 229–230</w:t>
      </w:r>
      <w:r w:rsidRPr="008856B0">
        <w:t xml:space="preserve">; New South Wales Law Reform Commission, above n </w:t>
      </w:r>
      <w:r>
        <w:fldChar w:fldCharType="begin"/>
      </w:r>
      <w:r>
        <w:instrText xml:space="preserve"> NOTEREF _Ref534982374 \h </w:instrText>
      </w:r>
      <w:r>
        <w:fldChar w:fldCharType="separate"/>
      </w:r>
      <w:r w:rsidR="001F209C">
        <w:t>55</w:t>
      </w:r>
      <w:r>
        <w:fldChar w:fldCharType="end"/>
      </w:r>
      <w:r>
        <w:t xml:space="preserve">, </w:t>
      </w:r>
      <w:r w:rsidRPr="008856B0">
        <w:t>5</w:t>
      </w:r>
      <w:r>
        <w:t>6–60</w:t>
      </w:r>
      <w:r w:rsidRPr="000F321F">
        <w:t>. It is noted that Bronitt and McSherry observe that the weight of psychiatric opinion is that antisocial personality disorder should not be equated with mental illness</w:t>
      </w:r>
      <w:r>
        <w:t>:</w:t>
      </w:r>
      <w:r w:rsidRPr="000F321F">
        <w:t xml:space="preserve"> Bronitt </w:t>
      </w:r>
      <w:r>
        <w:t>and</w:t>
      </w:r>
      <w:r w:rsidRPr="000F321F">
        <w:t xml:space="preserve"> McSherry,</w:t>
      </w:r>
      <w:r w:rsidRPr="005674BE">
        <w:rPr>
          <w:i/>
        </w:rPr>
        <w:t xml:space="preserve"> </w:t>
      </w:r>
      <w:r>
        <w:rPr>
          <w:lang w:val="en-AU"/>
        </w:rPr>
        <w:t xml:space="preserve">above n </w:t>
      </w:r>
      <w:r>
        <w:rPr>
          <w:lang w:val="en-AU"/>
        </w:rPr>
        <w:fldChar w:fldCharType="begin"/>
      </w:r>
      <w:r>
        <w:rPr>
          <w:lang w:val="en-AU"/>
        </w:rPr>
        <w:instrText xml:space="preserve"> NOTEREF _Ref535171610 \h </w:instrText>
      </w:r>
      <w:r>
        <w:rPr>
          <w:lang w:val="en-AU"/>
        </w:rPr>
      </w:r>
      <w:r>
        <w:rPr>
          <w:lang w:val="en-AU"/>
        </w:rPr>
        <w:fldChar w:fldCharType="separate"/>
      </w:r>
      <w:r w:rsidR="001F209C">
        <w:rPr>
          <w:lang w:val="en-AU"/>
        </w:rPr>
        <w:t>327</w:t>
      </w:r>
      <w:r>
        <w:rPr>
          <w:lang w:val="en-AU"/>
        </w:rPr>
        <w:fldChar w:fldCharType="end"/>
      </w:r>
      <w:r w:rsidRPr="000F321F">
        <w:t>, [4.45].</w:t>
      </w:r>
    </w:p>
  </w:footnote>
  <w:footnote w:id="372">
    <w:p w14:paraId="7A99623F" w14:textId="05117B03" w:rsidR="00EE78D8" w:rsidRPr="003E4947" w:rsidRDefault="00EE78D8">
      <w:pPr>
        <w:pStyle w:val="FootnoteText"/>
        <w:rPr>
          <w:lang w:val="en-US"/>
        </w:rPr>
      </w:pPr>
      <w:r>
        <w:rPr>
          <w:rStyle w:val="FootnoteReference"/>
        </w:rPr>
        <w:footnoteRef/>
      </w:r>
      <w:r>
        <w:tab/>
        <w:t>(</w:t>
      </w:r>
      <w:r w:rsidRPr="003E4947">
        <w:t>1933) 55 CLR 182, 188.</w:t>
      </w:r>
    </w:p>
  </w:footnote>
  <w:footnote w:id="373">
    <w:p w14:paraId="01007F31" w14:textId="4585B1FA" w:rsidR="00EE78D8" w:rsidRPr="00ED7CCC" w:rsidRDefault="00EE78D8">
      <w:pPr>
        <w:pStyle w:val="FootnoteText"/>
        <w:rPr>
          <w:lang w:val="en-US"/>
        </w:rPr>
      </w:pPr>
      <w:r>
        <w:rPr>
          <w:rStyle w:val="FootnoteReference"/>
        </w:rPr>
        <w:footnoteRef/>
      </w:r>
      <w:r>
        <w:tab/>
      </w:r>
      <w:r w:rsidRPr="00C01310">
        <w:t>E Colvin and J McKechnie,</w:t>
      </w:r>
      <w:r w:rsidRPr="00C01310">
        <w:rPr>
          <w:i/>
        </w:rPr>
        <w:t xml:space="preserve"> Criminal Law in Queensland and Western Australia: Cases and Commentary </w:t>
      </w:r>
      <w:r w:rsidRPr="00C01310">
        <w:t>(LexisNexis Butterworths, 6</w:t>
      </w:r>
      <w:r w:rsidRPr="00C01310">
        <w:rPr>
          <w:vertAlign w:val="superscript"/>
        </w:rPr>
        <w:t>th</w:t>
      </w:r>
      <w:r w:rsidRPr="00C01310">
        <w:t xml:space="preserve"> ed, 2011)</w:t>
      </w:r>
      <w:r>
        <w:rPr>
          <w:lang w:val="en-US"/>
        </w:rPr>
        <w:t xml:space="preserve"> 464.</w:t>
      </w:r>
    </w:p>
  </w:footnote>
  <w:footnote w:id="374">
    <w:p w14:paraId="7A3F4389" w14:textId="49D3A7ED" w:rsidR="00EE78D8" w:rsidRPr="00DE45C0" w:rsidRDefault="00EE78D8">
      <w:pPr>
        <w:pStyle w:val="FootnoteText"/>
        <w:rPr>
          <w:lang w:val="en-US"/>
        </w:rPr>
      </w:pPr>
      <w:r>
        <w:rPr>
          <w:rStyle w:val="FootnoteReference"/>
        </w:rPr>
        <w:footnoteRef/>
      </w:r>
      <w:r>
        <w:tab/>
      </w:r>
      <w:r>
        <w:rPr>
          <w:lang w:val="en-US"/>
        </w:rPr>
        <w:t xml:space="preserve">See discussion in </w:t>
      </w:r>
      <w:r>
        <w:t xml:space="preserve">Blackwood and Warner, above n </w:t>
      </w:r>
      <w:r>
        <w:fldChar w:fldCharType="begin"/>
      </w:r>
      <w:r>
        <w:instrText xml:space="preserve"> NOTEREF _Ref535179556 \h </w:instrText>
      </w:r>
      <w:r>
        <w:fldChar w:fldCharType="separate"/>
      </w:r>
      <w:r w:rsidR="001F209C">
        <w:t>347</w:t>
      </w:r>
      <w:r>
        <w:fldChar w:fldCharType="end"/>
      </w:r>
      <w:r>
        <w:t>,</w:t>
      </w:r>
      <w:r>
        <w:rPr>
          <w:lang w:val="en-US"/>
        </w:rPr>
        <w:t xml:space="preserve"> 248–251.</w:t>
      </w:r>
    </w:p>
  </w:footnote>
  <w:footnote w:id="375">
    <w:p w14:paraId="41E4651D" w14:textId="223DD850" w:rsidR="00EE78D8" w:rsidRPr="003E4947" w:rsidRDefault="00EE78D8">
      <w:pPr>
        <w:pStyle w:val="FootnoteText"/>
        <w:rPr>
          <w:lang w:val="en-US"/>
        </w:rPr>
      </w:pPr>
      <w:r>
        <w:rPr>
          <w:rStyle w:val="FootnoteReference"/>
        </w:rPr>
        <w:footnoteRef/>
      </w:r>
      <w:r>
        <w:tab/>
      </w:r>
      <w:r>
        <w:rPr>
          <w:lang w:val="en-US"/>
        </w:rPr>
        <w:t xml:space="preserve">This illustration is provided by </w:t>
      </w:r>
      <w:r>
        <w:t xml:space="preserve">D Caruso in D Caruso et al, </w:t>
      </w:r>
      <w:r w:rsidRPr="00515D1E">
        <w:rPr>
          <w:i/>
        </w:rPr>
        <w:t>South Australian Criminal Law: Review and Critique</w:t>
      </w:r>
      <w:r>
        <w:t xml:space="preserve"> (</w:t>
      </w:r>
      <w:r w:rsidRPr="000B547B">
        <w:t>LexisNexis Butterworths</w:t>
      </w:r>
      <w:r>
        <w:t>, 2014) 396.</w:t>
      </w:r>
    </w:p>
  </w:footnote>
  <w:footnote w:id="376">
    <w:p w14:paraId="511FCBE9" w14:textId="7E14D952" w:rsidR="00EE78D8" w:rsidRPr="000A4DBA" w:rsidRDefault="00EE78D8" w:rsidP="00ED7CCC">
      <w:pPr>
        <w:pStyle w:val="FootnoteText"/>
        <w:rPr>
          <w:lang w:val="en-US"/>
        </w:rPr>
      </w:pPr>
      <w:r>
        <w:rPr>
          <w:rStyle w:val="FootnoteReference"/>
        </w:rPr>
        <w:footnoteRef/>
      </w:r>
      <w:r>
        <w:rPr>
          <w:lang w:val="en-US"/>
        </w:rPr>
        <w:tab/>
        <w:t xml:space="preserve">Schloenhardt, </w:t>
      </w:r>
      <w:r w:rsidRPr="00905330">
        <w:rPr>
          <w:lang w:val="en-US"/>
        </w:rPr>
        <w:t xml:space="preserve">above n </w:t>
      </w:r>
      <w:r w:rsidRPr="00905330">
        <w:rPr>
          <w:lang w:val="en-US"/>
        </w:rPr>
        <w:fldChar w:fldCharType="begin"/>
      </w:r>
      <w:r w:rsidRPr="00905330">
        <w:rPr>
          <w:lang w:val="en-US"/>
        </w:rPr>
        <w:instrText xml:space="preserve"> NOTEREF _Ref535179768 \h </w:instrText>
      </w:r>
      <w:r>
        <w:rPr>
          <w:lang w:val="en-US"/>
        </w:rPr>
        <w:instrText xml:space="preserve"> \* MERGEFORMAT </w:instrText>
      </w:r>
      <w:r w:rsidRPr="00905330">
        <w:rPr>
          <w:lang w:val="en-US"/>
        </w:rPr>
      </w:r>
      <w:r w:rsidRPr="00905330">
        <w:rPr>
          <w:lang w:val="en-US"/>
        </w:rPr>
        <w:fldChar w:fldCharType="separate"/>
      </w:r>
      <w:r w:rsidR="001F209C">
        <w:rPr>
          <w:lang w:val="en-US"/>
        </w:rPr>
        <w:t>326</w:t>
      </w:r>
      <w:r w:rsidRPr="00905330">
        <w:rPr>
          <w:lang w:val="en-US"/>
        </w:rPr>
        <w:fldChar w:fldCharType="end"/>
      </w:r>
      <w:r w:rsidRPr="00905330">
        <w:rPr>
          <w:lang w:val="en-US"/>
        </w:rPr>
        <w:t>,</w:t>
      </w:r>
      <w:r>
        <w:rPr>
          <w:lang w:val="en-US"/>
        </w:rPr>
        <w:t xml:space="preserve"> 563.</w:t>
      </w:r>
    </w:p>
  </w:footnote>
  <w:footnote w:id="377">
    <w:p w14:paraId="420A665B" w14:textId="1A60C5B3" w:rsidR="00EE78D8" w:rsidRDefault="00EE78D8">
      <w:pPr>
        <w:pStyle w:val="FootnoteText"/>
      </w:pPr>
      <w:r>
        <w:rPr>
          <w:rStyle w:val="FootnoteReference"/>
        </w:rPr>
        <w:footnoteRef/>
      </w:r>
      <w:r>
        <w:tab/>
        <w:t xml:space="preserve">[1978] Tas SR 98. </w:t>
      </w:r>
    </w:p>
  </w:footnote>
  <w:footnote w:id="378">
    <w:p w14:paraId="41A0AF70" w14:textId="54ED05DE" w:rsidR="00EE78D8" w:rsidRDefault="00EE78D8">
      <w:pPr>
        <w:pStyle w:val="FootnoteText"/>
      </w:pPr>
      <w:r>
        <w:rPr>
          <w:rStyle w:val="FootnoteReference"/>
        </w:rPr>
        <w:footnoteRef/>
      </w:r>
      <w:r>
        <w:tab/>
        <w:t>Ibid 102 (Neasey J).</w:t>
      </w:r>
    </w:p>
  </w:footnote>
  <w:footnote w:id="379">
    <w:p w14:paraId="1FF4EC7C" w14:textId="3E111EA0" w:rsidR="00EE78D8" w:rsidRDefault="00EE78D8">
      <w:pPr>
        <w:pStyle w:val="FootnoteText"/>
      </w:pPr>
      <w:r>
        <w:rPr>
          <w:rStyle w:val="FootnoteReference"/>
        </w:rPr>
        <w:footnoteRef/>
      </w:r>
      <w:r>
        <w:tab/>
        <w:t>(1958) NZLR 999.</w:t>
      </w:r>
    </w:p>
  </w:footnote>
  <w:footnote w:id="380">
    <w:p w14:paraId="29B64BF7" w14:textId="0BE19BCF" w:rsidR="00EE78D8" w:rsidRPr="00D6081C" w:rsidRDefault="00EE78D8">
      <w:pPr>
        <w:pStyle w:val="FootnoteText"/>
      </w:pPr>
      <w:r>
        <w:rPr>
          <w:rStyle w:val="FootnoteReference"/>
        </w:rPr>
        <w:footnoteRef/>
      </w:r>
      <w:r>
        <w:tab/>
        <w:t xml:space="preserve">Ibid 109 (Neasey J) citing </w:t>
      </w:r>
      <w:r>
        <w:rPr>
          <w:i/>
        </w:rPr>
        <w:t xml:space="preserve">R v Cottle </w:t>
      </w:r>
      <w:r>
        <w:t>(1958) NZLR 999, 1009 (Gresson P).</w:t>
      </w:r>
    </w:p>
  </w:footnote>
  <w:footnote w:id="381">
    <w:p w14:paraId="291D45D7" w14:textId="6EFB7D4E" w:rsidR="00EE78D8" w:rsidRDefault="00EE78D8">
      <w:pPr>
        <w:pStyle w:val="FootnoteText"/>
      </w:pPr>
      <w:r>
        <w:rPr>
          <w:rStyle w:val="FootnoteReference"/>
        </w:rPr>
        <w:footnoteRef/>
      </w:r>
      <w:r>
        <w:tab/>
        <w:t>Ibid 109.</w:t>
      </w:r>
    </w:p>
  </w:footnote>
  <w:footnote w:id="382">
    <w:p w14:paraId="4D8B913D" w14:textId="002184F7" w:rsidR="00EE78D8" w:rsidRPr="004835D1" w:rsidRDefault="00EE78D8">
      <w:pPr>
        <w:pStyle w:val="FootnoteText"/>
      </w:pPr>
      <w:r>
        <w:rPr>
          <w:rStyle w:val="FootnoteReference"/>
        </w:rPr>
        <w:footnoteRef/>
      </w:r>
      <w:r>
        <w:tab/>
        <w:t xml:space="preserve">(1993) 68 </w:t>
      </w:r>
      <w:r w:rsidRPr="00FF46F5">
        <w:t>A Crim R</w:t>
      </w:r>
      <w:r>
        <w:rPr>
          <w:i/>
        </w:rPr>
        <w:t xml:space="preserve"> </w:t>
      </w:r>
      <w:r>
        <w:t>1.</w:t>
      </w:r>
    </w:p>
  </w:footnote>
  <w:footnote w:id="383">
    <w:p w14:paraId="12EDEABB" w14:textId="58625E34" w:rsidR="00EE78D8" w:rsidRDefault="00EE78D8">
      <w:pPr>
        <w:pStyle w:val="FootnoteText"/>
      </w:pPr>
      <w:r>
        <w:rPr>
          <w:rStyle w:val="FootnoteReference"/>
        </w:rPr>
        <w:footnoteRef/>
      </w:r>
      <w:r>
        <w:tab/>
        <w:t>(1960) 105 CLR 295, 300.</w:t>
      </w:r>
    </w:p>
  </w:footnote>
  <w:footnote w:id="384">
    <w:p w14:paraId="515004CF" w14:textId="0E8CBBCB" w:rsidR="00EE78D8" w:rsidRDefault="00EE78D8">
      <w:pPr>
        <w:pStyle w:val="FootnoteText"/>
      </w:pPr>
      <w:r>
        <w:rPr>
          <w:rStyle w:val="FootnoteReference"/>
        </w:rPr>
        <w:footnoteRef/>
      </w:r>
      <w:r>
        <w:tab/>
        <w:t>(1933) 55 CLR 182, 188–889.</w:t>
      </w:r>
    </w:p>
  </w:footnote>
  <w:footnote w:id="385">
    <w:p w14:paraId="63DF9112" w14:textId="219DBFD9" w:rsidR="00EE78D8" w:rsidRDefault="00EE78D8">
      <w:pPr>
        <w:pStyle w:val="FootnoteText"/>
      </w:pPr>
      <w:r>
        <w:rPr>
          <w:rStyle w:val="FootnoteReference"/>
        </w:rPr>
        <w:footnoteRef/>
      </w:r>
      <w:r>
        <w:tab/>
        <w:t xml:space="preserve">(1993) 68 </w:t>
      </w:r>
      <w:r w:rsidRPr="00FF46F5">
        <w:t>A Crim R</w:t>
      </w:r>
      <w:r>
        <w:rPr>
          <w:i/>
        </w:rPr>
        <w:t xml:space="preserve"> </w:t>
      </w:r>
      <w:r>
        <w:t>1, 28.</w:t>
      </w:r>
    </w:p>
  </w:footnote>
  <w:footnote w:id="386">
    <w:p w14:paraId="4A21F687" w14:textId="7A8FED43" w:rsidR="00EE78D8" w:rsidRPr="00DE45C0" w:rsidRDefault="00EE78D8">
      <w:pPr>
        <w:pStyle w:val="FootnoteText"/>
        <w:rPr>
          <w:lang w:val="en-US"/>
        </w:rPr>
      </w:pPr>
      <w:r>
        <w:rPr>
          <w:rStyle w:val="FootnoteReference"/>
        </w:rPr>
        <w:footnoteRef/>
      </w:r>
      <w:r>
        <w:tab/>
        <w:t xml:space="preserve">Blackwood and Warner, above n </w:t>
      </w:r>
      <w:r>
        <w:fldChar w:fldCharType="begin"/>
      </w:r>
      <w:r>
        <w:instrText xml:space="preserve"> NOTEREF _Ref535179556 \h </w:instrText>
      </w:r>
      <w:r>
        <w:fldChar w:fldCharType="separate"/>
      </w:r>
      <w:r w:rsidR="001F209C">
        <w:t>347</w:t>
      </w:r>
      <w:r>
        <w:fldChar w:fldCharType="end"/>
      </w:r>
      <w:r>
        <w:t>,</w:t>
      </w:r>
      <w:r>
        <w:rPr>
          <w:lang w:val="en-US"/>
        </w:rPr>
        <w:t xml:space="preserve"> 250.</w:t>
      </w:r>
    </w:p>
  </w:footnote>
  <w:footnote w:id="387">
    <w:p w14:paraId="56836914" w14:textId="39D73C25" w:rsidR="00EE78D8" w:rsidRPr="00680528" w:rsidRDefault="00EE78D8">
      <w:pPr>
        <w:pStyle w:val="FootnoteText"/>
        <w:rPr>
          <w:lang w:val="en-US"/>
        </w:rPr>
      </w:pPr>
      <w:r>
        <w:rPr>
          <w:rStyle w:val="FootnoteReference"/>
        </w:rPr>
        <w:footnoteRef/>
      </w:r>
      <w:r>
        <w:tab/>
      </w:r>
      <w:r>
        <w:rPr>
          <w:lang w:val="en-US"/>
        </w:rPr>
        <w:t xml:space="preserve">(1933) 55 CLR 182, 189–190 </w:t>
      </w:r>
      <w:r w:rsidRPr="00376681">
        <w:t xml:space="preserve">cited by Gibson J in </w:t>
      </w:r>
      <w:r w:rsidRPr="00376681">
        <w:rPr>
          <w:i/>
        </w:rPr>
        <w:t>Hitchens</w:t>
      </w:r>
      <w:r>
        <w:rPr>
          <w:i/>
        </w:rPr>
        <w:t xml:space="preserve"> </w:t>
      </w:r>
      <w:r w:rsidRPr="008856B0">
        <w:t>[1959] Tas SR 209,</w:t>
      </w:r>
      <w:r>
        <w:t xml:space="preserve"> </w:t>
      </w:r>
      <w:r w:rsidRPr="00376681">
        <w:t>221</w:t>
      </w:r>
      <w:r>
        <w:t>.</w:t>
      </w:r>
    </w:p>
  </w:footnote>
  <w:footnote w:id="388">
    <w:p w14:paraId="3FF87237" w14:textId="00E815AD" w:rsidR="00EE78D8" w:rsidRDefault="00EE78D8" w:rsidP="00A26BF8">
      <w:pPr>
        <w:pStyle w:val="FootnoteText"/>
      </w:pPr>
      <w:r>
        <w:rPr>
          <w:rStyle w:val="FootnoteReference"/>
        </w:rPr>
        <w:footnoteRef/>
      </w:r>
      <w:r>
        <w:tab/>
        <w:t xml:space="preserve">Sentencing Advisory Council, South Australia (SASAC), </w:t>
      </w:r>
      <w:r w:rsidRPr="00F4752F">
        <w:rPr>
          <w:i/>
        </w:rPr>
        <w:t>Mental Impairment and the Law: A Report on the Operation of Part 8A of the Criminal Law Consolidation Act 1935 (SA)</w:t>
      </w:r>
      <w:r>
        <w:t xml:space="preserve"> (2014</w:t>
      </w:r>
      <w:r w:rsidRPr="005441A0">
        <w:t>) 36</w:t>
      </w:r>
      <w:r>
        <w:t xml:space="preserve">. In South Australia, it has been estimated that approximately 87% of all findings of ‘mental incompetence’ are based on this limb of the test and two per cent of mental impairment defences are based on both limbs of the test, </w:t>
      </w:r>
      <w:r w:rsidRPr="00841DFE">
        <w:t>Appendix B</w:t>
      </w:r>
      <w:r>
        <w:t>, Table 6.</w:t>
      </w:r>
    </w:p>
  </w:footnote>
  <w:footnote w:id="389">
    <w:p w14:paraId="60B833F2" w14:textId="26A585E8" w:rsidR="00EE78D8" w:rsidRDefault="00EE78D8">
      <w:pPr>
        <w:pStyle w:val="FootnoteText"/>
      </w:pPr>
      <w:r>
        <w:rPr>
          <w:rStyle w:val="FootnoteReference"/>
        </w:rPr>
        <w:footnoteRef/>
      </w:r>
      <w:r>
        <w:tab/>
        <w:t>18 July 2014 (Sentence).</w:t>
      </w:r>
    </w:p>
  </w:footnote>
  <w:footnote w:id="390">
    <w:p w14:paraId="628E3B0F" w14:textId="2174A7A5" w:rsidR="00EE78D8" w:rsidRPr="00FF6540" w:rsidRDefault="00EE78D8">
      <w:pPr>
        <w:pStyle w:val="FootnoteText"/>
      </w:pPr>
      <w:r>
        <w:rPr>
          <w:rStyle w:val="FootnoteReference"/>
        </w:rPr>
        <w:footnoteRef/>
      </w:r>
      <w:r>
        <w:tab/>
      </w:r>
      <w:r>
        <w:rPr>
          <w:i/>
        </w:rPr>
        <w:t>Tasmania v P</w:t>
      </w:r>
      <w:r>
        <w:t>, Blow CJ, 13 November 2013 (Sentence).</w:t>
      </w:r>
    </w:p>
  </w:footnote>
  <w:footnote w:id="391">
    <w:p w14:paraId="3F11F8A7" w14:textId="345DB381" w:rsidR="00EE78D8" w:rsidRPr="00FF6540" w:rsidRDefault="00EE78D8">
      <w:pPr>
        <w:pStyle w:val="FootnoteText"/>
      </w:pPr>
      <w:r>
        <w:rPr>
          <w:rStyle w:val="FootnoteReference"/>
        </w:rPr>
        <w:footnoteRef/>
      </w:r>
      <w:r>
        <w:tab/>
      </w:r>
      <w:r>
        <w:rPr>
          <w:i/>
        </w:rPr>
        <w:t>Tasmania v R</w:t>
      </w:r>
      <w:r>
        <w:t>, Pearce J, 14 March 2017 (Sentence).</w:t>
      </w:r>
    </w:p>
  </w:footnote>
  <w:footnote w:id="392">
    <w:p w14:paraId="02ECD782" w14:textId="1A27DB87" w:rsidR="00EE78D8" w:rsidRDefault="00EE78D8">
      <w:pPr>
        <w:pStyle w:val="FootnoteText"/>
      </w:pPr>
      <w:r>
        <w:rPr>
          <w:rStyle w:val="FootnoteReference"/>
        </w:rPr>
        <w:footnoteRef/>
      </w:r>
      <w:r>
        <w:tab/>
      </w:r>
      <w:r w:rsidRPr="00F57B21">
        <w:t>[2010] WASCA 71.</w:t>
      </w:r>
    </w:p>
  </w:footnote>
  <w:footnote w:id="393">
    <w:p w14:paraId="325A4BD9" w14:textId="2E948198" w:rsidR="00EE78D8" w:rsidRPr="00AE2ABF" w:rsidRDefault="00EE78D8">
      <w:pPr>
        <w:pStyle w:val="FootnoteText"/>
        <w:rPr>
          <w:lang w:val="en-US"/>
        </w:rPr>
      </w:pPr>
      <w:r>
        <w:rPr>
          <w:rStyle w:val="FootnoteReference"/>
        </w:rPr>
        <w:footnoteRef/>
      </w:r>
      <w:r>
        <w:tab/>
        <w:t xml:space="preserve">See </w:t>
      </w:r>
      <w:r>
        <w:rPr>
          <w:lang w:val="en-US"/>
        </w:rPr>
        <w:t xml:space="preserve">Blackwood and Warner, </w:t>
      </w:r>
      <w:r>
        <w:t xml:space="preserve">above n </w:t>
      </w:r>
      <w:r>
        <w:fldChar w:fldCharType="begin"/>
      </w:r>
      <w:r>
        <w:instrText xml:space="preserve"> NOTEREF _Ref535179556 \h </w:instrText>
      </w:r>
      <w:r>
        <w:fldChar w:fldCharType="separate"/>
      </w:r>
      <w:r w:rsidR="001F209C">
        <w:t>347</w:t>
      </w:r>
      <w:r>
        <w:fldChar w:fldCharType="end"/>
      </w:r>
      <w:r>
        <w:t>,</w:t>
      </w:r>
      <w:r>
        <w:rPr>
          <w:lang w:val="en-US"/>
        </w:rPr>
        <w:t xml:space="preserve"> 256–261.</w:t>
      </w:r>
    </w:p>
  </w:footnote>
  <w:footnote w:id="394">
    <w:p w14:paraId="14B6FFA8" w14:textId="5A228485" w:rsidR="00EE78D8" w:rsidRPr="000E66E4" w:rsidRDefault="00EE78D8">
      <w:pPr>
        <w:pStyle w:val="FootnoteText"/>
        <w:rPr>
          <w:lang w:val="en-US"/>
        </w:rPr>
      </w:pPr>
      <w:r>
        <w:rPr>
          <w:rStyle w:val="FootnoteReference"/>
        </w:rPr>
        <w:footnoteRef/>
      </w:r>
      <w:r>
        <w:tab/>
      </w:r>
      <w:r w:rsidRPr="000E66E4">
        <w:rPr>
          <w:i/>
          <w:lang w:val="en-US"/>
        </w:rPr>
        <w:t xml:space="preserve">Hitchens </w:t>
      </w:r>
      <w:r w:rsidRPr="0087467A">
        <w:rPr>
          <w:lang w:val="en-US"/>
        </w:rPr>
        <w:t>[1962] Tas SR 35,</w:t>
      </w:r>
      <w:r w:rsidRPr="000E66E4">
        <w:rPr>
          <w:lang w:val="en-US"/>
        </w:rPr>
        <w:t xml:space="preserve"> 55 (Burbury CJ, Crisp and Cox JJ)</w:t>
      </w:r>
      <w:r>
        <w:rPr>
          <w:lang w:val="en-US"/>
        </w:rPr>
        <w:t>.</w:t>
      </w:r>
    </w:p>
  </w:footnote>
  <w:footnote w:id="395">
    <w:p w14:paraId="445A70BC" w14:textId="0E4C4E62" w:rsidR="00EE78D8" w:rsidRPr="000E66E4" w:rsidRDefault="00EE78D8">
      <w:pPr>
        <w:pStyle w:val="FootnoteText"/>
        <w:rPr>
          <w:lang w:val="en-US"/>
        </w:rPr>
      </w:pPr>
      <w:r>
        <w:rPr>
          <w:rStyle w:val="FootnoteReference"/>
        </w:rPr>
        <w:footnoteRef/>
      </w:r>
      <w:r>
        <w:tab/>
        <w:t>(1977) 51 ALJR 499, 501 (Barwick CJ and Mason J).</w:t>
      </w:r>
    </w:p>
  </w:footnote>
  <w:footnote w:id="396">
    <w:p w14:paraId="278B0771" w14:textId="360D5380" w:rsidR="00EE78D8" w:rsidRPr="00AE2ABF" w:rsidRDefault="00EE78D8">
      <w:pPr>
        <w:pStyle w:val="FootnoteText"/>
        <w:rPr>
          <w:lang w:val="en-US"/>
        </w:rPr>
      </w:pPr>
      <w:r>
        <w:rPr>
          <w:rStyle w:val="FootnoteReference"/>
        </w:rPr>
        <w:footnoteRef/>
      </w:r>
      <w:r>
        <w:tab/>
      </w:r>
      <w:r>
        <w:rPr>
          <w:lang w:val="en-US"/>
        </w:rPr>
        <w:t>Bronitt and McSherry,</w:t>
      </w:r>
      <w:r w:rsidRPr="00E41785">
        <w:t xml:space="preserve"> </w:t>
      </w:r>
      <w:r>
        <w:t xml:space="preserve">above n </w:t>
      </w:r>
      <w:r>
        <w:fldChar w:fldCharType="begin"/>
      </w:r>
      <w:r>
        <w:instrText xml:space="preserve"> NOTEREF _Ref535171610 \h </w:instrText>
      </w:r>
      <w:r>
        <w:fldChar w:fldCharType="separate"/>
      </w:r>
      <w:r w:rsidR="001F209C">
        <w:t>327</w:t>
      </w:r>
      <w:r>
        <w:fldChar w:fldCharType="end"/>
      </w:r>
      <w:r>
        <w:t>,</w:t>
      </w:r>
      <w:r>
        <w:rPr>
          <w:lang w:val="en-US"/>
        </w:rPr>
        <w:t xml:space="preserve"> </w:t>
      </w:r>
      <w:r w:rsidRPr="0087467A">
        <w:rPr>
          <w:lang w:val="en-US"/>
        </w:rPr>
        <w:t>248–249.</w:t>
      </w:r>
    </w:p>
  </w:footnote>
  <w:footnote w:id="397">
    <w:p w14:paraId="39B7DA6D" w14:textId="76FF7BC5" w:rsidR="00EE78D8" w:rsidRDefault="00EE78D8">
      <w:pPr>
        <w:pStyle w:val="FootnoteText"/>
      </w:pPr>
      <w:r>
        <w:rPr>
          <w:rStyle w:val="FootnoteReference"/>
        </w:rPr>
        <w:footnoteRef/>
      </w:r>
      <w:r>
        <w:tab/>
      </w:r>
      <w:r w:rsidRPr="0087467A">
        <w:rPr>
          <w:i/>
        </w:rPr>
        <w:t xml:space="preserve">Hitchens </w:t>
      </w:r>
      <w:r w:rsidRPr="0087467A">
        <w:t>[</w:t>
      </w:r>
      <w:r w:rsidRPr="0087467A">
        <w:rPr>
          <w:lang w:val="en-US"/>
        </w:rPr>
        <w:t>1962] Tas SR 35</w:t>
      </w:r>
      <w:r w:rsidRPr="008B2F4B">
        <w:t>;</w:t>
      </w:r>
      <w:r>
        <w:rPr>
          <w:i/>
        </w:rPr>
        <w:t xml:space="preserve"> </w:t>
      </w:r>
      <w:r w:rsidRPr="00406B20">
        <w:rPr>
          <w:i/>
        </w:rPr>
        <w:t>O’Neill</w:t>
      </w:r>
      <w:r>
        <w:t xml:space="preserve"> </w:t>
      </w:r>
      <w:r w:rsidRPr="000079E4">
        <w:rPr>
          <w:lang w:val="en-US"/>
        </w:rPr>
        <w:t>[2015] VSCA 325</w:t>
      </w:r>
      <w:r>
        <w:rPr>
          <w:lang w:val="en-US"/>
        </w:rPr>
        <w:t xml:space="preserve">; </w:t>
      </w:r>
      <w:r>
        <w:t xml:space="preserve">and </w:t>
      </w:r>
      <w:r w:rsidRPr="008B042F">
        <w:rPr>
          <w:i/>
        </w:rPr>
        <w:t>Jeffrey</w:t>
      </w:r>
      <w:r>
        <w:t xml:space="preserve"> [1982] Tas SR 199.</w:t>
      </w:r>
    </w:p>
  </w:footnote>
  <w:footnote w:id="398">
    <w:p w14:paraId="3E031587" w14:textId="57B6EAAC" w:rsidR="00EE78D8" w:rsidRPr="002A0EED" w:rsidRDefault="00EE78D8">
      <w:pPr>
        <w:pStyle w:val="FootnoteText"/>
      </w:pPr>
      <w:r>
        <w:rPr>
          <w:rStyle w:val="FootnoteReference"/>
        </w:rPr>
        <w:footnoteRef/>
      </w:r>
      <w:r>
        <w:tab/>
      </w:r>
      <w:r w:rsidRPr="0087467A">
        <w:rPr>
          <w:i/>
        </w:rPr>
        <w:t>Tasmania v G</w:t>
      </w:r>
      <w:r w:rsidRPr="0087467A">
        <w:t>, Estcourt J, 4 September 2013</w:t>
      </w:r>
      <w:r>
        <w:t xml:space="preserve"> (Sentence)</w:t>
      </w:r>
      <w:r w:rsidRPr="0087467A">
        <w:t>.</w:t>
      </w:r>
    </w:p>
  </w:footnote>
  <w:footnote w:id="399">
    <w:p w14:paraId="737ADB5B" w14:textId="6A8D2F91" w:rsidR="00EE78D8" w:rsidRPr="00B72B03" w:rsidRDefault="00EE78D8">
      <w:pPr>
        <w:pStyle w:val="FootnoteText"/>
        <w:rPr>
          <w:lang w:val="en-US"/>
        </w:rPr>
      </w:pPr>
      <w:r>
        <w:rPr>
          <w:rStyle w:val="FootnoteReference"/>
        </w:rPr>
        <w:footnoteRef/>
      </w:r>
      <w:r>
        <w:tab/>
      </w:r>
      <w:r>
        <w:rPr>
          <w:lang w:val="en-US"/>
        </w:rPr>
        <w:t xml:space="preserve">Blackwood and Warner, </w:t>
      </w:r>
      <w:r>
        <w:t xml:space="preserve">above n </w:t>
      </w:r>
      <w:r>
        <w:fldChar w:fldCharType="begin"/>
      </w:r>
      <w:r>
        <w:instrText xml:space="preserve"> NOTEREF _Ref535179556 \h </w:instrText>
      </w:r>
      <w:r>
        <w:fldChar w:fldCharType="separate"/>
      </w:r>
      <w:r w:rsidR="001F209C">
        <w:t>347</w:t>
      </w:r>
      <w:r>
        <w:fldChar w:fldCharType="end"/>
      </w:r>
      <w:r>
        <w:t>,</w:t>
      </w:r>
      <w:r>
        <w:rPr>
          <w:lang w:val="en-US"/>
        </w:rPr>
        <w:t xml:space="preserve"> 261.</w:t>
      </w:r>
    </w:p>
  </w:footnote>
  <w:footnote w:id="400">
    <w:p w14:paraId="07E23C1E" w14:textId="407F7E70" w:rsidR="00EE78D8" w:rsidRPr="00F92AE9" w:rsidRDefault="00EE78D8">
      <w:pPr>
        <w:pStyle w:val="FootnoteText"/>
        <w:rPr>
          <w:lang w:val="en-US"/>
        </w:rPr>
      </w:pPr>
      <w:r>
        <w:rPr>
          <w:rStyle w:val="FootnoteReference"/>
        </w:rPr>
        <w:footnoteRef/>
      </w:r>
      <w:r>
        <w:tab/>
      </w:r>
      <w:r>
        <w:rPr>
          <w:lang w:val="en-US"/>
        </w:rPr>
        <w:t>[1993] TASSC 91.</w:t>
      </w:r>
    </w:p>
  </w:footnote>
  <w:footnote w:id="401">
    <w:p w14:paraId="5B446F17" w14:textId="6B41D141" w:rsidR="00EE78D8" w:rsidRPr="00F92AE9" w:rsidRDefault="00EE78D8">
      <w:pPr>
        <w:pStyle w:val="FootnoteText"/>
        <w:rPr>
          <w:lang w:val="en-US"/>
        </w:rPr>
      </w:pPr>
      <w:r>
        <w:rPr>
          <w:rStyle w:val="FootnoteReference"/>
        </w:rPr>
        <w:footnoteRef/>
      </w:r>
      <w:r>
        <w:tab/>
      </w:r>
      <w:r>
        <w:rPr>
          <w:lang w:val="en-US"/>
        </w:rPr>
        <w:t>(1991) 60 A Crim R 419, 421 (Slicer J).</w:t>
      </w:r>
    </w:p>
  </w:footnote>
  <w:footnote w:id="402">
    <w:p w14:paraId="07616EAE" w14:textId="5524B902" w:rsidR="00EE78D8" w:rsidRPr="00F92AE9" w:rsidRDefault="00EE78D8">
      <w:pPr>
        <w:pStyle w:val="FootnoteText"/>
        <w:rPr>
          <w:lang w:val="en-US"/>
        </w:rPr>
      </w:pPr>
      <w:r>
        <w:rPr>
          <w:rStyle w:val="FootnoteReference"/>
        </w:rPr>
        <w:footnoteRef/>
      </w:r>
      <w:r>
        <w:tab/>
      </w:r>
      <w:r>
        <w:rPr>
          <w:lang w:val="en-US"/>
        </w:rPr>
        <w:t>Ibid 422.</w:t>
      </w:r>
    </w:p>
  </w:footnote>
  <w:footnote w:id="403">
    <w:p w14:paraId="5A36BF5F" w14:textId="1CE36502" w:rsidR="00EE78D8" w:rsidRPr="00F92AE9" w:rsidRDefault="00EE78D8">
      <w:pPr>
        <w:pStyle w:val="FootnoteText"/>
        <w:rPr>
          <w:lang w:val="en-US"/>
        </w:rPr>
      </w:pPr>
      <w:r>
        <w:rPr>
          <w:rStyle w:val="FootnoteReference"/>
        </w:rPr>
        <w:footnoteRef/>
      </w:r>
      <w:r>
        <w:tab/>
      </w:r>
      <w:r>
        <w:rPr>
          <w:lang w:val="en-US"/>
        </w:rPr>
        <w:t>Ibid.</w:t>
      </w:r>
    </w:p>
  </w:footnote>
  <w:footnote w:id="404">
    <w:p w14:paraId="1428D418" w14:textId="5CB38466" w:rsidR="00EE78D8" w:rsidRPr="00F513F6" w:rsidRDefault="00EE78D8">
      <w:pPr>
        <w:pStyle w:val="FootnoteText"/>
        <w:rPr>
          <w:lang w:val="en-US"/>
        </w:rPr>
      </w:pPr>
      <w:r>
        <w:rPr>
          <w:rStyle w:val="FootnoteReference"/>
        </w:rPr>
        <w:footnoteRef/>
      </w:r>
      <w:r>
        <w:tab/>
      </w:r>
      <w:r>
        <w:rPr>
          <w:lang w:val="en-US"/>
        </w:rPr>
        <w:t>[1993] TASSC 91 [22] (Crawford J).</w:t>
      </w:r>
    </w:p>
  </w:footnote>
  <w:footnote w:id="405">
    <w:p w14:paraId="1FA056CC" w14:textId="1A91A5D5" w:rsidR="00EE78D8" w:rsidRPr="00F513F6" w:rsidRDefault="00EE78D8">
      <w:pPr>
        <w:pStyle w:val="FootnoteText"/>
        <w:rPr>
          <w:lang w:val="en-US"/>
        </w:rPr>
      </w:pPr>
      <w:r>
        <w:rPr>
          <w:rStyle w:val="FootnoteReference"/>
        </w:rPr>
        <w:footnoteRef/>
      </w:r>
      <w:r>
        <w:tab/>
      </w:r>
      <w:r>
        <w:rPr>
          <w:lang w:val="en-US"/>
        </w:rPr>
        <w:t>Ibid [24].</w:t>
      </w:r>
    </w:p>
  </w:footnote>
  <w:footnote w:id="406">
    <w:p w14:paraId="65D7E133" w14:textId="1450FE46" w:rsidR="00EE78D8" w:rsidRPr="00FE736B" w:rsidRDefault="00EE78D8">
      <w:pPr>
        <w:pStyle w:val="FootnoteText"/>
        <w:rPr>
          <w:lang w:val="en-US"/>
        </w:rPr>
      </w:pPr>
      <w:r>
        <w:rPr>
          <w:rStyle w:val="FootnoteReference"/>
        </w:rPr>
        <w:footnoteRef/>
      </w:r>
      <w:r>
        <w:tab/>
      </w:r>
      <w:r>
        <w:rPr>
          <w:lang w:val="en-US"/>
        </w:rPr>
        <w:t xml:space="preserve">Blackwood and Warner, </w:t>
      </w:r>
      <w:r>
        <w:t xml:space="preserve">above n </w:t>
      </w:r>
      <w:r>
        <w:fldChar w:fldCharType="begin"/>
      </w:r>
      <w:r>
        <w:instrText xml:space="preserve"> NOTEREF _Ref535179556 \h </w:instrText>
      </w:r>
      <w:r>
        <w:fldChar w:fldCharType="separate"/>
      </w:r>
      <w:r w:rsidR="001F209C">
        <w:t>347</w:t>
      </w:r>
      <w:r>
        <w:fldChar w:fldCharType="end"/>
      </w:r>
      <w:r>
        <w:t>,</w:t>
      </w:r>
      <w:r>
        <w:rPr>
          <w:lang w:val="en-US"/>
        </w:rPr>
        <w:t xml:space="preserve"> 275.</w:t>
      </w:r>
    </w:p>
  </w:footnote>
  <w:footnote w:id="407">
    <w:p w14:paraId="757B5637" w14:textId="364E25EB" w:rsidR="00EE78D8" w:rsidRPr="00FE736B" w:rsidRDefault="00EE78D8">
      <w:pPr>
        <w:pStyle w:val="FootnoteText"/>
        <w:rPr>
          <w:lang w:val="en-US"/>
        </w:rPr>
      </w:pPr>
      <w:r>
        <w:rPr>
          <w:rStyle w:val="FootnoteReference"/>
        </w:rPr>
        <w:footnoteRef/>
      </w:r>
      <w:r>
        <w:tab/>
      </w:r>
      <w:r>
        <w:rPr>
          <w:lang w:val="en-US"/>
        </w:rPr>
        <w:t>Ibid 276.</w:t>
      </w:r>
    </w:p>
  </w:footnote>
  <w:footnote w:id="408">
    <w:p w14:paraId="50F1DB44" w14:textId="6F117F6F" w:rsidR="00EE78D8" w:rsidRPr="00FE736B" w:rsidRDefault="00EE78D8">
      <w:pPr>
        <w:pStyle w:val="FootnoteText"/>
        <w:rPr>
          <w:lang w:val="en-US"/>
        </w:rPr>
      </w:pPr>
      <w:r>
        <w:rPr>
          <w:rStyle w:val="FootnoteReference"/>
        </w:rPr>
        <w:footnoteRef/>
      </w:r>
      <w:r>
        <w:tab/>
      </w:r>
      <w:r>
        <w:rPr>
          <w:lang w:val="en-US"/>
        </w:rPr>
        <w:t xml:space="preserve">Ibid citing </w:t>
      </w:r>
      <w:r>
        <w:rPr>
          <w:i/>
          <w:lang w:val="en-US"/>
        </w:rPr>
        <w:t>Jeffrey</w:t>
      </w:r>
      <w:r>
        <w:rPr>
          <w:lang w:val="en-US"/>
        </w:rPr>
        <w:t>, unreported 7/1991.</w:t>
      </w:r>
    </w:p>
  </w:footnote>
  <w:footnote w:id="409">
    <w:p w14:paraId="06060284" w14:textId="26F0448E" w:rsidR="00EE78D8" w:rsidRPr="003E18F0" w:rsidRDefault="00EE78D8">
      <w:pPr>
        <w:pStyle w:val="FootnoteText"/>
        <w:rPr>
          <w:lang w:val="en-US"/>
        </w:rPr>
      </w:pPr>
      <w:r>
        <w:rPr>
          <w:rStyle w:val="FootnoteReference"/>
        </w:rPr>
        <w:footnoteRef/>
      </w:r>
      <w:r>
        <w:tab/>
      </w:r>
      <w:r>
        <w:rPr>
          <w:lang w:val="en-US"/>
        </w:rPr>
        <w:t>[1982] Tas R 199.</w:t>
      </w:r>
    </w:p>
  </w:footnote>
  <w:footnote w:id="410">
    <w:p w14:paraId="3EC5CE4E" w14:textId="29985EA5" w:rsidR="00EE78D8" w:rsidRPr="003E18F0" w:rsidRDefault="00EE78D8">
      <w:pPr>
        <w:pStyle w:val="FootnoteText"/>
        <w:rPr>
          <w:lang w:val="en-US"/>
        </w:rPr>
      </w:pPr>
      <w:r>
        <w:rPr>
          <w:rStyle w:val="FootnoteReference"/>
        </w:rPr>
        <w:footnoteRef/>
      </w:r>
      <w:r>
        <w:tab/>
      </w:r>
      <w:r>
        <w:rPr>
          <w:lang w:val="en-US"/>
        </w:rPr>
        <w:t>Ibid 209.</w:t>
      </w:r>
    </w:p>
  </w:footnote>
  <w:footnote w:id="411">
    <w:p w14:paraId="0FCEFAA6" w14:textId="3AB755A9" w:rsidR="00EE78D8" w:rsidRPr="00732059" w:rsidRDefault="00EE78D8" w:rsidP="00732059">
      <w:pPr>
        <w:pStyle w:val="FootnoteText"/>
        <w:rPr>
          <w:lang w:val="en-US"/>
        </w:rPr>
      </w:pPr>
      <w:r>
        <w:rPr>
          <w:rStyle w:val="FootnoteReference"/>
        </w:rPr>
        <w:footnoteRef/>
      </w:r>
      <w:r>
        <w:tab/>
      </w:r>
      <w:r>
        <w:rPr>
          <w:lang w:val="en-US"/>
        </w:rPr>
        <w:t xml:space="preserve">It is noted that changes are proposed to the defence in reforms to the forensic mental health system in NSW. These will include changing the legal term from ‘not guilty by reason of mental illness’ to ‘act proven but not criminally responsible by reason of cognitive or mental health impairment’ and the terms ‘cognitive impairment’ and ‘mental health impairment’ defined, see NSW Government (Justice), </w:t>
      </w:r>
      <w:r>
        <w:rPr>
          <w:i/>
          <w:lang w:val="en-US"/>
        </w:rPr>
        <w:t>Forensic Mental Health Reforms</w:t>
      </w:r>
      <w:r>
        <w:rPr>
          <w:lang w:val="en-US"/>
        </w:rPr>
        <w:t xml:space="preserve">: </w:t>
      </w:r>
      <w:r w:rsidRPr="00917139">
        <w:rPr>
          <w:i/>
          <w:lang w:val="en-US"/>
        </w:rPr>
        <w:t>Supporting Victims Factsheet</w:t>
      </w:r>
      <w:r>
        <w:rPr>
          <w:lang w:val="en-US"/>
        </w:rPr>
        <w:t xml:space="preserve"> (2018) &lt;</w:t>
      </w:r>
      <w:r w:rsidRPr="00732059">
        <w:rPr>
          <w:lang w:val="en-US"/>
        </w:rPr>
        <w:t>https://www.justice.nsw.gov.au/Pages/Reforms/forensic-mental-health.aspx</w:t>
      </w:r>
      <w:r>
        <w:rPr>
          <w:lang w:val="en-US"/>
        </w:rPr>
        <w:t>&gt;.</w:t>
      </w:r>
    </w:p>
  </w:footnote>
  <w:footnote w:id="412">
    <w:p w14:paraId="01A791FB" w14:textId="25BFA544" w:rsidR="00EE78D8" w:rsidRPr="00936820" w:rsidRDefault="00EE78D8" w:rsidP="00793814">
      <w:pPr>
        <w:pStyle w:val="FootnoteText"/>
      </w:pPr>
      <w:r w:rsidRPr="00FF5C9B">
        <w:rPr>
          <w:rStyle w:val="FootnoteReference"/>
          <w:szCs w:val="20"/>
        </w:rPr>
        <w:footnoteRef/>
      </w:r>
      <w:r>
        <w:tab/>
      </w:r>
      <w:r w:rsidRPr="00936820">
        <w:rPr>
          <w:i/>
          <w:szCs w:val="18"/>
        </w:rPr>
        <w:t>R v Porter</w:t>
      </w:r>
      <w:r>
        <w:rPr>
          <w:i/>
          <w:szCs w:val="18"/>
        </w:rPr>
        <w:t xml:space="preserve"> </w:t>
      </w:r>
      <w:r>
        <w:rPr>
          <w:szCs w:val="18"/>
        </w:rPr>
        <w:t>(1933) 55 CLR 182, 188.</w:t>
      </w:r>
    </w:p>
  </w:footnote>
  <w:footnote w:id="413">
    <w:p w14:paraId="1497EB01" w14:textId="4EF70D9D" w:rsidR="00EE78D8" w:rsidRPr="00FF5C9B" w:rsidRDefault="00EE78D8" w:rsidP="00793814">
      <w:pPr>
        <w:pStyle w:val="FootnoteText"/>
        <w:rPr>
          <w:i/>
          <w:szCs w:val="18"/>
        </w:rPr>
      </w:pPr>
      <w:r w:rsidRPr="00FF5C9B">
        <w:rPr>
          <w:rStyle w:val="FootnoteReference"/>
          <w:szCs w:val="20"/>
        </w:rPr>
        <w:footnoteRef/>
      </w:r>
      <w:r>
        <w:tab/>
      </w:r>
      <w:r w:rsidRPr="00FF5C9B">
        <w:rPr>
          <w:i/>
          <w:szCs w:val="18"/>
        </w:rPr>
        <w:t xml:space="preserve">Bratty v AG (Northern Ireland) </w:t>
      </w:r>
      <w:r w:rsidRPr="00FF5C9B">
        <w:rPr>
          <w:szCs w:val="18"/>
        </w:rPr>
        <w:t>[1963] AC 386, 412</w:t>
      </w:r>
      <w:r w:rsidRPr="00FF5C9B">
        <w:rPr>
          <w:i/>
          <w:szCs w:val="18"/>
        </w:rPr>
        <w:t>.</w:t>
      </w:r>
    </w:p>
  </w:footnote>
  <w:footnote w:id="414">
    <w:p w14:paraId="231F4E46" w14:textId="0AC7C8D6" w:rsidR="00EE78D8" w:rsidRPr="00917139" w:rsidRDefault="00EE78D8" w:rsidP="00917139">
      <w:pPr>
        <w:pStyle w:val="FootnoteText"/>
      </w:pPr>
      <w:r w:rsidRPr="00917139">
        <w:rPr>
          <w:rStyle w:val="FootnoteReference"/>
        </w:rPr>
        <w:footnoteRef/>
      </w:r>
      <w:r w:rsidRPr="00917139">
        <w:t xml:space="preserve"> </w:t>
      </w:r>
      <w:r>
        <w:tab/>
      </w:r>
      <w:r w:rsidRPr="00917139">
        <w:rPr>
          <w:i/>
        </w:rPr>
        <w:t>R</w:t>
      </w:r>
      <w:r>
        <w:rPr>
          <w:i/>
        </w:rPr>
        <w:t xml:space="preserve"> </w:t>
      </w:r>
      <w:r w:rsidRPr="00917139">
        <w:rPr>
          <w:i/>
        </w:rPr>
        <w:t>v</w:t>
      </w:r>
      <w:r>
        <w:rPr>
          <w:i/>
        </w:rPr>
        <w:t xml:space="preserve"> </w:t>
      </w:r>
      <w:r w:rsidRPr="00917139">
        <w:rPr>
          <w:i/>
        </w:rPr>
        <w:t>Quick</w:t>
      </w:r>
      <w:r w:rsidRPr="00917139">
        <w:t xml:space="preserve"> (1973) QB 910 cf </w:t>
      </w:r>
      <w:r w:rsidRPr="00C16B6F">
        <w:rPr>
          <w:i/>
        </w:rPr>
        <w:t>Radford</w:t>
      </w:r>
      <w:r>
        <w:rPr>
          <w:i/>
        </w:rPr>
        <w:t xml:space="preserve"> </w:t>
      </w:r>
      <w:r w:rsidRPr="00C16B6F">
        <w:rPr>
          <w:i/>
        </w:rPr>
        <w:t>v The Queen</w:t>
      </w:r>
      <w:r w:rsidRPr="00917139">
        <w:t xml:space="preserve"> (1985) 42 SASR, 274–275, where the contrast is drawn between a pathologically infirm mind and ‘the reaction of a healthy mind to extraordinary external stimuli’.</w:t>
      </w:r>
    </w:p>
  </w:footnote>
  <w:footnote w:id="415">
    <w:p w14:paraId="030A884C" w14:textId="516A25FC" w:rsidR="00EE78D8" w:rsidRPr="00917139" w:rsidRDefault="00EE78D8" w:rsidP="00917139">
      <w:pPr>
        <w:pStyle w:val="FootnoteText"/>
      </w:pPr>
      <w:r w:rsidRPr="00917139">
        <w:rPr>
          <w:rStyle w:val="FootnoteReference"/>
        </w:rPr>
        <w:footnoteRef/>
      </w:r>
      <w:r>
        <w:tab/>
      </w:r>
      <w:r w:rsidRPr="00EC09B6">
        <w:rPr>
          <w:i/>
        </w:rPr>
        <w:t>Willgoss v The Queen</w:t>
      </w:r>
      <w:r w:rsidRPr="00917139">
        <w:t xml:space="preserve"> (1960) 105 CLR 295.</w:t>
      </w:r>
    </w:p>
  </w:footnote>
  <w:footnote w:id="416">
    <w:p w14:paraId="25E06803" w14:textId="082A56A2" w:rsidR="00EE78D8" w:rsidRPr="00917139" w:rsidRDefault="00EE78D8" w:rsidP="00917139">
      <w:pPr>
        <w:pStyle w:val="FootnoteText"/>
      </w:pPr>
      <w:r w:rsidRPr="00917139">
        <w:rPr>
          <w:rStyle w:val="FootnoteReference"/>
        </w:rPr>
        <w:footnoteRef/>
      </w:r>
      <w:r>
        <w:rPr>
          <w:rStyle w:val="FootnoteReference"/>
          <w:sz w:val="18"/>
          <w:vertAlign w:val="baseline"/>
        </w:rPr>
        <w:tab/>
      </w:r>
      <w:r w:rsidRPr="00EC09B6">
        <w:rPr>
          <w:i/>
        </w:rPr>
        <w:t xml:space="preserve">Sodeman v </w:t>
      </w:r>
      <w:r>
        <w:rPr>
          <w:i/>
        </w:rPr>
        <w:t>T</w:t>
      </w:r>
      <w:r w:rsidRPr="00EC09B6">
        <w:rPr>
          <w:i/>
        </w:rPr>
        <w:t>he King</w:t>
      </w:r>
      <w:r w:rsidRPr="00917139">
        <w:t xml:space="preserve"> (1936) CLR 192; </w:t>
      </w:r>
      <w:r w:rsidRPr="00EC09B6">
        <w:rPr>
          <w:i/>
        </w:rPr>
        <w:t>R v Hodges</w:t>
      </w:r>
      <w:r w:rsidRPr="00917139">
        <w:t xml:space="preserve"> (1985) 19 A Crim R 129.</w:t>
      </w:r>
    </w:p>
  </w:footnote>
  <w:footnote w:id="417">
    <w:p w14:paraId="2D0300D9" w14:textId="6D6472F6" w:rsidR="00EE78D8" w:rsidRDefault="00EE78D8" w:rsidP="00793814">
      <w:pPr>
        <w:pStyle w:val="FootnoteText"/>
      </w:pPr>
      <w:r>
        <w:rPr>
          <w:rStyle w:val="FootnoteReference"/>
        </w:rPr>
        <w:footnoteRef/>
      </w:r>
      <w:r>
        <w:tab/>
      </w:r>
      <w:r w:rsidRPr="009205A5">
        <w:rPr>
          <w:i/>
          <w:szCs w:val="18"/>
        </w:rPr>
        <w:t>Stapleton</w:t>
      </w:r>
      <w:r>
        <w:rPr>
          <w:i/>
          <w:szCs w:val="18"/>
        </w:rPr>
        <w:t xml:space="preserve"> </w:t>
      </w:r>
      <w:r w:rsidRPr="009205A5">
        <w:rPr>
          <w:i/>
          <w:szCs w:val="18"/>
        </w:rPr>
        <w:t>v The Queen</w:t>
      </w:r>
      <w:r w:rsidRPr="009205A5">
        <w:rPr>
          <w:sz w:val="20"/>
          <w:szCs w:val="20"/>
        </w:rPr>
        <w:t xml:space="preserve"> (</w:t>
      </w:r>
      <w:r>
        <w:rPr>
          <w:szCs w:val="18"/>
        </w:rPr>
        <w:t xml:space="preserve">1952) 86 CLR 358, </w:t>
      </w:r>
      <w:r w:rsidRPr="009205A5">
        <w:rPr>
          <w:szCs w:val="18"/>
        </w:rPr>
        <w:t>375</w:t>
      </w:r>
      <w:r w:rsidRPr="009205A5">
        <w:rPr>
          <w:sz w:val="20"/>
          <w:szCs w:val="20"/>
        </w:rPr>
        <w:t>.</w:t>
      </w:r>
    </w:p>
  </w:footnote>
  <w:footnote w:id="418">
    <w:p w14:paraId="674462CA" w14:textId="52B376D2" w:rsidR="00EE78D8" w:rsidRDefault="00EE78D8" w:rsidP="00793814">
      <w:pPr>
        <w:pStyle w:val="FootnoteText"/>
      </w:pPr>
      <w:r>
        <w:rPr>
          <w:rStyle w:val="FootnoteReference"/>
        </w:rPr>
        <w:footnoteRef/>
      </w:r>
      <w:r>
        <w:tab/>
      </w:r>
      <w:r w:rsidRPr="000D621E">
        <w:rPr>
          <w:szCs w:val="18"/>
        </w:rPr>
        <w:t>It is noted in s 269C(1)(b) that this excludes from consideration whether the defendant could reason with a moderate degree of sense and composure as set out in</w:t>
      </w:r>
      <w:r w:rsidRPr="000D621E">
        <w:rPr>
          <w:i/>
          <w:szCs w:val="18"/>
        </w:rPr>
        <w:t xml:space="preserve"> R v Porter </w:t>
      </w:r>
      <w:r w:rsidRPr="00D172D4">
        <w:rPr>
          <w:szCs w:val="18"/>
        </w:rPr>
        <w:t>(1936) 55 CLR 182.</w:t>
      </w:r>
      <w:r w:rsidRPr="000D621E">
        <w:rPr>
          <w:i/>
          <w:szCs w:val="18"/>
        </w:rPr>
        <w:t xml:space="preserve"> </w:t>
      </w:r>
    </w:p>
  </w:footnote>
  <w:footnote w:id="419">
    <w:p w14:paraId="4694095E" w14:textId="6C6DB939" w:rsidR="00EE78D8" w:rsidRPr="00C25BCA" w:rsidRDefault="00EE78D8">
      <w:pPr>
        <w:pStyle w:val="FootnoteText"/>
        <w:rPr>
          <w:lang w:val="en-US"/>
        </w:rPr>
      </w:pPr>
      <w:r>
        <w:rPr>
          <w:rStyle w:val="FootnoteReference"/>
        </w:rPr>
        <w:footnoteRef/>
      </w:r>
      <w:r>
        <w:tab/>
      </w:r>
      <w:r>
        <w:rPr>
          <w:lang w:val="en-US"/>
        </w:rPr>
        <w:t xml:space="preserve">Note that a definition of mental impairment was </w:t>
      </w:r>
      <w:r>
        <w:t>contained</w:t>
      </w:r>
      <w:r>
        <w:rPr>
          <w:lang w:val="en-US"/>
        </w:rPr>
        <w:t xml:space="preserve"> in the </w:t>
      </w:r>
      <w:r>
        <w:rPr>
          <w:i/>
          <w:lang w:val="en-US"/>
        </w:rPr>
        <w:t xml:space="preserve">Crimes (Mental Impairment and Unfitness to be Tried) Amendment Bill 2016 </w:t>
      </w:r>
      <w:r>
        <w:rPr>
          <w:lang w:val="en-US"/>
        </w:rPr>
        <w:t>(Vic) cl 5. This legislation has not been passed by the Victorian Parliament.</w:t>
      </w:r>
    </w:p>
  </w:footnote>
  <w:footnote w:id="420">
    <w:p w14:paraId="336075BE" w14:textId="28040F7C" w:rsidR="00EE78D8" w:rsidRPr="00C01310" w:rsidRDefault="00EE78D8" w:rsidP="001C37D6">
      <w:pPr>
        <w:pStyle w:val="FootnoteTextTLRI"/>
        <w:rPr>
          <w:lang w:val="en-AU"/>
        </w:rPr>
      </w:pPr>
      <w:r w:rsidRPr="00C01310">
        <w:rPr>
          <w:rStyle w:val="FootnoteReference"/>
          <w:lang w:val="en-AU"/>
        </w:rPr>
        <w:footnoteRef/>
      </w:r>
      <w:r w:rsidRPr="00C01310">
        <w:rPr>
          <w:lang w:val="en-AU"/>
        </w:rPr>
        <w:t xml:space="preserve"> </w:t>
      </w:r>
      <w:r>
        <w:rPr>
          <w:lang w:val="en-AU"/>
        </w:rPr>
        <w:tab/>
      </w:r>
      <w:r w:rsidRPr="00C01310">
        <w:rPr>
          <w:lang w:val="en-AU"/>
        </w:rPr>
        <w:t xml:space="preserve">Blackwood and Warner, </w:t>
      </w:r>
      <w:r>
        <w:t xml:space="preserve">above n </w:t>
      </w:r>
      <w:r>
        <w:fldChar w:fldCharType="begin"/>
      </w:r>
      <w:r>
        <w:instrText xml:space="preserve"> NOTEREF _Ref535179556 \h </w:instrText>
      </w:r>
      <w:r>
        <w:fldChar w:fldCharType="separate"/>
      </w:r>
      <w:r w:rsidR="001F209C">
        <w:t>347</w:t>
      </w:r>
      <w:r>
        <w:fldChar w:fldCharType="end"/>
      </w:r>
      <w:r>
        <w:t xml:space="preserve">, </w:t>
      </w:r>
      <w:r w:rsidRPr="00C01310">
        <w:rPr>
          <w:lang w:val="en-AU"/>
        </w:rPr>
        <w:t xml:space="preserve">280; </w:t>
      </w:r>
      <w:r>
        <w:rPr>
          <w:lang w:val="en-AU"/>
        </w:rPr>
        <w:t xml:space="preserve">See also </w:t>
      </w:r>
      <w:r w:rsidRPr="00C01310">
        <w:rPr>
          <w:lang w:val="en-AU"/>
        </w:rPr>
        <w:t xml:space="preserve">S Yeo, ‘Commonwealth and International Perspectives on the Insanity Defence’ (2008) 32 </w:t>
      </w:r>
      <w:r w:rsidRPr="00C01310">
        <w:rPr>
          <w:i/>
          <w:lang w:val="en-AU"/>
        </w:rPr>
        <w:t>Crim</w:t>
      </w:r>
      <w:r>
        <w:rPr>
          <w:i/>
          <w:lang w:val="en-AU"/>
        </w:rPr>
        <w:t>inal</w:t>
      </w:r>
      <w:r w:rsidRPr="00C01310">
        <w:rPr>
          <w:i/>
          <w:lang w:val="en-AU"/>
        </w:rPr>
        <w:t xml:space="preserve"> L</w:t>
      </w:r>
      <w:r>
        <w:rPr>
          <w:i/>
          <w:lang w:val="en-AU"/>
        </w:rPr>
        <w:t xml:space="preserve">aw </w:t>
      </w:r>
      <w:r w:rsidRPr="00C01310">
        <w:rPr>
          <w:i/>
          <w:lang w:val="en-AU"/>
        </w:rPr>
        <w:t>J</w:t>
      </w:r>
      <w:r>
        <w:rPr>
          <w:i/>
          <w:lang w:val="en-AU"/>
        </w:rPr>
        <w:t>ournal</w:t>
      </w:r>
      <w:r w:rsidRPr="00C01310">
        <w:rPr>
          <w:lang w:val="en-AU"/>
        </w:rPr>
        <w:t xml:space="preserve"> 7; N Morris, </w:t>
      </w:r>
      <w:r w:rsidRPr="00C01310">
        <w:rPr>
          <w:i/>
          <w:lang w:val="en-AU"/>
        </w:rPr>
        <w:t xml:space="preserve">Madness and the Criminal Law </w:t>
      </w:r>
      <w:r w:rsidRPr="00C01310">
        <w:rPr>
          <w:lang w:val="en-AU"/>
        </w:rPr>
        <w:t>(University of Chicago Press, 1982).</w:t>
      </w:r>
    </w:p>
  </w:footnote>
  <w:footnote w:id="421">
    <w:p w14:paraId="1EDB35FC" w14:textId="39703E51" w:rsidR="00EE78D8" w:rsidRDefault="00EE78D8">
      <w:pPr>
        <w:pStyle w:val="FootnoteText"/>
      </w:pPr>
      <w:r>
        <w:rPr>
          <w:rStyle w:val="FootnoteReference"/>
        </w:rPr>
        <w:footnoteRef/>
      </w:r>
      <w:r>
        <w:tab/>
        <w:t xml:space="preserve">Simester et al, above n </w:t>
      </w:r>
      <w:r>
        <w:fldChar w:fldCharType="begin"/>
      </w:r>
      <w:r>
        <w:instrText xml:space="preserve"> NOTEREF _Ref535329003 \h </w:instrText>
      </w:r>
      <w:r>
        <w:fldChar w:fldCharType="separate"/>
      </w:r>
      <w:r w:rsidR="001F209C">
        <w:t>353</w:t>
      </w:r>
      <w:r>
        <w:fldChar w:fldCharType="end"/>
      </w:r>
      <w:r>
        <w:t>, 724. See Appendix 7 for a summary of recent law reform considerations.</w:t>
      </w:r>
    </w:p>
  </w:footnote>
  <w:footnote w:id="422">
    <w:p w14:paraId="6FF16254" w14:textId="5ECE19D6" w:rsidR="00EE78D8" w:rsidRDefault="00EE78D8" w:rsidP="0022324A">
      <w:pPr>
        <w:pStyle w:val="FootnoteText"/>
      </w:pPr>
      <w:r>
        <w:rPr>
          <w:rStyle w:val="FootnoteReference"/>
        </w:rPr>
        <w:footnoteRef/>
      </w:r>
      <w:r>
        <w:tab/>
        <w:t xml:space="preserve">Law Commission of England and Wales, above n </w:t>
      </w:r>
      <w:r>
        <w:fldChar w:fldCharType="begin"/>
      </w:r>
      <w:r>
        <w:instrText xml:space="preserve"> NOTEREF _Ref535329182 \h </w:instrText>
      </w:r>
      <w:r>
        <w:fldChar w:fldCharType="separate"/>
      </w:r>
      <w:r w:rsidR="001F209C">
        <w:t>339</w:t>
      </w:r>
      <w:r>
        <w:fldChar w:fldCharType="end"/>
      </w:r>
      <w:r>
        <w:t xml:space="preserve">, 4. </w:t>
      </w:r>
    </w:p>
  </w:footnote>
  <w:footnote w:id="423">
    <w:p w14:paraId="32529B8C" w14:textId="3FDA9399" w:rsidR="00EE78D8" w:rsidRPr="006000A8" w:rsidRDefault="00EE78D8" w:rsidP="00424D38">
      <w:pPr>
        <w:pStyle w:val="FootnoteText"/>
      </w:pPr>
      <w:r>
        <w:rPr>
          <w:rStyle w:val="FootnoteReference"/>
        </w:rPr>
        <w:footnoteRef/>
      </w:r>
      <w:r>
        <w:tab/>
        <w:t xml:space="preserve">This is the summary of Morris’ argument for the abolition of the insanity defence provided by M Hathaway, ‘The Moral Significance of the Insanity Defence’ (2009) 73 </w:t>
      </w:r>
      <w:r>
        <w:rPr>
          <w:i/>
        </w:rPr>
        <w:t xml:space="preserve">The Journal of Criminal Law </w:t>
      </w:r>
      <w:r>
        <w:t>310, 313.</w:t>
      </w:r>
    </w:p>
  </w:footnote>
  <w:footnote w:id="424">
    <w:p w14:paraId="262622E0" w14:textId="2C443D51" w:rsidR="00EE78D8" w:rsidRDefault="00EE78D8" w:rsidP="00424D38">
      <w:pPr>
        <w:pStyle w:val="FootnoteText"/>
      </w:pPr>
      <w:r>
        <w:rPr>
          <w:rStyle w:val="FootnoteReference"/>
        </w:rPr>
        <w:footnoteRef/>
      </w:r>
      <w:r>
        <w:tab/>
      </w:r>
      <w:r w:rsidRPr="008045CF">
        <w:t>Law Reform Commission</w:t>
      </w:r>
      <w:r>
        <w:t>er</w:t>
      </w:r>
      <w:r w:rsidRPr="008045CF">
        <w:t xml:space="preserve"> of Tasmania, </w:t>
      </w:r>
      <w:r w:rsidRPr="008045CF">
        <w:rPr>
          <w:i/>
        </w:rPr>
        <w:t>Insanity, Intoxication and Automatism</w:t>
      </w:r>
      <w:r>
        <w:t xml:space="preserve">, </w:t>
      </w:r>
      <w:r w:rsidRPr="008045CF">
        <w:t>Report No 61</w:t>
      </w:r>
      <w:r>
        <w:t xml:space="preserve"> (</w:t>
      </w:r>
      <w:r w:rsidRPr="008045CF">
        <w:t>1989)</w:t>
      </w:r>
      <w:r>
        <w:t xml:space="preserve"> Recommendations 1 and 2.</w:t>
      </w:r>
    </w:p>
  </w:footnote>
  <w:footnote w:id="425">
    <w:p w14:paraId="2014BD20" w14:textId="64554908" w:rsidR="00EE78D8" w:rsidRPr="005527B0" w:rsidRDefault="00EE78D8" w:rsidP="00424D38">
      <w:pPr>
        <w:pStyle w:val="FootnoteText"/>
        <w:rPr>
          <w:i/>
        </w:rPr>
      </w:pPr>
      <w:r>
        <w:rPr>
          <w:rStyle w:val="FootnoteReference"/>
        </w:rPr>
        <w:footnoteRef/>
      </w:r>
      <w:r>
        <w:tab/>
        <w:t xml:space="preserve">See Morris, </w:t>
      </w:r>
      <w:r w:rsidRPr="000444B4">
        <w:t xml:space="preserve">above n </w:t>
      </w:r>
      <w:r w:rsidRPr="000444B4">
        <w:fldChar w:fldCharType="begin"/>
      </w:r>
      <w:r w:rsidRPr="000444B4">
        <w:instrText xml:space="preserve"> NOTEREF _Ref535329274 \h </w:instrText>
      </w:r>
      <w:r>
        <w:instrText xml:space="preserve"> \* MERGEFORMAT </w:instrText>
      </w:r>
      <w:r w:rsidRPr="000444B4">
        <w:fldChar w:fldCharType="separate"/>
      </w:r>
      <w:r w:rsidR="001F209C">
        <w:t>420</w:t>
      </w:r>
      <w:r w:rsidRPr="000444B4">
        <w:fldChar w:fldCharType="end"/>
      </w:r>
      <w:r>
        <w:t xml:space="preserve">; N Morris, ‘Psychiatry and the Dangerous Criminal’ </w:t>
      </w:r>
      <w:r w:rsidRPr="005527B0">
        <w:t xml:space="preserve">(1968) 41 </w:t>
      </w:r>
      <w:r w:rsidRPr="005527B0">
        <w:rPr>
          <w:i/>
        </w:rPr>
        <w:t>Southern California Law Review</w:t>
      </w:r>
      <w:r w:rsidRPr="005527B0">
        <w:t xml:space="preserve"> </w:t>
      </w:r>
      <w:r>
        <w:t>514</w:t>
      </w:r>
      <w:r w:rsidRPr="005527B0">
        <w:t>.</w:t>
      </w:r>
    </w:p>
  </w:footnote>
  <w:footnote w:id="426">
    <w:p w14:paraId="56A82E9E" w14:textId="3DC6D171" w:rsidR="00EE78D8" w:rsidRPr="000D3580" w:rsidRDefault="00EE78D8" w:rsidP="00424D38">
      <w:pPr>
        <w:pStyle w:val="FootnoteText"/>
      </w:pPr>
      <w:r>
        <w:rPr>
          <w:rStyle w:val="FootnoteReference"/>
        </w:rPr>
        <w:footnoteRef/>
      </w:r>
      <w:r>
        <w:tab/>
        <w:t xml:space="preserve">See Minkowitz, above n </w:t>
      </w:r>
      <w:r>
        <w:fldChar w:fldCharType="begin"/>
      </w:r>
      <w:r>
        <w:instrText xml:space="preserve"> NOTEREF _Ref535056394 \h </w:instrText>
      </w:r>
      <w:r>
        <w:fldChar w:fldCharType="separate"/>
      </w:r>
      <w:r w:rsidR="001F209C">
        <w:t>124</w:t>
      </w:r>
      <w:r>
        <w:fldChar w:fldCharType="end"/>
      </w:r>
      <w:r>
        <w:t xml:space="preserve">; C Slobogin, ‘Eliminating Mental Disability as a Legal Criterion in Deprivation of Liberty Cases: The Impact of the Convention on the Rights of Person With Disabilities on the Insanity Defence, Civil Commitment, and Competency Law’ (2015) 40 </w:t>
      </w:r>
      <w:r>
        <w:rPr>
          <w:i/>
        </w:rPr>
        <w:t xml:space="preserve">International Journal of Law and Psychiatry </w:t>
      </w:r>
      <w:r>
        <w:t>36.</w:t>
      </w:r>
    </w:p>
  </w:footnote>
  <w:footnote w:id="427">
    <w:p w14:paraId="0D1153DF" w14:textId="560AE9C4" w:rsidR="00EE78D8" w:rsidRDefault="00EE78D8" w:rsidP="00424D38">
      <w:pPr>
        <w:pStyle w:val="FootnoteText"/>
      </w:pPr>
      <w:r>
        <w:rPr>
          <w:rStyle w:val="FootnoteReference"/>
        </w:rPr>
        <w:footnoteRef/>
      </w:r>
      <w:r>
        <w:tab/>
        <w:t xml:space="preserve">See Law Reform Commission of Victoria, </w:t>
      </w:r>
      <w:r>
        <w:rPr>
          <w:i/>
        </w:rPr>
        <w:t xml:space="preserve">Mental Malfunction and Criminal </w:t>
      </w:r>
      <w:r w:rsidRPr="00DE1FC7">
        <w:rPr>
          <w:i/>
        </w:rPr>
        <w:t>Responsibility</w:t>
      </w:r>
      <w:r>
        <w:t xml:space="preserve">, </w:t>
      </w:r>
      <w:r w:rsidRPr="000444B4">
        <w:t>Report</w:t>
      </w:r>
      <w:r>
        <w:t xml:space="preserve"> 34 (1990).</w:t>
      </w:r>
    </w:p>
  </w:footnote>
  <w:footnote w:id="428">
    <w:p w14:paraId="1489BDDF" w14:textId="1F9C4E43" w:rsidR="00EE78D8" w:rsidRPr="00B11FF7" w:rsidRDefault="00EE78D8">
      <w:pPr>
        <w:pStyle w:val="FootnoteText"/>
      </w:pPr>
      <w:r>
        <w:rPr>
          <w:rStyle w:val="FootnoteReference"/>
        </w:rPr>
        <w:footnoteRef/>
      </w:r>
      <w:r>
        <w:tab/>
        <w:t xml:space="preserve">It is noted that, in Tasmania, evidence of mental illness falling short of insanity can be used to deny specific intention and actual or imputed knowledge, see </w:t>
      </w:r>
      <w:r>
        <w:rPr>
          <w:i/>
        </w:rPr>
        <w:t xml:space="preserve">Hawkins </w:t>
      </w:r>
      <w:r>
        <w:t>(1994) 179 CLR 500; (1994) 4 Tas R 376. This case is discussed at [7.5.50].</w:t>
      </w:r>
    </w:p>
  </w:footnote>
  <w:footnote w:id="429">
    <w:p w14:paraId="0F02DD57" w14:textId="7A00518C" w:rsidR="00EE78D8" w:rsidRPr="009D07EC" w:rsidRDefault="00EE78D8" w:rsidP="00424D38">
      <w:pPr>
        <w:pStyle w:val="FootnoteText"/>
        <w:rPr>
          <w:lang w:val="en-US"/>
        </w:rPr>
      </w:pPr>
      <w:r>
        <w:rPr>
          <w:rStyle w:val="FootnoteReference"/>
        </w:rPr>
        <w:footnoteRef/>
      </w:r>
      <w:r>
        <w:tab/>
        <w:t xml:space="preserve">Simester et al, above n </w:t>
      </w:r>
      <w:r>
        <w:fldChar w:fldCharType="begin"/>
      </w:r>
      <w:r>
        <w:instrText xml:space="preserve"> NOTEREF _Ref535329003 \h </w:instrText>
      </w:r>
      <w:r>
        <w:fldChar w:fldCharType="separate"/>
      </w:r>
      <w:r w:rsidR="001F209C">
        <w:t>353</w:t>
      </w:r>
      <w:r>
        <w:fldChar w:fldCharType="end"/>
      </w:r>
      <w:r>
        <w:t xml:space="preserve">, </w:t>
      </w:r>
      <w:r>
        <w:rPr>
          <w:lang w:val="en-US"/>
        </w:rPr>
        <w:t xml:space="preserve">719–720. It is noted that some commentators have argued that civil commitment would not be appropriate following acquittal as this ‘is equally discriminate under the CRPD and relies on discriminatory perception of risk based on the existence of a disability: </w:t>
      </w:r>
      <w:r>
        <w:t xml:space="preserve">Minkowitz, above n </w:t>
      </w:r>
      <w:r>
        <w:fldChar w:fldCharType="begin"/>
      </w:r>
      <w:r>
        <w:instrText xml:space="preserve"> NOTEREF _Ref535056394 \h </w:instrText>
      </w:r>
      <w:r>
        <w:fldChar w:fldCharType="separate"/>
      </w:r>
      <w:r w:rsidR="001F209C">
        <w:t>124</w:t>
      </w:r>
      <w:r>
        <w:fldChar w:fldCharType="end"/>
      </w:r>
      <w:r>
        <w:t>, 455 referring to Beaupert and Steele (2014).</w:t>
      </w:r>
    </w:p>
  </w:footnote>
  <w:footnote w:id="430">
    <w:p w14:paraId="53013263" w14:textId="010D2AAF" w:rsidR="00EE78D8" w:rsidRDefault="00EE78D8" w:rsidP="00424D38">
      <w:pPr>
        <w:pStyle w:val="FootnoteText"/>
      </w:pPr>
      <w:r>
        <w:rPr>
          <w:rStyle w:val="FootnoteReference"/>
        </w:rPr>
        <w:footnoteRef/>
      </w:r>
      <w:r>
        <w:tab/>
        <w:t>United National High Commissioner for Human Rights, ‘Thematic Study on Enhancing Awareness and Understanding of the Convention on the Rights of Persons with Disabilities’ UN Doc A/HRC/10/48 (26 January 2009) [47] &lt;</w:t>
      </w:r>
      <w:r w:rsidRPr="00894693">
        <w:t>http://www.ohchr.org/EN/Issues/Disability/Pages/ThematicStudies.aspx</w:t>
      </w:r>
      <w:r>
        <w:t xml:space="preserve">&gt;. See also Minkowitz, above n </w:t>
      </w:r>
      <w:r>
        <w:fldChar w:fldCharType="begin"/>
      </w:r>
      <w:r>
        <w:instrText xml:space="preserve"> NOTEREF _Ref535056394 \h </w:instrText>
      </w:r>
      <w:r>
        <w:fldChar w:fldCharType="separate"/>
      </w:r>
      <w:r w:rsidR="001F209C">
        <w:t>124</w:t>
      </w:r>
      <w:r>
        <w:fldChar w:fldCharType="end"/>
      </w:r>
      <w:r>
        <w:t xml:space="preserve">; Slobogin, above n </w:t>
      </w:r>
      <w:r>
        <w:fldChar w:fldCharType="begin"/>
      </w:r>
      <w:r>
        <w:instrText xml:space="preserve"> NOTEREF _Ref535330877 \h </w:instrText>
      </w:r>
      <w:r>
        <w:fldChar w:fldCharType="separate"/>
      </w:r>
      <w:r w:rsidR="001F209C">
        <w:t>426</w:t>
      </w:r>
      <w:r>
        <w:fldChar w:fldCharType="end"/>
      </w:r>
      <w:r>
        <w:t>.</w:t>
      </w:r>
    </w:p>
  </w:footnote>
  <w:footnote w:id="431">
    <w:p w14:paraId="6FF6D71B" w14:textId="22BB6040" w:rsidR="00EE78D8" w:rsidRDefault="00EE78D8" w:rsidP="00424D38">
      <w:pPr>
        <w:pStyle w:val="FootnoteText"/>
      </w:pPr>
      <w:r>
        <w:rPr>
          <w:rStyle w:val="FootnoteReference"/>
        </w:rPr>
        <w:footnoteRef/>
      </w:r>
      <w:r>
        <w:tab/>
        <w:t xml:space="preserve">Slobogin, above n </w:t>
      </w:r>
      <w:r>
        <w:fldChar w:fldCharType="begin"/>
      </w:r>
      <w:r>
        <w:instrText xml:space="preserve"> NOTEREF _Ref535330877 \h </w:instrText>
      </w:r>
      <w:r>
        <w:fldChar w:fldCharType="separate"/>
      </w:r>
      <w:r w:rsidR="001F209C">
        <w:t>426</w:t>
      </w:r>
      <w:r>
        <w:fldChar w:fldCharType="end"/>
      </w:r>
      <w:r>
        <w:t>, 39.</w:t>
      </w:r>
    </w:p>
  </w:footnote>
  <w:footnote w:id="432">
    <w:p w14:paraId="6BA70A29" w14:textId="7C97EF1A" w:rsidR="00EE78D8" w:rsidRDefault="00EE78D8" w:rsidP="00424D38">
      <w:pPr>
        <w:pStyle w:val="FootnoteText"/>
      </w:pPr>
      <w:r>
        <w:rPr>
          <w:rStyle w:val="FootnoteReference"/>
        </w:rPr>
        <w:footnoteRef/>
      </w:r>
      <w:r>
        <w:tab/>
        <w:t xml:space="preserve">Law Commission of England and Wales, above n </w:t>
      </w:r>
      <w:r>
        <w:fldChar w:fldCharType="begin"/>
      </w:r>
      <w:r>
        <w:instrText xml:space="preserve"> NOTEREF _Ref535329182 \h </w:instrText>
      </w:r>
      <w:r>
        <w:fldChar w:fldCharType="separate"/>
      </w:r>
      <w:r w:rsidR="001F209C">
        <w:t>339</w:t>
      </w:r>
      <w:r>
        <w:fldChar w:fldCharType="end"/>
      </w:r>
      <w:r>
        <w:t>, 33 summarising Morris’ argument.</w:t>
      </w:r>
    </w:p>
  </w:footnote>
  <w:footnote w:id="433">
    <w:p w14:paraId="023DC1B5" w14:textId="22B45498" w:rsidR="00EE78D8" w:rsidRDefault="00EE78D8" w:rsidP="00424D38">
      <w:pPr>
        <w:pStyle w:val="FootnoteText"/>
      </w:pPr>
      <w:r>
        <w:rPr>
          <w:rStyle w:val="FootnoteReference"/>
        </w:rPr>
        <w:footnoteRef/>
      </w:r>
      <w:r>
        <w:tab/>
        <w:t>Ibid.</w:t>
      </w:r>
    </w:p>
  </w:footnote>
  <w:footnote w:id="434">
    <w:p w14:paraId="163CE525" w14:textId="0A53B416" w:rsidR="00EE78D8" w:rsidRDefault="00EE78D8" w:rsidP="00424D38">
      <w:pPr>
        <w:pStyle w:val="FootnoteText"/>
      </w:pPr>
      <w:r>
        <w:rPr>
          <w:rStyle w:val="FootnoteReference"/>
        </w:rPr>
        <w:footnoteRef/>
      </w:r>
      <w:r>
        <w:tab/>
        <w:t>Ibid 32.</w:t>
      </w:r>
    </w:p>
  </w:footnote>
  <w:footnote w:id="435">
    <w:p w14:paraId="50ABCF2E" w14:textId="3F6F67CC" w:rsidR="00EE78D8" w:rsidRPr="005C45C6" w:rsidRDefault="00EE78D8">
      <w:pPr>
        <w:pStyle w:val="FootnoteText"/>
        <w:rPr>
          <w:lang w:val="en-US"/>
        </w:rPr>
      </w:pPr>
      <w:r>
        <w:rPr>
          <w:rStyle w:val="FootnoteReference"/>
        </w:rPr>
        <w:footnoteRef/>
      </w:r>
      <w:r>
        <w:tab/>
        <w:t xml:space="preserve">Law Reform Commissioner of Tasmania, above n </w:t>
      </w:r>
      <w:r>
        <w:fldChar w:fldCharType="begin"/>
      </w:r>
      <w:r>
        <w:instrText xml:space="preserve"> NOTEREF _Ref535335668 \h </w:instrText>
      </w:r>
      <w:r>
        <w:fldChar w:fldCharType="separate"/>
      </w:r>
      <w:r w:rsidR="001F209C">
        <w:t>424</w:t>
      </w:r>
      <w:r>
        <w:fldChar w:fldCharType="end"/>
      </w:r>
      <w:r>
        <w:t>, 8.</w:t>
      </w:r>
    </w:p>
  </w:footnote>
  <w:footnote w:id="436">
    <w:p w14:paraId="392F6C40" w14:textId="4B0C1D90" w:rsidR="00EE78D8" w:rsidRDefault="00EE78D8" w:rsidP="00424D38">
      <w:pPr>
        <w:pStyle w:val="FootnoteText"/>
      </w:pPr>
      <w:r>
        <w:rPr>
          <w:rStyle w:val="FootnoteReference"/>
        </w:rPr>
        <w:footnoteRef/>
      </w:r>
      <w:r>
        <w:tab/>
        <w:t>Ibid.</w:t>
      </w:r>
    </w:p>
  </w:footnote>
  <w:footnote w:id="437">
    <w:p w14:paraId="6B589961" w14:textId="51A9C1F7" w:rsidR="00EE78D8" w:rsidRDefault="00EE78D8" w:rsidP="00424D38">
      <w:pPr>
        <w:pStyle w:val="FootnoteText"/>
      </w:pPr>
      <w:r>
        <w:rPr>
          <w:rStyle w:val="FootnoteReference"/>
        </w:rPr>
        <w:footnoteRef/>
      </w:r>
      <w:r>
        <w:tab/>
        <w:t xml:space="preserve">Law Commission of England and Wales, above n </w:t>
      </w:r>
      <w:r>
        <w:fldChar w:fldCharType="begin"/>
      </w:r>
      <w:r>
        <w:instrText xml:space="preserve"> NOTEREF _Ref535329182 \h </w:instrText>
      </w:r>
      <w:r>
        <w:fldChar w:fldCharType="separate"/>
      </w:r>
      <w:r w:rsidR="001F209C">
        <w:t>339</w:t>
      </w:r>
      <w:r>
        <w:fldChar w:fldCharType="end"/>
      </w:r>
      <w:r>
        <w:t>, 30.</w:t>
      </w:r>
    </w:p>
  </w:footnote>
  <w:footnote w:id="438">
    <w:p w14:paraId="41011F0A" w14:textId="1B110691" w:rsidR="00EE78D8" w:rsidRDefault="00EE78D8" w:rsidP="00424D38">
      <w:pPr>
        <w:pStyle w:val="FootnoteText"/>
      </w:pPr>
      <w:r>
        <w:rPr>
          <w:rStyle w:val="FootnoteReference"/>
        </w:rPr>
        <w:footnoteRef/>
      </w:r>
      <w:r>
        <w:tab/>
        <w:t>Ibid 34.</w:t>
      </w:r>
    </w:p>
  </w:footnote>
  <w:footnote w:id="439">
    <w:p w14:paraId="6310A5C3" w14:textId="161D3570" w:rsidR="00EE78D8" w:rsidRDefault="00EE78D8" w:rsidP="00424D38">
      <w:pPr>
        <w:pStyle w:val="FootnoteText"/>
      </w:pPr>
      <w:r>
        <w:rPr>
          <w:rStyle w:val="FootnoteReference"/>
        </w:rPr>
        <w:footnoteRef/>
      </w:r>
      <w:r>
        <w:tab/>
        <w:t>Ibid.</w:t>
      </w:r>
    </w:p>
  </w:footnote>
  <w:footnote w:id="440">
    <w:p w14:paraId="10B40F98" w14:textId="34456E13" w:rsidR="00EE78D8" w:rsidRDefault="00EE78D8" w:rsidP="00C95BCB">
      <w:pPr>
        <w:pStyle w:val="FootnoteText"/>
      </w:pPr>
      <w:r>
        <w:rPr>
          <w:rStyle w:val="FootnoteReference"/>
        </w:rPr>
        <w:footnoteRef/>
      </w:r>
      <w:r>
        <w:tab/>
        <w:t xml:space="preserve">NZLC, </w:t>
      </w:r>
      <w:r w:rsidRPr="00CA3CC0">
        <w:rPr>
          <w:i/>
        </w:rPr>
        <w:t>Mental Impairment Decision-making and the Insanity Defence</w:t>
      </w:r>
      <w:r>
        <w:t>, Report 120 (2010) 32.</w:t>
      </w:r>
    </w:p>
  </w:footnote>
  <w:footnote w:id="441">
    <w:p w14:paraId="66C70751" w14:textId="578DD9C6" w:rsidR="00EE78D8" w:rsidRPr="003B3D6C" w:rsidRDefault="00EE78D8" w:rsidP="00424D38">
      <w:pPr>
        <w:pStyle w:val="FootnoteText"/>
      </w:pPr>
      <w:r>
        <w:rPr>
          <w:rStyle w:val="FootnoteReference"/>
        </w:rPr>
        <w:footnoteRef/>
      </w:r>
      <w:r>
        <w:tab/>
        <w:t xml:space="preserve">Law Commission of England and Wales, above n </w:t>
      </w:r>
      <w:r>
        <w:fldChar w:fldCharType="begin"/>
      </w:r>
      <w:r>
        <w:instrText xml:space="preserve"> NOTEREF _Ref535329182 \h </w:instrText>
      </w:r>
      <w:r>
        <w:fldChar w:fldCharType="separate"/>
      </w:r>
      <w:r w:rsidR="001F209C">
        <w:t>339</w:t>
      </w:r>
      <w:r>
        <w:fldChar w:fldCharType="end"/>
      </w:r>
      <w:r>
        <w:t xml:space="preserve">, 37 citing S Morse and M Hoffman, ‘The Uneasy Entente Between Insanity and Mens Rea: Beyond </w:t>
      </w:r>
      <w:r>
        <w:rPr>
          <w:i/>
        </w:rPr>
        <w:t>Clark v Arizona</w:t>
      </w:r>
      <w:r>
        <w:t xml:space="preserve">’ (2007) </w:t>
      </w:r>
      <w:r>
        <w:rPr>
          <w:i/>
        </w:rPr>
        <w:t>Scholarship at Penn law</w:t>
      </w:r>
      <w:r>
        <w:t>, Paper 143, 64.</w:t>
      </w:r>
    </w:p>
  </w:footnote>
  <w:footnote w:id="442">
    <w:p w14:paraId="7C70AB1A" w14:textId="162E7F96" w:rsidR="00EE78D8" w:rsidRPr="00A31DF9" w:rsidRDefault="00EE78D8" w:rsidP="00424D38">
      <w:pPr>
        <w:pStyle w:val="FootnoteText"/>
      </w:pPr>
      <w:r>
        <w:rPr>
          <w:rStyle w:val="FootnoteReference"/>
        </w:rPr>
        <w:footnoteRef/>
      </w:r>
      <w:r>
        <w:tab/>
        <w:t xml:space="preserve">M Wondemaghen, ‘Testing Equality: Insanity, Treatment Refusal and the CRPD’ (2018) 25(2) </w:t>
      </w:r>
      <w:r w:rsidRPr="00A31DF9">
        <w:rPr>
          <w:i/>
        </w:rPr>
        <w:t>Psychiatry, Psychology and Law</w:t>
      </w:r>
      <w:r>
        <w:t xml:space="preserve"> (</w:t>
      </w:r>
      <w:r w:rsidRPr="00A31DF9">
        <w:t>online</w:t>
      </w:r>
      <w:r>
        <w:t>)</w:t>
      </w:r>
      <w:r>
        <w:rPr>
          <w:i/>
        </w:rPr>
        <w:t xml:space="preserve"> </w:t>
      </w:r>
      <w:r>
        <w:t xml:space="preserve">2 referring to the Commissioner for Human Rights, </w:t>
      </w:r>
      <w:r>
        <w:rPr>
          <w:i/>
        </w:rPr>
        <w:t>‘</w:t>
      </w:r>
      <w:r w:rsidRPr="00A31DF9">
        <w:t>Who Gets to Decide? Right to Legal Capacity for Person</w:t>
      </w:r>
      <w:r>
        <w:t>s</w:t>
      </w:r>
      <w:r w:rsidRPr="00A31DF9">
        <w:t xml:space="preserve"> with Intellectual and Psychosocial Disabilities</w:t>
      </w:r>
      <w:r>
        <w:t>’</w:t>
      </w:r>
      <w:r>
        <w:rPr>
          <w:i/>
        </w:rPr>
        <w:t xml:space="preserve"> </w:t>
      </w:r>
      <w:r>
        <w:t>(2102) Council for Europe, Strasbourg 7.</w:t>
      </w:r>
    </w:p>
  </w:footnote>
  <w:footnote w:id="443">
    <w:p w14:paraId="09610E3E" w14:textId="29D1F383" w:rsidR="00EE78D8" w:rsidRDefault="00EE78D8" w:rsidP="00B67BFD">
      <w:pPr>
        <w:pStyle w:val="FootnoteText"/>
      </w:pPr>
      <w:r>
        <w:rPr>
          <w:rStyle w:val="FootnoteReference"/>
        </w:rPr>
        <w:footnoteRef/>
      </w:r>
      <w:r>
        <w:tab/>
        <w:t xml:space="preserve">Wondemaghen, above n </w:t>
      </w:r>
      <w:r>
        <w:fldChar w:fldCharType="begin"/>
      </w:r>
      <w:r>
        <w:instrText xml:space="preserve"> NOTEREF _Ref535336345 \h </w:instrText>
      </w:r>
      <w:r>
        <w:fldChar w:fldCharType="separate"/>
      </w:r>
      <w:r w:rsidR="001F209C">
        <w:t>442</w:t>
      </w:r>
      <w:r>
        <w:fldChar w:fldCharType="end"/>
      </w:r>
      <w:r>
        <w:t>, (online) 10.</w:t>
      </w:r>
    </w:p>
  </w:footnote>
  <w:footnote w:id="444">
    <w:p w14:paraId="2DE6B45E" w14:textId="23DDB4ED" w:rsidR="00EE78D8" w:rsidRPr="00727C70" w:rsidRDefault="00EE78D8">
      <w:pPr>
        <w:pStyle w:val="FootnoteText"/>
      </w:pPr>
      <w:r>
        <w:rPr>
          <w:rStyle w:val="FootnoteReference"/>
        </w:rPr>
        <w:footnoteRef/>
      </w:r>
      <w:r>
        <w:tab/>
      </w:r>
      <w:r>
        <w:rPr>
          <w:i/>
        </w:rPr>
        <w:t xml:space="preserve">Criminal Code </w:t>
      </w:r>
      <w:r>
        <w:t>(Tas) s 18.</w:t>
      </w:r>
    </w:p>
  </w:footnote>
  <w:footnote w:id="445">
    <w:p w14:paraId="08B3207B" w14:textId="0E5E80DB" w:rsidR="00EE78D8" w:rsidRPr="00384CFC" w:rsidRDefault="00EE78D8">
      <w:pPr>
        <w:pStyle w:val="FootnoteText"/>
      </w:pPr>
      <w:r>
        <w:rPr>
          <w:rStyle w:val="FootnoteReference"/>
        </w:rPr>
        <w:footnoteRef/>
      </w:r>
      <w:r>
        <w:tab/>
        <w:t xml:space="preserve">See </w:t>
      </w:r>
      <w:r>
        <w:rPr>
          <w:i/>
        </w:rPr>
        <w:t>P</w:t>
      </w:r>
      <w:r>
        <w:t>, 13 November 2013 (Blow J).</w:t>
      </w:r>
    </w:p>
  </w:footnote>
  <w:footnote w:id="446">
    <w:p w14:paraId="1BD12CA9" w14:textId="2F1375FD" w:rsidR="00EE78D8" w:rsidRDefault="00EE78D8">
      <w:pPr>
        <w:pStyle w:val="FootnoteText"/>
      </w:pPr>
      <w:r>
        <w:rPr>
          <w:rStyle w:val="FootnoteReference"/>
        </w:rPr>
        <w:footnoteRef/>
      </w:r>
      <w:r>
        <w:tab/>
        <w:t xml:space="preserve">NSWLRC, </w:t>
      </w:r>
      <w:r w:rsidRPr="00C92F06">
        <w:rPr>
          <w:i/>
          <w:lang w:val="en-US"/>
        </w:rPr>
        <w:t>People with Cognitive and Mental Health Impairments in the Criminal Justice System:</w:t>
      </w:r>
      <w:r w:rsidRPr="00C92F06">
        <w:rPr>
          <w:lang w:val="en-US"/>
        </w:rPr>
        <w:t xml:space="preserve"> </w:t>
      </w:r>
      <w:r>
        <w:rPr>
          <w:i/>
          <w:lang w:val="en-US"/>
        </w:rPr>
        <w:t>Criminal Responsibility and Consequences</w:t>
      </w:r>
      <w:r>
        <w:t>, Consultation Paper 6 (2010) 50.</w:t>
      </w:r>
    </w:p>
  </w:footnote>
  <w:footnote w:id="447">
    <w:p w14:paraId="3DE02406" w14:textId="240AD940" w:rsidR="00EE78D8" w:rsidRDefault="00EE78D8">
      <w:pPr>
        <w:pStyle w:val="FootnoteText"/>
      </w:pPr>
      <w:r>
        <w:rPr>
          <w:rStyle w:val="FootnoteReference"/>
        </w:rPr>
        <w:footnoteRef/>
      </w:r>
      <w:r>
        <w:tab/>
        <w:t>Ibid.</w:t>
      </w:r>
    </w:p>
  </w:footnote>
  <w:footnote w:id="448">
    <w:p w14:paraId="6B6C157F" w14:textId="6B1A4B40" w:rsidR="00EE78D8" w:rsidRDefault="00EE78D8" w:rsidP="00424D38">
      <w:pPr>
        <w:pStyle w:val="FootnoteText"/>
      </w:pPr>
      <w:r>
        <w:rPr>
          <w:rStyle w:val="FootnoteReference"/>
        </w:rPr>
        <w:footnoteRef/>
      </w:r>
      <w:r>
        <w:tab/>
        <w:t xml:space="preserve">Law Commission of England and Wales, above n </w:t>
      </w:r>
      <w:r>
        <w:fldChar w:fldCharType="begin"/>
      </w:r>
      <w:r>
        <w:instrText xml:space="preserve"> NOTEREF _Ref535329182 \h </w:instrText>
      </w:r>
      <w:r>
        <w:fldChar w:fldCharType="separate"/>
      </w:r>
      <w:r w:rsidR="001F209C">
        <w:t>339</w:t>
      </w:r>
      <w:r>
        <w:fldChar w:fldCharType="end"/>
      </w:r>
      <w:r>
        <w:t>, 35.</w:t>
      </w:r>
    </w:p>
  </w:footnote>
  <w:footnote w:id="449">
    <w:p w14:paraId="2C819316" w14:textId="627595D5" w:rsidR="00EE78D8" w:rsidRDefault="00EE78D8" w:rsidP="00424D38">
      <w:pPr>
        <w:pStyle w:val="FootnoteText"/>
      </w:pPr>
      <w:r>
        <w:rPr>
          <w:rStyle w:val="FootnoteReference"/>
        </w:rPr>
        <w:footnoteRef/>
      </w:r>
      <w:r>
        <w:tab/>
        <w:t>Ibid 33.</w:t>
      </w:r>
    </w:p>
  </w:footnote>
  <w:footnote w:id="450">
    <w:p w14:paraId="01F486D7" w14:textId="56DAB29A" w:rsidR="00EE78D8" w:rsidRDefault="00EE78D8" w:rsidP="00424D38">
      <w:pPr>
        <w:pStyle w:val="FootnoteText"/>
      </w:pPr>
      <w:r>
        <w:rPr>
          <w:rStyle w:val="FootnoteReference"/>
        </w:rPr>
        <w:footnoteRef/>
      </w:r>
      <w:r>
        <w:tab/>
        <w:t>Ibid 19.</w:t>
      </w:r>
    </w:p>
  </w:footnote>
  <w:footnote w:id="451">
    <w:p w14:paraId="1CE5A366" w14:textId="42353322" w:rsidR="00EE78D8" w:rsidRDefault="00EE78D8" w:rsidP="00424D38">
      <w:pPr>
        <w:pStyle w:val="FootnoteText"/>
      </w:pPr>
      <w:r>
        <w:rPr>
          <w:rStyle w:val="FootnoteReference"/>
        </w:rPr>
        <w:footnoteRef/>
      </w:r>
      <w:r>
        <w:tab/>
        <w:t>Ibid 29. This is set out in Appendix 7.</w:t>
      </w:r>
    </w:p>
  </w:footnote>
  <w:footnote w:id="452">
    <w:p w14:paraId="30BA49DD" w14:textId="3224E4D2" w:rsidR="00EE78D8" w:rsidRDefault="00EE78D8" w:rsidP="00424D38">
      <w:pPr>
        <w:pStyle w:val="FootnoteText"/>
      </w:pPr>
      <w:r>
        <w:rPr>
          <w:rStyle w:val="FootnoteReference"/>
        </w:rPr>
        <w:footnoteRef/>
      </w:r>
      <w:r>
        <w:tab/>
        <w:t>Ibid 20.</w:t>
      </w:r>
    </w:p>
  </w:footnote>
  <w:footnote w:id="453">
    <w:p w14:paraId="75B06A8A" w14:textId="7B89BA71" w:rsidR="00EE78D8" w:rsidRDefault="00EE78D8" w:rsidP="00424D38">
      <w:pPr>
        <w:pStyle w:val="FootnoteText"/>
      </w:pPr>
      <w:r>
        <w:rPr>
          <w:rStyle w:val="FootnoteReference"/>
        </w:rPr>
        <w:footnoteRef/>
      </w:r>
      <w:r>
        <w:tab/>
        <w:t>Ibid 26.</w:t>
      </w:r>
    </w:p>
  </w:footnote>
  <w:footnote w:id="454">
    <w:p w14:paraId="0BF42660" w14:textId="2C3DE955" w:rsidR="00EE78D8" w:rsidRDefault="00EE78D8" w:rsidP="00424D38">
      <w:pPr>
        <w:pStyle w:val="FootnoteText"/>
      </w:pPr>
      <w:r>
        <w:rPr>
          <w:rStyle w:val="FootnoteReference"/>
        </w:rPr>
        <w:footnoteRef/>
      </w:r>
      <w:r>
        <w:tab/>
        <w:t>Ibid 43.</w:t>
      </w:r>
    </w:p>
  </w:footnote>
  <w:footnote w:id="455">
    <w:p w14:paraId="3070D644" w14:textId="6DC271F7" w:rsidR="00EE78D8" w:rsidRDefault="00EE78D8" w:rsidP="00424D38">
      <w:pPr>
        <w:pStyle w:val="FootnoteText"/>
      </w:pPr>
      <w:r>
        <w:rPr>
          <w:rStyle w:val="FootnoteReference"/>
        </w:rPr>
        <w:footnoteRef/>
      </w:r>
      <w:r>
        <w:tab/>
        <w:t>Ibid.</w:t>
      </w:r>
    </w:p>
  </w:footnote>
  <w:footnote w:id="456">
    <w:p w14:paraId="73D8BAAD" w14:textId="4A956505" w:rsidR="00EE78D8" w:rsidRDefault="00EE78D8" w:rsidP="00424D38">
      <w:pPr>
        <w:pStyle w:val="FootnoteText"/>
      </w:pPr>
      <w:r>
        <w:rPr>
          <w:rStyle w:val="FootnoteReference"/>
        </w:rPr>
        <w:footnoteRef/>
      </w:r>
      <w:r>
        <w:tab/>
        <w:t>Ibid 26.</w:t>
      </w:r>
    </w:p>
  </w:footnote>
  <w:footnote w:id="457">
    <w:p w14:paraId="5C7E8618" w14:textId="0A4FC95E" w:rsidR="00EE78D8" w:rsidRDefault="00EE78D8" w:rsidP="00424D38">
      <w:pPr>
        <w:pStyle w:val="FootnoteText"/>
      </w:pPr>
      <w:r>
        <w:rPr>
          <w:rStyle w:val="FootnoteReference"/>
        </w:rPr>
        <w:footnoteRef/>
      </w:r>
      <w:r>
        <w:tab/>
        <w:t>Ibid 43–44.</w:t>
      </w:r>
    </w:p>
  </w:footnote>
  <w:footnote w:id="458">
    <w:p w14:paraId="7CEB1B4F" w14:textId="5202B792" w:rsidR="00EE78D8" w:rsidRDefault="00EE78D8" w:rsidP="00424D38">
      <w:pPr>
        <w:pStyle w:val="FootnoteText"/>
      </w:pPr>
      <w:r>
        <w:rPr>
          <w:rStyle w:val="FootnoteReference"/>
        </w:rPr>
        <w:footnoteRef/>
      </w:r>
      <w:r>
        <w:tab/>
        <w:t>Ibid 43.</w:t>
      </w:r>
    </w:p>
  </w:footnote>
  <w:footnote w:id="459">
    <w:p w14:paraId="6283A8AC" w14:textId="76650E71" w:rsidR="00EE78D8" w:rsidRDefault="00EE78D8" w:rsidP="00424D38">
      <w:pPr>
        <w:pStyle w:val="FootnoteText"/>
      </w:pPr>
      <w:r>
        <w:rPr>
          <w:rStyle w:val="FootnoteReference"/>
        </w:rPr>
        <w:footnoteRef/>
      </w:r>
      <w:r>
        <w:tab/>
        <w:t>Ibid 44.</w:t>
      </w:r>
    </w:p>
  </w:footnote>
  <w:footnote w:id="460">
    <w:p w14:paraId="6FEABBCD" w14:textId="6FA37E3E" w:rsidR="00EE78D8" w:rsidRDefault="00EE78D8" w:rsidP="00424D38">
      <w:pPr>
        <w:pStyle w:val="FootnoteText"/>
      </w:pPr>
      <w:r>
        <w:rPr>
          <w:rStyle w:val="FootnoteReference"/>
        </w:rPr>
        <w:footnoteRef/>
      </w:r>
      <w:r>
        <w:tab/>
        <w:t>Ibid 27.</w:t>
      </w:r>
    </w:p>
  </w:footnote>
  <w:footnote w:id="461">
    <w:p w14:paraId="1B33A834" w14:textId="00FBD32E" w:rsidR="00EE78D8" w:rsidRDefault="00EE78D8" w:rsidP="00424D38">
      <w:pPr>
        <w:pStyle w:val="FootnoteText"/>
      </w:pPr>
      <w:r>
        <w:rPr>
          <w:rStyle w:val="FootnoteReference"/>
        </w:rPr>
        <w:footnoteRef/>
      </w:r>
      <w:r>
        <w:tab/>
        <w:t>Ibid 48–49.</w:t>
      </w:r>
    </w:p>
  </w:footnote>
  <w:footnote w:id="462">
    <w:p w14:paraId="27C888C4" w14:textId="63864143" w:rsidR="00EE78D8" w:rsidRDefault="00EE78D8" w:rsidP="00424D38">
      <w:pPr>
        <w:pStyle w:val="FootnoteText"/>
      </w:pPr>
      <w:r>
        <w:rPr>
          <w:rStyle w:val="FootnoteReference"/>
        </w:rPr>
        <w:footnoteRef/>
      </w:r>
      <w:r>
        <w:tab/>
        <w:t>Ibid 75.</w:t>
      </w:r>
    </w:p>
  </w:footnote>
  <w:footnote w:id="463">
    <w:p w14:paraId="533391AE" w14:textId="75099FF5" w:rsidR="00EE78D8" w:rsidRDefault="00EE78D8" w:rsidP="00424D38">
      <w:pPr>
        <w:pStyle w:val="FootnoteText"/>
      </w:pPr>
      <w:r>
        <w:rPr>
          <w:rStyle w:val="FootnoteReference"/>
        </w:rPr>
        <w:footnoteRef/>
      </w:r>
      <w:r>
        <w:tab/>
        <w:t>Ibid 74.</w:t>
      </w:r>
    </w:p>
  </w:footnote>
  <w:footnote w:id="464">
    <w:p w14:paraId="7C68AF2D" w14:textId="06A13E65" w:rsidR="00EE78D8" w:rsidRDefault="00EE78D8" w:rsidP="00424D38">
      <w:pPr>
        <w:pStyle w:val="FootnoteText"/>
      </w:pPr>
      <w:r>
        <w:rPr>
          <w:rStyle w:val="FootnoteReference"/>
        </w:rPr>
        <w:footnoteRef/>
      </w:r>
      <w:r>
        <w:tab/>
        <w:t>Ibid 76.</w:t>
      </w:r>
    </w:p>
  </w:footnote>
  <w:footnote w:id="465">
    <w:p w14:paraId="571551EC" w14:textId="6BC32E44" w:rsidR="00EE78D8" w:rsidRPr="005656B7" w:rsidRDefault="00EE78D8" w:rsidP="00424D38">
      <w:pPr>
        <w:pStyle w:val="FootnoteText"/>
        <w:rPr>
          <w:i/>
        </w:rPr>
      </w:pPr>
      <w:r>
        <w:rPr>
          <w:rStyle w:val="FootnoteReference"/>
        </w:rPr>
        <w:footnoteRef/>
      </w:r>
      <w:r>
        <w:tab/>
        <w:t xml:space="preserve">See J Rumbold and M Wasik, ‘Special Feature on Automatism’ (2015) 55 </w:t>
      </w:r>
      <w:r>
        <w:rPr>
          <w:i/>
        </w:rPr>
        <w:t xml:space="preserve">Medicine, Science and the Law </w:t>
      </w:r>
      <w:r>
        <w:t xml:space="preserve">147; R Mackay, ‘An Anatomy of Automatism’ (2015) 55 </w:t>
      </w:r>
      <w:r>
        <w:rPr>
          <w:i/>
        </w:rPr>
        <w:t xml:space="preserve">Medicine, Science and the Law </w:t>
      </w:r>
      <w:r>
        <w:t xml:space="preserve">150; L Claydon and P Catley, ‘Abolishing the Insanity Verdict in the United Kingdom: A Better Balance Between Legal Rules and Scientific Understanding?’ in </w:t>
      </w:r>
      <w:r w:rsidRPr="005656B7">
        <w:t xml:space="preserve">S Moratti and D Patterson </w:t>
      </w:r>
      <w:r>
        <w:t>(</w:t>
      </w:r>
      <w:r w:rsidRPr="005656B7">
        <w:t>eds</w:t>
      </w:r>
      <w:r>
        <w:t xml:space="preserve">), </w:t>
      </w:r>
      <w:r>
        <w:rPr>
          <w:i/>
        </w:rPr>
        <w:t xml:space="preserve">Legal Insanity and the Brain: Science, Law and European </w:t>
      </w:r>
      <w:r w:rsidRPr="005656B7">
        <w:t>Courts (Hart Publishing</w:t>
      </w:r>
      <w:r>
        <w:t>,</w:t>
      </w:r>
      <w:r w:rsidRPr="005656B7">
        <w:t xml:space="preserve"> 2016) 207.</w:t>
      </w:r>
    </w:p>
  </w:footnote>
  <w:footnote w:id="466">
    <w:p w14:paraId="67F4BF3F" w14:textId="42C0F1E3" w:rsidR="00EE78D8" w:rsidRDefault="00EE78D8" w:rsidP="00424D38">
      <w:pPr>
        <w:pStyle w:val="FootnoteText"/>
      </w:pPr>
      <w:r>
        <w:rPr>
          <w:rStyle w:val="FootnoteReference"/>
        </w:rPr>
        <w:footnoteRef/>
      </w:r>
      <w:r>
        <w:tab/>
        <w:t xml:space="preserve">Rumbold and Wasik, above n </w:t>
      </w:r>
      <w:r>
        <w:fldChar w:fldCharType="begin"/>
      </w:r>
      <w:r>
        <w:instrText xml:space="preserve"> NOTEREF _Ref535338541 \h </w:instrText>
      </w:r>
      <w:r>
        <w:fldChar w:fldCharType="separate"/>
      </w:r>
      <w:r w:rsidR="001F209C">
        <w:t>465</w:t>
      </w:r>
      <w:r>
        <w:fldChar w:fldCharType="end"/>
      </w:r>
      <w:r>
        <w:t>, 148.</w:t>
      </w:r>
    </w:p>
  </w:footnote>
  <w:footnote w:id="467">
    <w:p w14:paraId="3359BF09" w14:textId="080B69DC" w:rsidR="00EE78D8" w:rsidRPr="002758C1" w:rsidRDefault="00EE78D8" w:rsidP="00424D38">
      <w:pPr>
        <w:pStyle w:val="FootnoteText"/>
      </w:pPr>
      <w:r>
        <w:rPr>
          <w:rStyle w:val="FootnoteReference"/>
        </w:rPr>
        <w:footnoteRef/>
      </w:r>
      <w:r>
        <w:tab/>
        <w:t xml:space="preserve">A Ashworth, ‘Insanity and Automatism: A Discussion Paper’ </w:t>
      </w:r>
      <w:r w:rsidRPr="002758C1">
        <w:t xml:space="preserve">[2013] </w:t>
      </w:r>
      <w:r w:rsidRPr="002758C1">
        <w:rPr>
          <w:i/>
        </w:rPr>
        <w:t>Criminal Law Review</w:t>
      </w:r>
      <w:r w:rsidRPr="002758C1">
        <w:t xml:space="preserve"> 787, 788.</w:t>
      </w:r>
    </w:p>
  </w:footnote>
  <w:footnote w:id="468">
    <w:p w14:paraId="15028C5F" w14:textId="6E35CBC0" w:rsidR="00EE78D8" w:rsidRDefault="00EE78D8" w:rsidP="00424D38">
      <w:pPr>
        <w:pStyle w:val="FootnoteText"/>
      </w:pPr>
      <w:r>
        <w:rPr>
          <w:rStyle w:val="FootnoteReference"/>
        </w:rPr>
        <w:footnoteRef/>
      </w:r>
      <w:r>
        <w:tab/>
        <w:t>Ibid 788.</w:t>
      </w:r>
    </w:p>
  </w:footnote>
  <w:footnote w:id="469">
    <w:p w14:paraId="1DCFD2A9" w14:textId="1B7A55A1" w:rsidR="00EE78D8" w:rsidRDefault="00EE78D8" w:rsidP="00424D38">
      <w:pPr>
        <w:pStyle w:val="FootnoteText"/>
      </w:pPr>
      <w:r>
        <w:rPr>
          <w:rStyle w:val="FootnoteReference"/>
        </w:rPr>
        <w:footnoteRef/>
      </w:r>
      <w:r>
        <w:tab/>
        <w:t xml:space="preserve">NSWLRC, above n </w:t>
      </w:r>
      <w:r>
        <w:fldChar w:fldCharType="begin"/>
      </w:r>
      <w:r>
        <w:instrText xml:space="preserve"> NOTEREF _Ref534982374 \h </w:instrText>
      </w:r>
      <w:r>
        <w:fldChar w:fldCharType="separate"/>
      </w:r>
      <w:r w:rsidR="001F209C">
        <w:t>55</w:t>
      </w:r>
      <w:r>
        <w:fldChar w:fldCharType="end"/>
      </w:r>
      <w:r>
        <w:t>, 50.</w:t>
      </w:r>
    </w:p>
  </w:footnote>
  <w:footnote w:id="470">
    <w:p w14:paraId="48D14F12" w14:textId="4A64E35D" w:rsidR="00EE78D8" w:rsidRDefault="00EE78D8" w:rsidP="00424D38">
      <w:pPr>
        <w:pStyle w:val="FootnoteText"/>
      </w:pPr>
      <w:r>
        <w:rPr>
          <w:rStyle w:val="FootnoteReference"/>
        </w:rPr>
        <w:footnoteRef/>
      </w:r>
      <w:r>
        <w:tab/>
        <w:t>Ibid.</w:t>
      </w:r>
    </w:p>
  </w:footnote>
  <w:footnote w:id="471">
    <w:p w14:paraId="48674966" w14:textId="40CB95B5" w:rsidR="00EE78D8" w:rsidRPr="00C01310" w:rsidRDefault="00EE78D8" w:rsidP="003B0EEE">
      <w:pPr>
        <w:pStyle w:val="FootnoteTextTLRI"/>
        <w:rPr>
          <w:lang w:val="en-AU"/>
        </w:rPr>
      </w:pPr>
      <w:r w:rsidRPr="00C01310">
        <w:rPr>
          <w:rStyle w:val="FootnoteReference"/>
          <w:lang w:val="en-AU"/>
        </w:rPr>
        <w:footnoteRef/>
      </w:r>
      <w:r w:rsidRPr="00C01310">
        <w:rPr>
          <w:lang w:val="en-AU"/>
        </w:rPr>
        <w:t xml:space="preserve"> </w:t>
      </w:r>
      <w:r>
        <w:rPr>
          <w:lang w:val="en-AU"/>
        </w:rPr>
        <w:tab/>
      </w:r>
      <w:r w:rsidRPr="00C01310">
        <w:rPr>
          <w:lang w:val="en-AU"/>
        </w:rPr>
        <w:t xml:space="preserve">Fairall and Yeo, </w:t>
      </w:r>
      <w:r>
        <w:rPr>
          <w:lang w:val="en-AU"/>
        </w:rPr>
        <w:t xml:space="preserve">above n </w:t>
      </w:r>
      <w:r>
        <w:rPr>
          <w:lang w:val="en-AU"/>
        </w:rPr>
        <w:fldChar w:fldCharType="begin"/>
      </w:r>
      <w:r>
        <w:rPr>
          <w:lang w:val="en-AU"/>
        </w:rPr>
        <w:instrText xml:space="preserve"> NOTEREF _Ref303942891 \h </w:instrText>
      </w:r>
      <w:r>
        <w:rPr>
          <w:lang w:val="en-AU"/>
        </w:rPr>
      </w:r>
      <w:r>
        <w:rPr>
          <w:lang w:val="en-AU"/>
        </w:rPr>
        <w:fldChar w:fldCharType="separate"/>
      </w:r>
      <w:r w:rsidR="001F209C">
        <w:rPr>
          <w:lang w:val="en-AU"/>
        </w:rPr>
        <w:t>333</w:t>
      </w:r>
      <w:r>
        <w:rPr>
          <w:lang w:val="en-AU"/>
        </w:rPr>
        <w:fldChar w:fldCharType="end"/>
      </w:r>
      <w:r w:rsidRPr="00C01310">
        <w:rPr>
          <w:lang w:val="en-AU"/>
        </w:rPr>
        <w:t>, [13.65].</w:t>
      </w:r>
    </w:p>
  </w:footnote>
  <w:footnote w:id="472">
    <w:p w14:paraId="3D77AD70" w14:textId="75726D2F" w:rsidR="00EE78D8" w:rsidRPr="00C01310" w:rsidRDefault="00EE78D8" w:rsidP="003B0EEE">
      <w:pPr>
        <w:pStyle w:val="FootnoteTextTLRI"/>
        <w:rPr>
          <w:lang w:val="en-AU"/>
        </w:rPr>
      </w:pPr>
      <w:r w:rsidRPr="00C01310">
        <w:rPr>
          <w:rStyle w:val="FootnoteReference"/>
          <w:lang w:val="en-AU"/>
        </w:rPr>
        <w:footnoteRef/>
      </w:r>
      <w:r>
        <w:rPr>
          <w:lang w:val="en-AU"/>
        </w:rPr>
        <w:tab/>
      </w:r>
      <w:r w:rsidRPr="00C01310">
        <w:rPr>
          <w:lang w:val="en-AU"/>
        </w:rPr>
        <w:t xml:space="preserve">See the VLRC, </w:t>
      </w:r>
      <w:r w:rsidRPr="00C01310">
        <w:rPr>
          <w:i/>
          <w:lang w:val="en-AU"/>
        </w:rPr>
        <w:t>Defences to Homicide</w:t>
      </w:r>
      <w:r w:rsidRPr="00C01310">
        <w:rPr>
          <w:lang w:val="en-AU"/>
        </w:rPr>
        <w:t xml:space="preserve">, Final Report (2004) [5.11]–[5.44]; NSWLRC, </w:t>
      </w:r>
      <w:r>
        <w:rPr>
          <w:lang w:val="en-AU"/>
        </w:rPr>
        <w:t xml:space="preserve">above n </w:t>
      </w:r>
      <w:r>
        <w:fldChar w:fldCharType="begin"/>
      </w:r>
      <w:r>
        <w:instrText xml:space="preserve"> NOTEREF _Ref534982374 \h </w:instrText>
      </w:r>
      <w:r>
        <w:fldChar w:fldCharType="separate"/>
      </w:r>
      <w:r w:rsidR="001F209C">
        <w:t>55</w:t>
      </w:r>
      <w:r>
        <w:fldChar w:fldCharType="end"/>
      </w:r>
      <w:r>
        <w:t>,</w:t>
      </w:r>
      <w:r w:rsidRPr="00C01310">
        <w:rPr>
          <w:lang w:val="en-AU"/>
        </w:rPr>
        <w:t xml:space="preserve"> Chapter Three; Bronitt and McSherry</w:t>
      </w:r>
      <w:r>
        <w:rPr>
          <w:lang w:val="en-AU"/>
        </w:rPr>
        <w:t>,</w:t>
      </w:r>
      <w:r w:rsidRPr="00C01310">
        <w:rPr>
          <w:lang w:val="en-AU"/>
        </w:rPr>
        <w:t xml:space="preserve"> above n</w:t>
      </w:r>
      <w:r>
        <w:rPr>
          <w:lang w:val="en-AU"/>
        </w:rPr>
        <w:t xml:space="preserve"> </w:t>
      </w:r>
      <w:r>
        <w:rPr>
          <w:lang w:val="en-AU"/>
        </w:rPr>
        <w:fldChar w:fldCharType="begin"/>
      </w:r>
      <w:r>
        <w:rPr>
          <w:lang w:val="en-AU"/>
        </w:rPr>
        <w:instrText xml:space="preserve"> NOTEREF _Ref535171610 \h </w:instrText>
      </w:r>
      <w:r>
        <w:rPr>
          <w:lang w:val="en-AU"/>
        </w:rPr>
      </w:r>
      <w:r>
        <w:rPr>
          <w:lang w:val="en-AU"/>
        </w:rPr>
        <w:fldChar w:fldCharType="separate"/>
      </w:r>
      <w:r w:rsidR="001F209C">
        <w:rPr>
          <w:lang w:val="en-AU"/>
        </w:rPr>
        <w:t>327</w:t>
      </w:r>
      <w:r>
        <w:rPr>
          <w:lang w:val="en-AU"/>
        </w:rPr>
        <w:fldChar w:fldCharType="end"/>
      </w:r>
      <w:r w:rsidRPr="00C01310">
        <w:rPr>
          <w:lang w:val="en-AU"/>
        </w:rPr>
        <w:t xml:space="preserve">, [4.30]; Schloenhardt, </w:t>
      </w:r>
      <w:r w:rsidRPr="00905330">
        <w:t xml:space="preserve">above n </w:t>
      </w:r>
      <w:r w:rsidRPr="00905330">
        <w:fldChar w:fldCharType="begin"/>
      </w:r>
      <w:r w:rsidRPr="00905330">
        <w:instrText xml:space="preserve"> NOTEREF _Ref535179768 \h </w:instrText>
      </w:r>
      <w:r>
        <w:instrText xml:space="preserve"> \* MERGEFORMAT </w:instrText>
      </w:r>
      <w:r w:rsidRPr="00905330">
        <w:fldChar w:fldCharType="separate"/>
      </w:r>
      <w:r w:rsidR="001F209C">
        <w:t>326</w:t>
      </w:r>
      <w:r w:rsidRPr="00905330">
        <w:fldChar w:fldCharType="end"/>
      </w:r>
      <w:r w:rsidRPr="00905330">
        <w:t>,</w:t>
      </w:r>
      <w:r w:rsidRPr="00C01310">
        <w:rPr>
          <w:lang w:val="en-AU"/>
        </w:rPr>
        <w:t xml:space="preserve"> [17.1.2].</w:t>
      </w:r>
    </w:p>
  </w:footnote>
  <w:footnote w:id="473">
    <w:p w14:paraId="3345844B" w14:textId="784E8A69" w:rsidR="00EE78D8" w:rsidRPr="00C01310" w:rsidRDefault="00EE78D8" w:rsidP="003B0EEE">
      <w:pPr>
        <w:pStyle w:val="FootnoteTextTLRI"/>
      </w:pPr>
      <w:r w:rsidRPr="00C01310">
        <w:rPr>
          <w:rStyle w:val="FootnoteReference"/>
        </w:rPr>
        <w:footnoteRef/>
      </w:r>
      <w:r>
        <w:tab/>
      </w:r>
      <w:r w:rsidRPr="00C01310">
        <w:t xml:space="preserve">D Ormerod, </w:t>
      </w:r>
      <w:r w:rsidRPr="00C01310">
        <w:rPr>
          <w:i/>
        </w:rPr>
        <w:t>Smith and Hogan’s Criminal Law</w:t>
      </w:r>
      <w:r w:rsidRPr="00C01310">
        <w:t xml:space="preserve"> (Oxford University Press, 13</w:t>
      </w:r>
      <w:r w:rsidRPr="00C01310">
        <w:rPr>
          <w:vertAlign w:val="superscript"/>
        </w:rPr>
        <w:t>th</w:t>
      </w:r>
      <w:r w:rsidRPr="00C01310">
        <w:t xml:space="preserve"> ed, 2011) 294.</w:t>
      </w:r>
    </w:p>
  </w:footnote>
  <w:footnote w:id="474">
    <w:p w14:paraId="5E0DA0C7" w14:textId="6C3E6CF9" w:rsidR="00EE78D8" w:rsidRDefault="00EE78D8" w:rsidP="00B67316">
      <w:pPr>
        <w:pStyle w:val="FootnoteText"/>
      </w:pPr>
      <w:r>
        <w:rPr>
          <w:rStyle w:val="FootnoteReference"/>
        </w:rPr>
        <w:footnoteRef/>
      </w:r>
      <w:r>
        <w:tab/>
        <w:t xml:space="preserve">Law Commission of England and Wales, above n </w:t>
      </w:r>
      <w:r>
        <w:fldChar w:fldCharType="begin"/>
      </w:r>
      <w:r>
        <w:instrText xml:space="preserve"> NOTEREF _Ref535329182 \h </w:instrText>
      </w:r>
      <w:r>
        <w:fldChar w:fldCharType="separate"/>
      </w:r>
      <w:r w:rsidR="001F209C">
        <w:t>339</w:t>
      </w:r>
      <w:r>
        <w:fldChar w:fldCharType="end"/>
      </w:r>
      <w:r>
        <w:t>.</w:t>
      </w:r>
    </w:p>
  </w:footnote>
  <w:footnote w:id="475">
    <w:p w14:paraId="4A6F3E11" w14:textId="3D1C7A18" w:rsidR="00EE78D8" w:rsidRPr="002D1A7B" w:rsidRDefault="00EE78D8">
      <w:pPr>
        <w:pStyle w:val="FootnoteText"/>
      </w:pPr>
      <w:r>
        <w:rPr>
          <w:rStyle w:val="FootnoteReference"/>
        </w:rPr>
        <w:footnoteRef/>
      </w:r>
      <w:r>
        <w:tab/>
      </w:r>
      <w:r w:rsidRPr="002D1A7B">
        <w:t>See Table 7.2.</w:t>
      </w:r>
    </w:p>
  </w:footnote>
  <w:footnote w:id="476">
    <w:p w14:paraId="34417A17" w14:textId="0884B786" w:rsidR="00EE78D8" w:rsidRDefault="00EE78D8">
      <w:pPr>
        <w:pStyle w:val="FootnoteText"/>
      </w:pPr>
      <w:r w:rsidRPr="002D1A7B">
        <w:rPr>
          <w:rStyle w:val="FootnoteReference"/>
        </w:rPr>
        <w:footnoteRef/>
      </w:r>
      <w:r w:rsidRPr="002D1A7B">
        <w:tab/>
        <w:t>See Table 7.2.</w:t>
      </w:r>
    </w:p>
  </w:footnote>
  <w:footnote w:id="477">
    <w:p w14:paraId="0F4083B4" w14:textId="18C47B52" w:rsidR="00EE78D8" w:rsidRPr="00FB4FE6" w:rsidRDefault="00EE78D8" w:rsidP="00FB4FE6">
      <w:pPr>
        <w:pStyle w:val="FootnoteText"/>
        <w:rPr>
          <w:lang w:val="en-US"/>
        </w:rPr>
      </w:pPr>
      <w:r>
        <w:rPr>
          <w:rStyle w:val="FootnoteReference"/>
        </w:rPr>
        <w:footnoteRef/>
      </w:r>
      <w:r>
        <w:tab/>
      </w:r>
      <w:r>
        <w:rPr>
          <w:lang w:val="en-US"/>
        </w:rPr>
        <w:t xml:space="preserve">See NSW Government (Justice), </w:t>
      </w:r>
      <w:r w:rsidRPr="00CD745A">
        <w:rPr>
          <w:lang w:val="en-US"/>
        </w:rPr>
        <w:t xml:space="preserve">above n </w:t>
      </w:r>
      <w:r>
        <w:rPr>
          <w:lang w:val="en-US"/>
        </w:rPr>
        <w:fldChar w:fldCharType="begin"/>
      </w:r>
      <w:r>
        <w:rPr>
          <w:lang w:val="en-US"/>
        </w:rPr>
        <w:instrText xml:space="preserve"> NOTEREF _Ref535785877 \h </w:instrText>
      </w:r>
      <w:r>
        <w:rPr>
          <w:lang w:val="en-US"/>
        </w:rPr>
      </w:r>
      <w:r>
        <w:rPr>
          <w:lang w:val="en-US"/>
        </w:rPr>
        <w:fldChar w:fldCharType="separate"/>
      </w:r>
      <w:r w:rsidR="001F209C">
        <w:rPr>
          <w:lang w:val="en-US"/>
        </w:rPr>
        <w:t>411</w:t>
      </w:r>
      <w:r>
        <w:rPr>
          <w:lang w:val="en-US"/>
        </w:rPr>
        <w:fldChar w:fldCharType="end"/>
      </w:r>
      <w:r>
        <w:rPr>
          <w:lang w:val="en-US"/>
        </w:rPr>
        <w:t>.</w:t>
      </w:r>
    </w:p>
  </w:footnote>
  <w:footnote w:id="478">
    <w:p w14:paraId="15963681" w14:textId="735E69BD" w:rsidR="00EE78D8" w:rsidRDefault="00EE78D8">
      <w:pPr>
        <w:pStyle w:val="FootnoteText"/>
      </w:pPr>
      <w:r>
        <w:rPr>
          <w:rStyle w:val="FootnoteReference"/>
        </w:rPr>
        <w:footnoteRef/>
      </w:r>
      <w:r>
        <w:tab/>
        <w:t xml:space="preserve">NZLC, above n </w:t>
      </w:r>
      <w:r>
        <w:fldChar w:fldCharType="begin"/>
      </w:r>
      <w:r>
        <w:instrText xml:space="preserve"> NOTEREF _Ref535342070 \h </w:instrText>
      </w:r>
      <w:r>
        <w:fldChar w:fldCharType="separate"/>
      </w:r>
      <w:r w:rsidR="001F209C">
        <w:t>440</w:t>
      </w:r>
      <w:r>
        <w:fldChar w:fldCharType="end"/>
      </w:r>
      <w:r>
        <w:t>, 41.</w:t>
      </w:r>
    </w:p>
  </w:footnote>
  <w:footnote w:id="479">
    <w:p w14:paraId="5399F124" w14:textId="36CC3B75" w:rsidR="00EE78D8" w:rsidRDefault="00EE78D8" w:rsidP="00C15A4E">
      <w:pPr>
        <w:pStyle w:val="FootnoteText"/>
      </w:pPr>
      <w:r>
        <w:rPr>
          <w:rStyle w:val="FootnoteReference"/>
        </w:rPr>
        <w:footnoteRef/>
      </w:r>
      <w:r>
        <w:tab/>
        <w:t xml:space="preserve">NSWLRC, above n </w:t>
      </w:r>
      <w:r>
        <w:fldChar w:fldCharType="begin"/>
      </w:r>
      <w:r>
        <w:instrText xml:space="preserve"> NOTEREF _Ref534982374 \h </w:instrText>
      </w:r>
      <w:r>
        <w:fldChar w:fldCharType="separate"/>
      </w:r>
      <w:r w:rsidR="001F209C">
        <w:t>55</w:t>
      </w:r>
      <w:r>
        <w:fldChar w:fldCharType="end"/>
      </w:r>
      <w:r>
        <w:t>, 51.</w:t>
      </w:r>
    </w:p>
  </w:footnote>
  <w:footnote w:id="480">
    <w:p w14:paraId="2D40BB58" w14:textId="2F7AAC1C" w:rsidR="00EE78D8" w:rsidRDefault="00EE78D8" w:rsidP="00E41A65">
      <w:pPr>
        <w:pStyle w:val="FootnoteText"/>
      </w:pPr>
      <w:r>
        <w:rPr>
          <w:rStyle w:val="FootnoteReference"/>
        </w:rPr>
        <w:footnoteRef/>
      </w:r>
      <w:r>
        <w:tab/>
        <w:t xml:space="preserve">See </w:t>
      </w:r>
      <w:r w:rsidRPr="002D1A7B">
        <w:t>Table</w:t>
      </w:r>
      <w:r>
        <w:t>s</w:t>
      </w:r>
      <w:r w:rsidRPr="002D1A7B">
        <w:t xml:space="preserve"> </w:t>
      </w:r>
      <w:r>
        <w:t>7.1 and 7.2.</w:t>
      </w:r>
    </w:p>
  </w:footnote>
  <w:footnote w:id="481">
    <w:p w14:paraId="275FF98F" w14:textId="429438D5" w:rsidR="00EE78D8" w:rsidRDefault="00EE78D8" w:rsidP="00E41A65">
      <w:pPr>
        <w:pStyle w:val="FootnoteText"/>
      </w:pPr>
      <w:r>
        <w:rPr>
          <w:rStyle w:val="FootnoteReference"/>
        </w:rPr>
        <w:footnoteRef/>
      </w:r>
      <w:r>
        <w:tab/>
        <w:t xml:space="preserve">Section 269A </w:t>
      </w:r>
      <w:r w:rsidRPr="00A16AAC">
        <w:rPr>
          <w:i/>
        </w:rPr>
        <w:t xml:space="preserve">Criminal Law Consolidation Act 1935 </w:t>
      </w:r>
      <w:r w:rsidRPr="00A16AAC">
        <w:t>(SA)</w:t>
      </w:r>
      <w:r>
        <w:t>.</w:t>
      </w:r>
    </w:p>
  </w:footnote>
  <w:footnote w:id="482">
    <w:p w14:paraId="27F5AD94" w14:textId="3AF34831" w:rsidR="00EE78D8" w:rsidRDefault="00EE78D8" w:rsidP="00E41A65">
      <w:pPr>
        <w:pStyle w:val="FootnoteText"/>
      </w:pPr>
      <w:r>
        <w:rPr>
          <w:rStyle w:val="FootnoteReference"/>
        </w:rPr>
        <w:footnoteRef/>
      </w:r>
      <w:r>
        <w:tab/>
        <w:t xml:space="preserve">See </w:t>
      </w:r>
      <w:r w:rsidRPr="002D1A7B">
        <w:t xml:space="preserve">Table </w:t>
      </w:r>
      <w:r>
        <w:t>7.2.</w:t>
      </w:r>
    </w:p>
  </w:footnote>
  <w:footnote w:id="483">
    <w:p w14:paraId="33C62057" w14:textId="1CDE901A" w:rsidR="00EE78D8" w:rsidRDefault="00EE78D8">
      <w:pPr>
        <w:pStyle w:val="FootnoteText"/>
      </w:pPr>
      <w:r>
        <w:rPr>
          <w:rStyle w:val="FootnoteReference"/>
        </w:rPr>
        <w:footnoteRef/>
      </w:r>
      <w:r>
        <w:tab/>
        <w:t xml:space="preserve">See </w:t>
      </w:r>
      <w:r w:rsidRPr="002D1A7B">
        <w:t>Appendix 7.</w:t>
      </w:r>
      <w:r>
        <w:t xml:space="preserve"> It is noted that</w:t>
      </w:r>
      <w:r>
        <w:rPr>
          <w:lang w:val="en-US"/>
        </w:rPr>
        <w:t xml:space="preserve"> ‘mental impairment’ was defined in the </w:t>
      </w:r>
      <w:r>
        <w:rPr>
          <w:i/>
          <w:lang w:val="en-US"/>
        </w:rPr>
        <w:t xml:space="preserve">Crimes (Mental Impairment and Unfitness to be Tried) Amendment Bill 2016 </w:t>
      </w:r>
      <w:r>
        <w:rPr>
          <w:lang w:val="en-US"/>
        </w:rPr>
        <w:t>(Vic) cl 5. This Bill has not been passed by the Victorian Parliament.</w:t>
      </w:r>
    </w:p>
  </w:footnote>
  <w:footnote w:id="484">
    <w:p w14:paraId="1BE80436" w14:textId="5479F904" w:rsidR="00EE78D8" w:rsidRDefault="00EE78D8">
      <w:pPr>
        <w:pStyle w:val="FootnoteText"/>
      </w:pPr>
      <w:r>
        <w:rPr>
          <w:rStyle w:val="FootnoteReference"/>
        </w:rPr>
        <w:footnoteRef/>
      </w:r>
      <w:r>
        <w:tab/>
        <w:t xml:space="preserve">See </w:t>
      </w:r>
      <w:r w:rsidRPr="009C5AF2">
        <w:t xml:space="preserve">Appendix </w:t>
      </w:r>
      <w:r w:rsidRPr="002D1A7B">
        <w:t>7</w:t>
      </w:r>
      <w:r>
        <w:t>.</w:t>
      </w:r>
    </w:p>
  </w:footnote>
  <w:footnote w:id="485">
    <w:p w14:paraId="11AFBCC2" w14:textId="4668BEE1" w:rsidR="00EE78D8" w:rsidRPr="00961F16" w:rsidRDefault="00EE78D8">
      <w:pPr>
        <w:pStyle w:val="FootnoteText"/>
        <w:rPr>
          <w:lang w:val="en-US"/>
        </w:rPr>
      </w:pPr>
      <w:r>
        <w:rPr>
          <w:rStyle w:val="FootnoteReference"/>
        </w:rPr>
        <w:footnoteRef/>
      </w:r>
      <w:r>
        <w:tab/>
      </w:r>
      <w:r>
        <w:rPr>
          <w:lang w:val="en-US"/>
        </w:rPr>
        <w:t xml:space="preserve">Reforms proposed in NSW define cognitive impairment and mental health impairment: see NSW Government (Justice), above </w:t>
      </w:r>
      <w:r w:rsidRPr="00CD745A">
        <w:rPr>
          <w:lang w:val="en-US"/>
        </w:rPr>
        <w:t xml:space="preserve">n </w:t>
      </w:r>
      <w:r>
        <w:rPr>
          <w:lang w:val="en-US"/>
        </w:rPr>
        <w:fldChar w:fldCharType="begin"/>
      </w:r>
      <w:r>
        <w:rPr>
          <w:lang w:val="en-US"/>
        </w:rPr>
        <w:instrText xml:space="preserve"> NOTEREF _Ref535785877 \h </w:instrText>
      </w:r>
      <w:r>
        <w:rPr>
          <w:lang w:val="en-US"/>
        </w:rPr>
      </w:r>
      <w:r>
        <w:rPr>
          <w:lang w:val="en-US"/>
        </w:rPr>
        <w:fldChar w:fldCharType="separate"/>
      </w:r>
      <w:r w:rsidR="001F209C">
        <w:rPr>
          <w:lang w:val="en-US"/>
        </w:rPr>
        <w:t>411</w:t>
      </w:r>
      <w:r>
        <w:rPr>
          <w:lang w:val="en-US"/>
        </w:rPr>
        <w:fldChar w:fldCharType="end"/>
      </w:r>
      <w:r>
        <w:rPr>
          <w:lang w:val="en-US"/>
        </w:rPr>
        <w:t>.</w:t>
      </w:r>
    </w:p>
  </w:footnote>
  <w:footnote w:id="486">
    <w:p w14:paraId="0F301F47" w14:textId="6652DE79" w:rsidR="00EE78D8" w:rsidRDefault="00EE78D8">
      <w:pPr>
        <w:pStyle w:val="FootnoteText"/>
      </w:pPr>
      <w:r>
        <w:rPr>
          <w:rStyle w:val="FootnoteReference"/>
        </w:rPr>
        <w:footnoteRef/>
      </w:r>
      <w:r>
        <w:tab/>
        <w:t xml:space="preserve">See </w:t>
      </w:r>
      <w:r w:rsidRPr="009C5AF2">
        <w:t xml:space="preserve">Appendix </w:t>
      </w:r>
      <w:r w:rsidRPr="002D1A7B">
        <w:t>7</w:t>
      </w:r>
      <w:r>
        <w:t>.</w:t>
      </w:r>
    </w:p>
  </w:footnote>
  <w:footnote w:id="487">
    <w:p w14:paraId="415B5FA9" w14:textId="142DC7DD" w:rsidR="00EE78D8" w:rsidRDefault="00EE78D8" w:rsidP="00B94567">
      <w:pPr>
        <w:pStyle w:val="FootnoteText"/>
      </w:pPr>
      <w:r>
        <w:rPr>
          <w:rStyle w:val="FootnoteReference"/>
        </w:rPr>
        <w:footnoteRef/>
      </w:r>
      <w:r>
        <w:tab/>
        <w:t xml:space="preserve">See </w:t>
      </w:r>
      <w:r w:rsidRPr="009C5AF2">
        <w:t xml:space="preserve">Appendix </w:t>
      </w:r>
      <w:r w:rsidRPr="002D1A7B">
        <w:t>7</w:t>
      </w:r>
      <w:r>
        <w:t>.</w:t>
      </w:r>
    </w:p>
  </w:footnote>
  <w:footnote w:id="488">
    <w:p w14:paraId="22A93559" w14:textId="172C6027" w:rsidR="00EE78D8" w:rsidRDefault="00EE78D8">
      <w:pPr>
        <w:pStyle w:val="FootnoteText"/>
      </w:pPr>
      <w:r>
        <w:rPr>
          <w:rStyle w:val="FootnoteReference"/>
        </w:rPr>
        <w:footnoteRef/>
      </w:r>
      <w:r>
        <w:tab/>
        <w:t xml:space="preserve">There is a slight difference in wording in the ACT legislation, where the reaction of a healthy mind to extraordinary stimuli is referred to as a ‘reactive condition’, </w:t>
      </w:r>
      <w:r w:rsidRPr="002D1A7B">
        <w:t>see Table 7.</w:t>
      </w:r>
      <w:r>
        <w:t>1.</w:t>
      </w:r>
    </w:p>
  </w:footnote>
  <w:footnote w:id="489">
    <w:p w14:paraId="17FD88DE" w14:textId="436A36B0" w:rsidR="00EE78D8" w:rsidRPr="00961F16" w:rsidRDefault="00EE78D8" w:rsidP="00804E0B">
      <w:pPr>
        <w:pStyle w:val="FootnoteText"/>
        <w:rPr>
          <w:lang w:val="en-US"/>
        </w:rPr>
      </w:pPr>
      <w:r>
        <w:rPr>
          <w:rStyle w:val="FootnoteReference"/>
        </w:rPr>
        <w:footnoteRef/>
      </w:r>
      <w:r>
        <w:tab/>
      </w:r>
      <w:r>
        <w:rPr>
          <w:lang w:val="en-US"/>
        </w:rPr>
        <w:t xml:space="preserve">See NSW Government (Justice), above </w:t>
      </w:r>
      <w:r w:rsidRPr="00CD745A">
        <w:rPr>
          <w:lang w:val="en-US"/>
        </w:rPr>
        <w:t xml:space="preserve">n </w:t>
      </w:r>
      <w:r>
        <w:rPr>
          <w:lang w:val="en-US"/>
        </w:rPr>
        <w:fldChar w:fldCharType="begin"/>
      </w:r>
      <w:r>
        <w:rPr>
          <w:lang w:val="en-US"/>
        </w:rPr>
        <w:instrText xml:space="preserve"> NOTEREF _Ref535785877 \h </w:instrText>
      </w:r>
      <w:r>
        <w:rPr>
          <w:lang w:val="en-US"/>
        </w:rPr>
      </w:r>
      <w:r>
        <w:rPr>
          <w:lang w:val="en-US"/>
        </w:rPr>
        <w:fldChar w:fldCharType="separate"/>
      </w:r>
      <w:r w:rsidR="001F209C">
        <w:rPr>
          <w:lang w:val="en-US"/>
        </w:rPr>
        <w:t>411</w:t>
      </w:r>
      <w:r>
        <w:rPr>
          <w:lang w:val="en-US"/>
        </w:rPr>
        <w:fldChar w:fldCharType="end"/>
      </w:r>
      <w:r>
        <w:rPr>
          <w:lang w:val="en-US"/>
        </w:rPr>
        <w:t>.</w:t>
      </w:r>
    </w:p>
  </w:footnote>
  <w:footnote w:id="490">
    <w:p w14:paraId="0CF10C96" w14:textId="67FD727D" w:rsidR="00EE78D8" w:rsidRPr="00C01310" w:rsidRDefault="00EE78D8" w:rsidP="00804E0B">
      <w:pPr>
        <w:pStyle w:val="FootnoteText"/>
      </w:pPr>
      <w:r w:rsidRPr="00C01310">
        <w:rPr>
          <w:rStyle w:val="FootnoteReference"/>
        </w:rPr>
        <w:footnoteRef/>
      </w:r>
      <w:r>
        <w:tab/>
      </w:r>
      <w:r w:rsidRPr="00C01310">
        <w:t xml:space="preserve">Fairall and Yeo, above n </w:t>
      </w:r>
      <w:r w:rsidRPr="00C01310">
        <w:fldChar w:fldCharType="begin"/>
      </w:r>
      <w:r w:rsidRPr="00C01310">
        <w:instrText xml:space="preserve"> NOTEREF _Ref303942891 \h </w:instrText>
      </w:r>
      <w:r w:rsidRPr="00C01310">
        <w:fldChar w:fldCharType="separate"/>
      </w:r>
      <w:r w:rsidR="001F209C">
        <w:t>333</w:t>
      </w:r>
      <w:r w:rsidRPr="00C01310">
        <w:fldChar w:fldCharType="end"/>
      </w:r>
      <w:r w:rsidRPr="00C01310">
        <w:t xml:space="preserve">, [13.66]; </w:t>
      </w:r>
      <w:r>
        <w:t xml:space="preserve">See also </w:t>
      </w:r>
      <w:r w:rsidRPr="00C01310">
        <w:t xml:space="preserve">VLRC, </w:t>
      </w:r>
      <w:r w:rsidRPr="00C01310">
        <w:rPr>
          <w:i/>
        </w:rPr>
        <w:t>Defences to Homicide</w:t>
      </w:r>
      <w:r w:rsidRPr="00C01310">
        <w:t xml:space="preserve">, Options Paper (2003) [5.15]–[5.19]; VLRC, above n </w:t>
      </w:r>
      <w:r w:rsidRPr="00C01310">
        <w:fldChar w:fldCharType="begin"/>
      </w:r>
      <w:r w:rsidRPr="00C01310">
        <w:instrText xml:space="preserve"> NOTEREF _Ref303943198 \h </w:instrText>
      </w:r>
      <w:r w:rsidRPr="00C01310">
        <w:fldChar w:fldCharType="separate"/>
      </w:r>
      <w:r w:rsidR="001F209C">
        <w:t>472</w:t>
      </w:r>
      <w:r w:rsidRPr="00C01310">
        <w:fldChar w:fldCharType="end"/>
      </w:r>
      <w:r w:rsidRPr="00C01310">
        <w:t xml:space="preserve">; VLRC, </w:t>
      </w:r>
      <w:r>
        <w:t xml:space="preserve">above n </w:t>
      </w:r>
      <w:r>
        <w:fldChar w:fldCharType="begin"/>
      </w:r>
      <w:r>
        <w:instrText xml:space="preserve"> NOTEREF _Ref534979326 \h </w:instrText>
      </w:r>
      <w:r>
        <w:fldChar w:fldCharType="separate"/>
      </w:r>
      <w:r w:rsidR="001F209C">
        <w:t>26</w:t>
      </w:r>
      <w:r>
        <w:fldChar w:fldCharType="end"/>
      </w:r>
      <w:r w:rsidRPr="00C01310">
        <w:t xml:space="preserve">; </w:t>
      </w:r>
      <w:r w:rsidRPr="001A3D11">
        <w:t xml:space="preserve">NSWLRC, </w:t>
      </w:r>
      <w:r w:rsidRPr="001A3D11">
        <w:rPr>
          <w:rStyle w:val="paddedbox"/>
          <w:szCs w:val="18"/>
        </w:rPr>
        <w:t xml:space="preserve">above n </w:t>
      </w:r>
      <w:r w:rsidRPr="001A3D11">
        <w:rPr>
          <w:rStyle w:val="paddedbox"/>
          <w:szCs w:val="18"/>
        </w:rPr>
        <w:fldChar w:fldCharType="begin"/>
      </w:r>
      <w:r w:rsidRPr="001A3D11">
        <w:rPr>
          <w:rStyle w:val="paddedbox"/>
          <w:szCs w:val="18"/>
        </w:rPr>
        <w:instrText xml:space="preserve"> NOTEREF _Ref303943198 \h  \* MERGEFORMAT </w:instrText>
      </w:r>
      <w:r w:rsidRPr="001A3D11">
        <w:rPr>
          <w:rStyle w:val="paddedbox"/>
          <w:szCs w:val="18"/>
        </w:rPr>
      </w:r>
      <w:r w:rsidRPr="001A3D11">
        <w:rPr>
          <w:rStyle w:val="paddedbox"/>
          <w:szCs w:val="18"/>
        </w:rPr>
        <w:fldChar w:fldCharType="separate"/>
      </w:r>
      <w:r w:rsidR="001F209C">
        <w:rPr>
          <w:rStyle w:val="paddedbox"/>
          <w:szCs w:val="18"/>
        </w:rPr>
        <w:t>472</w:t>
      </w:r>
      <w:r w:rsidRPr="001A3D11">
        <w:rPr>
          <w:rStyle w:val="paddedbox"/>
          <w:szCs w:val="18"/>
        </w:rPr>
        <w:fldChar w:fldCharType="end"/>
      </w:r>
      <w:r w:rsidRPr="00C01310">
        <w:rPr>
          <w:rStyle w:val="paddedbox"/>
          <w:szCs w:val="18"/>
        </w:rPr>
        <w:t xml:space="preserve">; NZLC, </w:t>
      </w:r>
      <w:r>
        <w:t xml:space="preserve">above n </w:t>
      </w:r>
      <w:r>
        <w:fldChar w:fldCharType="begin"/>
      </w:r>
      <w:r>
        <w:instrText xml:space="preserve"> NOTEREF _Ref535342070 \h </w:instrText>
      </w:r>
      <w:r>
        <w:fldChar w:fldCharType="separate"/>
      </w:r>
      <w:r w:rsidR="001F209C">
        <w:t>440</w:t>
      </w:r>
      <w:r>
        <w:fldChar w:fldCharType="end"/>
      </w:r>
      <w:r w:rsidRPr="00C01310">
        <w:rPr>
          <w:rStyle w:val="paddedbox"/>
          <w:szCs w:val="18"/>
        </w:rPr>
        <w:t xml:space="preserve">; Law </w:t>
      </w:r>
      <w:r w:rsidRPr="00804E0B">
        <w:rPr>
          <w:rStyle w:val="paddedbox"/>
        </w:rPr>
        <w:t>Commission</w:t>
      </w:r>
      <w:r>
        <w:rPr>
          <w:rStyle w:val="paddedbox"/>
        </w:rPr>
        <w:t xml:space="preserve"> of England and Wales</w:t>
      </w:r>
      <w:r w:rsidRPr="00C01310">
        <w:rPr>
          <w:rStyle w:val="paddedbox"/>
          <w:szCs w:val="18"/>
        </w:rPr>
        <w:t xml:space="preserve">, </w:t>
      </w:r>
      <w:r>
        <w:t xml:space="preserve">above n </w:t>
      </w:r>
      <w:r>
        <w:fldChar w:fldCharType="begin"/>
      </w:r>
      <w:r>
        <w:instrText xml:space="preserve"> NOTEREF _Ref535329182 \h </w:instrText>
      </w:r>
      <w:r>
        <w:fldChar w:fldCharType="separate"/>
      </w:r>
      <w:r w:rsidR="001F209C">
        <w:t>339</w:t>
      </w:r>
      <w:r>
        <w:fldChar w:fldCharType="end"/>
      </w:r>
      <w:r w:rsidRPr="00C01310">
        <w:rPr>
          <w:rStyle w:val="paddedbox"/>
          <w:szCs w:val="18"/>
        </w:rPr>
        <w:t>.</w:t>
      </w:r>
    </w:p>
  </w:footnote>
  <w:footnote w:id="491">
    <w:p w14:paraId="56F3F542" w14:textId="794B8F99" w:rsidR="00EE78D8" w:rsidRDefault="00EE78D8" w:rsidP="00E840D9">
      <w:pPr>
        <w:pStyle w:val="FootnoteText"/>
      </w:pPr>
      <w:r>
        <w:rPr>
          <w:rStyle w:val="FootnoteReference"/>
        </w:rPr>
        <w:footnoteRef/>
      </w:r>
      <w:r>
        <w:tab/>
        <w:t xml:space="preserve">NZLC, above n </w:t>
      </w:r>
      <w:r>
        <w:fldChar w:fldCharType="begin"/>
      </w:r>
      <w:r>
        <w:instrText xml:space="preserve"> NOTEREF _Ref535342070 \h </w:instrText>
      </w:r>
      <w:r>
        <w:fldChar w:fldCharType="separate"/>
      </w:r>
      <w:r w:rsidR="001F209C">
        <w:t>440</w:t>
      </w:r>
      <w:r>
        <w:fldChar w:fldCharType="end"/>
      </w:r>
      <w:r>
        <w:t>, 5.</w:t>
      </w:r>
    </w:p>
  </w:footnote>
  <w:footnote w:id="492">
    <w:p w14:paraId="5A489B92" w14:textId="7F35DFCB" w:rsidR="00EE78D8" w:rsidRDefault="00EE78D8" w:rsidP="00342BA8">
      <w:pPr>
        <w:pStyle w:val="FootnoteText"/>
      </w:pPr>
      <w:r>
        <w:rPr>
          <w:rStyle w:val="FootnoteReference"/>
        </w:rPr>
        <w:footnoteRef/>
      </w:r>
      <w:r>
        <w:tab/>
      </w:r>
      <w:r>
        <w:rPr>
          <w:rFonts w:eastAsiaTheme="minorEastAsia"/>
          <w:szCs w:val="18"/>
          <w:lang w:eastAsia="ja-JP"/>
        </w:rPr>
        <w:t xml:space="preserve">Child and Sullivan, above n </w:t>
      </w:r>
      <w:r>
        <w:rPr>
          <w:rFonts w:eastAsiaTheme="minorEastAsia"/>
          <w:szCs w:val="18"/>
          <w:lang w:eastAsia="ja-JP"/>
        </w:rPr>
        <w:fldChar w:fldCharType="begin"/>
      </w:r>
      <w:r>
        <w:rPr>
          <w:rFonts w:eastAsiaTheme="minorEastAsia"/>
          <w:szCs w:val="18"/>
          <w:lang w:eastAsia="ja-JP"/>
        </w:rPr>
        <w:instrText xml:space="preserve"> NOTEREF _Ref535348062 \h </w:instrText>
      </w:r>
      <w:r>
        <w:rPr>
          <w:rFonts w:eastAsiaTheme="minorEastAsia"/>
          <w:szCs w:val="18"/>
          <w:lang w:eastAsia="ja-JP"/>
        </w:rPr>
      </w:r>
      <w:r>
        <w:rPr>
          <w:rFonts w:eastAsiaTheme="minorEastAsia"/>
          <w:szCs w:val="18"/>
          <w:lang w:eastAsia="ja-JP"/>
        </w:rPr>
        <w:fldChar w:fldCharType="separate"/>
      </w:r>
      <w:r w:rsidR="001F209C">
        <w:rPr>
          <w:rFonts w:eastAsiaTheme="minorEastAsia"/>
          <w:szCs w:val="18"/>
          <w:lang w:eastAsia="ja-JP"/>
        </w:rPr>
        <w:t>343</w:t>
      </w:r>
      <w:r>
        <w:rPr>
          <w:rFonts w:eastAsiaTheme="minorEastAsia"/>
          <w:szCs w:val="18"/>
          <w:lang w:eastAsia="ja-JP"/>
        </w:rPr>
        <w:fldChar w:fldCharType="end"/>
      </w:r>
      <w:r>
        <w:rPr>
          <w:rFonts w:eastAsiaTheme="minorEastAsia"/>
          <w:szCs w:val="18"/>
          <w:lang w:eastAsia="ja-JP"/>
        </w:rPr>
        <w:t>, 787.</w:t>
      </w:r>
    </w:p>
  </w:footnote>
  <w:footnote w:id="493">
    <w:p w14:paraId="57FFB21A" w14:textId="46020A10" w:rsidR="00EE78D8" w:rsidRPr="00A75EF3" w:rsidRDefault="00EE78D8">
      <w:pPr>
        <w:pStyle w:val="FootnoteText"/>
      </w:pPr>
      <w:r>
        <w:rPr>
          <w:rStyle w:val="FootnoteReference"/>
        </w:rPr>
        <w:footnoteRef/>
      </w:r>
      <w:r>
        <w:tab/>
      </w:r>
      <w:r w:rsidRPr="009E3776">
        <w:t xml:space="preserve">A Ashworth and J Horder, </w:t>
      </w:r>
      <w:r w:rsidRPr="009E3776">
        <w:rPr>
          <w:i/>
        </w:rPr>
        <w:t>Principles of Criminal Law</w:t>
      </w:r>
      <w:r>
        <w:rPr>
          <w:i/>
        </w:rPr>
        <w:t xml:space="preserve"> </w:t>
      </w:r>
      <w:r>
        <w:t xml:space="preserve">(Oxford University Press, </w:t>
      </w:r>
      <w:r w:rsidRPr="00A00948">
        <w:t>7</w:t>
      </w:r>
      <w:r w:rsidRPr="00A00948">
        <w:rPr>
          <w:vertAlign w:val="superscript"/>
        </w:rPr>
        <w:t>th</w:t>
      </w:r>
      <w:r w:rsidRPr="00A00948">
        <w:t xml:space="preserve"> ed</w:t>
      </w:r>
      <w:r>
        <w:t>,</w:t>
      </w:r>
      <w:r>
        <w:rPr>
          <w:i/>
        </w:rPr>
        <w:t xml:space="preserve"> </w:t>
      </w:r>
      <w:r>
        <w:t>2013) 94.</w:t>
      </w:r>
    </w:p>
  </w:footnote>
  <w:footnote w:id="494">
    <w:p w14:paraId="1FAEFB00" w14:textId="209885C4" w:rsidR="00EE78D8" w:rsidRDefault="00EE78D8">
      <w:pPr>
        <w:pStyle w:val="FootnoteText"/>
      </w:pPr>
      <w:r>
        <w:rPr>
          <w:rStyle w:val="FootnoteReference"/>
        </w:rPr>
        <w:footnoteRef/>
      </w:r>
      <w:r>
        <w:tab/>
        <w:t>This is discussed at [7.5.8]–[7.5.9].</w:t>
      </w:r>
    </w:p>
  </w:footnote>
  <w:footnote w:id="495">
    <w:p w14:paraId="748A9E74" w14:textId="70EB32ED" w:rsidR="00EE78D8" w:rsidRPr="00855C5E" w:rsidRDefault="00EE78D8">
      <w:pPr>
        <w:pStyle w:val="FootnoteText"/>
      </w:pPr>
      <w:r>
        <w:rPr>
          <w:rStyle w:val="FootnoteReference"/>
        </w:rPr>
        <w:footnoteRef/>
      </w:r>
      <w:r>
        <w:tab/>
        <w:t xml:space="preserve">LRCWA, </w:t>
      </w:r>
      <w:r w:rsidRPr="00F74C0B">
        <w:t xml:space="preserve">above n </w:t>
      </w:r>
      <w:r w:rsidRPr="00F74C0B">
        <w:fldChar w:fldCharType="begin"/>
      </w:r>
      <w:r w:rsidRPr="00F74C0B">
        <w:instrText xml:space="preserve"> NOTEREF _Ref535407951 \h </w:instrText>
      </w:r>
      <w:r>
        <w:instrText xml:space="preserve"> \* MERGEFORMAT </w:instrText>
      </w:r>
      <w:r w:rsidRPr="00F74C0B">
        <w:fldChar w:fldCharType="separate"/>
      </w:r>
      <w:r w:rsidR="001F209C">
        <w:t>371</w:t>
      </w:r>
      <w:r w:rsidRPr="00F74C0B">
        <w:fldChar w:fldCharType="end"/>
      </w:r>
      <w:r w:rsidRPr="00F74C0B">
        <w:t>,</w:t>
      </w:r>
      <w:r>
        <w:t xml:space="preserve"> 143, 228–229.</w:t>
      </w:r>
    </w:p>
  </w:footnote>
  <w:footnote w:id="496">
    <w:p w14:paraId="6363DD96" w14:textId="46555ACA" w:rsidR="00EE78D8" w:rsidRDefault="00EE78D8">
      <w:pPr>
        <w:pStyle w:val="FootnoteText"/>
      </w:pPr>
      <w:r>
        <w:rPr>
          <w:rStyle w:val="FootnoteReference"/>
        </w:rPr>
        <w:footnoteRef/>
      </w:r>
      <w:r>
        <w:tab/>
        <w:t xml:space="preserve">NSWLRC, </w:t>
      </w:r>
      <w:r>
        <w:rPr>
          <w:lang w:val="en-US"/>
        </w:rPr>
        <w:t xml:space="preserve">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xml:space="preserve">, </w:t>
      </w:r>
      <w:r>
        <w:t>53.</w:t>
      </w:r>
    </w:p>
  </w:footnote>
  <w:footnote w:id="497">
    <w:p w14:paraId="1B8BBD72" w14:textId="45224E9C" w:rsidR="00EE78D8" w:rsidRDefault="00EE78D8">
      <w:pPr>
        <w:pStyle w:val="FootnoteText"/>
      </w:pPr>
      <w:r>
        <w:rPr>
          <w:rStyle w:val="FootnoteReference"/>
        </w:rPr>
        <w:footnoteRef/>
      </w:r>
      <w:r>
        <w:tab/>
        <w:t xml:space="preserve">Ibid 54. Note the proposed definition of mental health impairment (as set out </w:t>
      </w:r>
      <w:r w:rsidRPr="009E3776">
        <w:t>in Table 7.</w:t>
      </w:r>
      <w:r>
        <w:t xml:space="preserve">2) does not refer to personality disorders (either to include or exclude). Cognitive impairment is also defined as </w:t>
      </w:r>
      <w:r w:rsidRPr="005F0D48">
        <w:t>an ongoing impairment in comprehension, reason, adaptive functioning, judgment, learning or memory that affects the functioning of the person in daily life to a material extent, and that is the result of any damage to, dysfunction, developmental delay, or deterioration of the brain or mind. Cognitive impairment may arise from conditions such as intellectual disability, dementia and acquired brain injury</w:t>
      </w:r>
      <w:r>
        <w:t xml:space="preserve">: see </w:t>
      </w:r>
      <w:r>
        <w:rPr>
          <w:lang w:val="en-US"/>
        </w:rPr>
        <w:t xml:space="preserve">NSW Government (Justice), </w:t>
      </w:r>
      <w:r w:rsidRPr="00CD745A">
        <w:rPr>
          <w:lang w:val="en-US"/>
        </w:rPr>
        <w:t xml:space="preserve">above n </w:t>
      </w:r>
      <w:r>
        <w:rPr>
          <w:lang w:val="en-US"/>
        </w:rPr>
        <w:fldChar w:fldCharType="begin"/>
      </w:r>
      <w:r>
        <w:rPr>
          <w:lang w:val="en-US"/>
        </w:rPr>
        <w:instrText xml:space="preserve"> NOTEREF _Ref535785877 \h </w:instrText>
      </w:r>
      <w:r>
        <w:rPr>
          <w:lang w:val="en-US"/>
        </w:rPr>
      </w:r>
      <w:r>
        <w:rPr>
          <w:lang w:val="en-US"/>
        </w:rPr>
        <w:fldChar w:fldCharType="separate"/>
      </w:r>
      <w:r w:rsidR="001F209C">
        <w:rPr>
          <w:lang w:val="en-US"/>
        </w:rPr>
        <w:t>411</w:t>
      </w:r>
      <w:r>
        <w:rPr>
          <w:lang w:val="en-US"/>
        </w:rPr>
        <w:fldChar w:fldCharType="end"/>
      </w:r>
      <w:r>
        <w:rPr>
          <w:lang w:val="en-US"/>
        </w:rPr>
        <w:t>.</w:t>
      </w:r>
    </w:p>
  </w:footnote>
  <w:footnote w:id="498">
    <w:p w14:paraId="38333FC0" w14:textId="23FDB3B0" w:rsidR="00EE78D8" w:rsidRDefault="00EE78D8">
      <w:pPr>
        <w:pStyle w:val="FootnoteText"/>
      </w:pPr>
      <w:r>
        <w:rPr>
          <w:rStyle w:val="FootnoteReference"/>
        </w:rPr>
        <w:footnoteRef/>
      </w:r>
      <w:r>
        <w:tab/>
        <w:t xml:space="preserve">NSWLRC, </w:t>
      </w:r>
      <w:r>
        <w:rPr>
          <w:lang w:val="en-US"/>
        </w:rPr>
        <w:t xml:space="preserve">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w:t>
      </w:r>
      <w:r>
        <w:t xml:space="preserve"> 53.</w:t>
      </w:r>
    </w:p>
  </w:footnote>
  <w:footnote w:id="499">
    <w:p w14:paraId="6890AB11" w14:textId="65199C68" w:rsidR="00EE78D8" w:rsidRPr="002623AD" w:rsidRDefault="00EE78D8" w:rsidP="002623AD">
      <w:pPr>
        <w:pStyle w:val="FootnoteText"/>
      </w:pPr>
      <w:r w:rsidRPr="002623AD">
        <w:rPr>
          <w:rStyle w:val="FootnoteReference"/>
        </w:rPr>
        <w:footnoteRef/>
      </w:r>
      <w:r>
        <w:tab/>
      </w:r>
      <w:r>
        <w:rPr>
          <w:lang w:val="en-US"/>
        </w:rPr>
        <w:t>Scottish Law Commission</w:t>
      </w:r>
      <w:r>
        <w:t xml:space="preserve">, above n </w:t>
      </w:r>
      <w:r>
        <w:fldChar w:fldCharType="begin"/>
      </w:r>
      <w:r>
        <w:instrText xml:space="preserve"> NOTEREF _Ref535409289 \h </w:instrText>
      </w:r>
      <w:r>
        <w:fldChar w:fldCharType="separate"/>
      </w:r>
      <w:r w:rsidR="001F209C">
        <w:t>163</w:t>
      </w:r>
      <w:r>
        <w:fldChar w:fldCharType="end"/>
      </w:r>
      <w:r>
        <w:t xml:space="preserve">, </w:t>
      </w:r>
      <w:r w:rsidRPr="002623AD">
        <w:t>27.</w:t>
      </w:r>
    </w:p>
  </w:footnote>
  <w:footnote w:id="500">
    <w:p w14:paraId="7FFA420A" w14:textId="5BE6C12A" w:rsidR="00EE78D8" w:rsidRDefault="00EE78D8">
      <w:pPr>
        <w:pStyle w:val="FootnoteText"/>
      </w:pPr>
      <w:r>
        <w:rPr>
          <w:rStyle w:val="FootnoteReference"/>
        </w:rPr>
        <w:footnoteRef/>
      </w:r>
      <w:r>
        <w:tab/>
      </w:r>
      <w:r w:rsidRPr="00A16AAC">
        <w:t xml:space="preserve">Law Commission </w:t>
      </w:r>
      <w:r>
        <w:t xml:space="preserve">of England and Wales, above n </w:t>
      </w:r>
      <w:r>
        <w:fldChar w:fldCharType="begin"/>
      </w:r>
      <w:r>
        <w:instrText xml:space="preserve"> NOTEREF _Ref535329182 \h </w:instrText>
      </w:r>
      <w:r>
        <w:fldChar w:fldCharType="separate"/>
      </w:r>
      <w:r w:rsidR="001F209C">
        <w:t>339</w:t>
      </w:r>
      <w:r>
        <w:fldChar w:fldCharType="end"/>
      </w:r>
      <w:r>
        <w:t>, 76.</w:t>
      </w:r>
    </w:p>
  </w:footnote>
  <w:footnote w:id="501">
    <w:p w14:paraId="1886FFF7" w14:textId="4C13ABEB" w:rsidR="00EE78D8" w:rsidRDefault="00EE78D8" w:rsidP="00C4252E">
      <w:pPr>
        <w:pStyle w:val="FootnoteText"/>
      </w:pPr>
      <w:r>
        <w:rPr>
          <w:rStyle w:val="FootnoteReference"/>
        </w:rPr>
        <w:footnoteRef/>
      </w:r>
      <w:r>
        <w:tab/>
        <w:t xml:space="preserve">See </w:t>
      </w:r>
      <w:r w:rsidRPr="009E3776">
        <w:t>Table 7.</w:t>
      </w:r>
      <w:r>
        <w:t xml:space="preserve">2. There is no express inclusion or exclusion of personality disorders in the reforms proposed in NSW: see </w:t>
      </w:r>
      <w:r>
        <w:rPr>
          <w:lang w:val="en-US"/>
        </w:rPr>
        <w:t xml:space="preserve">NSW Government (Justice), </w:t>
      </w:r>
      <w:r w:rsidRPr="00CD745A">
        <w:rPr>
          <w:lang w:val="en-US"/>
        </w:rPr>
        <w:t xml:space="preserve">above n </w:t>
      </w:r>
      <w:r>
        <w:rPr>
          <w:lang w:val="en-US"/>
        </w:rPr>
        <w:fldChar w:fldCharType="begin"/>
      </w:r>
      <w:r>
        <w:rPr>
          <w:lang w:val="en-US"/>
        </w:rPr>
        <w:instrText xml:space="preserve"> NOTEREF _Ref535785877 \h </w:instrText>
      </w:r>
      <w:r>
        <w:rPr>
          <w:lang w:val="en-US"/>
        </w:rPr>
      </w:r>
      <w:r>
        <w:rPr>
          <w:lang w:val="en-US"/>
        </w:rPr>
        <w:fldChar w:fldCharType="separate"/>
      </w:r>
      <w:r w:rsidR="001F209C">
        <w:rPr>
          <w:lang w:val="en-US"/>
        </w:rPr>
        <w:t>411</w:t>
      </w:r>
      <w:r>
        <w:rPr>
          <w:lang w:val="en-US"/>
        </w:rPr>
        <w:fldChar w:fldCharType="end"/>
      </w:r>
      <w:r>
        <w:rPr>
          <w:lang w:val="en-US"/>
        </w:rPr>
        <w:t>.</w:t>
      </w:r>
    </w:p>
  </w:footnote>
  <w:footnote w:id="502">
    <w:p w14:paraId="0E1673E9" w14:textId="737F3C43" w:rsidR="00EE78D8" w:rsidRDefault="00EE78D8" w:rsidP="00C4252E">
      <w:pPr>
        <w:pStyle w:val="FootnoteText"/>
      </w:pPr>
      <w:r>
        <w:rPr>
          <w:rStyle w:val="FootnoteReference"/>
        </w:rPr>
        <w:footnoteRef/>
      </w:r>
      <w:r>
        <w:tab/>
        <w:t xml:space="preserve">See NSWLRC, above n </w:t>
      </w:r>
      <w:r>
        <w:fldChar w:fldCharType="begin"/>
      </w:r>
      <w:r>
        <w:instrText xml:space="preserve"> NOTEREF _Ref535692565 \h </w:instrText>
      </w:r>
      <w:r>
        <w:fldChar w:fldCharType="separate"/>
      </w:r>
      <w:r w:rsidR="001F209C">
        <w:t>446</w:t>
      </w:r>
      <w:r>
        <w:fldChar w:fldCharType="end"/>
      </w:r>
      <w:r>
        <w:t>, 58.</w:t>
      </w:r>
    </w:p>
  </w:footnote>
  <w:footnote w:id="503">
    <w:p w14:paraId="5EE266E4" w14:textId="3D122824" w:rsidR="00EE78D8" w:rsidRDefault="00EE78D8">
      <w:pPr>
        <w:pStyle w:val="FootnoteText"/>
      </w:pPr>
      <w:r>
        <w:rPr>
          <w:rStyle w:val="FootnoteReference"/>
        </w:rPr>
        <w:footnoteRef/>
      </w:r>
      <w:r>
        <w:tab/>
        <w:t xml:space="preserve">NSWLRC, </w:t>
      </w:r>
      <w:r>
        <w:rPr>
          <w:lang w:val="en-US"/>
        </w:rPr>
        <w:t xml:space="preserve">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w:t>
      </w:r>
      <w:r>
        <w:t xml:space="preserve"> 59.</w:t>
      </w:r>
    </w:p>
  </w:footnote>
  <w:footnote w:id="504">
    <w:p w14:paraId="73795F2A" w14:textId="454FE0D7" w:rsidR="00EE78D8" w:rsidRDefault="00EE78D8">
      <w:pPr>
        <w:pStyle w:val="FootnoteText"/>
      </w:pPr>
      <w:r>
        <w:rPr>
          <w:rStyle w:val="FootnoteReference"/>
        </w:rPr>
        <w:footnoteRef/>
      </w:r>
      <w:r>
        <w:tab/>
        <w:t>Ibid.</w:t>
      </w:r>
    </w:p>
  </w:footnote>
  <w:footnote w:id="505">
    <w:p w14:paraId="631C2199" w14:textId="24718222" w:rsidR="00EE78D8" w:rsidRDefault="00EE78D8">
      <w:pPr>
        <w:pStyle w:val="FootnoteText"/>
      </w:pPr>
      <w:r>
        <w:rPr>
          <w:rStyle w:val="FootnoteReference"/>
        </w:rPr>
        <w:footnoteRef/>
      </w:r>
      <w:r>
        <w:tab/>
        <w:t>Ibid.</w:t>
      </w:r>
    </w:p>
  </w:footnote>
  <w:footnote w:id="506">
    <w:p w14:paraId="37EDADC5" w14:textId="7CFE0643" w:rsidR="00EE78D8" w:rsidRDefault="00EE78D8">
      <w:pPr>
        <w:pStyle w:val="FootnoteText"/>
      </w:pPr>
      <w:r>
        <w:rPr>
          <w:rStyle w:val="FootnoteReference"/>
        </w:rPr>
        <w:footnoteRef/>
      </w:r>
      <w:r>
        <w:tab/>
        <w:t>Ibid 57.</w:t>
      </w:r>
    </w:p>
  </w:footnote>
  <w:footnote w:id="507">
    <w:p w14:paraId="72A85D47" w14:textId="38433120" w:rsidR="00EE78D8" w:rsidRDefault="00EE78D8">
      <w:pPr>
        <w:pStyle w:val="FootnoteText"/>
      </w:pPr>
      <w:r>
        <w:rPr>
          <w:rStyle w:val="FootnoteReference"/>
        </w:rPr>
        <w:footnoteRef/>
      </w:r>
      <w:r>
        <w:tab/>
        <w:t>Ibid 58.</w:t>
      </w:r>
    </w:p>
  </w:footnote>
  <w:footnote w:id="508">
    <w:p w14:paraId="6C6AD6D8" w14:textId="596EEFCD" w:rsidR="00EE78D8" w:rsidRDefault="00EE78D8">
      <w:pPr>
        <w:pStyle w:val="FootnoteText"/>
      </w:pPr>
      <w:r>
        <w:rPr>
          <w:rStyle w:val="FootnoteReference"/>
        </w:rPr>
        <w:footnoteRef/>
      </w:r>
      <w:r>
        <w:tab/>
        <w:t xml:space="preserve">LRCWA, </w:t>
      </w:r>
      <w:r w:rsidRPr="00F74C0B">
        <w:t xml:space="preserve">above n </w:t>
      </w:r>
      <w:r w:rsidRPr="00F74C0B">
        <w:fldChar w:fldCharType="begin"/>
      </w:r>
      <w:r w:rsidRPr="00F74C0B">
        <w:instrText xml:space="preserve"> NOTEREF _Ref535407951 \h </w:instrText>
      </w:r>
      <w:r>
        <w:instrText xml:space="preserve"> \* MERGEFORMAT </w:instrText>
      </w:r>
      <w:r w:rsidRPr="00F74C0B">
        <w:fldChar w:fldCharType="separate"/>
      </w:r>
      <w:r w:rsidR="001F209C">
        <w:t>371</w:t>
      </w:r>
      <w:r w:rsidRPr="00F74C0B">
        <w:fldChar w:fldCharType="end"/>
      </w:r>
      <w:r w:rsidRPr="00F74C0B">
        <w:t>,</w:t>
      </w:r>
      <w:r>
        <w:t xml:space="preserve"> 230.</w:t>
      </w:r>
    </w:p>
  </w:footnote>
  <w:footnote w:id="509">
    <w:p w14:paraId="5F55CDBF" w14:textId="61030149" w:rsidR="00EE78D8" w:rsidRDefault="00EE78D8">
      <w:pPr>
        <w:pStyle w:val="FootnoteText"/>
      </w:pPr>
      <w:r>
        <w:rPr>
          <w:rStyle w:val="FootnoteReference"/>
        </w:rPr>
        <w:footnoteRef/>
      </w:r>
      <w:r>
        <w:tab/>
        <w:t xml:space="preserve">Law Commission of England and Wales, above n </w:t>
      </w:r>
      <w:r>
        <w:fldChar w:fldCharType="begin"/>
      </w:r>
      <w:r>
        <w:instrText xml:space="preserve"> NOTEREF _Ref535329182 \h </w:instrText>
      </w:r>
      <w:r>
        <w:fldChar w:fldCharType="separate"/>
      </w:r>
      <w:r w:rsidR="001F209C">
        <w:t>339</w:t>
      </w:r>
      <w:r>
        <w:fldChar w:fldCharType="end"/>
      </w:r>
      <w:r>
        <w:t>, 79.</w:t>
      </w:r>
    </w:p>
  </w:footnote>
  <w:footnote w:id="510">
    <w:p w14:paraId="5EFE2481" w14:textId="1E6BF3BB" w:rsidR="00EE78D8" w:rsidRDefault="00EE78D8">
      <w:pPr>
        <w:pStyle w:val="FootnoteText"/>
      </w:pPr>
      <w:r>
        <w:rPr>
          <w:rStyle w:val="FootnoteReference"/>
        </w:rPr>
        <w:footnoteRef/>
      </w:r>
      <w:r>
        <w:tab/>
        <w:t xml:space="preserve">NZLC, above n </w:t>
      </w:r>
      <w:r>
        <w:fldChar w:fldCharType="begin"/>
      </w:r>
      <w:r>
        <w:instrText xml:space="preserve"> NOTEREF _Ref535342070 \h </w:instrText>
      </w:r>
      <w:r>
        <w:fldChar w:fldCharType="separate"/>
      </w:r>
      <w:r w:rsidR="001F209C">
        <w:t>440</w:t>
      </w:r>
      <w:r>
        <w:fldChar w:fldCharType="end"/>
      </w:r>
      <w:r>
        <w:t>, 37.</w:t>
      </w:r>
    </w:p>
  </w:footnote>
  <w:footnote w:id="511">
    <w:p w14:paraId="57A10E26" w14:textId="7DE49A08" w:rsidR="00EE78D8" w:rsidRPr="009E7B0B" w:rsidRDefault="00EE78D8" w:rsidP="009E7B0B">
      <w:pPr>
        <w:pStyle w:val="FootnoteText"/>
        <w:rPr>
          <w:lang w:val="en-US"/>
        </w:rPr>
      </w:pPr>
      <w:r>
        <w:rPr>
          <w:rStyle w:val="FootnoteReference"/>
        </w:rPr>
        <w:footnoteRef/>
      </w:r>
      <w:r>
        <w:tab/>
        <w:t xml:space="preserve">See </w:t>
      </w:r>
      <w:r w:rsidRPr="00B65358">
        <w:t>Appendix 7.</w:t>
      </w:r>
      <w:r>
        <w:t xml:space="preserve"> It is noted that personality disorders were expressly excluded from the definition of mental impairment </w:t>
      </w:r>
      <w:r>
        <w:rPr>
          <w:lang w:val="en-US"/>
        </w:rPr>
        <w:t xml:space="preserve"> in the </w:t>
      </w:r>
      <w:r>
        <w:rPr>
          <w:i/>
          <w:lang w:val="en-US"/>
        </w:rPr>
        <w:t xml:space="preserve">Crimes (Mental Impairment and Unfitness to be Tried) Amendment Bill 2016 </w:t>
      </w:r>
      <w:r>
        <w:rPr>
          <w:lang w:val="en-US"/>
        </w:rPr>
        <w:t>(Vic) cl 5. This legislation has not been passed by the Victorian Parliament.</w:t>
      </w:r>
    </w:p>
  </w:footnote>
  <w:footnote w:id="512">
    <w:p w14:paraId="6CF90422" w14:textId="1BA34D44" w:rsidR="00EE78D8" w:rsidRPr="00BC2548" w:rsidRDefault="00EE78D8">
      <w:pPr>
        <w:pStyle w:val="FootnoteText"/>
        <w:rPr>
          <w:lang w:val="en-US"/>
        </w:rPr>
      </w:pPr>
      <w:r>
        <w:rPr>
          <w:rStyle w:val="FootnoteReference"/>
        </w:rPr>
        <w:footnoteRef/>
      </w:r>
      <w:r>
        <w:tab/>
      </w:r>
      <w:r>
        <w:rPr>
          <w:lang w:val="en-US"/>
        </w:rPr>
        <w:t xml:space="preserve">See </w:t>
      </w:r>
      <w:r>
        <w:t xml:space="preserve">TLRI, </w:t>
      </w:r>
      <w:r>
        <w:rPr>
          <w:i/>
        </w:rPr>
        <w:t>Review of the Law Relating to Self-Defence</w:t>
      </w:r>
      <w:r>
        <w:t>, Final Report No 20 (2015) 48–49</w:t>
      </w:r>
      <w:r>
        <w:rPr>
          <w:i/>
        </w:rPr>
        <w:t>.</w:t>
      </w:r>
    </w:p>
  </w:footnote>
  <w:footnote w:id="513">
    <w:p w14:paraId="39359D67" w14:textId="69A21BA5" w:rsidR="00EE78D8" w:rsidRPr="00BC2548" w:rsidRDefault="00EE78D8" w:rsidP="003A7F6C">
      <w:pPr>
        <w:pStyle w:val="FootnoteText"/>
        <w:rPr>
          <w:rFonts w:eastAsiaTheme="minorEastAsia"/>
          <w:lang w:val="en-US" w:eastAsia="ja-JP"/>
        </w:rPr>
      </w:pPr>
      <w:r>
        <w:rPr>
          <w:rStyle w:val="FootnoteReference"/>
        </w:rPr>
        <w:footnoteRef/>
      </w:r>
      <w:r>
        <w:tab/>
      </w:r>
      <w:r>
        <w:rPr>
          <w:rFonts w:eastAsiaTheme="minorEastAsia"/>
          <w:lang w:val="en-US" w:eastAsia="ja-JP"/>
        </w:rPr>
        <w:t xml:space="preserve">A Carroll et al, ‘Drug-induced Psychoses and Criminal Responsibility’ (2008) 26 </w:t>
      </w:r>
      <w:r w:rsidRPr="004F03E6">
        <w:rPr>
          <w:rFonts w:eastAsiaTheme="minorEastAsia"/>
          <w:i/>
          <w:lang w:val="en-US" w:eastAsia="ja-JP"/>
        </w:rPr>
        <w:t>Behavioral Sciences and the Law</w:t>
      </w:r>
      <w:r>
        <w:rPr>
          <w:rFonts w:eastAsiaTheme="minorEastAsia"/>
          <w:lang w:val="en-US" w:eastAsia="ja-JP"/>
        </w:rPr>
        <w:t xml:space="preserve"> 633, 633–634.</w:t>
      </w:r>
      <w:r>
        <w:t xml:space="preserve"> </w:t>
      </w:r>
    </w:p>
  </w:footnote>
  <w:footnote w:id="514">
    <w:p w14:paraId="5BDD6C70" w14:textId="6ABF5D30" w:rsidR="00EE78D8" w:rsidRDefault="00EE78D8" w:rsidP="00FD2681">
      <w:pPr>
        <w:pStyle w:val="FootnoteText"/>
      </w:pPr>
      <w:r>
        <w:rPr>
          <w:rStyle w:val="FootnoteReference"/>
        </w:rPr>
        <w:footnoteRef/>
      </w:r>
      <w:r>
        <w:tab/>
        <w:t xml:space="preserve">TLRI, above n </w:t>
      </w:r>
      <w:r>
        <w:fldChar w:fldCharType="begin"/>
      </w:r>
      <w:r>
        <w:instrText xml:space="preserve"> NOTEREF _Ref535415553 \h </w:instrText>
      </w:r>
      <w:r>
        <w:fldChar w:fldCharType="separate"/>
      </w:r>
      <w:r w:rsidR="001F209C">
        <w:t>512</w:t>
      </w:r>
      <w:r>
        <w:fldChar w:fldCharType="end"/>
      </w:r>
      <w:r>
        <w:t>, 48.</w:t>
      </w:r>
    </w:p>
  </w:footnote>
  <w:footnote w:id="515">
    <w:p w14:paraId="45F2E600" w14:textId="7BBC657A" w:rsidR="00EE78D8" w:rsidRPr="00BC2548" w:rsidRDefault="00EE78D8">
      <w:pPr>
        <w:pStyle w:val="FootnoteText"/>
        <w:rPr>
          <w:lang w:val="en-US"/>
        </w:rPr>
      </w:pPr>
      <w:r>
        <w:rPr>
          <w:rStyle w:val="FootnoteReference"/>
        </w:rPr>
        <w:footnoteRef/>
      </w:r>
      <w:r>
        <w:tab/>
        <w:t>Ibid 49.</w:t>
      </w:r>
    </w:p>
  </w:footnote>
  <w:footnote w:id="516">
    <w:p w14:paraId="5433AA9E" w14:textId="12311C22" w:rsidR="00EE78D8" w:rsidRDefault="00EE78D8">
      <w:pPr>
        <w:pStyle w:val="FootnoteText"/>
      </w:pPr>
      <w:r>
        <w:rPr>
          <w:rStyle w:val="FootnoteReference"/>
        </w:rPr>
        <w:footnoteRef/>
      </w:r>
      <w:r>
        <w:tab/>
        <w:t>See ibid</w:t>
      </w:r>
      <w:r>
        <w:rPr>
          <w:i/>
        </w:rPr>
        <w:t xml:space="preserve"> </w:t>
      </w:r>
      <w:r>
        <w:t>44–49.</w:t>
      </w:r>
    </w:p>
  </w:footnote>
  <w:footnote w:id="517">
    <w:p w14:paraId="45CDA20D" w14:textId="695A11E4" w:rsidR="00EE78D8" w:rsidRDefault="00EE78D8" w:rsidP="009926C4">
      <w:pPr>
        <w:pStyle w:val="FootnoteText"/>
      </w:pPr>
      <w:r>
        <w:rPr>
          <w:rStyle w:val="FootnoteReference"/>
        </w:rPr>
        <w:footnoteRef/>
      </w:r>
      <w:r>
        <w:tab/>
        <w:t xml:space="preserve">NSWLRC, </w:t>
      </w:r>
      <w:r>
        <w:rPr>
          <w:lang w:val="en-US"/>
        </w:rPr>
        <w:t xml:space="preserve">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w:t>
      </w:r>
      <w:r>
        <w:t xml:space="preserve"> 60.</w:t>
      </w:r>
    </w:p>
  </w:footnote>
  <w:footnote w:id="518">
    <w:p w14:paraId="7CCE958D" w14:textId="05501BE0" w:rsidR="00EE78D8" w:rsidRDefault="00EE78D8" w:rsidP="009926C4">
      <w:pPr>
        <w:pStyle w:val="FootnoteText"/>
      </w:pPr>
      <w:r>
        <w:rPr>
          <w:rStyle w:val="FootnoteReference"/>
        </w:rPr>
        <w:footnoteRef/>
      </w:r>
      <w:r>
        <w:tab/>
        <w:t>Ibid.</w:t>
      </w:r>
    </w:p>
  </w:footnote>
  <w:footnote w:id="519">
    <w:p w14:paraId="15E07F1C" w14:textId="5BC3B708" w:rsidR="00EE78D8" w:rsidRDefault="00EE78D8">
      <w:pPr>
        <w:pStyle w:val="FootnoteText"/>
      </w:pPr>
      <w:r>
        <w:rPr>
          <w:rStyle w:val="FootnoteReference"/>
        </w:rPr>
        <w:footnoteRef/>
      </w:r>
      <w:r>
        <w:tab/>
        <w:t xml:space="preserve">See VLRC, above n </w:t>
      </w:r>
      <w:r>
        <w:fldChar w:fldCharType="begin"/>
      </w:r>
      <w:r>
        <w:instrText xml:space="preserve"> NOTEREF _Ref534978514 \h </w:instrText>
      </w:r>
      <w:r>
        <w:fldChar w:fldCharType="separate"/>
      </w:r>
      <w:r w:rsidR="001F209C">
        <w:t>24</w:t>
      </w:r>
      <w:r>
        <w:fldChar w:fldCharType="end"/>
      </w:r>
      <w:r>
        <w:t>, 114, Recommendation 24.</w:t>
      </w:r>
    </w:p>
  </w:footnote>
  <w:footnote w:id="520">
    <w:p w14:paraId="125C741C" w14:textId="4FC40778" w:rsidR="00EE78D8" w:rsidRDefault="00EE78D8">
      <w:pPr>
        <w:pStyle w:val="FootnoteText"/>
      </w:pPr>
      <w:r>
        <w:rPr>
          <w:rStyle w:val="FootnoteReference"/>
        </w:rPr>
        <w:footnoteRef/>
      </w:r>
      <w:r>
        <w:tab/>
        <w:t>Ibid 114–115.</w:t>
      </w:r>
    </w:p>
  </w:footnote>
  <w:footnote w:id="521">
    <w:p w14:paraId="27DA2C9E" w14:textId="3C41584A" w:rsidR="00EE78D8" w:rsidRPr="0044239A" w:rsidRDefault="00EE78D8">
      <w:pPr>
        <w:pStyle w:val="FootnoteText"/>
      </w:pPr>
      <w:r>
        <w:rPr>
          <w:rStyle w:val="FootnoteReference"/>
        </w:rPr>
        <w:footnoteRef/>
      </w:r>
      <w:r>
        <w:tab/>
        <w:t xml:space="preserve">D Bourget, ‘Forensic Considerations of Substance-Induced Psychosis’ (2013) 41 </w:t>
      </w:r>
      <w:r>
        <w:rPr>
          <w:i/>
        </w:rPr>
        <w:t xml:space="preserve">Journal of American Academy of Psychiatry and the Law </w:t>
      </w:r>
      <w:r>
        <w:t>168, 168.</w:t>
      </w:r>
    </w:p>
  </w:footnote>
  <w:footnote w:id="522">
    <w:p w14:paraId="7F2B6F42" w14:textId="1BF0981C" w:rsidR="00EE78D8" w:rsidRDefault="00EE78D8">
      <w:pPr>
        <w:pStyle w:val="FootnoteText"/>
      </w:pPr>
      <w:r>
        <w:rPr>
          <w:rStyle w:val="FootnoteReference"/>
        </w:rPr>
        <w:footnoteRef/>
      </w:r>
      <w:r>
        <w:tab/>
        <w:t xml:space="preserve">VLRC, above n </w:t>
      </w:r>
      <w:r>
        <w:fldChar w:fldCharType="begin"/>
      </w:r>
      <w:r>
        <w:instrText xml:space="preserve"> NOTEREF _Ref534978514 \h </w:instrText>
      </w:r>
      <w:r>
        <w:fldChar w:fldCharType="separate"/>
      </w:r>
      <w:r w:rsidR="001F209C">
        <w:t>24</w:t>
      </w:r>
      <w:r>
        <w:fldChar w:fldCharType="end"/>
      </w:r>
      <w:r>
        <w:t>, 114.</w:t>
      </w:r>
    </w:p>
  </w:footnote>
  <w:footnote w:id="523">
    <w:p w14:paraId="5C505889" w14:textId="72204222" w:rsidR="00EE78D8" w:rsidRDefault="00EE78D8">
      <w:pPr>
        <w:pStyle w:val="FootnoteText"/>
      </w:pPr>
      <w:r>
        <w:rPr>
          <w:rStyle w:val="FootnoteReference"/>
        </w:rPr>
        <w:footnoteRef/>
      </w:r>
      <w:r>
        <w:tab/>
        <w:t xml:space="preserve">Section 269A(1) </w:t>
      </w:r>
      <w:r w:rsidRPr="00A16AAC">
        <w:rPr>
          <w:i/>
          <w:lang w:eastAsia="en-AU"/>
        </w:rPr>
        <w:t xml:space="preserve">Criminal Law Consolidation Act 1935 </w:t>
      </w:r>
      <w:r w:rsidRPr="00A16AAC">
        <w:rPr>
          <w:lang w:eastAsia="en-AU"/>
        </w:rPr>
        <w:t>(SA)</w:t>
      </w:r>
      <w:r>
        <w:t>.</w:t>
      </w:r>
    </w:p>
  </w:footnote>
  <w:footnote w:id="524">
    <w:p w14:paraId="6C7359B3" w14:textId="4534AB75" w:rsidR="00EE78D8" w:rsidRPr="00C6745B" w:rsidRDefault="00EE78D8" w:rsidP="00CA44C2">
      <w:pPr>
        <w:pStyle w:val="FootnoteText"/>
        <w:rPr>
          <w:lang w:val="en-US"/>
        </w:rPr>
      </w:pPr>
      <w:r>
        <w:rPr>
          <w:rStyle w:val="FootnoteReference"/>
        </w:rPr>
        <w:footnoteRef/>
      </w:r>
      <w:r>
        <w:tab/>
      </w:r>
      <w:r>
        <w:rPr>
          <w:lang w:val="en-US"/>
        </w:rPr>
        <w:t xml:space="preserve">It is noted that </w:t>
      </w:r>
      <w:r>
        <w:t xml:space="preserve">was </w:t>
      </w:r>
      <w:r>
        <w:rPr>
          <w:lang w:val="en-US"/>
        </w:rPr>
        <w:t xml:space="preserve">the </w:t>
      </w:r>
      <w:r>
        <w:rPr>
          <w:i/>
          <w:lang w:val="en-US"/>
        </w:rPr>
        <w:t xml:space="preserve">Crimes (Mental Impairment and Unfitness to be Tried) Amendment Bill 2016 </w:t>
      </w:r>
      <w:r>
        <w:rPr>
          <w:lang w:val="en-US"/>
        </w:rPr>
        <w:t>(Vic) cl 5 defined mental impairment to exclude the case of a person whose mental functioning is impaired solely as the result of drugs or alcohol. This legislation has not been passed by the Victorian Parliament.</w:t>
      </w:r>
    </w:p>
  </w:footnote>
  <w:footnote w:id="525">
    <w:p w14:paraId="1A5D3E2A" w14:textId="6B1E32B3" w:rsidR="00EE78D8" w:rsidRDefault="00EE78D8" w:rsidP="00FC511A">
      <w:pPr>
        <w:pStyle w:val="FootnoteText"/>
      </w:pPr>
      <w:r>
        <w:rPr>
          <w:rStyle w:val="FootnoteReference"/>
        </w:rPr>
        <w:footnoteRef/>
      </w:r>
      <w:r>
        <w:tab/>
        <w:t xml:space="preserve">SASAC, </w:t>
      </w:r>
      <w:r w:rsidRPr="005441A0">
        <w:t xml:space="preserve">above n </w:t>
      </w:r>
      <w:r w:rsidRPr="005441A0">
        <w:fldChar w:fldCharType="begin"/>
      </w:r>
      <w:r w:rsidRPr="005441A0">
        <w:instrText xml:space="preserve"> NOTEREF _Ref535489918 \h </w:instrText>
      </w:r>
      <w:r>
        <w:instrText xml:space="preserve"> \* MERGEFORMAT </w:instrText>
      </w:r>
      <w:r w:rsidRPr="005441A0">
        <w:fldChar w:fldCharType="separate"/>
      </w:r>
      <w:r w:rsidR="001F209C">
        <w:t>388</w:t>
      </w:r>
      <w:r w:rsidRPr="005441A0">
        <w:fldChar w:fldCharType="end"/>
      </w:r>
      <w:r w:rsidRPr="005441A0">
        <w:t>,</w:t>
      </w:r>
      <w:r>
        <w:t xml:space="preserve"> 97 Recommendation 11.</w:t>
      </w:r>
    </w:p>
  </w:footnote>
  <w:footnote w:id="526">
    <w:p w14:paraId="0177FC1C" w14:textId="4DE91F7E" w:rsidR="00EE78D8" w:rsidRPr="005168F7" w:rsidRDefault="00EE78D8" w:rsidP="001948C7">
      <w:pPr>
        <w:pStyle w:val="FootnoteText"/>
        <w:rPr>
          <w:lang w:val="en-US"/>
        </w:rPr>
      </w:pPr>
      <w:r>
        <w:rPr>
          <w:rStyle w:val="FootnoteReference"/>
        </w:rPr>
        <w:footnoteRef/>
      </w:r>
      <w:r>
        <w:tab/>
        <w:t xml:space="preserve">Simester et al, above n </w:t>
      </w:r>
      <w:r>
        <w:fldChar w:fldCharType="begin"/>
      </w:r>
      <w:r>
        <w:instrText xml:space="preserve"> NOTEREF _Ref535329003 \h </w:instrText>
      </w:r>
      <w:r>
        <w:fldChar w:fldCharType="separate"/>
      </w:r>
      <w:r w:rsidR="001F209C">
        <w:t>353</w:t>
      </w:r>
      <w:r>
        <w:fldChar w:fldCharType="end"/>
      </w:r>
      <w:r w:rsidRPr="00396D12">
        <w:t xml:space="preserve">, </w:t>
      </w:r>
      <w:r w:rsidRPr="00396D12">
        <w:rPr>
          <w:lang w:val="en-US"/>
        </w:rPr>
        <w:t>713.</w:t>
      </w:r>
      <w:r>
        <w:rPr>
          <w:lang w:val="en-US"/>
        </w:rPr>
        <w:t xml:space="preserve"> It is noted that in England, the second limb of the insanity defence has been interpreted as referring to ‘legally’ wrong rather than morally wrong and this had significantly restricted the operation of the defence, see </w:t>
      </w:r>
      <w:r>
        <w:t xml:space="preserve">Law Commission of England and Wales, above n </w:t>
      </w:r>
      <w:r>
        <w:fldChar w:fldCharType="begin"/>
      </w:r>
      <w:r>
        <w:instrText xml:space="preserve"> NOTEREF _Ref535329182 \h </w:instrText>
      </w:r>
      <w:r>
        <w:fldChar w:fldCharType="separate"/>
      </w:r>
      <w:r w:rsidR="001F209C">
        <w:t>339</w:t>
      </w:r>
      <w:r>
        <w:fldChar w:fldCharType="end"/>
      </w:r>
      <w:r>
        <w:t xml:space="preserve">, </w:t>
      </w:r>
      <w:r>
        <w:rPr>
          <w:lang w:val="en-US"/>
        </w:rPr>
        <w:t>10–11.</w:t>
      </w:r>
    </w:p>
  </w:footnote>
  <w:footnote w:id="527">
    <w:p w14:paraId="0184F13B" w14:textId="17563C4F" w:rsidR="00EE78D8" w:rsidRDefault="00EE78D8">
      <w:pPr>
        <w:pStyle w:val="FootnoteText"/>
      </w:pPr>
      <w:r>
        <w:rPr>
          <w:rStyle w:val="FootnoteReference"/>
        </w:rPr>
        <w:footnoteRef/>
      </w:r>
      <w:r>
        <w:tab/>
        <w:t xml:space="preserve">Law Commission of England and Wales, above n </w:t>
      </w:r>
      <w:r>
        <w:fldChar w:fldCharType="begin"/>
      </w:r>
      <w:r>
        <w:instrText xml:space="preserve"> NOTEREF _Ref535329182 \h </w:instrText>
      </w:r>
      <w:r>
        <w:fldChar w:fldCharType="separate"/>
      </w:r>
      <w:r w:rsidR="001F209C">
        <w:t>339</w:t>
      </w:r>
      <w:r>
        <w:fldChar w:fldCharType="end"/>
      </w:r>
      <w:r>
        <w:t>, 10.</w:t>
      </w:r>
    </w:p>
  </w:footnote>
  <w:footnote w:id="528">
    <w:p w14:paraId="75A98450" w14:textId="036F7D78" w:rsidR="00EE78D8" w:rsidRPr="005B3F85" w:rsidRDefault="00EE78D8">
      <w:pPr>
        <w:pStyle w:val="FootnoteText"/>
      </w:pPr>
      <w:r>
        <w:rPr>
          <w:rStyle w:val="FootnoteReference"/>
        </w:rPr>
        <w:footnoteRef/>
      </w:r>
      <w:r>
        <w:tab/>
        <w:t xml:space="preserve">See Yeo, above n </w:t>
      </w:r>
      <w:r>
        <w:fldChar w:fldCharType="begin"/>
      </w:r>
      <w:r>
        <w:instrText xml:space="preserve"> NOTEREF _Ref535329274 \h </w:instrText>
      </w:r>
      <w:r>
        <w:fldChar w:fldCharType="separate"/>
      </w:r>
      <w:r w:rsidR="001F209C">
        <w:t>420</w:t>
      </w:r>
      <w:r>
        <w:fldChar w:fldCharType="end"/>
      </w:r>
      <w:r>
        <w:t xml:space="preserve">, 12; Bronitt and McSherry, </w:t>
      </w:r>
      <w:r w:rsidRPr="00D0550F">
        <w:t>above n</w:t>
      </w:r>
      <w:r>
        <w:rPr>
          <w:i/>
        </w:rPr>
        <w:t xml:space="preserve"> </w:t>
      </w:r>
      <w:r>
        <w:fldChar w:fldCharType="begin"/>
      </w:r>
      <w:r>
        <w:instrText xml:space="preserve"> NOTEREF _Ref535171610 \h </w:instrText>
      </w:r>
      <w:r>
        <w:fldChar w:fldCharType="separate"/>
      </w:r>
      <w:r w:rsidR="001F209C">
        <w:t>327</w:t>
      </w:r>
      <w:r>
        <w:fldChar w:fldCharType="end"/>
      </w:r>
      <w:r>
        <w:t>, 246.</w:t>
      </w:r>
    </w:p>
  </w:footnote>
  <w:footnote w:id="529">
    <w:p w14:paraId="6ED240A5" w14:textId="3689FE15" w:rsidR="00EE78D8" w:rsidRPr="00677471" w:rsidRDefault="00EE78D8">
      <w:pPr>
        <w:pStyle w:val="FootnoteText"/>
        <w:rPr>
          <w:lang w:val="en-US"/>
        </w:rPr>
      </w:pPr>
      <w:r>
        <w:rPr>
          <w:rStyle w:val="FootnoteReference"/>
        </w:rPr>
        <w:footnoteRef/>
      </w:r>
      <w:r>
        <w:tab/>
      </w:r>
      <w:r w:rsidRPr="00E87175">
        <w:rPr>
          <w:lang w:val="en-US"/>
        </w:rPr>
        <w:t xml:space="preserve">See Table </w:t>
      </w:r>
      <w:r>
        <w:rPr>
          <w:lang w:val="en-US"/>
        </w:rPr>
        <w:t>7.1.</w:t>
      </w:r>
    </w:p>
  </w:footnote>
  <w:footnote w:id="530">
    <w:p w14:paraId="5A7EDB25" w14:textId="48FE30D4" w:rsidR="00EE78D8" w:rsidRPr="006B2D21" w:rsidRDefault="00EE78D8">
      <w:pPr>
        <w:pStyle w:val="FootnoteText"/>
        <w:rPr>
          <w:lang w:val="en-US"/>
        </w:rPr>
      </w:pPr>
      <w:r>
        <w:rPr>
          <w:rStyle w:val="FootnoteReference"/>
        </w:rPr>
        <w:footnoteRef/>
      </w:r>
      <w:r>
        <w:tab/>
        <w:t xml:space="preserve">NSWLRC, above n </w:t>
      </w:r>
      <w:r>
        <w:fldChar w:fldCharType="begin"/>
      </w:r>
      <w:r>
        <w:instrText xml:space="preserve"> NOTEREF _Ref534982374 \h </w:instrText>
      </w:r>
      <w:r>
        <w:fldChar w:fldCharType="separate"/>
      </w:r>
      <w:r w:rsidR="001F209C">
        <w:t>55</w:t>
      </w:r>
      <w:r>
        <w:fldChar w:fldCharType="end"/>
      </w:r>
      <w:r>
        <w:t xml:space="preserve">, </w:t>
      </w:r>
      <w:r>
        <w:rPr>
          <w:lang w:val="en-US"/>
        </w:rPr>
        <w:t>64.</w:t>
      </w:r>
    </w:p>
  </w:footnote>
  <w:footnote w:id="531">
    <w:p w14:paraId="259EA6B6" w14:textId="2BF66E73" w:rsidR="00EE78D8" w:rsidRPr="00677471" w:rsidRDefault="00EE78D8">
      <w:pPr>
        <w:pStyle w:val="FootnoteText"/>
        <w:rPr>
          <w:lang w:val="en-US"/>
        </w:rPr>
      </w:pPr>
      <w:r>
        <w:rPr>
          <w:rStyle w:val="FootnoteReference"/>
        </w:rPr>
        <w:footnoteRef/>
      </w:r>
      <w:r>
        <w:tab/>
      </w:r>
      <w:r>
        <w:rPr>
          <w:lang w:val="en-US"/>
        </w:rPr>
        <w:t xml:space="preserve">See </w:t>
      </w:r>
      <w:r w:rsidRPr="00E87175">
        <w:rPr>
          <w:lang w:val="en-US"/>
        </w:rPr>
        <w:t xml:space="preserve">Table </w:t>
      </w:r>
      <w:r>
        <w:rPr>
          <w:lang w:val="en-US"/>
        </w:rPr>
        <w:t>7.1.</w:t>
      </w:r>
    </w:p>
  </w:footnote>
  <w:footnote w:id="532">
    <w:p w14:paraId="20DA5EE2" w14:textId="65EE55CB" w:rsidR="00EE78D8" w:rsidRPr="00955922" w:rsidRDefault="00EE78D8">
      <w:pPr>
        <w:pStyle w:val="FootnoteText"/>
        <w:rPr>
          <w:lang w:val="en-US"/>
        </w:rPr>
      </w:pPr>
      <w:r>
        <w:rPr>
          <w:rStyle w:val="FootnoteReference"/>
        </w:rPr>
        <w:footnoteRef/>
      </w:r>
      <w:r>
        <w:tab/>
        <w:t xml:space="preserve">Yeo, above n </w:t>
      </w:r>
      <w:r>
        <w:fldChar w:fldCharType="begin"/>
      </w:r>
      <w:r>
        <w:instrText xml:space="preserve"> NOTEREF _Ref535329274 \h </w:instrText>
      </w:r>
      <w:r>
        <w:fldChar w:fldCharType="separate"/>
      </w:r>
      <w:r w:rsidR="001F209C">
        <w:t>420</w:t>
      </w:r>
      <w:r>
        <w:fldChar w:fldCharType="end"/>
      </w:r>
      <w:r>
        <w:t>, 10.</w:t>
      </w:r>
    </w:p>
  </w:footnote>
  <w:footnote w:id="533">
    <w:p w14:paraId="2DB752C8" w14:textId="512B756F" w:rsidR="00EE78D8" w:rsidRPr="00955922"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_Ref534979326 \h </w:instrText>
      </w:r>
      <w:r>
        <w:rPr>
          <w:lang w:val="en-US"/>
        </w:rPr>
      </w:r>
      <w:r>
        <w:rPr>
          <w:lang w:val="en-US"/>
        </w:rPr>
        <w:fldChar w:fldCharType="separate"/>
      </w:r>
      <w:r w:rsidR="001F209C">
        <w:rPr>
          <w:lang w:val="en-US"/>
        </w:rPr>
        <w:t>26</w:t>
      </w:r>
      <w:r>
        <w:rPr>
          <w:lang w:val="en-US"/>
        </w:rPr>
        <w:fldChar w:fldCharType="end"/>
      </w:r>
      <w:r>
        <w:rPr>
          <w:lang w:val="en-US"/>
        </w:rPr>
        <w:t>, 100.</w:t>
      </w:r>
    </w:p>
  </w:footnote>
  <w:footnote w:id="534">
    <w:p w14:paraId="5361C049" w14:textId="3DB49084" w:rsidR="00EE78D8" w:rsidRPr="006171C6" w:rsidRDefault="00EE78D8">
      <w:pPr>
        <w:pStyle w:val="FootnoteText"/>
        <w:rPr>
          <w:lang w:val="en-US"/>
        </w:rPr>
      </w:pPr>
      <w:r>
        <w:rPr>
          <w:rStyle w:val="FootnoteReference"/>
        </w:rPr>
        <w:footnoteRef/>
      </w:r>
      <w:r>
        <w:tab/>
      </w:r>
      <w:r w:rsidRPr="008413B1">
        <w:t>S Allnutt, A Samuels and C O’Drisco</w:t>
      </w:r>
      <w:r>
        <w:t>ll</w:t>
      </w:r>
      <w:r w:rsidRPr="008413B1">
        <w:t>, ‘The Insanity Defence: from Wild Beasts to M’Naghten’ (200</w:t>
      </w:r>
      <w:r>
        <w:t>7</w:t>
      </w:r>
      <w:r w:rsidRPr="008413B1">
        <w:t xml:space="preserve">) 15(4) </w:t>
      </w:r>
      <w:r w:rsidRPr="008413B1">
        <w:rPr>
          <w:i/>
        </w:rPr>
        <w:t>Australasian Psychiatry</w:t>
      </w:r>
      <w:r w:rsidRPr="008413B1">
        <w:t xml:space="preserve"> 292</w:t>
      </w:r>
      <w:r>
        <w:t>, 296.</w:t>
      </w:r>
    </w:p>
  </w:footnote>
  <w:footnote w:id="535">
    <w:p w14:paraId="2600D1A1" w14:textId="274DE5B6" w:rsidR="00EE78D8" w:rsidRPr="006171C6" w:rsidRDefault="00EE78D8">
      <w:pPr>
        <w:pStyle w:val="FootnoteText"/>
        <w:rPr>
          <w:lang w:val="en-US"/>
        </w:rPr>
      </w:pPr>
      <w:r>
        <w:rPr>
          <w:rStyle w:val="FootnoteReference"/>
        </w:rPr>
        <w:footnoteRef/>
      </w:r>
      <w:r>
        <w:tab/>
      </w:r>
      <w:r>
        <w:rPr>
          <w:lang w:val="en-US"/>
        </w:rPr>
        <w:t>Ibid.</w:t>
      </w:r>
    </w:p>
  </w:footnote>
  <w:footnote w:id="536">
    <w:p w14:paraId="4C72D960" w14:textId="7C552706" w:rsidR="00EE78D8" w:rsidRPr="003E0699" w:rsidRDefault="00EE78D8">
      <w:pPr>
        <w:pStyle w:val="FootnoteText"/>
        <w:rPr>
          <w:lang w:val="en-US"/>
        </w:rPr>
      </w:pPr>
      <w:r>
        <w:rPr>
          <w:rStyle w:val="FootnoteReference"/>
        </w:rPr>
        <w:footnoteRef/>
      </w:r>
      <w:r>
        <w:tab/>
      </w:r>
      <w:r>
        <w:rPr>
          <w:lang w:val="en-US"/>
        </w:rPr>
        <w:t>See [7.3.15].</w:t>
      </w:r>
    </w:p>
  </w:footnote>
  <w:footnote w:id="537">
    <w:p w14:paraId="29DB2934" w14:textId="6721F8F9" w:rsidR="00EE78D8" w:rsidRPr="00D767EA" w:rsidRDefault="00EE78D8" w:rsidP="003938B2">
      <w:pPr>
        <w:pStyle w:val="FootnoteText"/>
        <w:rPr>
          <w:lang w:val="en-US"/>
        </w:rPr>
      </w:pPr>
      <w:r>
        <w:rPr>
          <w:rStyle w:val="FootnoteReference"/>
        </w:rPr>
        <w:footnoteRef/>
      </w:r>
      <w:r>
        <w:tab/>
      </w:r>
      <w:r w:rsidRPr="0042002A">
        <w:rPr>
          <w:lang w:val="en-US"/>
        </w:rPr>
        <w:t xml:space="preserve">See Table </w:t>
      </w:r>
      <w:r>
        <w:rPr>
          <w:lang w:val="en-US"/>
        </w:rPr>
        <w:t>7.1.</w:t>
      </w:r>
    </w:p>
  </w:footnote>
  <w:footnote w:id="538">
    <w:p w14:paraId="0E879614" w14:textId="7374261D" w:rsidR="00EE78D8" w:rsidRDefault="00EE78D8">
      <w:pPr>
        <w:pStyle w:val="FootnoteText"/>
      </w:pPr>
      <w:r>
        <w:rPr>
          <w:rStyle w:val="FootnoteReference"/>
        </w:rPr>
        <w:footnoteRef/>
      </w:r>
      <w:r>
        <w:tab/>
        <w:t xml:space="preserve">Allnutt, </w:t>
      </w:r>
      <w:r w:rsidRPr="008413B1">
        <w:t>Samuels and O’Drisco</w:t>
      </w:r>
      <w:r>
        <w:t xml:space="preserve">ll, above n </w:t>
      </w:r>
      <w:r>
        <w:fldChar w:fldCharType="begin"/>
      </w:r>
      <w:r>
        <w:instrText xml:space="preserve"> NOTEREF _Ref535488329 \h </w:instrText>
      </w:r>
      <w:r>
        <w:fldChar w:fldCharType="separate"/>
      </w:r>
      <w:r w:rsidR="001F209C">
        <w:t>534</w:t>
      </w:r>
      <w:r>
        <w:fldChar w:fldCharType="end"/>
      </w:r>
      <w:r>
        <w:t>, 296–297.</w:t>
      </w:r>
    </w:p>
  </w:footnote>
  <w:footnote w:id="539">
    <w:p w14:paraId="4C9B7385" w14:textId="41420F60" w:rsidR="00EE78D8" w:rsidRDefault="00EE78D8">
      <w:pPr>
        <w:pStyle w:val="FootnoteText"/>
      </w:pPr>
      <w:r>
        <w:rPr>
          <w:rStyle w:val="FootnoteReference"/>
        </w:rPr>
        <w:footnoteRef/>
      </w:r>
      <w:r>
        <w:tab/>
      </w:r>
      <w:r w:rsidRPr="00A16AAC">
        <w:t>Bronitt and McSherry</w:t>
      </w:r>
      <w:r>
        <w:t xml:space="preserve">, above n </w:t>
      </w:r>
      <w:r>
        <w:fldChar w:fldCharType="begin"/>
      </w:r>
      <w:r>
        <w:instrText xml:space="preserve"> NOTEREF _Ref535171610 \h </w:instrText>
      </w:r>
      <w:r>
        <w:fldChar w:fldCharType="separate"/>
      </w:r>
      <w:r w:rsidR="001F209C">
        <w:t>327</w:t>
      </w:r>
      <w:r>
        <w:fldChar w:fldCharType="end"/>
      </w:r>
      <w:r>
        <w:t>, 250.</w:t>
      </w:r>
    </w:p>
  </w:footnote>
  <w:footnote w:id="540">
    <w:p w14:paraId="295A7D27" w14:textId="333BE1C3" w:rsidR="00EE78D8" w:rsidRPr="00557311" w:rsidRDefault="00EE78D8" w:rsidP="00557311">
      <w:pPr>
        <w:pStyle w:val="FootnoteText"/>
      </w:pPr>
      <w:r w:rsidRPr="00557311">
        <w:rPr>
          <w:rStyle w:val="FootnoteReference"/>
        </w:rPr>
        <w:footnoteRef/>
      </w:r>
      <w:r w:rsidRPr="00557311">
        <w:rPr>
          <w:rStyle w:val="FootnoteReference"/>
        </w:rPr>
        <w:tab/>
      </w:r>
      <w:r w:rsidRPr="00557311">
        <w:t>A Kenny</w:t>
      </w:r>
      <w:r>
        <w:t>,</w:t>
      </w:r>
      <w:r w:rsidRPr="00557311">
        <w:t xml:space="preserve"> ‘The Psychiatric Expert in Court’ (1984) 14 </w:t>
      </w:r>
      <w:r w:rsidRPr="00557311">
        <w:rPr>
          <w:i/>
        </w:rPr>
        <w:t>Psychological Medicine</w:t>
      </w:r>
      <w:r w:rsidRPr="00557311">
        <w:t xml:space="preserve"> 291, 299 quoted in Allnutt</w:t>
      </w:r>
      <w:r>
        <w:t xml:space="preserve">, </w:t>
      </w:r>
      <w:r w:rsidRPr="008413B1">
        <w:t>Samuels and O’Drisco</w:t>
      </w:r>
      <w:r>
        <w:t xml:space="preserve">ll, above n </w:t>
      </w:r>
      <w:r>
        <w:fldChar w:fldCharType="begin"/>
      </w:r>
      <w:r>
        <w:instrText xml:space="preserve"> NOTEREF _Ref535488329 \h </w:instrText>
      </w:r>
      <w:r>
        <w:fldChar w:fldCharType="separate"/>
      </w:r>
      <w:r w:rsidR="001F209C">
        <w:t>534</w:t>
      </w:r>
      <w:r>
        <w:fldChar w:fldCharType="end"/>
      </w:r>
      <w:r w:rsidRPr="00557311">
        <w:t>, 297.</w:t>
      </w:r>
    </w:p>
  </w:footnote>
  <w:footnote w:id="541">
    <w:p w14:paraId="79E82974" w14:textId="01B12B50" w:rsidR="00EE78D8" w:rsidRPr="00FB0031" w:rsidRDefault="00EE78D8">
      <w:pPr>
        <w:pStyle w:val="FootnoteText"/>
        <w:rPr>
          <w:lang w:val="en-US"/>
        </w:rPr>
      </w:pPr>
      <w:r>
        <w:rPr>
          <w:rStyle w:val="FootnoteReference"/>
        </w:rPr>
        <w:footnoteRef/>
      </w:r>
      <w:r>
        <w:tab/>
      </w:r>
      <w:r>
        <w:rPr>
          <w:lang w:val="en-US"/>
        </w:rPr>
        <w:t>Table 7.1.</w:t>
      </w:r>
    </w:p>
  </w:footnote>
  <w:footnote w:id="542">
    <w:p w14:paraId="7F8C4650" w14:textId="0769EA4F" w:rsidR="00EE78D8" w:rsidRPr="00FB0031" w:rsidRDefault="00EE78D8">
      <w:pPr>
        <w:pStyle w:val="FootnoteText"/>
        <w:rPr>
          <w:lang w:val="en-US"/>
        </w:rPr>
      </w:pPr>
      <w:r>
        <w:rPr>
          <w:rStyle w:val="FootnoteReference"/>
        </w:rPr>
        <w:footnoteRef/>
      </w:r>
      <w:r>
        <w:tab/>
      </w:r>
      <w:r>
        <w:rPr>
          <w:lang w:val="en-US"/>
        </w:rPr>
        <w:t xml:space="preserve">SASAC, above n </w:t>
      </w:r>
      <w:r>
        <w:rPr>
          <w:lang w:val="en-US"/>
        </w:rPr>
        <w:fldChar w:fldCharType="begin"/>
      </w:r>
      <w:r>
        <w:rPr>
          <w:lang w:val="en-US"/>
        </w:rPr>
        <w:instrText xml:space="preserve"> NOTEREF _Ref535489918 \h </w:instrText>
      </w:r>
      <w:r>
        <w:rPr>
          <w:lang w:val="en-US"/>
        </w:rPr>
      </w:r>
      <w:r>
        <w:rPr>
          <w:lang w:val="en-US"/>
        </w:rPr>
        <w:fldChar w:fldCharType="separate"/>
      </w:r>
      <w:r w:rsidR="001F209C">
        <w:rPr>
          <w:lang w:val="en-US"/>
        </w:rPr>
        <w:t>388</w:t>
      </w:r>
      <w:r>
        <w:rPr>
          <w:lang w:val="en-US"/>
        </w:rPr>
        <w:fldChar w:fldCharType="end"/>
      </w:r>
      <w:r>
        <w:rPr>
          <w:lang w:val="en-US"/>
        </w:rPr>
        <w:t>, 47.</w:t>
      </w:r>
    </w:p>
  </w:footnote>
  <w:footnote w:id="543">
    <w:p w14:paraId="39B3F377" w14:textId="14A7FD5F" w:rsidR="00EE78D8" w:rsidRPr="00A318AA" w:rsidRDefault="00EE78D8">
      <w:pPr>
        <w:pStyle w:val="FootnoteText"/>
        <w:rPr>
          <w:lang w:val="en-US"/>
        </w:rPr>
      </w:pPr>
      <w:r>
        <w:rPr>
          <w:rStyle w:val="FootnoteReference"/>
        </w:rPr>
        <w:footnoteRef/>
      </w:r>
      <w:r>
        <w:tab/>
      </w:r>
      <w:r>
        <w:rPr>
          <w:lang w:val="en-US"/>
        </w:rPr>
        <w:t>Ibid 48.</w:t>
      </w:r>
    </w:p>
  </w:footnote>
  <w:footnote w:id="544">
    <w:p w14:paraId="488A48E9" w14:textId="0BAFDD90" w:rsidR="00EE78D8" w:rsidRPr="00FB0031" w:rsidRDefault="00EE78D8">
      <w:pPr>
        <w:pStyle w:val="FootnoteText"/>
        <w:rPr>
          <w:lang w:val="en-US"/>
        </w:rPr>
      </w:pPr>
      <w:r>
        <w:rPr>
          <w:rStyle w:val="FootnoteReference"/>
        </w:rPr>
        <w:footnoteRef/>
      </w:r>
      <w:r>
        <w:tab/>
      </w:r>
      <w:r>
        <w:rPr>
          <w:lang w:val="en-US"/>
        </w:rPr>
        <w:t>Ibid 47.</w:t>
      </w:r>
    </w:p>
  </w:footnote>
  <w:footnote w:id="545">
    <w:p w14:paraId="0EC2AA84" w14:textId="2FB81F4A" w:rsidR="00EE78D8" w:rsidRDefault="00EE78D8" w:rsidP="00F14D63">
      <w:pPr>
        <w:pStyle w:val="FootnoteText"/>
      </w:pPr>
      <w:r>
        <w:rPr>
          <w:rStyle w:val="FootnoteReference"/>
        </w:rPr>
        <w:footnoteRef/>
      </w:r>
      <w:r>
        <w:tab/>
        <w:t xml:space="preserve">Law Commission of England and Wales, </w:t>
      </w:r>
      <w:r w:rsidRPr="00645C81">
        <w:t xml:space="preserve">above n </w:t>
      </w:r>
      <w:r w:rsidRPr="00645C81">
        <w:fldChar w:fldCharType="begin"/>
      </w:r>
      <w:r w:rsidRPr="00645C81">
        <w:instrText xml:space="preserve"> NOTEREF _Ref535329182 \h </w:instrText>
      </w:r>
      <w:r>
        <w:instrText xml:space="preserve"> \* MERGEFORMAT </w:instrText>
      </w:r>
      <w:r w:rsidRPr="00645C81">
        <w:fldChar w:fldCharType="separate"/>
      </w:r>
      <w:r w:rsidR="001F209C">
        <w:t>339</w:t>
      </w:r>
      <w:r w:rsidRPr="00645C81">
        <w:fldChar w:fldCharType="end"/>
      </w:r>
      <w:r w:rsidRPr="00645C81">
        <w:t xml:space="preserve">, </w:t>
      </w:r>
      <w:r>
        <w:t>225.</w:t>
      </w:r>
    </w:p>
  </w:footnote>
  <w:footnote w:id="546">
    <w:p w14:paraId="5D144E36" w14:textId="07E57245" w:rsidR="00EE78D8" w:rsidRPr="00306C9F" w:rsidRDefault="00EE78D8" w:rsidP="00F14D63">
      <w:pPr>
        <w:pStyle w:val="FootnoteText"/>
      </w:pPr>
      <w:r>
        <w:rPr>
          <w:rStyle w:val="FootnoteReference"/>
        </w:rPr>
        <w:footnoteRef/>
      </w:r>
      <w:r>
        <w:tab/>
        <w:t xml:space="preserve">Ibid 2. As discussed below, the Law Commission has proposed a radical change to the law. However, most reform projects have made recommendations in relation to aspects of the law but essentially retained the </w:t>
      </w:r>
      <w:r>
        <w:rPr>
          <w:i/>
        </w:rPr>
        <w:t xml:space="preserve">McNaghten </w:t>
      </w:r>
      <w:r>
        <w:t>approach. For example, in New Zealand it was observed that the defence of insanity is ‘troubled in principle, and has occasionally produced off or anomalous results in practice. Furthermore, the fact that the insanity defence is not very often relied upon is not in itself a reason for failing to formulate morally and legally sound criteria for it’: NZLC,</w:t>
      </w:r>
      <w:r w:rsidRPr="00E80036">
        <w:t xml:space="preserve"> </w:t>
      </w:r>
      <w:r>
        <w:t xml:space="preserve">above n </w:t>
      </w:r>
      <w:r>
        <w:fldChar w:fldCharType="begin"/>
      </w:r>
      <w:r>
        <w:instrText xml:space="preserve"> NOTEREF _Ref535342070 \h </w:instrText>
      </w:r>
      <w:r>
        <w:fldChar w:fldCharType="separate"/>
      </w:r>
      <w:r w:rsidR="001F209C">
        <w:t>440</w:t>
      </w:r>
      <w:r>
        <w:fldChar w:fldCharType="end"/>
      </w:r>
      <w:r>
        <w:t>, 29. However, despite the ‘not insignificant problems’ with the insanity defence, the NZLC did not recommend its reform: at 7.</w:t>
      </w:r>
    </w:p>
  </w:footnote>
  <w:footnote w:id="547">
    <w:p w14:paraId="6F0959A9" w14:textId="0615D59C" w:rsidR="00EE78D8" w:rsidRDefault="00EE78D8" w:rsidP="00F14D63">
      <w:pPr>
        <w:pStyle w:val="FootnoteText"/>
      </w:pPr>
      <w:r>
        <w:rPr>
          <w:rStyle w:val="FootnoteReference"/>
        </w:rPr>
        <w:footnoteRef/>
      </w:r>
      <w:r>
        <w:tab/>
        <w:t>Law Commission of England and Wales,</w:t>
      </w:r>
      <w:r w:rsidDel="000A723E">
        <w:t xml:space="preserve"> </w:t>
      </w:r>
      <w:r w:rsidRPr="00645C81">
        <w:t xml:space="preserve">above n </w:t>
      </w:r>
      <w:r w:rsidRPr="00645C81">
        <w:fldChar w:fldCharType="begin"/>
      </w:r>
      <w:r w:rsidRPr="00645C81">
        <w:instrText xml:space="preserve"> NOTEREF _Ref535329182 \h </w:instrText>
      </w:r>
      <w:r>
        <w:instrText xml:space="preserve"> \* MERGEFORMAT </w:instrText>
      </w:r>
      <w:r w:rsidRPr="00645C81">
        <w:fldChar w:fldCharType="separate"/>
      </w:r>
      <w:r w:rsidR="001F209C">
        <w:t>339</w:t>
      </w:r>
      <w:r w:rsidRPr="00645C81">
        <w:fldChar w:fldCharType="end"/>
      </w:r>
      <w:r>
        <w:t xml:space="preserve">, 18. </w:t>
      </w:r>
    </w:p>
  </w:footnote>
  <w:footnote w:id="548">
    <w:p w14:paraId="54C1A5C0" w14:textId="2203EA8F" w:rsidR="00EE78D8" w:rsidRDefault="00EE78D8" w:rsidP="00F14D63">
      <w:pPr>
        <w:pStyle w:val="FootnoteText"/>
      </w:pPr>
      <w:r>
        <w:rPr>
          <w:rStyle w:val="FootnoteReference"/>
        </w:rPr>
        <w:footnoteRef/>
      </w:r>
      <w:r>
        <w:tab/>
        <w:t xml:space="preserve">NSWLRC, above n </w:t>
      </w:r>
      <w:r>
        <w:fldChar w:fldCharType="begin"/>
      </w:r>
      <w:r>
        <w:instrText xml:space="preserve"> NOTEREF _Ref534982374 \h </w:instrText>
      </w:r>
      <w:r>
        <w:fldChar w:fldCharType="separate"/>
      </w:r>
      <w:r w:rsidR="001F209C">
        <w:t>55</w:t>
      </w:r>
      <w:r>
        <w:fldChar w:fldCharType="end"/>
      </w:r>
      <w:r>
        <w:t>, 46.</w:t>
      </w:r>
    </w:p>
  </w:footnote>
  <w:footnote w:id="549">
    <w:p w14:paraId="0C639B3A" w14:textId="0200D3CD" w:rsidR="00EE78D8" w:rsidRPr="001D356F" w:rsidRDefault="00EE78D8" w:rsidP="002D7597">
      <w:pPr>
        <w:pStyle w:val="FootnoteText"/>
      </w:pPr>
      <w:r>
        <w:rPr>
          <w:rStyle w:val="FootnoteReference"/>
        </w:rPr>
        <w:footnoteRef/>
      </w:r>
      <w:r>
        <w:tab/>
        <w:t xml:space="preserve">These difficulties were observed by the Law Commission of England and Wales, </w:t>
      </w:r>
      <w:r w:rsidRPr="00DE5420">
        <w:rPr>
          <w:i/>
        </w:rPr>
        <w:t xml:space="preserve">Insanity and Automatism: A </w:t>
      </w:r>
      <w:r>
        <w:rPr>
          <w:i/>
        </w:rPr>
        <w:t xml:space="preserve">Scoping Paper </w:t>
      </w:r>
      <w:r>
        <w:t>(2012)</w:t>
      </w:r>
      <w:r>
        <w:rPr>
          <w:i/>
        </w:rPr>
        <w:t xml:space="preserve"> </w:t>
      </w:r>
      <w:r>
        <w:t>8. The exception is where the offender has appealed their conviction on the basis of unsuccessful reliance on insanity.</w:t>
      </w:r>
    </w:p>
  </w:footnote>
  <w:footnote w:id="550">
    <w:p w14:paraId="0DA09D17" w14:textId="36747BD0" w:rsidR="00EE78D8" w:rsidRPr="006F3647" w:rsidRDefault="00EE78D8" w:rsidP="007C4FF1">
      <w:pPr>
        <w:pStyle w:val="FootnoteText"/>
        <w:rPr>
          <w:lang w:val="en-US"/>
        </w:rPr>
      </w:pPr>
      <w:r>
        <w:rPr>
          <w:rStyle w:val="FootnoteReference"/>
        </w:rPr>
        <w:footnoteRef/>
      </w:r>
      <w:r>
        <w:tab/>
      </w:r>
      <w:r>
        <w:rPr>
          <w:lang w:val="en-US"/>
        </w:rPr>
        <w:t xml:space="preserve">See TLRI, </w:t>
      </w:r>
      <w:r>
        <w:t xml:space="preserve">above n </w:t>
      </w:r>
      <w:r>
        <w:fldChar w:fldCharType="begin"/>
      </w:r>
      <w:r>
        <w:instrText xml:space="preserve"> NOTEREF _Ref535415553 \h </w:instrText>
      </w:r>
      <w:r>
        <w:fldChar w:fldCharType="separate"/>
      </w:r>
      <w:r w:rsidR="001F209C">
        <w:t>512</w:t>
      </w:r>
      <w:r>
        <w:fldChar w:fldCharType="end"/>
      </w:r>
      <w:r>
        <w:t>, Part 2, in particular [2.2.14].</w:t>
      </w:r>
      <w:r>
        <w:rPr>
          <w:lang w:val="en-US"/>
        </w:rPr>
        <w:t xml:space="preserve"> </w:t>
      </w:r>
    </w:p>
  </w:footnote>
  <w:footnote w:id="551">
    <w:p w14:paraId="24C353ED" w14:textId="51BD4CED" w:rsidR="00EE78D8" w:rsidRPr="00F513F6" w:rsidRDefault="00EE78D8" w:rsidP="00526FA7">
      <w:pPr>
        <w:pStyle w:val="FootnoteText"/>
        <w:rPr>
          <w:lang w:val="en-US"/>
        </w:rPr>
      </w:pPr>
      <w:r>
        <w:rPr>
          <w:rStyle w:val="FootnoteReference"/>
        </w:rPr>
        <w:footnoteRef/>
      </w:r>
      <w:r>
        <w:tab/>
      </w:r>
      <w:r>
        <w:rPr>
          <w:lang w:val="en-US"/>
        </w:rPr>
        <w:t>[1993] TASSC 91, [26] (Crawford J).</w:t>
      </w:r>
    </w:p>
  </w:footnote>
  <w:footnote w:id="552">
    <w:p w14:paraId="74777799" w14:textId="46FBF97D" w:rsidR="00EE78D8" w:rsidRPr="00F513F6" w:rsidRDefault="00EE78D8" w:rsidP="00526FA7">
      <w:pPr>
        <w:pStyle w:val="FootnoteText"/>
        <w:rPr>
          <w:lang w:val="en-US"/>
        </w:rPr>
      </w:pPr>
      <w:r>
        <w:rPr>
          <w:rStyle w:val="FootnoteReference"/>
        </w:rPr>
        <w:footnoteRef/>
      </w:r>
      <w:r>
        <w:tab/>
        <w:t>(1994) 179 CLR 500.</w:t>
      </w:r>
    </w:p>
  </w:footnote>
  <w:footnote w:id="553">
    <w:p w14:paraId="263413E2" w14:textId="07CE0896" w:rsidR="00EE78D8" w:rsidRPr="00F513F6" w:rsidRDefault="00EE78D8" w:rsidP="00526FA7">
      <w:pPr>
        <w:pStyle w:val="FootnoteText"/>
        <w:rPr>
          <w:lang w:val="en-US"/>
        </w:rPr>
      </w:pPr>
      <w:r>
        <w:rPr>
          <w:rStyle w:val="FootnoteReference"/>
        </w:rPr>
        <w:footnoteRef/>
      </w:r>
      <w:r>
        <w:tab/>
        <w:t xml:space="preserve">Fairall and Yeo, above n </w:t>
      </w:r>
      <w:r>
        <w:fldChar w:fldCharType="begin"/>
      </w:r>
      <w:r>
        <w:instrText xml:space="preserve"> NOTEREF _Ref303942891 \h </w:instrText>
      </w:r>
      <w:r>
        <w:fldChar w:fldCharType="separate"/>
      </w:r>
      <w:r w:rsidR="001F209C">
        <w:t>333</w:t>
      </w:r>
      <w:r>
        <w:fldChar w:fldCharType="end"/>
      </w:r>
      <w:r>
        <w:t>, [13.32].</w:t>
      </w:r>
    </w:p>
  </w:footnote>
  <w:footnote w:id="554">
    <w:p w14:paraId="36EB7CC6" w14:textId="63AFC423" w:rsidR="00EE78D8" w:rsidRPr="00263FDE" w:rsidRDefault="00EE78D8" w:rsidP="00263FDE">
      <w:pPr>
        <w:pStyle w:val="FootnoteText"/>
        <w:rPr>
          <w:rFonts w:eastAsiaTheme="minorEastAsia"/>
        </w:rPr>
      </w:pPr>
      <w:r w:rsidRPr="00263FDE">
        <w:rPr>
          <w:rStyle w:val="FootnoteReference"/>
        </w:rPr>
        <w:footnoteRef/>
      </w:r>
      <w:r>
        <w:rPr>
          <w:rFonts w:eastAsiaTheme="minorEastAsia"/>
        </w:rPr>
        <w:tab/>
      </w:r>
      <w:r w:rsidRPr="00263FDE">
        <w:rPr>
          <w:rFonts w:eastAsiaTheme="minorEastAsia"/>
        </w:rPr>
        <w:t xml:space="preserve">This was the view expressed in Blackwood and Warner, </w:t>
      </w:r>
      <w:r>
        <w:t xml:space="preserve">above n </w:t>
      </w:r>
      <w:r>
        <w:fldChar w:fldCharType="begin"/>
      </w:r>
      <w:r>
        <w:instrText xml:space="preserve"> NOTEREF _Ref535179556 \h </w:instrText>
      </w:r>
      <w:r>
        <w:fldChar w:fldCharType="separate"/>
      </w:r>
      <w:r w:rsidR="001F209C">
        <w:t>347</w:t>
      </w:r>
      <w:r>
        <w:fldChar w:fldCharType="end"/>
      </w:r>
      <w:r>
        <w:t>,</w:t>
      </w:r>
      <w:r w:rsidRPr="00263FDE">
        <w:rPr>
          <w:rFonts w:eastAsiaTheme="minorEastAsia"/>
        </w:rPr>
        <w:t xml:space="preserve"> 230. It would also appear to be the approach of both Slicer J and the Court of Criminal Appeal in Walsh, who viewed the competing claims as being of reliance on insanity (qualified acquittal) or reliance on s 16(3) for the purposes of self-defence (complete acquittal).</w:t>
      </w:r>
    </w:p>
  </w:footnote>
  <w:footnote w:id="555">
    <w:p w14:paraId="468EA6F4" w14:textId="3C1985EF" w:rsidR="00EE78D8" w:rsidRPr="00263FDE" w:rsidRDefault="00EE78D8" w:rsidP="00263FDE">
      <w:pPr>
        <w:pStyle w:val="FootnoteText"/>
      </w:pPr>
      <w:r w:rsidRPr="00263FDE">
        <w:rPr>
          <w:rStyle w:val="FootnoteReference"/>
        </w:rPr>
        <w:footnoteRef/>
      </w:r>
      <w:r>
        <w:tab/>
      </w:r>
      <w:r w:rsidRPr="00263FDE">
        <w:rPr>
          <w:rFonts w:eastAsiaTheme="minorEastAsia"/>
        </w:rPr>
        <w:t xml:space="preserve">This is certainly the effect of the </w:t>
      </w:r>
      <w:r w:rsidRPr="00263FDE">
        <w:rPr>
          <w:rFonts w:eastAsiaTheme="minorEastAsia"/>
          <w:i/>
        </w:rPr>
        <w:t>M’Naghten</w:t>
      </w:r>
      <w:r w:rsidRPr="00263FDE">
        <w:rPr>
          <w:rFonts w:eastAsiaTheme="minorEastAsia"/>
        </w:rPr>
        <w:t xml:space="preserve"> Rules on delusions. As Sullivan observes in relation to the third limb of </w:t>
      </w:r>
      <w:r w:rsidRPr="00263FDE">
        <w:rPr>
          <w:rFonts w:eastAsiaTheme="minorEastAsia"/>
          <w:i/>
        </w:rPr>
        <w:t>M’Naghten</w:t>
      </w:r>
      <w:r w:rsidRPr="00263FDE">
        <w:rPr>
          <w:rFonts w:eastAsiaTheme="minorEastAsia"/>
        </w:rPr>
        <w:t>, ‘[t]he remarks that D will be “exempt from punishment”, is intended to mean that D will be able to rely on the insanity defence, not because of a reliance on self-defence’: Child and</w:t>
      </w:r>
      <w:r>
        <w:rPr>
          <w:rFonts w:eastAsiaTheme="minorEastAsia"/>
        </w:rPr>
        <w:t xml:space="preserve"> </w:t>
      </w:r>
      <w:r w:rsidRPr="00263FDE">
        <w:rPr>
          <w:rFonts w:eastAsiaTheme="minorEastAsia"/>
        </w:rPr>
        <w:t xml:space="preserve">Sullivan, </w:t>
      </w:r>
      <w:r>
        <w:rPr>
          <w:rFonts w:eastAsiaTheme="minorEastAsia"/>
        </w:rPr>
        <w:t xml:space="preserve">above n </w:t>
      </w:r>
      <w:r>
        <w:rPr>
          <w:rFonts w:eastAsiaTheme="minorEastAsia"/>
        </w:rPr>
        <w:fldChar w:fldCharType="begin"/>
      </w:r>
      <w:r>
        <w:rPr>
          <w:rFonts w:eastAsiaTheme="minorEastAsia"/>
        </w:rPr>
        <w:instrText xml:space="preserve"> NOTEREF _Ref535348062 \h </w:instrText>
      </w:r>
      <w:r>
        <w:rPr>
          <w:rFonts w:eastAsiaTheme="minorEastAsia"/>
        </w:rPr>
      </w:r>
      <w:r>
        <w:rPr>
          <w:rFonts w:eastAsiaTheme="minorEastAsia"/>
        </w:rPr>
        <w:fldChar w:fldCharType="separate"/>
      </w:r>
      <w:r w:rsidR="001F209C">
        <w:rPr>
          <w:rFonts w:eastAsiaTheme="minorEastAsia"/>
        </w:rPr>
        <w:t>343</w:t>
      </w:r>
      <w:r>
        <w:rPr>
          <w:rFonts w:eastAsiaTheme="minorEastAsia"/>
        </w:rPr>
        <w:fldChar w:fldCharType="end"/>
      </w:r>
      <w:r>
        <w:rPr>
          <w:rFonts w:eastAsiaTheme="minorEastAsia"/>
        </w:rPr>
        <w:t>,</w:t>
      </w:r>
      <w:r w:rsidRPr="00263FDE">
        <w:rPr>
          <w:rFonts w:eastAsiaTheme="minorEastAsia"/>
        </w:rPr>
        <w:t xml:space="preserve"> 792. See D Baker, </w:t>
      </w:r>
      <w:r w:rsidRPr="00C7296B">
        <w:rPr>
          <w:rFonts w:eastAsiaTheme="minorEastAsia"/>
          <w:i/>
        </w:rPr>
        <w:t>Glanville Williams Textbook of Criminal Law</w:t>
      </w:r>
      <w:r w:rsidRPr="00263FDE">
        <w:rPr>
          <w:rFonts w:eastAsiaTheme="minorEastAsia"/>
        </w:rPr>
        <w:t xml:space="preserve"> (Sweet &amp; Maxwell, 3</w:t>
      </w:r>
      <w:r w:rsidRPr="00C7296B">
        <w:rPr>
          <w:rFonts w:eastAsiaTheme="minorEastAsia"/>
          <w:vertAlign w:val="superscript"/>
        </w:rPr>
        <w:t>rd</w:t>
      </w:r>
      <w:r w:rsidRPr="00263FDE">
        <w:rPr>
          <w:rFonts w:eastAsiaTheme="minorEastAsia"/>
        </w:rPr>
        <w:t xml:space="preserve"> ed, 2012) [27–017]; Law Commission </w:t>
      </w:r>
      <w:r>
        <w:rPr>
          <w:rFonts w:eastAsiaTheme="minorEastAsia"/>
        </w:rPr>
        <w:t>of England and Wales</w:t>
      </w:r>
      <w:r w:rsidRPr="00263FDE">
        <w:rPr>
          <w:rFonts w:eastAsiaTheme="minorEastAsia"/>
        </w:rPr>
        <w:t xml:space="preserve">, </w:t>
      </w:r>
      <w:r w:rsidRPr="00C7296B">
        <w:rPr>
          <w:rFonts w:eastAsiaTheme="minorEastAsia"/>
          <w:i/>
        </w:rPr>
        <w:t>Insanity and Automatism: Supplementary Material to the Scoping Paper</w:t>
      </w:r>
      <w:r w:rsidRPr="00263FDE">
        <w:rPr>
          <w:rFonts w:eastAsiaTheme="minorEastAsia"/>
        </w:rPr>
        <w:t xml:space="preserve"> </w:t>
      </w:r>
      <w:r>
        <w:rPr>
          <w:rFonts w:eastAsiaTheme="minorEastAsia"/>
        </w:rPr>
        <w:t>(</w:t>
      </w:r>
      <w:r w:rsidRPr="00263FDE">
        <w:rPr>
          <w:rFonts w:eastAsiaTheme="minorEastAsia"/>
        </w:rPr>
        <w:t>2012</w:t>
      </w:r>
      <w:r>
        <w:rPr>
          <w:rFonts w:eastAsiaTheme="minorEastAsia"/>
        </w:rPr>
        <w:t>)</w:t>
      </w:r>
      <w:r w:rsidRPr="00263FDE">
        <w:rPr>
          <w:rFonts w:eastAsiaTheme="minorEastAsia"/>
        </w:rPr>
        <w:t xml:space="preserve"> 4.59 fn 62. See also </w:t>
      </w:r>
      <w:r w:rsidRPr="00C7296B">
        <w:rPr>
          <w:rFonts w:eastAsiaTheme="minorEastAsia"/>
          <w:i/>
        </w:rPr>
        <w:t>Western Australia v Macdonald [No 2]</w:t>
      </w:r>
      <w:r w:rsidRPr="00263FDE">
        <w:rPr>
          <w:rFonts w:eastAsiaTheme="minorEastAsia"/>
        </w:rPr>
        <w:t xml:space="preserve"> [2010] WASC 355. It was also the approach in New Zealand before the provision dealing with delusions was removed: see </w:t>
      </w:r>
      <w:r>
        <w:rPr>
          <w:rFonts w:eastAsiaTheme="minorEastAsia"/>
        </w:rPr>
        <w:t xml:space="preserve">Simester and </w:t>
      </w:r>
      <w:r w:rsidRPr="00263FDE">
        <w:rPr>
          <w:rFonts w:eastAsiaTheme="minorEastAsia"/>
        </w:rPr>
        <w:t>Brookbanks</w:t>
      </w:r>
      <w:r>
        <w:rPr>
          <w:rFonts w:eastAsiaTheme="minorEastAsia"/>
        </w:rPr>
        <w:t xml:space="preserve">, above n </w:t>
      </w:r>
      <w:r>
        <w:rPr>
          <w:rFonts w:eastAsiaTheme="minorEastAsia"/>
        </w:rPr>
        <w:fldChar w:fldCharType="begin"/>
      </w:r>
      <w:r>
        <w:rPr>
          <w:rFonts w:eastAsiaTheme="minorEastAsia"/>
        </w:rPr>
        <w:instrText xml:space="preserve"> NOTEREF _Ref535171610 \h </w:instrText>
      </w:r>
      <w:r>
        <w:rPr>
          <w:rFonts w:eastAsiaTheme="minorEastAsia"/>
        </w:rPr>
      </w:r>
      <w:r>
        <w:rPr>
          <w:rFonts w:eastAsiaTheme="minorEastAsia"/>
        </w:rPr>
        <w:fldChar w:fldCharType="separate"/>
      </w:r>
      <w:r w:rsidR="001F209C">
        <w:rPr>
          <w:rFonts w:eastAsiaTheme="minorEastAsia"/>
        </w:rPr>
        <w:t>327</w:t>
      </w:r>
      <w:r>
        <w:rPr>
          <w:rFonts w:eastAsiaTheme="minorEastAsia"/>
        </w:rPr>
        <w:fldChar w:fldCharType="end"/>
      </w:r>
      <w:r>
        <w:rPr>
          <w:rFonts w:eastAsiaTheme="minorEastAsia"/>
        </w:rPr>
        <w:t xml:space="preserve">, </w:t>
      </w:r>
      <w:r w:rsidRPr="00263FDE">
        <w:rPr>
          <w:rFonts w:eastAsiaTheme="minorEastAsia"/>
        </w:rPr>
        <w:t xml:space="preserve">who write that ‘the McNaghten Rules and earlier New Zealand legislation contained a provision that persons suffering “specific delusions”, but otherwise sane, were not to be acquitted on the grounds of insanity unless the delusions would, if true, have justified or excused the act’: </w:t>
      </w:r>
      <w:r>
        <w:rPr>
          <w:rFonts w:eastAsiaTheme="minorEastAsia"/>
        </w:rPr>
        <w:t>at</w:t>
      </w:r>
      <w:r w:rsidRPr="00263FDE">
        <w:rPr>
          <w:rFonts w:eastAsiaTheme="minorEastAsia"/>
        </w:rPr>
        <w:t xml:space="preserve"> 328. Although more recently, in the United Kingdom, an offender relied on an insane delusion to provide the basis for his genuine belief in the need for self-defence but not for the purposes of assessing whether the amount of force used was reasonable: see </w:t>
      </w:r>
      <w:r w:rsidRPr="00CF1882">
        <w:rPr>
          <w:rFonts w:eastAsiaTheme="minorEastAsia"/>
          <w:i/>
        </w:rPr>
        <w:t>R v Oye</w:t>
      </w:r>
      <w:r w:rsidRPr="00263FDE">
        <w:rPr>
          <w:rFonts w:eastAsiaTheme="minorEastAsia"/>
        </w:rPr>
        <w:t xml:space="preserve"> [2014] 1 WLR 3354</w:t>
      </w:r>
      <w:r>
        <w:rPr>
          <w:rFonts w:eastAsiaTheme="minorEastAsia"/>
        </w:rPr>
        <w:t xml:space="preserve">; [2013] EWCA </w:t>
      </w:r>
      <w:r w:rsidRPr="00263FDE">
        <w:rPr>
          <w:rFonts w:eastAsiaTheme="minorEastAsia"/>
        </w:rPr>
        <w:t>Crim 1725, [36] (Davis LJ); R Mackay, ‘</w:t>
      </w:r>
      <w:r w:rsidRPr="00FC13E8">
        <w:rPr>
          <w:rFonts w:eastAsiaTheme="minorEastAsia"/>
          <w:i/>
        </w:rPr>
        <w:t>R v SO</w:t>
      </w:r>
      <w:r w:rsidRPr="00263FDE">
        <w:rPr>
          <w:rFonts w:eastAsiaTheme="minorEastAsia"/>
        </w:rPr>
        <w:t xml:space="preserve">: Defendant Charged with Affray and Assault After Attacking Police — Crown Accepting Psychiatric Evidence that Defendant Believed Evil Spirits were Trying to Harm Him’ (2014) </w:t>
      </w:r>
      <w:r w:rsidRPr="00DA5044">
        <w:rPr>
          <w:rFonts w:eastAsiaTheme="minorEastAsia"/>
          <w:i/>
        </w:rPr>
        <w:t>Criminal Law Review</w:t>
      </w:r>
      <w:r w:rsidRPr="00263FDE">
        <w:rPr>
          <w:rFonts w:eastAsiaTheme="minorEastAsia"/>
        </w:rPr>
        <w:t xml:space="preserve"> 544; T Storey, ‘Self-Defence: Insane Delusions and Reasonable Force’ (2014) 78</w:t>
      </w:r>
      <w:r>
        <w:rPr>
          <w:rFonts w:eastAsiaTheme="minorEastAsia"/>
        </w:rPr>
        <w:t xml:space="preserve"> </w:t>
      </w:r>
      <w:r w:rsidRPr="00DA5044">
        <w:rPr>
          <w:rFonts w:eastAsiaTheme="minorEastAsia"/>
          <w:i/>
        </w:rPr>
        <w:t>Journal of Criminal Law</w:t>
      </w:r>
      <w:r w:rsidRPr="00263FDE">
        <w:rPr>
          <w:rFonts w:eastAsiaTheme="minorEastAsia"/>
        </w:rPr>
        <w:t xml:space="preserve"> 12.</w:t>
      </w:r>
    </w:p>
  </w:footnote>
  <w:footnote w:id="556">
    <w:p w14:paraId="69A7C1D9" w14:textId="73D80221" w:rsidR="00EE78D8" w:rsidRPr="00177EA3" w:rsidRDefault="00EE78D8" w:rsidP="00526FA7">
      <w:pPr>
        <w:pStyle w:val="FootnoteText"/>
        <w:rPr>
          <w:lang w:val="en-US"/>
        </w:rPr>
      </w:pPr>
      <w:r>
        <w:rPr>
          <w:rStyle w:val="FootnoteReference"/>
        </w:rPr>
        <w:footnoteRef/>
      </w:r>
      <w:r>
        <w:tab/>
        <w:t xml:space="preserve">TLRI, above n </w:t>
      </w:r>
      <w:r>
        <w:fldChar w:fldCharType="begin"/>
      </w:r>
      <w:r>
        <w:instrText xml:space="preserve"> NOTEREF _Ref535415553 \h </w:instrText>
      </w:r>
      <w:r>
        <w:fldChar w:fldCharType="separate"/>
      </w:r>
      <w:r w:rsidR="001F209C">
        <w:t>512</w:t>
      </w:r>
      <w:r>
        <w:fldChar w:fldCharType="end"/>
      </w:r>
      <w:r>
        <w:t xml:space="preserve">, 15 </w:t>
      </w:r>
      <w:r>
        <w:rPr>
          <w:lang w:val="en-US"/>
        </w:rPr>
        <w:t>Recommendation 2.</w:t>
      </w:r>
    </w:p>
  </w:footnote>
  <w:footnote w:id="557">
    <w:p w14:paraId="7C459AAF" w14:textId="68198186" w:rsidR="00EE78D8" w:rsidRDefault="00EE78D8">
      <w:pPr>
        <w:pStyle w:val="FootnoteText"/>
      </w:pPr>
      <w:r>
        <w:rPr>
          <w:rStyle w:val="FootnoteReference"/>
        </w:rPr>
        <w:footnoteRef/>
      </w:r>
      <w:r>
        <w:tab/>
        <w:t>Ibid 42 Recommendation 6.</w:t>
      </w:r>
    </w:p>
  </w:footnote>
  <w:footnote w:id="558">
    <w:p w14:paraId="72D6694E" w14:textId="0667C7D3" w:rsidR="00EE78D8" w:rsidRPr="00926421" w:rsidRDefault="00EE78D8">
      <w:pPr>
        <w:pStyle w:val="FootnoteText"/>
        <w:rPr>
          <w:lang w:val="en-US"/>
        </w:rPr>
      </w:pPr>
      <w:r>
        <w:rPr>
          <w:rStyle w:val="FootnoteReference"/>
        </w:rPr>
        <w:footnoteRef/>
      </w:r>
      <w:r>
        <w:tab/>
      </w:r>
      <w:r>
        <w:rPr>
          <w:lang w:val="en-US"/>
        </w:rPr>
        <w:t xml:space="preserve">Baker, above n </w:t>
      </w:r>
      <w:r>
        <w:rPr>
          <w:lang w:val="en-US"/>
        </w:rPr>
        <w:fldChar w:fldCharType="begin"/>
      </w:r>
      <w:r>
        <w:rPr>
          <w:lang w:val="en-US"/>
        </w:rPr>
        <w:instrText xml:space="preserve"> NOTEREF _Ref535500638 \h </w:instrText>
      </w:r>
      <w:r>
        <w:rPr>
          <w:lang w:val="en-US"/>
        </w:rPr>
      </w:r>
      <w:r>
        <w:rPr>
          <w:lang w:val="en-US"/>
        </w:rPr>
        <w:fldChar w:fldCharType="separate"/>
      </w:r>
      <w:r w:rsidR="001F209C">
        <w:rPr>
          <w:lang w:val="en-US"/>
        </w:rPr>
        <w:t>555</w:t>
      </w:r>
      <w:r>
        <w:rPr>
          <w:lang w:val="en-US"/>
        </w:rPr>
        <w:fldChar w:fldCharType="end"/>
      </w:r>
      <w:r>
        <w:rPr>
          <w:lang w:val="en-US"/>
        </w:rPr>
        <w:t>, [27-019].</w:t>
      </w:r>
    </w:p>
  </w:footnote>
  <w:footnote w:id="559">
    <w:p w14:paraId="2D6554CC" w14:textId="3AA6F349" w:rsidR="00EE78D8" w:rsidRPr="00C01310" w:rsidRDefault="00EE78D8" w:rsidP="00080BB4">
      <w:pPr>
        <w:pStyle w:val="FootnoteTextTLRI"/>
        <w:rPr>
          <w:lang w:val="en-AU"/>
        </w:rPr>
      </w:pPr>
      <w:r w:rsidRPr="00C01310">
        <w:rPr>
          <w:rStyle w:val="FootnoteReference"/>
          <w:lang w:val="en-AU"/>
        </w:rPr>
        <w:footnoteRef/>
      </w:r>
      <w:r>
        <w:rPr>
          <w:lang w:val="en-AU"/>
        </w:rPr>
        <w:tab/>
      </w:r>
      <w:r w:rsidRPr="00C01310">
        <w:rPr>
          <w:lang w:val="en-AU"/>
        </w:rPr>
        <w:t xml:space="preserve">This was the situation in two Western Australian cases where the delusions did not provide basis for self-defence: see </w:t>
      </w:r>
      <w:r w:rsidRPr="00C01310">
        <w:rPr>
          <w:i/>
          <w:lang w:val="en-AU"/>
        </w:rPr>
        <w:t xml:space="preserve">Garrett v R </w:t>
      </w:r>
      <w:r w:rsidRPr="00C01310">
        <w:rPr>
          <w:lang w:val="en-AU"/>
        </w:rPr>
        <w:t xml:space="preserve">[1999] WASCA 169; </w:t>
      </w:r>
      <w:r w:rsidRPr="00C01310">
        <w:rPr>
          <w:i/>
          <w:lang w:val="en-AU"/>
        </w:rPr>
        <w:t xml:space="preserve">Western Australia v McDonald </w:t>
      </w:r>
      <w:r w:rsidRPr="00C01310">
        <w:rPr>
          <w:lang w:val="en-AU"/>
        </w:rPr>
        <w:t>[2010] WASC 355.</w:t>
      </w:r>
    </w:p>
  </w:footnote>
  <w:footnote w:id="560">
    <w:p w14:paraId="3DA15122" w14:textId="7FC780F9" w:rsidR="00EE78D8" w:rsidRPr="00926421" w:rsidRDefault="00EE78D8" w:rsidP="00AE65BB">
      <w:pPr>
        <w:pStyle w:val="FootnoteText"/>
        <w:rPr>
          <w:lang w:val="en-US"/>
        </w:rPr>
      </w:pPr>
      <w:r>
        <w:rPr>
          <w:rStyle w:val="FootnoteReference"/>
        </w:rPr>
        <w:footnoteRef/>
      </w:r>
      <w:r>
        <w:tab/>
        <w:t xml:space="preserve">D Klinck, ‘“Specific Delusions” in the Insanity Defence’ (1982–3) 25 </w:t>
      </w:r>
      <w:r w:rsidRPr="007519E7">
        <w:rPr>
          <w:i/>
        </w:rPr>
        <w:t>Criminal Law Quarterly</w:t>
      </w:r>
      <w:r>
        <w:t xml:space="preserve"> 458, 464 referring to comments made by Glanville Williams.</w:t>
      </w:r>
    </w:p>
  </w:footnote>
  <w:footnote w:id="561">
    <w:p w14:paraId="2372DA99" w14:textId="4BF30340" w:rsidR="00EE78D8" w:rsidRPr="00C01310" w:rsidRDefault="00EE78D8" w:rsidP="00080BB4">
      <w:pPr>
        <w:pStyle w:val="FootnoteTextTLRI"/>
        <w:rPr>
          <w:i/>
        </w:rPr>
      </w:pPr>
      <w:r w:rsidRPr="00C01310">
        <w:rPr>
          <w:rStyle w:val="FootnoteReference"/>
        </w:rPr>
        <w:footnoteRef/>
      </w:r>
      <w:r>
        <w:tab/>
      </w:r>
      <w:r w:rsidRPr="00C01310">
        <w:t xml:space="preserve">This was the approach in </w:t>
      </w:r>
      <w:r w:rsidRPr="00C01310">
        <w:rPr>
          <w:i/>
        </w:rPr>
        <w:t>R v Oye</w:t>
      </w:r>
      <w:r w:rsidRPr="00C01310">
        <w:t xml:space="preserve"> [2014] 1 WLR 3354.</w:t>
      </w:r>
    </w:p>
  </w:footnote>
  <w:footnote w:id="562">
    <w:p w14:paraId="0838D3D0" w14:textId="2DC360E5" w:rsidR="00EE78D8" w:rsidRPr="00C01310" w:rsidRDefault="00EE78D8" w:rsidP="00080BB4">
      <w:pPr>
        <w:pStyle w:val="FootnoteTextTLRI"/>
      </w:pPr>
      <w:r w:rsidRPr="00C01310">
        <w:rPr>
          <w:rStyle w:val="FootnoteReference"/>
        </w:rPr>
        <w:footnoteRef/>
      </w:r>
      <w:r>
        <w:tab/>
      </w:r>
      <w:r w:rsidRPr="00C01310">
        <w:t xml:space="preserve">See </w:t>
      </w:r>
      <w:r w:rsidRPr="00C01310">
        <w:rPr>
          <w:lang w:val="en-AU"/>
        </w:rPr>
        <w:t>Child and</w:t>
      </w:r>
      <w:r>
        <w:rPr>
          <w:lang w:val="en-AU"/>
        </w:rPr>
        <w:t xml:space="preserve"> </w:t>
      </w:r>
      <w:r w:rsidRPr="00C01310">
        <w:rPr>
          <w:lang w:val="en-AU"/>
        </w:rPr>
        <w:t xml:space="preserve">Sullivan, </w:t>
      </w:r>
      <w:r>
        <w:rPr>
          <w:rFonts w:eastAsiaTheme="minorEastAsia"/>
          <w:szCs w:val="18"/>
        </w:rPr>
        <w:t xml:space="preserve">above n </w:t>
      </w:r>
      <w:r>
        <w:rPr>
          <w:rFonts w:eastAsiaTheme="minorEastAsia"/>
          <w:szCs w:val="18"/>
        </w:rPr>
        <w:fldChar w:fldCharType="begin"/>
      </w:r>
      <w:r>
        <w:rPr>
          <w:rFonts w:eastAsiaTheme="minorEastAsia"/>
          <w:szCs w:val="18"/>
        </w:rPr>
        <w:instrText xml:space="preserve"> NOTEREF _Ref535348062 \h </w:instrText>
      </w:r>
      <w:r>
        <w:rPr>
          <w:rFonts w:eastAsiaTheme="minorEastAsia"/>
          <w:szCs w:val="18"/>
        </w:rPr>
      </w:r>
      <w:r>
        <w:rPr>
          <w:rFonts w:eastAsiaTheme="minorEastAsia"/>
          <w:szCs w:val="18"/>
        </w:rPr>
        <w:fldChar w:fldCharType="separate"/>
      </w:r>
      <w:r w:rsidR="001F209C">
        <w:rPr>
          <w:rFonts w:eastAsiaTheme="minorEastAsia"/>
          <w:szCs w:val="18"/>
        </w:rPr>
        <w:t>343</w:t>
      </w:r>
      <w:r>
        <w:rPr>
          <w:rFonts w:eastAsiaTheme="minorEastAsia"/>
          <w:szCs w:val="18"/>
        </w:rPr>
        <w:fldChar w:fldCharType="end"/>
      </w:r>
      <w:r>
        <w:rPr>
          <w:rFonts w:eastAsiaTheme="minorEastAsia"/>
          <w:szCs w:val="18"/>
        </w:rPr>
        <w:t xml:space="preserve">, </w:t>
      </w:r>
      <w:r w:rsidRPr="00C01310">
        <w:t>792.</w:t>
      </w:r>
    </w:p>
  </w:footnote>
  <w:footnote w:id="563">
    <w:p w14:paraId="028BE7C3" w14:textId="435297B2" w:rsidR="00EE78D8" w:rsidRPr="00080BB4" w:rsidRDefault="00EE78D8">
      <w:pPr>
        <w:pStyle w:val="FootnoteText"/>
        <w:rPr>
          <w:lang w:val="en-US"/>
        </w:rPr>
      </w:pPr>
      <w:r>
        <w:rPr>
          <w:rStyle w:val="FootnoteReference"/>
        </w:rPr>
        <w:footnoteRef/>
      </w:r>
      <w:r>
        <w:tab/>
        <w:t xml:space="preserve">See TLRI, above n </w:t>
      </w:r>
      <w:r>
        <w:fldChar w:fldCharType="begin"/>
      </w:r>
      <w:r>
        <w:instrText xml:space="preserve"> NOTEREF _Ref535415553 \h </w:instrText>
      </w:r>
      <w:r>
        <w:fldChar w:fldCharType="separate"/>
      </w:r>
      <w:r w:rsidR="001F209C">
        <w:t>512</w:t>
      </w:r>
      <w:r>
        <w:fldChar w:fldCharType="end"/>
      </w:r>
      <w:r>
        <w:t>, [4.2.1]–[4.2.19].</w:t>
      </w:r>
    </w:p>
  </w:footnote>
  <w:footnote w:id="564">
    <w:p w14:paraId="62D9B838" w14:textId="4D38FC9C" w:rsidR="00EE78D8" w:rsidRPr="00C01310" w:rsidRDefault="00EE78D8" w:rsidP="00E04F28">
      <w:pPr>
        <w:pStyle w:val="FootnoteTextTLRI"/>
        <w:rPr>
          <w:lang w:val="en-AU"/>
        </w:rPr>
      </w:pPr>
      <w:r w:rsidRPr="00C01310">
        <w:rPr>
          <w:rStyle w:val="TLRIFootnoteRef"/>
          <w:lang w:val="en-AU"/>
        </w:rPr>
        <w:footnoteRef/>
      </w:r>
      <w:r>
        <w:rPr>
          <w:lang w:val="en-AU"/>
        </w:rPr>
        <w:tab/>
      </w:r>
      <w:r w:rsidRPr="00C01310">
        <w:rPr>
          <w:lang w:val="en-AU"/>
        </w:rPr>
        <w:t>MCCOC,</w:t>
      </w:r>
      <w:r w:rsidRPr="00103724">
        <w:rPr>
          <w:lang w:val="en-AU"/>
        </w:rPr>
        <w:t xml:space="preserve"> </w:t>
      </w:r>
      <w:r w:rsidRPr="00103724">
        <w:rPr>
          <w:i/>
          <w:lang w:val="en-AU"/>
        </w:rPr>
        <w:t>Model Criminal Code — Chapter 2, General Principles of Criminal Responsibility</w:t>
      </w:r>
      <w:r w:rsidRPr="00103724">
        <w:rPr>
          <w:lang w:val="en-AU"/>
        </w:rPr>
        <w:t>, Report (1992)</w:t>
      </w:r>
      <w:r>
        <w:rPr>
          <w:lang w:val="en-AU"/>
        </w:rPr>
        <w:t xml:space="preserve"> </w:t>
      </w:r>
      <w:r w:rsidRPr="00C01310">
        <w:rPr>
          <w:lang w:val="en-AU"/>
        </w:rPr>
        <w:t>[43].</w:t>
      </w:r>
    </w:p>
  </w:footnote>
  <w:footnote w:id="565">
    <w:p w14:paraId="557D1E80" w14:textId="0507172F" w:rsidR="00EE78D8" w:rsidRPr="00C01310" w:rsidRDefault="00EE78D8" w:rsidP="00E04F28">
      <w:pPr>
        <w:pStyle w:val="FootnoteTextTLRI"/>
        <w:rPr>
          <w:lang w:val="en-AU"/>
        </w:rPr>
      </w:pPr>
      <w:r w:rsidRPr="00C01310">
        <w:rPr>
          <w:rStyle w:val="TLRIFootnoteRef"/>
          <w:lang w:val="en-AU"/>
        </w:rPr>
        <w:footnoteRef/>
      </w:r>
      <w:r>
        <w:rPr>
          <w:lang w:val="en-AU"/>
        </w:rPr>
        <w:tab/>
      </w:r>
      <w:r w:rsidRPr="00C01310">
        <w:rPr>
          <w:lang w:val="en-AU"/>
        </w:rPr>
        <w:t xml:space="preserve">See </w:t>
      </w:r>
      <w:r w:rsidRPr="00C01310">
        <w:rPr>
          <w:i/>
          <w:lang w:val="en-AU"/>
        </w:rPr>
        <w:t xml:space="preserve">R v Resnik </w:t>
      </w:r>
      <w:r w:rsidRPr="00C01310">
        <w:rPr>
          <w:lang w:val="en-AU"/>
        </w:rPr>
        <w:t>[2003] ATCSC 96.</w:t>
      </w:r>
    </w:p>
  </w:footnote>
  <w:footnote w:id="566">
    <w:p w14:paraId="3C07EC64" w14:textId="564E710A" w:rsidR="00EE78D8" w:rsidRPr="00C01310" w:rsidRDefault="00EE78D8" w:rsidP="00E04F28">
      <w:pPr>
        <w:pStyle w:val="FootnoteTextTLRI"/>
      </w:pPr>
      <w:r w:rsidRPr="00C01310">
        <w:rPr>
          <w:rStyle w:val="FootnoteReference"/>
        </w:rPr>
        <w:footnoteRef/>
      </w:r>
      <w:r>
        <w:tab/>
      </w:r>
      <w:r w:rsidRPr="00C01310">
        <w:t xml:space="preserve">Child and Sullivan, above </w:t>
      </w:r>
      <w:r>
        <w:t xml:space="preserve">n </w:t>
      </w:r>
      <w:r>
        <w:fldChar w:fldCharType="begin"/>
      </w:r>
      <w:r>
        <w:instrText xml:space="preserve"> NOTEREF _Ref535348062 \h </w:instrText>
      </w:r>
      <w:r>
        <w:fldChar w:fldCharType="separate"/>
      </w:r>
      <w:r w:rsidR="001F209C">
        <w:t>343</w:t>
      </w:r>
      <w:r>
        <w:fldChar w:fldCharType="end"/>
      </w:r>
      <w:r w:rsidRPr="00C01310">
        <w:t>, 792.</w:t>
      </w:r>
    </w:p>
  </w:footnote>
  <w:footnote w:id="567">
    <w:p w14:paraId="170494A5" w14:textId="1029B81E" w:rsidR="00EE78D8" w:rsidRPr="00C01310" w:rsidRDefault="00EE78D8" w:rsidP="00E04F28">
      <w:pPr>
        <w:pStyle w:val="FootnoteTextTLRI"/>
        <w:rPr>
          <w:lang w:val="en-AU"/>
        </w:rPr>
      </w:pPr>
      <w:r w:rsidRPr="00C01310">
        <w:rPr>
          <w:rStyle w:val="TLRIFootnoteRef"/>
          <w:lang w:val="en-AU"/>
        </w:rPr>
        <w:footnoteRef/>
      </w:r>
      <w:r w:rsidRPr="00C01310">
        <w:rPr>
          <w:lang w:val="en-AU"/>
        </w:rPr>
        <w:t xml:space="preserve"> </w:t>
      </w:r>
      <w:r w:rsidRPr="00C01310">
        <w:rPr>
          <w:lang w:val="en-AU"/>
        </w:rPr>
        <w:tab/>
        <w:t>Simester</w:t>
      </w:r>
      <w:r>
        <w:rPr>
          <w:lang w:val="en-AU"/>
        </w:rPr>
        <w:t xml:space="preserve"> at al</w:t>
      </w:r>
      <w:r w:rsidRPr="00C01310">
        <w:rPr>
          <w:lang w:val="en-AU"/>
        </w:rPr>
        <w:t xml:space="preserve">, </w:t>
      </w:r>
      <w:r w:rsidRPr="00A26A01">
        <w:rPr>
          <w:lang w:val="en-AU"/>
        </w:rPr>
        <w:t xml:space="preserve">above n </w:t>
      </w:r>
      <w:r w:rsidRPr="00A26A01">
        <w:rPr>
          <w:lang w:val="en-AU"/>
        </w:rPr>
        <w:fldChar w:fldCharType="begin"/>
      </w:r>
      <w:r w:rsidRPr="00A26A01">
        <w:rPr>
          <w:lang w:val="en-AU"/>
        </w:rPr>
        <w:instrText xml:space="preserve"> NOTEREF _Ref535329003 \h </w:instrText>
      </w:r>
      <w:r>
        <w:rPr>
          <w:lang w:val="en-AU"/>
        </w:rPr>
        <w:instrText xml:space="preserve"> \* MERGEFORMAT </w:instrText>
      </w:r>
      <w:r w:rsidRPr="00A26A01">
        <w:rPr>
          <w:lang w:val="en-AU"/>
        </w:rPr>
      </w:r>
      <w:r w:rsidRPr="00A26A01">
        <w:rPr>
          <w:lang w:val="en-AU"/>
        </w:rPr>
        <w:fldChar w:fldCharType="separate"/>
      </w:r>
      <w:r w:rsidR="001F209C">
        <w:rPr>
          <w:lang w:val="en-AU"/>
        </w:rPr>
        <w:t>353</w:t>
      </w:r>
      <w:r w:rsidRPr="00A26A01">
        <w:rPr>
          <w:lang w:val="en-AU"/>
        </w:rPr>
        <w:fldChar w:fldCharType="end"/>
      </w:r>
      <w:r w:rsidRPr="00A26A01">
        <w:rPr>
          <w:lang w:val="en-AU"/>
        </w:rPr>
        <w:t>,</w:t>
      </w:r>
      <w:r w:rsidRPr="00C01310">
        <w:rPr>
          <w:lang w:val="en-AU"/>
        </w:rPr>
        <w:t xml:space="preserve"> 817. </w:t>
      </w:r>
    </w:p>
  </w:footnote>
  <w:footnote w:id="568">
    <w:p w14:paraId="647DB607" w14:textId="1F5992AD" w:rsidR="00EE78D8" w:rsidRPr="00C01310" w:rsidRDefault="00EE78D8" w:rsidP="00E04F28">
      <w:pPr>
        <w:pStyle w:val="FootnoteTextTLRI"/>
        <w:rPr>
          <w:lang w:val="en-AU"/>
        </w:rPr>
      </w:pPr>
      <w:r w:rsidRPr="00C01310">
        <w:rPr>
          <w:rStyle w:val="TLRIFootnoteRef"/>
          <w:lang w:val="en-AU"/>
        </w:rPr>
        <w:footnoteRef/>
      </w:r>
      <w:r w:rsidRPr="00C01310">
        <w:rPr>
          <w:lang w:val="en-AU"/>
        </w:rPr>
        <w:t xml:space="preserve"> </w:t>
      </w:r>
      <w:r w:rsidRPr="00C01310">
        <w:rPr>
          <w:lang w:val="en-AU"/>
        </w:rPr>
        <w:tab/>
        <w:t xml:space="preserve">Bronitt and McSherry, above n </w:t>
      </w:r>
      <w:r>
        <w:rPr>
          <w:lang w:val="en-AU"/>
        </w:rPr>
        <w:fldChar w:fldCharType="begin"/>
      </w:r>
      <w:r>
        <w:rPr>
          <w:lang w:val="en-AU"/>
        </w:rPr>
        <w:instrText xml:space="preserve"> NOTEREF _Ref535171610 \h </w:instrText>
      </w:r>
      <w:r>
        <w:rPr>
          <w:lang w:val="en-AU"/>
        </w:rPr>
      </w:r>
      <w:r>
        <w:rPr>
          <w:lang w:val="en-AU"/>
        </w:rPr>
        <w:fldChar w:fldCharType="separate"/>
      </w:r>
      <w:r w:rsidR="001F209C">
        <w:rPr>
          <w:lang w:val="en-AU"/>
        </w:rPr>
        <w:t>327</w:t>
      </w:r>
      <w:r>
        <w:rPr>
          <w:lang w:val="en-AU"/>
        </w:rPr>
        <w:fldChar w:fldCharType="end"/>
      </w:r>
      <w:r>
        <w:rPr>
          <w:lang w:val="en-AU"/>
        </w:rPr>
        <w:t>,</w:t>
      </w:r>
      <w:r w:rsidRPr="00C01310">
        <w:rPr>
          <w:lang w:val="en-AU"/>
        </w:rPr>
        <w:t xml:space="preserve"> 213–</w:t>
      </w:r>
      <w:r>
        <w:rPr>
          <w:lang w:val="en-AU"/>
        </w:rPr>
        <w:t>2</w:t>
      </w:r>
      <w:r w:rsidRPr="00C01310">
        <w:rPr>
          <w:lang w:val="en-AU"/>
        </w:rPr>
        <w:t>18; Fairall and Yeo, above n</w:t>
      </w:r>
      <w:r>
        <w:rPr>
          <w:lang w:val="en-AU"/>
        </w:rPr>
        <w:t xml:space="preserve"> </w:t>
      </w:r>
      <w:r>
        <w:rPr>
          <w:lang w:val="en-AU"/>
        </w:rPr>
        <w:fldChar w:fldCharType="begin"/>
      </w:r>
      <w:r>
        <w:rPr>
          <w:lang w:val="en-AU"/>
        </w:rPr>
        <w:instrText xml:space="preserve"> NOTEREF _Ref303942891 \h </w:instrText>
      </w:r>
      <w:r>
        <w:rPr>
          <w:lang w:val="en-AU"/>
        </w:rPr>
      </w:r>
      <w:r>
        <w:rPr>
          <w:lang w:val="en-AU"/>
        </w:rPr>
        <w:fldChar w:fldCharType="separate"/>
      </w:r>
      <w:r w:rsidR="001F209C">
        <w:rPr>
          <w:lang w:val="en-AU"/>
        </w:rPr>
        <w:t>333</w:t>
      </w:r>
      <w:r>
        <w:rPr>
          <w:lang w:val="en-AU"/>
        </w:rPr>
        <w:fldChar w:fldCharType="end"/>
      </w:r>
      <w:r w:rsidRPr="00C01310">
        <w:rPr>
          <w:lang w:val="en-AU"/>
        </w:rPr>
        <w:t>, [13.30]; W Brookbanks, ‘Insanity’ in W Brookbanks and A Simpson</w:t>
      </w:r>
      <w:r>
        <w:rPr>
          <w:lang w:val="en-AU"/>
        </w:rPr>
        <w:t xml:space="preserve"> (eds)</w:t>
      </w:r>
      <w:r w:rsidRPr="00C01310">
        <w:rPr>
          <w:lang w:val="en-AU"/>
        </w:rPr>
        <w:t xml:space="preserve">, </w:t>
      </w:r>
      <w:r w:rsidRPr="00C01310">
        <w:rPr>
          <w:i/>
          <w:lang w:val="en-AU"/>
        </w:rPr>
        <w:t>Psychiatry and the Law</w:t>
      </w:r>
      <w:r w:rsidRPr="00C01310">
        <w:rPr>
          <w:lang w:val="en-AU"/>
        </w:rPr>
        <w:t xml:space="preserve"> (LexisNexis, 2007</w:t>
      </w:r>
      <w:r w:rsidRPr="00A87155">
        <w:rPr>
          <w:lang w:val="en-AU"/>
        </w:rPr>
        <w:t>), 142</w:t>
      </w:r>
      <w:r w:rsidRPr="00C01310">
        <w:rPr>
          <w:lang w:val="en-AU"/>
        </w:rPr>
        <w:t xml:space="preserve">; </w:t>
      </w:r>
      <w:r>
        <w:rPr>
          <w:lang w:val="en-AU"/>
        </w:rPr>
        <w:t xml:space="preserve">G </w:t>
      </w:r>
      <w:r w:rsidRPr="00C01310">
        <w:rPr>
          <w:lang w:val="en-AU"/>
        </w:rPr>
        <w:t xml:space="preserve">Williams, </w:t>
      </w:r>
      <w:r w:rsidRPr="00C01310">
        <w:rPr>
          <w:i/>
          <w:lang w:val="en-AU"/>
        </w:rPr>
        <w:t>Criminal Law: The General Part</w:t>
      </w:r>
      <w:r w:rsidRPr="00C01310">
        <w:rPr>
          <w:lang w:val="en-AU"/>
        </w:rPr>
        <w:t xml:space="preserve"> (2</w:t>
      </w:r>
      <w:r w:rsidRPr="00C01310">
        <w:rPr>
          <w:vertAlign w:val="superscript"/>
          <w:lang w:val="en-AU"/>
        </w:rPr>
        <w:t>nd</w:t>
      </w:r>
      <w:r w:rsidRPr="00C01310">
        <w:rPr>
          <w:lang w:val="en-AU"/>
        </w:rPr>
        <w:t xml:space="preserve"> ed, 1961)</w:t>
      </w:r>
      <w:r>
        <w:rPr>
          <w:lang w:val="en-AU"/>
        </w:rPr>
        <w:t>,</w:t>
      </w:r>
      <w:r w:rsidRPr="00C01310">
        <w:rPr>
          <w:lang w:val="en-AU"/>
        </w:rPr>
        <w:t xml:space="preserve"> [160]; Law Reform Commission of Canada, </w:t>
      </w:r>
      <w:r w:rsidRPr="00C01310">
        <w:rPr>
          <w:i/>
          <w:lang w:val="en-AU"/>
        </w:rPr>
        <w:t>Criminal Law, The General Part: Liability and Defences</w:t>
      </w:r>
      <w:r w:rsidRPr="00C01310">
        <w:rPr>
          <w:lang w:val="en-AU"/>
        </w:rPr>
        <w:t>, Working Paper 29 (Ottawa: Minster of Supply and Services Canada, 1982) 48 cited in Bronitt and McSherry, above n</w:t>
      </w:r>
      <w:r>
        <w:rPr>
          <w:lang w:val="en-AU"/>
        </w:rPr>
        <w:t xml:space="preserve"> </w:t>
      </w:r>
      <w:r>
        <w:rPr>
          <w:lang w:val="en-AU"/>
        </w:rPr>
        <w:fldChar w:fldCharType="begin"/>
      </w:r>
      <w:r>
        <w:rPr>
          <w:lang w:val="en-AU"/>
        </w:rPr>
        <w:instrText xml:space="preserve"> NOTEREF _Ref535171610 \h </w:instrText>
      </w:r>
      <w:r>
        <w:rPr>
          <w:lang w:val="en-AU"/>
        </w:rPr>
      </w:r>
      <w:r>
        <w:rPr>
          <w:lang w:val="en-AU"/>
        </w:rPr>
        <w:fldChar w:fldCharType="separate"/>
      </w:r>
      <w:r w:rsidR="001F209C">
        <w:rPr>
          <w:lang w:val="en-AU"/>
        </w:rPr>
        <w:t>327</w:t>
      </w:r>
      <w:r>
        <w:rPr>
          <w:lang w:val="en-AU"/>
        </w:rPr>
        <w:fldChar w:fldCharType="end"/>
      </w:r>
      <w:r w:rsidRPr="00C01310">
        <w:rPr>
          <w:lang w:val="en-AU"/>
        </w:rPr>
        <w:t xml:space="preserve">, 218; </w:t>
      </w:r>
      <w:r w:rsidRPr="00C01310">
        <w:rPr>
          <w:i/>
          <w:lang w:val="en-AU"/>
        </w:rPr>
        <w:t xml:space="preserve">R v Chaulk </w:t>
      </w:r>
      <w:r w:rsidRPr="00C01310">
        <w:rPr>
          <w:lang w:val="en-AU"/>
        </w:rPr>
        <w:t>(1990) 62 CCC (3d) 193. See also Colvin and McKechnie,</w:t>
      </w:r>
      <w:r w:rsidRPr="00C01310">
        <w:rPr>
          <w:i/>
          <w:lang w:val="en-AU"/>
        </w:rPr>
        <w:t xml:space="preserve"> </w:t>
      </w:r>
      <w:r w:rsidRPr="00190C73">
        <w:rPr>
          <w:lang w:val="en-AU"/>
        </w:rPr>
        <w:t xml:space="preserve">above n </w:t>
      </w:r>
      <w:r w:rsidRPr="00190C73">
        <w:rPr>
          <w:lang w:val="en-AU"/>
        </w:rPr>
        <w:fldChar w:fldCharType="begin"/>
      </w:r>
      <w:r w:rsidRPr="00190C73">
        <w:rPr>
          <w:lang w:val="en-AU"/>
        </w:rPr>
        <w:instrText xml:space="preserve"> NOTEREF _Ref535504433 \h </w:instrText>
      </w:r>
      <w:r>
        <w:rPr>
          <w:lang w:val="en-AU"/>
        </w:rPr>
        <w:instrText xml:space="preserve"> \* MERGEFORMAT </w:instrText>
      </w:r>
      <w:r w:rsidRPr="00190C73">
        <w:rPr>
          <w:lang w:val="en-AU"/>
        </w:rPr>
      </w:r>
      <w:r w:rsidRPr="00190C73">
        <w:rPr>
          <w:lang w:val="en-AU"/>
        </w:rPr>
        <w:fldChar w:fldCharType="separate"/>
      </w:r>
      <w:r w:rsidR="001F209C">
        <w:rPr>
          <w:lang w:val="en-AU"/>
        </w:rPr>
        <w:t>373</w:t>
      </w:r>
      <w:r w:rsidRPr="00190C73">
        <w:rPr>
          <w:lang w:val="en-AU"/>
        </w:rPr>
        <w:fldChar w:fldCharType="end"/>
      </w:r>
      <w:r w:rsidRPr="00190C73">
        <w:rPr>
          <w:lang w:val="en-AU"/>
        </w:rPr>
        <w:t>,</w:t>
      </w:r>
      <w:r w:rsidRPr="00C01310">
        <w:rPr>
          <w:lang w:val="en-AU"/>
        </w:rPr>
        <w:t xml:space="preserve"> 17.20; J Devereux and M Blake, </w:t>
      </w:r>
      <w:r w:rsidRPr="00C01310">
        <w:rPr>
          <w:i/>
          <w:lang w:val="en-AU"/>
        </w:rPr>
        <w:t xml:space="preserve">Kenny Criminal Law </w:t>
      </w:r>
      <w:r>
        <w:rPr>
          <w:i/>
          <w:lang w:val="en-AU"/>
        </w:rPr>
        <w:t>i</w:t>
      </w:r>
      <w:r w:rsidRPr="00C01310">
        <w:rPr>
          <w:i/>
          <w:lang w:val="en-AU"/>
        </w:rPr>
        <w:t>n Queensland and Western Australia</w:t>
      </w:r>
      <w:r w:rsidRPr="00C01310">
        <w:rPr>
          <w:lang w:val="en-AU"/>
        </w:rPr>
        <w:t xml:space="preserve"> (Lexis Nexis, 8</w:t>
      </w:r>
      <w:r w:rsidRPr="00C01310">
        <w:rPr>
          <w:vertAlign w:val="superscript"/>
          <w:lang w:val="en-AU"/>
        </w:rPr>
        <w:t>th</w:t>
      </w:r>
      <w:r w:rsidRPr="00C01310">
        <w:rPr>
          <w:lang w:val="en-AU"/>
        </w:rPr>
        <w:t xml:space="preserve"> ed, 2013) [8.115]; Klinck, </w:t>
      </w:r>
      <w:r>
        <w:rPr>
          <w:lang w:val="en-AU"/>
        </w:rPr>
        <w:t xml:space="preserve">above n </w:t>
      </w:r>
      <w:r>
        <w:rPr>
          <w:lang w:val="en-AU"/>
        </w:rPr>
        <w:fldChar w:fldCharType="begin"/>
      </w:r>
      <w:r>
        <w:rPr>
          <w:lang w:val="en-AU"/>
        </w:rPr>
        <w:instrText xml:space="preserve"> NOTEREF _Ref535504549 \h </w:instrText>
      </w:r>
      <w:r>
        <w:rPr>
          <w:lang w:val="en-AU"/>
        </w:rPr>
      </w:r>
      <w:r>
        <w:rPr>
          <w:lang w:val="en-AU"/>
        </w:rPr>
        <w:fldChar w:fldCharType="separate"/>
      </w:r>
      <w:r w:rsidR="001F209C">
        <w:rPr>
          <w:lang w:val="en-AU"/>
        </w:rPr>
        <w:t>560</w:t>
      </w:r>
      <w:r>
        <w:rPr>
          <w:lang w:val="en-AU"/>
        </w:rPr>
        <w:fldChar w:fldCharType="end"/>
      </w:r>
      <w:r w:rsidRPr="00C01310">
        <w:rPr>
          <w:lang w:val="en-AU"/>
        </w:rPr>
        <w:t xml:space="preserve">, P Fairall, ‘The Exculpatory Force of Delusions </w:t>
      </w:r>
      <w:r>
        <w:rPr>
          <w:lang w:val="en-AU"/>
        </w:rPr>
        <w:t>–</w:t>
      </w:r>
      <w:r w:rsidRPr="00C01310">
        <w:rPr>
          <w:lang w:val="en-AU"/>
        </w:rPr>
        <w:t xml:space="preserve"> A Note on the Insanity Defence’ (1994) 6 </w:t>
      </w:r>
      <w:r w:rsidRPr="00C01310">
        <w:rPr>
          <w:i/>
          <w:lang w:val="en-AU"/>
        </w:rPr>
        <w:t xml:space="preserve">Bond Law Review </w:t>
      </w:r>
      <w:r w:rsidRPr="00C01310">
        <w:rPr>
          <w:lang w:val="en-AU"/>
        </w:rPr>
        <w:t xml:space="preserve">57, 59; Ormerod, above n </w:t>
      </w:r>
      <w:r w:rsidRPr="00C01310">
        <w:rPr>
          <w:lang w:val="en-AU"/>
        </w:rPr>
        <w:fldChar w:fldCharType="begin"/>
      </w:r>
      <w:r w:rsidRPr="00C01310">
        <w:rPr>
          <w:lang w:val="en-AU"/>
        </w:rPr>
        <w:instrText xml:space="preserve"> NOTEREF _Ref303944478 \h </w:instrText>
      </w:r>
      <w:r w:rsidRPr="00C01310">
        <w:rPr>
          <w:lang w:val="en-AU"/>
        </w:rPr>
      </w:r>
      <w:r w:rsidRPr="00C01310">
        <w:rPr>
          <w:lang w:val="en-AU"/>
        </w:rPr>
        <w:fldChar w:fldCharType="separate"/>
      </w:r>
      <w:r w:rsidR="001F209C">
        <w:rPr>
          <w:lang w:val="en-AU"/>
        </w:rPr>
        <w:t>473</w:t>
      </w:r>
      <w:r w:rsidRPr="00C01310">
        <w:rPr>
          <w:lang w:val="en-AU"/>
        </w:rPr>
        <w:fldChar w:fldCharType="end"/>
      </w:r>
      <w:r w:rsidRPr="00C01310">
        <w:rPr>
          <w:lang w:val="en-AU"/>
        </w:rPr>
        <w:t xml:space="preserve">, 304. </w:t>
      </w:r>
    </w:p>
  </w:footnote>
  <w:footnote w:id="569">
    <w:p w14:paraId="45BD0522" w14:textId="62914635" w:rsidR="00EE78D8" w:rsidRPr="00C01310" w:rsidRDefault="00EE78D8" w:rsidP="00E04F28">
      <w:pPr>
        <w:pStyle w:val="FootnoteTextTLRI"/>
        <w:rPr>
          <w:lang w:val="en-AU"/>
        </w:rPr>
      </w:pPr>
      <w:r w:rsidRPr="00C01310">
        <w:rPr>
          <w:rStyle w:val="TLRIFootnoteRef"/>
          <w:lang w:val="en-AU"/>
        </w:rPr>
        <w:footnoteRef/>
      </w:r>
      <w:r w:rsidRPr="00C01310">
        <w:rPr>
          <w:lang w:val="en-AU"/>
        </w:rPr>
        <w:t xml:space="preserve"> </w:t>
      </w:r>
      <w:r w:rsidRPr="00C01310">
        <w:rPr>
          <w:lang w:val="en-AU"/>
        </w:rPr>
        <w:tab/>
        <w:t xml:space="preserve">It should be noted that the former Canadian provision, s 16(3) of the </w:t>
      </w:r>
      <w:r w:rsidRPr="00C01310">
        <w:rPr>
          <w:i/>
          <w:lang w:val="en-AU"/>
        </w:rPr>
        <w:t>Criminal Code</w:t>
      </w:r>
      <w:r w:rsidRPr="00C01310">
        <w:rPr>
          <w:lang w:val="en-AU"/>
        </w:rPr>
        <w:t>,</w:t>
      </w:r>
      <w:r w:rsidRPr="00C01310">
        <w:rPr>
          <w:i/>
          <w:lang w:val="en-AU"/>
        </w:rPr>
        <w:t xml:space="preserve"> </w:t>
      </w:r>
      <w:r w:rsidRPr="00C01310">
        <w:rPr>
          <w:lang w:val="en-AU"/>
        </w:rPr>
        <w:t xml:space="preserve">made it clear that such an accused would receive an acquittal on the grounds of insanity (not a complete acquittal). Its repeal followed the </w:t>
      </w:r>
      <w:r>
        <w:rPr>
          <w:lang w:val="en-AU"/>
        </w:rPr>
        <w:t>R</w:t>
      </w:r>
      <w:r w:rsidRPr="00C01310">
        <w:rPr>
          <w:lang w:val="en-AU"/>
        </w:rPr>
        <w:t>eport of the Law Reform Commission of Canada that stated that ‘[m]edical opinion rejects the idea of partial insanity and legal scholarship stresses the injustice and illogicality of applying to the mentally abnormal a rule requiring normal reactions within their abnormality; a paranoiac killing his [or her] persecutor will be acquitted only if the imagined persecution would have justified the killing by way of self-defence — the law requires him [or her] to be sane in his [or her] insanity. For this reason it is suggested that the rule on insane delusions be abandoned’</w:t>
      </w:r>
      <w:r>
        <w:rPr>
          <w:lang w:val="en-AU"/>
        </w:rPr>
        <w:t>:</w:t>
      </w:r>
      <w:r w:rsidRPr="00C01310">
        <w:rPr>
          <w:lang w:val="en-AU"/>
        </w:rPr>
        <w:t xml:space="preserve"> Law Reform Commission of Canada, </w:t>
      </w:r>
      <w:r>
        <w:rPr>
          <w:lang w:val="en-AU"/>
        </w:rPr>
        <w:t xml:space="preserve">above n </w:t>
      </w:r>
      <w:r>
        <w:rPr>
          <w:lang w:val="en-AU"/>
        </w:rPr>
        <w:fldChar w:fldCharType="begin"/>
      </w:r>
      <w:r>
        <w:rPr>
          <w:lang w:val="en-AU"/>
        </w:rPr>
        <w:instrText xml:space="preserve"> NOTEREF _Ref303945387 \h </w:instrText>
      </w:r>
      <w:r>
        <w:rPr>
          <w:lang w:val="en-AU"/>
        </w:rPr>
      </w:r>
      <w:r>
        <w:rPr>
          <w:lang w:val="en-AU"/>
        </w:rPr>
        <w:fldChar w:fldCharType="separate"/>
      </w:r>
      <w:r w:rsidR="001F209C">
        <w:rPr>
          <w:lang w:val="en-AU"/>
        </w:rPr>
        <w:t>568</w:t>
      </w:r>
      <w:r>
        <w:rPr>
          <w:lang w:val="en-AU"/>
        </w:rPr>
        <w:fldChar w:fldCharType="end"/>
      </w:r>
      <w:r w:rsidRPr="00C01310">
        <w:rPr>
          <w:lang w:val="en-AU"/>
        </w:rPr>
        <w:t>, 218.</w:t>
      </w:r>
    </w:p>
  </w:footnote>
  <w:footnote w:id="570">
    <w:p w14:paraId="7F7AB3FA" w14:textId="77777777" w:rsidR="00EE78D8" w:rsidRPr="00C01310" w:rsidRDefault="00EE78D8" w:rsidP="00E04F28">
      <w:pPr>
        <w:pStyle w:val="FootnoteTextTLRI"/>
        <w:rPr>
          <w:lang w:val="en-AU"/>
        </w:rPr>
      </w:pPr>
      <w:r w:rsidRPr="00C01310">
        <w:rPr>
          <w:rStyle w:val="TLRIFootnoteRef"/>
          <w:lang w:val="en-AU"/>
        </w:rPr>
        <w:footnoteRef/>
      </w:r>
      <w:r w:rsidRPr="00C01310">
        <w:rPr>
          <w:lang w:val="en-AU"/>
        </w:rPr>
        <w:t xml:space="preserve"> </w:t>
      </w:r>
      <w:r w:rsidRPr="00C01310">
        <w:rPr>
          <w:lang w:val="en-AU"/>
        </w:rPr>
        <w:tab/>
      </w:r>
      <w:r w:rsidRPr="00C01310">
        <w:rPr>
          <w:i/>
          <w:lang w:val="en-AU"/>
        </w:rPr>
        <w:t xml:space="preserve">R v Porter </w:t>
      </w:r>
      <w:r w:rsidRPr="00C01310">
        <w:rPr>
          <w:lang w:val="en-AU"/>
        </w:rPr>
        <w:t xml:space="preserve">(1933) 55 CLR 182, 189–190 cited by Gibson J in </w:t>
      </w:r>
      <w:r w:rsidRPr="00C01310">
        <w:rPr>
          <w:i/>
          <w:lang w:val="en-AU"/>
        </w:rPr>
        <w:t xml:space="preserve">Hitchens </w:t>
      </w:r>
      <w:r w:rsidRPr="00C01310">
        <w:rPr>
          <w:lang w:val="en-AU"/>
        </w:rPr>
        <w:t>[1959] Tas SR 209, 221.</w:t>
      </w:r>
    </w:p>
  </w:footnote>
  <w:footnote w:id="571">
    <w:p w14:paraId="21577ABA" w14:textId="40F12857" w:rsidR="00EE78D8" w:rsidRPr="00C01310" w:rsidRDefault="00EE78D8" w:rsidP="00E04F28">
      <w:pPr>
        <w:pStyle w:val="FootnoteTextTLRI"/>
        <w:rPr>
          <w:lang w:val="en-AU"/>
        </w:rPr>
      </w:pPr>
      <w:r w:rsidRPr="00C01310">
        <w:rPr>
          <w:rStyle w:val="TLRIFootnoteRef"/>
          <w:lang w:val="en-AU"/>
        </w:rPr>
        <w:footnoteRef/>
      </w:r>
      <w:r>
        <w:rPr>
          <w:lang w:val="en-AU"/>
        </w:rPr>
        <w:tab/>
      </w:r>
      <w:r w:rsidRPr="00C01310">
        <w:rPr>
          <w:lang w:val="en-AU"/>
        </w:rPr>
        <w:t xml:space="preserve">(1990) 62 CCC (3d) 193, 236 (Lamer CJC). Note that Slicer J distinguished this case in </w:t>
      </w:r>
      <w:r w:rsidRPr="00C01310">
        <w:rPr>
          <w:i/>
          <w:lang w:val="en-AU"/>
        </w:rPr>
        <w:t xml:space="preserve">Walsh </w:t>
      </w:r>
      <w:r w:rsidRPr="00C01310">
        <w:rPr>
          <w:lang w:val="en-AU"/>
        </w:rPr>
        <w:t>(1991) 60 A Crim R 419, 426–</w:t>
      </w:r>
      <w:r>
        <w:rPr>
          <w:lang w:val="en-AU"/>
        </w:rPr>
        <w:t>4</w:t>
      </w:r>
      <w:r w:rsidRPr="00C01310">
        <w:rPr>
          <w:lang w:val="en-AU"/>
        </w:rPr>
        <w:t>27.</w:t>
      </w:r>
    </w:p>
  </w:footnote>
  <w:footnote w:id="572">
    <w:p w14:paraId="184A9EE1" w14:textId="68BA25A7" w:rsidR="00EE78D8" w:rsidRPr="006072ED" w:rsidRDefault="00EE78D8">
      <w:pPr>
        <w:pStyle w:val="FootnoteText"/>
        <w:rPr>
          <w:lang w:val="en-US"/>
        </w:rPr>
      </w:pPr>
      <w:r>
        <w:rPr>
          <w:rStyle w:val="FootnoteReference"/>
        </w:rPr>
        <w:footnoteRef/>
      </w:r>
      <w:r>
        <w:tab/>
        <w:t xml:space="preserve">Simester et al, above n </w:t>
      </w:r>
      <w:r>
        <w:fldChar w:fldCharType="begin"/>
      </w:r>
      <w:r>
        <w:instrText xml:space="preserve"> NOTEREF _Ref535329003 \h </w:instrText>
      </w:r>
      <w:r>
        <w:fldChar w:fldCharType="separate"/>
      </w:r>
      <w:r w:rsidR="001F209C">
        <w:t>353</w:t>
      </w:r>
      <w:r>
        <w:fldChar w:fldCharType="end"/>
      </w:r>
      <w:r>
        <w:t>, 723.</w:t>
      </w:r>
    </w:p>
  </w:footnote>
  <w:footnote w:id="573">
    <w:p w14:paraId="340C039E" w14:textId="35FFD5D9" w:rsidR="00EE78D8" w:rsidRPr="00C01310" w:rsidRDefault="00EE78D8" w:rsidP="00E04F28">
      <w:pPr>
        <w:pStyle w:val="FootnoteTextTLRI"/>
        <w:rPr>
          <w:lang w:val="en-AU"/>
        </w:rPr>
      </w:pPr>
      <w:r w:rsidRPr="00C01310">
        <w:rPr>
          <w:rStyle w:val="TLRIFootnoteRef"/>
          <w:lang w:val="en-AU"/>
        </w:rPr>
        <w:footnoteRef/>
      </w:r>
      <w:r>
        <w:rPr>
          <w:lang w:val="en-AU"/>
        </w:rPr>
        <w:tab/>
      </w:r>
      <w:r w:rsidRPr="00C01310">
        <w:rPr>
          <w:i/>
          <w:lang w:val="en-AU"/>
        </w:rPr>
        <w:t xml:space="preserve">Criminal Code </w:t>
      </w:r>
      <w:r w:rsidRPr="00C01310">
        <w:rPr>
          <w:lang w:val="en-AU"/>
        </w:rPr>
        <w:t>(Tas) s 16(3).</w:t>
      </w:r>
    </w:p>
  </w:footnote>
  <w:footnote w:id="574">
    <w:p w14:paraId="4BF39A44" w14:textId="5D21514A" w:rsidR="00EE78D8" w:rsidRPr="00C01310" w:rsidRDefault="00EE78D8" w:rsidP="00E04F28">
      <w:pPr>
        <w:pStyle w:val="FootnoteTextTLRI"/>
        <w:rPr>
          <w:lang w:val="en-AU"/>
        </w:rPr>
      </w:pPr>
      <w:r w:rsidRPr="00C01310">
        <w:rPr>
          <w:rStyle w:val="TLRIFootnoteRef"/>
          <w:lang w:val="en-AU"/>
        </w:rPr>
        <w:footnoteRef/>
      </w:r>
      <w:r>
        <w:rPr>
          <w:lang w:val="en-AU"/>
        </w:rPr>
        <w:tab/>
      </w:r>
      <w:r w:rsidRPr="00C01310">
        <w:rPr>
          <w:lang w:val="en-AU"/>
        </w:rPr>
        <w:t xml:space="preserve">This was the view of Slicer J in </w:t>
      </w:r>
      <w:r w:rsidRPr="00C01310">
        <w:rPr>
          <w:i/>
          <w:lang w:val="en-AU"/>
        </w:rPr>
        <w:t>Walsh</w:t>
      </w:r>
      <w:r w:rsidRPr="00C01310">
        <w:rPr>
          <w:lang w:val="en-AU"/>
        </w:rPr>
        <w:t xml:space="preserve"> (1991) 60 A Crim R 419, 427. See Howard and Westmore, </w:t>
      </w:r>
      <w:r>
        <w:rPr>
          <w:lang w:val="en-AU"/>
        </w:rPr>
        <w:t xml:space="preserve">above n </w:t>
      </w:r>
      <w:r>
        <w:rPr>
          <w:highlight w:val="yellow"/>
          <w:lang w:val="en-AU"/>
        </w:rPr>
        <w:fldChar w:fldCharType="begin"/>
      </w:r>
      <w:r>
        <w:rPr>
          <w:lang w:val="en-AU"/>
        </w:rPr>
        <w:instrText xml:space="preserve"> NOTEREF _Ref535179556 \h </w:instrText>
      </w:r>
      <w:r>
        <w:rPr>
          <w:highlight w:val="yellow"/>
          <w:lang w:val="en-AU"/>
        </w:rPr>
      </w:r>
      <w:r>
        <w:rPr>
          <w:highlight w:val="yellow"/>
          <w:lang w:val="en-AU"/>
        </w:rPr>
        <w:fldChar w:fldCharType="separate"/>
      </w:r>
      <w:r w:rsidR="001F209C">
        <w:rPr>
          <w:lang w:val="en-AU"/>
        </w:rPr>
        <w:t>347</w:t>
      </w:r>
      <w:r>
        <w:rPr>
          <w:highlight w:val="yellow"/>
          <w:lang w:val="en-AU"/>
        </w:rPr>
        <w:fldChar w:fldCharType="end"/>
      </w:r>
      <w:r w:rsidRPr="00C01310">
        <w:rPr>
          <w:lang w:val="en-AU"/>
        </w:rPr>
        <w:t>, [6.47–6.50].</w:t>
      </w:r>
    </w:p>
  </w:footnote>
  <w:footnote w:id="575">
    <w:p w14:paraId="5B7202AF" w14:textId="2B96BD11" w:rsidR="00EE78D8" w:rsidRPr="00C01310" w:rsidRDefault="00EE78D8" w:rsidP="00E04F28">
      <w:pPr>
        <w:pStyle w:val="FootnoteTextTLRI"/>
        <w:rPr>
          <w:lang w:val="en-AU"/>
        </w:rPr>
      </w:pPr>
      <w:r w:rsidRPr="00C01310">
        <w:rPr>
          <w:rStyle w:val="TLRIFootnoteRef"/>
          <w:lang w:val="en-AU"/>
        </w:rPr>
        <w:footnoteRef/>
      </w:r>
      <w:r>
        <w:rPr>
          <w:lang w:val="en-AU"/>
        </w:rPr>
        <w:tab/>
      </w:r>
      <w:r w:rsidRPr="00C01310">
        <w:rPr>
          <w:lang w:val="en-AU"/>
        </w:rPr>
        <w:t>[1993] TASSC 91, [26] (Crawford J).</w:t>
      </w:r>
    </w:p>
  </w:footnote>
  <w:footnote w:id="576">
    <w:p w14:paraId="31D06820" w14:textId="7F111E6D" w:rsidR="00EE78D8" w:rsidRPr="00C01310" w:rsidRDefault="00EE78D8" w:rsidP="00FC008F">
      <w:pPr>
        <w:pStyle w:val="FootnoteTextTLRI"/>
        <w:rPr>
          <w:lang w:val="en-AU"/>
        </w:rPr>
      </w:pPr>
      <w:r w:rsidRPr="00C01310">
        <w:rPr>
          <w:rStyle w:val="TLRIFootnoteRef"/>
          <w:lang w:val="en-AU"/>
        </w:rPr>
        <w:footnoteRef/>
      </w:r>
      <w:r>
        <w:rPr>
          <w:lang w:val="en-AU"/>
        </w:rPr>
        <w:tab/>
      </w:r>
      <w:r w:rsidRPr="00C01310">
        <w:rPr>
          <w:lang w:val="en-AU"/>
        </w:rPr>
        <w:t xml:space="preserve">The </w:t>
      </w:r>
      <w:r w:rsidRPr="00C01310">
        <w:rPr>
          <w:i/>
          <w:lang w:val="en-AU"/>
        </w:rPr>
        <w:t xml:space="preserve">Criminal Code </w:t>
      </w:r>
      <w:r w:rsidRPr="00C01310">
        <w:rPr>
          <w:lang w:val="en-AU"/>
        </w:rPr>
        <w:t xml:space="preserve">(Tas) s 16(3) substantially reproduces the statement of the House of Lords in </w:t>
      </w:r>
      <w:r w:rsidRPr="00C01310">
        <w:rPr>
          <w:i/>
          <w:lang w:val="en-AU"/>
        </w:rPr>
        <w:t xml:space="preserve">M’Naghten’s </w:t>
      </w:r>
      <w:r w:rsidRPr="00C01310">
        <w:rPr>
          <w:lang w:val="en-AU"/>
        </w:rPr>
        <w:t xml:space="preserve">case about the effect of insane delusions on criminal responsibility, where the accused is not otherwise legally insane — in this case ‘the defendant’s responsibility is judged by reference to the facts as he supposed them to be and not the actual facts’. See Baker, </w:t>
      </w:r>
      <w:r>
        <w:t xml:space="preserve">above n </w:t>
      </w:r>
      <w:r>
        <w:fldChar w:fldCharType="begin"/>
      </w:r>
      <w:r>
        <w:instrText xml:space="preserve"> NOTEREF _Ref535500638 \h </w:instrText>
      </w:r>
      <w:r>
        <w:fldChar w:fldCharType="separate"/>
      </w:r>
      <w:r w:rsidR="001F209C">
        <w:t>555</w:t>
      </w:r>
      <w:r>
        <w:fldChar w:fldCharType="end"/>
      </w:r>
      <w:r>
        <w:t>,</w:t>
      </w:r>
      <w:r w:rsidRPr="00C01310">
        <w:rPr>
          <w:lang w:val="en-AU"/>
        </w:rPr>
        <w:t xml:space="preserve"> [27–017]; Law Commission </w:t>
      </w:r>
      <w:r>
        <w:rPr>
          <w:lang w:val="en-AU"/>
        </w:rPr>
        <w:t>of England and Wales</w:t>
      </w:r>
      <w:r w:rsidRPr="00C01310">
        <w:rPr>
          <w:lang w:val="en-AU"/>
        </w:rPr>
        <w:t xml:space="preserve">, </w:t>
      </w:r>
      <w:r>
        <w:rPr>
          <w:lang w:val="en-AU"/>
        </w:rPr>
        <w:t xml:space="preserve">above n </w:t>
      </w:r>
      <w:r>
        <w:fldChar w:fldCharType="begin"/>
      </w:r>
      <w:r>
        <w:instrText xml:space="preserve"> NOTEREF _Ref535500638 \h </w:instrText>
      </w:r>
      <w:r>
        <w:fldChar w:fldCharType="separate"/>
      </w:r>
      <w:r w:rsidR="001F209C">
        <w:t>555</w:t>
      </w:r>
      <w:r>
        <w:fldChar w:fldCharType="end"/>
      </w:r>
      <w:r>
        <w:t>,</w:t>
      </w:r>
      <w:r w:rsidRPr="00C01310">
        <w:rPr>
          <w:lang w:val="en-AU"/>
        </w:rPr>
        <w:t xml:space="preserve"> 4.59 fn 62. Although note </w:t>
      </w:r>
      <w:r w:rsidRPr="00C01310">
        <w:rPr>
          <w:i/>
          <w:lang w:val="en-AU"/>
        </w:rPr>
        <w:t xml:space="preserve">R v Oye </w:t>
      </w:r>
      <w:r w:rsidRPr="00C01310">
        <w:rPr>
          <w:lang w:val="en-AU"/>
        </w:rPr>
        <w:t xml:space="preserve">[2014] 1 WLR 3354 where the accused was able to rely on insanity and self-defence in tandem: see discussion in </w:t>
      </w:r>
      <w:r w:rsidRPr="00263FDE">
        <w:rPr>
          <w:rFonts w:eastAsiaTheme="minorEastAsia"/>
        </w:rPr>
        <w:t>Child and</w:t>
      </w:r>
      <w:r>
        <w:rPr>
          <w:rFonts w:eastAsiaTheme="minorEastAsia"/>
        </w:rPr>
        <w:t xml:space="preserve"> </w:t>
      </w:r>
      <w:r w:rsidRPr="00263FDE">
        <w:rPr>
          <w:rFonts w:eastAsiaTheme="minorEastAsia"/>
        </w:rPr>
        <w:t xml:space="preserve">Sullivan, </w:t>
      </w:r>
      <w:r>
        <w:rPr>
          <w:rFonts w:eastAsiaTheme="minorEastAsia"/>
        </w:rPr>
        <w:t xml:space="preserve">above n </w:t>
      </w:r>
      <w:r>
        <w:rPr>
          <w:rFonts w:eastAsiaTheme="minorEastAsia"/>
        </w:rPr>
        <w:fldChar w:fldCharType="begin"/>
      </w:r>
      <w:r>
        <w:rPr>
          <w:rFonts w:eastAsiaTheme="minorEastAsia"/>
        </w:rPr>
        <w:instrText xml:space="preserve"> NOTEREF _Ref535348062 \h </w:instrText>
      </w:r>
      <w:r>
        <w:rPr>
          <w:rFonts w:eastAsiaTheme="minorEastAsia"/>
        </w:rPr>
      </w:r>
      <w:r>
        <w:rPr>
          <w:rFonts w:eastAsiaTheme="minorEastAsia"/>
        </w:rPr>
        <w:fldChar w:fldCharType="separate"/>
      </w:r>
      <w:r w:rsidR="001F209C">
        <w:rPr>
          <w:rFonts w:eastAsiaTheme="minorEastAsia"/>
        </w:rPr>
        <w:t>343</w:t>
      </w:r>
      <w:r>
        <w:rPr>
          <w:rFonts w:eastAsiaTheme="minorEastAsia"/>
        </w:rPr>
        <w:fldChar w:fldCharType="end"/>
      </w:r>
      <w:r w:rsidRPr="00C01310">
        <w:rPr>
          <w:lang w:val="en-AU"/>
        </w:rPr>
        <w:t xml:space="preserve">; Mackay, </w:t>
      </w:r>
      <w:r>
        <w:t xml:space="preserve">above n </w:t>
      </w:r>
      <w:r>
        <w:fldChar w:fldCharType="begin"/>
      </w:r>
      <w:r>
        <w:instrText xml:space="preserve"> NOTEREF _Ref535500638 \h </w:instrText>
      </w:r>
      <w:r>
        <w:fldChar w:fldCharType="separate"/>
      </w:r>
      <w:r w:rsidR="001F209C">
        <w:t>555</w:t>
      </w:r>
      <w:r>
        <w:fldChar w:fldCharType="end"/>
      </w:r>
      <w:r w:rsidRPr="00C01310">
        <w:rPr>
          <w:lang w:val="en-AU"/>
        </w:rPr>
        <w:t xml:space="preserve">. </w:t>
      </w:r>
    </w:p>
  </w:footnote>
  <w:footnote w:id="577">
    <w:p w14:paraId="233765AC" w14:textId="1B525ED7" w:rsidR="00EE78D8" w:rsidRPr="00C01310" w:rsidRDefault="00EE78D8" w:rsidP="00FC008F">
      <w:pPr>
        <w:pStyle w:val="FootnoteTextTLRI"/>
        <w:rPr>
          <w:lang w:val="en-AU"/>
        </w:rPr>
      </w:pPr>
      <w:r w:rsidRPr="00C01310">
        <w:rPr>
          <w:rStyle w:val="TLRIFootnoteRef"/>
          <w:lang w:val="en-AU"/>
        </w:rPr>
        <w:footnoteRef/>
      </w:r>
      <w:r>
        <w:rPr>
          <w:lang w:val="en-AU"/>
        </w:rPr>
        <w:tab/>
        <w:t>LRCWA</w:t>
      </w:r>
      <w:r w:rsidRPr="00C01310">
        <w:rPr>
          <w:lang w:val="en-AU"/>
        </w:rPr>
        <w:t xml:space="preserve">, </w:t>
      </w:r>
      <w:r w:rsidRPr="00E639C8">
        <w:rPr>
          <w:lang w:val="en-AU"/>
        </w:rPr>
        <w:t xml:space="preserve">above n </w:t>
      </w:r>
      <w:r w:rsidRPr="00E639C8">
        <w:rPr>
          <w:lang w:val="en-AU"/>
        </w:rPr>
        <w:fldChar w:fldCharType="begin"/>
      </w:r>
      <w:r w:rsidRPr="00E639C8">
        <w:rPr>
          <w:lang w:val="en-AU"/>
        </w:rPr>
        <w:instrText xml:space="preserve"> NOTEREF _Ref535407951 \h </w:instrText>
      </w:r>
      <w:r>
        <w:rPr>
          <w:lang w:val="en-AU"/>
        </w:rPr>
        <w:instrText xml:space="preserve"> \* MERGEFORMAT </w:instrText>
      </w:r>
      <w:r w:rsidRPr="00E639C8">
        <w:rPr>
          <w:lang w:val="en-AU"/>
        </w:rPr>
      </w:r>
      <w:r w:rsidRPr="00E639C8">
        <w:rPr>
          <w:lang w:val="en-AU"/>
        </w:rPr>
        <w:fldChar w:fldCharType="separate"/>
      </w:r>
      <w:r w:rsidR="001F209C">
        <w:rPr>
          <w:lang w:val="en-AU"/>
        </w:rPr>
        <w:t>371</w:t>
      </w:r>
      <w:r w:rsidRPr="00E639C8">
        <w:rPr>
          <w:lang w:val="en-AU"/>
        </w:rPr>
        <w:fldChar w:fldCharType="end"/>
      </w:r>
      <w:r>
        <w:rPr>
          <w:lang w:val="en-AU"/>
        </w:rPr>
        <w:t xml:space="preserve">, </w:t>
      </w:r>
      <w:r w:rsidRPr="00C01310">
        <w:rPr>
          <w:lang w:val="en-AU"/>
        </w:rPr>
        <w:t>233.</w:t>
      </w:r>
    </w:p>
  </w:footnote>
  <w:footnote w:id="578">
    <w:p w14:paraId="1F444D5B" w14:textId="246BCE78" w:rsidR="00EE78D8" w:rsidRPr="00C01310" w:rsidRDefault="00EE78D8" w:rsidP="00FC008F">
      <w:pPr>
        <w:pStyle w:val="FootnoteTextTLRI"/>
        <w:rPr>
          <w:lang w:val="en-AU"/>
        </w:rPr>
      </w:pPr>
      <w:r w:rsidRPr="00C01310">
        <w:rPr>
          <w:rStyle w:val="TLRIFootnoteRef"/>
          <w:lang w:val="en-AU"/>
        </w:rPr>
        <w:footnoteRef/>
      </w:r>
      <w:r>
        <w:rPr>
          <w:lang w:val="en-AU"/>
        </w:rPr>
        <w:tab/>
      </w:r>
      <w:r w:rsidRPr="00C01310">
        <w:rPr>
          <w:lang w:val="en-AU"/>
        </w:rPr>
        <w:t xml:space="preserve">Ibid 233. However, the </w:t>
      </w:r>
      <w:r>
        <w:rPr>
          <w:lang w:val="en-AU"/>
        </w:rPr>
        <w:t>LRCWA</w:t>
      </w:r>
      <w:r w:rsidRPr="00C01310">
        <w:rPr>
          <w:lang w:val="en-AU"/>
        </w:rPr>
        <w:t xml:space="preserve"> relied on the first instance judgment of Slicer J in </w:t>
      </w:r>
      <w:r w:rsidRPr="00C01310">
        <w:rPr>
          <w:i/>
          <w:lang w:val="en-AU"/>
        </w:rPr>
        <w:t xml:space="preserve">Walsh </w:t>
      </w:r>
      <w:r w:rsidRPr="00C01310">
        <w:rPr>
          <w:lang w:val="en-AU"/>
        </w:rPr>
        <w:t>(1991) 60 A Crim R 419 as justification for a continued need for the provision and did not refer to the subsequent Court of Criminal Appeal judgment.</w:t>
      </w:r>
    </w:p>
  </w:footnote>
  <w:footnote w:id="579">
    <w:p w14:paraId="70F5548C" w14:textId="43239F90" w:rsidR="00EE78D8" w:rsidRPr="00DF7635" w:rsidRDefault="00EE78D8">
      <w:pPr>
        <w:pStyle w:val="FootnoteText"/>
        <w:rPr>
          <w:lang w:val="en-US"/>
        </w:rPr>
      </w:pPr>
      <w:r>
        <w:rPr>
          <w:rStyle w:val="FootnoteReference"/>
        </w:rPr>
        <w:footnoteRef/>
      </w:r>
      <w:r>
        <w:tab/>
      </w:r>
      <w:r>
        <w:rPr>
          <w:lang w:val="en-US"/>
        </w:rPr>
        <w:t>See discussion at [7.5.5].</w:t>
      </w:r>
    </w:p>
  </w:footnote>
  <w:footnote w:id="580">
    <w:p w14:paraId="7FD9E252" w14:textId="0BE0E1DD" w:rsidR="00EE78D8" w:rsidRPr="00CC32F9" w:rsidRDefault="00EE78D8">
      <w:pPr>
        <w:pStyle w:val="FootnoteText"/>
        <w:rPr>
          <w:lang w:val="en-US"/>
        </w:rPr>
      </w:pPr>
      <w:r>
        <w:rPr>
          <w:rStyle w:val="FootnoteReference"/>
        </w:rPr>
        <w:footnoteRef/>
      </w:r>
      <w:r>
        <w:tab/>
        <w:t xml:space="preserve">Law Commission of England and Wales, </w:t>
      </w:r>
      <w:r w:rsidRPr="00645C81">
        <w:t xml:space="preserve">above n </w:t>
      </w:r>
      <w:r w:rsidRPr="00645C81">
        <w:fldChar w:fldCharType="begin"/>
      </w:r>
      <w:r w:rsidRPr="00645C81">
        <w:instrText xml:space="preserve"> NOTEREF _Ref535329182 \h </w:instrText>
      </w:r>
      <w:r>
        <w:instrText xml:space="preserve"> \* MERGEFORMAT </w:instrText>
      </w:r>
      <w:r w:rsidRPr="00645C81">
        <w:fldChar w:fldCharType="separate"/>
      </w:r>
      <w:r w:rsidR="001F209C">
        <w:t>339</w:t>
      </w:r>
      <w:r w:rsidRPr="00645C81">
        <w:fldChar w:fldCharType="end"/>
      </w:r>
      <w:r>
        <w:t xml:space="preserve">, </w:t>
      </w:r>
      <w:r>
        <w:rPr>
          <w:lang w:val="en-US"/>
        </w:rPr>
        <w:t>176.</w:t>
      </w:r>
    </w:p>
  </w:footnote>
  <w:footnote w:id="581">
    <w:p w14:paraId="1E3C6517" w14:textId="00070614" w:rsidR="00EE78D8" w:rsidRDefault="00EE78D8" w:rsidP="00CC32F9">
      <w:pPr>
        <w:pStyle w:val="FootnoteText"/>
      </w:pPr>
      <w:r>
        <w:rPr>
          <w:rStyle w:val="FootnoteReference"/>
        </w:rPr>
        <w:footnoteRef/>
      </w:r>
      <w:r>
        <w:tab/>
      </w:r>
      <w:r w:rsidRPr="00A16AAC">
        <w:t>Bronitt and McSherry</w:t>
      </w:r>
      <w:r>
        <w:t xml:space="preserve">, </w:t>
      </w:r>
      <w:r w:rsidRPr="00D0550F">
        <w:t>above n</w:t>
      </w:r>
      <w:r>
        <w:rPr>
          <w:i/>
        </w:rPr>
        <w:t xml:space="preserve"> </w:t>
      </w:r>
      <w:r>
        <w:fldChar w:fldCharType="begin"/>
      </w:r>
      <w:r>
        <w:instrText xml:space="preserve"> NOTEREF _Ref535171610 \h </w:instrText>
      </w:r>
      <w:r>
        <w:fldChar w:fldCharType="separate"/>
      </w:r>
      <w:r w:rsidR="001F209C">
        <w:t>327</w:t>
      </w:r>
      <w:r>
        <w:fldChar w:fldCharType="end"/>
      </w:r>
      <w:r>
        <w:t>,</w:t>
      </w:r>
      <w:r w:rsidRPr="00C01310">
        <w:t xml:space="preserve"> </w:t>
      </w:r>
      <w:r>
        <w:t>251.</w:t>
      </w:r>
    </w:p>
  </w:footnote>
  <w:footnote w:id="582">
    <w:p w14:paraId="445E9279" w14:textId="70F8E4B0" w:rsidR="00EE78D8" w:rsidRDefault="00EE78D8" w:rsidP="00CC32F9">
      <w:pPr>
        <w:pStyle w:val="FootnoteText"/>
      </w:pPr>
      <w:r>
        <w:rPr>
          <w:rStyle w:val="FootnoteReference"/>
        </w:rPr>
        <w:footnoteRef/>
      </w:r>
      <w:r>
        <w:tab/>
        <w:t xml:space="preserve">Ibid 251–252. Similar comments are made by the Law Commission of England and Wales, </w:t>
      </w:r>
      <w:r w:rsidRPr="00645C81">
        <w:t xml:space="preserve">above n </w:t>
      </w:r>
      <w:r w:rsidRPr="00645C81">
        <w:fldChar w:fldCharType="begin"/>
      </w:r>
      <w:r w:rsidRPr="00645C81">
        <w:instrText xml:space="preserve"> NOTEREF _Ref535329182 \h </w:instrText>
      </w:r>
      <w:r>
        <w:instrText xml:space="preserve"> \* MERGEFORMAT </w:instrText>
      </w:r>
      <w:r w:rsidRPr="00645C81">
        <w:fldChar w:fldCharType="separate"/>
      </w:r>
      <w:r w:rsidR="001F209C">
        <w:t>339</w:t>
      </w:r>
      <w:r w:rsidRPr="00645C81">
        <w:fldChar w:fldCharType="end"/>
      </w:r>
      <w:r>
        <w:t>, 178.</w:t>
      </w:r>
    </w:p>
  </w:footnote>
  <w:footnote w:id="583">
    <w:p w14:paraId="2E62D5C0" w14:textId="60003F2A" w:rsidR="00EE78D8" w:rsidRPr="00CC32F9" w:rsidRDefault="00EE78D8">
      <w:pPr>
        <w:pStyle w:val="FootnoteText"/>
        <w:rPr>
          <w:lang w:val="en-US"/>
        </w:rPr>
      </w:pPr>
      <w:r>
        <w:rPr>
          <w:rStyle w:val="FootnoteReference"/>
        </w:rPr>
        <w:footnoteRef/>
      </w:r>
      <w:r>
        <w:tab/>
        <w:t xml:space="preserve">Law Commission of England and Wales, </w:t>
      </w:r>
      <w:r w:rsidRPr="00645C81">
        <w:t xml:space="preserve">above n </w:t>
      </w:r>
      <w:r w:rsidRPr="00645C81">
        <w:fldChar w:fldCharType="begin"/>
      </w:r>
      <w:r w:rsidRPr="00645C81">
        <w:instrText xml:space="preserve"> NOTEREF _Ref535329182 \h </w:instrText>
      </w:r>
      <w:r>
        <w:instrText xml:space="preserve"> \* MERGEFORMAT </w:instrText>
      </w:r>
      <w:r w:rsidRPr="00645C81">
        <w:fldChar w:fldCharType="separate"/>
      </w:r>
      <w:r w:rsidR="001F209C">
        <w:t>339</w:t>
      </w:r>
      <w:r w:rsidRPr="00645C81">
        <w:fldChar w:fldCharType="end"/>
      </w:r>
      <w:r>
        <w:t>, 181.</w:t>
      </w:r>
    </w:p>
  </w:footnote>
  <w:footnote w:id="584">
    <w:p w14:paraId="16F574F9" w14:textId="4A3E786C" w:rsidR="00EE78D8" w:rsidRPr="00927FCC" w:rsidRDefault="00EE78D8">
      <w:pPr>
        <w:pStyle w:val="FootnoteText"/>
        <w:rPr>
          <w:lang w:val="en-US"/>
        </w:rPr>
      </w:pPr>
      <w:r>
        <w:rPr>
          <w:rStyle w:val="FootnoteReference"/>
        </w:rPr>
        <w:footnoteRef/>
      </w:r>
      <w:r>
        <w:tab/>
      </w:r>
      <w:r>
        <w:rPr>
          <w:lang w:val="en-US"/>
        </w:rPr>
        <w:t>Ibid 182.</w:t>
      </w:r>
    </w:p>
  </w:footnote>
  <w:footnote w:id="585">
    <w:p w14:paraId="3CAB8AF5" w14:textId="23D8209E" w:rsidR="00EE78D8" w:rsidRPr="00804327" w:rsidRDefault="00EE78D8">
      <w:pPr>
        <w:pStyle w:val="FootnoteText"/>
        <w:rPr>
          <w:lang w:val="en-US"/>
        </w:rPr>
      </w:pPr>
      <w:r>
        <w:rPr>
          <w:rStyle w:val="FootnoteReference"/>
        </w:rPr>
        <w:footnoteRef/>
      </w:r>
      <w:r>
        <w:tab/>
      </w:r>
      <w:r>
        <w:rPr>
          <w:i/>
        </w:rPr>
        <w:t xml:space="preserve">Criminal Code </w:t>
      </w:r>
      <w:r>
        <w:t xml:space="preserve">(Cth) s 7.3(4) (prosecution may raise if the court gives leave); </w:t>
      </w:r>
      <w:r>
        <w:rPr>
          <w:i/>
        </w:rPr>
        <w:t xml:space="preserve">Criminal Code </w:t>
      </w:r>
      <w:r>
        <w:t xml:space="preserve">(ACT) s 28(6) (prosecution may raise if the court gives leave); </w:t>
      </w:r>
      <w:r>
        <w:rPr>
          <w:i/>
        </w:rPr>
        <w:t xml:space="preserve">Criminal Code </w:t>
      </w:r>
      <w:r>
        <w:t xml:space="preserve">(NT) s 43F(1) (may be raised by court, on application by prosecution, or on own initiative); </w:t>
      </w:r>
      <w:r>
        <w:rPr>
          <w:i/>
        </w:rPr>
        <w:t xml:space="preserve">Crimes (Mental Impairment and Unfitness to be Tried) Act 1997 </w:t>
      </w:r>
      <w:r>
        <w:t xml:space="preserve">(Vic) s 22(1) (prosecution may raise if the court gives leave), s 22(2) (if admissible evidence raises the issue, judge must direct the jury to consider); </w:t>
      </w:r>
      <w:r>
        <w:rPr>
          <w:i/>
        </w:rPr>
        <w:t xml:space="preserve">Criminal Law Consolidation Act 1935 </w:t>
      </w:r>
      <w:r>
        <w:t>(SA) s 269E(1)(b) (may be raised by prosecution, or by court on own initiative ‘in the interests of the proper administration of justice’).</w:t>
      </w:r>
    </w:p>
  </w:footnote>
  <w:footnote w:id="586">
    <w:p w14:paraId="56F46AF6" w14:textId="5B63AB83" w:rsidR="00EE78D8" w:rsidRPr="00804327" w:rsidRDefault="00EE78D8">
      <w:pPr>
        <w:pStyle w:val="FootnoteText"/>
        <w:rPr>
          <w:lang w:val="en-US"/>
        </w:rPr>
      </w:pPr>
      <w:r>
        <w:rPr>
          <w:rStyle w:val="FootnoteReference"/>
        </w:rPr>
        <w:footnoteRef/>
      </w:r>
      <w:r>
        <w:tab/>
        <w:t>See ibid.</w:t>
      </w:r>
    </w:p>
  </w:footnote>
  <w:footnote w:id="587">
    <w:p w14:paraId="22EDE72A" w14:textId="5D5EDD64" w:rsidR="00EE78D8" w:rsidRPr="00804327"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75 and Recommendation 3.3.</w:t>
      </w:r>
    </w:p>
  </w:footnote>
  <w:footnote w:id="588">
    <w:p w14:paraId="0C7639BC" w14:textId="0EED23F2" w:rsidR="00EE78D8" w:rsidRPr="00261834" w:rsidRDefault="00EE78D8" w:rsidP="00436904">
      <w:pPr>
        <w:pStyle w:val="FootnoteText"/>
        <w:jc w:val="left"/>
        <w:rPr>
          <w:lang w:val="en-US"/>
        </w:rPr>
      </w:pPr>
      <w:r>
        <w:rPr>
          <w:rStyle w:val="FootnoteReference"/>
        </w:rPr>
        <w:footnoteRef/>
      </w:r>
      <w:r>
        <w:tab/>
      </w:r>
      <w:r>
        <w:rPr>
          <w:lang w:val="en-US"/>
        </w:rPr>
        <w:t>S Beckett, ‘Appearing for the Mentally Impaired: Not Guilty Mental Illness Conference to In-house Solicitors Legal Aid NSW’ (2018) &lt;</w:t>
      </w:r>
      <w:hyperlink r:id="rId1" w:history="1">
        <w:r w:rsidRPr="00436904">
          <w:rPr>
            <w:rStyle w:val="FollowedHyperlink"/>
          </w:rPr>
          <w:t>http://www.publicdefenders.nsw.gov.au/Pages/public_defenders_research/Papers%20by%20Public%20Defenders/public_defenders_papers_pd.aspx</w:t>
        </w:r>
      </w:hyperlink>
      <w:r>
        <w:rPr>
          <w:lang w:val="en-US"/>
        </w:rPr>
        <w:t>&gt; 2.</w:t>
      </w:r>
    </w:p>
  </w:footnote>
  <w:footnote w:id="589">
    <w:p w14:paraId="7743A33A" w14:textId="5583B928" w:rsidR="00EE78D8" w:rsidRPr="00804327"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69.</w:t>
      </w:r>
    </w:p>
  </w:footnote>
  <w:footnote w:id="590">
    <w:p w14:paraId="3631C644" w14:textId="21E76863" w:rsidR="00EE78D8" w:rsidRPr="00804327" w:rsidRDefault="00EE78D8">
      <w:pPr>
        <w:pStyle w:val="FootnoteText"/>
        <w:rPr>
          <w:lang w:val="en-US"/>
        </w:rPr>
      </w:pPr>
      <w:r>
        <w:rPr>
          <w:rStyle w:val="FootnoteReference"/>
        </w:rPr>
        <w:footnoteRef/>
      </w:r>
      <w:r>
        <w:tab/>
      </w:r>
      <w:r>
        <w:rPr>
          <w:i/>
        </w:rPr>
        <w:t xml:space="preserve">R v Falconer </w:t>
      </w:r>
      <w:r>
        <w:t>(1990) 171 CLR 30, 62.</w:t>
      </w:r>
    </w:p>
  </w:footnote>
  <w:footnote w:id="591">
    <w:p w14:paraId="624EA9B2" w14:textId="2AE1C635" w:rsidR="00EE78D8" w:rsidRPr="00804327"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75.</w:t>
      </w:r>
    </w:p>
  </w:footnote>
  <w:footnote w:id="592">
    <w:p w14:paraId="71018E20" w14:textId="66B77AEF" w:rsidR="00EE78D8" w:rsidRPr="00804327" w:rsidRDefault="00EE78D8">
      <w:pPr>
        <w:pStyle w:val="FootnoteText"/>
        <w:rPr>
          <w:lang w:val="en-US"/>
        </w:rPr>
      </w:pPr>
      <w:r>
        <w:rPr>
          <w:rStyle w:val="FootnoteReference"/>
        </w:rPr>
        <w:footnoteRef/>
      </w:r>
      <w:r>
        <w:tab/>
      </w:r>
      <w:r>
        <w:rPr>
          <w:lang w:val="en-US"/>
        </w:rPr>
        <w:t>Ibid.</w:t>
      </w:r>
    </w:p>
  </w:footnote>
  <w:footnote w:id="593">
    <w:p w14:paraId="26309FC0" w14:textId="0F4FBF19" w:rsidR="00EE78D8" w:rsidRPr="00804327"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xml:space="preserve">, 74; NZLC, </w:t>
      </w:r>
      <w:r>
        <w:t xml:space="preserve">above n </w:t>
      </w:r>
      <w:r>
        <w:fldChar w:fldCharType="begin"/>
      </w:r>
      <w:r>
        <w:instrText xml:space="preserve"> NOTEREF _Ref535342070 \h </w:instrText>
      </w:r>
      <w:r>
        <w:fldChar w:fldCharType="separate"/>
      </w:r>
      <w:r w:rsidR="001F209C">
        <w:t>440</w:t>
      </w:r>
      <w:r>
        <w:fldChar w:fldCharType="end"/>
      </w:r>
      <w:r>
        <w:t>,</w:t>
      </w:r>
      <w:r>
        <w:rPr>
          <w:lang w:val="en-US"/>
        </w:rPr>
        <w:t xml:space="preserve"> 59.</w:t>
      </w:r>
    </w:p>
  </w:footnote>
  <w:footnote w:id="594">
    <w:p w14:paraId="56337852" w14:textId="4B4DD697" w:rsidR="00EE78D8" w:rsidRPr="00804327" w:rsidRDefault="00EE78D8">
      <w:pPr>
        <w:pStyle w:val="FootnoteText"/>
        <w:rPr>
          <w:lang w:val="en-US"/>
        </w:rPr>
      </w:pPr>
      <w:r>
        <w:rPr>
          <w:rStyle w:val="FootnoteReference"/>
        </w:rPr>
        <w:footnoteRef/>
      </w:r>
      <w:r>
        <w:tab/>
      </w:r>
      <w:r>
        <w:rPr>
          <w:lang w:val="en-US"/>
        </w:rPr>
        <w:t>NSWLRC,</w:t>
      </w:r>
      <w:r w:rsidRPr="00F04DA8">
        <w:rPr>
          <w:lang w:val="en-US"/>
        </w:rPr>
        <w:t xml:space="preserve"> </w:t>
      </w:r>
      <w:r>
        <w:rPr>
          <w:lang w:val="en-US"/>
        </w:rPr>
        <w:t xml:space="preserve">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75.</w:t>
      </w:r>
    </w:p>
  </w:footnote>
  <w:footnote w:id="595">
    <w:p w14:paraId="34FD6476" w14:textId="7CB1FCC1" w:rsidR="00EE78D8" w:rsidRPr="00804327" w:rsidRDefault="00EE78D8">
      <w:pPr>
        <w:pStyle w:val="FootnoteText"/>
        <w:rPr>
          <w:lang w:val="en-US"/>
        </w:rPr>
      </w:pPr>
      <w:r>
        <w:rPr>
          <w:rStyle w:val="FootnoteReference"/>
        </w:rPr>
        <w:footnoteRef/>
      </w:r>
      <w:r>
        <w:tab/>
      </w:r>
      <w:r>
        <w:rPr>
          <w:lang w:val="en-US"/>
        </w:rPr>
        <w:t xml:space="preserve">NZLC, </w:t>
      </w:r>
      <w:r>
        <w:t xml:space="preserve">above n </w:t>
      </w:r>
      <w:r>
        <w:fldChar w:fldCharType="begin"/>
      </w:r>
      <w:r>
        <w:instrText xml:space="preserve"> NOTEREF _Ref535342070 \h </w:instrText>
      </w:r>
      <w:r>
        <w:fldChar w:fldCharType="separate"/>
      </w:r>
      <w:r w:rsidR="001F209C">
        <w:t>440</w:t>
      </w:r>
      <w:r>
        <w:fldChar w:fldCharType="end"/>
      </w:r>
      <w:r>
        <w:t>,</w:t>
      </w:r>
      <w:r>
        <w:rPr>
          <w:lang w:val="en-US"/>
        </w:rPr>
        <w:t xml:space="preserve"> 59.</w:t>
      </w:r>
    </w:p>
  </w:footnote>
  <w:footnote w:id="596">
    <w:p w14:paraId="74B1B651" w14:textId="23BCBB8D" w:rsidR="00EE78D8" w:rsidRPr="00804327" w:rsidRDefault="00EE78D8" w:rsidP="00804327">
      <w:pPr>
        <w:pStyle w:val="FootnoteText"/>
        <w:rPr>
          <w:lang w:val="en-US"/>
        </w:rPr>
      </w:pPr>
      <w:r>
        <w:rPr>
          <w:rStyle w:val="FootnoteReference"/>
        </w:rPr>
        <w:footnoteRef/>
      </w:r>
      <w:r>
        <w:tab/>
      </w:r>
      <w:r>
        <w:rPr>
          <w:lang w:val="en-US"/>
        </w:rPr>
        <w:t>Ibid 61.</w:t>
      </w:r>
    </w:p>
  </w:footnote>
  <w:footnote w:id="597">
    <w:p w14:paraId="7AA12203" w14:textId="02CAE856" w:rsidR="00EE78D8" w:rsidRPr="00384FEF"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Recommendation 3.4.</w:t>
      </w:r>
    </w:p>
  </w:footnote>
  <w:footnote w:id="598">
    <w:p w14:paraId="712E47E4" w14:textId="6A7D09C7" w:rsidR="00EE78D8" w:rsidRPr="00A8635D" w:rsidRDefault="00EE78D8" w:rsidP="00016619">
      <w:pPr>
        <w:pStyle w:val="FootnoteText"/>
        <w:rPr>
          <w:lang w:val="en-US"/>
        </w:rPr>
      </w:pPr>
      <w:r>
        <w:rPr>
          <w:rStyle w:val="FootnoteReference"/>
        </w:rPr>
        <w:footnoteRef/>
      </w:r>
      <w:r>
        <w:tab/>
      </w:r>
      <w:r>
        <w:rPr>
          <w:lang w:val="en-US"/>
        </w:rPr>
        <w:t>Ibid 76.</w:t>
      </w:r>
    </w:p>
  </w:footnote>
  <w:footnote w:id="599">
    <w:p w14:paraId="288E1074" w14:textId="5917414E" w:rsidR="00EE78D8" w:rsidRPr="00016619" w:rsidRDefault="00EE78D8">
      <w:pPr>
        <w:pStyle w:val="FootnoteText"/>
        <w:rPr>
          <w:lang w:val="en-US"/>
        </w:rPr>
      </w:pPr>
      <w:r>
        <w:rPr>
          <w:rStyle w:val="FootnoteReference"/>
        </w:rPr>
        <w:footnoteRef/>
      </w:r>
      <w:r>
        <w:rPr>
          <w:lang w:val="en-US"/>
        </w:rPr>
        <w:tab/>
        <w:t xml:space="preserve">Scottish Law Commission, </w:t>
      </w:r>
      <w:r w:rsidRPr="003B7FB8">
        <w:rPr>
          <w:lang w:val="en-US"/>
        </w:rPr>
        <w:t xml:space="preserve">above n </w:t>
      </w:r>
      <w:r w:rsidRPr="003B7FB8">
        <w:rPr>
          <w:lang w:val="en-US"/>
        </w:rPr>
        <w:fldChar w:fldCharType="begin"/>
      </w:r>
      <w:r w:rsidRPr="003B7FB8">
        <w:rPr>
          <w:lang w:val="en-US"/>
        </w:rPr>
        <w:instrText xml:space="preserve"> NOTEREF _Ref535409289 \h </w:instrText>
      </w:r>
      <w:r>
        <w:rPr>
          <w:lang w:val="en-US"/>
        </w:rPr>
        <w:instrText xml:space="preserve"> \* MERGEFORMAT </w:instrText>
      </w:r>
      <w:r w:rsidRPr="003B7FB8">
        <w:rPr>
          <w:lang w:val="en-US"/>
        </w:rPr>
      </w:r>
      <w:r w:rsidRPr="003B7FB8">
        <w:rPr>
          <w:lang w:val="en-US"/>
        </w:rPr>
        <w:fldChar w:fldCharType="separate"/>
      </w:r>
      <w:r w:rsidR="001F209C">
        <w:rPr>
          <w:lang w:val="en-US"/>
        </w:rPr>
        <w:t>163</w:t>
      </w:r>
      <w:r w:rsidRPr="003B7FB8">
        <w:rPr>
          <w:lang w:val="en-US"/>
        </w:rPr>
        <w:fldChar w:fldCharType="end"/>
      </w:r>
      <w:r>
        <w:rPr>
          <w:lang w:val="en-US"/>
        </w:rPr>
        <w:t xml:space="preserve">, 64–65; </w:t>
      </w:r>
      <w:r>
        <w:t xml:space="preserve">Law Commission of England and Wales, </w:t>
      </w:r>
      <w:r w:rsidRPr="00645C81">
        <w:t xml:space="preserve">above n </w:t>
      </w:r>
      <w:r w:rsidRPr="00645C81">
        <w:fldChar w:fldCharType="begin"/>
      </w:r>
      <w:r w:rsidRPr="00645C81">
        <w:instrText xml:space="preserve"> NOTEREF _Ref535329182 \h </w:instrText>
      </w:r>
      <w:r>
        <w:instrText xml:space="preserve"> \* MERGEFORMAT </w:instrText>
      </w:r>
      <w:r w:rsidRPr="00645C81">
        <w:fldChar w:fldCharType="separate"/>
      </w:r>
      <w:r w:rsidR="001F209C">
        <w:t>339</w:t>
      </w:r>
      <w:r w:rsidRPr="00645C81">
        <w:fldChar w:fldCharType="end"/>
      </w:r>
      <w:r>
        <w:t>.</w:t>
      </w:r>
    </w:p>
  </w:footnote>
  <w:footnote w:id="600">
    <w:p w14:paraId="02081266" w14:textId="1AF4A31B" w:rsidR="00EE78D8" w:rsidRPr="00EB7993" w:rsidRDefault="00EE78D8">
      <w:pPr>
        <w:pStyle w:val="FootnoteText"/>
      </w:pPr>
      <w:r>
        <w:rPr>
          <w:rStyle w:val="FootnoteReference"/>
        </w:rPr>
        <w:footnoteRef/>
      </w:r>
      <w:r>
        <w:rPr>
          <w:i/>
        </w:rPr>
        <w:tab/>
        <w:t xml:space="preserve">Crimes Act 1900 </w:t>
      </w:r>
      <w:r>
        <w:t xml:space="preserve">(ACT) s 321(2)(b); </w:t>
      </w:r>
      <w:r>
        <w:rPr>
          <w:i/>
        </w:rPr>
        <w:t xml:space="preserve">Criminal Law Consolidation Act 1935 </w:t>
      </w:r>
      <w:r>
        <w:t xml:space="preserve">(SA) ss 269F(A)(5), 269G(B)(5); </w:t>
      </w:r>
      <w:r>
        <w:rPr>
          <w:i/>
        </w:rPr>
        <w:t xml:space="preserve">Crimes (Mental Impairment and Unfitness to be Tried) Act 1997 </w:t>
      </w:r>
      <w:r>
        <w:t xml:space="preserve">(Vic) s 21(4); </w:t>
      </w:r>
      <w:r>
        <w:rPr>
          <w:i/>
        </w:rPr>
        <w:t xml:space="preserve">Criminal Procedure Act 2004 </w:t>
      </w:r>
      <w:r>
        <w:t xml:space="preserve">(WA) s 93(1); </w:t>
      </w:r>
      <w:r>
        <w:rPr>
          <w:i/>
        </w:rPr>
        <w:t xml:space="preserve">Criminal Procedure (Mentally Impaired Persons) Act 2003 </w:t>
      </w:r>
      <w:r>
        <w:t>(NZ) s 20(2).</w:t>
      </w:r>
    </w:p>
  </w:footnote>
  <w:footnote w:id="601">
    <w:p w14:paraId="7825135F" w14:textId="371A1F9A" w:rsidR="00EE78D8" w:rsidRPr="006E6378" w:rsidRDefault="00EE78D8">
      <w:pPr>
        <w:pStyle w:val="FootnoteText"/>
        <w:rPr>
          <w:i/>
        </w:rPr>
      </w:pPr>
      <w:r>
        <w:rPr>
          <w:rStyle w:val="FootnoteReference"/>
        </w:rPr>
        <w:footnoteRef/>
      </w:r>
      <w:r>
        <w:tab/>
        <w:t xml:space="preserve">LRCWA, above n </w:t>
      </w:r>
      <w:r>
        <w:fldChar w:fldCharType="begin"/>
      </w:r>
      <w:r>
        <w:instrText xml:space="preserve"> NOTEREF _Ref535407951 \h </w:instrText>
      </w:r>
      <w:r>
        <w:fldChar w:fldCharType="separate"/>
      </w:r>
      <w:r w:rsidR="001F209C">
        <w:t>371</w:t>
      </w:r>
      <w:r>
        <w:fldChar w:fldCharType="end"/>
      </w:r>
      <w:r>
        <w:t xml:space="preserve">, 235 quoting </w:t>
      </w:r>
      <w:r w:rsidRPr="006E6378">
        <w:t>Model Criminal Code Officers Committee,</w:t>
      </w:r>
      <w:r>
        <w:t xml:space="preserve"> </w:t>
      </w:r>
      <w:r w:rsidRPr="006E6378">
        <w:rPr>
          <w:i/>
        </w:rPr>
        <w:t>General Principles of Criminal Responsibility</w:t>
      </w:r>
      <w:r w:rsidRPr="001473A8">
        <w:t>,</w:t>
      </w:r>
      <w:r>
        <w:rPr>
          <w:i/>
        </w:rPr>
        <w:t xml:space="preserve"> </w:t>
      </w:r>
      <w:r w:rsidRPr="006E6378">
        <w:t xml:space="preserve">Final Report </w:t>
      </w:r>
      <w:r>
        <w:t>(</w:t>
      </w:r>
      <w:r w:rsidRPr="006E6378">
        <w:t>2007) 47.</w:t>
      </w:r>
    </w:p>
  </w:footnote>
  <w:footnote w:id="602">
    <w:p w14:paraId="5FB9C97C" w14:textId="7B0D5234" w:rsidR="00EE78D8" w:rsidRPr="002223AB" w:rsidRDefault="00EE78D8">
      <w:pPr>
        <w:pStyle w:val="FootnoteText"/>
        <w:rPr>
          <w:lang w:val="en-US"/>
        </w:rPr>
      </w:pPr>
      <w:r>
        <w:rPr>
          <w:rStyle w:val="FootnoteReference"/>
        </w:rPr>
        <w:footnoteRef/>
      </w:r>
      <w:r>
        <w:tab/>
        <w:t xml:space="preserve">VLRC, above n </w:t>
      </w:r>
      <w:r>
        <w:fldChar w:fldCharType="begin"/>
      </w:r>
      <w:r>
        <w:instrText xml:space="preserve"> NOTEREF _Ref534978514 \h </w:instrText>
      </w:r>
      <w:r>
        <w:fldChar w:fldCharType="separate"/>
      </w:r>
      <w:r w:rsidR="001F209C">
        <w:t>24</w:t>
      </w:r>
      <w:r>
        <w:fldChar w:fldCharType="end"/>
      </w:r>
      <w:r>
        <w:t>, 232.</w:t>
      </w:r>
    </w:p>
  </w:footnote>
  <w:footnote w:id="603">
    <w:p w14:paraId="48C481E8" w14:textId="28805CB3" w:rsidR="00EE78D8" w:rsidRPr="002223AB" w:rsidRDefault="00EE78D8">
      <w:pPr>
        <w:pStyle w:val="FootnoteText"/>
        <w:rPr>
          <w:lang w:val="en-US"/>
        </w:rPr>
      </w:pPr>
      <w:r>
        <w:rPr>
          <w:rStyle w:val="FootnoteReference"/>
        </w:rPr>
        <w:footnoteRef/>
      </w:r>
      <w:r>
        <w:tab/>
      </w:r>
      <w:r>
        <w:rPr>
          <w:lang w:val="en-US"/>
        </w:rPr>
        <w:t xml:space="preserve">VLRC, </w:t>
      </w:r>
      <w:r>
        <w:rPr>
          <w:i/>
          <w:lang w:val="en-US"/>
        </w:rPr>
        <w:t xml:space="preserve">Defences to Homicide </w:t>
      </w:r>
      <w:r>
        <w:rPr>
          <w:lang w:val="en-US"/>
        </w:rPr>
        <w:t xml:space="preserve">(Final Report, 2004) 229 referred to in VLRC, above n </w:t>
      </w:r>
      <w:r>
        <w:rPr>
          <w:lang w:val="en-US"/>
        </w:rPr>
        <w:fldChar w:fldCharType="begin"/>
      </w:r>
      <w:r>
        <w:rPr>
          <w:lang w:val="en-US"/>
        </w:rPr>
        <w:instrText xml:space="preserve"> NOTEREF _Ref534979326 \h </w:instrText>
      </w:r>
      <w:r>
        <w:rPr>
          <w:lang w:val="en-US"/>
        </w:rPr>
      </w:r>
      <w:r>
        <w:rPr>
          <w:lang w:val="en-US"/>
        </w:rPr>
        <w:fldChar w:fldCharType="separate"/>
      </w:r>
      <w:r w:rsidR="001F209C">
        <w:rPr>
          <w:lang w:val="en-US"/>
        </w:rPr>
        <w:t>26</w:t>
      </w:r>
      <w:r>
        <w:rPr>
          <w:lang w:val="en-US"/>
        </w:rPr>
        <w:fldChar w:fldCharType="end"/>
      </w:r>
      <w:r>
        <w:t>, 103</w:t>
      </w:r>
      <w:r>
        <w:rPr>
          <w:lang w:val="en-US"/>
        </w:rPr>
        <w:t>.</w:t>
      </w:r>
    </w:p>
  </w:footnote>
  <w:footnote w:id="604">
    <w:p w14:paraId="72FFC5A9" w14:textId="0E773A80" w:rsidR="00EE78D8" w:rsidRPr="00016619" w:rsidRDefault="00EE78D8">
      <w:pPr>
        <w:pStyle w:val="FootnoteText"/>
        <w:rPr>
          <w:lang w:val="en-US"/>
        </w:rPr>
      </w:pPr>
      <w:r>
        <w:rPr>
          <w:rStyle w:val="FootnoteReference"/>
        </w:rPr>
        <w:footnoteRef/>
      </w:r>
      <w:r>
        <w:tab/>
        <w:t xml:space="preserve">Law Commission of England and Wales, </w:t>
      </w:r>
      <w:r w:rsidRPr="00645C81">
        <w:t xml:space="preserve">above n </w:t>
      </w:r>
      <w:r w:rsidRPr="00645C81">
        <w:fldChar w:fldCharType="begin"/>
      </w:r>
      <w:r w:rsidRPr="00645C81">
        <w:instrText xml:space="preserve"> NOTEREF _Ref535329182 \h </w:instrText>
      </w:r>
      <w:r>
        <w:instrText xml:space="preserve"> \* MERGEFORMAT </w:instrText>
      </w:r>
      <w:r w:rsidRPr="00645C81">
        <w:fldChar w:fldCharType="separate"/>
      </w:r>
      <w:r w:rsidR="001F209C">
        <w:t>339</w:t>
      </w:r>
      <w:r w:rsidRPr="00645C81">
        <w:fldChar w:fldCharType="end"/>
      </w:r>
      <w:r>
        <w:t xml:space="preserve">, 76; LRCWA, above n </w:t>
      </w:r>
      <w:r>
        <w:fldChar w:fldCharType="begin"/>
      </w:r>
      <w:r>
        <w:instrText xml:space="preserve"> NOTEREF _Ref535407951 \h </w:instrText>
      </w:r>
      <w:r>
        <w:fldChar w:fldCharType="separate"/>
      </w:r>
      <w:r w:rsidR="001F209C">
        <w:t>371</w:t>
      </w:r>
      <w:r>
        <w:fldChar w:fldCharType="end"/>
      </w:r>
      <w:r>
        <w:t xml:space="preserve">, 235 quoting </w:t>
      </w:r>
      <w:r w:rsidRPr="006E6378">
        <w:t>Model Criminal Code Officers Committee,</w:t>
      </w:r>
      <w:r>
        <w:t xml:space="preserve"> </w:t>
      </w:r>
      <w:r w:rsidRPr="006E6378">
        <w:rPr>
          <w:i/>
        </w:rPr>
        <w:t xml:space="preserve">General Principles of Criminal </w:t>
      </w:r>
      <w:r w:rsidRPr="00CE58B0">
        <w:rPr>
          <w:i/>
        </w:rPr>
        <w:t>Responsibility</w:t>
      </w:r>
      <w:r>
        <w:t xml:space="preserve">, </w:t>
      </w:r>
      <w:r w:rsidRPr="00824F8B">
        <w:t>Final</w:t>
      </w:r>
      <w:r w:rsidRPr="006E6378">
        <w:t xml:space="preserve"> Report </w:t>
      </w:r>
      <w:r>
        <w:t>(</w:t>
      </w:r>
      <w:r w:rsidRPr="006E6378">
        <w:t>2007) 47</w:t>
      </w:r>
      <w:r>
        <w:rPr>
          <w:lang w:val="en-US"/>
        </w:rPr>
        <w:t>.</w:t>
      </w:r>
    </w:p>
  </w:footnote>
  <w:footnote w:id="605">
    <w:p w14:paraId="444C5685" w14:textId="3A560DEB" w:rsidR="00EE78D8" w:rsidRPr="002223AB" w:rsidRDefault="00EE78D8">
      <w:pPr>
        <w:pStyle w:val="FootnoteText"/>
        <w:rPr>
          <w:lang w:val="en-US"/>
        </w:rPr>
      </w:pPr>
      <w:r>
        <w:rPr>
          <w:rStyle w:val="FootnoteReference"/>
        </w:rPr>
        <w:footnoteRef/>
      </w:r>
      <w:r>
        <w:tab/>
        <w:t xml:space="preserve">LRCWA, above n </w:t>
      </w:r>
      <w:r>
        <w:fldChar w:fldCharType="begin"/>
      </w:r>
      <w:r>
        <w:instrText xml:space="preserve"> NOTEREF _Ref535407951 \h </w:instrText>
      </w:r>
      <w:r>
        <w:fldChar w:fldCharType="separate"/>
      </w:r>
      <w:r w:rsidR="001F209C">
        <w:t>371</w:t>
      </w:r>
      <w:r>
        <w:fldChar w:fldCharType="end"/>
      </w:r>
      <w:r>
        <w:t xml:space="preserve">, 235 quoting </w:t>
      </w:r>
      <w:r w:rsidRPr="006E6378">
        <w:t>Model Criminal Code Officers Committee,</w:t>
      </w:r>
      <w:r>
        <w:t xml:space="preserve"> </w:t>
      </w:r>
      <w:r w:rsidRPr="006E6378">
        <w:rPr>
          <w:i/>
        </w:rPr>
        <w:t>General Principles of Criminal Responsibility</w:t>
      </w:r>
      <w:r>
        <w:t xml:space="preserve">, </w:t>
      </w:r>
      <w:r w:rsidRPr="006E6378">
        <w:t xml:space="preserve">Final Report </w:t>
      </w:r>
      <w:r>
        <w:t>(</w:t>
      </w:r>
      <w:r w:rsidRPr="006E6378">
        <w:t>2007) 47</w:t>
      </w:r>
      <w:r>
        <w:t xml:space="preserve">; Law Commission of England and Wales, </w:t>
      </w:r>
      <w:r w:rsidRPr="00645C81">
        <w:t xml:space="preserve">above n </w:t>
      </w:r>
      <w:r w:rsidRPr="00645C81">
        <w:fldChar w:fldCharType="begin"/>
      </w:r>
      <w:r w:rsidRPr="00645C81">
        <w:instrText xml:space="preserve"> NOTEREF _Ref535329182 \h </w:instrText>
      </w:r>
      <w:r>
        <w:instrText xml:space="preserve"> \* MERGEFORMAT </w:instrText>
      </w:r>
      <w:r w:rsidRPr="00645C81">
        <w:fldChar w:fldCharType="separate"/>
      </w:r>
      <w:r w:rsidR="001F209C">
        <w:t>339</w:t>
      </w:r>
      <w:r w:rsidRPr="00645C81">
        <w:fldChar w:fldCharType="end"/>
      </w:r>
      <w:r>
        <w:t>, 164.</w:t>
      </w:r>
    </w:p>
  </w:footnote>
  <w:footnote w:id="606">
    <w:p w14:paraId="5926C57F" w14:textId="23FE4507" w:rsidR="00EE78D8" w:rsidRPr="00C83333" w:rsidRDefault="00EE78D8" w:rsidP="00F23DB5">
      <w:pPr>
        <w:pStyle w:val="FootnoteText"/>
        <w:rPr>
          <w:lang w:val="en-US"/>
        </w:rPr>
      </w:pPr>
      <w:r>
        <w:rPr>
          <w:rStyle w:val="FootnoteReference"/>
        </w:rPr>
        <w:footnoteRef/>
      </w:r>
      <w:r>
        <w:tab/>
        <w:t xml:space="preserve">VLRC, above n </w:t>
      </w:r>
      <w:r>
        <w:fldChar w:fldCharType="begin"/>
      </w:r>
      <w:r>
        <w:instrText xml:space="preserve"> NOTEREF _Ref534978514 \h </w:instrText>
      </w:r>
      <w:r>
        <w:fldChar w:fldCharType="separate"/>
      </w:r>
      <w:r w:rsidR="001F209C">
        <w:t>24</w:t>
      </w:r>
      <w:r>
        <w:fldChar w:fldCharType="end"/>
      </w:r>
      <w:r>
        <w:t xml:space="preserve">, </w:t>
      </w:r>
      <w:r>
        <w:rPr>
          <w:lang w:val="en-US"/>
        </w:rPr>
        <w:t>233.</w:t>
      </w:r>
    </w:p>
  </w:footnote>
  <w:footnote w:id="607">
    <w:p w14:paraId="5F04F98D" w14:textId="18978AB7" w:rsidR="00EE78D8" w:rsidRPr="002223AB" w:rsidRDefault="00EE78D8" w:rsidP="002223AB">
      <w:pPr>
        <w:pStyle w:val="FootnoteText"/>
        <w:rPr>
          <w:lang w:val="en-US"/>
        </w:rPr>
      </w:pPr>
      <w:r>
        <w:rPr>
          <w:rStyle w:val="FootnoteReference"/>
        </w:rPr>
        <w:footnoteRef/>
      </w:r>
      <w:r>
        <w:tab/>
      </w:r>
      <w:r>
        <w:rPr>
          <w:lang w:val="en-US"/>
        </w:rPr>
        <w:t>Ibid.</w:t>
      </w:r>
    </w:p>
  </w:footnote>
  <w:footnote w:id="608">
    <w:p w14:paraId="3DAE8034" w14:textId="3517F057" w:rsidR="00EE78D8" w:rsidRPr="006A3E4C" w:rsidRDefault="00EE78D8">
      <w:pPr>
        <w:pStyle w:val="FootnoteText"/>
        <w:rPr>
          <w:lang w:val="en-US"/>
        </w:rPr>
      </w:pPr>
      <w:r>
        <w:rPr>
          <w:rStyle w:val="FootnoteReference"/>
        </w:rPr>
        <w:footnoteRef/>
      </w:r>
      <w:r>
        <w:tab/>
        <w:t xml:space="preserve">Ibid 234 </w:t>
      </w:r>
      <w:r>
        <w:rPr>
          <w:lang w:val="en-US"/>
        </w:rPr>
        <w:t>Recommendation 52.</w:t>
      </w:r>
    </w:p>
  </w:footnote>
  <w:footnote w:id="609">
    <w:p w14:paraId="37D0C4E1" w14:textId="08B15EBB" w:rsidR="00EE78D8" w:rsidRPr="006A3E4C" w:rsidRDefault="00EE78D8">
      <w:pPr>
        <w:pStyle w:val="FootnoteText"/>
        <w:rPr>
          <w:lang w:val="en-US"/>
        </w:rPr>
      </w:pPr>
      <w:r>
        <w:rPr>
          <w:rStyle w:val="FootnoteReference"/>
        </w:rPr>
        <w:footnoteRef/>
      </w:r>
      <w:r>
        <w:tab/>
      </w:r>
      <w:r>
        <w:rPr>
          <w:lang w:val="en-US"/>
        </w:rPr>
        <w:t>Ibid 233.</w:t>
      </w:r>
    </w:p>
  </w:footnote>
  <w:footnote w:id="610">
    <w:p w14:paraId="5111CE7D" w14:textId="178BF404" w:rsidR="00EE78D8" w:rsidRPr="006A3E4C" w:rsidRDefault="00EE78D8">
      <w:pPr>
        <w:pStyle w:val="FootnoteText"/>
        <w:rPr>
          <w:lang w:val="en-US"/>
        </w:rPr>
      </w:pPr>
      <w:r>
        <w:rPr>
          <w:rStyle w:val="FootnoteReference"/>
        </w:rPr>
        <w:footnoteRef/>
      </w:r>
      <w:r>
        <w:tab/>
      </w:r>
      <w:r>
        <w:rPr>
          <w:lang w:val="en-US"/>
        </w:rPr>
        <w:t>Ibid.</w:t>
      </w:r>
    </w:p>
  </w:footnote>
  <w:footnote w:id="611">
    <w:p w14:paraId="185F624A" w14:textId="48923B3F" w:rsidR="00EE78D8" w:rsidRPr="00C83333" w:rsidRDefault="00EE78D8">
      <w:pPr>
        <w:pStyle w:val="FootnoteText"/>
        <w:rPr>
          <w:lang w:val="en-US"/>
        </w:rPr>
      </w:pPr>
      <w:r>
        <w:rPr>
          <w:rStyle w:val="FootnoteReference"/>
        </w:rPr>
        <w:footnoteRef/>
      </w:r>
      <w:r>
        <w:rPr>
          <w:lang w:val="en-US"/>
        </w:rPr>
        <w:tab/>
        <w:t>Ibid 234.</w:t>
      </w:r>
    </w:p>
  </w:footnote>
  <w:footnote w:id="612">
    <w:p w14:paraId="2F21D40D" w14:textId="56A17382" w:rsidR="00EE78D8" w:rsidRPr="00395ECB" w:rsidRDefault="00EE78D8" w:rsidP="00395ECB">
      <w:pPr>
        <w:pStyle w:val="FootnoteText"/>
        <w:jc w:val="left"/>
      </w:pPr>
      <w:r w:rsidRPr="00395ECB">
        <w:rPr>
          <w:rStyle w:val="FootnoteReference"/>
        </w:rPr>
        <w:footnoteRef/>
      </w:r>
      <w:r>
        <w:tab/>
      </w:r>
      <w:r w:rsidRPr="00395ECB">
        <w:t xml:space="preserve">For more information in relation to the role of the Director of Public Prosecutions see &lt;http://www.dpp.tas.gov.au/about_us&gt;. </w:t>
      </w:r>
    </w:p>
  </w:footnote>
  <w:footnote w:id="613">
    <w:p w14:paraId="427C7F5F" w14:textId="75F571D6" w:rsidR="00EE78D8" w:rsidRPr="00B87A0E" w:rsidRDefault="00EE78D8">
      <w:pPr>
        <w:pStyle w:val="FootnoteText"/>
        <w:rPr>
          <w:i/>
          <w:lang w:val="en-US"/>
        </w:rPr>
      </w:pPr>
      <w:r>
        <w:rPr>
          <w:rStyle w:val="FootnoteReference"/>
        </w:rPr>
        <w:footnoteRef/>
      </w:r>
      <w:r>
        <w:tab/>
      </w:r>
      <w:r w:rsidRPr="00A16AAC">
        <w:rPr>
          <w:i/>
          <w:iCs/>
        </w:rPr>
        <w:t xml:space="preserve">Criminal Justice (Mental Impairment) Act 1999 </w:t>
      </w:r>
      <w:r w:rsidRPr="00A16AAC">
        <w:rPr>
          <w:iCs/>
        </w:rPr>
        <w:t>(Tas)</w:t>
      </w:r>
      <w:r>
        <w:rPr>
          <w:lang w:val="en-US"/>
        </w:rPr>
        <w:t xml:space="preserve"> ss</w:t>
      </w:r>
      <w:r>
        <w:rPr>
          <w:i/>
          <w:lang w:val="en-US"/>
        </w:rPr>
        <w:t xml:space="preserve"> </w:t>
      </w:r>
      <w:r w:rsidRPr="00B87A0E">
        <w:rPr>
          <w:lang w:val="en-US"/>
        </w:rPr>
        <w:t>18(2)</w:t>
      </w:r>
      <w:r>
        <w:rPr>
          <w:lang w:val="en-US"/>
        </w:rPr>
        <w:t>, 21(1).</w:t>
      </w:r>
    </w:p>
  </w:footnote>
  <w:footnote w:id="614">
    <w:p w14:paraId="03E70FC7" w14:textId="056797F2" w:rsidR="00EE78D8" w:rsidRPr="00B56AB0" w:rsidRDefault="00EE78D8">
      <w:pPr>
        <w:pStyle w:val="FootnoteText"/>
        <w:rPr>
          <w:lang w:val="en-US"/>
        </w:rPr>
      </w:pPr>
      <w:r>
        <w:rPr>
          <w:rStyle w:val="FootnoteReference"/>
        </w:rPr>
        <w:footnoteRef/>
      </w:r>
      <w:r>
        <w:tab/>
      </w:r>
      <w:r>
        <w:rPr>
          <w:i/>
          <w:lang w:val="en-US"/>
        </w:rPr>
        <w:t xml:space="preserve">Sentencing Act 1997 </w:t>
      </w:r>
      <w:r>
        <w:rPr>
          <w:lang w:val="en-US"/>
        </w:rPr>
        <w:t>(Tas) s 75.</w:t>
      </w:r>
    </w:p>
  </w:footnote>
  <w:footnote w:id="615">
    <w:p w14:paraId="2A233E11" w14:textId="56176187" w:rsidR="00EE78D8" w:rsidRPr="00B87A0E" w:rsidRDefault="00EE78D8">
      <w:pPr>
        <w:pStyle w:val="FootnoteText"/>
        <w:rPr>
          <w:lang w:val="en-US"/>
        </w:rPr>
      </w:pPr>
      <w:r>
        <w:rPr>
          <w:rStyle w:val="FootnoteReference"/>
        </w:rPr>
        <w:footnoteRef/>
      </w:r>
      <w:r>
        <w:tab/>
      </w:r>
      <w:r w:rsidRPr="00A16AAC">
        <w:rPr>
          <w:i/>
          <w:iCs/>
        </w:rPr>
        <w:t xml:space="preserve">Criminal Justice (Mental Impairment) Act 1999 </w:t>
      </w:r>
      <w:r w:rsidRPr="00A16AAC">
        <w:rPr>
          <w:iCs/>
        </w:rPr>
        <w:t>(Tas)</w:t>
      </w:r>
      <w:r>
        <w:rPr>
          <w:lang w:val="en-US"/>
        </w:rPr>
        <w:t xml:space="preserve"> ss 18(2), 21(2); </w:t>
      </w:r>
      <w:r>
        <w:rPr>
          <w:i/>
          <w:lang w:val="en-US"/>
        </w:rPr>
        <w:t xml:space="preserve">Sentencing Act 1997 </w:t>
      </w:r>
      <w:r>
        <w:rPr>
          <w:lang w:val="en-US"/>
        </w:rPr>
        <w:t>(Tas) s 75(3).</w:t>
      </w:r>
    </w:p>
  </w:footnote>
  <w:footnote w:id="616">
    <w:p w14:paraId="23C93B9E" w14:textId="3C8D067B" w:rsidR="00EE78D8" w:rsidRPr="005A48C8" w:rsidRDefault="00EE78D8">
      <w:pPr>
        <w:pStyle w:val="FootnoteText"/>
        <w:rPr>
          <w:lang w:val="en-US"/>
        </w:rPr>
      </w:pPr>
      <w:r>
        <w:rPr>
          <w:rStyle w:val="FootnoteReference"/>
        </w:rPr>
        <w:footnoteRef/>
      </w:r>
      <w:r>
        <w:tab/>
      </w:r>
      <w:r w:rsidRPr="00A16AAC">
        <w:rPr>
          <w:i/>
          <w:iCs/>
        </w:rPr>
        <w:t xml:space="preserve">Criminal Justice (Mental Impairment) Act 1999 </w:t>
      </w:r>
      <w:r w:rsidRPr="00A16AAC">
        <w:rPr>
          <w:iCs/>
        </w:rPr>
        <w:t>(Tas)</w:t>
      </w:r>
      <w:r>
        <w:rPr>
          <w:lang w:val="en-US"/>
        </w:rPr>
        <w:t xml:space="preserve"> s 3.</w:t>
      </w:r>
    </w:p>
  </w:footnote>
  <w:footnote w:id="617">
    <w:p w14:paraId="1E144335" w14:textId="2CF7C86A" w:rsidR="00EE78D8" w:rsidRPr="00502A9E" w:rsidRDefault="00EE78D8">
      <w:pPr>
        <w:pStyle w:val="FootnoteText"/>
        <w:rPr>
          <w:lang w:val="en-US"/>
        </w:rPr>
      </w:pPr>
      <w:r>
        <w:rPr>
          <w:rStyle w:val="FootnoteReference"/>
        </w:rPr>
        <w:footnoteRef/>
      </w:r>
      <w:r>
        <w:tab/>
      </w:r>
      <w:r>
        <w:rPr>
          <w:lang w:val="en-US"/>
        </w:rPr>
        <w:t>Ibid s 24.</w:t>
      </w:r>
    </w:p>
  </w:footnote>
  <w:footnote w:id="618">
    <w:p w14:paraId="16EB447E" w14:textId="38D04CE5" w:rsidR="00EE78D8" w:rsidRPr="003C0922" w:rsidRDefault="00EE78D8" w:rsidP="00812BA8">
      <w:pPr>
        <w:pStyle w:val="FootnoteText"/>
        <w:jc w:val="left"/>
        <w:rPr>
          <w:lang w:val="en-US"/>
        </w:rPr>
      </w:pPr>
      <w:r>
        <w:rPr>
          <w:rStyle w:val="FootnoteReference"/>
        </w:rPr>
        <w:footnoteRef/>
      </w:r>
      <w:r>
        <w:tab/>
        <w:t>For more information about the Wilfred Lopes Centre, see Department of Health and Human Services, &lt;</w:t>
      </w:r>
      <w:r w:rsidRPr="003C0922">
        <w:t>http://www.dhhs.tas.gov.au/service_information/services_files/mental_health_services/forensic_mental_health_service/wilfred_lopes_centre</w:t>
      </w:r>
      <w:r>
        <w:t>&gt;.</w:t>
      </w:r>
    </w:p>
  </w:footnote>
  <w:footnote w:id="619">
    <w:p w14:paraId="4F9852FC" w14:textId="3468E101" w:rsidR="00EE78D8" w:rsidRPr="00352E49" w:rsidRDefault="00EE78D8">
      <w:pPr>
        <w:pStyle w:val="FootnoteText"/>
        <w:rPr>
          <w:lang w:val="en-US"/>
        </w:rPr>
      </w:pPr>
      <w:r>
        <w:rPr>
          <w:rStyle w:val="FootnoteReference"/>
        </w:rPr>
        <w:footnoteRef/>
      </w:r>
      <w:r>
        <w:tab/>
      </w:r>
      <w:r w:rsidRPr="00A16AAC">
        <w:rPr>
          <w:i/>
          <w:iCs/>
        </w:rPr>
        <w:t xml:space="preserve">Criminal Justice (Mental Impairment) Act 1999 </w:t>
      </w:r>
      <w:r w:rsidRPr="00A16AAC">
        <w:rPr>
          <w:iCs/>
        </w:rPr>
        <w:t>(Tas)</w:t>
      </w:r>
      <w:r>
        <w:rPr>
          <w:lang w:val="en-US"/>
        </w:rPr>
        <w:t xml:space="preserve"> ss 26(1), 37(1).</w:t>
      </w:r>
    </w:p>
  </w:footnote>
  <w:footnote w:id="620">
    <w:p w14:paraId="4DEFE52F" w14:textId="2A22C47C" w:rsidR="00EE78D8" w:rsidRPr="00727661" w:rsidRDefault="00EE78D8">
      <w:pPr>
        <w:pStyle w:val="FootnoteText"/>
        <w:rPr>
          <w:lang w:val="en-US"/>
        </w:rPr>
      </w:pPr>
      <w:r>
        <w:rPr>
          <w:rStyle w:val="FootnoteReference"/>
        </w:rPr>
        <w:footnoteRef/>
      </w:r>
      <w:r>
        <w:tab/>
      </w:r>
      <w:r>
        <w:rPr>
          <w:lang w:val="en-US"/>
        </w:rPr>
        <w:t>Ibid s 29A(1).</w:t>
      </w:r>
    </w:p>
  </w:footnote>
  <w:footnote w:id="621">
    <w:p w14:paraId="0E1AF517" w14:textId="316D437E" w:rsidR="00EE78D8" w:rsidRPr="00727661" w:rsidRDefault="00EE78D8">
      <w:pPr>
        <w:pStyle w:val="FootnoteText"/>
        <w:rPr>
          <w:lang w:val="en-US"/>
        </w:rPr>
      </w:pPr>
      <w:r>
        <w:rPr>
          <w:rStyle w:val="FootnoteReference"/>
        </w:rPr>
        <w:footnoteRef/>
      </w:r>
      <w:r>
        <w:tab/>
      </w:r>
      <w:r>
        <w:rPr>
          <w:i/>
          <w:lang w:val="en-US"/>
        </w:rPr>
        <w:t xml:space="preserve">Sentencing Act 1997 </w:t>
      </w:r>
      <w:r>
        <w:rPr>
          <w:lang w:val="en-US"/>
        </w:rPr>
        <w:t xml:space="preserve">(Tas) s 75; </w:t>
      </w:r>
      <w:r w:rsidRPr="00A16AAC">
        <w:rPr>
          <w:i/>
          <w:iCs/>
        </w:rPr>
        <w:t xml:space="preserve">Criminal Justice (Mental Impairment) Act 1999 </w:t>
      </w:r>
      <w:r w:rsidRPr="00A16AAC">
        <w:rPr>
          <w:iCs/>
        </w:rPr>
        <w:t>(Tas)</w:t>
      </w:r>
      <w:r>
        <w:rPr>
          <w:lang w:val="en-US"/>
        </w:rPr>
        <w:t xml:space="preserve"> s 29A(2).</w:t>
      </w:r>
    </w:p>
  </w:footnote>
  <w:footnote w:id="622">
    <w:p w14:paraId="53417172" w14:textId="0AA8B97C" w:rsidR="00EE78D8" w:rsidRPr="00352E49" w:rsidRDefault="00EE78D8">
      <w:pPr>
        <w:pStyle w:val="FootnoteText"/>
        <w:rPr>
          <w:lang w:val="en-US"/>
        </w:rPr>
      </w:pPr>
      <w:r>
        <w:rPr>
          <w:rStyle w:val="FootnoteReference"/>
        </w:rPr>
        <w:footnoteRef/>
      </w:r>
      <w:r>
        <w:tab/>
      </w:r>
      <w:r w:rsidRPr="00A16AAC">
        <w:rPr>
          <w:i/>
          <w:iCs/>
        </w:rPr>
        <w:t xml:space="preserve">Criminal Justice (Mental Impairment) Act 1999 </w:t>
      </w:r>
      <w:r w:rsidRPr="00A16AAC">
        <w:rPr>
          <w:iCs/>
        </w:rPr>
        <w:t>(Tas)</w:t>
      </w:r>
      <w:r>
        <w:rPr>
          <w:lang w:val="en-US"/>
        </w:rPr>
        <w:t xml:space="preserve"> </w:t>
      </w:r>
      <w:r>
        <w:t>ss 30(1), 37(1).</w:t>
      </w:r>
    </w:p>
  </w:footnote>
  <w:footnote w:id="623">
    <w:p w14:paraId="3B83A18E" w14:textId="1D9F9EB8" w:rsidR="00EE78D8" w:rsidRPr="00F42C40" w:rsidRDefault="00EE78D8">
      <w:pPr>
        <w:pStyle w:val="FootnoteText"/>
        <w:rPr>
          <w:lang w:val="en-US"/>
        </w:rPr>
      </w:pPr>
      <w:r>
        <w:rPr>
          <w:rStyle w:val="FootnoteReference"/>
        </w:rPr>
        <w:footnoteRef/>
      </w:r>
      <w:r>
        <w:tab/>
      </w:r>
      <w:r>
        <w:rPr>
          <w:lang w:val="en-US"/>
        </w:rPr>
        <w:t>Ibid s 31.</w:t>
      </w:r>
    </w:p>
  </w:footnote>
  <w:footnote w:id="624">
    <w:p w14:paraId="45C29175" w14:textId="12D893FA" w:rsidR="00EE78D8" w:rsidRPr="00744227" w:rsidRDefault="00EE78D8">
      <w:pPr>
        <w:pStyle w:val="FootnoteText"/>
        <w:rPr>
          <w:lang w:val="en-US"/>
        </w:rPr>
      </w:pPr>
      <w:r>
        <w:rPr>
          <w:rStyle w:val="FootnoteReference"/>
        </w:rPr>
        <w:footnoteRef/>
      </w:r>
      <w:r>
        <w:tab/>
      </w:r>
      <w:r>
        <w:rPr>
          <w:lang w:val="en-US"/>
        </w:rPr>
        <w:t xml:space="preserve">Ibid s 31(6). </w:t>
      </w:r>
    </w:p>
  </w:footnote>
  <w:footnote w:id="625">
    <w:p w14:paraId="447504A5" w14:textId="19B1A9E0" w:rsidR="00EE78D8" w:rsidRPr="00744227" w:rsidRDefault="00EE78D8">
      <w:pPr>
        <w:pStyle w:val="FootnoteText"/>
        <w:rPr>
          <w:lang w:val="en-US"/>
        </w:rPr>
      </w:pPr>
      <w:r>
        <w:rPr>
          <w:rStyle w:val="FootnoteReference"/>
        </w:rPr>
        <w:footnoteRef/>
      </w:r>
      <w:r>
        <w:tab/>
        <w:t>Ibid s 31(7).</w:t>
      </w:r>
    </w:p>
  </w:footnote>
  <w:footnote w:id="626">
    <w:p w14:paraId="32DE5626" w14:textId="4FCEB7DD" w:rsidR="00EE78D8" w:rsidRPr="009F668E" w:rsidRDefault="00EE78D8">
      <w:pPr>
        <w:pStyle w:val="FootnoteText"/>
        <w:rPr>
          <w:lang w:val="en-US"/>
        </w:rPr>
      </w:pPr>
      <w:r>
        <w:rPr>
          <w:rStyle w:val="FootnoteReference"/>
        </w:rPr>
        <w:footnoteRef/>
      </w:r>
      <w:r>
        <w:tab/>
        <w:t>Ibid s 31(8).</w:t>
      </w:r>
    </w:p>
  </w:footnote>
  <w:footnote w:id="627">
    <w:p w14:paraId="3488493E" w14:textId="7FB85C52" w:rsidR="00EE78D8" w:rsidRPr="00EF71FB" w:rsidRDefault="00EE78D8">
      <w:pPr>
        <w:pStyle w:val="FootnoteText"/>
        <w:rPr>
          <w:lang w:val="en-US"/>
        </w:rPr>
      </w:pPr>
      <w:r>
        <w:rPr>
          <w:rStyle w:val="FootnoteReference"/>
        </w:rPr>
        <w:footnoteRef/>
      </w:r>
      <w:r>
        <w:tab/>
      </w:r>
      <w:r>
        <w:rPr>
          <w:i/>
          <w:lang w:val="en-US"/>
        </w:rPr>
        <w:t xml:space="preserve">Mental Health Act 2013 </w:t>
      </w:r>
      <w:r w:rsidRPr="00EF71FB">
        <w:rPr>
          <w:lang w:val="en-US"/>
        </w:rPr>
        <w:t>(Tas)</w:t>
      </w:r>
      <w:r>
        <w:rPr>
          <w:i/>
          <w:lang w:val="en-US"/>
        </w:rPr>
        <w:t xml:space="preserve"> </w:t>
      </w:r>
      <w:r>
        <w:rPr>
          <w:lang w:val="en-US"/>
        </w:rPr>
        <w:t>s 42.</w:t>
      </w:r>
    </w:p>
  </w:footnote>
  <w:footnote w:id="628">
    <w:p w14:paraId="06720171" w14:textId="487069AF" w:rsidR="00EE78D8" w:rsidRPr="00EF71FB" w:rsidRDefault="00EE78D8">
      <w:pPr>
        <w:pStyle w:val="FootnoteText"/>
        <w:rPr>
          <w:lang w:val="en-US"/>
        </w:rPr>
      </w:pPr>
      <w:r>
        <w:rPr>
          <w:rStyle w:val="FootnoteReference"/>
        </w:rPr>
        <w:footnoteRef/>
      </w:r>
      <w:r>
        <w:tab/>
      </w:r>
      <w:r w:rsidRPr="00491732">
        <w:rPr>
          <w:lang w:val="en-US"/>
        </w:rPr>
        <w:t>Ibid</w:t>
      </w:r>
      <w:r>
        <w:rPr>
          <w:lang w:val="en-US"/>
        </w:rPr>
        <w:t xml:space="preserve"> ss 44, 48.</w:t>
      </w:r>
    </w:p>
  </w:footnote>
  <w:footnote w:id="629">
    <w:p w14:paraId="351B293D" w14:textId="1B933498" w:rsidR="00EE78D8" w:rsidRPr="0050729B" w:rsidRDefault="00EE78D8">
      <w:pPr>
        <w:pStyle w:val="FootnoteText"/>
        <w:rPr>
          <w:lang w:val="en-US"/>
        </w:rPr>
      </w:pPr>
      <w:r>
        <w:rPr>
          <w:rStyle w:val="FootnoteReference"/>
        </w:rPr>
        <w:footnoteRef/>
      </w:r>
      <w:r>
        <w:rPr>
          <w:i/>
          <w:lang w:val="en-US"/>
        </w:rPr>
        <w:tab/>
      </w:r>
      <w:r>
        <w:rPr>
          <w:lang w:val="en-US"/>
        </w:rPr>
        <w:t>Ibid s 47. The medical practitioner may also apply to the MHT to vary the order or authorise or seek authorisation for urgent circumstances treatment.</w:t>
      </w:r>
    </w:p>
  </w:footnote>
  <w:footnote w:id="630">
    <w:p w14:paraId="40192AAF" w14:textId="795572C6" w:rsidR="00EE78D8" w:rsidRPr="007B2CE4" w:rsidRDefault="00EE78D8" w:rsidP="007B2CE4">
      <w:pPr>
        <w:pStyle w:val="FootnoteText"/>
        <w:rPr>
          <w:lang w:val="en-US"/>
        </w:rPr>
      </w:pPr>
      <w:r>
        <w:rPr>
          <w:rStyle w:val="FootnoteReference"/>
        </w:rPr>
        <w:footnoteRef/>
      </w:r>
      <w:r>
        <w:tab/>
      </w:r>
      <w:r>
        <w:rPr>
          <w:i/>
          <w:lang w:val="en-US"/>
        </w:rPr>
        <w:t xml:space="preserve">Mental Health Act 2013 </w:t>
      </w:r>
      <w:r w:rsidRPr="00EF71FB">
        <w:rPr>
          <w:lang w:val="en-US"/>
        </w:rPr>
        <w:t>(Tas)</w:t>
      </w:r>
      <w:r>
        <w:rPr>
          <w:lang w:val="en-US"/>
        </w:rPr>
        <w:t xml:space="preserve"> s 47(2).</w:t>
      </w:r>
    </w:p>
  </w:footnote>
  <w:footnote w:id="631">
    <w:p w14:paraId="33DE8198" w14:textId="5E2101AD" w:rsidR="00EE78D8" w:rsidRPr="007B2CE4" w:rsidRDefault="00EE78D8">
      <w:pPr>
        <w:pStyle w:val="FootnoteText"/>
        <w:rPr>
          <w:lang w:val="en-US"/>
        </w:rPr>
      </w:pPr>
      <w:r>
        <w:rPr>
          <w:rStyle w:val="FootnoteReference"/>
        </w:rPr>
        <w:footnoteRef/>
      </w:r>
      <w:r>
        <w:tab/>
        <w:t>Ibid s 47A.</w:t>
      </w:r>
    </w:p>
  </w:footnote>
  <w:footnote w:id="632">
    <w:p w14:paraId="38F95C1E" w14:textId="334A2B7B" w:rsidR="00EE78D8" w:rsidRPr="009F7320" w:rsidRDefault="00EE78D8">
      <w:pPr>
        <w:pStyle w:val="FootnoteText"/>
        <w:rPr>
          <w:lang w:val="en-US"/>
        </w:rPr>
      </w:pPr>
      <w:r>
        <w:rPr>
          <w:rStyle w:val="FootnoteReference"/>
        </w:rPr>
        <w:footnoteRef/>
      </w:r>
      <w:r>
        <w:tab/>
      </w:r>
      <w:r>
        <w:rPr>
          <w:lang w:val="en-US"/>
        </w:rPr>
        <w:t>Ibid s 42(2).</w:t>
      </w:r>
    </w:p>
  </w:footnote>
  <w:footnote w:id="633">
    <w:p w14:paraId="40A63215" w14:textId="4F25501A" w:rsidR="00EE78D8" w:rsidRPr="00BC0C92" w:rsidRDefault="00EE78D8">
      <w:pPr>
        <w:pStyle w:val="FootnoteText"/>
        <w:rPr>
          <w:lang w:val="en-US"/>
        </w:rPr>
      </w:pPr>
      <w:r>
        <w:rPr>
          <w:rStyle w:val="FootnoteReference"/>
        </w:rPr>
        <w:footnoteRef/>
      </w:r>
      <w:r>
        <w:tab/>
      </w:r>
      <w:r>
        <w:rPr>
          <w:lang w:val="en-US"/>
        </w:rPr>
        <w:t xml:space="preserve">It is noted that in two of the three conditional release orders imposed in the Supreme Court, the limits were 12 months and three years. However, in one case, it appears that an order was imposed where some conditions were indefinite. The person was released on condition that: (1) For a period of two years he attend such educational and other programs as directed by the Chief Forensic Psychiatrist or officer acting on his behalf; (2) He submit to testing for drug used as directed by the Chief Forensic Psychiatrist or his nominee. (3) He submit to medical, psychological or psychiatrist assessment or treatment was directed by the Chief Forensic Psychiatrist or his nominee, see </w:t>
      </w:r>
      <w:r>
        <w:rPr>
          <w:i/>
          <w:lang w:val="en-US"/>
        </w:rPr>
        <w:t>D</w:t>
      </w:r>
      <w:r w:rsidRPr="00BC0C92">
        <w:rPr>
          <w:lang w:val="en-US"/>
        </w:rPr>
        <w:t>, 22 July 2008 (Slicer J)</w:t>
      </w:r>
      <w:r>
        <w:rPr>
          <w:lang w:val="en-US"/>
        </w:rPr>
        <w:t>.</w:t>
      </w:r>
    </w:p>
  </w:footnote>
  <w:footnote w:id="634">
    <w:p w14:paraId="562FCAC5" w14:textId="3F72DB29" w:rsidR="00EE78D8" w:rsidRPr="00C14E76" w:rsidRDefault="00EE78D8">
      <w:pPr>
        <w:pStyle w:val="FootnoteText"/>
        <w:rPr>
          <w:lang w:val="en-US"/>
        </w:rPr>
      </w:pPr>
      <w:r>
        <w:rPr>
          <w:rStyle w:val="FootnoteReference"/>
        </w:rPr>
        <w:footnoteRef/>
      </w:r>
      <w:r>
        <w:tab/>
      </w:r>
      <w:r w:rsidRPr="00A16AAC">
        <w:rPr>
          <w:i/>
          <w:iCs/>
        </w:rPr>
        <w:t xml:space="preserve">Criminal Justice (Mental Impairment) Act 1999 </w:t>
      </w:r>
      <w:r w:rsidRPr="00A16AAC">
        <w:rPr>
          <w:iCs/>
        </w:rPr>
        <w:t>(Tas)</w:t>
      </w:r>
      <w:r>
        <w:rPr>
          <w:lang w:val="en-US"/>
        </w:rPr>
        <w:t xml:space="preserve"> s 21A.</w:t>
      </w:r>
    </w:p>
  </w:footnote>
  <w:footnote w:id="635">
    <w:p w14:paraId="5043F76A" w14:textId="23B67C97" w:rsidR="00EE78D8" w:rsidRPr="007175F1" w:rsidRDefault="00EE78D8" w:rsidP="00EE0653">
      <w:pPr>
        <w:pStyle w:val="FootnoteText"/>
        <w:rPr>
          <w:lang w:val="en-US"/>
        </w:rPr>
      </w:pPr>
      <w:r>
        <w:rPr>
          <w:rStyle w:val="FootnoteReference"/>
        </w:rPr>
        <w:footnoteRef/>
      </w:r>
      <w:r>
        <w:tab/>
      </w:r>
      <w:r>
        <w:rPr>
          <w:i/>
        </w:rPr>
        <w:t xml:space="preserve">Secretary of the Department of Health and Human Services v Horacek </w:t>
      </w:r>
      <w:r>
        <w:t>[2009] TASSC 65, [10].</w:t>
      </w:r>
    </w:p>
  </w:footnote>
  <w:footnote w:id="636">
    <w:p w14:paraId="7393862A" w14:textId="7DA05903" w:rsidR="00EE78D8" w:rsidRPr="00DB19CB" w:rsidRDefault="00EE78D8">
      <w:pPr>
        <w:pStyle w:val="FootnoteText"/>
        <w:rPr>
          <w:i/>
          <w:lang w:val="en-US"/>
        </w:rPr>
      </w:pPr>
      <w:r>
        <w:rPr>
          <w:rStyle w:val="FootnoteReference"/>
        </w:rPr>
        <w:footnoteRef/>
      </w:r>
      <w:r>
        <w:tab/>
      </w:r>
      <w:r>
        <w:rPr>
          <w:lang w:val="en-US"/>
        </w:rPr>
        <w:t xml:space="preserve">These enforcement provisions were introduced in 2016 by the </w:t>
      </w:r>
      <w:r>
        <w:rPr>
          <w:i/>
          <w:lang w:val="en-US"/>
        </w:rPr>
        <w:t xml:space="preserve">Crimes (Miscellaneous Amendments) Act 2016 </w:t>
      </w:r>
      <w:r>
        <w:rPr>
          <w:lang w:val="en-US"/>
        </w:rPr>
        <w:t xml:space="preserve">(Tas) to address an oversight in the </w:t>
      </w:r>
      <w:r w:rsidRPr="00A16AAC">
        <w:rPr>
          <w:i/>
          <w:iCs/>
        </w:rPr>
        <w:t xml:space="preserve">Criminal Justice (Mental Impairment) Act 1999 </w:t>
      </w:r>
      <w:r w:rsidRPr="00A16AAC">
        <w:rPr>
          <w:iCs/>
        </w:rPr>
        <w:t>(Tas)</w:t>
      </w:r>
      <w:r>
        <w:rPr>
          <w:lang w:val="en-US"/>
        </w:rPr>
        <w:t xml:space="preserve">. In the second reading speech, it was noted that ‘forensic orders are often not appropriate options for defendants who have an intellectual disability. In such cases, release of conditions may be appropriate orders for the court to consider but the absence of a mechanism to enforce the conditions imposed is problematic and means judicial officers rarely use the section’: </w:t>
      </w:r>
      <w:r>
        <w:t xml:space="preserve">Tasmania, </w:t>
      </w:r>
      <w:r w:rsidRPr="00F6664B">
        <w:rPr>
          <w:i/>
        </w:rPr>
        <w:t>Parliamentary Debates</w:t>
      </w:r>
      <w:r>
        <w:t xml:space="preserve">, House of Assembly, </w:t>
      </w:r>
      <w:r w:rsidRPr="00050909">
        <w:t xml:space="preserve">24 May 2016, </w:t>
      </w:r>
      <w:r>
        <w:t>3.20 pm (</w:t>
      </w:r>
      <w:r w:rsidRPr="00194C2F">
        <w:rPr>
          <w:lang w:val="en-US"/>
        </w:rPr>
        <w:t>M Ferguson</w:t>
      </w:r>
      <w:r>
        <w:rPr>
          <w:lang w:val="en-US"/>
        </w:rPr>
        <w:t>).</w:t>
      </w:r>
    </w:p>
  </w:footnote>
  <w:footnote w:id="637">
    <w:p w14:paraId="154E943C" w14:textId="344E86B1" w:rsidR="00EE78D8" w:rsidRPr="009952BB" w:rsidRDefault="00EE78D8">
      <w:pPr>
        <w:pStyle w:val="FootnoteText"/>
        <w:rPr>
          <w:lang w:val="en-US"/>
        </w:rPr>
      </w:pPr>
      <w:r>
        <w:rPr>
          <w:rStyle w:val="FootnoteReference"/>
        </w:rPr>
        <w:footnoteRef/>
      </w:r>
      <w:r>
        <w:tab/>
      </w:r>
      <w:r w:rsidRPr="00A16AAC">
        <w:rPr>
          <w:i/>
          <w:iCs/>
        </w:rPr>
        <w:t xml:space="preserve">Criminal Justice (Mental Impairment) Act 1999 </w:t>
      </w:r>
      <w:r w:rsidRPr="00A16AAC">
        <w:rPr>
          <w:iCs/>
        </w:rPr>
        <w:t>(Tas)</w:t>
      </w:r>
      <w:r>
        <w:rPr>
          <w:iCs/>
        </w:rPr>
        <w:t xml:space="preserve"> </w:t>
      </w:r>
      <w:r>
        <w:rPr>
          <w:lang w:val="en-US"/>
        </w:rPr>
        <w:t>s 34.</w:t>
      </w:r>
    </w:p>
  </w:footnote>
  <w:footnote w:id="638">
    <w:p w14:paraId="7EBAC502" w14:textId="43920320" w:rsidR="00EE78D8" w:rsidRPr="00EB3AA6" w:rsidRDefault="00EE78D8">
      <w:pPr>
        <w:pStyle w:val="FootnoteText"/>
        <w:rPr>
          <w:lang w:val="en-US"/>
        </w:rPr>
      </w:pPr>
      <w:r>
        <w:rPr>
          <w:rStyle w:val="FootnoteReference"/>
        </w:rPr>
        <w:footnoteRef/>
      </w:r>
      <w:r>
        <w:tab/>
      </w:r>
      <w:r>
        <w:rPr>
          <w:lang w:val="en-US"/>
        </w:rPr>
        <w:t xml:space="preserve">Ibid s 35(1). </w:t>
      </w:r>
      <w:r>
        <w:t>Although ss 18(2) and 21(1) do not appear in Part 4, it appears that the courts rely on this provision in making a determination of the appropriate order.</w:t>
      </w:r>
    </w:p>
  </w:footnote>
  <w:footnote w:id="639">
    <w:p w14:paraId="5D3EF3DD" w14:textId="538EBFC3" w:rsidR="00EE78D8" w:rsidRPr="00EB3AA6" w:rsidRDefault="00EE78D8">
      <w:pPr>
        <w:pStyle w:val="FootnoteText"/>
        <w:rPr>
          <w:lang w:val="en-US"/>
        </w:rPr>
      </w:pPr>
      <w:r>
        <w:rPr>
          <w:rStyle w:val="FootnoteReference"/>
        </w:rPr>
        <w:footnoteRef/>
      </w:r>
      <w:r>
        <w:tab/>
        <w:t>Ibid s 33. Although ss 18(2) and 21(1) do not appear in Part 4, it appears that the courts rely on this provision in making a determination of the appropriate order.</w:t>
      </w:r>
    </w:p>
  </w:footnote>
  <w:footnote w:id="640">
    <w:p w14:paraId="1A8F2221" w14:textId="265F6D37" w:rsidR="00EE78D8" w:rsidRPr="0074254F" w:rsidRDefault="00EE78D8">
      <w:pPr>
        <w:pStyle w:val="FootnoteText"/>
        <w:rPr>
          <w:lang w:val="en-US"/>
        </w:rPr>
      </w:pPr>
      <w:r>
        <w:rPr>
          <w:rStyle w:val="FootnoteReference"/>
        </w:rPr>
        <w:footnoteRef/>
      </w:r>
      <w:r>
        <w:tab/>
        <w:t xml:space="preserve">Ibid s 35(2). If the order is made under the </w:t>
      </w:r>
      <w:r>
        <w:rPr>
          <w:i/>
        </w:rPr>
        <w:t xml:space="preserve">Sentencing Act 1997 </w:t>
      </w:r>
      <w:r>
        <w:t>(Tas), the court is not able to impose a restriction order unless it would have imposed a sentence of imprisonment, s 75(2).</w:t>
      </w:r>
    </w:p>
  </w:footnote>
  <w:footnote w:id="641">
    <w:p w14:paraId="4C765863" w14:textId="723B064D" w:rsidR="00EE78D8" w:rsidRPr="008E76A3" w:rsidRDefault="00EE78D8" w:rsidP="008E76A3">
      <w:pPr>
        <w:pStyle w:val="FootnoteText"/>
        <w:rPr>
          <w:lang w:val="en-US"/>
        </w:rPr>
      </w:pPr>
      <w:r>
        <w:rPr>
          <w:rStyle w:val="FootnoteReference"/>
        </w:rPr>
        <w:footnoteRef/>
      </w:r>
      <w:r>
        <w:tab/>
      </w:r>
      <w:r>
        <w:rPr>
          <w:lang w:val="en-US"/>
        </w:rPr>
        <w:t xml:space="preserve">It is noted these factors have been identified as being relevant to the making of a forensic order in NSW for offenders found not guilty by reason of mental illness, see 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xml:space="preserve">, 159. See also I Freckelton, ‘Applications for Release by Australians in Victoria Found Not Guilty of Offences of Violence by Reason of Mental Impairment’ (2005) 28 </w:t>
      </w:r>
      <w:r>
        <w:rPr>
          <w:i/>
          <w:lang w:val="en-US"/>
        </w:rPr>
        <w:t xml:space="preserve">International Journal of Law and Psychiatry </w:t>
      </w:r>
      <w:r>
        <w:rPr>
          <w:lang w:val="en-US"/>
        </w:rPr>
        <w:t>375.</w:t>
      </w:r>
    </w:p>
  </w:footnote>
  <w:footnote w:id="642">
    <w:p w14:paraId="7915A799" w14:textId="7666AAD8" w:rsidR="00EE78D8" w:rsidRPr="00CF708F" w:rsidRDefault="00EE78D8" w:rsidP="005A26A9">
      <w:pPr>
        <w:pStyle w:val="FootnoteText"/>
        <w:rPr>
          <w:lang w:val="en-US"/>
        </w:rPr>
      </w:pPr>
      <w:r>
        <w:rPr>
          <w:rStyle w:val="FootnoteReference"/>
        </w:rPr>
        <w:footnoteRef/>
      </w:r>
      <w:r>
        <w:tab/>
      </w:r>
      <w:r w:rsidRPr="00A16AAC">
        <w:rPr>
          <w:i/>
          <w:iCs/>
        </w:rPr>
        <w:t xml:space="preserve">Criminal Justice (Mental Impairment) Act 1999 </w:t>
      </w:r>
      <w:r w:rsidRPr="00A16AAC">
        <w:rPr>
          <w:iCs/>
        </w:rPr>
        <w:t>(Tas)</w:t>
      </w:r>
      <w:r>
        <w:rPr>
          <w:lang w:val="en-US"/>
        </w:rPr>
        <w:t xml:space="preserve"> s 37(1).</w:t>
      </w:r>
    </w:p>
  </w:footnote>
  <w:footnote w:id="643">
    <w:p w14:paraId="4ECB9051" w14:textId="5BB51116" w:rsidR="00EE78D8" w:rsidRPr="00083F05" w:rsidRDefault="00EE78D8" w:rsidP="005A26A9">
      <w:pPr>
        <w:pStyle w:val="FootnoteText"/>
        <w:rPr>
          <w:lang w:val="en-US"/>
        </w:rPr>
      </w:pPr>
      <w:r>
        <w:rPr>
          <w:rStyle w:val="FootnoteReference"/>
        </w:rPr>
        <w:footnoteRef/>
      </w:r>
      <w:r>
        <w:tab/>
      </w:r>
      <w:r>
        <w:rPr>
          <w:lang w:val="en-US"/>
        </w:rPr>
        <w:t>Ibid s 37(3).</w:t>
      </w:r>
    </w:p>
  </w:footnote>
  <w:footnote w:id="644">
    <w:p w14:paraId="6499EC7B" w14:textId="2958A3FB" w:rsidR="00EE78D8" w:rsidRPr="00083F05" w:rsidRDefault="00EE78D8" w:rsidP="005A26A9">
      <w:pPr>
        <w:pStyle w:val="FootnoteText"/>
        <w:rPr>
          <w:lang w:val="en-US"/>
        </w:rPr>
      </w:pPr>
      <w:r>
        <w:rPr>
          <w:rStyle w:val="FootnoteReference"/>
        </w:rPr>
        <w:footnoteRef/>
      </w:r>
      <w:r>
        <w:tab/>
      </w:r>
      <w:r>
        <w:rPr>
          <w:lang w:val="en-US"/>
        </w:rPr>
        <w:t>Ibid s 37(2).</w:t>
      </w:r>
    </w:p>
  </w:footnote>
  <w:footnote w:id="645">
    <w:p w14:paraId="7500DD69" w14:textId="54AFAE8F" w:rsidR="00EE78D8" w:rsidRPr="00AD2232" w:rsidRDefault="00EE78D8">
      <w:pPr>
        <w:pStyle w:val="FootnoteText"/>
        <w:rPr>
          <w:lang w:val="en-US"/>
        </w:rPr>
      </w:pPr>
      <w:r>
        <w:rPr>
          <w:rStyle w:val="FootnoteReference"/>
        </w:rPr>
        <w:footnoteRef/>
      </w:r>
      <w:r>
        <w:tab/>
      </w:r>
      <w:r>
        <w:rPr>
          <w:lang w:val="en-US"/>
        </w:rPr>
        <w:t xml:space="preserve">Smith, above n </w:t>
      </w:r>
      <w:r>
        <w:rPr>
          <w:lang w:val="en-US"/>
        </w:rPr>
        <w:fldChar w:fldCharType="begin"/>
      </w:r>
      <w:r>
        <w:rPr>
          <w:lang w:val="en-US"/>
        </w:rPr>
        <w:instrText xml:space="preserve"> NOTEREF _Ref535661080 \h </w:instrText>
      </w:r>
      <w:r>
        <w:rPr>
          <w:lang w:val="en-US"/>
        </w:rPr>
      </w:r>
      <w:r>
        <w:rPr>
          <w:lang w:val="en-US"/>
        </w:rPr>
        <w:fldChar w:fldCharType="separate"/>
      </w:r>
      <w:r w:rsidR="001F209C">
        <w:rPr>
          <w:lang w:val="en-US"/>
        </w:rPr>
        <w:t>30</w:t>
      </w:r>
      <w:r>
        <w:rPr>
          <w:lang w:val="en-US"/>
        </w:rPr>
        <w:fldChar w:fldCharType="end"/>
      </w:r>
      <w:r>
        <w:rPr>
          <w:lang w:val="en-US"/>
        </w:rPr>
        <w:t>, 25.</w:t>
      </w:r>
    </w:p>
  </w:footnote>
  <w:footnote w:id="646">
    <w:p w14:paraId="1D970228" w14:textId="1B3C8CCC" w:rsidR="00EE78D8" w:rsidRPr="00083F05" w:rsidRDefault="00EE78D8" w:rsidP="00825C8A">
      <w:pPr>
        <w:pStyle w:val="FootnoteText"/>
        <w:rPr>
          <w:lang w:val="en-US"/>
        </w:rPr>
      </w:pPr>
      <w:r>
        <w:rPr>
          <w:rStyle w:val="FootnoteReference"/>
        </w:rPr>
        <w:footnoteRef/>
      </w:r>
      <w:r>
        <w:rPr>
          <w:lang w:val="en-US"/>
        </w:rPr>
        <w:tab/>
      </w:r>
      <w:r w:rsidRPr="00A16AAC">
        <w:rPr>
          <w:i/>
          <w:iCs/>
        </w:rPr>
        <w:t xml:space="preserve">Criminal Justice (Mental Impairment) Act 1999 </w:t>
      </w:r>
      <w:r w:rsidRPr="00A16AAC">
        <w:rPr>
          <w:iCs/>
        </w:rPr>
        <w:t>(Tas)</w:t>
      </w:r>
      <w:r>
        <w:rPr>
          <w:lang w:val="en-US"/>
        </w:rPr>
        <w:t xml:space="preserve"> s 37(3)(b).</w:t>
      </w:r>
    </w:p>
  </w:footnote>
  <w:footnote w:id="647">
    <w:p w14:paraId="453A8AF4" w14:textId="7CF23849" w:rsidR="00EE78D8" w:rsidRPr="00083F05" w:rsidRDefault="00EE78D8" w:rsidP="00825C8A">
      <w:pPr>
        <w:pStyle w:val="FootnoteText"/>
        <w:rPr>
          <w:lang w:val="en-US"/>
        </w:rPr>
      </w:pPr>
      <w:r>
        <w:rPr>
          <w:rStyle w:val="FootnoteReference"/>
        </w:rPr>
        <w:footnoteRef/>
      </w:r>
      <w:r>
        <w:tab/>
      </w:r>
      <w:r>
        <w:rPr>
          <w:lang w:val="en-US"/>
        </w:rPr>
        <w:t>Ibid s 37(4)</w:t>
      </w:r>
    </w:p>
  </w:footnote>
  <w:footnote w:id="648">
    <w:p w14:paraId="71F184FC" w14:textId="736641FA" w:rsidR="00EE78D8" w:rsidRPr="00083F05" w:rsidRDefault="00EE78D8" w:rsidP="00825C8A">
      <w:pPr>
        <w:pStyle w:val="FootnoteText"/>
        <w:rPr>
          <w:lang w:val="en-US"/>
        </w:rPr>
      </w:pPr>
      <w:r>
        <w:rPr>
          <w:rStyle w:val="FootnoteReference"/>
        </w:rPr>
        <w:footnoteRef/>
      </w:r>
      <w:r>
        <w:tab/>
      </w:r>
      <w:r>
        <w:rPr>
          <w:lang w:val="en-US"/>
        </w:rPr>
        <w:t>Ibid s 37(5).</w:t>
      </w:r>
    </w:p>
  </w:footnote>
  <w:footnote w:id="649">
    <w:p w14:paraId="5987A949" w14:textId="34FDFE98" w:rsidR="00EE78D8" w:rsidRPr="0074254F" w:rsidRDefault="00EE78D8" w:rsidP="00825C8A">
      <w:pPr>
        <w:pStyle w:val="FootnoteText"/>
        <w:rPr>
          <w:lang w:val="en-US"/>
        </w:rPr>
      </w:pPr>
      <w:r>
        <w:rPr>
          <w:rStyle w:val="FootnoteReference"/>
        </w:rPr>
        <w:footnoteRef/>
      </w:r>
      <w:r>
        <w:tab/>
      </w:r>
      <w:r>
        <w:rPr>
          <w:lang w:val="en-US"/>
        </w:rPr>
        <w:t>Ibid s 37(7).</w:t>
      </w:r>
    </w:p>
  </w:footnote>
  <w:footnote w:id="650">
    <w:p w14:paraId="6A878E1A" w14:textId="1638A841" w:rsidR="00EE78D8" w:rsidRPr="004D4A9A" w:rsidRDefault="00EE78D8" w:rsidP="00FB5CB8">
      <w:pPr>
        <w:pStyle w:val="FootnoteText"/>
        <w:rPr>
          <w:lang w:val="en-US"/>
        </w:rPr>
      </w:pPr>
      <w:r>
        <w:rPr>
          <w:rStyle w:val="FootnoteReference"/>
        </w:rPr>
        <w:footnoteRef/>
      </w:r>
      <w:r>
        <w:tab/>
      </w:r>
      <w:r>
        <w:rPr>
          <w:lang w:val="en-US"/>
        </w:rPr>
        <w:t>It is noted that the MHT data identified one further person who has been subject to several supervision orders with the latest order suspended during a period of imprisonment.</w:t>
      </w:r>
    </w:p>
  </w:footnote>
  <w:footnote w:id="651">
    <w:p w14:paraId="178BF30C" w14:textId="5790E66F" w:rsidR="00EE78D8" w:rsidRPr="00DD56AA" w:rsidRDefault="00EE78D8">
      <w:pPr>
        <w:pStyle w:val="FootnoteText"/>
        <w:rPr>
          <w:lang w:val="en-US"/>
        </w:rPr>
      </w:pPr>
      <w:r>
        <w:rPr>
          <w:rStyle w:val="FootnoteReference"/>
        </w:rPr>
        <w:footnoteRef/>
      </w:r>
      <w:r>
        <w:tab/>
        <w:t>Information provided by Sarah Piggott, Legal Aid Commission of Tasmania, email 3 July 2018.</w:t>
      </w:r>
    </w:p>
  </w:footnote>
  <w:footnote w:id="652">
    <w:p w14:paraId="47C768E8" w14:textId="24D83535" w:rsidR="00EE78D8" w:rsidRPr="0091311A" w:rsidRDefault="00EE78D8" w:rsidP="003A0EBC">
      <w:pPr>
        <w:pStyle w:val="FootnoteText"/>
        <w:rPr>
          <w:lang w:val="en-US"/>
        </w:rPr>
      </w:pPr>
      <w:r>
        <w:rPr>
          <w:rStyle w:val="FootnoteReference"/>
        </w:rPr>
        <w:footnoteRef/>
      </w:r>
      <w:r>
        <w:t xml:space="preserve"> </w:t>
      </w:r>
      <w:r>
        <w:tab/>
      </w:r>
      <w:r w:rsidRPr="00A16AAC">
        <w:rPr>
          <w:i/>
          <w:iCs/>
        </w:rPr>
        <w:t xml:space="preserve">Criminal Justice (Mental Impairment) Act 1999 </w:t>
      </w:r>
      <w:r w:rsidRPr="00A16AAC">
        <w:rPr>
          <w:iCs/>
        </w:rPr>
        <w:t>(Tas)</w:t>
      </w:r>
      <w:r>
        <w:rPr>
          <w:iCs/>
        </w:rPr>
        <w:t xml:space="preserve"> s </w:t>
      </w:r>
      <w:r>
        <w:rPr>
          <w:lang w:val="en-US"/>
        </w:rPr>
        <w:t>37(3).</w:t>
      </w:r>
    </w:p>
  </w:footnote>
  <w:footnote w:id="653">
    <w:p w14:paraId="6C77A88D" w14:textId="0F1CE0EB" w:rsidR="00EE78D8" w:rsidRPr="00CB2221" w:rsidRDefault="00EE78D8">
      <w:pPr>
        <w:pStyle w:val="FootnoteText"/>
        <w:rPr>
          <w:lang w:val="en-US"/>
        </w:rPr>
      </w:pPr>
      <w:r>
        <w:rPr>
          <w:rStyle w:val="FootnoteReference"/>
        </w:rPr>
        <w:footnoteRef/>
      </w:r>
      <w:r>
        <w:tab/>
      </w:r>
      <w:r>
        <w:rPr>
          <w:lang w:val="en-US"/>
        </w:rPr>
        <w:t>Ibid 30(3).</w:t>
      </w:r>
    </w:p>
  </w:footnote>
  <w:footnote w:id="654">
    <w:p w14:paraId="0D223485" w14:textId="3F0DB035" w:rsidR="00EE78D8" w:rsidRPr="00E56693" w:rsidRDefault="00EE78D8" w:rsidP="00EE0C80">
      <w:pPr>
        <w:pStyle w:val="FootnoteText"/>
        <w:rPr>
          <w:lang w:val="en-US"/>
        </w:rPr>
      </w:pPr>
      <w:r>
        <w:rPr>
          <w:rStyle w:val="FootnoteReference"/>
        </w:rPr>
        <w:footnoteRef/>
      </w:r>
      <w:r>
        <w:tab/>
        <w:t xml:space="preserve">Mental Health Tribunal (Tasmania), </w:t>
      </w:r>
      <w:r w:rsidRPr="00C6041D">
        <w:rPr>
          <w:i/>
        </w:rPr>
        <w:t>Annual Report 2015–16</w:t>
      </w:r>
      <w:r>
        <w:t xml:space="preserve">, </w:t>
      </w:r>
      <w:r>
        <w:rPr>
          <w:lang w:val="en-US"/>
        </w:rPr>
        <w:t>18.</w:t>
      </w:r>
    </w:p>
  </w:footnote>
  <w:footnote w:id="655">
    <w:p w14:paraId="1582F61C" w14:textId="01333410" w:rsidR="00EE78D8" w:rsidRPr="009C5AF2" w:rsidRDefault="00EE78D8" w:rsidP="001A441D">
      <w:pPr>
        <w:pStyle w:val="FootnoteText"/>
        <w:rPr>
          <w:lang w:val="en-US"/>
        </w:rPr>
      </w:pPr>
      <w:r>
        <w:rPr>
          <w:rStyle w:val="FootnoteReference"/>
        </w:rPr>
        <w:footnoteRef/>
      </w:r>
      <w:r>
        <w:tab/>
        <w:t xml:space="preserve">Mental Health Tribunal (Tasmania), </w:t>
      </w:r>
      <w:r>
        <w:rPr>
          <w:i/>
        </w:rPr>
        <w:t xml:space="preserve">Annual Report 2017–18 </w:t>
      </w:r>
      <w:r>
        <w:t>(2018) 31.</w:t>
      </w:r>
    </w:p>
  </w:footnote>
  <w:footnote w:id="656">
    <w:p w14:paraId="12086790" w14:textId="1FFEF90E" w:rsidR="00EE78D8" w:rsidRPr="00421CE7" w:rsidRDefault="00EE78D8">
      <w:pPr>
        <w:pStyle w:val="FootnoteText"/>
        <w:rPr>
          <w:lang w:val="en-US"/>
        </w:rPr>
      </w:pPr>
      <w:r>
        <w:rPr>
          <w:rStyle w:val="FootnoteReference"/>
        </w:rPr>
        <w:footnoteRef/>
      </w:r>
      <w:r>
        <w:tab/>
        <w:t>Ibid.</w:t>
      </w:r>
    </w:p>
  </w:footnote>
  <w:footnote w:id="657">
    <w:p w14:paraId="74458D48" w14:textId="13AABC3C" w:rsidR="00EE78D8" w:rsidRPr="001B5F45" w:rsidRDefault="00EE78D8" w:rsidP="00EE0C80">
      <w:pPr>
        <w:pStyle w:val="FootnoteText"/>
        <w:rPr>
          <w:lang w:val="en-US"/>
        </w:rPr>
      </w:pPr>
      <w:r>
        <w:rPr>
          <w:rStyle w:val="FootnoteReference"/>
        </w:rPr>
        <w:footnoteRef/>
      </w:r>
      <w:r>
        <w:tab/>
        <w:t xml:space="preserve">Smith, above n </w:t>
      </w:r>
      <w:r>
        <w:fldChar w:fldCharType="begin"/>
      </w:r>
      <w:r>
        <w:instrText xml:space="preserve"> NOTEREF _Ref535661080 \h </w:instrText>
      </w:r>
      <w:r>
        <w:fldChar w:fldCharType="separate"/>
      </w:r>
      <w:r w:rsidR="001F209C">
        <w:t>30</w:t>
      </w:r>
      <w:r>
        <w:fldChar w:fldCharType="end"/>
      </w:r>
      <w:r>
        <w:t xml:space="preserve">, </w:t>
      </w:r>
      <w:r>
        <w:rPr>
          <w:lang w:val="en-US"/>
        </w:rPr>
        <w:t>22.</w:t>
      </w:r>
    </w:p>
  </w:footnote>
  <w:footnote w:id="658">
    <w:p w14:paraId="2B4A017D" w14:textId="0C14B400" w:rsidR="00EE78D8" w:rsidRPr="00523083" w:rsidRDefault="00EE78D8" w:rsidP="00EE0C80">
      <w:pPr>
        <w:pStyle w:val="FootnoteText"/>
        <w:rPr>
          <w:lang w:val="en-US"/>
        </w:rPr>
      </w:pPr>
      <w:r>
        <w:rPr>
          <w:rStyle w:val="FootnoteReference"/>
        </w:rPr>
        <w:footnoteRef/>
      </w:r>
      <w:r>
        <w:tab/>
        <w:t xml:space="preserve">Ibid </w:t>
      </w:r>
      <w:r>
        <w:rPr>
          <w:lang w:val="en-US"/>
        </w:rPr>
        <w:t>23.</w:t>
      </w:r>
    </w:p>
  </w:footnote>
  <w:footnote w:id="659">
    <w:p w14:paraId="38F4E2FB" w14:textId="61ED46B9" w:rsidR="00EE78D8" w:rsidRPr="003359FA" w:rsidRDefault="00EE78D8" w:rsidP="006025F5">
      <w:pPr>
        <w:pStyle w:val="FootnoteText"/>
        <w:rPr>
          <w:lang w:val="en-US"/>
        </w:rPr>
      </w:pPr>
      <w:r>
        <w:rPr>
          <w:rStyle w:val="FootnoteReference"/>
        </w:rPr>
        <w:footnoteRef/>
      </w:r>
      <w:r>
        <w:tab/>
      </w:r>
      <w:r>
        <w:rPr>
          <w:lang w:val="en-US"/>
        </w:rPr>
        <w:t xml:space="preserve">See </w:t>
      </w:r>
      <w:r w:rsidRPr="00A16AAC">
        <w:rPr>
          <w:i/>
          <w:iCs/>
        </w:rPr>
        <w:t xml:space="preserve">Criminal Justice (Mental Impairment) Act 1999 </w:t>
      </w:r>
      <w:r w:rsidRPr="00A16AAC">
        <w:rPr>
          <w:iCs/>
        </w:rPr>
        <w:t>(Tas)</w:t>
      </w:r>
      <w:r>
        <w:rPr>
          <w:lang w:val="en-US"/>
        </w:rPr>
        <w:t xml:space="preserve"> ss 33–35.</w:t>
      </w:r>
    </w:p>
  </w:footnote>
  <w:footnote w:id="660">
    <w:p w14:paraId="13570D90" w14:textId="27F408D0" w:rsidR="00EE78D8" w:rsidRPr="00653479" w:rsidRDefault="00EE78D8">
      <w:pPr>
        <w:pStyle w:val="FootnoteText"/>
        <w:rPr>
          <w:lang w:val="en-US"/>
        </w:rPr>
      </w:pPr>
      <w:r>
        <w:rPr>
          <w:rStyle w:val="FootnoteReference"/>
        </w:rPr>
        <w:footnoteRef/>
      </w:r>
      <w:r>
        <w:tab/>
      </w:r>
      <w:r w:rsidRPr="00653479">
        <w:rPr>
          <w:i/>
          <w:lang w:val="en-US"/>
        </w:rPr>
        <w:t>NOM v DPP</w:t>
      </w:r>
      <w:r>
        <w:rPr>
          <w:lang w:val="en-US"/>
        </w:rPr>
        <w:t xml:space="preserve"> </w:t>
      </w:r>
      <w:r w:rsidRPr="00977B0C">
        <w:rPr>
          <w:i/>
          <w:lang w:val="en-US"/>
        </w:rPr>
        <w:t>&amp; Ors</w:t>
      </w:r>
      <w:r>
        <w:rPr>
          <w:lang w:val="en-US"/>
        </w:rPr>
        <w:t xml:space="preserve"> [2012] VSCA 198, [47].</w:t>
      </w:r>
    </w:p>
  </w:footnote>
  <w:footnote w:id="661">
    <w:p w14:paraId="34A6E468" w14:textId="058FDCCF" w:rsidR="00EE78D8" w:rsidRPr="00973FB0" w:rsidRDefault="00EE78D8">
      <w:pPr>
        <w:pStyle w:val="FootnoteText"/>
        <w:rPr>
          <w:lang w:val="en-US"/>
        </w:rPr>
      </w:pPr>
      <w:r>
        <w:rPr>
          <w:rStyle w:val="FootnoteReference"/>
        </w:rPr>
        <w:footnoteRef/>
      </w:r>
      <w:r>
        <w:tab/>
      </w:r>
      <w:r>
        <w:rPr>
          <w:lang w:val="en-US"/>
        </w:rPr>
        <w:t>[2008] TASSC 85.</w:t>
      </w:r>
    </w:p>
  </w:footnote>
  <w:footnote w:id="662">
    <w:p w14:paraId="32F081EE" w14:textId="0256624C" w:rsidR="00EE78D8" w:rsidRPr="006D0F40" w:rsidRDefault="00EE78D8">
      <w:pPr>
        <w:pStyle w:val="FootnoteText"/>
        <w:rPr>
          <w:lang w:val="en-US"/>
        </w:rPr>
      </w:pPr>
      <w:r>
        <w:rPr>
          <w:rStyle w:val="FootnoteReference"/>
        </w:rPr>
        <w:footnoteRef/>
      </w:r>
      <w:r>
        <w:tab/>
        <w:t xml:space="preserve">Ibid </w:t>
      </w:r>
      <w:r>
        <w:rPr>
          <w:lang w:val="en-US"/>
        </w:rPr>
        <w:t>[25] (Tennent J).</w:t>
      </w:r>
    </w:p>
  </w:footnote>
  <w:footnote w:id="663">
    <w:p w14:paraId="74BC1C4A" w14:textId="5FBB1DC2" w:rsidR="00EE78D8" w:rsidRPr="001C72EB" w:rsidRDefault="00EE78D8">
      <w:pPr>
        <w:pStyle w:val="FootnoteText"/>
        <w:rPr>
          <w:lang w:val="en-US"/>
        </w:rPr>
      </w:pPr>
      <w:r>
        <w:rPr>
          <w:rStyle w:val="FootnoteReference"/>
        </w:rPr>
        <w:footnoteRef/>
      </w:r>
      <w:r>
        <w:tab/>
      </w:r>
      <w:r>
        <w:rPr>
          <w:lang w:val="en-US"/>
        </w:rPr>
        <w:t>[2009] TASSC 65.</w:t>
      </w:r>
    </w:p>
  </w:footnote>
  <w:footnote w:id="664">
    <w:p w14:paraId="39305427" w14:textId="5484546F" w:rsidR="00EE78D8" w:rsidRPr="001C72EB" w:rsidRDefault="00EE78D8">
      <w:pPr>
        <w:pStyle w:val="FootnoteText"/>
        <w:rPr>
          <w:lang w:val="en-US"/>
        </w:rPr>
      </w:pPr>
      <w:r>
        <w:rPr>
          <w:rStyle w:val="FootnoteReference"/>
        </w:rPr>
        <w:footnoteRef/>
      </w:r>
      <w:r>
        <w:tab/>
        <w:t xml:space="preserve">Ibid </w:t>
      </w:r>
      <w:r>
        <w:rPr>
          <w:lang w:val="en-US"/>
        </w:rPr>
        <w:t>[75] (Tennent J).</w:t>
      </w:r>
    </w:p>
  </w:footnote>
  <w:footnote w:id="665">
    <w:p w14:paraId="454CF37D" w14:textId="7FB8EC0A" w:rsidR="00EE78D8" w:rsidRPr="00973FB0" w:rsidRDefault="00EE78D8" w:rsidP="002F7A9C">
      <w:pPr>
        <w:pStyle w:val="FootnoteText"/>
        <w:rPr>
          <w:lang w:val="en-US"/>
        </w:rPr>
      </w:pPr>
      <w:r>
        <w:rPr>
          <w:rStyle w:val="FootnoteReference"/>
        </w:rPr>
        <w:footnoteRef/>
      </w:r>
      <w:r>
        <w:tab/>
      </w:r>
      <w:r>
        <w:rPr>
          <w:lang w:val="en-US"/>
        </w:rPr>
        <w:t>[2008] TASSC 85.</w:t>
      </w:r>
    </w:p>
  </w:footnote>
  <w:footnote w:id="666">
    <w:p w14:paraId="133E08CE" w14:textId="54922D8A" w:rsidR="00EE78D8" w:rsidRPr="00A15653" w:rsidRDefault="00EE78D8">
      <w:pPr>
        <w:pStyle w:val="FootnoteText"/>
        <w:rPr>
          <w:lang w:val="en-US"/>
        </w:rPr>
      </w:pPr>
      <w:r>
        <w:rPr>
          <w:rStyle w:val="FootnoteReference"/>
        </w:rPr>
        <w:footnoteRef/>
      </w:r>
      <w:r>
        <w:tab/>
        <w:t xml:space="preserve">Ibid </w:t>
      </w:r>
      <w:r>
        <w:rPr>
          <w:lang w:val="en-US"/>
        </w:rPr>
        <w:t>[74], [75].</w:t>
      </w:r>
    </w:p>
  </w:footnote>
  <w:footnote w:id="667">
    <w:p w14:paraId="35B21EDA" w14:textId="64613EFF" w:rsidR="00EE78D8" w:rsidRPr="00E02D0D" w:rsidRDefault="00EE78D8">
      <w:pPr>
        <w:pStyle w:val="FootnoteText"/>
        <w:rPr>
          <w:lang w:val="en-US"/>
        </w:rPr>
      </w:pPr>
      <w:r>
        <w:rPr>
          <w:rStyle w:val="FootnoteReference"/>
        </w:rPr>
        <w:footnoteRef/>
      </w:r>
      <w:r>
        <w:tab/>
        <w:t xml:space="preserve">Ibid </w:t>
      </w:r>
      <w:r>
        <w:rPr>
          <w:lang w:val="en-US"/>
        </w:rPr>
        <w:t xml:space="preserve">[75] (Tennent J) applying </w:t>
      </w:r>
      <w:r>
        <w:rPr>
          <w:i/>
          <w:lang w:val="en-US"/>
        </w:rPr>
        <w:t xml:space="preserve">Percy </w:t>
      </w:r>
      <w:r>
        <w:rPr>
          <w:lang w:val="en-US"/>
        </w:rPr>
        <w:t>(1998) 104 A Crim R 29.</w:t>
      </w:r>
    </w:p>
  </w:footnote>
  <w:footnote w:id="668">
    <w:p w14:paraId="14A991EF" w14:textId="466D9C7E" w:rsidR="00EE78D8" w:rsidRPr="00D41B9B" w:rsidRDefault="00EE78D8">
      <w:pPr>
        <w:pStyle w:val="FootnoteText"/>
        <w:rPr>
          <w:lang w:val="en-US"/>
        </w:rPr>
      </w:pPr>
      <w:r>
        <w:rPr>
          <w:rStyle w:val="FootnoteReference"/>
        </w:rPr>
        <w:footnoteRef/>
      </w:r>
      <w:r>
        <w:tab/>
        <w:t xml:space="preserve">Ibid </w:t>
      </w:r>
      <w:r>
        <w:rPr>
          <w:lang w:val="en-US"/>
        </w:rPr>
        <w:t xml:space="preserve">[76] (Tennent J) citing </w:t>
      </w:r>
      <w:r>
        <w:rPr>
          <w:i/>
          <w:lang w:val="en-US"/>
        </w:rPr>
        <w:t xml:space="preserve">Boughey v R </w:t>
      </w:r>
      <w:r>
        <w:rPr>
          <w:lang w:val="en-US"/>
        </w:rPr>
        <w:t xml:space="preserve">(1986) 161 CLR 10; </w:t>
      </w:r>
      <w:r>
        <w:rPr>
          <w:i/>
          <w:lang w:val="en-US"/>
        </w:rPr>
        <w:t xml:space="preserve">Tillmanns Butcheries Pty Ltd v Australian Meat Industries Employees’ Union </w:t>
      </w:r>
      <w:r>
        <w:rPr>
          <w:lang w:val="en-US"/>
        </w:rPr>
        <w:t>(1979) 42 FLR 331.</w:t>
      </w:r>
    </w:p>
  </w:footnote>
  <w:footnote w:id="669">
    <w:p w14:paraId="32B5090F" w14:textId="1F634562" w:rsidR="00EE78D8" w:rsidRPr="00D41B9B" w:rsidRDefault="00EE78D8">
      <w:pPr>
        <w:pStyle w:val="FootnoteText"/>
        <w:rPr>
          <w:lang w:val="en-US"/>
        </w:rPr>
      </w:pPr>
      <w:r>
        <w:rPr>
          <w:rStyle w:val="FootnoteReference"/>
        </w:rPr>
        <w:footnoteRef/>
      </w:r>
      <w:r>
        <w:tab/>
        <w:t xml:space="preserve">Ibid </w:t>
      </w:r>
      <w:r>
        <w:rPr>
          <w:lang w:val="en-US"/>
        </w:rPr>
        <w:t xml:space="preserve">[77] (Tennent J) citing </w:t>
      </w:r>
      <w:r>
        <w:rPr>
          <w:i/>
          <w:lang w:val="en-US"/>
        </w:rPr>
        <w:t xml:space="preserve">Attorney-General (NSW) v Winters </w:t>
      </w:r>
      <w:r>
        <w:rPr>
          <w:lang w:val="en-US"/>
        </w:rPr>
        <w:t>(2007) 176 A Crim R 249.</w:t>
      </w:r>
    </w:p>
  </w:footnote>
  <w:footnote w:id="670">
    <w:p w14:paraId="0E948F82" w14:textId="3A6B3072" w:rsidR="00EE78D8" w:rsidRPr="00D41B9B" w:rsidRDefault="00EE78D8">
      <w:pPr>
        <w:pStyle w:val="FootnoteText"/>
        <w:rPr>
          <w:lang w:val="en-US"/>
        </w:rPr>
      </w:pPr>
      <w:r>
        <w:rPr>
          <w:rStyle w:val="FootnoteReference"/>
        </w:rPr>
        <w:footnoteRef/>
      </w:r>
      <w:r>
        <w:tab/>
        <w:t xml:space="preserve">Ibid </w:t>
      </w:r>
      <w:r>
        <w:rPr>
          <w:lang w:val="en-US"/>
        </w:rPr>
        <w:t>[78] (Tennent J).</w:t>
      </w:r>
    </w:p>
  </w:footnote>
  <w:footnote w:id="671">
    <w:p w14:paraId="0DCDAFE3" w14:textId="22FD7B4E" w:rsidR="00EE78D8" w:rsidRPr="00CB4119" w:rsidRDefault="00EE78D8">
      <w:pPr>
        <w:pStyle w:val="FootnoteText"/>
        <w:rPr>
          <w:lang w:val="en-US"/>
        </w:rPr>
      </w:pPr>
      <w:r>
        <w:rPr>
          <w:rStyle w:val="FootnoteReference"/>
        </w:rPr>
        <w:footnoteRef/>
      </w:r>
      <w:r>
        <w:rPr>
          <w:lang w:val="en-US"/>
        </w:rPr>
        <w:tab/>
        <w:t>In this case, the identified restriction on the defendant’s freedom and personal autonomy created by the supervision order as distinct from the community treatment order arose for the way in which the order could be revoked or varied: ibid (Tennent J) [55].</w:t>
      </w:r>
    </w:p>
  </w:footnote>
  <w:footnote w:id="672">
    <w:p w14:paraId="6CB29D4E" w14:textId="76458AF1" w:rsidR="00EE78D8" w:rsidRPr="00255A08" w:rsidRDefault="00EE78D8">
      <w:pPr>
        <w:pStyle w:val="FootnoteText"/>
        <w:rPr>
          <w:lang w:val="en-US"/>
        </w:rPr>
      </w:pPr>
      <w:r>
        <w:rPr>
          <w:rStyle w:val="FootnoteReference"/>
        </w:rPr>
        <w:footnoteRef/>
      </w:r>
      <w:r>
        <w:tab/>
        <w:t xml:space="preserve">Ibid </w:t>
      </w:r>
      <w:r>
        <w:rPr>
          <w:lang w:val="en-US"/>
        </w:rPr>
        <w:t>[57].</w:t>
      </w:r>
    </w:p>
  </w:footnote>
  <w:footnote w:id="673">
    <w:p w14:paraId="6281110D" w14:textId="479E7514" w:rsidR="00EE78D8" w:rsidRPr="00255A08" w:rsidRDefault="00EE78D8">
      <w:pPr>
        <w:pStyle w:val="FootnoteText"/>
        <w:rPr>
          <w:lang w:val="en-US"/>
        </w:rPr>
      </w:pPr>
      <w:r>
        <w:rPr>
          <w:rStyle w:val="FootnoteReference"/>
        </w:rPr>
        <w:footnoteRef/>
      </w:r>
      <w:r>
        <w:tab/>
        <w:t xml:space="preserve">Ibid </w:t>
      </w:r>
      <w:r>
        <w:rPr>
          <w:lang w:val="en-US"/>
        </w:rPr>
        <w:t>[58].</w:t>
      </w:r>
    </w:p>
  </w:footnote>
  <w:footnote w:id="674">
    <w:p w14:paraId="182090C9" w14:textId="31179C34" w:rsidR="00EE78D8" w:rsidRPr="00E84797" w:rsidRDefault="00EE78D8">
      <w:pPr>
        <w:pStyle w:val="FootnoteText"/>
        <w:rPr>
          <w:lang w:val="en-US"/>
        </w:rPr>
      </w:pPr>
      <w:r>
        <w:rPr>
          <w:rStyle w:val="FootnoteReference"/>
        </w:rPr>
        <w:footnoteRef/>
      </w:r>
      <w:r>
        <w:tab/>
      </w:r>
      <w:r>
        <w:rPr>
          <w:lang w:val="en-US"/>
        </w:rPr>
        <w:t>Ibid.</w:t>
      </w:r>
    </w:p>
  </w:footnote>
  <w:footnote w:id="675">
    <w:p w14:paraId="773D7A3C" w14:textId="649ACE1F" w:rsidR="00EE78D8" w:rsidRPr="00973FB0" w:rsidRDefault="00EE78D8" w:rsidP="00732C80">
      <w:pPr>
        <w:pStyle w:val="FootnoteText"/>
        <w:rPr>
          <w:lang w:val="en-US"/>
        </w:rPr>
      </w:pPr>
      <w:r>
        <w:rPr>
          <w:rStyle w:val="FootnoteReference"/>
        </w:rPr>
        <w:footnoteRef/>
      </w:r>
      <w:r>
        <w:tab/>
      </w:r>
      <w:r>
        <w:rPr>
          <w:lang w:val="en-US"/>
        </w:rPr>
        <w:t>[2008] TASSC 85.</w:t>
      </w:r>
    </w:p>
  </w:footnote>
  <w:footnote w:id="676">
    <w:p w14:paraId="3F31D15D" w14:textId="688DE4C0" w:rsidR="00EE78D8" w:rsidRPr="001C72EB" w:rsidRDefault="00EE78D8" w:rsidP="00732C80">
      <w:pPr>
        <w:pStyle w:val="FootnoteText"/>
        <w:rPr>
          <w:lang w:val="en-US"/>
        </w:rPr>
      </w:pPr>
      <w:r>
        <w:rPr>
          <w:rStyle w:val="FootnoteReference"/>
        </w:rPr>
        <w:footnoteRef/>
      </w:r>
      <w:r>
        <w:tab/>
      </w:r>
      <w:r>
        <w:rPr>
          <w:lang w:val="en-US"/>
        </w:rPr>
        <w:t>[2009] TASSC 65.</w:t>
      </w:r>
    </w:p>
  </w:footnote>
  <w:footnote w:id="677">
    <w:p w14:paraId="72040AD2" w14:textId="28F79850" w:rsidR="00EE78D8" w:rsidRPr="00732C80" w:rsidRDefault="00EE78D8">
      <w:pPr>
        <w:pStyle w:val="FootnoteText"/>
        <w:rPr>
          <w:lang w:val="en-US"/>
        </w:rPr>
      </w:pPr>
      <w:r>
        <w:rPr>
          <w:rStyle w:val="FootnoteReference"/>
        </w:rPr>
        <w:footnoteRef/>
      </w:r>
      <w:r>
        <w:tab/>
      </w:r>
      <w:r>
        <w:rPr>
          <w:lang w:val="en-US"/>
        </w:rPr>
        <w:t>(2012) 38 VR 618.</w:t>
      </w:r>
    </w:p>
  </w:footnote>
  <w:footnote w:id="678">
    <w:p w14:paraId="5B67360B" w14:textId="3C989D25" w:rsidR="00EE78D8" w:rsidRPr="00430148" w:rsidRDefault="00EE78D8">
      <w:pPr>
        <w:pStyle w:val="FootnoteText"/>
        <w:rPr>
          <w:lang w:val="en-US"/>
        </w:rPr>
      </w:pPr>
      <w:r>
        <w:rPr>
          <w:rStyle w:val="FootnoteReference"/>
        </w:rPr>
        <w:footnoteRef/>
      </w:r>
      <w:r>
        <w:rPr>
          <w:lang w:val="en-US"/>
        </w:rPr>
        <w:tab/>
        <w:t>Ibid [57]–[59].</w:t>
      </w:r>
    </w:p>
  </w:footnote>
  <w:footnote w:id="679">
    <w:p w14:paraId="0FB5E65A" w14:textId="33873C0C" w:rsidR="00EE78D8" w:rsidRPr="00732C80" w:rsidRDefault="00EE78D8" w:rsidP="00A10D2B">
      <w:pPr>
        <w:pStyle w:val="FootnoteText"/>
        <w:rPr>
          <w:lang w:val="en-US"/>
        </w:rPr>
      </w:pPr>
      <w:r>
        <w:rPr>
          <w:rStyle w:val="FootnoteReference"/>
        </w:rPr>
        <w:footnoteRef/>
      </w:r>
      <w:r>
        <w:tab/>
      </w:r>
      <w:r>
        <w:rPr>
          <w:lang w:val="en-US"/>
        </w:rPr>
        <w:t>Ibid.</w:t>
      </w:r>
    </w:p>
  </w:footnote>
  <w:footnote w:id="680">
    <w:p w14:paraId="4E22F5E4" w14:textId="23E87156" w:rsidR="00EE78D8" w:rsidRPr="00420FC6" w:rsidRDefault="00EE78D8">
      <w:pPr>
        <w:pStyle w:val="FootnoteText"/>
        <w:rPr>
          <w:lang w:val="en-US"/>
        </w:rPr>
      </w:pPr>
      <w:r>
        <w:rPr>
          <w:rStyle w:val="FootnoteReference"/>
        </w:rPr>
        <w:footnoteRef/>
      </w:r>
      <w:r>
        <w:tab/>
        <w:t xml:space="preserve">Ibid </w:t>
      </w:r>
      <w:r>
        <w:rPr>
          <w:lang w:val="en-US"/>
        </w:rPr>
        <w:t>[71].</w:t>
      </w:r>
    </w:p>
  </w:footnote>
  <w:footnote w:id="681">
    <w:p w14:paraId="14179753" w14:textId="66175EF1" w:rsidR="00EE78D8" w:rsidRPr="00E94335" w:rsidRDefault="00EE78D8">
      <w:pPr>
        <w:pStyle w:val="FootnoteText"/>
        <w:rPr>
          <w:lang w:val="en-US"/>
        </w:rPr>
      </w:pPr>
      <w:r>
        <w:rPr>
          <w:rStyle w:val="FootnoteReference"/>
        </w:rPr>
        <w:footnoteRef/>
      </w:r>
      <w:r>
        <w:tab/>
      </w:r>
      <w:r>
        <w:rPr>
          <w:lang w:val="en-US"/>
        </w:rPr>
        <w:t>Ibid.</w:t>
      </w:r>
    </w:p>
  </w:footnote>
  <w:footnote w:id="682">
    <w:p w14:paraId="4DF18936" w14:textId="3C0F483D" w:rsidR="00EE78D8" w:rsidRPr="00B300C3" w:rsidRDefault="00EE78D8">
      <w:pPr>
        <w:pStyle w:val="FootnoteText"/>
        <w:rPr>
          <w:lang w:val="en-US"/>
        </w:rPr>
      </w:pPr>
      <w:r>
        <w:rPr>
          <w:rStyle w:val="FootnoteReference"/>
        </w:rPr>
        <w:footnoteRef/>
      </w:r>
      <w:r>
        <w:tab/>
      </w:r>
      <w:r>
        <w:rPr>
          <w:lang w:val="en-US"/>
        </w:rPr>
        <w:t>[2008] TASSC 85.</w:t>
      </w:r>
    </w:p>
  </w:footnote>
  <w:footnote w:id="683">
    <w:p w14:paraId="2E2B5CD4" w14:textId="29A22170" w:rsidR="00EE78D8" w:rsidRPr="00F507C3" w:rsidRDefault="00EE78D8">
      <w:pPr>
        <w:pStyle w:val="FootnoteText"/>
        <w:rPr>
          <w:lang w:val="en-US"/>
        </w:rPr>
      </w:pPr>
      <w:r>
        <w:rPr>
          <w:rStyle w:val="FootnoteReference"/>
        </w:rPr>
        <w:footnoteRef/>
      </w:r>
      <w:r>
        <w:tab/>
      </w:r>
      <w:r w:rsidRPr="00A16AAC">
        <w:rPr>
          <w:i/>
        </w:rPr>
        <w:t>Mental Health Act 2013</w:t>
      </w:r>
      <w:r w:rsidRPr="00A16AAC">
        <w:t xml:space="preserve"> (Tas)</w:t>
      </w:r>
      <w:r>
        <w:t xml:space="preserve"> s 78(1).</w:t>
      </w:r>
    </w:p>
  </w:footnote>
  <w:footnote w:id="684">
    <w:p w14:paraId="35B20B2F" w14:textId="4BE99004" w:rsidR="00EE78D8" w:rsidRPr="00B35242" w:rsidRDefault="00EE78D8">
      <w:pPr>
        <w:pStyle w:val="FootnoteText"/>
        <w:rPr>
          <w:lang w:val="en-US"/>
        </w:rPr>
      </w:pPr>
      <w:r>
        <w:rPr>
          <w:rStyle w:val="FootnoteReference"/>
        </w:rPr>
        <w:footnoteRef/>
      </w:r>
      <w:r>
        <w:tab/>
      </w:r>
      <w:r>
        <w:rPr>
          <w:lang w:val="en-US"/>
        </w:rPr>
        <w:t>Ibid s 82(1).</w:t>
      </w:r>
    </w:p>
  </w:footnote>
  <w:footnote w:id="685">
    <w:p w14:paraId="289CAD92" w14:textId="5A46CA7C" w:rsidR="00EE78D8" w:rsidRPr="00CD4331" w:rsidRDefault="00EE78D8">
      <w:pPr>
        <w:pStyle w:val="FootnoteText"/>
        <w:rPr>
          <w:lang w:val="en-US"/>
        </w:rPr>
      </w:pPr>
      <w:r>
        <w:rPr>
          <w:rStyle w:val="FootnoteReference"/>
        </w:rPr>
        <w:footnoteRef/>
      </w:r>
      <w:r>
        <w:tab/>
        <w:t>Ibid ss 78(2), (9), 82(2), (10).</w:t>
      </w:r>
    </w:p>
  </w:footnote>
  <w:footnote w:id="686">
    <w:p w14:paraId="0199EB99" w14:textId="68D2D980" w:rsidR="00EE78D8" w:rsidRPr="00F4383A" w:rsidRDefault="00EE78D8">
      <w:pPr>
        <w:pStyle w:val="FootnoteText"/>
        <w:rPr>
          <w:lang w:val="en-US"/>
        </w:rPr>
      </w:pPr>
      <w:r>
        <w:rPr>
          <w:rStyle w:val="FootnoteReference"/>
        </w:rPr>
        <w:footnoteRef/>
      </w:r>
      <w:r>
        <w:tab/>
      </w:r>
      <w:r>
        <w:rPr>
          <w:lang w:val="en-US"/>
        </w:rPr>
        <w:t>Ibid s 15.</w:t>
      </w:r>
    </w:p>
  </w:footnote>
  <w:footnote w:id="687">
    <w:p w14:paraId="71825724" w14:textId="3C9CA5EE" w:rsidR="00EE78D8" w:rsidRPr="00B35242" w:rsidRDefault="00EE78D8">
      <w:pPr>
        <w:pStyle w:val="FootnoteText"/>
        <w:rPr>
          <w:lang w:val="en-US"/>
        </w:rPr>
      </w:pPr>
      <w:r>
        <w:rPr>
          <w:rStyle w:val="FootnoteReference"/>
        </w:rPr>
        <w:footnoteRef/>
      </w:r>
      <w:r>
        <w:tab/>
        <w:t xml:space="preserve">Ibid </w:t>
      </w:r>
      <w:r>
        <w:rPr>
          <w:lang w:val="en-US"/>
        </w:rPr>
        <w:t>sch 1.</w:t>
      </w:r>
    </w:p>
  </w:footnote>
  <w:footnote w:id="688">
    <w:p w14:paraId="7D3F41B4" w14:textId="6D712894" w:rsidR="00EE78D8" w:rsidRPr="007C21F4" w:rsidRDefault="00EE78D8">
      <w:pPr>
        <w:pStyle w:val="FootnoteText"/>
        <w:rPr>
          <w:lang w:val="en-US"/>
        </w:rPr>
      </w:pPr>
      <w:r>
        <w:rPr>
          <w:rStyle w:val="FootnoteReference"/>
        </w:rPr>
        <w:footnoteRef/>
      </w:r>
      <w:r>
        <w:tab/>
      </w:r>
      <w:r>
        <w:rPr>
          <w:lang w:val="en-US"/>
        </w:rPr>
        <w:t xml:space="preserve">There were also two leave of absence applications that involved varying the leave of absence and one case involving the extension of a leave of absence, </w:t>
      </w:r>
      <w:r>
        <w:t xml:space="preserve">Mental Health Tribunal, </w:t>
      </w:r>
      <w:r w:rsidRPr="00593195">
        <w:t xml:space="preserve">above n </w:t>
      </w:r>
      <w:r w:rsidRPr="00593195">
        <w:fldChar w:fldCharType="begin"/>
      </w:r>
      <w:r w:rsidRPr="00593195">
        <w:instrText xml:space="preserve"> NOTEREF _Ref536467564 \h </w:instrText>
      </w:r>
      <w:r>
        <w:instrText xml:space="preserve"> \* MERGEFORMAT </w:instrText>
      </w:r>
      <w:r w:rsidRPr="00593195">
        <w:fldChar w:fldCharType="separate"/>
      </w:r>
      <w:r w:rsidR="001F209C">
        <w:t>655</w:t>
      </w:r>
      <w:r w:rsidRPr="00593195">
        <w:fldChar w:fldCharType="end"/>
      </w:r>
      <w:r w:rsidRPr="00593195">
        <w:t>,</w:t>
      </w:r>
      <w:r>
        <w:t xml:space="preserve"> </w:t>
      </w:r>
      <w:r>
        <w:rPr>
          <w:lang w:val="en-US"/>
        </w:rPr>
        <w:t>32.</w:t>
      </w:r>
    </w:p>
  </w:footnote>
  <w:footnote w:id="689">
    <w:p w14:paraId="34FBB4B8" w14:textId="50D69D79" w:rsidR="00EE78D8" w:rsidRPr="005A51ED" w:rsidRDefault="00EE78D8">
      <w:pPr>
        <w:pStyle w:val="FootnoteText"/>
        <w:rPr>
          <w:lang w:val="en-US"/>
        </w:rPr>
      </w:pPr>
      <w:r>
        <w:rPr>
          <w:rStyle w:val="FootnoteReference"/>
        </w:rPr>
        <w:footnoteRef/>
      </w:r>
      <w:r>
        <w:tab/>
        <w:t xml:space="preserve">Melbourne Social Equity Institute, above n </w:t>
      </w:r>
      <w:r>
        <w:fldChar w:fldCharType="begin"/>
      </w:r>
      <w:r>
        <w:instrText xml:space="preserve"> NOTEREF _Ref535087573 \h </w:instrText>
      </w:r>
      <w:r>
        <w:fldChar w:fldCharType="separate"/>
      </w:r>
      <w:r w:rsidR="001F209C">
        <w:t>128</w:t>
      </w:r>
      <w:r>
        <w:fldChar w:fldCharType="end"/>
      </w:r>
      <w:r>
        <w:t xml:space="preserve">, </w:t>
      </w:r>
      <w:r>
        <w:rPr>
          <w:lang w:val="en-US"/>
        </w:rPr>
        <w:t xml:space="preserve">18. Smith writes that ‘it is arguable that changing the decision maker from the Cabinet to the Courts has resulted in few if any improvements to a rehabilitated defendant’s prospects of release’: Smith, above n </w:t>
      </w:r>
      <w:r>
        <w:rPr>
          <w:lang w:val="en-US"/>
        </w:rPr>
        <w:fldChar w:fldCharType="begin"/>
      </w:r>
      <w:r>
        <w:rPr>
          <w:lang w:val="en-US"/>
        </w:rPr>
        <w:instrText xml:space="preserve"> NOTEREF _Ref535661080 \h </w:instrText>
      </w:r>
      <w:r>
        <w:rPr>
          <w:lang w:val="en-US"/>
        </w:rPr>
      </w:r>
      <w:r>
        <w:rPr>
          <w:lang w:val="en-US"/>
        </w:rPr>
        <w:fldChar w:fldCharType="separate"/>
      </w:r>
      <w:r w:rsidR="001F209C">
        <w:rPr>
          <w:lang w:val="en-US"/>
        </w:rPr>
        <w:t>30</w:t>
      </w:r>
      <w:r>
        <w:rPr>
          <w:lang w:val="en-US"/>
        </w:rPr>
        <w:fldChar w:fldCharType="end"/>
      </w:r>
      <w:r>
        <w:rPr>
          <w:lang w:val="en-US"/>
        </w:rPr>
        <w:t>, 22.</w:t>
      </w:r>
    </w:p>
  </w:footnote>
  <w:footnote w:id="690">
    <w:p w14:paraId="40A90CED" w14:textId="569CEC75" w:rsidR="00EE78D8" w:rsidRPr="00DB3B0D" w:rsidRDefault="00EE78D8">
      <w:pPr>
        <w:pStyle w:val="FootnoteText"/>
        <w:rPr>
          <w:lang w:val="en-US"/>
        </w:rPr>
      </w:pPr>
      <w:r>
        <w:rPr>
          <w:rStyle w:val="FootnoteReference"/>
        </w:rPr>
        <w:footnoteRef/>
      </w:r>
      <w:r>
        <w:tab/>
      </w:r>
      <w:r>
        <w:rPr>
          <w:lang w:val="en-US"/>
        </w:rPr>
        <w:t xml:space="preserve">In contrast, under the </w:t>
      </w:r>
      <w:r>
        <w:rPr>
          <w:i/>
          <w:lang w:val="en-US"/>
        </w:rPr>
        <w:t xml:space="preserve">Sentencing Act 1997 </w:t>
      </w:r>
      <w:r>
        <w:rPr>
          <w:lang w:val="en-US"/>
        </w:rPr>
        <w:t>(Tas) s 7(f) the court may conditionally release an offender on the offender giving an undertaking with conditions attached for a period not exceeding 60 months.</w:t>
      </w:r>
    </w:p>
  </w:footnote>
  <w:footnote w:id="691">
    <w:p w14:paraId="21DB7AB7" w14:textId="1E1E4081" w:rsidR="00EE78D8" w:rsidRPr="0009452E" w:rsidRDefault="00EE78D8">
      <w:pPr>
        <w:pStyle w:val="FootnoteText"/>
        <w:rPr>
          <w:lang w:val="en-US"/>
        </w:rPr>
      </w:pPr>
      <w:r>
        <w:rPr>
          <w:rStyle w:val="FootnoteReference"/>
        </w:rPr>
        <w:footnoteRef/>
      </w:r>
      <w:r>
        <w:rPr>
          <w:i/>
        </w:rPr>
        <w:tab/>
        <w:t xml:space="preserve">Crimes (Mental Impairment and Unfitness to be Tried) Act 1997 </w:t>
      </w:r>
      <w:r>
        <w:t xml:space="preserve">(Vic) s 35(3); </w:t>
      </w:r>
      <w:r>
        <w:rPr>
          <w:i/>
        </w:rPr>
        <w:t xml:space="preserve">Criminal Code </w:t>
      </w:r>
      <w:r>
        <w:t xml:space="preserve">(NT) s 43ZG(6). See discussion in </w:t>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xml:space="preserve">, 363. It is noted that changes were proposed to the review provisions in Victoria in the </w:t>
      </w:r>
      <w:r>
        <w:rPr>
          <w:i/>
          <w:lang w:val="en-US"/>
        </w:rPr>
        <w:t xml:space="preserve">Crimes (Mental Impairment and Unfitness to be Tried) Amendment Bill 2016 </w:t>
      </w:r>
      <w:r>
        <w:rPr>
          <w:lang w:val="en-US"/>
        </w:rPr>
        <w:t>(Vic) including the introduction of initial progress reviews, further progress reviews and major progress reviews. This legislation has not been passed by the Victorian Parliament.</w:t>
      </w:r>
    </w:p>
  </w:footnote>
  <w:footnote w:id="692">
    <w:p w14:paraId="0C2B9C44" w14:textId="218C723B" w:rsidR="00EE78D8" w:rsidRPr="00FA72EA" w:rsidRDefault="00EE78D8">
      <w:pPr>
        <w:pStyle w:val="FootnoteText"/>
        <w:rPr>
          <w:lang w:val="en-US"/>
        </w:rPr>
      </w:pPr>
      <w:r>
        <w:rPr>
          <w:rStyle w:val="FootnoteReference"/>
        </w:rPr>
        <w:footnoteRef/>
      </w:r>
      <w:r>
        <w:tab/>
      </w:r>
      <w:r>
        <w:rPr>
          <w:lang w:val="en-US"/>
        </w:rPr>
        <w:t>See Appendix 3 for more details.</w:t>
      </w:r>
    </w:p>
  </w:footnote>
  <w:footnote w:id="693">
    <w:p w14:paraId="65D1EA7D" w14:textId="3F384367" w:rsidR="00EE78D8" w:rsidRPr="00FA72EA" w:rsidRDefault="00EE78D8">
      <w:pPr>
        <w:pStyle w:val="FootnoteText"/>
        <w:rPr>
          <w:lang w:val="en-US"/>
        </w:rPr>
      </w:pPr>
      <w:r>
        <w:rPr>
          <w:rStyle w:val="FootnoteReference"/>
        </w:rPr>
        <w:footnoteRef/>
      </w:r>
      <w:r>
        <w:tab/>
      </w:r>
      <w:r>
        <w:rPr>
          <w:lang w:val="en-US"/>
        </w:rPr>
        <w:t>See Appendix 3 Table A3.3 for details of the provisions in each jurisdiction.</w:t>
      </w:r>
    </w:p>
  </w:footnote>
  <w:footnote w:id="694">
    <w:p w14:paraId="112B0D02" w14:textId="75AD1814" w:rsidR="00EE78D8" w:rsidRPr="00856C88" w:rsidRDefault="00EE78D8" w:rsidP="00EA3D8B">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171.</w:t>
      </w:r>
    </w:p>
  </w:footnote>
  <w:footnote w:id="695">
    <w:p w14:paraId="441DF6CB" w14:textId="5D281965" w:rsidR="00EE78D8" w:rsidRPr="00D615CD" w:rsidRDefault="00EE78D8">
      <w:pPr>
        <w:pStyle w:val="FootnoteText"/>
        <w:rPr>
          <w:lang w:val="en-US"/>
        </w:rPr>
      </w:pPr>
      <w:r>
        <w:rPr>
          <w:rStyle w:val="FootnoteReference"/>
        </w:rPr>
        <w:footnoteRef/>
      </w:r>
      <w:r>
        <w:tab/>
      </w:r>
      <w:r>
        <w:rPr>
          <w:i/>
        </w:rPr>
        <w:t xml:space="preserve">Mental Health (Forensic Provisions) Act 1990 </w:t>
      </w:r>
      <w:r>
        <w:t>(NSW) s 54, schs 1, 2.</w:t>
      </w:r>
    </w:p>
  </w:footnote>
  <w:footnote w:id="696">
    <w:p w14:paraId="7DF3DD52" w14:textId="57D11C04" w:rsidR="00EE78D8" w:rsidRPr="00283520" w:rsidRDefault="00EE78D8">
      <w:pPr>
        <w:pStyle w:val="FootnoteText"/>
        <w:rPr>
          <w:lang w:val="en-US"/>
        </w:rPr>
      </w:pPr>
      <w:r>
        <w:rPr>
          <w:rStyle w:val="FootnoteReference"/>
        </w:rPr>
        <w:footnoteRef/>
      </w:r>
      <w:r>
        <w:tab/>
      </w:r>
      <w:r>
        <w:rPr>
          <w:i/>
          <w:lang w:val="en-US"/>
        </w:rPr>
        <w:t xml:space="preserve">Criminal Law Consolidation Act 1935 </w:t>
      </w:r>
      <w:r>
        <w:rPr>
          <w:lang w:val="en-US"/>
        </w:rPr>
        <w:t xml:space="preserve">(SA) sub-div 3, inserted by the </w:t>
      </w:r>
      <w:r>
        <w:rPr>
          <w:i/>
          <w:lang w:val="en-US"/>
        </w:rPr>
        <w:t xml:space="preserve">Criminal Law Consolidation (Mental Impairment) Amendment Act 2017 </w:t>
      </w:r>
      <w:r>
        <w:rPr>
          <w:lang w:val="en-US"/>
        </w:rPr>
        <w:t>(SA) s 23.</w:t>
      </w:r>
    </w:p>
  </w:footnote>
  <w:footnote w:id="697">
    <w:p w14:paraId="5E601E29" w14:textId="138A21CE" w:rsidR="00EE78D8" w:rsidRPr="00F67BF9" w:rsidRDefault="00EE78D8">
      <w:pPr>
        <w:pStyle w:val="FootnoteText"/>
        <w:rPr>
          <w:lang w:val="en-US"/>
        </w:rPr>
      </w:pPr>
      <w:r>
        <w:rPr>
          <w:rStyle w:val="FootnoteReference"/>
        </w:rPr>
        <w:footnoteRef/>
      </w:r>
      <w:r>
        <w:tab/>
      </w:r>
      <w:r w:rsidRPr="00A15653">
        <w:rPr>
          <w:lang w:val="en-US"/>
        </w:rPr>
        <w:t>See Appendix 3 Table</w:t>
      </w:r>
      <w:r>
        <w:rPr>
          <w:lang w:val="en-US"/>
        </w:rPr>
        <w:t xml:space="preserve"> A3.1.</w:t>
      </w:r>
    </w:p>
  </w:footnote>
  <w:footnote w:id="698">
    <w:p w14:paraId="685A77D9" w14:textId="68094119" w:rsidR="00EE78D8" w:rsidRPr="00821529" w:rsidRDefault="00EE78D8" w:rsidP="00500787">
      <w:pPr>
        <w:pStyle w:val="FootnoteText"/>
        <w:rPr>
          <w:lang w:val="en-US"/>
        </w:rPr>
      </w:pPr>
      <w:r>
        <w:rPr>
          <w:rStyle w:val="FootnoteReference"/>
        </w:rPr>
        <w:footnoteRef/>
      </w:r>
      <w:r>
        <w:tab/>
      </w:r>
      <w:r>
        <w:rPr>
          <w:lang w:val="en-US"/>
        </w:rPr>
        <w:t xml:space="preserve">See </w:t>
      </w:r>
      <w:r>
        <w:rPr>
          <w:i/>
        </w:rPr>
        <w:t xml:space="preserve">Mental Health (Forensic Provisions) Act 1990 </w:t>
      </w:r>
      <w:r>
        <w:t xml:space="preserve">(NSW) s 23(2); </w:t>
      </w:r>
      <w:r>
        <w:rPr>
          <w:i/>
        </w:rPr>
        <w:t>Crimes (Sentencing Procedure) Act 1999</w:t>
      </w:r>
      <w:r>
        <w:t xml:space="preserve"> (NSW) s 9; </w:t>
      </w:r>
      <w:r>
        <w:rPr>
          <w:i/>
        </w:rPr>
        <w:t xml:space="preserve">Crimes Act 1914 </w:t>
      </w:r>
      <w:r>
        <w:t xml:space="preserve">(Cth) s 20BJ(4); </w:t>
      </w:r>
      <w:r w:rsidRPr="00821529">
        <w:rPr>
          <w:i/>
        </w:rPr>
        <w:t>Criminal Law (Mentally Impaired Accused) Act 1996</w:t>
      </w:r>
      <w:r>
        <w:t xml:space="preserve"> (WA) s 22(3); </w:t>
      </w:r>
      <w:r>
        <w:rPr>
          <w:i/>
        </w:rPr>
        <w:t xml:space="preserve">Sentencing Act 1995 </w:t>
      </w:r>
      <w:r>
        <w:t>(WA) s 48(3) (conditional release order), 62(5) (community-based order) and 69(6) (intensive supervision order). It is noted that the LRCWA has recommended the removal of these sentencing options and their replacement with a supervised release order with the conditions set by the Mentally Impaired Accused Review Board (</w:t>
      </w:r>
      <w:r w:rsidRPr="00500787">
        <w:t>MIARB</w:t>
      </w:r>
      <w:r>
        <w:t xml:space="preserve">): see LRCWA, </w:t>
      </w:r>
      <w:r w:rsidRPr="00E639C8">
        <w:t xml:space="preserve">above n </w:t>
      </w:r>
      <w:r w:rsidRPr="00E639C8">
        <w:fldChar w:fldCharType="begin"/>
      </w:r>
      <w:r w:rsidRPr="00E639C8">
        <w:instrText xml:space="preserve"> NOTEREF _Ref535407951 \h </w:instrText>
      </w:r>
      <w:r>
        <w:instrText xml:space="preserve"> \* MERGEFORMAT </w:instrText>
      </w:r>
      <w:r w:rsidRPr="00E639C8">
        <w:fldChar w:fldCharType="separate"/>
      </w:r>
      <w:r w:rsidR="001F209C">
        <w:t>371</w:t>
      </w:r>
      <w:r w:rsidRPr="00E639C8">
        <w:fldChar w:fldCharType="end"/>
      </w:r>
      <w:r>
        <w:t>, 243 Recommendation 35.</w:t>
      </w:r>
    </w:p>
  </w:footnote>
  <w:footnote w:id="699">
    <w:p w14:paraId="6126A3EE" w14:textId="330E4838" w:rsidR="00EE78D8" w:rsidRPr="006E3E32" w:rsidRDefault="00EE78D8" w:rsidP="006E3E32">
      <w:pPr>
        <w:pStyle w:val="FootnoteText"/>
        <w:rPr>
          <w:lang w:val="en-US"/>
        </w:rPr>
      </w:pPr>
      <w:r>
        <w:rPr>
          <w:rStyle w:val="FootnoteReference"/>
        </w:rPr>
        <w:footnoteRef/>
      </w:r>
      <w:r>
        <w:tab/>
      </w:r>
      <w:r>
        <w:rPr>
          <w:lang w:val="en-US"/>
        </w:rPr>
        <w:t xml:space="preserve">See </w:t>
      </w:r>
      <w:r>
        <w:rPr>
          <w:i/>
          <w:lang w:val="en-US"/>
        </w:rPr>
        <w:t xml:space="preserve">Criminal Law Consolidation Act 1935 </w:t>
      </w:r>
      <w:r>
        <w:rPr>
          <w:lang w:val="en-US"/>
        </w:rPr>
        <w:t>(SA), div 3A.</w:t>
      </w:r>
    </w:p>
  </w:footnote>
  <w:footnote w:id="700">
    <w:p w14:paraId="51FDD8E2" w14:textId="6AEB8630" w:rsidR="00EE78D8" w:rsidRPr="0082128C" w:rsidRDefault="00EE78D8">
      <w:pPr>
        <w:pStyle w:val="FootnoteText"/>
        <w:rPr>
          <w:lang w:val="en-US"/>
        </w:rPr>
      </w:pPr>
      <w:r>
        <w:rPr>
          <w:rStyle w:val="FootnoteReference"/>
        </w:rPr>
        <w:footnoteRef/>
      </w:r>
      <w:r>
        <w:tab/>
        <w:t>NSWLRC</w:t>
      </w:r>
      <w:r>
        <w:rPr>
          <w:lang w:val="en-US"/>
        </w:rPr>
        <w:t xml:space="preserve">,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180–181 Recommendation 7.2.</w:t>
      </w:r>
    </w:p>
  </w:footnote>
  <w:footnote w:id="701">
    <w:p w14:paraId="4CAB5719" w14:textId="5F3B6CA6" w:rsidR="00EE78D8" w:rsidRPr="00977073" w:rsidRDefault="00EE78D8" w:rsidP="00722C63">
      <w:pPr>
        <w:pStyle w:val="FootnoteText"/>
        <w:rPr>
          <w:lang w:val="en-US"/>
        </w:rPr>
      </w:pPr>
      <w:r>
        <w:rPr>
          <w:rStyle w:val="FootnoteReference"/>
        </w:rPr>
        <w:footnoteRef/>
      </w:r>
      <w:r>
        <w:tab/>
        <w:t xml:space="preserve">Ibid </w:t>
      </w:r>
      <w:r>
        <w:rPr>
          <w:lang w:val="en-US"/>
        </w:rPr>
        <w:t>179.</w:t>
      </w:r>
    </w:p>
  </w:footnote>
  <w:footnote w:id="702">
    <w:p w14:paraId="64393FAF" w14:textId="05C3F4A6" w:rsidR="00EE78D8" w:rsidRPr="00510D61" w:rsidRDefault="00EE78D8" w:rsidP="00722C63">
      <w:pPr>
        <w:pStyle w:val="FootnoteText"/>
        <w:rPr>
          <w:lang w:val="en-US"/>
        </w:rPr>
      </w:pPr>
      <w:r>
        <w:rPr>
          <w:rStyle w:val="FootnoteReference"/>
        </w:rPr>
        <w:footnoteRef/>
      </w:r>
      <w:r>
        <w:tab/>
      </w:r>
      <w:r>
        <w:rPr>
          <w:lang w:val="en-US"/>
        </w:rPr>
        <w:t>Ibid 322.</w:t>
      </w:r>
    </w:p>
  </w:footnote>
  <w:footnote w:id="703">
    <w:p w14:paraId="034D021B" w14:textId="498D3DB3" w:rsidR="00EE78D8" w:rsidRPr="006A3160" w:rsidRDefault="00EE78D8" w:rsidP="00722C63">
      <w:pPr>
        <w:pStyle w:val="FootnoteText"/>
        <w:rPr>
          <w:i/>
          <w:lang w:val="en-US"/>
        </w:rPr>
      </w:pPr>
      <w:r>
        <w:rPr>
          <w:rStyle w:val="FootnoteReference"/>
        </w:rPr>
        <w:footnoteRef/>
      </w:r>
      <w:r>
        <w:tab/>
      </w:r>
      <w:r>
        <w:rPr>
          <w:lang w:val="en-US"/>
        </w:rPr>
        <w:t xml:space="preserve">Ibid. See further 334–336 and 337–338 Recommendation 11.1. Extended supervision was not addressed in the report of the SASAC. However, reforms to the </w:t>
      </w:r>
      <w:r>
        <w:rPr>
          <w:i/>
          <w:lang w:val="en-US"/>
        </w:rPr>
        <w:t xml:space="preserve">Criminal Law Consolidation Act </w:t>
      </w:r>
      <w:r w:rsidRPr="006A3160">
        <w:rPr>
          <w:i/>
          <w:lang w:val="en-US"/>
        </w:rPr>
        <w:t>1935</w:t>
      </w:r>
      <w:r>
        <w:rPr>
          <w:lang w:val="en-US"/>
        </w:rPr>
        <w:t xml:space="preserve"> (SA) that are yet to be commenced also make provision for a continued supervision order in circumstances where the court is satisfied that the defendant could, if unsupervised, pose a serious risk to the safety of the community or a member of the community, </w:t>
      </w:r>
      <w:r>
        <w:rPr>
          <w:i/>
          <w:lang w:val="en-US"/>
        </w:rPr>
        <w:t xml:space="preserve">Criminal Law Consolidation Act </w:t>
      </w:r>
      <w:r w:rsidRPr="006A3160">
        <w:rPr>
          <w:i/>
          <w:lang w:val="en-US"/>
        </w:rPr>
        <w:t xml:space="preserve">1935 </w:t>
      </w:r>
      <w:r>
        <w:rPr>
          <w:lang w:val="en-US"/>
        </w:rPr>
        <w:t xml:space="preserve">(SA) s 269UA(7) inserted by </w:t>
      </w:r>
      <w:r>
        <w:rPr>
          <w:i/>
          <w:lang w:val="en-US"/>
        </w:rPr>
        <w:t xml:space="preserve">Criminal Law Consolidation (Mental Impairment Act) </w:t>
      </w:r>
      <w:r w:rsidRPr="006A3160">
        <w:rPr>
          <w:i/>
          <w:lang w:val="en-US"/>
        </w:rPr>
        <w:t>1935</w:t>
      </w:r>
      <w:r>
        <w:rPr>
          <w:lang w:val="en-US"/>
        </w:rPr>
        <w:t xml:space="preserve"> (SA) (yet to commence).</w:t>
      </w:r>
    </w:p>
  </w:footnote>
  <w:footnote w:id="704">
    <w:p w14:paraId="7F0403A2" w14:textId="3CBE693B" w:rsidR="00EE78D8" w:rsidRPr="000828BB" w:rsidRDefault="00EE78D8">
      <w:pPr>
        <w:pStyle w:val="FootnoteText"/>
        <w:rPr>
          <w:lang w:val="en-US"/>
        </w:rPr>
      </w:pPr>
      <w:r>
        <w:rPr>
          <w:rStyle w:val="FootnoteReference"/>
        </w:rPr>
        <w:footnoteRef/>
      </w:r>
      <w:r>
        <w:tab/>
        <w:t xml:space="preserve">SASAC, </w:t>
      </w:r>
      <w:r w:rsidRPr="005441A0">
        <w:t xml:space="preserve">above n </w:t>
      </w:r>
      <w:r w:rsidRPr="005441A0">
        <w:fldChar w:fldCharType="begin"/>
      </w:r>
      <w:r w:rsidRPr="005441A0">
        <w:instrText xml:space="preserve"> NOTEREF _Ref535489918 \h </w:instrText>
      </w:r>
      <w:r>
        <w:instrText xml:space="preserve"> \* MERGEFORMAT </w:instrText>
      </w:r>
      <w:r w:rsidRPr="005441A0">
        <w:fldChar w:fldCharType="separate"/>
      </w:r>
      <w:r w:rsidR="001F209C">
        <w:t>388</w:t>
      </w:r>
      <w:r w:rsidRPr="005441A0">
        <w:fldChar w:fldCharType="end"/>
      </w:r>
      <w:r w:rsidRPr="005441A0">
        <w:t>,</w:t>
      </w:r>
      <w:r>
        <w:t xml:space="preserve"> </w:t>
      </w:r>
      <w:r>
        <w:rPr>
          <w:lang w:val="en-US"/>
        </w:rPr>
        <w:t>Recommendation 15.</w:t>
      </w:r>
    </w:p>
  </w:footnote>
  <w:footnote w:id="705">
    <w:p w14:paraId="0AA58005" w14:textId="42B4D619" w:rsidR="00EE78D8" w:rsidRPr="00D0570A" w:rsidRDefault="00EE78D8">
      <w:pPr>
        <w:pStyle w:val="FootnoteText"/>
        <w:rPr>
          <w:lang w:val="en-US"/>
        </w:rPr>
      </w:pPr>
      <w:r>
        <w:rPr>
          <w:rStyle w:val="FootnoteReference"/>
        </w:rPr>
        <w:footnoteRef/>
      </w:r>
      <w:r>
        <w:rPr>
          <w:lang w:val="en-US"/>
        </w:rPr>
        <w:tab/>
        <w:t xml:space="preserve">ALRC, </w:t>
      </w:r>
      <w:r>
        <w:t xml:space="preserve">above n </w:t>
      </w:r>
      <w:r>
        <w:fldChar w:fldCharType="begin"/>
      </w:r>
      <w:r>
        <w:instrText xml:space="preserve"> NOTEREF _Ref536035283 \h </w:instrText>
      </w:r>
      <w:r>
        <w:fldChar w:fldCharType="separate"/>
      </w:r>
      <w:r w:rsidR="001F209C">
        <w:t>110</w:t>
      </w:r>
      <w:r>
        <w:fldChar w:fldCharType="end"/>
      </w:r>
      <w:r>
        <w:t xml:space="preserve">, </w:t>
      </w:r>
      <w:r>
        <w:rPr>
          <w:lang w:val="en-US"/>
        </w:rPr>
        <w:t>Recommendation 7-2.</w:t>
      </w:r>
    </w:p>
  </w:footnote>
  <w:footnote w:id="706">
    <w:p w14:paraId="06BF5C3E" w14:textId="449E1611" w:rsidR="00EE78D8" w:rsidRPr="000828BB" w:rsidRDefault="00EE78D8">
      <w:pPr>
        <w:pStyle w:val="FootnoteText"/>
        <w:rPr>
          <w:lang w:val="en-US"/>
        </w:rPr>
      </w:pPr>
      <w:r>
        <w:rPr>
          <w:rStyle w:val="FootnoteReference"/>
        </w:rPr>
        <w:footnoteRef/>
      </w:r>
      <w:r>
        <w:tab/>
      </w:r>
      <w:r>
        <w:rPr>
          <w:lang w:val="en-US"/>
        </w:rPr>
        <w:t>Senate Community Affairs Reference Committee</w:t>
      </w:r>
      <w:r w:rsidRPr="003D3E4C">
        <w:rPr>
          <w:lang w:val="en-US"/>
        </w:rPr>
        <w:t xml:space="preserve">, </w:t>
      </w:r>
      <w:r w:rsidRPr="003D3E4C">
        <w:rPr>
          <w:i/>
          <w:lang w:val="en-US"/>
        </w:rPr>
        <w:t>Indefinite Detention of People with Cognitive Impairment in Australia</w:t>
      </w:r>
      <w:r>
        <w:rPr>
          <w:lang w:val="en-US"/>
        </w:rPr>
        <w:t>,</w:t>
      </w:r>
      <w:r w:rsidRPr="003D3E4C">
        <w:rPr>
          <w:i/>
          <w:lang w:val="en-US"/>
        </w:rPr>
        <w:t xml:space="preserve"> </w:t>
      </w:r>
      <w:r w:rsidRPr="003D3E4C">
        <w:rPr>
          <w:lang w:val="en-US"/>
        </w:rPr>
        <w:t>Report (2016) 70–71.</w:t>
      </w:r>
    </w:p>
  </w:footnote>
  <w:footnote w:id="707">
    <w:p w14:paraId="349B27E8" w14:textId="7300AA8F" w:rsidR="00EE78D8" w:rsidRPr="00037994" w:rsidRDefault="00EE78D8">
      <w:pPr>
        <w:pStyle w:val="FootnoteText"/>
        <w:rPr>
          <w:lang w:val="en-US"/>
        </w:rPr>
      </w:pPr>
      <w:r>
        <w:rPr>
          <w:rStyle w:val="FootnoteReference"/>
        </w:rPr>
        <w:footnoteRef/>
      </w:r>
      <w:r>
        <w:tab/>
      </w:r>
      <w:r>
        <w:rPr>
          <w:lang w:val="en-US"/>
        </w:rPr>
        <w:t>LRCWA</w:t>
      </w:r>
      <w:r w:rsidRPr="00623760">
        <w:rPr>
          <w:lang w:val="en-US"/>
        </w:rPr>
        <w:t xml:space="preserve">, </w:t>
      </w:r>
      <w:r w:rsidRPr="00E639C8">
        <w:t xml:space="preserve">above n </w:t>
      </w:r>
      <w:r w:rsidRPr="00E639C8">
        <w:fldChar w:fldCharType="begin"/>
      </w:r>
      <w:r w:rsidRPr="00E639C8">
        <w:instrText xml:space="preserve"> NOTEREF _Ref535407951 \h </w:instrText>
      </w:r>
      <w:r>
        <w:instrText xml:space="preserve"> \* MERGEFORMAT </w:instrText>
      </w:r>
      <w:r w:rsidRPr="00E639C8">
        <w:fldChar w:fldCharType="separate"/>
      </w:r>
      <w:r w:rsidR="001F209C">
        <w:t>371</w:t>
      </w:r>
      <w:r w:rsidRPr="00E639C8">
        <w:fldChar w:fldCharType="end"/>
      </w:r>
      <w:r>
        <w:t xml:space="preserve">, </w:t>
      </w:r>
      <w:r w:rsidRPr="00623760">
        <w:rPr>
          <w:lang w:val="en-US"/>
        </w:rPr>
        <w:t>244</w:t>
      </w:r>
      <w:r>
        <w:rPr>
          <w:lang w:val="en-US"/>
        </w:rPr>
        <w:t>–24</w:t>
      </w:r>
      <w:r w:rsidRPr="00623760">
        <w:rPr>
          <w:lang w:val="en-US"/>
        </w:rPr>
        <w:t>5</w:t>
      </w:r>
      <w:r>
        <w:rPr>
          <w:lang w:val="en-US"/>
        </w:rPr>
        <w:t xml:space="preserve"> Recommendation 36.</w:t>
      </w:r>
    </w:p>
  </w:footnote>
  <w:footnote w:id="708">
    <w:p w14:paraId="1CB11187" w14:textId="2FC832BF" w:rsidR="00EE78D8" w:rsidRPr="00BE4DAE" w:rsidRDefault="00EE78D8">
      <w:pPr>
        <w:pStyle w:val="FootnoteText"/>
        <w:rPr>
          <w:lang w:val="en-US"/>
        </w:rPr>
      </w:pPr>
      <w:r>
        <w:rPr>
          <w:rStyle w:val="FootnoteReference"/>
        </w:rPr>
        <w:footnoteRef/>
      </w:r>
      <w:r>
        <w:tab/>
        <w:t xml:space="preserve">VLRC, above n </w:t>
      </w:r>
      <w:r>
        <w:fldChar w:fldCharType="begin"/>
      </w:r>
      <w:r>
        <w:instrText xml:space="preserve"> NOTEREF _Ref534978514 \h </w:instrText>
      </w:r>
      <w:r>
        <w:fldChar w:fldCharType="separate"/>
      </w:r>
      <w:r w:rsidR="001F209C">
        <w:t>24</w:t>
      </w:r>
      <w:r>
        <w:fldChar w:fldCharType="end"/>
      </w:r>
      <w:r>
        <w:t>, 360, 361 Recommendation 83.</w:t>
      </w:r>
    </w:p>
  </w:footnote>
  <w:footnote w:id="709">
    <w:p w14:paraId="2F1E0E57" w14:textId="3F0AC731" w:rsidR="00EE78D8" w:rsidRPr="006A3160" w:rsidRDefault="00EE78D8">
      <w:pPr>
        <w:pStyle w:val="FootnoteText"/>
        <w:rPr>
          <w:lang w:val="en-US"/>
        </w:rPr>
      </w:pPr>
      <w:r>
        <w:rPr>
          <w:rStyle w:val="FootnoteReference"/>
        </w:rPr>
        <w:footnoteRef/>
      </w:r>
      <w:r>
        <w:tab/>
      </w:r>
      <w:r>
        <w:rPr>
          <w:lang w:val="en-US"/>
        </w:rPr>
        <w:t xml:space="preserve">See 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172–173.</w:t>
      </w:r>
    </w:p>
  </w:footnote>
  <w:footnote w:id="710">
    <w:p w14:paraId="7C165A14" w14:textId="3A86D00E" w:rsidR="00EE78D8" w:rsidRPr="00E5192E" w:rsidRDefault="00EE78D8">
      <w:pPr>
        <w:pStyle w:val="FootnoteText"/>
        <w:rPr>
          <w:lang w:val="en-US"/>
        </w:rPr>
      </w:pPr>
      <w:r>
        <w:rPr>
          <w:rStyle w:val="FootnoteReference"/>
        </w:rPr>
        <w:footnoteRef/>
      </w:r>
      <w:r>
        <w:tab/>
      </w:r>
      <w:r>
        <w:rPr>
          <w:lang w:val="en-US"/>
        </w:rPr>
        <w:t>See ibid 174.</w:t>
      </w:r>
    </w:p>
  </w:footnote>
  <w:footnote w:id="711">
    <w:p w14:paraId="19AF4883" w14:textId="60E87D4E" w:rsidR="00EE78D8" w:rsidRPr="001D3237" w:rsidRDefault="00EE78D8">
      <w:pPr>
        <w:pStyle w:val="FootnoteText"/>
        <w:rPr>
          <w:lang w:val="en-US"/>
        </w:rPr>
      </w:pPr>
      <w:r>
        <w:rPr>
          <w:rStyle w:val="FootnoteReference"/>
        </w:rPr>
        <w:footnoteRef/>
      </w:r>
      <w:r>
        <w:tab/>
      </w:r>
      <w:r>
        <w:rPr>
          <w:lang w:val="en-US"/>
        </w:rPr>
        <w:t>See ibid 175.</w:t>
      </w:r>
    </w:p>
  </w:footnote>
  <w:footnote w:id="712">
    <w:p w14:paraId="4E0EC030" w14:textId="521BF978" w:rsidR="00EE78D8" w:rsidRPr="001D3237" w:rsidRDefault="00EE78D8">
      <w:pPr>
        <w:pStyle w:val="FootnoteText"/>
        <w:rPr>
          <w:lang w:val="en-US"/>
        </w:rPr>
      </w:pPr>
      <w:r>
        <w:rPr>
          <w:rStyle w:val="FootnoteReference"/>
        </w:rPr>
        <w:footnoteRef/>
      </w:r>
      <w:r>
        <w:tab/>
      </w:r>
      <w:r>
        <w:rPr>
          <w:lang w:val="en-US"/>
        </w:rPr>
        <w:t>See ibid 176.</w:t>
      </w:r>
    </w:p>
  </w:footnote>
  <w:footnote w:id="713">
    <w:p w14:paraId="68EE61A3" w14:textId="163E4C29" w:rsidR="00EE78D8" w:rsidRPr="001D3237" w:rsidRDefault="00EE78D8">
      <w:pPr>
        <w:pStyle w:val="FootnoteText"/>
        <w:rPr>
          <w:lang w:val="en-US"/>
        </w:rPr>
      </w:pPr>
      <w:r>
        <w:rPr>
          <w:rStyle w:val="FootnoteReference"/>
        </w:rPr>
        <w:footnoteRef/>
      </w:r>
      <w:r>
        <w:tab/>
      </w:r>
      <w:r>
        <w:rPr>
          <w:lang w:val="en-US"/>
        </w:rPr>
        <w:t>See ibid 180.</w:t>
      </w:r>
    </w:p>
  </w:footnote>
  <w:footnote w:id="714">
    <w:p w14:paraId="48DBC087" w14:textId="5F0E26A5" w:rsidR="00EE78D8" w:rsidRPr="00722C63" w:rsidRDefault="00EE78D8">
      <w:pPr>
        <w:pStyle w:val="FootnoteText"/>
        <w:rPr>
          <w:lang w:val="en-US"/>
        </w:rPr>
      </w:pPr>
      <w:r>
        <w:rPr>
          <w:rStyle w:val="FootnoteReference"/>
        </w:rPr>
        <w:footnoteRef/>
      </w:r>
      <w:r>
        <w:tab/>
      </w:r>
      <w:r>
        <w:rPr>
          <w:lang w:val="en-US"/>
        </w:rPr>
        <w:t xml:space="preserve">ALRC, </w:t>
      </w:r>
      <w:r>
        <w:t xml:space="preserve">above n </w:t>
      </w:r>
      <w:r>
        <w:fldChar w:fldCharType="begin"/>
      </w:r>
      <w:r>
        <w:instrText xml:space="preserve"> NOTEREF _Ref536035283 \h </w:instrText>
      </w:r>
      <w:r>
        <w:fldChar w:fldCharType="separate"/>
      </w:r>
      <w:r w:rsidR="001F209C">
        <w:t>110</w:t>
      </w:r>
      <w:r>
        <w:fldChar w:fldCharType="end"/>
      </w:r>
      <w:r>
        <w:t xml:space="preserve">, </w:t>
      </w:r>
      <w:r>
        <w:rPr>
          <w:lang w:val="en-US"/>
        </w:rPr>
        <w:t>210.</w:t>
      </w:r>
    </w:p>
  </w:footnote>
  <w:footnote w:id="715">
    <w:p w14:paraId="227B31EE" w14:textId="7AD57B6D" w:rsidR="00EE78D8" w:rsidRPr="00735857" w:rsidRDefault="00EE78D8">
      <w:pPr>
        <w:pStyle w:val="FootnoteText"/>
        <w:rPr>
          <w:lang w:val="en-US"/>
        </w:rPr>
      </w:pPr>
      <w:r>
        <w:rPr>
          <w:rStyle w:val="FootnoteReference"/>
        </w:rPr>
        <w:footnoteRef/>
      </w:r>
      <w:r>
        <w:tab/>
        <w:t xml:space="preserve">LRCWA, </w:t>
      </w:r>
      <w:r w:rsidRPr="00E639C8">
        <w:t xml:space="preserve">above n </w:t>
      </w:r>
      <w:r w:rsidRPr="00E639C8">
        <w:fldChar w:fldCharType="begin"/>
      </w:r>
      <w:r w:rsidRPr="00E639C8">
        <w:instrText xml:space="preserve"> NOTEREF _Ref535407951 \h </w:instrText>
      </w:r>
      <w:r>
        <w:instrText xml:space="preserve"> \* MERGEFORMAT </w:instrText>
      </w:r>
      <w:r w:rsidRPr="00E639C8">
        <w:fldChar w:fldCharType="separate"/>
      </w:r>
      <w:r w:rsidR="001F209C">
        <w:t>371</w:t>
      </w:r>
      <w:r w:rsidRPr="00E639C8">
        <w:fldChar w:fldCharType="end"/>
      </w:r>
      <w:r>
        <w:t>,</w:t>
      </w:r>
      <w:r>
        <w:rPr>
          <w:i/>
        </w:rPr>
        <w:t xml:space="preserve"> </w:t>
      </w:r>
      <w:r>
        <w:rPr>
          <w:lang w:val="en-US"/>
        </w:rPr>
        <w:t>244.</w:t>
      </w:r>
    </w:p>
  </w:footnote>
  <w:footnote w:id="716">
    <w:p w14:paraId="596AEF55" w14:textId="18265222" w:rsidR="00EE78D8" w:rsidRPr="00C069BD" w:rsidRDefault="00EE78D8">
      <w:pPr>
        <w:pStyle w:val="FootnoteText"/>
        <w:rPr>
          <w:lang w:val="en-US"/>
        </w:rPr>
      </w:pPr>
      <w:r>
        <w:rPr>
          <w:rStyle w:val="FootnoteReference"/>
        </w:rPr>
        <w:footnoteRef/>
      </w:r>
      <w:r>
        <w:tab/>
      </w:r>
      <w:r>
        <w:rPr>
          <w:lang w:val="en-US"/>
        </w:rPr>
        <w:t xml:space="preserve">ALRC, </w:t>
      </w:r>
      <w:r>
        <w:t xml:space="preserve">above n </w:t>
      </w:r>
      <w:r>
        <w:fldChar w:fldCharType="begin"/>
      </w:r>
      <w:r>
        <w:instrText xml:space="preserve"> NOTEREF _Ref536035283 \h </w:instrText>
      </w:r>
      <w:r>
        <w:fldChar w:fldCharType="separate"/>
      </w:r>
      <w:r w:rsidR="001F209C">
        <w:t>110</w:t>
      </w:r>
      <w:r>
        <w:fldChar w:fldCharType="end"/>
      </w:r>
      <w:r>
        <w:t xml:space="preserve">, </w:t>
      </w:r>
      <w:r>
        <w:rPr>
          <w:lang w:val="en-US"/>
        </w:rPr>
        <w:t xml:space="preserve">198; SASAC, </w:t>
      </w:r>
      <w:r w:rsidRPr="005441A0">
        <w:t xml:space="preserve">above n </w:t>
      </w:r>
      <w:r w:rsidRPr="005441A0">
        <w:fldChar w:fldCharType="begin"/>
      </w:r>
      <w:r w:rsidRPr="005441A0">
        <w:instrText xml:space="preserve"> NOTEREF _Ref535489918 \h </w:instrText>
      </w:r>
      <w:r>
        <w:instrText xml:space="preserve"> \* MERGEFORMAT </w:instrText>
      </w:r>
      <w:r w:rsidRPr="005441A0">
        <w:fldChar w:fldCharType="separate"/>
      </w:r>
      <w:r w:rsidR="001F209C">
        <w:t>388</w:t>
      </w:r>
      <w:r w:rsidRPr="005441A0">
        <w:fldChar w:fldCharType="end"/>
      </w:r>
      <w:r w:rsidRPr="005441A0">
        <w:t>,</w:t>
      </w:r>
      <w:r>
        <w:t xml:space="preserve"> </w:t>
      </w:r>
      <w:r>
        <w:rPr>
          <w:lang w:val="en-US"/>
        </w:rPr>
        <w:t xml:space="preserve">145; 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xml:space="preserve">, 167; 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359.</w:t>
      </w:r>
    </w:p>
  </w:footnote>
  <w:footnote w:id="717">
    <w:p w14:paraId="75CF7AB4" w14:textId="060C192C" w:rsidR="00EE78D8" w:rsidRPr="00DD1D15" w:rsidRDefault="00EE78D8">
      <w:pPr>
        <w:pStyle w:val="FootnoteText"/>
        <w:rPr>
          <w:lang w:val="en-US"/>
        </w:rPr>
      </w:pPr>
      <w:r>
        <w:rPr>
          <w:rStyle w:val="FootnoteReference"/>
        </w:rPr>
        <w:footnoteRef/>
      </w:r>
      <w:r>
        <w:tab/>
        <w:t xml:space="preserve">NSWLRC, above n </w:t>
      </w:r>
      <w:r>
        <w:fldChar w:fldCharType="begin"/>
      </w:r>
      <w:r>
        <w:instrText xml:space="preserve"> NOTEREF _Ref535692565 \h </w:instrText>
      </w:r>
      <w:r>
        <w:fldChar w:fldCharType="separate"/>
      </w:r>
      <w:r w:rsidR="001F209C">
        <w:t>446</w:t>
      </w:r>
      <w:r>
        <w:fldChar w:fldCharType="end"/>
      </w:r>
      <w:r>
        <w:t xml:space="preserve">, </w:t>
      </w:r>
      <w:r>
        <w:rPr>
          <w:lang w:val="en-US"/>
        </w:rPr>
        <w:t>219.</w:t>
      </w:r>
    </w:p>
  </w:footnote>
  <w:footnote w:id="718">
    <w:p w14:paraId="17DCDC9C" w14:textId="7B52649C" w:rsidR="00EE78D8" w:rsidRPr="00DD1D15" w:rsidRDefault="00EE78D8">
      <w:pPr>
        <w:pStyle w:val="FootnoteText"/>
        <w:rPr>
          <w:lang w:val="en-US"/>
        </w:rPr>
      </w:pPr>
      <w:r>
        <w:rPr>
          <w:rStyle w:val="FootnoteReference"/>
        </w:rPr>
        <w:footnoteRef/>
      </w:r>
      <w:r>
        <w:tab/>
      </w:r>
      <w:r>
        <w:rPr>
          <w:lang w:val="en-US"/>
        </w:rPr>
        <w:t>Ibid.</w:t>
      </w:r>
    </w:p>
  </w:footnote>
  <w:footnote w:id="719">
    <w:p w14:paraId="4F227FCF" w14:textId="2120B899" w:rsidR="00EE78D8" w:rsidRPr="00070C5D" w:rsidRDefault="00EE78D8" w:rsidP="00D52024">
      <w:pPr>
        <w:pStyle w:val="FootnoteText"/>
        <w:rPr>
          <w:lang w:val="en-US"/>
        </w:rPr>
      </w:pPr>
      <w:r>
        <w:rPr>
          <w:rStyle w:val="FootnoteReference"/>
        </w:rPr>
        <w:footnoteRef/>
      </w:r>
      <w:r>
        <w:tab/>
        <w:t xml:space="preserve">NSWLRC, above n </w:t>
      </w:r>
      <w:r>
        <w:fldChar w:fldCharType="begin"/>
      </w:r>
      <w:r>
        <w:instrText xml:space="preserve"> NOTEREF _Ref534982374 \h </w:instrText>
      </w:r>
      <w:r>
        <w:fldChar w:fldCharType="separate"/>
      </w:r>
      <w:r w:rsidR="001F209C">
        <w:t>55</w:t>
      </w:r>
      <w:r>
        <w:fldChar w:fldCharType="end"/>
      </w:r>
      <w:r>
        <w:t xml:space="preserve">, </w:t>
      </w:r>
      <w:r>
        <w:rPr>
          <w:lang w:val="en-US"/>
        </w:rPr>
        <w:t>179.</w:t>
      </w:r>
    </w:p>
  </w:footnote>
  <w:footnote w:id="720">
    <w:p w14:paraId="6F70F28F" w14:textId="22ED12BF" w:rsidR="00EE78D8" w:rsidRPr="00977073" w:rsidRDefault="00EE78D8" w:rsidP="00A54367">
      <w:pPr>
        <w:pStyle w:val="FootnoteText"/>
        <w:rPr>
          <w:lang w:val="en-US"/>
        </w:rPr>
      </w:pPr>
      <w:r>
        <w:rPr>
          <w:rStyle w:val="FootnoteReference"/>
        </w:rPr>
        <w:footnoteRef/>
      </w:r>
      <w:r>
        <w:tab/>
        <w:t>Ibid</w:t>
      </w:r>
      <w:r>
        <w:rPr>
          <w:lang w:val="en-US"/>
        </w:rPr>
        <w:t>.</w:t>
      </w:r>
    </w:p>
  </w:footnote>
  <w:footnote w:id="721">
    <w:p w14:paraId="732D26C1" w14:textId="58B77DCB" w:rsidR="00EE78D8" w:rsidRPr="00C069BD" w:rsidRDefault="00EE78D8">
      <w:pPr>
        <w:pStyle w:val="FootnoteText"/>
        <w:rPr>
          <w:lang w:val="en-US"/>
        </w:rPr>
      </w:pPr>
      <w:r>
        <w:rPr>
          <w:rStyle w:val="FootnoteReference"/>
        </w:rPr>
        <w:footnoteRef/>
      </w:r>
      <w:r>
        <w:tab/>
      </w:r>
      <w:r>
        <w:rPr>
          <w:lang w:val="en-US"/>
        </w:rPr>
        <w:t xml:space="preserve">Ibid 167; ALRC, </w:t>
      </w:r>
      <w:r>
        <w:t xml:space="preserve">above n </w:t>
      </w:r>
      <w:r>
        <w:fldChar w:fldCharType="begin"/>
      </w:r>
      <w:r>
        <w:instrText xml:space="preserve"> NOTEREF _Ref536035283 \h </w:instrText>
      </w:r>
      <w:r>
        <w:fldChar w:fldCharType="separate"/>
      </w:r>
      <w:r w:rsidR="001F209C">
        <w:t>110</w:t>
      </w:r>
      <w:r>
        <w:fldChar w:fldCharType="end"/>
      </w:r>
      <w:r>
        <w:t xml:space="preserve">, </w:t>
      </w:r>
      <w:r>
        <w:rPr>
          <w:lang w:val="en-US"/>
        </w:rPr>
        <w:t xml:space="preserve">198; SASAC, </w:t>
      </w:r>
      <w:r w:rsidRPr="005441A0">
        <w:t xml:space="preserve">above n </w:t>
      </w:r>
      <w:r w:rsidRPr="005441A0">
        <w:fldChar w:fldCharType="begin"/>
      </w:r>
      <w:r w:rsidRPr="005441A0">
        <w:instrText xml:space="preserve"> NOTEREF _Ref535489918 \h </w:instrText>
      </w:r>
      <w:r>
        <w:instrText xml:space="preserve"> \* MERGEFORMAT </w:instrText>
      </w:r>
      <w:r w:rsidRPr="005441A0">
        <w:fldChar w:fldCharType="separate"/>
      </w:r>
      <w:r w:rsidR="001F209C">
        <w:t>388</w:t>
      </w:r>
      <w:r w:rsidRPr="005441A0">
        <w:fldChar w:fldCharType="end"/>
      </w:r>
      <w:r w:rsidRPr="005441A0">
        <w:t>,</w:t>
      </w:r>
      <w:r>
        <w:t xml:space="preserve"> </w:t>
      </w:r>
      <w:r>
        <w:rPr>
          <w:lang w:val="en-US"/>
        </w:rPr>
        <w:t xml:space="preserve">145; 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359.</w:t>
      </w:r>
    </w:p>
  </w:footnote>
  <w:footnote w:id="722">
    <w:p w14:paraId="22BDA1B2" w14:textId="16DF5F79" w:rsidR="00EE78D8" w:rsidRPr="00070C5D" w:rsidRDefault="00EE78D8">
      <w:pPr>
        <w:pStyle w:val="FootnoteText"/>
        <w:rPr>
          <w:lang w:val="en-US"/>
        </w:rPr>
      </w:pPr>
      <w:r>
        <w:rPr>
          <w:rStyle w:val="FootnoteReference"/>
        </w:rPr>
        <w:footnoteRef/>
      </w:r>
      <w:r>
        <w:tab/>
      </w:r>
      <w:r w:rsidRPr="00A15653">
        <w:rPr>
          <w:lang w:val="en-US"/>
        </w:rPr>
        <w:t>Office of Public Prosecutions</w:t>
      </w:r>
      <w:r>
        <w:rPr>
          <w:lang w:val="en-US"/>
        </w:rPr>
        <w:t>,</w:t>
      </w:r>
      <w:r w:rsidRPr="00A15653">
        <w:rPr>
          <w:lang w:val="en-US"/>
        </w:rPr>
        <w:t xml:space="preserve"> Victoria, </w:t>
      </w:r>
      <w:r w:rsidRPr="00A15653">
        <w:rPr>
          <w:i/>
          <w:lang w:val="en-US"/>
        </w:rPr>
        <w:t>Submission to Review of the Crimes (Mental Impairment and Unfitness to be Tried) Act 1997 Consultation Paper</w:t>
      </w:r>
      <w:r w:rsidRPr="00A15653">
        <w:rPr>
          <w:lang w:val="en-US"/>
        </w:rPr>
        <w:t xml:space="preserve"> (2013) </w:t>
      </w:r>
      <w:r w:rsidRPr="003D3E4C">
        <w:rPr>
          <w:lang w:val="en-US"/>
        </w:rPr>
        <w:t>2.</w:t>
      </w:r>
    </w:p>
  </w:footnote>
  <w:footnote w:id="723">
    <w:p w14:paraId="077D9FE6" w14:textId="49B573AE" w:rsidR="00EE78D8" w:rsidRPr="00540371" w:rsidRDefault="00EE78D8">
      <w:pPr>
        <w:pStyle w:val="FootnoteText"/>
        <w:rPr>
          <w:lang w:val="en-US"/>
        </w:rPr>
      </w:pPr>
      <w:r>
        <w:rPr>
          <w:rStyle w:val="FootnoteReference"/>
        </w:rPr>
        <w:footnoteRef/>
      </w:r>
      <w:r>
        <w:tab/>
      </w:r>
      <w:r>
        <w:rPr>
          <w:lang w:val="en-US"/>
        </w:rPr>
        <w:t xml:space="preserve">Smith, above n </w:t>
      </w:r>
      <w:r>
        <w:rPr>
          <w:lang w:val="en-US"/>
        </w:rPr>
        <w:fldChar w:fldCharType="begin"/>
      </w:r>
      <w:r>
        <w:rPr>
          <w:lang w:val="en-US"/>
        </w:rPr>
        <w:instrText xml:space="preserve"> NOTEREF _Ref535661080 \h </w:instrText>
      </w:r>
      <w:r>
        <w:rPr>
          <w:lang w:val="en-US"/>
        </w:rPr>
      </w:r>
      <w:r>
        <w:rPr>
          <w:lang w:val="en-US"/>
        </w:rPr>
        <w:fldChar w:fldCharType="separate"/>
      </w:r>
      <w:r w:rsidR="001F209C">
        <w:rPr>
          <w:lang w:val="en-US"/>
        </w:rPr>
        <w:t>30</w:t>
      </w:r>
      <w:r>
        <w:rPr>
          <w:lang w:val="en-US"/>
        </w:rPr>
        <w:fldChar w:fldCharType="end"/>
      </w:r>
      <w:r>
        <w:rPr>
          <w:lang w:val="en-US"/>
        </w:rPr>
        <w:t xml:space="preserve">, 24. See also Office of the Anti-Discrimination Commissioner, </w:t>
      </w:r>
      <w:r>
        <w:rPr>
          <w:i/>
          <w:lang w:val="en-US"/>
        </w:rPr>
        <w:t xml:space="preserve">Submission of the Anti-Discrimination Commissioner, Tasmania, to the Australian Law Reform Commission’s Inquiry into Equality, Capacity and Disability in Commonwealth Laws </w:t>
      </w:r>
      <w:r>
        <w:rPr>
          <w:lang w:val="en-US"/>
        </w:rPr>
        <w:t>(2014) 43–44.</w:t>
      </w:r>
    </w:p>
  </w:footnote>
  <w:footnote w:id="724">
    <w:p w14:paraId="1E0E506A" w14:textId="4CD6B8DA" w:rsidR="00EE78D8" w:rsidRPr="005E1BA3" w:rsidRDefault="00EE78D8">
      <w:pPr>
        <w:pStyle w:val="FootnoteText"/>
        <w:rPr>
          <w:lang w:val="en-US"/>
        </w:rPr>
      </w:pPr>
      <w:r>
        <w:rPr>
          <w:rStyle w:val="FootnoteReference"/>
        </w:rPr>
        <w:footnoteRef/>
      </w:r>
      <w:r>
        <w:tab/>
      </w:r>
      <w:r>
        <w:rPr>
          <w:lang w:val="en-US"/>
        </w:rPr>
        <w:t xml:space="preserve">The findings from this research are set out in </w:t>
      </w:r>
      <w:r w:rsidRPr="003D45D2">
        <w:rPr>
          <w:lang w:val="en-US"/>
        </w:rPr>
        <w:t>Appendix 8.</w:t>
      </w:r>
    </w:p>
  </w:footnote>
  <w:footnote w:id="725">
    <w:p w14:paraId="49ACAC3F" w14:textId="617FEB3D" w:rsidR="00EE78D8" w:rsidRPr="00D23D81" w:rsidRDefault="00EE78D8">
      <w:pPr>
        <w:pStyle w:val="FootnoteText"/>
        <w:rPr>
          <w:lang w:val="en-US"/>
        </w:rPr>
      </w:pPr>
      <w:r>
        <w:rPr>
          <w:rStyle w:val="FootnoteReference"/>
        </w:rPr>
        <w:footnoteRef/>
      </w:r>
      <w:r>
        <w:tab/>
      </w:r>
      <w:r>
        <w:rPr>
          <w:lang w:val="en-US"/>
        </w:rPr>
        <w:t xml:space="preserve">Smith, above n </w:t>
      </w:r>
      <w:r>
        <w:rPr>
          <w:lang w:val="en-US"/>
        </w:rPr>
        <w:fldChar w:fldCharType="begin"/>
      </w:r>
      <w:r>
        <w:rPr>
          <w:lang w:val="en-US"/>
        </w:rPr>
        <w:instrText xml:space="preserve"> NOTEREF _Ref535661080 \h </w:instrText>
      </w:r>
      <w:r>
        <w:rPr>
          <w:lang w:val="en-US"/>
        </w:rPr>
      </w:r>
      <w:r>
        <w:rPr>
          <w:lang w:val="en-US"/>
        </w:rPr>
        <w:fldChar w:fldCharType="separate"/>
      </w:r>
      <w:r w:rsidR="001F209C">
        <w:rPr>
          <w:lang w:val="en-US"/>
        </w:rPr>
        <w:t>30</w:t>
      </w:r>
      <w:r>
        <w:rPr>
          <w:lang w:val="en-US"/>
        </w:rPr>
        <w:fldChar w:fldCharType="end"/>
      </w:r>
      <w:r>
        <w:rPr>
          <w:lang w:val="en-US"/>
        </w:rPr>
        <w:t>, 24.</w:t>
      </w:r>
    </w:p>
  </w:footnote>
  <w:footnote w:id="726">
    <w:p w14:paraId="0E793BDA" w14:textId="50C80D98" w:rsidR="00EE78D8" w:rsidRPr="002909D3" w:rsidRDefault="00EE78D8">
      <w:pPr>
        <w:pStyle w:val="FootnoteText"/>
        <w:rPr>
          <w:lang w:val="en-US"/>
        </w:rPr>
      </w:pPr>
      <w:r>
        <w:rPr>
          <w:rStyle w:val="FootnoteReference"/>
        </w:rPr>
        <w:footnoteRef/>
      </w:r>
      <w:r>
        <w:tab/>
        <w:t>Ibid</w:t>
      </w:r>
      <w:r>
        <w:rPr>
          <w:lang w:val="en-US"/>
        </w:rPr>
        <w:t xml:space="preserve"> 25.</w:t>
      </w:r>
    </w:p>
  </w:footnote>
  <w:footnote w:id="727">
    <w:p w14:paraId="7D8FF1D0" w14:textId="0AB20366" w:rsidR="00EE78D8" w:rsidRPr="00516536" w:rsidRDefault="00EE78D8" w:rsidP="002909D3">
      <w:pPr>
        <w:pStyle w:val="FootnoteText"/>
        <w:rPr>
          <w:lang w:val="en-US"/>
        </w:rPr>
      </w:pPr>
      <w:r>
        <w:rPr>
          <w:rStyle w:val="FootnoteReference"/>
        </w:rPr>
        <w:footnoteRef/>
      </w:r>
      <w:r>
        <w:tab/>
        <w:t xml:space="preserve">NSWLRC, above n </w:t>
      </w:r>
      <w:r>
        <w:fldChar w:fldCharType="begin"/>
      </w:r>
      <w:r>
        <w:instrText xml:space="preserve"> NOTEREF _Ref534982374 \h </w:instrText>
      </w:r>
      <w:r>
        <w:fldChar w:fldCharType="separate"/>
      </w:r>
      <w:r w:rsidR="001F209C">
        <w:t>55</w:t>
      </w:r>
      <w:r>
        <w:fldChar w:fldCharType="end"/>
      </w:r>
      <w:r>
        <w:t xml:space="preserve">, </w:t>
      </w:r>
      <w:r>
        <w:rPr>
          <w:lang w:val="en-US"/>
        </w:rPr>
        <w:t>168.</w:t>
      </w:r>
    </w:p>
  </w:footnote>
  <w:footnote w:id="728">
    <w:p w14:paraId="756F0FDA" w14:textId="28AF711A" w:rsidR="00EE78D8" w:rsidRPr="002909D3"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359.</w:t>
      </w:r>
    </w:p>
  </w:footnote>
  <w:footnote w:id="729">
    <w:p w14:paraId="3C8A91B8" w14:textId="2E95192A" w:rsidR="00EE78D8" w:rsidRPr="00516536" w:rsidRDefault="00EE78D8" w:rsidP="002909D3">
      <w:pPr>
        <w:pStyle w:val="FootnoteText"/>
        <w:rPr>
          <w:lang w:val="en-US"/>
        </w:rPr>
      </w:pPr>
      <w:r>
        <w:rPr>
          <w:rStyle w:val="FootnoteReference"/>
        </w:rPr>
        <w:footnoteRef/>
      </w:r>
      <w:r>
        <w:tab/>
      </w:r>
      <w:r>
        <w:rPr>
          <w:lang w:val="en-US"/>
        </w:rPr>
        <w:t xml:space="preserve">NSWLRC, </w:t>
      </w:r>
      <w:r>
        <w:t xml:space="preserve">above n </w:t>
      </w:r>
      <w:r>
        <w:fldChar w:fldCharType="begin"/>
      </w:r>
      <w:r>
        <w:instrText xml:space="preserve"> NOTEREF _Ref534982374 \h </w:instrText>
      </w:r>
      <w:r>
        <w:fldChar w:fldCharType="separate"/>
      </w:r>
      <w:r w:rsidR="001F209C">
        <w:t>55</w:t>
      </w:r>
      <w:r>
        <w:fldChar w:fldCharType="end"/>
      </w:r>
      <w:r>
        <w:t>,</w:t>
      </w:r>
      <w:r>
        <w:rPr>
          <w:lang w:val="en-US"/>
        </w:rPr>
        <w:t xml:space="preserve"> 170.</w:t>
      </w:r>
    </w:p>
  </w:footnote>
  <w:footnote w:id="730">
    <w:p w14:paraId="0C87B4D4" w14:textId="7C7EF3CE" w:rsidR="00EE78D8" w:rsidRPr="00D11568" w:rsidRDefault="00EE78D8">
      <w:pPr>
        <w:pStyle w:val="FootnoteText"/>
        <w:rPr>
          <w:lang w:val="en-US"/>
        </w:rPr>
      </w:pPr>
      <w:r>
        <w:rPr>
          <w:rStyle w:val="FootnoteReference"/>
        </w:rPr>
        <w:footnoteRef/>
      </w:r>
      <w:r>
        <w:tab/>
      </w:r>
      <w:r>
        <w:rPr>
          <w:lang w:val="en-US"/>
        </w:rPr>
        <w:t>J Hunyor, ‘A Kangaroo Loose in the Top Paddock: Criminal Justice. Mental Impairment and Fitness for Trial in the Northern Territory’ (Uluru Criminal Law Conference, 2012) 20.</w:t>
      </w:r>
    </w:p>
  </w:footnote>
  <w:footnote w:id="731">
    <w:p w14:paraId="42A55B9E" w14:textId="15E6244F" w:rsidR="00EE78D8" w:rsidRPr="00FA414E" w:rsidRDefault="00EE78D8">
      <w:pPr>
        <w:pStyle w:val="FootnoteText"/>
        <w:rPr>
          <w:lang w:val="en-US"/>
        </w:rPr>
      </w:pPr>
      <w:r>
        <w:rPr>
          <w:rStyle w:val="FootnoteReference"/>
        </w:rPr>
        <w:footnoteRef/>
      </w:r>
      <w:r>
        <w:tab/>
      </w:r>
      <w:r>
        <w:rPr>
          <w:lang w:val="en-US"/>
        </w:rPr>
        <w:t xml:space="preserve">Melbourne Social Equity Institute, above n </w:t>
      </w:r>
      <w:r>
        <w:rPr>
          <w:lang w:val="en-US"/>
        </w:rPr>
        <w:fldChar w:fldCharType="begin"/>
      </w:r>
      <w:r>
        <w:rPr>
          <w:lang w:val="en-US"/>
        </w:rPr>
        <w:instrText xml:space="preserve"> NOTEREF _Ref535087573 \h </w:instrText>
      </w:r>
      <w:r>
        <w:rPr>
          <w:lang w:val="en-US"/>
        </w:rPr>
      </w:r>
      <w:r>
        <w:rPr>
          <w:lang w:val="en-US"/>
        </w:rPr>
        <w:fldChar w:fldCharType="separate"/>
      </w:r>
      <w:r w:rsidR="001F209C">
        <w:rPr>
          <w:lang w:val="en-US"/>
        </w:rPr>
        <w:t>128</w:t>
      </w:r>
      <w:r>
        <w:rPr>
          <w:lang w:val="en-US"/>
        </w:rPr>
        <w:fldChar w:fldCharType="end"/>
      </w:r>
      <w:r>
        <w:rPr>
          <w:lang w:val="en-US"/>
        </w:rPr>
        <w:t xml:space="preserve">, 21. </w:t>
      </w:r>
    </w:p>
  </w:footnote>
  <w:footnote w:id="732">
    <w:p w14:paraId="71131E1A" w14:textId="0F5823A9" w:rsidR="00EE78D8" w:rsidRPr="00C663D2" w:rsidRDefault="00EE78D8" w:rsidP="00C663D2">
      <w:pPr>
        <w:pStyle w:val="FootnoteText"/>
      </w:pPr>
      <w:r w:rsidRPr="00C663D2">
        <w:rPr>
          <w:rStyle w:val="FootnoteReference"/>
        </w:rPr>
        <w:footnoteRef/>
      </w:r>
      <w:r>
        <w:tab/>
      </w:r>
      <w:r w:rsidRPr="00C663D2">
        <w:t>Gooding</w:t>
      </w:r>
      <w:r>
        <w:t xml:space="preserve"> et al</w:t>
      </w:r>
      <w:r w:rsidRPr="00C663D2">
        <w:t xml:space="preserve">, </w:t>
      </w:r>
      <w:r>
        <w:t xml:space="preserve">above n </w:t>
      </w:r>
      <w:r>
        <w:fldChar w:fldCharType="begin"/>
      </w:r>
      <w:r>
        <w:instrText xml:space="preserve"> NOTEREF _Ref534982760 \h </w:instrText>
      </w:r>
      <w:r>
        <w:fldChar w:fldCharType="separate"/>
      </w:r>
      <w:r w:rsidR="001F209C">
        <w:t>37</w:t>
      </w:r>
      <w:r>
        <w:fldChar w:fldCharType="end"/>
      </w:r>
      <w:r w:rsidRPr="00C663D2">
        <w:t>, 853.</w:t>
      </w:r>
    </w:p>
  </w:footnote>
  <w:footnote w:id="733">
    <w:p w14:paraId="7D3A948C" w14:textId="5665F745" w:rsidR="00EE78D8" w:rsidRPr="00BF7572" w:rsidRDefault="00EE78D8">
      <w:pPr>
        <w:pStyle w:val="FootnoteText"/>
        <w:rPr>
          <w:lang w:val="en-US"/>
        </w:rPr>
      </w:pPr>
      <w:r>
        <w:rPr>
          <w:rStyle w:val="FootnoteReference"/>
        </w:rPr>
        <w:footnoteRef/>
      </w:r>
      <w:r>
        <w:tab/>
        <w:t xml:space="preserve">Arstein-Kerslake et al, above n </w:t>
      </w:r>
      <w:r>
        <w:fldChar w:fldCharType="begin"/>
      </w:r>
      <w:r>
        <w:instrText xml:space="preserve"> NOTEREF _Ref535056500 \h </w:instrText>
      </w:r>
      <w:r>
        <w:fldChar w:fldCharType="separate"/>
      </w:r>
      <w:r w:rsidR="001F209C">
        <w:t>126</w:t>
      </w:r>
      <w:r>
        <w:fldChar w:fldCharType="end"/>
      </w:r>
      <w:r>
        <w:t xml:space="preserve">, </w:t>
      </w:r>
      <w:r>
        <w:rPr>
          <w:lang w:val="en-US"/>
        </w:rPr>
        <w:t>418.</w:t>
      </w:r>
    </w:p>
  </w:footnote>
  <w:footnote w:id="734">
    <w:p w14:paraId="3239F32C" w14:textId="4D958D61" w:rsidR="00EE78D8" w:rsidRPr="00CE759D" w:rsidRDefault="00EE78D8">
      <w:pPr>
        <w:pStyle w:val="FootnoteText"/>
        <w:rPr>
          <w:lang w:val="en-US"/>
        </w:rPr>
      </w:pPr>
      <w:r>
        <w:rPr>
          <w:rStyle w:val="FootnoteReference"/>
        </w:rPr>
        <w:footnoteRef/>
      </w:r>
      <w:r>
        <w:tab/>
      </w:r>
      <w:r>
        <w:rPr>
          <w:lang w:val="en-US"/>
        </w:rPr>
        <w:t xml:space="preserve">Minkowitz, above n </w:t>
      </w:r>
      <w:r>
        <w:rPr>
          <w:lang w:val="en-US"/>
        </w:rPr>
        <w:fldChar w:fldCharType="begin"/>
      </w:r>
      <w:r>
        <w:rPr>
          <w:lang w:val="en-US"/>
        </w:rPr>
        <w:instrText xml:space="preserve"> NOTEREF _Ref535056394 \h </w:instrText>
      </w:r>
      <w:r>
        <w:rPr>
          <w:lang w:val="en-US"/>
        </w:rPr>
      </w:r>
      <w:r>
        <w:rPr>
          <w:lang w:val="en-US"/>
        </w:rPr>
        <w:fldChar w:fldCharType="separate"/>
      </w:r>
      <w:r w:rsidR="001F209C">
        <w:rPr>
          <w:lang w:val="en-US"/>
        </w:rPr>
        <w:t>124</w:t>
      </w:r>
      <w:r>
        <w:rPr>
          <w:lang w:val="en-US"/>
        </w:rPr>
        <w:fldChar w:fldCharType="end"/>
      </w:r>
      <w:r>
        <w:rPr>
          <w:lang w:val="en-US"/>
        </w:rPr>
        <w:t>, 449.</w:t>
      </w:r>
    </w:p>
  </w:footnote>
  <w:footnote w:id="735">
    <w:p w14:paraId="247B91CA" w14:textId="0BE5F52E" w:rsidR="00EE78D8" w:rsidRPr="00070C5D" w:rsidRDefault="00EE78D8">
      <w:pPr>
        <w:pStyle w:val="FootnoteText"/>
        <w:rPr>
          <w:lang w:val="en-US"/>
        </w:rPr>
      </w:pPr>
      <w:r>
        <w:rPr>
          <w:rStyle w:val="FootnoteReference"/>
        </w:rPr>
        <w:footnoteRef/>
      </w:r>
      <w:r>
        <w:tab/>
      </w:r>
      <w:r>
        <w:rPr>
          <w:lang w:val="en-US"/>
        </w:rPr>
        <w:t xml:space="preserve">Ibid. See also Gooding and O’Mahoney, above n </w:t>
      </w:r>
      <w:r>
        <w:rPr>
          <w:lang w:val="en-US"/>
        </w:rPr>
        <w:fldChar w:fldCharType="begin"/>
      </w:r>
      <w:r>
        <w:rPr>
          <w:lang w:val="en-US"/>
        </w:rPr>
        <w:instrText xml:space="preserve"> NOTEREF _Ref535056394 \h </w:instrText>
      </w:r>
      <w:r>
        <w:rPr>
          <w:lang w:val="en-US"/>
        </w:rPr>
      </w:r>
      <w:r>
        <w:rPr>
          <w:lang w:val="en-US"/>
        </w:rPr>
        <w:fldChar w:fldCharType="separate"/>
      </w:r>
      <w:r w:rsidR="001F209C">
        <w:rPr>
          <w:lang w:val="en-US"/>
        </w:rPr>
        <w:t>124</w:t>
      </w:r>
      <w:r>
        <w:rPr>
          <w:lang w:val="en-US"/>
        </w:rPr>
        <w:fldChar w:fldCharType="end"/>
      </w:r>
      <w:r>
        <w:rPr>
          <w:lang w:val="en-US"/>
        </w:rPr>
        <w:t>, 133.</w:t>
      </w:r>
    </w:p>
  </w:footnote>
  <w:footnote w:id="736">
    <w:p w14:paraId="38852AC0" w14:textId="455573E6" w:rsidR="00EE78D8" w:rsidRPr="006C7405"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xml:space="preserve">, 169. </w:t>
      </w:r>
    </w:p>
  </w:footnote>
  <w:footnote w:id="737">
    <w:p w14:paraId="3C4DB804" w14:textId="4F97C2FE" w:rsidR="00EE78D8" w:rsidRPr="00F63E2A" w:rsidRDefault="00EE78D8" w:rsidP="00CA2B20">
      <w:pPr>
        <w:pStyle w:val="FootnoteText"/>
        <w:rPr>
          <w:lang w:val="en-US"/>
        </w:rPr>
      </w:pPr>
      <w:r>
        <w:rPr>
          <w:rStyle w:val="FootnoteReference"/>
        </w:rPr>
        <w:footnoteRef/>
      </w:r>
      <w:r>
        <w:tab/>
      </w:r>
      <w:r>
        <w:rPr>
          <w:lang w:val="en-US"/>
        </w:rPr>
        <w:t>Ibid.</w:t>
      </w:r>
    </w:p>
  </w:footnote>
  <w:footnote w:id="738">
    <w:p w14:paraId="393887D8" w14:textId="53CC7250" w:rsidR="00EE78D8" w:rsidRPr="00DD1D15"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_Ref535692565 \h </w:instrText>
      </w:r>
      <w:r>
        <w:rPr>
          <w:lang w:val="en-US"/>
        </w:rPr>
      </w:r>
      <w:r>
        <w:rPr>
          <w:lang w:val="en-US"/>
        </w:rPr>
        <w:fldChar w:fldCharType="separate"/>
      </w:r>
      <w:r w:rsidR="001F209C">
        <w:rPr>
          <w:lang w:val="en-US"/>
        </w:rPr>
        <w:t>446</w:t>
      </w:r>
      <w:r>
        <w:rPr>
          <w:lang w:val="en-US"/>
        </w:rPr>
        <w:fldChar w:fldCharType="end"/>
      </w:r>
      <w:r>
        <w:rPr>
          <w:lang w:val="en-US"/>
        </w:rPr>
        <w:t>, 220.</w:t>
      </w:r>
    </w:p>
  </w:footnote>
  <w:footnote w:id="739">
    <w:p w14:paraId="2D73A76F" w14:textId="6C41343E" w:rsidR="00EE78D8" w:rsidRPr="006C7405" w:rsidRDefault="00EE78D8">
      <w:pPr>
        <w:pStyle w:val="FootnoteText"/>
        <w:rPr>
          <w:lang w:val="en-US"/>
        </w:rPr>
      </w:pPr>
      <w:r>
        <w:rPr>
          <w:rStyle w:val="FootnoteReference"/>
        </w:rPr>
        <w:footnoteRef/>
      </w:r>
      <w:r>
        <w:rPr>
          <w:lang w:val="en-US"/>
        </w:rPr>
        <w:tab/>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169.</w:t>
      </w:r>
    </w:p>
  </w:footnote>
  <w:footnote w:id="740">
    <w:p w14:paraId="3281FCCF" w14:textId="00E75460" w:rsidR="00EE78D8" w:rsidRPr="006C7405" w:rsidRDefault="00EE78D8">
      <w:pPr>
        <w:pStyle w:val="FootnoteText"/>
        <w:rPr>
          <w:lang w:val="en-US"/>
        </w:rPr>
      </w:pPr>
      <w:r>
        <w:rPr>
          <w:rStyle w:val="FootnoteReference"/>
        </w:rPr>
        <w:footnoteRef/>
      </w:r>
      <w:r>
        <w:tab/>
      </w:r>
      <w:r w:rsidRPr="0056339A">
        <w:rPr>
          <w:lang w:val="en-US"/>
        </w:rPr>
        <w:t>Ibid 179</w:t>
      </w:r>
      <w:r>
        <w:rPr>
          <w:lang w:val="en-US"/>
        </w:rPr>
        <w:t>. This is discussed further at [8.3.16]–[8.3.32].</w:t>
      </w:r>
    </w:p>
  </w:footnote>
  <w:footnote w:id="741">
    <w:p w14:paraId="377A171C" w14:textId="2EFEB0E3" w:rsidR="00EE78D8" w:rsidRPr="002225B7"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169.</w:t>
      </w:r>
    </w:p>
  </w:footnote>
  <w:footnote w:id="742">
    <w:p w14:paraId="6A67F70F" w14:textId="2EAAB01F" w:rsidR="00EE78D8" w:rsidRPr="002225B7" w:rsidRDefault="00EE78D8">
      <w:pPr>
        <w:pStyle w:val="FootnoteText"/>
        <w:rPr>
          <w:lang w:val="en-US"/>
        </w:rPr>
      </w:pPr>
      <w:r>
        <w:rPr>
          <w:rStyle w:val="FootnoteReference"/>
        </w:rPr>
        <w:footnoteRef/>
      </w:r>
      <w:r>
        <w:t xml:space="preserve"> </w:t>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359.</w:t>
      </w:r>
    </w:p>
  </w:footnote>
  <w:footnote w:id="743">
    <w:p w14:paraId="738123C1" w14:textId="093A0049" w:rsidR="00EE78D8" w:rsidRPr="00B10B4B" w:rsidRDefault="00EE78D8">
      <w:pPr>
        <w:pStyle w:val="FootnoteText"/>
        <w:rPr>
          <w:lang w:val="en-US"/>
        </w:rPr>
      </w:pPr>
      <w:r>
        <w:rPr>
          <w:rStyle w:val="FootnoteReference"/>
        </w:rPr>
        <w:footnoteRef/>
      </w:r>
      <w:r>
        <w:t xml:space="preserve"> </w:t>
      </w:r>
      <w:r>
        <w:tab/>
      </w:r>
      <w:r>
        <w:rPr>
          <w:lang w:val="en-US"/>
        </w:rPr>
        <w:t>Ibid 360. See Recommendation 83.</w:t>
      </w:r>
    </w:p>
  </w:footnote>
  <w:footnote w:id="744">
    <w:p w14:paraId="1D089E3C" w14:textId="7DFE2F5C" w:rsidR="00EE78D8" w:rsidRPr="00721330" w:rsidRDefault="00EE78D8">
      <w:pPr>
        <w:pStyle w:val="FootnoteText"/>
        <w:rPr>
          <w:lang w:val="en-US"/>
        </w:rPr>
      </w:pPr>
      <w:r>
        <w:rPr>
          <w:rStyle w:val="FootnoteReference"/>
        </w:rPr>
        <w:footnoteRef/>
      </w:r>
      <w:r>
        <w:t xml:space="preserve"> </w:t>
      </w:r>
      <w:r>
        <w:tab/>
      </w:r>
      <w:r>
        <w:rPr>
          <w:lang w:val="en-US"/>
        </w:rPr>
        <w:t xml:space="preserve">SASAC, </w:t>
      </w:r>
      <w:r w:rsidRPr="005441A0">
        <w:t xml:space="preserve">above n </w:t>
      </w:r>
      <w:r w:rsidRPr="005441A0">
        <w:fldChar w:fldCharType="begin"/>
      </w:r>
      <w:r w:rsidRPr="005441A0">
        <w:instrText xml:space="preserve"> NOTEREF _Ref535489918 \h </w:instrText>
      </w:r>
      <w:r>
        <w:instrText xml:space="preserve"> \* MERGEFORMAT </w:instrText>
      </w:r>
      <w:r w:rsidRPr="005441A0">
        <w:fldChar w:fldCharType="separate"/>
      </w:r>
      <w:r w:rsidR="001F209C">
        <w:t>388</w:t>
      </w:r>
      <w:r w:rsidRPr="005441A0">
        <w:fldChar w:fldCharType="end"/>
      </w:r>
      <w:r>
        <w:t xml:space="preserve">, </w:t>
      </w:r>
      <w:r>
        <w:rPr>
          <w:lang w:val="en-US"/>
        </w:rPr>
        <w:t>142.</w:t>
      </w:r>
    </w:p>
  </w:footnote>
  <w:footnote w:id="745">
    <w:p w14:paraId="5666473A" w14:textId="0570D803" w:rsidR="00EE78D8" w:rsidRPr="00CA2B20" w:rsidRDefault="00EE78D8">
      <w:pPr>
        <w:pStyle w:val="FootnoteText"/>
        <w:rPr>
          <w:lang w:val="en-US"/>
        </w:rPr>
      </w:pPr>
      <w:r>
        <w:rPr>
          <w:rStyle w:val="FootnoteReference"/>
        </w:rPr>
        <w:footnoteRef/>
      </w:r>
      <w:r>
        <w:tab/>
      </w:r>
      <w:r w:rsidRPr="00CA2B20">
        <w:rPr>
          <w:lang w:val="en-US"/>
        </w:rPr>
        <w:t>T Boyd-Caine and D Chappell,</w:t>
      </w:r>
      <w:r>
        <w:rPr>
          <w:lang w:val="en-US"/>
        </w:rPr>
        <w:t xml:space="preserve"> ‘The Forensic Patient Population in New South Wales’ (2005) 17 </w:t>
      </w:r>
      <w:r>
        <w:rPr>
          <w:i/>
          <w:lang w:val="en-US"/>
        </w:rPr>
        <w:t xml:space="preserve">Current Issues in Criminal Justice </w:t>
      </w:r>
      <w:r>
        <w:rPr>
          <w:lang w:val="en-US"/>
        </w:rPr>
        <w:t>5, 26.</w:t>
      </w:r>
    </w:p>
  </w:footnote>
  <w:footnote w:id="746">
    <w:p w14:paraId="3FB4E66D" w14:textId="138E7CCA" w:rsidR="00EE78D8" w:rsidRPr="00B10B4B"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169.</w:t>
      </w:r>
    </w:p>
  </w:footnote>
  <w:footnote w:id="747">
    <w:p w14:paraId="64CFFDF8" w14:textId="6439FAE9" w:rsidR="00EE78D8" w:rsidRPr="00282579" w:rsidRDefault="00EE78D8">
      <w:pPr>
        <w:pStyle w:val="FootnoteText"/>
        <w:rPr>
          <w:lang w:val="en-US"/>
        </w:rPr>
      </w:pPr>
      <w:r>
        <w:rPr>
          <w:rStyle w:val="FootnoteReference"/>
        </w:rPr>
        <w:footnoteRef/>
      </w:r>
      <w:r>
        <w:tab/>
      </w:r>
      <w:r>
        <w:rPr>
          <w:lang w:val="en-US"/>
        </w:rPr>
        <w:t>Ibid 174.</w:t>
      </w:r>
    </w:p>
  </w:footnote>
  <w:footnote w:id="748">
    <w:p w14:paraId="40C478BB" w14:textId="6C780CE9" w:rsidR="00EE78D8" w:rsidRPr="008B279E" w:rsidRDefault="00EE78D8">
      <w:pPr>
        <w:pStyle w:val="FootnoteText"/>
        <w:rPr>
          <w:lang w:val="en-US"/>
        </w:rPr>
      </w:pPr>
      <w:r>
        <w:rPr>
          <w:rStyle w:val="FootnoteReference"/>
        </w:rPr>
        <w:footnoteRef/>
      </w:r>
      <w:r>
        <w:tab/>
      </w:r>
      <w:r w:rsidRPr="008B279E">
        <w:rPr>
          <w:lang w:val="en-US"/>
        </w:rPr>
        <w:t xml:space="preserve">Boyd-Caine and Chappell, </w:t>
      </w:r>
      <w:r>
        <w:rPr>
          <w:lang w:val="en-US"/>
        </w:rPr>
        <w:t xml:space="preserve">above n </w:t>
      </w:r>
      <w:r>
        <w:rPr>
          <w:lang w:val="en-US"/>
        </w:rPr>
        <w:fldChar w:fldCharType="begin"/>
      </w:r>
      <w:r>
        <w:rPr>
          <w:lang w:val="en-US"/>
        </w:rPr>
        <w:instrText xml:space="preserve"> NOTEREF _Ref535744079 \h </w:instrText>
      </w:r>
      <w:r>
        <w:rPr>
          <w:lang w:val="en-US"/>
        </w:rPr>
      </w:r>
      <w:r>
        <w:rPr>
          <w:lang w:val="en-US"/>
        </w:rPr>
        <w:fldChar w:fldCharType="separate"/>
      </w:r>
      <w:r w:rsidR="001F209C">
        <w:rPr>
          <w:lang w:val="en-US"/>
        </w:rPr>
        <w:t>745</w:t>
      </w:r>
      <w:r>
        <w:rPr>
          <w:lang w:val="en-US"/>
        </w:rPr>
        <w:fldChar w:fldCharType="end"/>
      </w:r>
      <w:r>
        <w:rPr>
          <w:lang w:val="en-US"/>
        </w:rPr>
        <w:t>,</w:t>
      </w:r>
      <w:r w:rsidRPr="008B279E">
        <w:rPr>
          <w:lang w:val="en-US"/>
        </w:rPr>
        <w:t xml:space="preserve"> 26.</w:t>
      </w:r>
    </w:p>
  </w:footnote>
  <w:footnote w:id="749">
    <w:p w14:paraId="0CDA8747" w14:textId="67262F2A" w:rsidR="00EE78D8" w:rsidRPr="00827703" w:rsidRDefault="00EE78D8" w:rsidP="0045518E">
      <w:pPr>
        <w:pStyle w:val="FootnoteText"/>
        <w:rPr>
          <w:lang w:val="en-US"/>
        </w:rPr>
      </w:pPr>
      <w:r w:rsidRPr="008B279E">
        <w:rPr>
          <w:rStyle w:val="FootnoteReference"/>
        </w:rPr>
        <w:footnoteRef/>
      </w:r>
      <w:r>
        <w:tab/>
      </w:r>
      <w:r>
        <w:rPr>
          <w:lang w:val="en-US"/>
        </w:rPr>
        <w:t>Ibid.</w:t>
      </w:r>
    </w:p>
  </w:footnote>
  <w:footnote w:id="750">
    <w:p w14:paraId="76ED88B0" w14:textId="526F9E34" w:rsidR="00EE78D8" w:rsidRPr="001462DE" w:rsidRDefault="00EE78D8" w:rsidP="00E2090F">
      <w:pPr>
        <w:pStyle w:val="FootnoteText"/>
        <w:rPr>
          <w:lang w:val="en-US"/>
        </w:rPr>
      </w:pPr>
      <w:r>
        <w:rPr>
          <w:rStyle w:val="FootnoteReference"/>
        </w:rPr>
        <w:footnoteRef/>
      </w:r>
      <w:r>
        <w:tab/>
      </w:r>
      <w:r>
        <w:rPr>
          <w:lang w:val="en-US"/>
        </w:rPr>
        <w:t>NSWLRC,</w:t>
      </w:r>
      <w:r w:rsidRPr="003B7AA6">
        <w:rPr>
          <w:lang w:val="en-US"/>
        </w:rPr>
        <w:t xml:space="preserve"> </w:t>
      </w:r>
      <w:r>
        <w:rPr>
          <w:lang w:val="en-US"/>
        </w:rPr>
        <w:t xml:space="preserve">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170.</w:t>
      </w:r>
    </w:p>
  </w:footnote>
  <w:footnote w:id="751">
    <w:p w14:paraId="7B7395BC" w14:textId="1381DFE6" w:rsidR="00EE78D8" w:rsidRPr="00821529" w:rsidRDefault="00EE78D8">
      <w:pPr>
        <w:pStyle w:val="FootnoteText"/>
        <w:rPr>
          <w:lang w:val="en-US"/>
        </w:rPr>
      </w:pPr>
      <w:r>
        <w:rPr>
          <w:rStyle w:val="FootnoteReference"/>
        </w:rPr>
        <w:footnoteRef/>
      </w:r>
      <w:r>
        <w:tab/>
      </w:r>
      <w:r>
        <w:rPr>
          <w:lang w:val="en-US"/>
        </w:rPr>
        <w:t xml:space="preserve">See </w:t>
      </w:r>
      <w:r>
        <w:rPr>
          <w:i/>
          <w:lang w:val="en-US"/>
        </w:rPr>
        <w:t xml:space="preserve">Mental Health Act 2013 </w:t>
      </w:r>
      <w:r w:rsidRPr="00EF71FB">
        <w:rPr>
          <w:lang w:val="en-US"/>
        </w:rPr>
        <w:t>(Tas)</w:t>
      </w:r>
      <w:r>
        <w:rPr>
          <w:lang w:val="en-US"/>
        </w:rPr>
        <w:t xml:space="preserve"> ss 44, 48; </w:t>
      </w:r>
      <w:r>
        <w:rPr>
          <w:i/>
          <w:lang w:val="en-US"/>
        </w:rPr>
        <w:t xml:space="preserve">Sentencing Act 1997 </w:t>
      </w:r>
      <w:r>
        <w:rPr>
          <w:lang w:val="en-US"/>
        </w:rPr>
        <w:t>(Tas) s 7(f).</w:t>
      </w:r>
    </w:p>
  </w:footnote>
  <w:footnote w:id="752">
    <w:p w14:paraId="71191483" w14:textId="062C8F64" w:rsidR="00EE78D8" w:rsidRPr="00C36616" w:rsidRDefault="00EE78D8">
      <w:pPr>
        <w:pStyle w:val="FootnoteText"/>
        <w:rPr>
          <w:lang w:val="en-US"/>
        </w:rPr>
      </w:pPr>
      <w:r>
        <w:rPr>
          <w:rStyle w:val="FootnoteReference"/>
        </w:rPr>
        <w:footnoteRef/>
      </w:r>
      <w:r>
        <w:tab/>
        <w:t xml:space="preserve">In New South Wales, the NSWLRC reported that 10 out of 54 (19 per cent) forensic patients have been detained beyond their limiting term as an involuntary patient under the </w:t>
      </w:r>
      <w:r>
        <w:rPr>
          <w:i/>
        </w:rPr>
        <w:t xml:space="preserve">Mental Health Act 2007 </w:t>
      </w:r>
      <w:r>
        <w:t xml:space="preserve">(NSW): </w:t>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172.</w:t>
      </w:r>
    </w:p>
  </w:footnote>
  <w:footnote w:id="753">
    <w:p w14:paraId="6D2C327C" w14:textId="3EEC5565" w:rsidR="00EE78D8" w:rsidRPr="002A2C4A" w:rsidRDefault="00EE78D8">
      <w:pPr>
        <w:pStyle w:val="FootnoteText"/>
        <w:rPr>
          <w:lang w:val="en-US"/>
        </w:rPr>
      </w:pPr>
      <w:r>
        <w:rPr>
          <w:rStyle w:val="FootnoteReference"/>
        </w:rPr>
        <w:footnoteRef/>
      </w:r>
      <w:r>
        <w:tab/>
      </w:r>
      <w:r>
        <w:rPr>
          <w:lang w:val="en-US"/>
        </w:rPr>
        <w:t>Ibid 318–319.</w:t>
      </w:r>
    </w:p>
  </w:footnote>
  <w:footnote w:id="754">
    <w:p w14:paraId="3EF34CEB" w14:textId="318EC64C" w:rsidR="00EE78D8" w:rsidRPr="00CF7B0C" w:rsidRDefault="00EE78D8" w:rsidP="002A2C4A">
      <w:pPr>
        <w:pStyle w:val="FootnoteText"/>
        <w:rPr>
          <w:lang w:val="en-US"/>
        </w:rPr>
      </w:pPr>
      <w:r>
        <w:rPr>
          <w:rStyle w:val="FootnoteReference"/>
        </w:rPr>
        <w:footnoteRef/>
      </w:r>
      <w:r>
        <w:tab/>
      </w:r>
      <w:r>
        <w:rPr>
          <w:i/>
          <w:lang w:val="en-US"/>
        </w:rPr>
        <w:t xml:space="preserve">Mental Health (Forensic Provisions) Act 1990 </w:t>
      </w:r>
      <w:r>
        <w:rPr>
          <w:lang w:val="en-US"/>
        </w:rPr>
        <w:t xml:space="preserve">(NSW) amended by </w:t>
      </w:r>
      <w:r>
        <w:rPr>
          <w:i/>
          <w:lang w:val="en-US"/>
        </w:rPr>
        <w:t xml:space="preserve">Mental Health (Forensic Provisions) Amendment Act 2013 </w:t>
      </w:r>
      <w:r>
        <w:rPr>
          <w:lang w:val="en-US"/>
        </w:rPr>
        <w:t xml:space="preserve">(NSW) s 54A, sch 1; </w:t>
      </w:r>
      <w:r>
        <w:rPr>
          <w:i/>
          <w:lang w:val="en-US"/>
        </w:rPr>
        <w:t xml:space="preserve">Criminal Law Consolidation Act </w:t>
      </w:r>
      <w:r w:rsidRPr="006A3160">
        <w:rPr>
          <w:i/>
          <w:lang w:val="en-US"/>
        </w:rPr>
        <w:t xml:space="preserve">1935 </w:t>
      </w:r>
      <w:r>
        <w:rPr>
          <w:lang w:val="en-US"/>
        </w:rPr>
        <w:t xml:space="preserve">(SA) ss 269UA–269UB inserted by </w:t>
      </w:r>
      <w:r>
        <w:rPr>
          <w:i/>
          <w:lang w:val="en-US"/>
        </w:rPr>
        <w:t xml:space="preserve">Criminal Law Consolidation (Mental Impairment Act) </w:t>
      </w:r>
      <w:r w:rsidRPr="006A3160">
        <w:rPr>
          <w:i/>
          <w:lang w:val="en-US"/>
        </w:rPr>
        <w:t>1935</w:t>
      </w:r>
      <w:r>
        <w:rPr>
          <w:lang w:val="en-US"/>
        </w:rPr>
        <w:t xml:space="preserve"> (SA) (yet to commence).</w:t>
      </w:r>
    </w:p>
  </w:footnote>
  <w:footnote w:id="755">
    <w:p w14:paraId="3946BF10" w14:textId="52510643" w:rsidR="00EE78D8" w:rsidRPr="00FC7144" w:rsidRDefault="00EE78D8">
      <w:pPr>
        <w:pStyle w:val="FootnoteText"/>
        <w:rPr>
          <w:lang w:val="en-US"/>
        </w:rPr>
      </w:pPr>
      <w:r>
        <w:rPr>
          <w:rStyle w:val="FootnoteReference"/>
        </w:rPr>
        <w:footnoteRef/>
      </w:r>
      <w:r>
        <w:tab/>
      </w:r>
      <w:r>
        <w:rPr>
          <w:i/>
          <w:lang w:val="en-US"/>
        </w:rPr>
        <w:t xml:space="preserve">Criminal Law Consolidation Act </w:t>
      </w:r>
      <w:r w:rsidRPr="006A3160">
        <w:rPr>
          <w:i/>
          <w:lang w:val="en-US"/>
        </w:rPr>
        <w:t xml:space="preserve">1935 </w:t>
      </w:r>
      <w:r>
        <w:rPr>
          <w:lang w:val="en-US"/>
        </w:rPr>
        <w:t xml:space="preserve">(SA) s 269UA(7) inserted by </w:t>
      </w:r>
      <w:r>
        <w:rPr>
          <w:i/>
          <w:lang w:val="en-US"/>
        </w:rPr>
        <w:t xml:space="preserve">Criminal Law Consolidation (Mental Impairment Act) </w:t>
      </w:r>
      <w:r w:rsidRPr="006A3160">
        <w:rPr>
          <w:i/>
          <w:lang w:val="en-US"/>
        </w:rPr>
        <w:t>1935</w:t>
      </w:r>
      <w:r>
        <w:rPr>
          <w:lang w:val="en-US"/>
        </w:rPr>
        <w:t xml:space="preserve"> (SA) (yet to commence).</w:t>
      </w:r>
    </w:p>
  </w:footnote>
  <w:footnote w:id="756">
    <w:p w14:paraId="2CC34593" w14:textId="5B5C4644" w:rsidR="00EE78D8" w:rsidRPr="0010401E" w:rsidRDefault="00EE78D8">
      <w:pPr>
        <w:pStyle w:val="FootnoteText"/>
        <w:rPr>
          <w:lang w:val="en-US"/>
        </w:rPr>
      </w:pPr>
      <w:r>
        <w:rPr>
          <w:rStyle w:val="FootnoteReference"/>
        </w:rPr>
        <w:footnoteRef/>
      </w:r>
      <w:r>
        <w:tab/>
        <w:t xml:space="preserve">For a discussion of a treatment order, see Mental Health Tribunal, </w:t>
      </w:r>
      <w:r>
        <w:rPr>
          <w:i/>
        </w:rPr>
        <w:t xml:space="preserve">The Mental Health Tribunal: Orders, Hearing and Reviews: Information for Patients, their Carers and Support People </w:t>
      </w:r>
      <w:r>
        <w:t>(2017).</w:t>
      </w:r>
    </w:p>
  </w:footnote>
  <w:footnote w:id="757">
    <w:p w14:paraId="143AC422" w14:textId="5F7AA030" w:rsidR="00EE78D8" w:rsidRPr="00074089" w:rsidRDefault="00EE78D8">
      <w:pPr>
        <w:pStyle w:val="FootnoteText"/>
        <w:rPr>
          <w:lang w:val="en-US"/>
        </w:rPr>
      </w:pPr>
      <w:r>
        <w:rPr>
          <w:rStyle w:val="FootnoteReference"/>
        </w:rPr>
        <w:footnoteRef/>
      </w:r>
      <w:r>
        <w:tab/>
      </w:r>
      <w:r>
        <w:rPr>
          <w:i/>
          <w:lang w:val="en-US"/>
        </w:rPr>
        <w:t xml:space="preserve">Mental Health Act 2013 </w:t>
      </w:r>
      <w:r>
        <w:rPr>
          <w:lang w:val="en-US"/>
        </w:rPr>
        <w:t>(Tas) s 40.</w:t>
      </w:r>
    </w:p>
  </w:footnote>
  <w:footnote w:id="758">
    <w:p w14:paraId="60276F15" w14:textId="0B94D631" w:rsidR="00EE78D8" w:rsidRPr="000828B1" w:rsidRDefault="00EE78D8">
      <w:pPr>
        <w:pStyle w:val="FootnoteText"/>
        <w:rPr>
          <w:lang w:val="en-US"/>
        </w:rPr>
      </w:pPr>
      <w:r>
        <w:rPr>
          <w:rStyle w:val="FootnoteReference"/>
        </w:rPr>
        <w:footnoteRef/>
      </w:r>
      <w:r>
        <w:tab/>
      </w:r>
      <w:r w:rsidRPr="006D2BED">
        <w:rPr>
          <w:lang w:val="en-US"/>
        </w:rPr>
        <w:t xml:space="preserve">Ibid </w:t>
      </w:r>
      <w:r>
        <w:rPr>
          <w:lang w:val="en-US"/>
        </w:rPr>
        <w:t>s 7(1).</w:t>
      </w:r>
    </w:p>
  </w:footnote>
  <w:footnote w:id="759">
    <w:p w14:paraId="3EB55C43" w14:textId="0E386010" w:rsidR="00EE78D8" w:rsidRPr="003710D5" w:rsidRDefault="00EE78D8">
      <w:pPr>
        <w:pStyle w:val="FootnoteText"/>
        <w:rPr>
          <w:lang w:val="en-US"/>
        </w:rPr>
      </w:pPr>
      <w:r>
        <w:rPr>
          <w:rStyle w:val="FootnoteReference"/>
        </w:rPr>
        <w:footnoteRef/>
      </w:r>
      <w:r>
        <w:tab/>
        <w:t>See discussion in Part 7 in relation to the meaning of mental illness.</w:t>
      </w:r>
    </w:p>
  </w:footnote>
  <w:footnote w:id="760">
    <w:p w14:paraId="33AFD17A" w14:textId="26DFADDF" w:rsidR="00EE78D8" w:rsidRPr="005F7EAA" w:rsidRDefault="00EE78D8">
      <w:pPr>
        <w:pStyle w:val="FootnoteText"/>
        <w:rPr>
          <w:lang w:val="en-US"/>
        </w:rPr>
      </w:pPr>
      <w:r>
        <w:rPr>
          <w:rStyle w:val="FootnoteReference"/>
        </w:rPr>
        <w:footnoteRef/>
      </w:r>
      <w:r>
        <w:tab/>
      </w:r>
      <w:r>
        <w:rPr>
          <w:lang w:val="en-US"/>
        </w:rPr>
        <w:t xml:space="preserve">For detailed discussion of the nature of guardianship, see </w:t>
      </w:r>
      <w:r>
        <w:t xml:space="preserve">Guardianship and Administration Board, </w:t>
      </w:r>
      <w:r>
        <w:rPr>
          <w:i/>
        </w:rPr>
        <w:t xml:space="preserve">Private Guardian’s Handbook: Information for Guardians Appointed by the </w:t>
      </w:r>
      <w:r w:rsidRPr="005F7EAA">
        <w:rPr>
          <w:i/>
        </w:rPr>
        <w:t>Guardianship and Administration Board</w:t>
      </w:r>
      <w:r>
        <w:t xml:space="preserve"> (2017).</w:t>
      </w:r>
    </w:p>
  </w:footnote>
  <w:footnote w:id="761">
    <w:p w14:paraId="0375F86E" w14:textId="1B119B65" w:rsidR="00EE78D8" w:rsidRPr="005F7EAA" w:rsidRDefault="00EE78D8">
      <w:pPr>
        <w:pStyle w:val="FootnoteText"/>
        <w:rPr>
          <w:lang w:val="en-US"/>
        </w:rPr>
      </w:pPr>
      <w:r>
        <w:rPr>
          <w:rStyle w:val="FootnoteReference"/>
        </w:rPr>
        <w:footnoteRef/>
      </w:r>
      <w:r>
        <w:tab/>
        <w:t>Ibid 17.</w:t>
      </w:r>
    </w:p>
  </w:footnote>
  <w:footnote w:id="762">
    <w:p w14:paraId="6454F4F0" w14:textId="1655CEFE" w:rsidR="00EE78D8" w:rsidRPr="005F7EAA" w:rsidRDefault="00EE78D8">
      <w:pPr>
        <w:pStyle w:val="FootnoteText"/>
        <w:rPr>
          <w:lang w:val="en-US"/>
        </w:rPr>
      </w:pPr>
      <w:r>
        <w:rPr>
          <w:rStyle w:val="FootnoteReference"/>
        </w:rPr>
        <w:footnoteRef/>
      </w:r>
      <w:r>
        <w:tab/>
        <w:t>Ibid 23, 25.</w:t>
      </w:r>
    </w:p>
  </w:footnote>
  <w:footnote w:id="763">
    <w:p w14:paraId="56D6754E" w14:textId="0F72FCF7" w:rsidR="00EE78D8" w:rsidRPr="006003F9" w:rsidRDefault="00EE78D8">
      <w:pPr>
        <w:pStyle w:val="FootnoteText"/>
        <w:rPr>
          <w:lang w:val="en-US"/>
        </w:rPr>
      </w:pPr>
      <w:r>
        <w:rPr>
          <w:rStyle w:val="FootnoteReference"/>
        </w:rPr>
        <w:footnoteRef/>
      </w:r>
      <w:r>
        <w:tab/>
        <w:t>Ibid 26.</w:t>
      </w:r>
    </w:p>
  </w:footnote>
  <w:footnote w:id="764">
    <w:p w14:paraId="526A038E" w14:textId="298A401C" w:rsidR="00EE78D8" w:rsidRPr="005F7EAA" w:rsidRDefault="00EE78D8">
      <w:pPr>
        <w:pStyle w:val="FootnoteText"/>
        <w:rPr>
          <w:lang w:val="en-US"/>
        </w:rPr>
      </w:pPr>
      <w:r>
        <w:rPr>
          <w:rStyle w:val="FootnoteReference"/>
        </w:rPr>
        <w:footnoteRef/>
      </w:r>
      <w:r>
        <w:tab/>
      </w:r>
      <w:r>
        <w:rPr>
          <w:i/>
        </w:rPr>
        <w:t xml:space="preserve">Guardianship and Administration Act 1995 </w:t>
      </w:r>
      <w:r>
        <w:t>(Tas) s 20(1).</w:t>
      </w:r>
    </w:p>
  </w:footnote>
  <w:footnote w:id="765">
    <w:p w14:paraId="59E60188" w14:textId="495F4155" w:rsidR="00EE78D8" w:rsidRPr="005F7EAA" w:rsidRDefault="00EE78D8">
      <w:pPr>
        <w:pStyle w:val="FootnoteText"/>
        <w:rPr>
          <w:lang w:val="en-US"/>
        </w:rPr>
      </w:pPr>
      <w:r>
        <w:rPr>
          <w:rStyle w:val="FootnoteReference"/>
        </w:rPr>
        <w:footnoteRef/>
      </w:r>
      <w:r>
        <w:tab/>
      </w:r>
      <w:r w:rsidRPr="003A3E29">
        <w:t>Ibid</w:t>
      </w:r>
      <w:r>
        <w:t xml:space="preserve"> ss 20(2), (3).</w:t>
      </w:r>
    </w:p>
  </w:footnote>
  <w:footnote w:id="766">
    <w:p w14:paraId="6D62A83B" w14:textId="3563BD9C" w:rsidR="00EE78D8" w:rsidRPr="006003F9" w:rsidRDefault="00EE78D8" w:rsidP="009F509B">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xml:space="preserve">, 317. It is noted that the TLRI has recommended a shift to representative decision-making rather than acting in the ‘best interests’ of a person: see TLRI, above n </w:t>
      </w:r>
      <w:r>
        <w:rPr>
          <w:lang w:val="en-US"/>
        </w:rPr>
        <w:fldChar w:fldCharType="begin"/>
      </w:r>
      <w:r>
        <w:rPr>
          <w:lang w:val="en-US"/>
        </w:rPr>
        <w:instrText xml:space="preserve"> NOTEREF _Ref534966370 \h </w:instrText>
      </w:r>
      <w:r>
        <w:rPr>
          <w:lang w:val="en-US"/>
        </w:rPr>
      </w:r>
      <w:r>
        <w:rPr>
          <w:lang w:val="en-US"/>
        </w:rPr>
        <w:fldChar w:fldCharType="separate"/>
      </w:r>
      <w:r w:rsidR="001F209C">
        <w:rPr>
          <w:lang w:val="en-US"/>
        </w:rPr>
        <w:t>7</w:t>
      </w:r>
      <w:r>
        <w:rPr>
          <w:lang w:val="en-US"/>
        </w:rPr>
        <w:fldChar w:fldCharType="end"/>
      </w:r>
      <w:r>
        <w:rPr>
          <w:lang w:val="en-US"/>
        </w:rPr>
        <w:t>, Part 3.</w:t>
      </w:r>
    </w:p>
  </w:footnote>
  <w:footnote w:id="767">
    <w:p w14:paraId="7CDCCC9A" w14:textId="660EE92B" w:rsidR="00EE78D8" w:rsidRPr="006003F9" w:rsidRDefault="00EE78D8" w:rsidP="009F509B">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317.</w:t>
      </w:r>
    </w:p>
  </w:footnote>
  <w:footnote w:id="768">
    <w:p w14:paraId="69891C3D" w14:textId="61D38B77" w:rsidR="00EE78D8" w:rsidRPr="00A807C0" w:rsidRDefault="00EE78D8">
      <w:pPr>
        <w:pStyle w:val="FootnoteText"/>
        <w:rPr>
          <w:lang w:val="en-US"/>
        </w:rPr>
      </w:pPr>
      <w:r>
        <w:rPr>
          <w:rStyle w:val="FootnoteReference"/>
        </w:rPr>
        <w:footnoteRef/>
      </w:r>
      <w:r>
        <w:tab/>
        <w:t xml:space="preserve">Ibid </w:t>
      </w:r>
      <w:r>
        <w:rPr>
          <w:lang w:val="en-US"/>
        </w:rPr>
        <w:t>Part 11.</w:t>
      </w:r>
    </w:p>
  </w:footnote>
  <w:footnote w:id="769">
    <w:p w14:paraId="2576E57B" w14:textId="3FC61E91" w:rsidR="00EE78D8" w:rsidRPr="00524841" w:rsidRDefault="00EE78D8">
      <w:pPr>
        <w:pStyle w:val="FootnoteText"/>
        <w:rPr>
          <w:lang w:val="en-US"/>
        </w:rPr>
      </w:pPr>
      <w:r>
        <w:rPr>
          <w:rStyle w:val="FootnoteReference"/>
        </w:rPr>
        <w:footnoteRef/>
      </w:r>
      <w:r>
        <w:tab/>
      </w:r>
      <w:r>
        <w:rPr>
          <w:lang w:val="en-US"/>
        </w:rPr>
        <w:t>Ibid.</w:t>
      </w:r>
    </w:p>
  </w:footnote>
  <w:footnote w:id="770">
    <w:p w14:paraId="58A863F5" w14:textId="4CCB24B2" w:rsidR="00EE78D8" w:rsidRPr="00712B57"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xml:space="preserve">, 322. </w:t>
      </w:r>
    </w:p>
  </w:footnote>
  <w:footnote w:id="771">
    <w:p w14:paraId="36F29C3F" w14:textId="7ABD52A4" w:rsidR="00EE78D8" w:rsidRPr="00EA2982"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321, 332–333.</w:t>
      </w:r>
    </w:p>
  </w:footnote>
  <w:footnote w:id="772">
    <w:p w14:paraId="39E3E7AD" w14:textId="2E8F77BE" w:rsidR="00EE78D8" w:rsidRPr="00B732A5" w:rsidRDefault="00EE78D8">
      <w:pPr>
        <w:pStyle w:val="FootnoteText"/>
        <w:rPr>
          <w:lang w:val="en-US"/>
        </w:rPr>
      </w:pPr>
      <w:r>
        <w:rPr>
          <w:rStyle w:val="FootnoteReference"/>
        </w:rPr>
        <w:footnoteRef/>
      </w:r>
      <w:r>
        <w:tab/>
      </w:r>
      <w:r>
        <w:rPr>
          <w:lang w:val="en-US"/>
        </w:rPr>
        <w:t xml:space="preserve">Ibid 322. </w:t>
      </w:r>
    </w:p>
  </w:footnote>
  <w:footnote w:id="773">
    <w:p w14:paraId="1E93E76A" w14:textId="50F19069" w:rsidR="00EE78D8" w:rsidRPr="00EA2982" w:rsidRDefault="00EE78D8">
      <w:pPr>
        <w:pStyle w:val="FootnoteText"/>
        <w:rPr>
          <w:lang w:val="en-US"/>
        </w:rPr>
      </w:pPr>
      <w:r>
        <w:rPr>
          <w:rStyle w:val="FootnoteReference"/>
        </w:rPr>
        <w:footnoteRef/>
      </w:r>
      <w:r>
        <w:tab/>
      </w:r>
      <w:r>
        <w:rPr>
          <w:lang w:val="en-US"/>
        </w:rPr>
        <w:t>Ibid 333.</w:t>
      </w:r>
    </w:p>
  </w:footnote>
  <w:footnote w:id="774">
    <w:p w14:paraId="100D833D" w14:textId="5E3DE48F" w:rsidR="00EE78D8" w:rsidRPr="00BA0AFB" w:rsidRDefault="00EE78D8">
      <w:pPr>
        <w:pStyle w:val="FootnoteText"/>
        <w:rPr>
          <w:lang w:val="en-US"/>
        </w:rPr>
      </w:pPr>
      <w:r>
        <w:rPr>
          <w:rStyle w:val="FootnoteReference"/>
        </w:rPr>
        <w:footnoteRef/>
      </w:r>
      <w:r>
        <w:tab/>
      </w:r>
      <w:r>
        <w:rPr>
          <w:lang w:val="en-US"/>
        </w:rPr>
        <w:t>Ibid.</w:t>
      </w:r>
    </w:p>
  </w:footnote>
  <w:footnote w:id="775">
    <w:p w14:paraId="45C1727E" w14:textId="077628AE" w:rsidR="00EE78D8" w:rsidRPr="00BC2C05" w:rsidRDefault="00EE78D8">
      <w:pPr>
        <w:pStyle w:val="FootnoteText"/>
        <w:rPr>
          <w:lang w:val="en-US"/>
        </w:rPr>
      </w:pPr>
      <w:r>
        <w:rPr>
          <w:rStyle w:val="FootnoteReference"/>
        </w:rPr>
        <w:footnoteRef/>
      </w:r>
      <w:r>
        <w:tab/>
      </w:r>
      <w:r>
        <w:rPr>
          <w:lang w:val="en-US"/>
        </w:rPr>
        <w:t>Ibid.</w:t>
      </w:r>
    </w:p>
  </w:footnote>
  <w:footnote w:id="776">
    <w:p w14:paraId="533677D8" w14:textId="5B034FCF" w:rsidR="00EE78D8" w:rsidRPr="00C052E4" w:rsidRDefault="00EE78D8">
      <w:pPr>
        <w:pStyle w:val="FootnoteText"/>
        <w:rPr>
          <w:lang w:val="en-US"/>
        </w:rPr>
      </w:pPr>
      <w:r>
        <w:rPr>
          <w:rStyle w:val="FootnoteReference"/>
        </w:rPr>
        <w:footnoteRef/>
      </w:r>
      <w:r>
        <w:tab/>
        <w:t xml:space="preserve">Ibid </w:t>
      </w:r>
      <w:r>
        <w:rPr>
          <w:lang w:val="en-US"/>
        </w:rPr>
        <w:t>322, 332–333.</w:t>
      </w:r>
    </w:p>
  </w:footnote>
  <w:footnote w:id="777">
    <w:p w14:paraId="634BD588" w14:textId="2F1621CD" w:rsidR="00EE78D8" w:rsidRPr="00F443D8" w:rsidRDefault="00EE78D8">
      <w:pPr>
        <w:pStyle w:val="FootnoteText"/>
        <w:rPr>
          <w:lang w:val="en-US"/>
        </w:rPr>
      </w:pPr>
      <w:r>
        <w:rPr>
          <w:rStyle w:val="FootnoteReference"/>
        </w:rPr>
        <w:footnoteRef/>
      </w:r>
      <w:r>
        <w:tab/>
      </w:r>
      <w:r>
        <w:rPr>
          <w:lang w:val="en-US"/>
        </w:rPr>
        <w:t xml:space="preserve">Committee on the Rights of Persons with Disabilities, above n </w:t>
      </w:r>
      <w:r>
        <w:rPr>
          <w:lang w:val="en-US"/>
        </w:rPr>
        <w:fldChar w:fldCharType="begin"/>
      </w:r>
      <w:r>
        <w:rPr>
          <w:lang w:val="en-US"/>
        </w:rPr>
        <w:instrText xml:space="preserve"> NOTEREF _Ref535748943 \h </w:instrText>
      </w:r>
      <w:r>
        <w:rPr>
          <w:lang w:val="en-US"/>
        </w:rPr>
      </w:r>
      <w:r>
        <w:rPr>
          <w:lang w:val="en-US"/>
        </w:rPr>
        <w:fldChar w:fldCharType="separate"/>
      </w:r>
      <w:r w:rsidR="001F209C">
        <w:rPr>
          <w:lang w:val="en-US"/>
        </w:rPr>
        <w:t>129</w:t>
      </w:r>
      <w:r>
        <w:rPr>
          <w:lang w:val="en-US"/>
        </w:rPr>
        <w:fldChar w:fldCharType="end"/>
      </w:r>
      <w:r>
        <w:rPr>
          <w:lang w:val="en-US"/>
        </w:rPr>
        <w:t xml:space="preserve">, [7] cited in </w:t>
      </w:r>
      <w:r>
        <w:t xml:space="preserve">Gooding et al, above n </w:t>
      </w:r>
      <w:r>
        <w:fldChar w:fldCharType="begin"/>
      </w:r>
      <w:r>
        <w:instrText xml:space="preserve"> NOTEREF _Ref534982760 \h </w:instrText>
      </w:r>
      <w:r>
        <w:fldChar w:fldCharType="separate"/>
      </w:r>
      <w:r w:rsidR="001F209C">
        <w:t>37</w:t>
      </w:r>
      <w:r>
        <w:fldChar w:fldCharType="end"/>
      </w:r>
      <w:r>
        <w:t>,</w:t>
      </w:r>
      <w:r>
        <w:rPr>
          <w:lang w:val="en-US"/>
        </w:rPr>
        <w:t xml:space="preserve"> 834.</w:t>
      </w:r>
    </w:p>
  </w:footnote>
  <w:footnote w:id="778">
    <w:p w14:paraId="4507FC21" w14:textId="5C844232" w:rsidR="00EE78D8" w:rsidRPr="00AF3554" w:rsidRDefault="00EE78D8">
      <w:pPr>
        <w:pStyle w:val="FootnoteText"/>
        <w:rPr>
          <w:lang w:val="en-US"/>
        </w:rPr>
      </w:pPr>
      <w:r>
        <w:rPr>
          <w:rStyle w:val="FootnoteReference"/>
        </w:rPr>
        <w:footnoteRef/>
      </w:r>
      <w:r>
        <w:tab/>
      </w:r>
      <w:r>
        <w:rPr>
          <w:lang w:val="en-US"/>
        </w:rPr>
        <w:t xml:space="preserve">See Sentencing Advisory Council, Tasmania (TSAC), </w:t>
      </w:r>
      <w:r w:rsidRPr="00AF3554">
        <w:rPr>
          <w:i/>
          <w:lang w:val="en-US"/>
        </w:rPr>
        <w:t>Sex Offence Sentencing</w:t>
      </w:r>
      <w:r>
        <w:rPr>
          <w:lang w:val="en-US"/>
        </w:rPr>
        <w:t xml:space="preserve">, Final Report No 4 (2015) 107; TLRI, above n </w:t>
      </w:r>
      <w:r>
        <w:rPr>
          <w:lang w:val="en-US"/>
        </w:rPr>
        <w:fldChar w:fldCharType="begin"/>
      </w:r>
      <w:r>
        <w:rPr>
          <w:lang w:val="en-US"/>
        </w:rPr>
        <w:instrText xml:space="preserve"> NOTEREF _Ref535749202 \h </w:instrText>
      </w:r>
      <w:r>
        <w:rPr>
          <w:lang w:val="en-US"/>
        </w:rPr>
      </w:r>
      <w:r>
        <w:rPr>
          <w:lang w:val="en-US"/>
        </w:rPr>
        <w:fldChar w:fldCharType="separate"/>
      </w:r>
      <w:r w:rsidR="001F209C">
        <w:rPr>
          <w:lang w:val="en-US"/>
        </w:rPr>
        <w:t>96</w:t>
      </w:r>
      <w:r>
        <w:rPr>
          <w:lang w:val="en-US"/>
        </w:rPr>
        <w:fldChar w:fldCharType="end"/>
      </w:r>
      <w:r>
        <w:rPr>
          <w:lang w:val="en-US"/>
        </w:rPr>
        <w:t xml:space="preserve">, 7–9. </w:t>
      </w:r>
    </w:p>
  </w:footnote>
  <w:footnote w:id="779">
    <w:p w14:paraId="49472F17" w14:textId="7CCDC523" w:rsidR="00EE78D8" w:rsidRPr="00B732A5" w:rsidRDefault="00EE78D8" w:rsidP="0092335A">
      <w:pPr>
        <w:pStyle w:val="FootnoteText"/>
      </w:pPr>
      <w:r w:rsidRPr="00914322">
        <w:rPr>
          <w:rStyle w:val="FootnoteReference"/>
        </w:rPr>
        <w:footnoteRef/>
      </w:r>
      <w:r>
        <w:tab/>
      </w:r>
      <w:r>
        <w:rPr>
          <w:lang w:val="en-US"/>
        </w:rPr>
        <w:t xml:space="preserve">TLRI, above n </w:t>
      </w:r>
      <w:r>
        <w:rPr>
          <w:lang w:val="en-US"/>
        </w:rPr>
        <w:fldChar w:fldCharType="begin"/>
      </w:r>
      <w:r>
        <w:rPr>
          <w:lang w:val="en-US"/>
        </w:rPr>
        <w:instrText xml:space="preserve"> NOTEREF _Ref535749202 \h </w:instrText>
      </w:r>
      <w:r>
        <w:rPr>
          <w:lang w:val="en-US"/>
        </w:rPr>
      </w:r>
      <w:r>
        <w:rPr>
          <w:lang w:val="en-US"/>
        </w:rPr>
        <w:fldChar w:fldCharType="separate"/>
      </w:r>
      <w:r w:rsidR="001F209C">
        <w:rPr>
          <w:lang w:val="en-US"/>
        </w:rPr>
        <w:t>96</w:t>
      </w:r>
      <w:r>
        <w:rPr>
          <w:lang w:val="en-US"/>
        </w:rPr>
        <w:fldChar w:fldCharType="end"/>
      </w:r>
      <w:r>
        <w:rPr>
          <w:lang w:val="en-US"/>
        </w:rPr>
        <w:t xml:space="preserve">, </w:t>
      </w:r>
      <w:r w:rsidRPr="0087591B">
        <w:t xml:space="preserve">1–2 citing </w:t>
      </w:r>
      <w:r w:rsidRPr="0087591B">
        <w:rPr>
          <w:i/>
        </w:rPr>
        <w:t>Veen v The Queen</w:t>
      </w:r>
      <w:r w:rsidRPr="0087591B">
        <w:t xml:space="preserve"> (1979) 143 CLR 458, 463–</w:t>
      </w:r>
      <w:r>
        <w:t>46</w:t>
      </w:r>
      <w:r w:rsidRPr="0087591B">
        <w:t xml:space="preserve">5 (Stephen J); </w:t>
      </w:r>
      <w:r w:rsidRPr="0087591B">
        <w:rPr>
          <w:i/>
        </w:rPr>
        <w:t xml:space="preserve">Fardon v Attorney-General </w:t>
      </w:r>
      <w:r w:rsidRPr="0087591B">
        <w:t>(Qld) (2004) 223 CLR 575, 623</w:t>
      </w:r>
      <w:r>
        <w:t xml:space="preserve"> </w:t>
      </w:r>
      <w:r w:rsidRPr="0087591B">
        <w:t xml:space="preserve">[124]–[125] (Kirby J); </w:t>
      </w:r>
      <w:r w:rsidRPr="0087591B">
        <w:rPr>
          <w:i/>
        </w:rPr>
        <w:t xml:space="preserve">McGarry v The Queen </w:t>
      </w:r>
      <w:r w:rsidRPr="00F458CC">
        <w:t>(</w:t>
      </w:r>
      <w:r w:rsidRPr="0087591B">
        <w:t>2001) 207 CLR 121, 141–</w:t>
      </w:r>
      <w:r>
        <w:t>14</w:t>
      </w:r>
      <w:r w:rsidRPr="0087591B">
        <w:t xml:space="preserve">2 [61] (Kirby J); </w:t>
      </w:r>
      <w:r w:rsidRPr="00600DAE">
        <w:rPr>
          <w:i/>
        </w:rPr>
        <w:t>Kable</w:t>
      </w:r>
      <w:r w:rsidRPr="0087591B">
        <w:t xml:space="preserve"> (1996) 189 CLR 51, 122–</w:t>
      </w:r>
      <w:r>
        <w:t>12</w:t>
      </w:r>
      <w:r w:rsidRPr="0087591B">
        <w:t xml:space="preserve">3 (McHugh J); </w:t>
      </w:r>
      <w:r w:rsidRPr="0087591B">
        <w:rPr>
          <w:i/>
        </w:rPr>
        <w:t>Buckley v The Queen</w:t>
      </w:r>
      <w:r w:rsidRPr="0087591B">
        <w:t xml:space="preserve"> (2006) 80 ALJR 605, [7], [21], [43]; </w:t>
      </w:r>
      <w:r w:rsidRPr="0087591B">
        <w:rPr>
          <w:i/>
        </w:rPr>
        <w:t>R v Carr</w:t>
      </w:r>
      <w:r w:rsidRPr="0087591B">
        <w:t xml:space="preserve"> (</w:t>
      </w:r>
      <w:r>
        <w:t xml:space="preserve">1996) 1 VR 585, 592; </w:t>
      </w:r>
      <w:r w:rsidRPr="0087591B">
        <w:rPr>
          <w:i/>
        </w:rPr>
        <w:t>Director of Public Prosecutions (WA) v Mangolamara</w:t>
      </w:r>
      <w:r w:rsidRPr="0087591B">
        <w:t xml:space="preserve"> (2007) 169 Crim R 379, [165] (Hasluck J); </w:t>
      </w:r>
      <w:r w:rsidRPr="0087591B">
        <w:rPr>
          <w:i/>
        </w:rPr>
        <w:t>Director of Public Prosecutions (WA) v GTR</w:t>
      </w:r>
      <w:r w:rsidRPr="0087591B">
        <w:t xml:space="preserve"> [2007] WASC 318, [112] (McKechnie J); </w:t>
      </w:r>
      <w:r w:rsidRPr="0087591B">
        <w:rPr>
          <w:i/>
        </w:rPr>
        <w:t>Director of Public Prosecutions (WA) v Comeagain</w:t>
      </w:r>
      <w:r w:rsidRPr="0087591B">
        <w:t xml:space="preserve"> [2008] WASC</w:t>
      </w:r>
      <w:r>
        <w:t xml:space="preserve"> </w:t>
      </w:r>
      <w:r w:rsidRPr="0087591B">
        <w:t xml:space="preserve">235, [20] (McKechnie J); </w:t>
      </w:r>
      <w:r w:rsidRPr="0087591B">
        <w:rPr>
          <w:i/>
        </w:rPr>
        <w:t>DPP v McIntosh</w:t>
      </w:r>
      <w:r w:rsidRPr="0087591B">
        <w:t xml:space="preserve"> [2013] TASSC 21, [50] (Wood J); Bernadette McSherry, ‘Throwing Away the</w:t>
      </w:r>
      <w:r>
        <w:t xml:space="preserve"> </w:t>
      </w:r>
      <w:r w:rsidRPr="0087591B">
        <w:t>Key: Th</w:t>
      </w:r>
      <w:r>
        <w:t xml:space="preserve">e Ethics of Risk Assessment for </w:t>
      </w:r>
      <w:r w:rsidRPr="0087591B">
        <w:t xml:space="preserve">Preventative Detention Schemes’ (2014) 21(5) </w:t>
      </w:r>
      <w:r w:rsidRPr="0087591B">
        <w:rPr>
          <w:i/>
        </w:rPr>
        <w:t>Psychiatry, Psychology and Law</w:t>
      </w:r>
      <w:r>
        <w:t xml:space="preserve"> </w:t>
      </w:r>
      <w:r w:rsidRPr="0087591B">
        <w:t>779; David Ruschena, ‘Determining Dangerousness: Whatever Happened to the Rules of Evidence?’ (2003) 10(1)</w:t>
      </w:r>
      <w:r>
        <w:t xml:space="preserve"> </w:t>
      </w:r>
      <w:r w:rsidRPr="0087591B">
        <w:rPr>
          <w:i/>
        </w:rPr>
        <w:t xml:space="preserve">Psychiatry, Psychology and Law </w:t>
      </w:r>
      <w:r w:rsidRPr="0087591B">
        <w:t>122; Jessica Black, ‘Is the Preventative Detention of Dangerous Offenders Justifiable?’</w:t>
      </w:r>
      <w:r>
        <w:t xml:space="preserve"> </w:t>
      </w:r>
      <w:r w:rsidRPr="0087591B">
        <w:t xml:space="preserve">(2011) 6(3) </w:t>
      </w:r>
      <w:r w:rsidRPr="0087591B">
        <w:rPr>
          <w:i/>
        </w:rPr>
        <w:t>Journal of Applied Security Research</w:t>
      </w:r>
      <w:r w:rsidRPr="0087591B">
        <w:t xml:space="preserve"> 317; Russ Scott, ‘Risk Assessment and Sentencing of Serious Sex</w:t>
      </w:r>
      <w:r>
        <w:t xml:space="preserve"> </w:t>
      </w:r>
      <w:r w:rsidRPr="0087591B">
        <w:t xml:space="preserve">Offenders’ (2008) 15(2) </w:t>
      </w:r>
      <w:r w:rsidRPr="0087591B">
        <w:rPr>
          <w:i/>
        </w:rPr>
        <w:t>Psychiatry, Psychology and Law</w:t>
      </w:r>
      <w:r w:rsidRPr="0087591B">
        <w:t xml:space="preserve"> 188; Stephen J Morse, ‘Preventative Confinement of Dangerous</w:t>
      </w:r>
      <w:r>
        <w:t xml:space="preserve"> </w:t>
      </w:r>
      <w:r w:rsidRPr="0087591B">
        <w:t xml:space="preserve">Offenders’ (2004) 32 </w:t>
      </w:r>
      <w:r w:rsidRPr="0087591B">
        <w:rPr>
          <w:i/>
        </w:rPr>
        <w:t xml:space="preserve">Journal of Law, Medicine </w:t>
      </w:r>
      <w:r>
        <w:rPr>
          <w:i/>
        </w:rPr>
        <w:t xml:space="preserve">and </w:t>
      </w:r>
      <w:r w:rsidRPr="0087591B">
        <w:rPr>
          <w:i/>
        </w:rPr>
        <w:t>Ethics</w:t>
      </w:r>
      <w:r w:rsidRPr="0087591B">
        <w:t xml:space="preserve"> 56; Susan Dimock, ‘Criminalizing Dangerousness: How to</w:t>
      </w:r>
      <w:r>
        <w:t xml:space="preserve"> </w:t>
      </w:r>
      <w:r w:rsidRPr="0087591B">
        <w:t xml:space="preserve">Preventatively Detain Dangerous Offenders’ (2015) 9 </w:t>
      </w:r>
      <w:r w:rsidRPr="0087591B">
        <w:rPr>
          <w:i/>
        </w:rPr>
        <w:t>Criminal Law and Philosophy</w:t>
      </w:r>
      <w:r w:rsidRPr="0087591B">
        <w:t xml:space="preserve"> 537; Kate Warner, ‘Sentencing</w:t>
      </w:r>
      <w:r>
        <w:t xml:space="preserve"> </w:t>
      </w:r>
      <w:r w:rsidRPr="0087591B">
        <w:t>Review 2002</w:t>
      </w:r>
      <w:r>
        <w:t>–</w:t>
      </w:r>
      <w:r w:rsidRPr="0087591B">
        <w:t xml:space="preserve">2003’ (2003) 27 </w:t>
      </w:r>
      <w:r w:rsidRPr="0087591B">
        <w:rPr>
          <w:i/>
        </w:rPr>
        <w:t>Criminal Law Journal</w:t>
      </w:r>
      <w:r w:rsidRPr="0087591B">
        <w:t xml:space="preserve"> 325; Charles Ewing, ‘Preventative Detention and Execution: The</w:t>
      </w:r>
      <w:r>
        <w:t xml:space="preserve"> </w:t>
      </w:r>
      <w:r w:rsidRPr="0087591B">
        <w:t xml:space="preserve">Constitutionality of Punishing Future Crimes’ (1991) 15 </w:t>
      </w:r>
      <w:r w:rsidRPr="0087591B">
        <w:rPr>
          <w:i/>
        </w:rPr>
        <w:t>Law and Human Behavior</w:t>
      </w:r>
      <w:r w:rsidRPr="0087591B">
        <w:t xml:space="preserve"> 139; Tamara Tulich, ‘Post-Sentence</w:t>
      </w:r>
      <w:r>
        <w:t xml:space="preserve"> </w:t>
      </w:r>
      <w:r w:rsidRPr="0087591B">
        <w:t xml:space="preserve">Preventive Detention and Extended Supervision of High Risk Offenders in New South Wales’ (2015) 38(2) </w:t>
      </w:r>
      <w:r w:rsidRPr="0087591B">
        <w:rPr>
          <w:i/>
        </w:rPr>
        <w:t>University of</w:t>
      </w:r>
      <w:r w:rsidRPr="0027709F">
        <w:rPr>
          <w:i/>
        </w:rPr>
        <w:t xml:space="preserve"> </w:t>
      </w:r>
      <w:r w:rsidRPr="0087591B">
        <w:rPr>
          <w:i/>
        </w:rPr>
        <w:t>New South Wales Law Journ</w:t>
      </w:r>
      <w:r w:rsidRPr="0027709F">
        <w:rPr>
          <w:i/>
        </w:rPr>
        <w:t>al</w:t>
      </w:r>
      <w:r>
        <w:t xml:space="preserve"> 823; Geraldine Mackenzie and </w:t>
      </w:r>
      <w:r w:rsidRPr="0087591B">
        <w:t xml:space="preserve">Nigel Stobbs, </w:t>
      </w:r>
      <w:r w:rsidRPr="0087591B">
        <w:rPr>
          <w:i/>
        </w:rPr>
        <w:t>Principles of Sentencing</w:t>
      </w:r>
      <w:r w:rsidRPr="0087591B">
        <w:t xml:space="preserve"> (Federation Press,</w:t>
      </w:r>
      <w:r>
        <w:t xml:space="preserve"> </w:t>
      </w:r>
      <w:r w:rsidRPr="0087591B">
        <w:t>2010) 201.</w:t>
      </w:r>
    </w:p>
  </w:footnote>
  <w:footnote w:id="780">
    <w:p w14:paraId="3D246539" w14:textId="068718D5" w:rsidR="00EE78D8" w:rsidRPr="00B732A5"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320–321, 332.</w:t>
      </w:r>
    </w:p>
  </w:footnote>
  <w:footnote w:id="781">
    <w:p w14:paraId="006E84C9" w14:textId="46548B13" w:rsidR="00EE78D8" w:rsidRPr="00467274" w:rsidRDefault="00EE78D8">
      <w:pPr>
        <w:pStyle w:val="FootnoteText"/>
        <w:rPr>
          <w:lang w:val="en-US"/>
        </w:rPr>
      </w:pPr>
      <w:r>
        <w:rPr>
          <w:rStyle w:val="FootnoteReference"/>
        </w:rPr>
        <w:footnoteRef/>
      </w:r>
      <w:r>
        <w:tab/>
      </w:r>
      <w:r>
        <w:rPr>
          <w:lang w:val="en-US"/>
        </w:rPr>
        <w:t>This information set out in ibid 323–333.</w:t>
      </w:r>
    </w:p>
  </w:footnote>
  <w:footnote w:id="782">
    <w:p w14:paraId="7DC3B76F" w14:textId="06C7729E" w:rsidR="00EE78D8" w:rsidRPr="009D5213" w:rsidRDefault="00EE78D8">
      <w:pPr>
        <w:pStyle w:val="FootnoteText"/>
        <w:rPr>
          <w:lang w:val="en-US"/>
        </w:rPr>
      </w:pPr>
      <w:r>
        <w:rPr>
          <w:rStyle w:val="FootnoteReference"/>
        </w:rPr>
        <w:footnoteRef/>
      </w:r>
      <w:r>
        <w:tab/>
      </w:r>
      <w:r>
        <w:rPr>
          <w:lang w:val="en-US"/>
        </w:rPr>
        <w:t xml:space="preserve">For example, the </w:t>
      </w:r>
      <w:r>
        <w:rPr>
          <w:i/>
          <w:lang w:val="en-US"/>
        </w:rPr>
        <w:t xml:space="preserve">Disability Act 2006 </w:t>
      </w:r>
      <w:r>
        <w:rPr>
          <w:lang w:val="en-US"/>
        </w:rPr>
        <w:t>(Vic).</w:t>
      </w:r>
    </w:p>
  </w:footnote>
  <w:footnote w:id="783">
    <w:p w14:paraId="7ACC46A8" w14:textId="5EBD9FF0" w:rsidR="00EE78D8" w:rsidRPr="000B279C" w:rsidRDefault="00EE78D8">
      <w:pPr>
        <w:pStyle w:val="FootnoteText"/>
        <w:rPr>
          <w:lang w:val="en-US"/>
        </w:rPr>
      </w:pPr>
      <w:r>
        <w:rPr>
          <w:rStyle w:val="FootnoteReference"/>
        </w:rPr>
        <w:footnoteRef/>
      </w:r>
      <w:r>
        <w:tab/>
        <w:t xml:space="preserve">NSWLRC, above n </w:t>
      </w:r>
      <w:r>
        <w:fldChar w:fldCharType="begin"/>
      </w:r>
      <w:r>
        <w:instrText xml:space="preserve"> NOTEREF _Ref534982374 \h </w:instrText>
      </w:r>
      <w:r>
        <w:fldChar w:fldCharType="separate"/>
      </w:r>
      <w:r w:rsidR="001F209C">
        <w:t>55</w:t>
      </w:r>
      <w:r>
        <w:fldChar w:fldCharType="end"/>
      </w:r>
      <w:r>
        <w:t>, 334.</w:t>
      </w:r>
    </w:p>
  </w:footnote>
  <w:footnote w:id="784">
    <w:p w14:paraId="2AD0B1EB" w14:textId="34683A95" w:rsidR="00EE78D8" w:rsidRPr="00446A5B" w:rsidRDefault="00EE78D8">
      <w:pPr>
        <w:pStyle w:val="FootnoteText"/>
        <w:rPr>
          <w:lang w:val="en-US"/>
        </w:rPr>
      </w:pPr>
      <w:r>
        <w:rPr>
          <w:rStyle w:val="FootnoteReference"/>
        </w:rPr>
        <w:footnoteRef/>
      </w:r>
      <w:r>
        <w:tab/>
      </w:r>
      <w:r>
        <w:rPr>
          <w:lang w:val="en-US"/>
        </w:rPr>
        <w:t xml:space="preserve">Ibid 334–335; </w:t>
      </w:r>
      <w:r>
        <w:rPr>
          <w:i/>
          <w:lang w:val="en-US"/>
        </w:rPr>
        <w:t xml:space="preserve">Mental Health (Forensic Provisions) Act 1990 </w:t>
      </w:r>
      <w:r>
        <w:rPr>
          <w:lang w:val="en-US"/>
        </w:rPr>
        <w:t>(NSW) sch 1 div 2 cl 7.</w:t>
      </w:r>
    </w:p>
  </w:footnote>
  <w:footnote w:id="785">
    <w:p w14:paraId="2D2BF874" w14:textId="3C9627E8" w:rsidR="00EE78D8" w:rsidRPr="00FD4EF9" w:rsidRDefault="00EE78D8" w:rsidP="00A429D1">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173.</w:t>
      </w:r>
    </w:p>
  </w:footnote>
  <w:footnote w:id="786">
    <w:p w14:paraId="0AE738EF" w14:textId="10DDCED1" w:rsidR="00EE78D8" w:rsidRPr="00015534" w:rsidRDefault="00EE78D8" w:rsidP="00A429D1">
      <w:pPr>
        <w:pStyle w:val="FootnoteText"/>
        <w:rPr>
          <w:lang w:val="en-US"/>
        </w:rPr>
      </w:pPr>
      <w:r>
        <w:rPr>
          <w:rStyle w:val="FootnoteReference"/>
        </w:rPr>
        <w:footnoteRef/>
      </w:r>
      <w:r>
        <w:tab/>
        <w:t xml:space="preserve">NSWLRC, above n </w:t>
      </w:r>
      <w:r>
        <w:fldChar w:fldCharType="begin"/>
      </w:r>
      <w:r>
        <w:instrText xml:space="preserve"> NOTEREF _Ref535692565 \h </w:instrText>
      </w:r>
      <w:r>
        <w:fldChar w:fldCharType="separate"/>
      </w:r>
      <w:r w:rsidR="001F209C">
        <w:t>446</w:t>
      </w:r>
      <w:r>
        <w:fldChar w:fldCharType="end"/>
      </w:r>
      <w:r>
        <w:t xml:space="preserve">, </w:t>
      </w:r>
      <w:r>
        <w:rPr>
          <w:lang w:val="en-US"/>
        </w:rPr>
        <w:t>220.</w:t>
      </w:r>
    </w:p>
  </w:footnote>
  <w:footnote w:id="787">
    <w:p w14:paraId="0657FD68" w14:textId="37F1A39A" w:rsidR="00EE78D8" w:rsidRPr="00B41D72" w:rsidRDefault="00EE78D8">
      <w:pPr>
        <w:pStyle w:val="FootnoteText"/>
        <w:rPr>
          <w:lang w:val="en-US"/>
        </w:rPr>
      </w:pPr>
      <w:r>
        <w:rPr>
          <w:rStyle w:val="FootnoteReference"/>
        </w:rPr>
        <w:footnoteRef/>
      </w:r>
      <w:r>
        <w:tab/>
      </w:r>
      <w:r>
        <w:rPr>
          <w:lang w:val="en-US"/>
        </w:rPr>
        <w:t xml:space="preserve">See </w:t>
      </w:r>
      <w:r>
        <w:t>NSWLRC</w:t>
      </w:r>
      <w:r>
        <w:rPr>
          <w:lang w:val="en-US"/>
        </w:rPr>
        <w:t xml:space="preserve">,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172–178, 180.</w:t>
      </w:r>
    </w:p>
  </w:footnote>
  <w:footnote w:id="788">
    <w:p w14:paraId="3C874618" w14:textId="3BA9C25D" w:rsidR="00EE78D8" w:rsidRPr="00476214" w:rsidRDefault="00EE78D8">
      <w:pPr>
        <w:pStyle w:val="FootnoteText"/>
        <w:rPr>
          <w:lang w:val="en-US"/>
        </w:rPr>
      </w:pPr>
      <w:r>
        <w:rPr>
          <w:rStyle w:val="FootnoteReference"/>
        </w:rPr>
        <w:footnoteRef/>
      </w:r>
      <w:r>
        <w:tab/>
      </w:r>
      <w:r>
        <w:rPr>
          <w:lang w:val="en-US"/>
        </w:rPr>
        <w:t xml:space="preserve">Hunyor, above n </w:t>
      </w:r>
      <w:r>
        <w:rPr>
          <w:lang w:val="en-US"/>
        </w:rPr>
        <w:fldChar w:fldCharType="begin"/>
      </w:r>
      <w:r>
        <w:rPr>
          <w:lang w:val="en-US"/>
        </w:rPr>
        <w:instrText xml:space="preserve"> NOTEREF _Ref535752582 \h </w:instrText>
      </w:r>
      <w:r>
        <w:rPr>
          <w:lang w:val="en-US"/>
        </w:rPr>
      </w:r>
      <w:r>
        <w:rPr>
          <w:lang w:val="en-US"/>
        </w:rPr>
        <w:fldChar w:fldCharType="separate"/>
      </w:r>
      <w:r w:rsidR="001F209C">
        <w:rPr>
          <w:lang w:val="en-US"/>
        </w:rPr>
        <w:t>730</w:t>
      </w:r>
      <w:r>
        <w:rPr>
          <w:lang w:val="en-US"/>
        </w:rPr>
        <w:fldChar w:fldCharType="end"/>
      </w:r>
      <w:r>
        <w:rPr>
          <w:lang w:val="en-US"/>
        </w:rPr>
        <w:t>, 13.</w:t>
      </w:r>
    </w:p>
  </w:footnote>
  <w:footnote w:id="789">
    <w:p w14:paraId="7E95B670" w14:textId="4F0BF643" w:rsidR="00EE78D8" w:rsidRPr="009842E0" w:rsidRDefault="00EE78D8">
      <w:pPr>
        <w:pStyle w:val="FootnoteText"/>
        <w:rPr>
          <w:lang w:val="en-US"/>
        </w:rPr>
      </w:pPr>
      <w:r>
        <w:rPr>
          <w:rStyle w:val="FootnoteReference"/>
        </w:rPr>
        <w:footnoteRef/>
      </w:r>
      <w:r>
        <w:tab/>
      </w:r>
      <w:r>
        <w:rPr>
          <w:lang w:val="en-US"/>
        </w:rPr>
        <w:t xml:space="preserve">A Freiberg, ‘The Disposition of Mentally Disordered Offenders in Australia: “Out of Mind, Out of Sight” Revisited’ (1994) 1 </w:t>
      </w:r>
      <w:r>
        <w:rPr>
          <w:i/>
          <w:lang w:val="en-US"/>
        </w:rPr>
        <w:t xml:space="preserve">Psychiatry, Psychology and the Law </w:t>
      </w:r>
      <w:r>
        <w:rPr>
          <w:lang w:val="en-US"/>
        </w:rPr>
        <w:t>97, 105.</w:t>
      </w:r>
    </w:p>
  </w:footnote>
  <w:footnote w:id="790">
    <w:p w14:paraId="635090E9" w14:textId="25916732" w:rsidR="00EE78D8" w:rsidRPr="0018555A" w:rsidRDefault="00EE78D8">
      <w:pPr>
        <w:pStyle w:val="FootnoteText"/>
        <w:rPr>
          <w:lang w:val="en-US"/>
        </w:rPr>
      </w:pPr>
      <w:r>
        <w:rPr>
          <w:rStyle w:val="FootnoteReference"/>
        </w:rPr>
        <w:footnoteRef/>
      </w:r>
      <w:r>
        <w:tab/>
      </w:r>
      <w:r>
        <w:rPr>
          <w:lang w:val="en-US"/>
        </w:rPr>
        <w:t xml:space="preserve">For example, in New Zealand, the limiting term is 10 years from the date of making the order if the offence is punishable by life imprisonment, or otherwise half the maximum term of imprisonment for the offence, </w:t>
      </w:r>
      <w:r>
        <w:rPr>
          <w:i/>
          <w:lang w:val="en-US"/>
        </w:rPr>
        <w:t xml:space="preserve">Criminal Procedure (Mentally Impaired Person) Act 2003 </w:t>
      </w:r>
      <w:r>
        <w:rPr>
          <w:lang w:val="en-US"/>
        </w:rPr>
        <w:t xml:space="preserve">(NZ) ss 30(1)–(2) (unfit only as people found not guilty by reason of insanity are subject to an indefinite order: s 33). In Victoria, legislation sets the nominal term for offences based on the maximum term for the offence: see </w:t>
      </w:r>
      <w:r w:rsidRPr="00E4510B">
        <w:rPr>
          <w:lang w:val="en-US"/>
        </w:rPr>
        <w:t>Appendix 3.</w:t>
      </w:r>
    </w:p>
  </w:footnote>
  <w:footnote w:id="791">
    <w:p w14:paraId="5060B8D8" w14:textId="58899F2D" w:rsidR="00EE78D8" w:rsidRPr="00D11568" w:rsidRDefault="00EE78D8">
      <w:pPr>
        <w:pStyle w:val="FootnoteText"/>
        <w:rPr>
          <w:lang w:val="en-US"/>
        </w:rPr>
      </w:pPr>
      <w:r>
        <w:rPr>
          <w:rStyle w:val="FootnoteReference"/>
        </w:rPr>
        <w:footnoteRef/>
      </w:r>
      <w:r>
        <w:tab/>
      </w:r>
      <w:r>
        <w:rPr>
          <w:lang w:val="en-US"/>
        </w:rPr>
        <w:t xml:space="preserve">Hunyor, above n </w:t>
      </w:r>
      <w:r>
        <w:rPr>
          <w:lang w:val="en-US"/>
        </w:rPr>
        <w:fldChar w:fldCharType="begin"/>
      </w:r>
      <w:r>
        <w:rPr>
          <w:lang w:val="en-US"/>
        </w:rPr>
        <w:instrText xml:space="preserve"> NOTEREF _Ref535752582 \h </w:instrText>
      </w:r>
      <w:r>
        <w:rPr>
          <w:lang w:val="en-US"/>
        </w:rPr>
      </w:r>
      <w:r>
        <w:rPr>
          <w:lang w:val="en-US"/>
        </w:rPr>
        <w:fldChar w:fldCharType="separate"/>
      </w:r>
      <w:r w:rsidR="001F209C">
        <w:rPr>
          <w:lang w:val="en-US"/>
        </w:rPr>
        <w:t>730</w:t>
      </w:r>
      <w:r>
        <w:rPr>
          <w:lang w:val="en-US"/>
        </w:rPr>
        <w:fldChar w:fldCharType="end"/>
      </w:r>
      <w:r>
        <w:rPr>
          <w:lang w:val="en-US"/>
        </w:rPr>
        <w:t>, 20.</w:t>
      </w:r>
    </w:p>
  </w:footnote>
  <w:footnote w:id="792">
    <w:p w14:paraId="4748764A" w14:textId="191C1326" w:rsidR="00EE78D8" w:rsidRPr="00015534" w:rsidRDefault="00EE78D8" w:rsidP="0066462D">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180.</w:t>
      </w:r>
    </w:p>
  </w:footnote>
  <w:footnote w:id="793">
    <w:p w14:paraId="3420E817" w14:textId="31918598" w:rsidR="00EE78D8" w:rsidRPr="00956251" w:rsidRDefault="00EE78D8">
      <w:pPr>
        <w:pStyle w:val="FootnoteText"/>
        <w:rPr>
          <w:lang w:val="en-US"/>
        </w:rPr>
      </w:pPr>
      <w:r>
        <w:rPr>
          <w:rStyle w:val="FootnoteReference"/>
        </w:rPr>
        <w:footnoteRef/>
      </w:r>
      <w:r>
        <w:tab/>
        <w:t>See [8.3.6].</w:t>
      </w:r>
    </w:p>
  </w:footnote>
  <w:footnote w:id="794">
    <w:p w14:paraId="554545EF" w14:textId="41518931" w:rsidR="00EE78D8" w:rsidRPr="003B34F1" w:rsidRDefault="00EE78D8">
      <w:pPr>
        <w:pStyle w:val="FootnoteText"/>
        <w:rPr>
          <w:lang w:val="en-US"/>
        </w:rPr>
      </w:pPr>
      <w:r>
        <w:rPr>
          <w:rStyle w:val="FootnoteReference"/>
        </w:rPr>
        <w:footnoteRef/>
      </w:r>
      <w:r>
        <w:tab/>
        <w:t xml:space="preserve">Office of the Anti-Discrimination Commissioner, </w:t>
      </w:r>
      <w:r>
        <w:rPr>
          <w:lang w:val="en-US"/>
        </w:rPr>
        <w:t xml:space="preserve">above n </w:t>
      </w:r>
      <w:r>
        <w:rPr>
          <w:lang w:val="en-US"/>
        </w:rPr>
        <w:fldChar w:fldCharType="begin"/>
      </w:r>
      <w:r>
        <w:rPr>
          <w:lang w:val="en-US"/>
        </w:rPr>
        <w:instrText xml:space="preserve"> NOTEREF _Ref535753746 \h </w:instrText>
      </w:r>
      <w:r>
        <w:rPr>
          <w:lang w:val="en-US"/>
        </w:rPr>
      </w:r>
      <w:r>
        <w:rPr>
          <w:lang w:val="en-US"/>
        </w:rPr>
        <w:fldChar w:fldCharType="separate"/>
      </w:r>
      <w:r w:rsidR="001F209C">
        <w:rPr>
          <w:lang w:val="en-US"/>
        </w:rPr>
        <w:t>723</w:t>
      </w:r>
      <w:r>
        <w:rPr>
          <w:lang w:val="en-US"/>
        </w:rPr>
        <w:fldChar w:fldCharType="end"/>
      </w:r>
      <w:r>
        <w:rPr>
          <w:lang w:val="en-US"/>
        </w:rPr>
        <w:t xml:space="preserve">, </w:t>
      </w:r>
      <w:r>
        <w:t xml:space="preserve">44; Smith, </w:t>
      </w:r>
      <w:r>
        <w:rPr>
          <w:lang w:val="en-US"/>
        </w:rPr>
        <w:t xml:space="preserve">above n </w:t>
      </w:r>
      <w:r>
        <w:rPr>
          <w:lang w:val="en-US"/>
        </w:rPr>
        <w:fldChar w:fldCharType="begin"/>
      </w:r>
      <w:r>
        <w:rPr>
          <w:lang w:val="en-US"/>
        </w:rPr>
        <w:instrText xml:space="preserve"> NOTEREF _Ref535661080 \h </w:instrText>
      </w:r>
      <w:r>
        <w:rPr>
          <w:lang w:val="en-US"/>
        </w:rPr>
      </w:r>
      <w:r>
        <w:rPr>
          <w:lang w:val="en-US"/>
        </w:rPr>
        <w:fldChar w:fldCharType="separate"/>
      </w:r>
      <w:r w:rsidR="001F209C">
        <w:rPr>
          <w:lang w:val="en-US"/>
        </w:rPr>
        <w:t>30</w:t>
      </w:r>
      <w:r>
        <w:rPr>
          <w:lang w:val="en-US"/>
        </w:rPr>
        <w:fldChar w:fldCharType="end"/>
      </w:r>
      <w:r>
        <w:rPr>
          <w:lang w:val="en-US"/>
        </w:rPr>
        <w:t>,</w:t>
      </w:r>
      <w:r>
        <w:t xml:space="preserve"> 24.</w:t>
      </w:r>
    </w:p>
  </w:footnote>
  <w:footnote w:id="795">
    <w:p w14:paraId="0E3FE84F" w14:textId="21BA10F6" w:rsidR="00EE78D8" w:rsidRPr="003B34F1" w:rsidRDefault="00EE78D8">
      <w:pPr>
        <w:pStyle w:val="FootnoteText"/>
        <w:rPr>
          <w:lang w:val="en-US"/>
        </w:rPr>
      </w:pPr>
      <w:r>
        <w:rPr>
          <w:rStyle w:val="FootnoteReference"/>
        </w:rPr>
        <w:footnoteRef/>
      </w:r>
      <w:r>
        <w:tab/>
      </w:r>
      <w:r>
        <w:rPr>
          <w:lang w:val="en-US"/>
        </w:rPr>
        <w:t>Smith,</w:t>
      </w:r>
      <w:r w:rsidRPr="00704783">
        <w:rPr>
          <w:lang w:val="en-US"/>
        </w:rPr>
        <w:t xml:space="preserve"> </w:t>
      </w:r>
      <w:r>
        <w:rPr>
          <w:lang w:val="en-US"/>
        </w:rPr>
        <w:t xml:space="preserve">above n </w:t>
      </w:r>
      <w:r>
        <w:rPr>
          <w:lang w:val="en-US"/>
        </w:rPr>
        <w:fldChar w:fldCharType="begin"/>
      </w:r>
      <w:r>
        <w:rPr>
          <w:lang w:val="en-US"/>
        </w:rPr>
        <w:instrText xml:space="preserve"> NOTEREF _Ref535661080 \h </w:instrText>
      </w:r>
      <w:r>
        <w:rPr>
          <w:lang w:val="en-US"/>
        </w:rPr>
      </w:r>
      <w:r>
        <w:rPr>
          <w:lang w:val="en-US"/>
        </w:rPr>
        <w:fldChar w:fldCharType="separate"/>
      </w:r>
      <w:r w:rsidR="001F209C">
        <w:rPr>
          <w:lang w:val="en-US"/>
        </w:rPr>
        <w:t>30</w:t>
      </w:r>
      <w:r>
        <w:rPr>
          <w:lang w:val="en-US"/>
        </w:rPr>
        <w:fldChar w:fldCharType="end"/>
      </w:r>
      <w:r>
        <w:rPr>
          <w:lang w:val="en-US"/>
        </w:rPr>
        <w:t>, 24.</w:t>
      </w:r>
    </w:p>
  </w:footnote>
  <w:footnote w:id="796">
    <w:p w14:paraId="47971748" w14:textId="143A4F2D" w:rsidR="00EE78D8" w:rsidRPr="00290056" w:rsidRDefault="00EE78D8" w:rsidP="00435E77">
      <w:pPr>
        <w:pStyle w:val="FootnoteText"/>
        <w:rPr>
          <w:lang w:val="en-US"/>
        </w:rPr>
      </w:pPr>
      <w:r>
        <w:rPr>
          <w:rStyle w:val="FootnoteReference"/>
        </w:rPr>
        <w:footnoteRef/>
      </w:r>
      <w:r>
        <w:tab/>
        <w:t xml:space="preserve">Ibid </w:t>
      </w:r>
      <w:r>
        <w:rPr>
          <w:lang w:val="en-US"/>
        </w:rPr>
        <w:t>45.</w:t>
      </w:r>
    </w:p>
  </w:footnote>
  <w:footnote w:id="797">
    <w:p w14:paraId="245FDB3F" w14:textId="022B0C40" w:rsidR="00EE78D8" w:rsidRPr="00336C79" w:rsidRDefault="00EE78D8">
      <w:pPr>
        <w:pStyle w:val="FootnoteText"/>
        <w:rPr>
          <w:lang w:val="en-US"/>
        </w:rPr>
      </w:pPr>
      <w:r>
        <w:rPr>
          <w:rStyle w:val="FootnoteReference"/>
        </w:rPr>
        <w:footnoteRef/>
      </w:r>
      <w:r>
        <w:tab/>
        <w:t xml:space="preserve">Ibid </w:t>
      </w:r>
      <w:r>
        <w:rPr>
          <w:lang w:val="en-US"/>
        </w:rPr>
        <w:t>25.</w:t>
      </w:r>
    </w:p>
  </w:footnote>
  <w:footnote w:id="798">
    <w:p w14:paraId="4ED78BB0" w14:textId="6DB0D606" w:rsidR="00EE78D8" w:rsidRPr="00F211F5" w:rsidRDefault="00EE78D8">
      <w:pPr>
        <w:pStyle w:val="FootnoteText"/>
        <w:rPr>
          <w:lang w:val="en-US"/>
        </w:rPr>
      </w:pPr>
      <w:r>
        <w:rPr>
          <w:rStyle w:val="FootnoteReference"/>
        </w:rPr>
        <w:footnoteRef/>
      </w:r>
      <w:r>
        <w:tab/>
      </w:r>
      <w:r>
        <w:rPr>
          <w:lang w:val="en-US"/>
        </w:rPr>
        <w:t xml:space="preserve">Ibid. </w:t>
      </w:r>
    </w:p>
  </w:footnote>
  <w:footnote w:id="799">
    <w:p w14:paraId="5693D1E9" w14:textId="340F98EB" w:rsidR="00EE78D8" w:rsidRPr="00F211F5" w:rsidRDefault="00EE78D8">
      <w:pPr>
        <w:pStyle w:val="FootnoteText"/>
        <w:rPr>
          <w:lang w:val="en-US"/>
        </w:rPr>
      </w:pPr>
      <w:r>
        <w:rPr>
          <w:rStyle w:val="FootnoteReference"/>
        </w:rPr>
        <w:footnoteRef/>
      </w:r>
      <w:r>
        <w:tab/>
        <w:t>Ibid</w:t>
      </w:r>
      <w:r>
        <w:rPr>
          <w:lang w:val="en-US"/>
        </w:rPr>
        <w:t>.</w:t>
      </w:r>
    </w:p>
  </w:footnote>
  <w:footnote w:id="800">
    <w:p w14:paraId="2DEC41C7" w14:textId="229CF750" w:rsidR="00EE78D8" w:rsidRPr="00154BA5"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xml:space="preserve">, 344. See </w:t>
      </w:r>
      <w:r w:rsidRPr="00B93A98">
        <w:rPr>
          <w:lang w:val="en-US"/>
        </w:rPr>
        <w:t>also J Ruffles,</w:t>
      </w:r>
      <w:r>
        <w:rPr>
          <w:lang w:val="en-US"/>
        </w:rPr>
        <w:t xml:space="preserve"> </w:t>
      </w:r>
      <w:r>
        <w:rPr>
          <w:i/>
          <w:lang w:val="en-US"/>
        </w:rPr>
        <w:t xml:space="preserve">The Management of Forensic Patients in Victoria: The More Things Change, the More They Remain the Same </w:t>
      </w:r>
      <w:r>
        <w:rPr>
          <w:lang w:val="en-US"/>
        </w:rPr>
        <w:t>(PhD thesis, unpublished Monash University 2010) 175–178.</w:t>
      </w:r>
    </w:p>
  </w:footnote>
  <w:footnote w:id="801">
    <w:p w14:paraId="52C20F16" w14:textId="77EEC67D" w:rsidR="00EE78D8" w:rsidRPr="00154BA5" w:rsidRDefault="00EE78D8">
      <w:pPr>
        <w:pStyle w:val="FootnoteText"/>
        <w:rPr>
          <w:lang w:val="en-US"/>
        </w:rPr>
      </w:pPr>
      <w:r>
        <w:rPr>
          <w:rStyle w:val="FootnoteReference"/>
        </w:rPr>
        <w:footnoteRef/>
      </w:r>
      <w:r>
        <w:tab/>
        <w:t>VLRC,</w:t>
      </w:r>
      <w:r w:rsidRPr="00C527D9">
        <w:rPr>
          <w:lang w:val="en-US"/>
        </w:rPr>
        <w:t xml:space="preserve"> </w:t>
      </w:r>
      <w:r>
        <w:rPr>
          <w:lang w:val="en-US"/>
        </w:rPr>
        <w:t xml:space="preserve">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344.</w:t>
      </w:r>
    </w:p>
  </w:footnote>
  <w:footnote w:id="802">
    <w:p w14:paraId="1753BDBA" w14:textId="613E110C" w:rsidR="00EE78D8" w:rsidRPr="00154BA5" w:rsidRDefault="00EE78D8" w:rsidP="00154BA5">
      <w:pPr>
        <w:pStyle w:val="FootnoteText"/>
        <w:jc w:val="left"/>
        <w:rPr>
          <w:lang w:val="en-US"/>
        </w:rPr>
      </w:pPr>
      <w:r>
        <w:rPr>
          <w:rStyle w:val="FootnoteReference"/>
        </w:rPr>
        <w:footnoteRef/>
      </w:r>
      <w:r>
        <w:tab/>
      </w:r>
      <w:r>
        <w:rPr>
          <w:lang w:val="en-US"/>
        </w:rPr>
        <w:t xml:space="preserve">I Freckelton, ‘The Preventative Detention of Insanity Acquitees: A Case Study in Victoria’ in B McSherry and P Keyzer (eds), </w:t>
      </w:r>
      <w:r>
        <w:rPr>
          <w:i/>
          <w:lang w:val="en-US"/>
        </w:rPr>
        <w:t xml:space="preserve">Dangerous People: Policy, Prediction and Practice </w:t>
      </w:r>
      <w:r>
        <w:rPr>
          <w:lang w:val="en-US"/>
        </w:rPr>
        <w:t xml:space="preserve">(Routledge, 2011) 83, 94. See also B McSherry, ‘Legal Issues: Criminal Detention of Those with Mental Impairment’ (1999) 6 </w:t>
      </w:r>
      <w:r>
        <w:rPr>
          <w:i/>
          <w:lang w:val="en-US"/>
        </w:rPr>
        <w:t xml:space="preserve">Journal of Law and Medicine </w:t>
      </w:r>
      <w:r>
        <w:rPr>
          <w:lang w:val="en-US"/>
        </w:rPr>
        <w:t>216, 221.</w:t>
      </w:r>
    </w:p>
  </w:footnote>
  <w:footnote w:id="803">
    <w:p w14:paraId="790A0308" w14:textId="56E9CB3B" w:rsidR="00EE78D8" w:rsidRPr="001560B5" w:rsidRDefault="00EE78D8">
      <w:pPr>
        <w:pStyle w:val="FootnoteText"/>
        <w:rPr>
          <w:lang w:val="en-US"/>
        </w:rPr>
      </w:pPr>
      <w:r>
        <w:rPr>
          <w:rStyle w:val="FootnoteReference"/>
        </w:rPr>
        <w:footnoteRef/>
      </w:r>
      <w:r>
        <w:tab/>
      </w:r>
      <w:r>
        <w:rPr>
          <w:lang w:val="en-US"/>
        </w:rPr>
        <w:t xml:space="preserve">Freckelton, above n </w:t>
      </w:r>
      <w:r>
        <w:rPr>
          <w:lang w:val="en-US"/>
        </w:rPr>
        <w:fldChar w:fldCharType="begin"/>
      </w:r>
      <w:r>
        <w:rPr>
          <w:lang w:val="en-US"/>
        </w:rPr>
        <w:instrText xml:space="preserve"> NOTEREF _Ref535755484 \h </w:instrText>
      </w:r>
      <w:r>
        <w:rPr>
          <w:lang w:val="en-US"/>
        </w:rPr>
      </w:r>
      <w:r>
        <w:rPr>
          <w:lang w:val="en-US"/>
        </w:rPr>
        <w:fldChar w:fldCharType="separate"/>
      </w:r>
      <w:r w:rsidR="001F209C">
        <w:rPr>
          <w:lang w:val="en-US"/>
        </w:rPr>
        <w:t>802</w:t>
      </w:r>
      <w:r>
        <w:rPr>
          <w:lang w:val="en-US"/>
        </w:rPr>
        <w:fldChar w:fldCharType="end"/>
      </w:r>
      <w:r>
        <w:rPr>
          <w:lang w:val="en-US"/>
        </w:rPr>
        <w:t>, 83, 94</w:t>
      </w:r>
    </w:p>
  </w:footnote>
  <w:footnote w:id="804">
    <w:p w14:paraId="7DBDCB75" w14:textId="79A50877" w:rsidR="00EE78D8" w:rsidRPr="00C6357B" w:rsidRDefault="00EE78D8" w:rsidP="00F211F5">
      <w:pPr>
        <w:pStyle w:val="FootnoteText"/>
        <w:rPr>
          <w:lang w:val="en-US"/>
        </w:rPr>
      </w:pPr>
      <w:r>
        <w:rPr>
          <w:rStyle w:val="FootnoteReference"/>
        </w:rPr>
        <w:footnoteRef/>
      </w:r>
      <w:r>
        <w:tab/>
      </w:r>
      <w:r>
        <w:rPr>
          <w:lang w:val="en-US"/>
        </w:rPr>
        <w:t xml:space="preserve">Smith, above n </w:t>
      </w:r>
      <w:r>
        <w:rPr>
          <w:lang w:val="en-US"/>
        </w:rPr>
        <w:fldChar w:fldCharType="begin"/>
      </w:r>
      <w:r>
        <w:rPr>
          <w:lang w:val="en-US"/>
        </w:rPr>
        <w:instrText xml:space="preserve"> NOTEREF _Ref535661080 \h </w:instrText>
      </w:r>
      <w:r>
        <w:rPr>
          <w:lang w:val="en-US"/>
        </w:rPr>
      </w:r>
      <w:r>
        <w:rPr>
          <w:lang w:val="en-US"/>
        </w:rPr>
        <w:fldChar w:fldCharType="separate"/>
      </w:r>
      <w:r w:rsidR="001F209C">
        <w:rPr>
          <w:lang w:val="en-US"/>
        </w:rPr>
        <w:t>30</w:t>
      </w:r>
      <w:r>
        <w:rPr>
          <w:lang w:val="en-US"/>
        </w:rPr>
        <w:fldChar w:fldCharType="end"/>
      </w:r>
      <w:r>
        <w:rPr>
          <w:lang w:val="en-US"/>
        </w:rPr>
        <w:t>, 25.</w:t>
      </w:r>
    </w:p>
  </w:footnote>
  <w:footnote w:id="805">
    <w:p w14:paraId="000AC034" w14:textId="62DD5A53" w:rsidR="00EE78D8" w:rsidRPr="00336C79" w:rsidRDefault="00EE78D8">
      <w:pPr>
        <w:pStyle w:val="FootnoteText"/>
        <w:rPr>
          <w:lang w:val="en-US"/>
        </w:rPr>
      </w:pPr>
      <w:r>
        <w:rPr>
          <w:rStyle w:val="FootnoteReference"/>
        </w:rPr>
        <w:footnoteRef/>
      </w:r>
      <w:r>
        <w:rPr>
          <w:lang w:val="en-US"/>
        </w:rPr>
        <w:tab/>
        <w:t>Ibid 22.</w:t>
      </w:r>
    </w:p>
  </w:footnote>
  <w:footnote w:id="806">
    <w:p w14:paraId="16B168D0" w14:textId="6EAACDAF" w:rsidR="00EE78D8" w:rsidRPr="002D0A94" w:rsidRDefault="00EE78D8">
      <w:pPr>
        <w:pStyle w:val="FootnoteText"/>
        <w:rPr>
          <w:lang w:val="en-US"/>
        </w:rPr>
      </w:pPr>
      <w:r>
        <w:rPr>
          <w:rStyle w:val="FootnoteReference"/>
        </w:rPr>
        <w:footnoteRef/>
      </w:r>
      <w:r>
        <w:tab/>
      </w:r>
      <w:r>
        <w:rPr>
          <w:lang w:val="en-US"/>
        </w:rPr>
        <w:t xml:space="preserve">See </w:t>
      </w:r>
      <w:r>
        <w:rPr>
          <w:i/>
          <w:lang w:val="en-US"/>
        </w:rPr>
        <w:t>D</w:t>
      </w:r>
      <w:r>
        <w:rPr>
          <w:lang w:val="en-US"/>
        </w:rPr>
        <w:t>, where Evans J referred to four cases where an application to revoke a supervision order was refused. Only one of these cases was publicly available as it involved an unsuccessful appeal against the refusal of the judge to revoke the supervision order.</w:t>
      </w:r>
    </w:p>
  </w:footnote>
  <w:footnote w:id="807">
    <w:p w14:paraId="4A9B5FBD" w14:textId="5B80F073" w:rsidR="00EE78D8" w:rsidRPr="00891957" w:rsidRDefault="00EE78D8">
      <w:pPr>
        <w:pStyle w:val="FootnoteText"/>
        <w:rPr>
          <w:lang w:val="en-US"/>
        </w:rPr>
      </w:pPr>
      <w:r>
        <w:rPr>
          <w:rStyle w:val="FootnoteReference"/>
        </w:rPr>
        <w:footnoteRef/>
      </w:r>
      <w:r>
        <w:tab/>
        <w:t xml:space="preserve">Smith, </w:t>
      </w:r>
      <w:r>
        <w:rPr>
          <w:lang w:val="en-US"/>
        </w:rPr>
        <w:t xml:space="preserve">above n </w:t>
      </w:r>
      <w:r>
        <w:rPr>
          <w:lang w:val="en-US"/>
        </w:rPr>
        <w:fldChar w:fldCharType="begin"/>
      </w:r>
      <w:r>
        <w:rPr>
          <w:lang w:val="en-US"/>
        </w:rPr>
        <w:instrText xml:space="preserve"> NOTEREF _Ref535661080 \h </w:instrText>
      </w:r>
      <w:r>
        <w:rPr>
          <w:lang w:val="en-US"/>
        </w:rPr>
      </w:r>
      <w:r>
        <w:rPr>
          <w:lang w:val="en-US"/>
        </w:rPr>
        <w:fldChar w:fldCharType="separate"/>
      </w:r>
      <w:r w:rsidR="001F209C">
        <w:rPr>
          <w:lang w:val="en-US"/>
        </w:rPr>
        <w:t>30</w:t>
      </w:r>
      <w:r>
        <w:rPr>
          <w:lang w:val="en-US"/>
        </w:rPr>
        <w:fldChar w:fldCharType="end"/>
      </w:r>
      <w:r>
        <w:rPr>
          <w:lang w:val="en-US"/>
        </w:rPr>
        <w:t>, 26.</w:t>
      </w:r>
    </w:p>
  </w:footnote>
  <w:footnote w:id="808">
    <w:p w14:paraId="339FF23A" w14:textId="6BCCFB86" w:rsidR="00EE78D8" w:rsidRPr="00DD69BD" w:rsidRDefault="00EE78D8" w:rsidP="00DD69BD">
      <w:pPr>
        <w:pStyle w:val="FootnoteText"/>
        <w:rPr>
          <w:lang w:val="en-US"/>
        </w:rPr>
      </w:pPr>
      <w:r>
        <w:rPr>
          <w:rStyle w:val="FootnoteReference"/>
        </w:rPr>
        <w:footnoteRef/>
      </w:r>
      <w:r>
        <w:tab/>
        <w:t xml:space="preserve">It is noted that the </w:t>
      </w:r>
      <w:r>
        <w:rPr>
          <w:i/>
          <w:lang w:val="en-US"/>
        </w:rPr>
        <w:t xml:space="preserve">Crimes (Mental Impairment and Unfitness to be Tried) Amendment Bill 2016 </w:t>
      </w:r>
      <w:r>
        <w:rPr>
          <w:lang w:val="en-US"/>
        </w:rPr>
        <w:t>(Vic) changed the test from one of dangerousness to one of risk (whether the person poses an unacceptable risk of serious harm). This legislation has not been passed by the Victorian Parliament.</w:t>
      </w:r>
    </w:p>
  </w:footnote>
  <w:footnote w:id="809">
    <w:p w14:paraId="4F41BCAA" w14:textId="37946F43" w:rsidR="00EE78D8" w:rsidRPr="00DD69BD" w:rsidRDefault="00EE78D8" w:rsidP="00CA44C2">
      <w:pPr>
        <w:pStyle w:val="FootnoteText"/>
        <w:rPr>
          <w:lang w:val="en-US"/>
        </w:rPr>
      </w:pPr>
      <w:r>
        <w:rPr>
          <w:rStyle w:val="FootnoteReference"/>
        </w:rPr>
        <w:footnoteRef/>
      </w:r>
      <w:r>
        <w:tab/>
        <w:t xml:space="preserve">It is noted that the </w:t>
      </w:r>
      <w:r>
        <w:rPr>
          <w:i/>
          <w:lang w:val="en-US"/>
        </w:rPr>
        <w:t xml:space="preserve">Crimes (Mental Impairment and Unfitness to be Tried) Amendment Bill 2016 </w:t>
      </w:r>
      <w:r>
        <w:rPr>
          <w:lang w:val="en-US"/>
        </w:rPr>
        <w:t>(Vic) changed the test from one of dangerousness to one of risk (whether the person is likely to pose a risk of serious harm). This legislation has not been passed by the Victorian Parliament.</w:t>
      </w:r>
    </w:p>
  </w:footnote>
  <w:footnote w:id="810">
    <w:p w14:paraId="51097988" w14:textId="6B7F9A13" w:rsidR="00EE78D8" w:rsidRPr="0031749B" w:rsidRDefault="00EE78D8">
      <w:pPr>
        <w:pStyle w:val="FootnoteText"/>
        <w:rPr>
          <w:lang w:val="en-US"/>
        </w:rPr>
      </w:pPr>
      <w:r>
        <w:rPr>
          <w:rStyle w:val="FootnoteReference"/>
        </w:rPr>
        <w:footnoteRef/>
      </w:r>
      <w:r>
        <w:tab/>
      </w:r>
      <w:r w:rsidRPr="0031749B">
        <w:rPr>
          <w:lang w:val="en-US"/>
        </w:rPr>
        <w:t>It is noted that South Australia adopted a serious endangerment test to strengthen the test for release, see</w:t>
      </w:r>
      <w:r w:rsidRPr="004B5E4B">
        <w:rPr>
          <w:lang w:val="en-US"/>
        </w:rPr>
        <w:t xml:space="preserve"> </w:t>
      </w:r>
      <w:r w:rsidRPr="0031749B">
        <w:rPr>
          <w:i/>
          <w:lang w:val="en-US"/>
        </w:rPr>
        <w:t xml:space="preserve">Criminal Law Consolidation Act 1935 </w:t>
      </w:r>
      <w:r w:rsidRPr="0031749B">
        <w:rPr>
          <w:lang w:val="en-US"/>
        </w:rPr>
        <w:t>(SA) s 269T(2)(ba) which requires that the court cannot release a defendant or significantly reduce the degree of supervision unless satisfied on the balance of probabilities, that the safety of the person or any member of the public will not be seriously endangered by the person’s release.</w:t>
      </w:r>
    </w:p>
  </w:footnote>
  <w:footnote w:id="811">
    <w:p w14:paraId="574089EB" w14:textId="08E10A71" w:rsidR="00EE78D8" w:rsidRPr="00420E0B" w:rsidRDefault="00EE78D8">
      <w:pPr>
        <w:pStyle w:val="FootnoteText"/>
        <w:rPr>
          <w:lang w:val="en-US"/>
        </w:rPr>
      </w:pPr>
      <w:r>
        <w:rPr>
          <w:rStyle w:val="FootnoteReference"/>
        </w:rPr>
        <w:footnoteRef/>
      </w:r>
      <w:r>
        <w:tab/>
        <w:t xml:space="preserve">NSWLRC, above n </w:t>
      </w:r>
      <w:r>
        <w:fldChar w:fldCharType="begin"/>
      </w:r>
      <w:r>
        <w:instrText xml:space="preserve"> NOTEREF _Ref535692565 \h </w:instrText>
      </w:r>
      <w:r>
        <w:fldChar w:fldCharType="separate"/>
      </w:r>
      <w:r w:rsidR="001F209C">
        <w:t>446</w:t>
      </w:r>
      <w:r>
        <w:fldChar w:fldCharType="end"/>
      </w:r>
      <w:r>
        <w:t>,161.</w:t>
      </w:r>
    </w:p>
  </w:footnote>
  <w:footnote w:id="812">
    <w:p w14:paraId="2E3DDFFA" w14:textId="6C77128F" w:rsidR="00EE78D8" w:rsidRPr="00420E0B" w:rsidRDefault="00EE78D8">
      <w:pPr>
        <w:pStyle w:val="FootnoteText"/>
        <w:rPr>
          <w:lang w:val="en-US"/>
        </w:rPr>
      </w:pPr>
      <w:r>
        <w:rPr>
          <w:rStyle w:val="FootnoteReference"/>
        </w:rPr>
        <w:footnoteRef/>
      </w:r>
      <w:r>
        <w:rPr>
          <w:lang w:val="en-US"/>
        </w:rPr>
        <w:tab/>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377.</w:t>
      </w:r>
    </w:p>
  </w:footnote>
  <w:footnote w:id="813">
    <w:p w14:paraId="214D0E0D" w14:textId="119BCE55" w:rsidR="00EE78D8" w:rsidRPr="00D73B70" w:rsidRDefault="00EE78D8">
      <w:pPr>
        <w:pStyle w:val="FootnoteText"/>
        <w:rPr>
          <w:i/>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xml:space="preserve">, 208 citing </w:t>
      </w:r>
      <w:r>
        <w:rPr>
          <w:i/>
          <w:lang w:val="en-US"/>
        </w:rPr>
        <w:t xml:space="preserve">NOM v DPP </w:t>
      </w:r>
      <w:r w:rsidRPr="00D73B70">
        <w:rPr>
          <w:lang w:val="en-US"/>
        </w:rPr>
        <w:t>[2012] VSCA 198 [63].</w:t>
      </w:r>
    </w:p>
  </w:footnote>
  <w:footnote w:id="814">
    <w:p w14:paraId="29CDB254" w14:textId="1CA0C074" w:rsidR="00EE78D8" w:rsidRPr="004230AD" w:rsidRDefault="00EE78D8">
      <w:pPr>
        <w:pStyle w:val="FootnoteText"/>
        <w:rPr>
          <w:lang w:val="en-US"/>
        </w:rPr>
      </w:pPr>
      <w:r>
        <w:rPr>
          <w:rStyle w:val="FootnoteReference"/>
        </w:rPr>
        <w:footnoteRef/>
      </w:r>
      <w:r>
        <w:tab/>
      </w:r>
      <w:r>
        <w:rPr>
          <w:lang w:val="en-US"/>
        </w:rPr>
        <w:t>[2014] NSWCA 466.</w:t>
      </w:r>
    </w:p>
  </w:footnote>
  <w:footnote w:id="815">
    <w:p w14:paraId="7C42F662" w14:textId="33C3A264" w:rsidR="00EE78D8" w:rsidRPr="00A03957" w:rsidRDefault="00EE78D8">
      <w:pPr>
        <w:pStyle w:val="FootnoteText"/>
        <w:rPr>
          <w:lang w:val="en-US"/>
        </w:rPr>
      </w:pPr>
      <w:r>
        <w:rPr>
          <w:rStyle w:val="FootnoteReference"/>
        </w:rPr>
        <w:footnoteRef/>
      </w:r>
      <w:r>
        <w:tab/>
        <w:t xml:space="preserve">Ibid </w:t>
      </w:r>
      <w:r>
        <w:rPr>
          <w:lang w:val="en-US"/>
        </w:rPr>
        <w:t>[169] (Basten JA).</w:t>
      </w:r>
    </w:p>
  </w:footnote>
  <w:footnote w:id="816">
    <w:p w14:paraId="0CA5B2D0" w14:textId="1DCCC9E3" w:rsidR="00EE78D8" w:rsidRPr="00A03957" w:rsidRDefault="00EE78D8">
      <w:pPr>
        <w:pStyle w:val="FootnoteText"/>
        <w:rPr>
          <w:lang w:val="en-US"/>
        </w:rPr>
      </w:pPr>
      <w:r>
        <w:rPr>
          <w:rStyle w:val="FootnoteReference"/>
        </w:rPr>
        <w:footnoteRef/>
      </w:r>
      <w:r>
        <w:tab/>
        <w:t xml:space="preserve">Ibid </w:t>
      </w:r>
      <w:r>
        <w:rPr>
          <w:lang w:val="en-US"/>
        </w:rPr>
        <w:t xml:space="preserve">[168] (Basten JA). </w:t>
      </w:r>
    </w:p>
  </w:footnote>
  <w:footnote w:id="817">
    <w:p w14:paraId="6D91EEE1" w14:textId="44FB03B6" w:rsidR="00EE78D8" w:rsidRPr="007373AA" w:rsidRDefault="00EE78D8" w:rsidP="007373AA">
      <w:pPr>
        <w:pStyle w:val="FootnoteText"/>
      </w:pPr>
      <w:r w:rsidRPr="007373AA">
        <w:rPr>
          <w:rStyle w:val="FootnoteReference"/>
        </w:rPr>
        <w:footnoteRef/>
      </w:r>
      <w:r>
        <w:tab/>
        <w:t>Ibid</w:t>
      </w:r>
      <w:r w:rsidRPr="007373AA">
        <w:t xml:space="preserve">. </w:t>
      </w:r>
    </w:p>
  </w:footnote>
  <w:footnote w:id="818">
    <w:p w14:paraId="54262788" w14:textId="4928E2C9" w:rsidR="00EE78D8" w:rsidRPr="008E76A3" w:rsidRDefault="00EE78D8" w:rsidP="00C21D07">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xml:space="preserve">, citing </w:t>
      </w:r>
      <w:r>
        <w:rPr>
          <w:i/>
          <w:lang w:val="en-US"/>
        </w:rPr>
        <w:t xml:space="preserve">NOM v DPP </w:t>
      </w:r>
      <w:r>
        <w:rPr>
          <w:lang w:val="en-US"/>
        </w:rPr>
        <w:t>[2012] VSCA 198 [64].</w:t>
      </w:r>
    </w:p>
  </w:footnote>
  <w:footnote w:id="819">
    <w:p w14:paraId="7489EF61" w14:textId="1A7CB3B9" w:rsidR="00EE78D8" w:rsidRPr="00944E5A" w:rsidRDefault="00EE78D8">
      <w:pPr>
        <w:pStyle w:val="FootnoteText"/>
        <w:rPr>
          <w:lang w:val="en-US"/>
        </w:rPr>
      </w:pPr>
      <w:r>
        <w:rPr>
          <w:rStyle w:val="FootnoteReference"/>
        </w:rPr>
        <w:footnoteRef/>
      </w:r>
      <w:r>
        <w:tab/>
      </w:r>
      <w:r>
        <w:rPr>
          <w:i/>
          <w:lang w:val="en-US"/>
        </w:rPr>
        <w:t xml:space="preserve">Crimes Act 1914 </w:t>
      </w:r>
      <w:r>
        <w:rPr>
          <w:lang w:val="en-US"/>
        </w:rPr>
        <w:t xml:space="preserve">(Cth) s 20BL(2); </w:t>
      </w:r>
      <w:r>
        <w:rPr>
          <w:i/>
          <w:lang w:val="en-US"/>
        </w:rPr>
        <w:t xml:space="preserve">Mental Health Act 2016 </w:t>
      </w:r>
      <w:r>
        <w:rPr>
          <w:lang w:val="en-US"/>
        </w:rPr>
        <w:t>(Qld) ss 442(1), 473(1).</w:t>
      </w:r>
    </w:p>
  </w:footnote>
  <w:footnote w:id="820">
    <w:p w14:paraId="74D11299" w14:textId="0C52215F" w:rsidR="00EE78D8" w:rsidRPr="00944E5A" w:rsidRDefault="00EE78D8">
      <w:pPr>
        <w:pStyle w:val="FootnoteText"/>
        <w:rPr>
          <w:lang w:val="en-US"/>
        </w:rPr>
      </w:pPr>
      <w:r>
        <w:rPr>
          <w:rStyle w:val="FootnoteReference"/>
        </w:rPr>
        <w:footnoteRef/>
      </w:r>
      <w:r>
        <w:tab/>
      </w:r>
      <w:r>
        <w:rPr>
          <w:i/>
          <w:lang w:val="en-US"/>
        </w:rPr>
        <w:t xml:space="preserve">Crimes (Mental Impairment and Unfitness to be Tried) Act 1997 </w:t>
      </w:r>
      <w:r>
        <w:rPr>
          <w:lang w:val="en-US"/>
        </w:rPr>
        <w:t>(Vic</w:t>
      </w:r>
      <w:r w:rsidRPr="00CA44C2">
        <w:rPr>
          <w:lang w:val="en-US"/>
        </w:rPr>
        <w:t>) s 32</w:t>
      </w:r>
      <w:r>
        <w:rPr>
          <w:lang w:val="en-US"/>
        </w:rPr>
        <w:t>(2).</w:t>
      </w:r>
    </w:p>
  </w:footnote>
  <w:footnote w:id="821">
    <w:p w14:paraId="7F62781C" w14:textId="362E3CE7" w:rsidR="00EE78D8" w:rsidRPr="00944E5A" w:rsidRDefault="00EE78D8">
      <w:pPr>
        <w:pStyle w:val="FootnoteText"/>
        <w:rPr>
          <w:lang w:val="en-US"/>
        </w:rPr>
      </w:pPr>
      <w:r>
        <w:rPr>
          <w:rStyle w:val="FootnoteReference"/>
        </w:rPr>
        <w:footnoteRef/>
      </w:r>
      <w:r>
        <w:tab/>
      </w:r>
      <w:r>
        <w:rPr>
          <w:lang w:val="en-US"/>
        </w:rPr>
        <w:t>Ibid s 35(3)(i).</w:t>
      </w:r>
    </w:p>
  </w:footnote>
  <w:footnote w:id="822">
    <w:p w14:paraId="287046A3" w14:textId="5FFAF1DA" w:rsidR="00EE78D8" w:rsidRPr="00944E5A" w:rsidRDefault="00EE78D8">
      <w:pPr>
        <w:pStyle w:val="FootnoteText"/>
        <w:rPr>
          <w:lang w:val="en-US"/>
        </w:rPr>
      </w:pPr>
      <w:r>
        <w:rPr>
          <w:rStyle w:val="FootnoteReference"/>
        </w:rPr>
        <w:footnoteRef/>
      </w:r>
      <w:r>
        <w:tab/>
      </w:r>
      <w:r>
        <w:rPr>
          <w:i/>
        </w:rPr>
        <w:t xml:space="preserve">Criminal Justice (Mental Impairment) Act 1999 </w:t>
      </w:r>
      <w:r>
        <w:t xml:space="preserve">(Tas) s 35; </w:t>
      </w:r>
      <w:r>
        <w:rPr>
          <w:i/>
        </w:rPr>
        <w:t xml:space="preserve">Criminal Law (Mentally Impaired Accused) Act 1996 </w:t>
      </w:r>
      <w:r>
        <w:t>(WA) s 33(5).</w:t>
      </w:r>
    </w:p>
  </w:footnote>
  <w:footnote w:id="823">
    <w:p w14:paraId="1FFD86FE" w14:textId="1B2B1577" w:rsidR="00EE78D8" w:rsidRPr="008354CF" w:rsidRDefault="00EE78D8">
      <w:pPr>
        <w:pStyle w:val="FootnoteText"/>
        <w:rPr>
          <w:lang w:val="en-US"/>
        </w:rPr>
      </w:pPr>
      <w:r>
        <w:rPr>
          <w:rStyle w:val="FootnoteReference"/>
        </w:rPr>
        <w:footnoteRef/>
      </w:r>
      <w:r>
        <w:tab/>
        <w:t xml:space="preserve">NSWLRC, above n </w:t>
      </w:r>
      <w:r>
        <w:fldChar w:fldCharType="begin"/>
      </w:r>
      <w:r>
        <w:instrText xml:space="preserve"> NOTEREF _Ref535692565 \h </w:instrText>
      </w:r>
      <w:r>
        <w:fldChar w:fldCharType="separate"/>
      </w:r>
      <w:r w:rsidR="001F209C">
        <w:t>446</w:t>
      </w:r>
      <w:r>
        <w:fldChar w:fldCharType="end"/>
      </w:r>
      <w:r>
        <w:t>, 157.</w:t>
      </w:r>
    </w:p>
  </w:footnote>
  <w:footnote w:id="824">
    <w:p w14:paraId="647D9968" w14:textId="4B877924" w:rsidR="00EE78D8" w:rsidRPr="006F336D"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375; NSWLRC, ibid 157–158.</w:t>
      </w:r>
    </w:p>
  </w:footnote>
  <w:footnote w:id="825">
    <w:p w14:paraId="08DBFDCD" w14:textId="401EDFE1" w:rsidR="00EE78D8" w:rsidRPr="00DD4F1F" w:rsidRDefault="00EE78D8">
      <w:pPr>
        <w:pStyle w:val="FootnoteText"/>
        <w:rPr>
          <w:lang w:val="en-US"/>
        </w:rPr>
      </w:pPr>
      <w:r>
        <w:rPr>
          <w:rStyle w:val="FootnoteReference"/>
        </w:rPr>
        <w:footnoteRef/>
      </w:r>
      <w:r>
        <w:tab/>
      </w:r>
      <w:r>
        <w:rPr>
          <w:lang w:val="en-US"/>
        </w:rPr>
        <w:t xml:space="preserve">McSherry, above n </w:t>
      </w:r>
      <w:r>
        <w:rPr>
          <w:lang w:val="en-US"/>
        </w:rPr>
        <w:fldChar w:fldCharType="begin"/>
      </w:r>
      <w:r>
        <w:rPr>
          <w:lang w:val="en-US"/>
        </w:rPr>
        <w:instrText xml:space="preserve"> NOTEREF _Ref535755484 \h </w:instrText>
      </w:r>
      <w:r>
        <w:rPr>
          <w:lang w:val="en-US"/>
        </w:rPr>
      </w:r>
      <w:r>
        <w:rPr>
          <w:lang w:val="en-US"/>
        </w:rPr>
        <w:fldChar w:fldCharType="separate"/>
      </w:r>
      <w:r w:rsidR="001F209C">
        <w:rPr>
          <w:lang w:val="en-US"/>
        </w:rPr>
        <w:t>802</w:t>
      </w:r>
      <w:r>
        <w:rPr>
          <w:lang w:val="en-US"/>
        </w:rPr>
        <w:fldChar w:fldCharType="end"/>
      </w:r>
      <w:r>
        <w:rPr>
          <w:lang w:val="en-US"/>
        </w:rPr>
        <w:t>, 221.</w:t>
      </w:r>
    </w:p>
  </w:footnote>
  <w:footnote w:id="826">
    <w:p w14:paraId="70EF0C7D" w14:textId="65ED0089" w:rsidR="00EE78D8" w:rsidRPr="00D73B70" w:rsidRDefault="00EE78D8">
      <w:pPr>
        <w:pStyle w:val="FootnoteText"/>
        <w:rPr>
          <w:lang w:val="en-US"/>
        </w:rPr>
      </w:pPr>
      <w:r>
        <w:rPr>
          <w:rStyle w:val="FootnoteReference"/>
        </w:rPr>
        <w:footnoteRef/>
      </w:r>
      <w:r>
        <w:tab/>
        <w:t xml:space="preserve">VLRC, </w:t>
      </w:r>
      <w:r>
        <w:rPr>
          <w:lang w:val="en-US"/>
        </w:rPr>
        <w:t xml:space="preserve">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378.</w:t>
      </w:r>
    </w:p>
  </w:footnote>
  <w:footnote w:id="827">
    <w:p w14:paraId="0EC73799" w14:textId="6BAB24BD" w:rsidR="00EE78D8" w:rsidRPr="00D73B70"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208.</w:t>
      </w:r>
    </w:p>
  </w:footnote>
  <w:footnote w:id="828">
    <w:p w14:paraId="74820EB7" w14:textId="5598B459" w:rsidR="00EE78D8" w:rsidRPr="001E5E39" w:rsidRDefault="00EE78D8">
      <w:pPr>
        <w:pStyle w:val="FootnoteText"/>
        <w:rPr>
          <w:lang w:val="en-US"/>
        </w:rPr>
      </w:pPr>
      <w:r>
        <w:rPr>
          <w:rStyle w:val="FootnoteReference"/>
        </w:rPr>
        <w:footnoteRef/>
      </w:r>
      <w:r>
        <w:tab/>
      </w:r>
      <w:r w:rsidRPr="00BD073B">
        <w:rPr>
          <w:lang w:val="en-US"/>
        </w:rPr>
        <w:t xml:space="preserve">Ruffles, </w:t>
      </w:r>
      <w:r w:rsidRPr="00D06A43">
        <w:rPr>
          <w:lang w:val="en-US"/>
        </w:rPr>
        <w:t xml:space="preserve">above n </w:t>
      </w:r>
      <w:r w:rsidRPr="00D06A43">
        <w:rPr>
          <w:lang w:val="en-US"/>
        </w:rPr>
        <w:fldChar w:fldCharType="begin"/>
      </w:r>
      <w:r w:rsidRPr="0031749B">
        <w:rPr>
          <w:lang w:val="en-US"/>
        </w:rPr>
        <w:instrText xml:space="preserve"> NOTEREF _Ref535763568 \h  \* MERGEFORMAT </w:instrText>
      </w:r>
      <w:r w:rsidRPr="00D06A43">
        <w:rPr>
          <w:lang w:val="en-US"/>
        </w:rPr>
      </w:r>
      <w:r w:rsidRPr="00D06A43">
        <w:rPr>
          <w:lang w:val="en-US"/>
        </w:rPr>
        <w:fldChar w:fldCharType="separate"/>
      </w:r>
      <w:r w:rsidR="001F209C">
        <w:rPr>
          <w:lang w:val="en-US"/>
        </w:rPr>
        <w:t>800</w:t>
      </w:r>
      <w:r w:rsidRPr="00D06A43">
        <w:rPr>
          <w:lang w:val="en-US"/>
        </w:rPr>
        <w:fldChar w:fldCharType="end"/>
      </w:r>
      <w:r w:rsidRPr="00D06A43">
        <w:rPr>
          <w:lang w:val="en-US"/>
        </w:rPr>
        <w:t>, 178.</w:t>
      </w:r>
    </w:p>
  </w:footnote>
  <w:footnote w:id="829">
    <w:p w14:paraId="7170EA49" w14:textId="1626BAA6" w:rsidR="00EE78D8" w:rsidRPr="00017E3A"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213–214.</w:t>
      </w:r>
    </w:p>
  </w:footnote>
  <w:footnote w:id="830">
    <w:p w14:paraId="21D4E6F9" w14:textId="4E7F8E44" w:rsidR="00EE78D8" w:rsidRPr="00017E3A" w:rsidRDefault="00EE78D8">
      <w:pPr>
        <w:pStyle w:val="FootnoteText"/>
        <w:rPr>
          <w:lang w:val="en-US"/>
        </w:rPr>
      </w:pPr>
      <w:r>
        <w:rPr>
          <w:rStyle w:val="FootnoteReference"/>
        </w:rPr>
        <w:footnoteRef/>
      </w:r>
      <w:r>
        <w:tab/>
      </w:r>
      <w:r>
        <w:rPr>
          <w:lang w:val="en-US"/>
        </w:rPr>
        <w:t xml:space="preserve">Ibid 214 referring to Howard and Westmore, </w:t>
      </w:r>
      <w:r w:rsidRPr="005B19A5">
        <w:rPr>
          <w:lang w:val="en-US"/>
        </w:rPr>
        <w:t xml:space="preserve">above n </w:t>
      </w:r>
      <w:r w:rsidRPr="005B19A5">
        <w:rPr>
          <w:lang w:val="en-US"/>
        </w:rPr>
        <w:fldChar w:fldCharType="begin"/>
      </w:r>
      <w:r w:rsidRPr="005B19A5">
        <w:rPr>
          <w:lang w:val="en-US"/>
        </w:rPr>
        <w:instrText xml:space="preserve"> NOTEREF _Ref535179556 \h </w:instrText>
      </w:r>
      <w:r>
        <w:rPr>
          <w:lang w:val="en-US"/>
        </w:rPr>
        <w:instrText xml:space="preserve"> \* MERGEFORMAT </w:instrText>
      </w:r>
      <w:r w:rsidRPr="005B19A5">
        <w:rPr>
          <w:lang w:val="en-US"/>
        </w:rPr>
      </w:r>
      <w:r w:rsidRPr="005B19A5">
        <w:rPr>
          <w:lang w:val="en-US"/>
        </w:rPr>
        <w:fldChar w:fldCharType="separate"/>
      </w:r>
      <w:r w:rsidR="001F209C">
        <w:rPr>
          <w:lang w:val="en-US"/>
        </w:rPr>
        <w:t>347</w:t>
      </w:r>
      <w:r w:rsidRPr="005B19A5">
        <w:rPr>
          <w:lang w:val="en-US"/>
        </w:rPr>
        <w:fldChar w:fldCharType="end"/>
      </w:r>
      <w:r w:rsidRPr="004403ED">
        <w:rPr>
          <w:lang w:val="en-US"/>
        </w:rPr>
        <w:t>,</w:t>
      </w:r>
      <w:r>
        <w:rPr>
          <w:lang w:val="en-US"/>
        </w:rPr>
        <w:t xml:space="preserve"> 476–477.</w:t>
      </w:r>
    </w:p>
  </w:footnote>
  <w:footnote w:id="831">
    <w:p w14:paraId="1613413B" w14:textId="1EC4DCFD" w:rsidR="00EE78D8" w:rsidRPr="00B61CF9"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215.</w:t>
      </w:r>
    </w:p>
  </w:footnote>
  <w:footnote w:id="832">
    <w:p w14:paraId="5EF87107" w14:textId="7892E1CD" w:rsidR="00EE78D8" w:rsidRPr="00FC3383" w:rsidRDefault="00EE78D8">
      <w:pPr>
        <w:pStyle w:val="FootnoteText"/>
        <w:rPr>
          <w:lang w:val="en-US"/>
        </w:rPr>
      </w:pPr>
      <w:r>
        <w:rPr>
          <w:rStyle w:val="FootnoteReference"/>
        </w:rPr>
        <w:footnoteRef/>
      </w:r>
      <w:r>
        <w:tab/>
      </w:r>
      <w:r>
        <w:rPr>
          <w:lang w:val="en-US"/>
        </w:rPr>
        <w:t xml:space="preserve">Ibid 216. It is noted that the operation of the release provisions in New South Wales was the subject of a review: see </w:t>
      </w:r>
      <w:r>
        <w:t xml:space="preserve">NSW Government (Health), </w:t>
      </w:r>
      <w:r>
        <w:rPr>
          <w:i/>
        </w:rPr>
        <w:t xml:space="preserve">Mental Health Review Tribunal: A Review in Respect of </w:t>
      </w:r>
      <w:r w:rsidRPr="00A94EA8">
        <w:rPr>
          <w:i/>
        </w:rPr>
        <w:t>Forensic Patients</w:t>
      </w:r>
      <w:r>
        <w:t xml:space="preserve"> (2017)</w:t>
      </w:r>
      <w:r>
        <w:rPr>
          <w:lang w:val="en-US"/>
        </w:rPr>
        <w:t>.</w:t>
      </w:r>
    </w:p>
  </w:footnote>
  <w:footnote w:id="833">
    <w:p w14:paraId="4688CBB7" w14:textId="24DD34B7" w:rsidR="00EE78D8" w:rsidRPr="00B61CF9"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w:t>
      </w:r>
      <w:r>
        <w:t xml:space="preserve"> </w:t>
      </w:r>
      <w:r>
        <w:rPr>
          <w:lang w:val="en-US"/>
        </w:rPr>
        <w:t>216.</w:t>
      </w:r>
    </w:p>
  </w:footnote>
  <w:footnote w:id="834">
    <w:p w14:paraId="46B832BC" w14:textId="7B1A438B" w:rsidR="00EE78D8" w:rsidRPr="00722482"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378.</w:t>
      </w:r>
    </w:p>
  </w:footnote>
  <w:footnote w:id="835">
    <w:p w14:paraId="5230F80C" w14:textId="731EF569" w:rsidR="00EE78D8" w:rsidRPr="00722482" w:rsidRDefault="00EE78D8">
      <w:pPr>
        <w:pStyle w:val="FootnoteText"/>
        <w:rPr>
          <w:lang w:val="en-US"/>
        </w:rPr>
      </w:pPr>
      <w:r>
        <w:rPr>
          <w:rStyle w:val="FootnoteReference"/>
        </w:rPr>
        <w:footnoteRef/>
      </w:r>
      <w:r>
        <w:tab/>
      </w:r>
      <w:r>
        <w:rPr>
          <w:lang w:val="en-US"/>
        </w:rPr>
        <w:t>Ibid.</w:t>
      </w:r>
    </w:p>
  </w:footnote>
  <w:footnote w:id="836">
    <w:p w14:paraId="5D288BDB" w14:textId="6F821686" w:rsidR="00EE78D8" w:rsidRPr="00585EF8" w:rsidRDefault="00EE78D8">
      <w:pPr>
        <w:pStyle w:val="FootnoteText"/>
        <w:rPr>
          <w:lang w:val="en-US"/>
        </w:rPr>
      </w:pPr>
      <w:r>
        <w:rPr>
          <w:rStyle w:val="FootnoteReference"/>
        </w:rPr>
        <w:footnoteRef/>
      </w:r>
      <w:r>
        <w:tab/>
        <w:t xml:space="preserve">Ibid </w:t>
      </w:r>
      <w:r>
        <w:rPr>
          <w:lang w:val="en-US"/>
        </w:rPr>
        <w:t>379.</w:t>
      </w:r>
    </w:p>
  </w:footnote>
  <w:footnote w:id="837">
    <w:p w14:paraId="2BECA8A3" w14:textId="62D5B879" w:rsidR="00EE78D8" w:rsidRPr="001D4834" w:rsidRDefault="00EE78D8">
      <w:pPr>
        <w:pStyle w:val="FootnoteText"/>
        <w:rPr>
          <w:lang w:val="en-US"/>
        </w:rPr>
      </w:pPr>
      <w:r>
        <w:rPr>
          <w:rStyle w:val="FootnoteReference"/>
        </w:rPr>
        <w:footnoteRef/>
      </w:r>
      <w:r>
        <w:tab/>
      </w:r>
      <w:r>
        <w:rPr>
          <w:i/>
        </w:rPr>
        <w:t xml:space="preserve">Mental Health Act 2013 </w:t>
      </w:r>
      <w:r w:rsidRPr="001D4834">
        <w:t>(Tas) s 40.</w:t>
      </w:r>
    </w:p>
  </w:footnote>
  <w:footnote w:id="838">
    <w:p w14:paraId="5ABC5D5C" w14:textId="04302181" w:rsidR="00EE78D8" w:rsidRPr="00585EF8"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379.</w:t>
      </w:r>
    </w:p>
  </w:footnote>
  <w:footnote w:id="839">
    <w:p w14:paraId="714C16ED" w14:textId="190E5371" w:rsidR="00EE78D8" w:rsidRPr="00A32DE9" w:rsidRDefault="00EE78D8">
      <w:pPr>
        <w:pStyle w:val="FootnoteText"/>
        <w:rPr>
          <w:lang w:val="en-US"/>
        </w:rPr>
      </w:pPr>
      <w:r>
        <w:rPr>
          <w:rStyle w:val="FootnoteReference"/>
        </w:rPr>
        <w:footnoteRef/>
      </w:r>
      <w:r>
        <w:tab/>
        <w:t xml:space="preserve">Ibid </w:t>
      </w:r>
      <w:r>
        <w:rPr>
          <w:lang w:val="en-US"/>
        </w:rPr>
        <w:t xml:space="preserve">380. </w:t>
      </w:r>
    </w:p>
  </w:footnote>
  <w:footnote w:id="840">
    <w:p w14:paraId="2827A69F" w14:textId="2902418C" w:rsidR="00EE78D8" w:rsidRPr="002D275D"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216.</w:t>
      </w:r>
    </w:p>
  </w:footnote>
  <w:footnote w:id="841">
    <w:p w14:paraId="478725AF" w14:textId="4B6CA5E0" w:rsidR="00EE78D8" w:rsidRPr="001D4834" w:rsidRDefault="00EE78D8">
      <w:pPr>
        <w:pStyle w:val="FootnoteText"/>
        <w:rPr>
          <w:lang w:val="en-US"/>
        </w:rPr>
      </w:pPr>
      <w:r>
        <w:rPr>
          <w:rStyle w:val="FootnoteReference"/>
        </w:rPr>
        <w:footnoteRef/>
      </w:r>
      <w:r>
        <w:tab/>
      </w:r>
      <w:r w:rsidRPr="0031749B">
        <w:t>See [8</w:t>
      </w:r>
      <w:r>
        <w:t>.3.9].</w:t>
      </w:r>
    </w:p>
  </w:footnote>
  <w:footnote w:id="842">
    <w:p w14:paraId="7C0C8413" w14:textId="52564F21" w:rsidR="00EE78D8" w:rsidRPr="00AB78CA" w:rsidRDefault="00EE78D8">
      <w:pPr>
        <w:pStyle w:val="FootnoteText"/>
        <w:rPr>
          <w:lang w:val="en-US"/>
        </w:rPr>
      </w:pPr>
      <w:r>
        <w:rPr>
          <w:rStyle w:val="FootnoteReference"/>
        </w:rPr>
        <w:footnoteRef/>
      </w:r>
      <w:r>
        <w:tab/>
        <w:t xml:space="preserve">VLRC, above n </w:t>
      </w:r>
      <w:r>
        <w:fldChar w:fldCharType="begin"/>
      </w:r>
      <w:r>
        <w:instrText xml:space="preserve"> NOTEREF _Ref534978514 \h </w:instrText>
      </w:r>
      <w:r>
        <w:fldChar w:fldCharType="separate"/>
      </w:r>
      <w:r w:rsidR="001F209C">
        <w:t>24</w:t>
      </w:r>
      <w:r>
        <w:fldChar w:fldCharType="end"/>
      </w:r>
      <w:r>
        <w:t xml:space="preserve">, </w:t>
      </w:r>
      <w:r>
        <w:rPr>
          <w:lang w:val="en-US"/>
        </w:rPr>
        <w:t>390–391.</w:t>
      </w:r>
    </w:p>
  </w:footnote>
  <w:footnote w:id="843">
    <w:p w14:paraId="601523EF" w14:textId="0E8F68F1" w:rsidR="00EE78D8" w:rsidRPr="00AB78CA" w:rsidRDefault="00EE78D8">
      <w:pPr>
        <w:pStyle w:val="FootnoteText"/>
        <w:rPr>
          <w:lang w:val="en-US"/>
        </w:rPr>
      </w:pPr>
      <w:r>
        <w:rPr>
          <w:rStyle w:val="FootnoteReference"/>
        </w:rPr>
        <w:footnoteRef/>
      </w:r>
      <w:r>
        <w:tab/>
        <w:t xml:space="preserve">Ibid </w:t>
      </w:r>
      <w:r>
        <w:rPr>
          <w:lang w:val="en-US"/>
        </w:rPr>
        <w:t>390.</w:t>
      </w:r>
    </w:p>
  </w:footnote>
  <w:footnote w:id="844">
    <w:p w14:paraId="4A29F321" w14:textId="63F07BC8" w:rsidR="00EE78D8" w:rsidRPr="00AB78CA" w:rsidRDefault="00EE78D8">
      <w:pPr>
        <w:pStyle w:val="FootnoteText"/>
        <w:rPr>
          <w:lang w:val="en-US"/>
        </w:rPr>
      </w:pPr>
      <w:r>
        <w:rPr>
          <w:rStyle w:val="FootnoteReference"/>
        </w:rPr>
        <w:footnoteRef/>
      </w:r>
      <w:r>
        <w:tab/>
      </w:r>
      <w:r w:rsidRPr="00A16AAC">
        <w:t>NSWLRC</w:t>
      </w:r>
      <w:r>
        <w:rPr>
          <w:lang w:val="en-US"/>
        </w:rPr>
        <w:t xml:space="preserve">,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222.</w:t>
      </w:r>
    </w:p>
  </w:footnote>
  <w:footnote w:id="845">
    <w:p w14:paraId="3F28E5B6" w14:textId="38EE7BE4" w:rsidR="00EE78D8" w:rsidRPr="00B9394B" w:rsidRDefault="00EE78D8">
      <w:pPr>
        <w:pStyle w:val="FootnoteText"/>
        <w:rPr>
          <w:lang w:val="en-US"/>
        </w:rPr>
      </w:pPr>
      <w:r>
        <w:rPr>
          <w:rStyle w:val="FootnoteReference"/>
        </w:rPr>
        <w:footnoteRef/>
      </w:r>
      <w:r>
        <w:tab/>
      </w:r>
      <w:r>
        <w:rPr>
          <w:lang w:val="en-US"/>
        </w:rPr>
        <w:t>Ibid 223.</w:t>
      </w:r>
    </w:p>
  </w:footnote>
  <w:footnote w:id="846">
    <w:p w14:paraId="061CF8A9" w14:textId="1DD5872A" w:rsidR="00EE78D8" w:rsidRPr="00B9394B" w:rsidRDefault="00EE78D8">
      <w:pPr>
        <w:pStyle w:val="FootnoteText"/>
        <w:rPr>
          <w:lang w:val="en-US"/>
        </w:rPr>
      </w:pPr>
      <w:r>
        <w:rPr>
          <w:rStyle w:val="FootnoteReference"/>
        </w:rPr>
        <w:footnoteRef/>
      </w:r>
      <w:r>
        <w:t xml:space="preserve"> </w:t>
      </w:r>
      <w:r>
        <w:tab/>
      </w:r>
      <w:r>
        <w:rPr>
          <w:lang w:val="en-US"/>
        </w:rPr>
        <w:t xml:space="preserve">See 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Appendix F.</w:t>
      </w:r>
    </w:p>
  </w:footnote>
  <w:footnote w:id="847">
    <w:p w14:paraId="56926D4F" w14:textId="16F913B0" w:rsidR="00EE78D8" w:rsidRPr="00672841" w:rsidRDefault="00EE78D8">
      <w:pPr>
        <w:pStyle w:val="FootnoteText"/>
        <w:rPr>
          <w:lang w:val="en-US"/>
        </w:rPr>
      </w:pPr>
      <w:r>
        <w:rPr>
          <w:rStyle w:val="FootnoteReference"/>
        </w:rPr>
        <w:footnoteRef/>
      </w:r>
      <w:r>
        <w:t xml:space="preserve"> </w:t>
      </w:r>
      <w:r>
        <w:tab/>
      </w:r>
      <w:r>
        <w:rPr>
          <w:lang w:val="en-US"/>
        </w:rPr>
        <w:t>See ibid 370–372.</w:t>
      </w:r>
    </w:p>
  </w:footnote>
  <w:footnote w:id="848">
    <w:p w14:paraId="1434D266" w14:textId="3013BCCF" w:rsidR="00EE78D8" w:rsidRPr="00B9394B" w:rsidRDefault="00EE78D8">
      <w:pPr>
        <w:pStyle w:val="FootnoteText"/>
        <w:rPr>
          <w:lang w:val="en-US"/>
        </w:rPr>
      </w:pPr>
      <w:r>
        <w:rPr>
          <w:rStyle w:val="FootnoteReference"/>
        </w:rPr>
        <w:footnoteRef/>
      </w:r>
      <w:r>
        <w:t xml:space="preserve"> </w:t>
      </w:r>
      <w:r>
        <w:tab/>
      </w:r>
      <w:r>
        <w:rPr>
          <w:lang w:val="en-US"/>
        </w:rPr>
        <w:t>Ibid 371.</w:t>
      </w:r>
    </w:p>
  </w:footnote>
  <w:footnote w:id="849">
    <w:p w14:paraId="045751CF" w14:textId="003F2905" w:rsidR="00EE78D8" w:rsidRPr="00847E0C" w:rsidRDefault="00EE78D8">
      <w:pPr>
        <w:pStyle w:val="FootnoteText"/>
        <w:rPr>
          <w:lang w:val="en-US"/>
        </w:rPr>
      </w:pPr>
      <w:r>
        <w:rPr>
          <w:rStyle w:val="FootnoteReference"/>
        </w:rPr>
        <w:footnoteRef/>
      </w:r>
      <w:r>
        <w:t xml:space="preserve"> </w:t>
      </w:r>
      <w:r>
        <w:tab/>
      </w:r>
      <w:r>
        <w:rPr>
          <w:lang w:val="en-US"/>
        </w:rPr>
        <w:t>Ibid.</w:t>
      </w:r>
    </w:p>
  </w:footnote>
  <w:footnote w:id="850">
    <w:p w14:paraId="4BD48C56" w14:textId="121553CD" w:rsidR="00EE78D8" w:rsidRPr="00847E0C" w:rsidRDefault="00EE78D8">
      <w:pPr>
        <w:pStyle w:val="FootnoteText"/>
        <w:rPr>
          <w:lang w:val="en-US"/>
        </w:rPr>
      </w:pPr>
      <w:r>
        <w:rPr>
          <w:rStyle w:val="FootnoteReference"/>
        </w:rPr>
        <w:footnoteRef/>
      </w:r>
      <w:r>
        <w:t xml:space="preserve"> </w:t>
      </w:r>
      <w:r>
        <w:tab/>
      </w:r>
      <w:r>
        <w:rPr>
          <w:lang w:val="en-US"/>
        </w:rPr>
        <w:t>Ibid. It is noted that the VLRC recommended removing the current nominal term system with a system of progress reviews, with the first progress review to be held at five years: at 367–369.</w:t>
      </w:r>
    </w:p>
  </w:footnote>
  <w:footnote w:id="851">
    <w:p w14:paraId="47118855" w14:textId="0B17E247" w:rsidR="00EE78D8" w:rsidRPr="00744C6A" w:rsidRDefault="00EE78D8">
      <w:pPr>
        <w:pStyle w:val="FootnoteText"/>
        <w:rPr>
          <w:lang w:val="en-US"/>
        </w:rPr>
      </w:pPr>
      <w:r>
        <w:rPr>
          <w:rStyle w:val="FootnoteReference"/>
        </w:rPr>
        <w:footnoteRef/>
      </w:r>
      <w:r>
        <w:t xml:space="preserve"> </w:t>
      </w:r>
      <w:r>
        <w:tab/>
        <w:t xml:space="preserve">Ibid 372 </w:t>
      </w:r>
      <w:r>
        <w:rPr>
          <w:lang w:val="en-US"/>
        </w:rPr>
        <w:t xml:space="preserve">Recommendation 85. </w:t>
      </w:r>
    </w:p>
  </w:footnote>
  <w:footnote w:id="852">
    <w:p w14:paraId="32A87CA4" w14:textId="377F4175" w:rsidR="00EE78D8" w:rsidRPr="00A65B50" w:rsidRDefault="00EE78D8">
      <w:pPr>
        <w:pStyle w:val="FootnoteText"/>
        <w:rPr>
          <w:lang w:val="en-US"/>
        </w:rPr>
      </w:pPr>
      <w:r>
        <w:rPr>
          <w:rStyle w:val="FootnoteReference"/>
        </w:rPr>
        <w:footnoteRef/>
      </w:r>
      <w:r>
        <w:tab/>
        <w:t xml:space="preserve">Ibid </w:t>
      </w:r>
      <w:r>
        <w:rPr>
          <w:lang w:val="en-US"/>
        </w:rPr>
        <w:t>372. See [8.3.67] for a discussion of extended leave.</w:t>
      </w:r>
    </w:p>
  </w:footnote>
  <w:footnote w:id="853">
    <w:p w14:paraId="219261E4" w14:textId="54BFD5F1" w:rsidR="00EE78D8" w:rsidRPr="00423063" w:rsidRDefault="00EE78D8" w:rsidP="005B08CB">
      <w:pPr>
        <w:pStyle w:val="FootnoteText"/>
        <w:rPr>
          <w:lang w:val="en-US"/>
        </w:rPr>
      </w:pPr>
      <w:r>
        <w:rPr>
          <w:rStyle w:val="FootnoteReference"/>
        </w:rPr>
        <w:footnoteRef/>
      </w:r>
      <w:r>
        <w:tab/>
      </w:r>
      <w:r>
        <w:rPr>
          <w:lang w:val="en-US"/>
        </w:rPr>
        <w:t>See [8.2.17].</w:t>
      </w:r>
    </w:p>
  </w:footnote>
  <w:footnote w:id="854">
    <w:p w14:paraId="47804722" w14:textId="1763E86A" w:rsidR="00EE78D8" w:rsidRPr="008B416A" w:rsidRDefault="00EE78D8">
      <w:pPr>
        <w:pStyle w:val="FootnoteText"/>
        <w:rPr>
          <w:lang w:val="en-US"/>
        </w:rPr>
      </w:pPr>
      <w:r>
        <w:rPr>
          <w:rStyle w:val="FootnoteReference"/>
        </w:rPr>
        <w:footnoteRef/>
      </w:r>
      <w:r>
        <w:tab/>
      </w:r>
      <w:r w:rsidRPr="00F6658F">
        <w:rPr>
          <w:lang w:val="en-US"/>
        </w:rPr>
        <w:t xml:space="preserve">It is noted that a certificate issued by the MHT is not a pre-requisite for the discharge of the order and an offender may apply under the </w:t>
      </w:r>
      <w:r w:rsidRPr="00F6658F">
        <w:rPr>
          <w:i/>
          <w:lang w:val="en-US"/>
        </w:rPr>
        <w:t xml:space="preserve">Criminal Justice (Mental Impairment) Act 1999 </w:t>
      </w:r>
      <w:r w:rsidRPr="00F6658F">
        <w:rPr>
          <w:lang w:val="en-US"/>
        </w:rPr>
        <w:t>(Tas), see [8.2.17].</w:t>
      </w:r>
    </w:p>
  </w:footnote>
  <w:footnote w:id="855">
    <w:p w14:paraId="452F9B30" w14:textId="18E9827F" w:rsidR="00EE78D8" w:rsidRPr="004E1C69" w:rsidRDefault="00EE78D8" w:rsidP="004E1C69">
      <w:pPr>
        <w:pStyle w:val="FootnoteText"/>
        <w:rPr>
          <w:lang w:val="en-US"/>
        </w:rPr>
      </w:pPr>
      <w:r>
        <w:rPr>
          <w:rStyle w:val="FootnoteReference"/>
        </w:rPr>
        <w:footnoteRef/>
      </w:r>
      <w:r>
        <w:tab/>
      </w:r>
      <w:r>
        <w:rPr>
          <w:lang w:val="en-US"/>
        </w:rPr>
        <w:t>See [8.3.38].</w:t>
      </w:r>
    </w:p>
  </w:footnote>
  <w:footnote w:id="856">
    <w:p w14:paraId="27675BDC" w14:textId="1D057819" w:rsidR="00EE78D8" w:rsidRPr="005C223B" w:rsidRDefault="00EE78D8" w:rsidP="005C223B">
      <w:pPr>
        <w:pStyle w:val="FootnoteText"/>
        <w:rPr>
          <w:lang w:val="en-US"/>
        </w:rPr>
      </w:pPr>
      <w:r>
        <w:rPr>
          <w:rStyle w:val="FootnoteReference"/>
        </w:rPr>
        <w:footnoteRef/>
      </w:r>
      <w:r>
        <w:tab/>
      </w:r>
      <w:r w:rsidRPr="008B416A">
        <w:rPr>
          <w:i/>
          <w:lang w:val="en-US"/>
        </w:rPr>
        <w:t>Mental Health Act 2013</w:t>
      </w:r>
      <w:r>
        <w:rPr>
          <w:lang w:val="en-US"/>
        </w:rPr>
        <w:t xml:space="preserve"> </w:t>
      </w:r>
      <w:r w:rsidRPr="005C223B">
        <w:rPr>
          <w:lang w:val="en-US"/>
        </w:rPr>
        <w:t>(Tas) s 168.</w:t>
      </w:r>
    </w:p>
  </w:footnote>
  <w:footnote w:id="857">
    <w:p w14:paraId="433BC1AA" w14:textId="0D06E39E" w:rsidR="00EE78D8" w:rsidRPr="008D36B4" w:rsidRDefault="00EE78D8" w:rsidP="008B09A5">
      <w:pPr>
        <w:pStyle w:val="FootnoteText"/>
        <w:spacing w:after="40"/>
        <w:rPr>
          <w:lang w:val="en-US"/>
        </w:rPr>
      </w:pPr>
      <w:r>
        <w:rPr>
          <w:rStyle w:val="FootnoteReference"/>
        </w:rPr>
        <w:footnoteRef/>
      </w:r>
      <w:r>
        <w:tab/>
      </w:r>
      <w:r w:rsidRPr="007B3E02">
        <w:t xml:space="preserve">NZLC, above n </w:t>
      </w:r>
      <w:r w:rsidRPr="007B3E02">
        <w:fldChar w:fldCharType="begin"/>
      </w:r>
      <w:r w:rsidRPr="007B3E02">
        <w:instrText xml:space="preserve"> NOTEREF _Ref535342070 \h </w:instrText>
      </w:r>
      <w:r>
        <w:instrText xml:space="preserve"> \* MERGEFORMAT </w:instrText>
      </w:r>
      <w:r w:rsidRPr="007B3E02">
        <w:fldChar w:fldCharType="separate"/>
      </w:r>
      <w:r w:rsidR="001F209C">
        <w:t>440</w:t>
      </w:r>
      <w:r w:rsidRPr="007B3E02">
        <w:fldChar w:fldCharType="end"/>
      </w:r>
      <w:r w:rsidRPr="007B3E02">
        <w:t>,</w:t>
      </w:r>
      <w:r w:rsidRPr="007B3E02">
        <w:rPr>
          <w:lang w:val="en-US"/>
        </w:rPr>
        <w:t xml:space="preserve"> 80</w:t>
      </w:r>
      <w:r>
        <w:rPr>
          <w:lang w:val="en-US"/>
        </w:rPr>
        <w:t>. It was noted that this is also the position in Canada.</w:t>
      </w:r>
    </w:p>
  </w:footnote>
  <w:footnote w:id="858">
    <w:p w14:paraId="42DACDCF" w14:textId="0DA9BB43" w:rsidR="00EE78D8" w:rsidRPr="00A03957" w:rsidRDefault="00EE78D8" w:rsidP="008B09A5">
      <w:pPr>
        <w:pStyle w:val="FootnoteText"/>
        <w:spacing w:after="40"/>
        <w:rPr>
          <w:lang w:val="en-US"/>
        </w:rPr>
      </w:pPr>
      <w:r>
        <w:rPr>
          <w:rStyle w:val="FootnoteReference"/>
        </w:rPr>
        <w:footnoteRef/>
      </w:r>
      <w:r>
        <w:tab/>
      </w:r>
      <w:r>
        <w:rPr>
          <w:lang w:val="en-US"/>
        </w:rPr>
        <w:t xml:space="preserve">See VLRC, above n </w:t>
      </w:r>
      <w:r>
        <w:rPr>
          <w:lang w:val="en-US"/>
        </w:rPr>
        <w:fldChar w:fldCharType="begin"/>
      </w:r>
      <w:r>
        <w:rPr>
          <w:lang w:val="en-US"/>
        </w:rPr>
        <w:instrText xml:space="preserve"> NOTEREF _Ref534979326 \h </w:instrText>
      </w:r>
      <w:r>
        <w:rPr>
          <w:lang w:val="en-US"/>
        </w:rPr>
      </w:r>
      <w:r>
        <w:rPr>
          <w:lang w:val="en-US"/>
        </w:rPr>
        <w:fldChar w:fldCharType="separate"/>
      </w:r>
      <w:r w:rsidR="001F209C">
        <w:rPr>
          <w:lang w:val="en-US"/>
        </w:rPr>
        <w:t>26</w:t>
      </w:r>
      <w:r>
        <w:rPr>
          <w:lang w:val="en-US"/>
        </w:rPr>
        <w:fldChar w:fldCharType="end"/>
      </w:r>
      <w:r>
        <w:rPr>
          <w:lang w:val="en-US"/>
        </w:rPr>
        <w:t>, 199.</w:t>
      </w:r>
    </w:p>
  </w:footnote>
  <w:footnote w:id="859">
    <w:p w14:paraId="529514B8" w14:textId="0E10F66C" w:rsidR="00EE78D8" w:rsidRPr="00A03957" w:rsidRDefault="00EE78D8" w:rsidP="008B09A5">
      <w:pPr>
        <w:pStyle w:val="FootnoteText"/>
        <w:spacing w:after="40"/>
        <w:rPr>
          <w:lang w:val="en-US"/>
        </w:rPr>
      </w:pPr>
      <w:r>
        <w:rPr>
          <w:rStyle w:val="FootnoteReference"/>
        </w:rPr>
        <w:footnoteRef/>
      </w:r>
      <w:r>
        <w:tab/>
        <w:t xml:space="preserve">Queensland Government, </w:t>
      </w:r>
      <w:r>
        <w:rPr>
          <w:i/>
        </w:rPr>
        <w:t xml:space="preserve">Mental Health Review Tribunal Information Sheet </w:t>
      </w:r>
      <w:r>
        <w:t xml:space="preserve">(2018) 2; </w:t>
      </w:r>
      <w:r>
        <w:rPr>
          <w:i/>
        </w:rPr>
        <w:t xml:space="preserve">Mental Health Act 2016 </w:t>
      </w:r>
      <w:r>
        <w:t>(Qld) ch 12 pt 3.</w:t>
      </w:r>
    </w:p>
  </w:footnote>
  <w:footnote w:id="860">
    <w:p w14:paraId="1FD3B769" w14:textId="0461EBE9" w:rsidR="00EE78D8" w:rsidRPr="00A03957" w:rsidRDefault="00EE78D8" w:rsidP="008B09A5">
      <w:pPr>
        <w:pStyle w:val="FootnoteText"/>
        <w:spacing w:after="40"/>
        <w:rPr>
          <w:lang w:val="en-US"/>
        </w:rPr>
      </w:pPr>
      <w:r>
        <w:rPr>
          <w:rStyle w:val="FootnoteReference"/>
        </w:rPr>
        <w:footnoteRef/>
      </w:r>
      <w:r>
        <w:tab/>
      </w:r>
      <w:r w:rsidRPr="00A03957">
        <w:rPr>
          <w:i/>
          <w:lang w:val="en-US"/>
        </w:rPr>
        <w:t>Mental Health (Forensic Provisions Act) 1990</w:t>
      </w:r>
      <w:r>
        <w:rPr>
          <w:lang w:val="en-US"/>
        </w:rPr>
        <w:t xml:space="preserve"> (NSW) ss 44(2), 47(1)(1b).</w:t>
      </w:r>
    </w:p>
  </w:footnote>
  <w:footnote w:id="861">
    <w:p w14:paraId="31DA2346" w14:textId="56774FE8" w:rsidR="00EE78D8" w:rsidRPr="00A03957" w:rsidRDefault="00EE78D8" w:rsidP="008B09A5">
      <w:pPr>
        <w:pStyle w:val="FootnoteText"/>
        <w:spacing w:after="40"/>
        <w:rPr>
          <w:lang w:val="en-US"/>
        </w:rPr>
      </w:pPr>
      <w:r>
        <w:rPr>
          <w:rStyle w:val="FootnoteReference"/>
        </w:rPr>
        <w:footnoteRef/>
      </w:r>
      <w:r>
        <w:tab/>
      </w:r>
      <w:r>
        <w:rPr>
          <w:lang w:val="en-US"/>
        </w:rPr>
        <w:t>Ibid s 77(3).</w:t>
      </w:r>
    </w:p>
  </w:footnote>
  <w:footnote w:id="862">
    <w:p w14:paraId="42D9BEF9" w14:textId="6156B985" w:rsidR="00EE78D8" w:rsidRPr="008D36B4" w:rsidRDefault="00EE78D8" w:rsidP="008B09A5">
      <w:pPr>
        <w:pStyle w:val="FootnoteText"/>
        <w:spacing w:after="40"/>
        <w:rPr>
          <w:lang w:val="en-US"/>
        </w:rPr>
      </w:pPr>
      <w:r>
        <w:rPr>
          <w:rStyle w:val="FootnoteReference"/>
        </w:rPr>
        <w:footnoteRef/>
      </w:r>
      <w:r>
        <w:tab/>
      </w:r>
      <w:r w:rsidRPr="007B3E02">
        <w:t xml:space="preserve">NZLC, above n </w:t>
      </w:r>
      <w:r w:rsidRPr="007B3E02">
        <w:fldChar w:fldCharType="begin"/>
      </w:r>
      <w:r w:rsidRPr="007B3E02">
        <w:instrText xml:space="preserve"> NOTEREF _Ref535342070 \h </w:instrText>
      </w:r>
      <w:r>
        <w:instrText xml:space="preserve"> \* MERGEFORMAT </w:instrText>
      </w:r>
      <w:r w:rsidRPr="007B3E02">
        <w:fldChar w:fldCharType="separate"/>
      </w:r>
      <w:r w:rsidR="001F209C">
        <w:t>440</w:t>
      </w:r>
      <w:r w:rsidRPr="007B3E02">
        <w:fldChar w:fldCharType="end"/>
      </w:r>
      <w:r w:rsidRPr="007B3E02">
        <w:t>,</w:t>
      </w:r>
      <w:r>
        <w:rPr>
          <w:lang w:val="en-US"/>
        </w:rPr>
        <w:t xml:space="preserve"> 89.</w:t>
      </w:r>
    </w:p>
  </w:footnote>
  <w:footnote w:id="863">
    <w:p w14:paraId="2D8A55E5" w14:textId="281A3BAF" w:rsidR="00EE78D8" w:rsidRPr="00A03957" w:rsidRDefault="00EE78D8" w:rsidP="008B09A5">
      <w:pPr>
        <w:pStyle w:val="FootnoteText"/>
        <w:spacing w:after="40"/>
        <w:rPr>
          <w:lang w:val="en-US"/>
        </w:rPr>
      </w:pPr>
      <w:r>
        <w:rPr>
          <w:rStyle w:val="FootnoteReference"/>
        </w:rPr>
        <w:footnoteRef/>
      </w:r>
      <w:r>
        <w:rPr>
          <w:i/>
          <w:lang w:val="en-US"/>
        </w:rPr>
        <w:tab/>
        <w:t xml:space="preserve">Mental Health Act 2015 </w:t>
      </w:r>
      <w:r w:rsidRPr="00A03957">
        <w:rPr>
          <w:lang w:val="en-US"/>
        </w:rPr>
        <w:t>(ACT) s</w:t>
      </w:r>
      <w:r>
        <w:rPr>
          <w:lang w:val="en-US"/>
        </w:rPr>
        <w:t>s</w:t>
      </w:r>
      <w:r w:rsidRPr="00A03957">
        <w:rPr>
          <w:lang w:val="en-US"/>
        </w:rPr>
        <w:t xml:space="preserve"> </w:t>
      </w:r>
      <w:r>
        <w:rPr>
          <w:lang w:val="en-US"/>
        </w:rPr>
        <w:t>180–183</w:t>
      </w:r>
      <w:r>
        <w:rPr>
          <w:i/>
          <w:lang w:val="en-US"/>
        </w:rPr>
        <w:t>.</w:t>
      </w:r>
    </w:p>
  </w:footnote>
  <w:footnote w:id="864">
    <w:p w14:paraId="74B74FCE" w14:textId="4DFE9D36" w:rsidR="00EE78D8" w:rsidRPr="00C147BE" w:rsidRDefault="00EE78D8" w:rsidP="008B09A5">
      <w:pPr>
        <w:pStyle w:val="FootnoteText"/>
        <w:spacing w:after="40"/>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_Ref534979326 \h </w:instrText>
      </w:r>
      <w:r>
        <w:rPr>
          <w:lang w:val="en-US"/>
        </w:rPr>
      </w:r>
      <w:r>
        <w:rPr>
          <w:lang w:val="en-US"/>
        </w:rPr>
        <w:fldChar w:fldCharType="separate"/>
      </w:r>
      <w:r w:rsidR="001F209C">
        <w:rPr>
          <w:lang w:val="en-US"/>
        </w:rPr>
        <w:t>26</w:t>
      </w:r>
      <w:r>
        <w:rPr>
          <w:lang w:val="en-US"/>
        </w:rPr>
        <w:fldChar w:fldCharType="end"/>
      </w:r>
      <w:r>
        <w:rPr>
          <w:lang w:val="en-US"/>
        </w:rPr>
        <w:t>, 200.</w:t>
      </w:r>
    </w:p>
  </w:footnote>
  <w:footnote w:id="865">
    <w:p w14:paraId="1ED2A9EA" w14:textId="6926B718" w:rsidR="00EE78D8" w:rsidRPr="00423063" w:rsidRDefault="00EE78D8" w:rsidP="008B09A5">
      <w:pPr>
        <w:pStyle w:val="FootnoteText"/>
        <w:spacing w:after="40"/>
        <w:rPr>
          <w:i/>
          <w:lang w:val="en-US"/>
        </w:rPr>
      </w:pPr>
      <w:r>
        <w:rPr>
          <w:rStyle w:val="FootnoteReference"/>
        </w:rPr>
        <w:footnoteRef/>
      </w:r>
      <w:r>
        <w:tab/>
      </w:r>
      <w:r>
        <w:rPr>
          <w:lang w:val="en-US"/>
        </w:rPr>
        <w:t xml:space="preserve">Ibid quoting Freckelton, above n </w:t>
      </w:r>
      <w:r>
        <w:rPr>
          <w:lang w:val="en-US"/>
        </w:rPr>
        <w:fldChar w:fldCharType="begin"/>
      </w:r>
      <w:r>
        <w:rPr>
          <w:lang w:val="en-US"/>
        </w:rPr>
        <w:instrText xml:space="preserve"> NOTEREF _Ref535767408 \h </w:instrText>
      </w:r>
      <w:r>
        <w:rPr>
          <w:lang w:val="en-US"/>
        </w:rPr>
      </w:r>
      <w:r>
        <w:rPr>
          <w:lang w:val="en-US"/>
        </w:rPr>
        <w:fldChar w:fldCharType="separate"/>
      </w:r>
      <w:r w:rsidR="001F209C">
        <w:rPr>
          <w:lang w:val="en-US"/>
        </w:rPr>
        <w:t>641</w:t>
      </w:r>
      <w:r>
        <w:rPr>
          <w:lang w:val="en-US"/>
        </w:rPr>
        <w:fldChar w:fldCharType="end"/>
      </w:r>
      <w:r>
        <w:rPr>
          <w:lang w:val="en-US"/>
        </w:rPr>
        <w:t>,</w:t>
      </w:r>
      <w:r w:rsidRPr="00423063">
        <w:rPr>
          <w:lang w:val="en-US"/>
        </w:rPr>
        <w:t xml:space="preserve"> 399</w:t>
      </w:r>
      <w:r>
        <w:rPr>
          <w:i/>
          <w:lang w:val="en-US"/>
        </w:rPr>
        <w:t>.</w:t>
      </w:r>
    </w:p>
  </w:footnote>
  <w:footnote w:id="866">
    <w:p w14:paraId="497B504F" w14:textId="114898F0" w:rsidR="00EE78D8" w:rsidRPr="008D36B4" w:rsidRDefault="00EE78D8">
      <w:pPr>
        <w:pStyle w:val="FootnoteText"/>
        <w:rPr>
          <w:lang w:val="en-US"/>
        </w:rPr>
      </w:pPr>
      <w:r>
        <w:rPr>
          <w:rStyle w:val="FootnoteReference"/>
        </w:rPr>
        <w:footnoteRef/>
      </w:r>
      <w:r>
        <w:tab/>
        <w:t xml:space="preserve">NZLC, </w:t>
      </w:r>
      <w:r w:rsidRPr="007B3E02">
        <w:t xml:space="preserve">above n </w:t>
      </w:r>
      <w:r w:rsidRPr="007B3E02">
        <w:fldChar w:fldCharType="begin"/>
      </w:r>
      <w:r w:rsidRPr="007B3E02">
        <w:instrText xml:space="preserve"> NOTEREF _Ref535342070 \h </w:instrText>
      </w:r>
      <w:r>
        <w:instrText xml:space="preserve"> \* MERGEFORMAT </w:instrText>
      </w:r>
      <w:r w:rsidRPr="007B3E02">
        <w:fldChar w:fldCharType="separate"/>
      </w:r>
      <w:r w:rsidR="001F209C">
        <w:t>440</w:t>
      </w:r>
      <w:r w:rsidRPr="007B3E02">
        <w:fldChar w:fldCharType="end"/>
      </w:r>
      <w:r w:rsidRPr="007B3E02">
        <w:t>,</w:t>
      </w:r>
      <w:r>
        <w:rPr>
          <w:lang w:val="en-US"/>
        </w:rPr>
        <w:t xml:space="preserve"> 84.</w:t>
      </w:r>
    </w:p>
  </w:footnote>
  <w:footnote w:id="867">
    <w:p w14:paraId="11A11503" w14:textId="4B215912" w:rsidR="00EE78D8" w:rsidRPr="00C147BE" w:rsidRDefault="00EE78D8">
      <w:pPr>
        <w:pStyle w:val="FootnoteText"/>
        <w:rPr>
          <w:lang w:val="en-US"/>
        </w:rPr>
      </w:pPr>
      <w:r>
        <w:rPr>
          <w:rStyle w:val="FootnoteReference"/>
        </w:rPr>
        <w:footnoteRef/>
      </w:r>
      <w:r>
        <w:tab/>
        <w:t xml:space="preserve">VLRC, </w:t>
      </w:r>
      <w:r>
        <w:rPr>
          <w:lang w:val="en-US"/>
        </w:rPr>
        <w:t xml:space="preserve">above n </w:t>
      </w:r>
      <w:r>
        <w:rPr>
          <w:lang w:val="en-US"/>
        </w:rPr>
        <w:fldChar w:fldCharType="begin"/>
      </w:r>
      <w:r>
        <w:rPr>
          <w:lang w:val="en-US"/>
        </w:rPr>
        <w:instrText xml:space="preserve"> NOTEREF _Ref534979326 \h </w:instrText>
      </w:r>
      <w:r>
        <w:rPr>
          <w:lang w:val="en-US"/>
        </w:rPr>
      </w:r>
      <w:r>
        <w:rPr>
          <w:lang w:val="en-US"/>
        </w:rPr>
        <w:fldChar w:fldCharType="separate"/>
      </w:r>
      <w:r w:rsidR="001F209C">
        <w:rPr>
          <w:lang w:val="en-US"/>
        </w:rPr>
        <w:t>26</w:t>
      </w:r>
      <w:r>
        <w:rPr>
          <w:lang w:val="en-US"/>
        </w:rPr>
        <w:fldChar w:fldCharType="end"/>
      </w:r>
      <w:r>
        <w:rPr>
          <w:lang w:val="en-US"/>
        </w:rPr>
        <w:t>, 200.</w:t>
      </w:r>
    </w:p>
  </w:footnote>
  <w:footnote w:id="868">
    <w:p w14:paraId="48102F99" w14:textId="560BE131" w:rsidR="00EE78D8" w:rsidRPr="00C147BE" w:rsidRDefault="00EE78D8">
      <w:pPr>
        <w:pStyle w:val="FootnoteText"/>
        <w:rPr>
          <w:lang w:val="en-US"/>
        </w:rPr>
      </w:pPr>
      <w:r>
        <w:rPr>
          <w:rStyle w:val="FootnoteReference"/>
        </w:rPr>
        <w:footnoteRef/>
      </w:r>
      <w:r>
        <w:rPr>
          <w:lang w:val="en-US"/>
        </w:rPr>
        <w:tab/>
        <w:t>Ibid.</w:t>
      </w:r>
    </w:p>
  </w:footnote>
  <w:footnote w:id="869">
    <w:p w14:paraId="6896A8AB" w14:textId="20CB09EA" w:rsidR="00EE78D8" w:rsidRPr="00C147BE" w:rsidRDefault="00EE78D8">
      <w:pPr>
        <w:pStyle w:val="FootnoteText"/>
        <w:rPr>
          <w:lang w:val="en-US"/>
        </w:rPr>
      </w:pPr>
      <w:r>
        <w:rPr>
          <w:rStyle w:val="FootnoteReference"/>
        </w:rPr>
        <w:footnoteRef/>
      </w:r>
      <w:r>
        <w:tab/>
      </w:r>
      <w:r>
        <w:rPr>
          <w:lang w:val="en-US"/>
        </w:rPr>
        <w:t>Ibid.</w:t>
      </w:r>
    </w:p>
  </w:footnote>
  <w:footnote w:id="870">
    <w:p w14:paraId="156A6D2C" w14:textId="423EEE78" w:rsidR="00EE78D8" w:rsidRPr="00C147BE"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347.</w:t>
      </w:r>
    </w:p>
  </w:footnote>
  <w:footnote w:id="871">
    <w:p w14:paraId="797F1A7A" w14:textId="73D38FD7" w:rsidR="00EE78D8" w:rsidRPr="00C147BE" w:rsidRDefault="00EE78D8">
      <w:pPr>
        <w:pStyle w:val="FootnoteText"/>
        <w:rPr>
          <w:lang w:val="en-US"/>
        </w:rPr>
      </w:pPr>
      <w:r>
        <w:rPr>
          <w:rStyle w:val="FootnoteReference"/>
        </w:rPr>
        <w:footnoteRef/>
      </w:r>
      <w:r>
        <w:tab/>
      </w:r>
      <w:r>
        <w:rPr>
          <w:lang w:val="en-US"/>
        </w:rPr>
        <w:t>Ibid.</w:t>
      </w:r>
    </w:p>
  </w:footnote>
  <w:footnote w:id="872">
    <w:p w14:paraId="33C6BACD" w14:textId="14E5494D" w:rsidR="00EE78D8" w:rsidRPr="008D36B4" w:rsidRDefault="00EE78D8">
      <w:pPr>
        <w:pStyle w:val="FootnoteText"/>
        <w:rPr>
          <w:lang w:val="en-US"/>
        </w:rPr>
      </w:pPr>
      <w:r>
        <w:rPr>
          <w:rStyle w:val="FootnoteReference"/>
        </w:rPr>
        <w:footnoteRef/>
      </w:r>
      <w:r>
        <w:tab/>
        <w:t xml:space="preserve">NZLC, </w:t>
      </w:r>
      <w:r w:rsidRPr="007B3E02">
        <w:t xml:space="preserve">above n </w:t>
      </w:r>
      <w:r w:rsidRPr="007B3E02">
        <w:fldChar w:fldCharType="begin"/>
      </w:r>
      <w:r w:rsidRPr="007B3E02">
        <w:instrText xml:space="preserve"> NOTEREF _Ref535342070 \h </w:instrText>
      </w:r>
      <w:r>
        <w:instrText xml:space="preserve"> \* MERGEFORMAT </w:instrText>
      </w:r>
      <w:r w:rsidRPr="007B3E02">
        <w:fldChar w:fldCharType="separate"/>
      </w:r>
      <w:r w:rsidR="001F209C">
        <w:t>440</w:t>
      </w:r>
      <w:r w:rsidRPr="007B3E02">
        <w:fldChar w:fldCharType="end"/>
      </w:r>
      <w:r w:rsidRPr="007B3E02">
        <w:t>,</w:t>
      </w:r>
      <w:r>
        <w:rPr>
          <w:lang w:val="en-US"/>
        </w:rPr>
        <w:t xml:space="preserve"> 84 Recommendation R16.</w:t>
      </w:r>
    </w:p>
  </w:footnote>
  <w:footnote w:id="873">
    <w:p w14:paraId="26B4F2B8" w14:textId="318102FB" w:rsidR="00EE78D8" w:rsidRPr="005C223B" w:rsidRDefault="00EE78D8">
      <w:pPr>
        <w:pStyle w:val="FootnoteText"/>
        <w:rPr>
          <w:lang w:val="en-US"/>
        </w:rPr>
      </w:pPr>
      <w:r>
        <w:rPr>
          <w:rStyle w:val="FootnoteReference"/>
        </w:rPr>
        <w:footnoteRef/>
      </w:r>
      <w:r>
        <w:tab/>
      </w:r>
      <w:r>
        <w:rPr>
          <w:lang w:val="en-US"/>
        </w:rPr>
        <w:t xml:space="preserve">Mental Health Tribunal, </w:t>
      </w:r>
      <w:r w:rsidRPr="00296411">
        <w:rPr>
          <w:lang w:val="en-US"/>
        </w:rPr>
        <w:t xml:space="preserve">above n </w:t>
      </w:r>
      <w:r w:rsidRPr="00296411">
        <w:rPr>
          <w:lang w:val="en-US"/>
        </w:rPr>
        <w:fldChar w:fldCharType="begin"/>
      </w:r>
      <w:r w:rsidRPr="00296411">
        <w:rPr>
          <w:lang w:val="en-US"/>
        </w:rPr>
        <w:instrText xml:space="preserve"> NOTEREF _Ref535768290 \h </w:instrText>
      </w:r>
      <w:r>
        <w:rPr>
          <w:lang w:val="en-US"/>
        </w:rPr>
        <w:instrText xml:space="preserve"> \* MERGEFORMAT </w:instrText>
      </w:r>
      <w:r w:rsidRPr="00296411">
        <w:rPr>
          <w:lang w:val="en-US"/>
        </w:rPr>
      </w:r>
      <w:r w:rsidRPr="00296411">
        <w:rPr>
          <w:lang w:val="en-US"/>
        </w:rPr>
        <w:fldChar w:fldCharType="separate"/>
      </w:r>
      <w:r w:rsidR="001F209C">
        <w:rPr>
          <w:lang w:val="en-US"/>
        </w:rPr>
        <w:t>756</w:t>
      </w:r>
      <w:r w:rsidRPr="00296411">
        <w:rPr>
          <w:lang w:val="en-US"/>
        </w:rPr>
        <w:fldChar w:fldCharType="end"/>
      </w:r>
      <w:r>
        <w:rPr>
          <w:lang w:val="en-US"/>
        </w:rPr>
        <w:t>.</w:t>
      </w:r>
    </w:p>
  </w:footnote>
  <w:footnote w:id="874">
    <w:p w14:paraId="408023FB" w14:textId="275492C7" w:rsidR="00EE78D8" w:rsidRPr="00F41B62" w:rsidRDefault="00EE78D8" w:rsidP="003C6660">
      <w:pPr>
        <w:pStyle w:val="FootnoteText"/>
        <w:rPr>
          <w:lang w:val="en-US"/>
        </w:rPr>
      </w:pPr>
      <w:r>
        <w:rPr>
          <w:rStyle w:val="FootnoteReference"/>
        </w:rPr>
        <w:footnoteRef/>
      </w:r>
      <w:r>
        <w:tab/>
      </w:r>
      <w:r w:rsidRPr="003B1A72">
        <w:rPr>
          <w:lang w:val="en-US"/>
        </w:rPr>
        <w:t>See [8.3.35</w:t>
      </w:r>
      <w:r>
        <w:rPr>
          <w:lang w:val="en-US"/>
        </w:rPr>
        <w:t>].</w:t>
      </w:r>
    </w:p>
  </w:footnote>
  <w:footnote w:id="875">
    <w:p w14:paraId="05D4698E" w14:textId="714E6112" w:rsidR="00EE78D8" w:rsidRPr="009D2833" w:rsidRDefault="00EE78D8">
      <w:pPr>
        <w:pStyle w:val="FootnoteText"/>
        <w:rPr>
          <w:lang w:val="en-US"/>
        </w:rPr>
      </w:pPr>
      <w:r>
        <w:rPr>
          <w:rStyle w:val="FootnoteReference"/>
        </w:rPr>
        <w:footnoteRef/>
      </w:r>
      <w:r>
        <w:rPr>
          <w:lang w:val="en-US"/>
        </w:rPr>
        <w:tab/>
        <w:t>[2009] TASSC 65.</w:t>
      </w:r>
    </w:p>
  </w:footnote>
  <w:footnote w:id="876">
    <w:p w14:paraId="7592FE50" w14:textId="09959F27" w:rsidR="00EE78D8" w:rsidRPr="00B30712" w:rsidRDefault="00EE78D8" w:rsidP="00DD1010">
      <w:pPr>
        <w:pStyle w:val="FootnoteText"/>
        <w:jc w:val="left"/>
        <w:rPr>
          <w:lang w:val="en-US"/>
        </w:rPr>
      </w:pPr>
      <w:r>
        <w:rPr>
          <w:rStyle w:val="FootnoteReference"/>
        </w:rPr>
        <w:footnoteRef/>
      </w:r>
      <w:r>
        <w:tab/>
      </w:r>
      <w:r w:rsidRPr="00B30712">
        <w:rPr>
          <w:rStyle w:val="FootnoteTextTLRIChar"/>
        </w:rPr>
        <w:t xml:space="preserve">Tyenna Blue is an </w:t>
      </w:r>
      <w:r>
        <w:rPr>
          <w:rStyle w:val="FootnoteTextTLRIChar"/>
        </w:rPr>
        <w:t>approv</w:t>
      </w:r>
      <w:r w:rsidRPr="00B30712">
        <w:rPr>
          <w:rStyle w:val="FootnoteTextTLRIChar"/>
        </w:rPr>
        <w:t>ed hospital under the MHA and is a ‘six bed, high dependency unit which provides 24 hour care to individuals with a serious mental illness who require treatment in a secure environment’</w:t>
      </w:r>
      <w:r>
        <w:rPr>
          <w:rStyle w:val="FootnoteTextTLRIChar"/>
        </w:rPr>
        <w:t xml:space="preserve">: </w:t>
      </w:r>
      <w:r>
        <w:rPr>
          <w:lang w:val="en-US"/>
        </w:rPr>
        <w:t xml:space="preserve">Department of Health and Human Services, </w:t>
      </w:r>
      <w:r>
        <w:rPr>
          <w:i/>
          <w:lang w:val="en-US"/>
        </w:rPr>
        <w:t>Your Statewide and Mental Health Services Placement</w:t>
      </w:r>
      <w:r>
        <w:rPr>
          <w:lang w:val="en-US"/>
        </w:rPr>
        <w:t xml:space="preserve"> &lt;</w:t>
      </w:r>
      <w:r w:rsidRPr="00247DF9">
        <w:rPr>
          <w:lang w:val="en-US"/>
        </w:rPr>
        <w:t>http://www.dhhs.tas.gov.au/career/home/careers_archive/education/rntp/practice_settings/rntp_mental_health_nurses</w:t>
      </w:r>
      <w:r>
        <w:rPr>
          <w:lang w:val="en-US"/>
        </w:rPr>
        <w:t>&gt;.</w:t>
      </w:r>
    </w:p>
  </w:footnote>
  <w:footnote w:id="877">
    <w:p w14:paraId="645A0CC9" w14:textId="20656588" w:rsidR="00EE78D8" w:rsidRPr="00B30712" w:rsidRDefault="00EE78D8">
      <w:pPr>
        <w:pStyle w:val="FootnoteText"/>
        <w:rPr>
          <w:lang w:val="en-US"/>
        </w:rPr>
      </w:pPr>
      <w:r>
        <w:rPr>
          <w:rStyle w:val="FootnoteReference"/>
        </w:rPr>
        <w:footnoteRef/>
      </w:r>
      <w:r>
        <w:tab/>
      </w:r>
      <w:r w:rsidRPr="00296411">
        <w:rPr>
          <w:i/>
        </w:rPr>
        <w:t>Secretary of the Department of Health and Human Service v Horacek</w:t>
      </w:r>
      <w:r w:rsidRPr="00296411">
        <w:rPr>
          <w:lang w:val="en-US"/>
        </w:rPr>
        <w:t xml:space="preserve"> </w:t>
      </w:r>
      <w:r>
        <w:rPr>
          <w:lang w:val="en-US"/>
        </w:rPr>
        <w:t>[2009] TASSC 65, [51].</w:t>
      </w:r>
    </w:p>
  </w:footnote>
  <w:footnote w:id="878">
    <w:p w14:paraId="1E85581D" w14:textId="3B212583" w:rsidR="00EE78D8" w:rsidRPr="00B30712" w:rsidRDefault="00EE78D8">
      <w:pPr>
        <w:pStyle w:val="FootnoteText"/>
        <w:rPr>
          <w:lang w:val="en-US"/>
        </w:rPr>
      </w:pPr>
      <w:r>
        <w:rPr>
          <w:rStyle w:val="FootnoteReference"/>
        </w:rPr>
        <w:footnoteRef/>
      </w:r>
      <w:r>
        <w:tab/>
        <w:t xml:space="preserve">Ibid </w:t>
      </w:r>
      <w:r>
        <w:rPr>
          <w:lang w:val="en-US"/>
        </w:rPr>
        <w:t>[54].</w:t>
      </w:r>
    </w:p>
  </w:footnote>
  <w:footnote w:id="879">
    <w:p w14:paraId="228F1CCF" w14:textId="540C7491" w:rsidR="00EE78D8" w:rsidRPr="00BD5BC3" w:rsidRDefault="00EE78D8">
      <w:pPr>
        <w:pStyle w:val="FootnoteText"/>
        <w:rPr>
          <w:lang w:val="en-US"/>
        </w:rPr>
      </w:pPr>
      <w:r>
        <w:rPr>
          <w:rStyle w:val="FootnoteReference"/>
        </w:rPr>
        <w:footnoteRef/>
      </w:r>
      <w:r>
        <w:tab/>
        <w:t xml:space="preserve">Ibid </w:t>
      </w:r>
      <w:r>
        <w:rPr>
          <w:lang w:val="en-US"/>
        </w:rPr>
        <w:t>[60].</w:t>
      </w:r>
    </w:p>
  </w:footnote>
  <w:footnote w:id="880">
    <w:p w14:paraId="4EAB8BC2" w14:textId="1202E530" w:rsidR="00EE78D8" w:rsidRPr="00287224" w:rsidRDefault="00EE78D8">
      <w:pPr>
        <w:pStyle w:val="FootnoteText"/>
        <w:rPr>
          <w:lang w:val="en-US"/>
        </w:rPr>
      </w:pPr>
      <w:r>
        <w:rPr>
          <w:rStyle w:val="FootnoteReference"/>
        </w:rPr>
        <w:footnoteRef/>
      </w:r>
      <w:r>
        <w:tab/>
      </w:r>
      <w:r w:rsidRPr="00A16AAC">
        <w:t>Boyd-Caine and Chappell</w:t>
      </w:r>
      <w:r>
        <w:rPr>
          <w:lang w:val="en-US"/>
        </w:rPr>
        <w:t xml:space="preserve">, above n </w:t>
      </w:r>
      <w:r>
        <w:rPr>
          <w:lang w:val="en-US"/>
        </w:rPr>
        <w:fldChar w:fldCharType="begin"/>
      </w:r>
      <w:r>
        <w:rPr>
          <w:lang w:val="en-US"/>
        </w:rPr>
        <w:instrText xml:space="preserve"> NOTEREF _Ref535744079 \h </w:instrText>
      </w:r>
      <w:r>
        <w:rPr>
          <w:lang w:val="en-US"/>
        </w:rPr>
      </w:r>
      <w:r>
        <w:rPr>
          <w:lang w:val="en-US"/>
        </w:rPr>
        <w:fldChar w:fldCharType="separate"/>
      </w:r>
      <w:r w:rsidR="001F209C">
        <w:rPr>
          <w:lang w:val="en-US"/>
        </w:rPr>
        <w:t>745</w:t>
      </w:r>
      <w:r>
        <w:rPr>
          <w:lang w:val="en-US"/>
        </w:rPr>
        <w:fldChar w:fldCharType="end"/>
      </w:r>
      <w:r>
        <w:rPr>
          <w:lang w:val="en-US"/>
        </w:rPr>
        <w:t>,</w:t>
      </w:r>
      <w:r w:rsidRPr="008B279E">
        <w:rPr>
          <w:lang w:val="en-US"/>
        </w:rPr>
        <w:t xml:space="preserve"> </w:t>
      </w:r>
      <w:r>
        <w:rPr>
          <w:lang w:val="en-US"/>
        </w:rPr>
        <w:t>24–25.</w:t>
      </w:r>
    </w:p>
  </w:footnote>
  <w:footnote w:id="881">
    <w:p w14:paraId="2AE5EF17" w14:textId="06B28E08" w:rsidR="00EE78D8" w:rsidRPr="005022E2" w:rsidRDefault="00EE78D8">
      <w:pPr>
        <w:pStyle w:val="FootnoteText"/>
        <w:rPr>
          <w:lang w:val="en-US"/>
        </w:rPr>
      </w:pPr>
      <w:r>
        <w:rPr>
          <w:rStyle w:val="FootnoteReference"/>
        </w:rPr>
        <w:footnoteRef/>
      </w:r>
      <w:r>
        <w:tab/>
        <w:t xml:space="preserve">VLRC, above n </w:t>
      </w:r>
      <w:r>
        <w:fldChar w:fldCharType="begin"/>
      </w:r>
      <w:r>
        <w:instrText xml:space="preserve"> NOTEREF _Ref534978514 \h </w:instrText>
      </w:r>
      <w:r>
        <w:fldChar w:fldCharType="separate"/>
      </w:r>
      <w:r w:rsidR="001F209C">
        <w:t>24</w:t>
      </w:r>
      <w:r>
        <w:fldChar w:fldCharType="end"/>
      </w:r>
      <w:r>
        <w:t>, 350.</w:t>
      </w:r>
    </w:p>
  </w:footnote>
  <w:footnote w:id="882">
    <w:p w14:paraId="1C442576" w14:textId="03EC68F4" w:rsidR="00EE78D8" w:rsidRPr="008A0964" w:rsidRDefault="00EE78D8">
      <w:pPr>
        <w:pStyle w:val="FootnoteText"/>
        <w:rPr>
          <w:lang w:val="en-US"/>
        </w:rPr>
      </w:pPr>
      <w:r>
        <w:rPr>
          <w:rStyle w:val="FootnoteReference"/>
        </w:rPr>
        <w:footnoteRef/>
      </w:r>
      <w:r>
        <w:tab/>
        <w:t xml:space="preserve">VLRC, above n </w:t>
      </w:r>
      <w:r>
        <w:fldChar w:fldCharType="begin"/>
      </w:r>
      <w:r>
        <w:instrText xml:space="preserve"> NOTEREF _Ref534979326 \h </w:instrText>
      </w:r>
      <w:r>
        <w:fldChar w:fldCharType="separate"/>
      </w:r>
      <w:r w:rsidR="001F209C">
        <w:t>26</w:t>
      </w:r>
      <w:r>
        <w:fldChar w:fldCharType="end"/>
      </w:r>
      <w:r>
        <w:t xml:space="preserve">, </w:t>
      </w:r>
      <w:r>
        <w:rPr>
          <w:lang w:val="en-US"/>
        </w:rPr>
        <w:t>168.</w:t>
      </w:r>
    </w:p>
  </w:footnote>
  <w:footnote w:id="883">
    <w:p w14:paraId="69C2561C" w14:textId="125A25C2" w:rsidR="00EE78D8" w:rsidRPr="00287224" w:rsidRDefault="00EE78D8">
      <w:pPr>
        <w:pStyle w:val="FootnoteText"/>
        <w:rPr>
          <w:lang w:val="en-US"/>
        </w:rPr>
      </w:pPr>
      <w:r>
        <w:rPr>
          <w:rStyle w:val="FootnoteReference"/>
        </w:rPr>
        <w:footnoteRef/>
      </w:r>
      <w:r>
        <w:tab/>
        <w:t xml:space="preserve">VLRC, above n </w:t>
      </w:r>
      <w:r>
        <w:fldChar w:fldCharType="begin"/>
      </w:r>
      <w:r>
        <w:instrText xml:space="preserve"> NOTEREF _Ref534978514 \h </w:instrText>
      </w:r>
      <w:r>
        <w:fldChar w:fldCharType="separate"/>
      </w:r>
      <w:r w:rsidR="001F209C">
        <w:t>24</w:t>
      </w:r>
      <w:r>
        <w:fldChar w:fldCharType="end"/>
      </w:r>
      <w:r>
        <w:t>,</w:t>
      </w:r>
      <w:r>
        <w:rPr>
          <w:lang w:val="en-US"/>
        </w:rPr>
        <w:t xml:space="preserve"> 350; </w:t>
      </w:r>
      <w:r>
        <w:t xml:space="preserve">VLRC, above n </w:t>
      </w:r>
      <w:r>
        <w:fldChar w:fldCharType="begin"/>
      </w:r>
      <w:r>
        <w:instrText xml:space="preserve"> NOTEREF _Ref534979326 \h </w:instrText>
      </w:r>
      <w:r>
        <w:fldChar w:fldCharType="separate"/>
      </w:r>
      <w:r w:rsidR="001F209C">
        <w:t>26</w:t>
      </w:r>
      <w:r>
        <w:fldChar w:fldCharType="end"/>
      </w:r>
      <w:r>
        <w:t>,</w:t>
      </w:r>
      <w:r>
        <w:rPr>
          <w:lang w:val="en-US"/>
        </w:rPr>
        <w:t xml:space="preserve"> 169.</w:t>
      </w:r>
    </w:p>
  </w:footnote>
  <w:footnote w:id="884">
    <w:p w14:paraId="557C86A7" w14:textId="3DE4DE1D" w:rsidR="00EE78D8" w:rsidRPr="00E12143" w:rsidRDefault="00EE78D8">
      <w:pPr>
        <w:pStyle w:val="FootnoteText"/>
        <w:rPr>
          <w:lang w:val="en-US"/>
        </w:rPr>
      </w:pPr>
      <w:r>
        <w:rPr>
          <w:rStyle w:val="FootnoteReference"/>
        </w:rPr>
        <w:footnoteRef/>
      </w:r>
      <w:r>
        <w:tab/>
        <w:t xml:space="preserve">See </w:t>
      </w:r>
      <w:r>
        <w:rPr>
          <w:lang w:val="en-US"/>
        </w:rPr>
        <w:t xml:space="preserve">NSW Government (Justice), above n </w:t>
      </w:r>
      <w:r>
        <w:rPr>
          <w:lang w:val="en-US"/>
        </w:rPr>
        <w:fldChar w:fldCharType="begin"/>
      </w:r>
      <w:r>
        <w:rPr>
          <w:lang w:val="en-US"/>
        </w:rPr>
        <w:instrText xml:space="preserve"> NOTEREF _Ref535785877 \h </w:instrText>
      </w:r>
      <w:r>
        <w:rPr>
          <w:lang w:val="en-US"/>
        </w:rPr>
      </w:r>
      <w:r>
        <w:rPr>
          <w:lang w:val="en-US"/>
        </w:rPr>
        <w:fldChar w:fldCharType="separate"/>
      </w:r>
      <w:r w:rsidR="001F209C">
        <w:rPr>
          <w:lang w:val="en-US"/>
        </w:rPr>
        <w:t>411</w:t>
      </w:r>
      <w:r>
        <w:rPr>
          <w:lang w:val="en-US"/>
        </w:rPr>
        <w:fldChar w:fldCharType="end"/>
      </w:r>
      <w:r>
        <w:rPr>
          <w:lang w:val="en-US"/>
        </w:rPr>
        <w:t>.</w:t>
      </w:r>
    </w:p>
  </w:footnote>
  <w:footnote w:id="885">
    <w:p w14:paraId="72C17E37" w14:textId="0644910B" w:rsidR="00EE78D8" w:rsidRPr="00E12143" w:rsidRDefault="00EE78D8">
      <w:pPr>
        <w:pStyle w:val="FootnoteText"/>
        <w:rPr>
          <w:lang w:val="en-US"/>
        </w:rPr>
      </w:pPr>
      <w:r>
        <w:rPr>
          <w:rStyle w:val="FootnoteReference"/>
        </w:rPr>
        <w:footnoteRef/>
      </w:r>
      <w:r>
        <w:tab/>
      </w:r>
      <w:r>
        <w:rPr>
          <w:lang w:val="en-US"/>
        </w:rPr>
        <w:t>Ibid.</w:t>
      </w:r>
    </w:p>
  </w:footnote>
  <w:footnote w:id="886">
    <w:p w14:paraId="6413957F" w14:textId="56686EEA" w:rsidR="00EE78D8" w:rsidRPr="00A94EA8" w:rsidRDefault="00EE78D8">
      <w:pPr>
        <w:pStyle w:val="FootnoteText"/>
        <w:rPr>
          <w:lang w:val="en-US"/>
        </w:rPr>
      </w:pPr>
      <w:r>
        <w:rPr>
          <w:rStyle w:val="FootnoteReference"/>
        </w:rPr>
        <w:footnoteRef/>
      </w:r>
      <w:r>
        <w:tab/>
        <w:t xml:space="preserve">NSW Government (Health), </w:t>
      </w:r>
      <w:r>
        <w:rPr>
          <w:i/>
        </w:rPr>
        <w:t xml:space="preserve">Mental Health Review Tribunal: A Review in Respect of </w:t>
      </w:r>
      <w:r w:rsidRPr="00A94EA8">
        <w:rPr>
          <w:i/>
        </w:rPr>
        <w:t>Forensic Patients</w:t>
      </w:r>
      <w:r>
        <w:t xml:space="preserve"> (2017) </w:t>
      </w:r>
      <w:r w:rsidRPr="00A94EA8">
        <w:rPr>
          <w:lang w:val="en-US"/>
        </w:rPr>
        <w:t>13</w:t>
      </w:r>
      <w:r>
        <w:rPr>
          <w:lang w:val="en-US"/>
        </w:rPr>
        <w:t xml:space="preserve"> (Recommendation 20).</w:t>
      </w:r>
    </w:p>
  </w:footnote>
  <w:footnote w:id="887">
    <w:p w14:paraId="529313FD" w14:textId="666DFCF3" w:rsidR="00EE78D8" w:rsidRPr="00A94EA8" w:rsidRDefault="00EE78D8">
      <w:pPr>
        <w:pStyle w:val="FootnoteText"/>
        <w:rPr>
          <w:lang w:val="en-US"/>
        </w:rPr>
      </w:pPr>
      <w:r>
        <w:rPr>
          <w:rStyle w:val="FootnoteReference"/>
        </w:rPr>
        <w:footnoteRef/>
      </w:r>
      <w:r>
        <w:tab/>
        <w:t xml:space="preserve">Ibid </w:t>
      </w:r>
      <w:r>
        <w:rPr>
          <w:lang w:val="en-US"/>
        </w:rPr>
        <w:t xml:space="preserve">13 (Recommendation 21). </w:t>
      </w:r>
    </w:p>
  </w:footnote>
  <w:footnote w:id="888">
    <w:p w14:paraId="2B111E28" w14:textId="2EF82290" w:rsidR="00EE78D8" w:rsidRPr="00A94EA8" w:rsidRDefault="00EE78D8">
      <w:pPr>
        <w:pStyle w:val="FootnoteText"/>
        <w:rPr>
          <w:lang w:val="en-US"/>
        </w:rPr>
      </w:pPr>
      <w:r>
        <w:rPr>
          <w:rStyle w:val="FootnoteReference"/>
        </w:rPr>
        <w:footnoteRef/>
      </w:r>
      <w:r>
        <w:tab/>
        <w:t xml:space="preserve">Ibid </w:t>
      </w:r>
      <w:r>
        <w:rPr>
          <w:lang w:val="en-US"/>
        </w:rPr>
        <w:t>47.</w:t>
      </w:r>
    </w:p>
  </w:footnote>
  <w:footnote w:id="889">
    <w:p w14:paraId="635D8706" w14:textId="314D41D0" w:rsidR="00EE78D8" w:rsidRPr="00726CE1" w:rsidRDefault="00EE78D8">
      <w:pPr>
        <w:pStyle w:val="FootnoteText"/>
        <w:rPr>
          <w:lang w:val="en-US"/>
        </w:rPr>
      </w:pPr>
      <w:r>
        <w:rPr>
          <w:rStyle w:val="FootnoteReference"/>
        </w:rPr>
        <w:footnoteRef/>
      </w:r>
      <w:r>
        <w:tab/>
        <w:t xml:space="preserve">SASAC, above n </w:t>
      </w:r>
      <w:r>
        <w:fldChar w:fldCharType="begin"/>
      </w:r>
      <w:r>
        <w:instrText xml:space="preserve"> NOTEREF _Ref535489918 \h </w:instrText>
      </w:r>
      <w:r>
        <w:fldChar w:fldCharType="separate"/>
      </w:r>
      <w:r w:rsidR="001F209C">
        <w:t>388</w:t>
      </w:r>
      <w:r>
        <w:fldChar w:fldCharType="end"/>
      </w:r>
      <w:r>
        <w:t>, 204.</w:t>
      </w:r>
    </w:p>
  </w:footnote>
  <w:footnote w:id="890">
    <w:p w14:paraId="279676B3" w14:textId="0052CBC1" w:rsidR="00EE78D8" w:rsidRPr="00A15AE6" w:rsidRDefault="00EE78D8" w:rsidP="00DA7836">
      <w:pPr>
        <w:pStyle w:val="FootnoteText"/>
        <w:rPr>
          <w:lang w:val="en-US"/>
        </w:rPr>
      </w:pPr>
      <w:r>
        <w:rPr>
          <w:rStyle w:val="FootnoteReference"/>
        </w:rPr>
        <w:footnoteRef/>
      </w:r>
      <w:r>
        <w:tab/>
      </w:r>
      <w:r>
        <w:rPr>
          <w:lang w:val="en-US"/>
        </w:rPr>
        <w:t>Ibid.</w:t>
      </w:r>
    </w:p>
  </w:footnote>
  <w:footnote w:id="891">
    <w:p w14:paraId="0440EAF7" w14:textId="53214CB2" w:rsidR="00EE78D8" w:rsidRPr="00C822C7" w:rsidRDefault="00EE78D8">
      <w:pPr>
        <w:pStyle w:val="FootnoteText"/>
        <w:rPr>
          <w:lang w:val="en-US"/>
        </w:rPr>
      </w:pPr>
      <w:r>
        <w:rPr>
          <w:rStyle w:val="FootnoteReference"/>
        </w:rPr>
        <w:footnoteRef/>
      </w:r>
      <w:r>
        <w:tab/>
        <w:t xml:space="preserve">Ibid </w:t>
      </w:r>
      <w:r>
        <w:rPr>
          <w:lang w:val="en-US"/>
        </w:rPr>
        <w:t>205.</w:t>
      </w:r>
    </w:p>
  </w:footnote>
  <w:footnote w:id="892">
    <w:p w14:paraId="2C4E1635" w14:textId="3B3B1A3C" w:rsidR="00EE78D8" w:rsidRPr="00E20C21" w:rsidRDefault="00EE78D8">
      <w:pPr>
        <w:pStyle w:val="FootnoteText"/>
        <w:rPr>
          <w:lang w:val="en-US"/>
        </w:rPr>
      </w:pPr>
      <w:r>
        <w:rPr>
          <w:rStyle w:val="FootnoteReference"/>
        </w:rPr>
        <w:footnoteRef/>
      </w:r>
      <w:r>
        <w:tab/>
        <w:t xml:space="preserve">Ibid </w:t>
      </w:r>
      <w:r>
        <w:rPr>
          <w:lang w:val="en-US"/>
        </w:rPr>
        <w:t>208.</w:t>
      </w:r>
    </w:p>
  </w:footnote>
  <w:footnote w:id="893">
    <w:p w14:paraId="36096064" w14:textId="40E7764E" w:rsidR="00EE78D8" w:rsidRPr="00CF1188" w:rsidRDefault="00EE78D8">
      <w:pPr>
        <w:pStyle w:val="FootnoteText"/>
        <w:rPr>
          <w:lang w:val="en-US"/>
        </w:rPr>
      </w:pPr>
      <w:r>
        <w:rPr>
          <w:rStyle w:val="FootnoteReference"/>
        </w:rPr>
        <w:footnoteRef/>
      </w:r>
      <w:r>
        <w:tab/>
        <w:t xml:space="preserve">VLRC, above n </w:t>
      </w:r>
      <w:r>
        <w:fldChar w:fldCharType="begin"/>
      </w:r>
      <w:r>
        <w:instrText xml:space="preserve"> NOTEREF _Ref534978514 \h </w:instrText>
      </w:r>
      <w:r>
        <w:fldChar w:fldCharType="separate"/>
      </w:r>
      <w:r w:rsidR="001F209C">
        <w:t>24</w:t>
      </w:r>
      <w:r>
        <w:fldChar w:fldCharType="end"/>
      </w:r>
      <w:r>
        <w:t xml:space="preserve">, 425. </w:t>
      </w:r>
    </w:p>
  </w:footnote>
  <w:footnote w:id="894">
    <w:p w14:paraId="09DBCAB6" w14:textId="79E5593F" w:rsidR="00EE78D8" w:rsidRPr="00EC0127" w:rsidRDefault="00EE78D8">
      <w:pPr>
        <w:pStyle w:val="FootnoteText"/>
        <w:rPr>
          <w:lang w:val="en-US"/>
        </w:rPr>
      </w:pPr>
      <w:r>
        <w:rPr>
          <w:rStyle w:val="FootnoteReference"/>
        </w:rPr>
        <w:footnoteRef/>
      </w:r>
      <w:r>
        <w:tab/>
      </w:r>
      <w:r>
        <w:rPr>
          <w:lang w:val="en-US"/>
        </w:rPr>
        <w:t>Ibid xxxv, 430 Recommendation 100.</w:t>
      </w:r>
    </w:p>
  </w:footnote>
  <w:footnote w:id="895">
    <w:p w14:paraId="3D38DE0B" w14:textId="0E45E642" w:rsidR="00EE78D8" w:rsidRPr="003E425F" w:rsidRDefault="00EE78D8">
      <w:pPr>
        <w:pStyle w:val="FootnoteText"/>
        <w:rPr>
          <w:lang w:val="en-US"/>
        </w:rPr>
      </w:pPr>
      <w:r>
        <w:rPr>
          <w:rStyle w:val="FootnoteReference"/>
        </w:rPr>
        <w:footnoteRef/>
      </w:r>
      <w:r>
        <w:tab/>
        <w:t xml:space="preserve">Ibid </w:t>
      </w:r>
      <w:r>
        <w:rPr>
          <w:lang w:val="en-US"/>
        </w:rPr>
        <w:t>424.</w:t>
      </w:r>
    </w:p>
  </w:footnote>
  <w:footnote w:id="896">
    <w:p w14:paraId="45A88E0F" w14:textId="796A56FB" w:rsidR="00EE78D8" w:rsidRPr="00501A1E" w:rsidRDefault="00EE78D8">
      <w:pPr>
        <w:pStyle w:val="FootnoteText"/>
        <w:rPr>
          <w:lang w:val="en-US"/>
        </w:rPr>
      </w:pPr>
      <w:r>
        <w:rPr>
          <w:rStyle w:val="FootnoteReference"/>
        </w:rPr>
        <w:footnoteRef/>
      </w:r>
      <w:r>
        <w:tab/>
        <w:t>Office of the Anti-Discrimination Commissioner</w:t>
      </w:r>
      <w:r>
        <w:rPr>
          <w:lang w:val="en-US"/>
        </w:rPr>
        <w:t xml:space="preserve">, above n </w:t>
      </w:r>
      <w:r>
        <w:rPr>
          <w:lang w:val="en-US"/>
        </w:rPr>
        <w:fldChar w:fldCharType="begin"/>
      </w:r>
      <w:r>
        <w:rPr>
          <w:lang w:val="en-US"/>
        </w:rPr>
        <w:instrText xml:space="preserve"> NOTEREF _Ref535753746 \h </w:instrText>
      </w:r>
      <w:r>
        <w:rPr>
          <w:lang w:val="en-US"/>
        </w:rPr>
      </w:r>
      <w:r>
        <w:rPr>
          <w:lang w:val="en-US"/>
        </w:rPr>
        <w:fldChar w:fldCharType="separate"/>
      </w:r>
      <w:r w:rsidR="001F209C">
        <w:rPr>
          <w:lang w:val="en-US"/>
        </w:rPr>
        <w:t>723</w:t>
      </w:r>
      <w:r>
        <w:rPr>
          <w:lang w:val="en-US"/>
        </w:rPr>
        <w:fldChar w:fldCharType="end"/>
      </w:r>
      <w:r>
        <w:rPr>
          <w:lang w:val="en-US"/>
        </w:rPr>
        <w:t>, 45.</w:t>
      </w:r>
    </w:p>
  </w:footnote>
  <w:footnote w:id="897">
    <w:p w14:paraId="43BE7DC6" w14:textId="6E9DB477" w:rsidR="00EE78D8" w:rsidRPr="00501A1E" w:rsidRDefault="00EE78D8">
      <w:pPr>
        <w:pStyle w:val="FootnoteText"/>
        <w:rPr>
          <w:lang w:val="en-US"/>
        </w:rPr>
      </w:pPr>
      <w:r>
        <w:rPr>
          <w:rStyle w:val="FootnoteReference"/>
        </w:rPr>
        <w:footnoteRef/>
      </w:r>
      <w:r>
        <w:tab/>
      </w:r>
      <w:r>
        <w:rPr>
          <w:lang w:val="en-US"/>
        </w:rPr>
        <w:t>Ibid.</w:t>
      </w:r>
    </w:p>
  </w:footnote>
  <w:footnote w:id="898">
    <w:p w14:paraId="41842C17" w14:textId="3321268D" w:rsidR="00EE78D8" w:rsidRPr="00081B7A" w:rsidRDefault="00EE78D8" w:rsidP="00AB5FCB">
      <w:pPr>
        <w:pStyle w:val="FootnoteText"/>
        <w:rPr>
          <w:lang w:val="en-US"/>
        </w:rPr>
      </w:pPr>
      <w:r>
        <w:rPr>
          <w:rStyle w:val="FootnoteReference"/>
        </w:rPr>
        <w:footnoteRef/>
      </w:r>
      <w:r>
        <w:tab/>
      </w:r>
      <w:r>
        <w:rPr>
          <w:lang w:val="en-US"/>
        </w:rPr>
        <w:t>Ibid.</w:t>
      </w:r>
    </w:p>
  </w:footnote>
  <w:footnote w:id="899">
    <w:p w14:paraId="425C8863" w14:textId="19D0C9AA" w:rsidR="00EE78D8" w:rsidRPr="00501A1E" w:rsidRDefault="00EE78D8">
      <w:pPr>
        <w:pStyle w:val="FootnoteText"/>
        <w:rPr>
          <w:lang w:val="en-US"/>
        </w:rPr>
      </w:pPr>
      <w:r>
        <w:rPr>
          <w:rStyle w:val="FootnoteReference"/>
        </w:rPr>
        <w:footnoteRef/>
      </w:r>
      <w:r>
        <w:tab/>
      </w:r>
      <w:r>
        <w:rPr>
          <w:lang w:val="en-US"/>
        </w:rPr>
        <w:t>Ibid.</w:t>
      </w:r>
    </w:p>
  </w:footnote>
  <w:footnote w:id="900">
    <w:p w14:paraId="1BACAFCD" w14:textId="4973D10E" w:rsidR="00EE78D8" w:rsidRPr="007C6BA7" w:rsidRDefault="00EE78D8">
      <w:pPr>
        <w:pStyle w:val="FootnoteText"/>
        <w:rPr>
          <w:lang w:val="en-US"/>
        </w:rPr>
      </w:pPr>
      <w:r>
        <w:rPr>
          <w:rStyle w:val="FootnoteReference"/>
        </w:rPr>
        <w:footnoteRef/>
      </w:r>
      <w:r>
        <w:tab/>
        <w:t xml:space="preserve">Ibid 46 citing </w:t>
      </w:r>
      <w:r>
        <w:rPr>
          <w:lang w:val="en-US"/>
        </w:rPr>
        <w:t xml:space="preserve">Tasmanian Forensic Mental Health Tribunal, </w:t>
      </w:r>
      <w:r>
        <w:rPr>
          <w:i/>
          <w:lang w:val="en-US"/>
        </w:rPr>
        <w:t xml:space="preserve">Annual Report 2011–2012 </w:t>
      </w:r>
      <w:r>
        <w:rPr>
          <w:lang w:val="en-US"/>
        </w:rPr>
        <w:t>(2012) 6.</w:t>
      </w:r>
    </w:p>
  </w:footnote>
  <w:footnote w:id="901">
    <w:p w14:paraId="7F0949AD" w14:textId="76A353EA" w:rsidR="00EE78D8" w:rsidRPr="00D6192B" w:rsidRDefault="00EE78D8">
      <w:pPr>
        <w:pStyle w:val="FootnoteText"/>
        <w:rPr>
          <w:lang w:val="en-US"/>
        </w:rPr>
      </w:pPr>
      <w:r>
        <w:rPr>
          <w:rStyle w:val="FootnoteReference"/>
        </w:rPr>
        <w:footnoteRef/>
      </w:r>
      <w:r>
        <w:tab/>
        <w:t xml:space="preserve">Ibid citing </w:t>
      </w:r>
      <w:r>
        <w:rPr>
          <w:lang w:val="en-US"/>
        </w:rPr>
        <w:t xml:space="preserve">Tasmanian Forensic Mental Health Tribunal, </w:t>
      </w:r>
      <w:r>
        <w:rPr>
          <w:i/>
          <w:lang w:val="en-US"/>
        </w:rPr>
        <w:t xml:space="preserve">Annual Report 2011–2012 </w:t>
      </w:r>
      <w:r>
        <w:rPr>
          <w:lang w:val="en-US"/>
        </w:rPr>
        <w:t>(2012) 6.</w:t>
      </w:r>
    </w:p>
  </w:footnote>
  <w:footnote w:id="902">
    <w:p w14:paraId="04E520B9" w14:textId="72D74086" w:rsidR="00EE78D8" w:rsidRPr="007C6BA7" w:rsidRDefault="00EE78D8" w:rsidP="007C6BA7">
      <w:pPr>
        <w:pStyle w:val="FootnoteText"/>
        <w:rPr>
          <w:lang w:val="en-US"/>
        </w:rPr>
      </w:pPr>
      <w:r>
        <w:rPr>
          <w:rStyle w:val="FootnoteReference"/>
        </w:rPr>
        <w:footnoteRef/>
      </w:r>
      <w:r>
        <w:tab/>
      </w:r>
      <w:r>
        <w:rPr>
          <w:lang w:val="en-US"/>
        </w:rPr>
        <w:t>Ibid.</w:t>
      </w:r>
    </w:p>
  </w:footnote>
  <w:footnote w:id="903">
    <w:p w14:paraId="5C595D7B" w14:textId="605FB0A4" w:rsidR="00EE78D8" w:rsidRPr="007C6BA7" w:rsidRDefault="00EE78D8">
      <w:pPr>
        <w:pStyle w:val="FootnoteText"/>
        <w:rPr>
          <w:lang w:val="en-US"/>
        </w:rPr>
      </w:pPr>
      <w:r>
        <w:rPr>
          <w:rStyle w:val="FootnoteReference"/>
        </w:rPr>
        <w:footnoteRef/>
      </w:r>
      <w:r>
        <w:tab/>
      </w:r>
      <w:r>
        <w:rPr>
          <w:lang w:val="en-US"/>
        </w:rPr>
        <w:t>Ibid 46–47.</w:t>
      </w:r>
    </w:p>
  </w:footnote>
  <w:footnote w:id="904">
    <w:p w14:paraId="63CB7370" w14:textId="7795B0E3" w:rsidR="00EE78D8" w:rsidRPr="003C6660" w:rsidRDefault="00EE78D8">
      <w:pPr>
        <w:pStyle w:val="FootnoteText"/>
        <w:rPr>
          <w:lang w:val="en-US"/>
        </w:rPr>
      </w:pPr>
      <w:r>
        <w:rPr>
          <w:rStyle w:val="FootnoteReference"/>
        </w:rPr>
        <w:footnoteRef/>
      </w:r>
      <w:r>
        <w:t xml:space="preserve"> </w:t>
      </w:r>
      <w:r>
        <w:tab/>
        <w:t xml:space="preserve">Tasmania, </w:t>
      </w:r>
      <w:r w:rsidRPr="00F6664B">
        <w:rPr>
          <w:i/>
        </w:rPr>
        <w:t>Parliamentary Debates</w:t>
      </w:r>
      <w:r>
        <w:t xml:space="preserve">, House of Assembly, </w:t>
      </w:r>
      <w:r w:rsidRPr="003B1A72">
        <w:t>24 May 2016 [3</w:t>
      </w:r>
      <w:r>
        <w:t xml:space="preserve">.20 pm], </w:t>
      </w:r>
      <w:r>
        <w:rPr>
          <w:lang w:val="en-US"/>
        </w:rPr>
        <w:t>(M Ferguson).</w:t>
      </w:r>
    </w:p>
  </w:footnote>
  <w:footnote w:id="905">
    <w:p w14:paraId="4A042BA1" w14:textId="0085EE2E" w:rsidR="00EE78D8" w:rsidRPr="00D6192B" w:rsidRDefault="00EE78D8">
      <w:pPr>
        <w:pStyle w:val="FootnoteText"/>
        <w:rPr>
          <w:lang w:val="en-US"/>
        </w:rPr>
      </w:pPr>
      <w:r>
        <w:rPr>
          <w:rStyle w:val="FootnoteReference"/>
        </w:rPr>
        <w:footnoteRef/>
      </w:r>
      <w:r>
        <w:tab/>
      </w:r>
      <w:r>
        <w:rPr>
          <w:lang w:val="en-US"/>
        </w:rPr>
        <w:t xml:space="preserve">SASAC, above n </w:t>
      </w:r>
      <w:r>
        <w:rPr>
          <w:lang w:val="en-US"/>
        </w:rPr>
        <w:fldChar w:fldCharType="begin"/>
      </w:r>
      <w:r>
        <w:rPr>
          <w:lang w:val="en-US"/>
        </w:rPr>
        <w:instrText xml:space="preserve"> NOTEREF _Ref535489918 \h </w:instrText>
      </w:r>
      <w:r>
        <w:rPr>
          <w:lang w:val="en-US"/>
        </w:rPr>
      </w:r>
      <w:r>
        <w:rPr>
          <w:lang w:val="en-US"/>
        </w:rPr>
        <w:fldChar w:fldCharType="separate"/>
      </w:r>
      <w:r w:rsidR="001F209C">
        <w:rPr>
          <w:lang w:val="en-US"/>
        </w:rPr>
        <w:t>388</w:t>
      </w:r>
      <w:r>
        <w:rPr>
          <w:lang w:val="en-US"/>
        </w:rPr>
        <w:fldChar w:fldCharType="end"/>
      </w:r>
      <w:r>
        <w:rPr>
          <w:lang w:val="en-US"/>
        </w:rPr>
        <w:t>, 168–169.</w:t>
      </w:r>
    </w:p>
  </w:footnote>
  <w:footnote w:id="906">
    <w:p w14:paraId="2D8E68BB" w14:textId="2AD6A4D2" w:rsidR="00EE78D8" w:rsidRPr="009E7522" w:rsidRDefault="00EE78D8">
      <w:pPr>
        <w:pStyle w:val="FootnoteText"/>
        <w:rPr>
          <w:lang w:val="en-US"/>
        </w:rPr>
      </w:pPr>
      <w:r>
        <w:rPr>
          <w:rStyle w:val="FootnoteReference"/>
        </w:rPr>
        <w:footnoteRef/>
      </w:r>
      <w:r>
        <w:tab/>
      </w:r>
      <w:r>
        <w:rPr>
          <w:lang w:val="en-US"/>
        </w:rPr>
        <w:t>Ibid 174.</w:t>
      </w:r>
    </w:p>
  </w:footnote>
  <w:footnote w:id="907">
    <w:p w14:paraId="28CF19FE" w14:textId="3618D3AE" w:rsidR="00EE78D8" w:rsidRPr="007F18AF" w:rsidRDefault="00EE78D8">
      <w:pPr>
        <w:pStyle w:val="FootnoteText"/>
        <w:rPr>
          <w:lang w:val="en-US"/>
        </w:rPr>
      </w:pPr>
      <w:r>
        <w:rPr>
          <w:rStyle w:val="FootnoteReference"/>
        </w:rPr>
        <w:footnoteRef/>
      </w:r>
      <w:r>
        <w:tab/>
      </w:r>
      <w:r>
        <w:rPr>
          <w:lang w:val="en-US"/>
        </w:rPr>
        <w:t xml:space="preserve">Butler Report, above n </w:t>
      </w:r>
      <w:r>
        <w:rPr>
          <w:lang w:val="en-US"/>
        </w:rPr>
        <w:fldChar w:fldCharType="begin"/>
      </w:r>
      <w:r>
        <w:rPr>
          <w:lang w:val="en-US"/>
        </w:rPr>
        <w:instrText xml:space="preserve"> NOTEREF _Ref535835551 \h </w:instrText>
      </w:r>
      <w:r>
        <w:rPr>
          <w:lang w:val="en-US"/>
        </w:rPr>
      </w:r>
      <w:r>
        <w:rPr>
          <w:lang w:val="en-US"/>
        </w:rPr>
        <w:fldChar w:fldCharType="separate"/>
      </w:r>
      <w:r w:rsidR="001F209C">
        <w:rPr>
          <w:lang w:val="en-US"/>
        </w:rPr>
        <w:t>49</w:t>
      </w:r>
      <w:r>
        <w:rPr>
          <w:lang w:val="en-US"/>
        </w:rPr>
        <w:fldChar w:fldCharType="end"/>
      </w:r>
      <w:r>
        <w:rPr>
          <w:lang w:val="en-US"/>
        </w:rPr>
        <w:t>, 101.</w:t>
      </w:r>
    </w:p>
  </w:footnote>
  <w:footnote w:id="908">
    <w:p w14:paraId="6436E673" w14:textId="785C673D" w:rsidR="00EE78D8" w:rsidRPr="005F7DBE"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433.</w:t>
      </w:r>
    </w:p>
  </w:footnote>
  <w:footnote w:id="909">
    <w:p w14:paraId="4A93C1C6" w14:textId="7670CF23" w:rsidR="00EE78D8" w:rsidRPr="00600ED4" w:rsidRDefault="00EE78D8">
      <w:pPr>
        <w:pStyle w:val="FootnoteText"/>
        <w:rPr>
          <w:lang w:val="en-US"/>
        </w:rPr>
      </w:pPr>
      <w:r>
        <w:rPr>
          <w:rStyle w:val="FootnoteReference"/>
        </w:rPr>
        <w:footnoteRef/>
      </w:r>
      <w:r>
        <w:tab/>
        <w:t xml:space="preserve">Ibid 439 </w:t>
      </w:r>
      <w:r>
        <w:rPr>
          <w:lang w:val="en-US"/>
        </w:rPr>
        <w:t>Recommendations 103, 104.</w:t>
      </w:r>
    </w:p>
  </w:footnote>
  <w:footnote w:id="910">
    <w:p w14:paraId="72E72DD2" w14:textId="49895D66" w:rsidR="00EE78D8" w:rsidRPr="004D369E" w:rsidRDefault="00EE78D8">
      <w:pPr>
        <w:pStyle w:val="FootnoteText"/>
        <w:rPr>
          <w:lang w:val="en-US"/>
        </w:rPr>
      </w:pPr>
      <w:r>
        <w:rPr>
          <w:rStyle w:val="FootnoteReference"/>
        </w:rPr>
        <w:footnoteRef/>
      </w:r>
      <w:r>
        <w:tab/>
      </w:r>
      <w:r>
        <w:rPr>
          <w:lang w:val="en-US"/>
        </w:rPr>
        <w:t xml:space="preserve">NSWLRC, above n </w:t>
      </w:r>
      <w:r>
        <w:rPr>
          <w:lang w:val="en-US"/>
        </w:rPr>
        <w:fldChar w:fldCharType="begin"/>
      </w:r>
      <w:r>
        <w:rPr>
          <w:lang w:val="en-US"/>
        </w:rPr>
        <w:instrText xml:space="preserve"> NOTEREF _Ref534982374 \h </w:instrText>
      </w:r>
      <w:r>
        <w:rPr>
          <w:lang w:val="en-US"/>
        </w:rPr>
      </w:r>
      <w:r>
        <w:rPr>
          <w:lang w:val="en-US"/>
        </w:rPr>
        <w:fldChar w:fldCharType="separate"/>
      </w:r>
      <w:r w:rsidR="001F209C">
        <w:rPr>
          <w:lang w:val="en-US"/>
        </w:rPr>
        <w:t>55</w:t>
      </w:r>
      <w:r>
        <w:rPr>
          <w:lang w:val="en-US"/>
        </w:rPr>
        <w:fldChar w:fldCharType="end"/>
      </w:r>
      <w:r>
        <w:rPr>
          <w:lang w:val="en-US"/>
        </w:rPr>
        <w:t>, 8.</w:t>
      </w:r>
    </w:p>
  </w:footnote>
  <w:footnote w:id="911">
    <w:p w14:paraId="40D19515" w14:textId="6348E455" w:rsidR="00EE78D8" w:rsidRPr="00081E40" w:rsidRDefault="00EE78D8">
      <w:pPr>
        <w:pStyle w:val="FootnoteText"/>
        <w:rPr>
          <w:lang w:val="en-US"/>
        </w:rPr>
      </w:pPr>
      <w:r>
        <w:rPr>
          <w:rStyle w:val="FootnoteReference"/>
        </w:rPr>
        <w:footnoteRef/>
      </w:r>
      <w:r>
        <w:tab/>
      </w:r>
      <w:r>
        <w:rPr>
          <w:lang w:val="en-US"/>
        </w:rPr>
        <w:t>Ibid 9.</w:t>
      </w:r>
    </w:p>
  </w:footnote>
  <w:footnote w:id="912">
    <w:p w14:paraId="181548E3" w14:textId="7E6C822B" w:rsidR="00EE78D8" w:rsidRPr="00081E40" w:rsidRDefault="00EE78D8">
      <w:pPr>
        <w:pStyle w:val="FootnoteText"/>
        <w:rPr>
          <w:lang w:val="en-US"/>
        </w:rPr>
      </w:pPr>
      <w:r>
        <w:rPr>
          <w:rStyle w:val="FootnoteReference"/>
        </w:rPr>
        <w:footnoteRef/>
      </w:r>
      <w:r>
        <w:tab/>
      </w:r>
      <w:r>
        <w:rPr>
          <w:lang w:val="en-US"/>
        </w:rPr>
        <w:t>Ibid 9, 10 Recommendation 1.1.</w:t>
      </w:r>
    </w:p>
  </w:footnote>
  <w:footnote w:id="913">
    <w:p w14:paraId="5DD84BE6" w14:textId="6E872AA9" w:rsidR="00EE78D8" w:rsidRPr="00421948" w:rsidRDefault="00EE78D8">
      <w:pPr>
        <w:pStyle w:val="FootnoteText"/>
        <w:rPr>
          <w:lang w:val="en-US"/>
        </w:rPr>
      </w:pPr>
      <w:r>
        <w:rPr>
          <w:rStyle w:val="FootnoteReference"/>
        </w:rPr>
        <w:footnoteRef/>
      </w:r>
      <w:r>
        <w:tab/>
        <w:t xml:space="preserve">Ibid 12 </w:t>
      </w:r>
      <w:r>
        <w:rPr>
          <w:lang w:val="en-US"/>
        </w:rPr>
        <w:t>Recommendation 1.2.</w:t>
      </w:r>
    </w:p>
  </w:footnote>
  <w:footnote w:id="914">
    <w:p w14:paraId="55987C62" w14:textId="23CAAC6D" w:rsidR="00EE78D8" w:rsidRPr="00241CD7" w:rsidRDefault="00EE78D8">
      <w:pPr>
        <w:pStyle w:val="FootnoteText"/>
        <w:rPr>
          <w:lang w:val="en-US"/>
        </w:rPr>
      </w:pPr>
      <w:r>
        <w:rPr>
          <w:rStyle w:val="FootnoteReference"/>
        </w:rPr>
        <w:footnoteRef/>
      </w:r>
      <w:r>
        <w:tab/>
        <w:t xml:space="preserve">Law Commission of England and Wales, </w:t>
      </w:r>
      <w:r w:rsidRPr="0065613C">
        <w:rPr>
          <w:i/>
        </w:rPr>
        <w:t xml:space="preserve">Unfitness to Plead – Volume 2: Draft Legislation </w:t>
      </w:r>
      <w:r w:rsidRPr="0065613C">
        <w:t>(Law Com No 364, 2016)</w:t>
      </w:r>
      <w:r>
        <w:t xml:space="preserve"> 16–17.</w:t>
      </w:r>
    </w:p>
  </w:footnote>
  <w:footnote w:id="915">
    <w:p w14:paraId="0B76A0D3" w14:textId="2BA01A3C" w:rsidR="00EE78D8" w:rsidRPr="00241CD7" w:rsidRDefault="00EE78D8">
      <w:pPr>
        <w:pStyle w:val="FootnoteText"/>
        <w:rPr>
          <w:lang w:val="en-US"/>
        </w:rPr>
      </w:pPr>
      <w:r>
        <w:rPr>
          <w:rStyle w:val="FootnoteReference"/>
        </w:rPr>
        <w:footnoteRef/>
      </w:r>
      <w:r>
        <w:tab/>
        <w:t xml:space="preserve">NSWLRC, above n </w:t>
      </w:r>
      <w:r>
        <w:fldChar w:fldCharType="begin"/>
      </w:r>
      <w:r>
        <w:instrText xml:space="preserve"> NOTEREF _Ref534982374 \h </w:instrText>
      </w:r>
      <w:r>
        <w:fldChar w:fldCharType="separate"/>
      </w:r>
      <w:r w:rsidR="001F209C">
        <w:t>55</w:t>
      </w:r>
      <w:r>
        <w:fldChar w:fldCharType="end"/>
      </w:r>
      <w:r>
        <w:t xml:space="preserve">, 31–32 </w:t>
      </w:r>
      <w:r>
        <w:rPr>
          <w:lang w:val="en-US"/>
        </w:rPr>
        <w:t>Recommendation 2.1.</w:t>
      </w:r>
    </w:p>
  </w:footnote>
  <w:footnote w:id="916">
    <w:p w14:paraId="35A4F208" w14:textId="07E23B0A" w:rsidR="00EE78D8" w:rsidRPr="00F039FE" w:rsidRDefault="00EE78D8">
      <w:pPr>
        <w:pStyle w:val="FootnoteText"/>
        <w:rPr>
          <w:lang w:val="en-US"/>
        </w:rPr>
      </w:pPr>
      <w:r>
        <w:rPr>
          <w:rStyle w:val="FootnoteReference"/>
        </w:rPr>
        <w:footnoteRef/>
      </w:r>
      <w:r>
        <w:tab/>
      </w:r>
      <w:r>
        <w:rPr>
          <w:lang w:val="en-US"/>
        </w:rPr>
        <w:t xml:space="preserve">VLRC, above n </w:t>
      </w:r>
      <w:r>
        <w:rPr>
          <w:lang w:val="en-US"/>
        </w:rPr>
        <w:fldChar w:fldCharType="begin"/>
      </w:r>
      <w:r>
        <w:rPr>
          <w:lang w:val="en-US"/>
        </w:rPr>
        <w:instrText xml:space="preserve"> NOTEREF _Ref534978514 \h </w:instrText>
      </w:r>
      <w:r>
        <w:rPr>
          <w:lang w:val="en-US"/>
        </w:rPr>
      </w:r>
      <w:r>
        <w:rPr>
          <w:lang w:val="en-US"/>
        </w:rPr>
        <w:fldChar w:fldCharType="separate"/>
      </w:r>
      <w:r w:rsidR="001F209C">
        <w:rPr>
          <w:lang w:val="en-US"/>
        </w:rPr>
        <w:t>24</w:t>
      </w:r>
      <w:r>
        <w:rPr>
          <w:lang w:val="en-US"/>
        </w:rPr>
        <w:fldChar w:fldCharType="end"/>
      </w:r>
      <w:r>
        <w:rPr>
          <w:lang w:val="en-US"/>
        </w:rPr>
        <w:t>, 79 Recommendation 15.</w:t>
      </w:r>
    </w:p>
  </w:footnote>
  <w:footnote w:id="917">
    <w:p w14:paraId="6E0BF6DF" w14:textId="4739EF7D" w:rsidR="00EE78D8" w:rsidRPr="00C032F0" w:rsidRDefault="00EE78D8">
      <w:pPr>
        <w:pStyle w:val="FootnoteText"/>
        <w:rPr>
          <w:lang w:val="en-US"/>
        </w:rPr>
      </w:pPr>
      <w:r>
        <w:rPr>
          <w:rStyle w:val="FootnoteReference"/>
        </w:rPr>
        <w:footnoteRef/>
      </w:r>
      <w:r>
        <w:tab/>
        <w:t xml:space="preserve">ALRC, </w:t>
      </w:r>
      <w:r>
        <w:rPr>
          <w:lang w:val="en-US"/>
        </w:rPr>
        <w:t xml:space="preserve">above n </w:t>
      </w:r>
      <w:r>
        <w:rPr>
          <w:lang w:val="en-US"/>
        </w:rPr>
        <w:fldChar w:fldCharType="begin"/>
      </w:r>
      <w:r>
        <w:rPr>
          <w:lang w:val="en-US"/>
        </w:rPr>
        <w:instrText xml:space="preserve"> NOTEREF _Ref536035283 \h </w:instrText>
      </w:r>
      <w:r>
        <w:rPr>
          <w:lang w:val="en-US"/>
        </w:rPr>
      </w:r>
      <w:r>
        <w:rPr>
          <w:lang w:val="en-US"/>
        </w:rPr>
        <w:fldChar w:fldCharType="separate"/>
      </w:r>
      <w:r w:rsidR="001F209C">
        <w:rPr>
          <w:lang w:val="en-US"/>
        </w:rPr>
        <w:t>110</w:t>
      </w:r>
      <w:r>
        <w:rPr>
          <w:lang w:val="en-US"/>
        </w:rPr>
        <w:fldChar w:fldCharType="end"/>
      </w:r>
      <w:r>
        <w:rPr>
          <w:lang w:val="en-US"/>
        </w:rPr>
        <w:t>, Recommendation 7-1.</w:t>
      </w:r>
    </w:p>
  </w:footnote>
  <w:footnote w:id="918">
    <w:p w14:paraId="2F8DCC49" w14:textId="381D04EA" w:rsidR="00EE78D8" w:rsidRPr="00A77EBE" w:rsidRDefault="00EE78D8" w:rsidP="0014208F">
      <w:pPr>
        <w:pStyle w:val="FootnoteText"/>
      </w:pPr>
      <w:r>
        <w:rPr>
          <w:rStyle w:val="FootnoteReference"/>
        </w:rPr>
        <w:footnoteRef/>
      </w:r>
      <w:r>
        <w:tab/>
      </w:r>
      <w:r>
        <w:rPr>
          <w:i/>
        </w:rPr>
        <w:t xml:space="preserve">Crimes Act 1914 </w:t>
      </w:r>
      <w:r>
        <w:t>(Cth) ss 20BC(2), (5), 20BJ(1), (4).</w:t>
      </w:r>
    </w:p>
  </w:footnote>
  <w:footnote w:id="919">
    <w:p w14:paraId="6DE2D798" w14:textId="390A2E0B" w:rsidR="00EE78D8" w:rsidRPr="007F58CD" w:rsidRDefault="00EE78D8" w:rsidP="0014208F">
      <w:pPr>
        <w:pStyle w:val="FootnoteText"/>
      </w:pPr>
      <w:r>
        <w:rPr>
          <w:rStyle w:val="FootnoteReference"/>
        </w:rPr>
        <w:footnoteRef/>
      </w:r>
      <w:r>
        <w:t xml:space="preserve"> </w:t>
      </w:r>
      <w:r>
        <w:tab/>
      </w:r>
      <w:r>
        <w:rPr>
          <w:i/>
        </w:rPr>
        <w:t xml:space="preserve">Mental Health (Forensic Procedure) Act 1990 </w:t>
      </w:r>
      <w:r w:rsidRPr="007F58CD">
        <w:t>(NSW)</w:t>
      </w:r>
      <w:r>
        <w:rPr>
          <w:i/>
        </w:rPr>
        <w:t xml:space="preserve"> </w:t>
      </w:r>
      <w:r>
        <w:t>s 23(2).</w:t>
      </w:r>
    </w:p>
  </w:footnote>
  <w:footnote w:id="920">
    <w:p w14:paraId="3275E292" w14:textId="6AF15A3B" w:rsidR="00EE78D8" w:rsidRDefault="00EE78D8" w:rsidP="0014208F">
      <w:pPr>
        <w:pStyle w:val="FootnoteText"/>
      </w:pPr>
      <w:r>
        <w:rPr>
          <w:rStyle w:val="FootnoteReference"/>
        </w:rPr>
        <w:footnoteRef/>
      </w:r>
      <w:r>
        <w:t xml:space="preserve"> </w:t>
      </w:r>
      <w:r>
        <w:tab/>
        <w:t>Ibid s 23(1)(b).</w:t>
      </w:r>
    </w:p>
  </w:footnote>
  <w:footnote w:id="921">
    <w:p w14:paraId="6F81DAB8" w14:textId="481F861D" w:rsidR="00EE78D8" w:rsidRDefault="00EE78D8" w:rsidP="0014208F">
      <w:pPr>
        <w:pStyle w:val="FootnoteText"/>
      </w:pPr>
      <w:r>
        <w:rPr>
          <w:rStyle w:val="FootnoteReference"/>
        </w:rPr>
        <w:footnoteRef/>
      </w:r>
      <w:r>
        <w:t xml:space="preserve"> </w:t>
      </w:r>
      <w:r>
        <w:tab/>
      </w:r>
      <w:r w:rsidRPr="00B456A0">
        <w:t xml:space="preserve">Ibid </w:t>
      </w:r>
      <w:r>
        <w:t>s 27.</w:t>
      </w:r>
    </w:p>
  </w:footnote>
  <w:footnote w:id="922">
    <w:p w14:paraId="63B0C352" w14:textId="7C68E9F6" w:rsidR="00EE78D8" w:rsidRDefault="00EE78D8" w:rsidP="0014208F">
      <w:pPr>
        <w:pStyle w:val="FootnoteText"/>
      </w:pPr>
      <w:r>
        <w:rPr>
          <w:rStyle w:val="FootnoteReference"/>
        </w:rPr>
        <w:footnoteRef/>
      </w:r>
      <w:r>
        <w:t xml:space="preserve"> </w:t>
      </w:r>
      <w:r>
        <w:tab/>
      </w:r>
      <w:r w:rsidRPr="00B456A0">
        <w:t>Ibid</w:t>
      </w:r>
      <w:r>
        <w:t xml:space="preserve"> s 39.</w:t>
      </w:r>
    </w:p>
  </w:footnote>
  <w:footnote w:id="923">
    <w:p w14:paraId="0F421202" w14:textId="78B51B43" w:rsidR="00EE78D8" w:rsidRDefault="00EE78D8" w:rsidP="0014208F">
      <w:pPr>
        <w:pStyle w:val="FootnoteText"/>
      </w:pPr>
      <w:r>
        <w:rPr>
          <w:rStyle w:val="FootnoteReference"/>
        </w:rPr>
        <w:footnoteRef/>
      </w:r>
      <w:r>
        <w:t xml:space="preserve"> </w:t>
      </w:r>
      <w:r>
        <w:tab/>
      </w:r>
      <w:r>
        <w:rPr>
          <w:i/>
        </w:rPr>
        <w:t xml:space="preserve">Criminal Law Consolidation Act 1935 </w:t>
      </w:r>
      <w:r>
        <w:t>(SA) s 269O.</w:t>
      </w:r>
    </w:p>
  </w:footnote>
  <w:footnote w:id="924">
    <w:p w14:paraId="37051046" w14:textId="5FE483FE" w:rsidR="00EE78D8" w:rsidRPr="0073202C" w:rsidRDefault="00EE78D8">
      <w:pPr>
        <w:pStyle w:val="FootnoteText"/>
        <w:rPr>
          <w:lang w:val="en-US"/>
        </w:rPr>
      </w:pPr>
      <w:r>
        <w:rPr>
          <w:rStyle w:val="FootnoteReference"/>
        </w:rPr>
        <w:footnoteRef/>
      </w:r>
      <w:r>
        <w:t xml:space="preserve"> </w:t>
      </w:r>
      <w:r>
        <w:tab/>
        <w:t>Ibid s 269NB.</w:t>
      </w:r>
    </w:p>
  </w:footnote>
  <w:footnote w:id="925">
    <w:p w14:paraId="74B99BCF" w14:textId="7018F2BF" w:rsidR="00EE78D8" w:rsidRPr="00F23382" w:rsidRDefault="00EE78D8" w:rsidP="0014208F">
      <w:pPr>
        <w:pStyle w:val="FootnoteText"/>
      </w:pPr>
      <w:r>
        <w:rPr>
          <w:rStyle w:val="FootnoteReference"/>
        </w:rPr>
        <w:footnoteRef/>
      </w:r>
      <w:r>
        <w:t xml:space="preserve"> </w:t>
      </w:r>
      <w:r>
        <w:tab/>
      </w:r>
      <w:r>
        <w:rPr>
          <w:i/>
        </w:rPr>
        <w:t xml:space="preserve">Crimes (Mental Impairment and Unfitness to be Tried) Act 1997 </w:t>
      </w:r>
      <w:r>
        <w:t>(Vic) ss 18(4), 23.</w:t>
      </w:r>
    </w:p>
  </w:footnote>
  <w:footnote w:id="926">
    <w:p w14:paraId="0F9B402D" w14:textId="48D2772C" w:rsidR="00EE78D8" w:rsidRDefault="00EE78D8" w:rsidP="0014208F">
      <w:pPr>
        <w:pStyle w:val="FootnoteText"/>
      </w:pPr>
      <w:r>
        <w:rPr>
          <w:rStyle w:val="FootnoteReference"/>
        </w:rPr>
        <w:footnoteRef/>
      </w:r>
      <w:r>
        <w:t xml:space="preserve"> </w:t>
      </w:r>
      <w:r>
        <w:tab/>
        <w:t>Ibid s 26(2).</w:t>
      </w:r>
    </w:p>
  </w:footnote>
  <w:footnote w:id="927">
    <w:p w14:paraId="51F9A815" w14:textId="6AAF8ABA" w:rsidR="00EE78D8" w:rsidRPr="00647A64" w:rsidRDefault="00EE78D8" w:rsidP="0014208F">
      <w:pPr>
        <w:pStyle w:val="FootnoteText"/>
      </w:pPr>
      <w:r>
        <w:rPr>
          <w:rStyle w:val="FootnoteReference"/>
        </w:rPr>
        <w:footnoteRef/>
      </w:r>
      <w:r>
        <w:t xml:space="preserve"> </w:t>
      </w:r>
      <w:r>
        <w:tab/>
      </w:r>
      <w:r>
        <w:rPr>
          <w:i/>
        </w:rPr>
        <w:t xml:space="preserve">Criminal Law (Mentally Impaired Accused) Act 1996 </w:t>
      </w:r>
      <w:r>
        <w:t>(WA) s 19(4).</w:t>
      </w:r>
    </w:p>
  </w:footnote>
  <w:footnote w:id="928">
    <w:p w14:paraId="71B20E22" w14:textId="2A344250" w:rsidR="00EE78D8" w:rsidRDefault="00EE78D8" w:rsidP="0014208F">
      <w:pPr>
        <w:pStyle w:val="FootnoteText"/>
      </w:pPr>
      <w:r>
        <w:rPr>
          <w:rStyle w:val="FootnoteReference"/>
        </w:rPr>
        <w:footnoteRef/>
      </w:r>
      <w:r>
        <w:t xml:space="preserve"> </w:t>
      </w:r>
      <w:r>
        <w:tab/>
        <w:t>Ibid ss 20–22. Schedule 1 includes murder, manslaughter, sexual penetration without consent and sexual coercion, assault occasioning bodily harm, indecent assault, stealing a motor vehicle in circumstances of aggravation and criminal damage.</w:t>
      </w:r>
    </w:p>
  </w:footnote>
  <w:footnote w:id="929">
    <w:p w14:paraId="56D52CC1" w14:textId="233F198E" w:rsidR="00EE78D8" w:rsidRPr="004127C0" w:rsidRDefault="00EE78D8" w:rsidP="0014208F">
      <w:pPr>
        <w:pStyle w:val="FootnoteText"/>
      </w:pPr>
      <w:r>
        <w:rPr>
          <w:rStyle w:val="FootnoteReference"/>
        </w:rPr>
        <w:footnoteRef/>
      </w:r>
      <w:r>
        <w:t xml:space="preserve"> </w:t>
      </w:r>
      <w:r>
        <w:tab/>
      </w:r>
      <w:r>
        <w:rPr>
          <w:i/>
        </w:rPr>
        <w:t xml:space="preserve">Criminal Code </w:t>
      </w:r>
      <w:r>
        <w:t>(Qld) ss 613, 647.</w:t>
      </w:r>
    </w:p>
  </w:footnote>
  <w:footnote w:id="930">
    <w:p w14:paraId="4B22D270" w14:textId="116360CF" w:rsidR="00EE78D8" w:rsidRDefault="00EE78D8" w:rsidP="0014208F">
      <w:pPr>
        <w:pStyle w:val="FootnoteText"/>
      </w:pPr>
      <w:r>
        <w:rPr>
          <w:rStyle w:val="FootnoteReference"/>
        </w:rPr>
        <w:footnoteRef/>
      </w:r>
      <w:r>
        <w:t xml:space="preserve"> </w:t>
      </w:r>
      <w:r>
        <w:tab/>
      </w:r>
      <w:r>
        <w:rPr>
          <w:i/>
        </w:rPr>
        <w:t xml:space="preserve">Mental Health Act 2016 </w:t>
      </w:r>
      <w:r>
        <w:t>(Qld) s 461.</w:t>
      </w:r>
    </w:p>
  </w:footnote>
  <w:footnote w:id="931">
    <w:p w14:paraId="11EFE2DD" w14:textId="2499D19C" w:rsidR="00EE78D8" w:rsidRDefault="00EE78D8" w:rsidP="0014208F">
      <w:pPr>
        <w:pStyle w:val="FootnoteText"/>
      </w:pPr>
      <w:r>
        <w:rPr>
          <w:rStyle w:val="FootnoteReference"/>
        </w:rPr>
        <w:footnoteRef/>
      </w:r>
      <w:r>
        <w:t xml:space="preserve"> </w:t>
      </w:r>
      <w:r>
        <w:tab/>
      </w:r>
      <w:r>
        <w:rPr>
          <w:i/>
        </w:rPr>
        <w:t xml:space="preserve">Criminal Code </w:t>
      </w:r>
      <w:r>
        <w:t>(Qld) s 647(2).</w:t>
      </w:r>
    </w:p>
  </w:footnote>
  <w:footnote w:id="932">
    <w:p w14:paraId="3ADEF966" w14:textId="3FB9FAE2" w:rsidR="00EE78D8" w:rsidRPr="008C6B63" w:rsidRDefault="00EE78D8" w:rsidP="0014208F">
      <w:pPr>
        <w:pStyle w:val="FootnoteText"/>
      </w:pPr>
      <w:r>
        <w:rPr>
          <w:rStyle w:val="FootnoteReference"/>
        </w:rPr>
        <w:footnoteRef/>
      </w:r>
      <w:r>
        <w:t xml:space="preserve"> </w:t>
      </w:r>
      <w:r>
        <w:tab/>
      </w:r>
      <w:r>
        <w:rPr>
          <w:i/>
        </w:rPr>
        <w:t xml:space="preserve">Mental Health Act 2016 </w:t>
      </w:r>
      <w:r>
        <w:t>(Qld) s 21(1).</w:t>
      </w:r>
    </w:p>
  </w:footnote>
  <w:footnote w:id="933">
    <w:p w14:paraId="171291FA" w14:textId="31E0B421" w:rsidR="00EE78D8" w:rsidRPr="00FF4E9F" w:rsidRDefault="00EE78D8" w:rsidP="0014208F">
      <w:pPr>
        <w:pStyle w:val="FootnoteText"/>
      </w:pPr>
      <w:r>
        <w:rPr>
          <w:rStyle w:val="FootnoteReference"/>
        </w:rPr>
        <w:footnoteRef/>
      </w:r>
      <w:r>
        <w:t xml:space="preserve"> </w:t>
      </w:r>
      <w:r>
        <w:tab/>
        <w:t>Ibid ss 21(2), 130(1).</w:t>
      </w:r>
    </w:p>
  </w:footnote>
  <w:footnote w:id="934">
    <w:p w14:paraId="3E76E815" w14:textId="72B723A1" w:rsidR="00EE78D8" w:rsidRDefault="00EE78D8" w:rsidP="0014208F">
      <w:pPr>
        <w:pStyle w:val="FootnoteText"/>
      </w:pPr>
      <w:r>
        <w:rPr>
          <w:rStyle w:val="FootnoteReference"/>
        </w:rPr>
        <w:footnoteRef/>
      </w:r>
      <w:r>
        <w:t xml:space="preserve"> </w:t>
      </w:r>
      <w:r>
        <w:tab/>
      </w:r>
      <w:r>
        <w:rPr>
          <w:i/>
        </w:rPr>
        <w:t xml:space="preserve">Crimes Act 1900 </w:t>
      </w:r>
      <w:r>
        <w:t>(ACT) ss 318, 319, 323, 324.</w:t>
      </w:r>
    </w:p>
  </w:footnote>
  <w:footnote w:id="935">
    <w:p w14:paraId="72B2334F" w14:textId="5C4D2BEC" w:rsidR="00EE78D8" w:rsidRPr="00F23382" w:rsidRDefault="00EE78D8" w:rsidP="0014208F">
      <w:pPr>
        <w:pStyle w:val="FootnoteText"/>
      </w:pPr>
      <w:r>
        <w:rPr>
          <w:rStyle w:val="FootnoteReference"/>
        </w:rPr>
        <w:footnoteRef/>
      </w:r>
      <w:r>
        <w:t xml:space="preserve"> </w:t>
      </w:r>
      <w:r>
        <w:tab/>
      </w:r>
      <w:r>
        <w:rPr>
          <w:i/>
        </w:rPr>
        <w:t xml:space="preserve">Criminal Code Act </w:t>
      </w:r>
      <w:r>
        <w:t>(NT) ss 43I, 43X.</w:t>
      </w:r>
    </w:p>
  </w:footnote>
  <w:footnote w:id="936">
    <w:p w14:paraId="39675B0E" w14:textId="146B3141" w:rsidR="00EE78D8" w:rsidRDefault="00EE78D8" w:rsidP="0014208F">
      <w:pPr>
        <w:pStyle w:val="FootnoteText"/>
      </w:pPr>
      <w:r>
        <w:rPr>
          <w:rStyle w:val="FootnoteReference"/>
        </w:rPr>
        <w:footnoteRef/>
      </w:r>
      <w:r>
        <w:rPr>
          <w:i/>
        </w:rPr>
        <w:tab/>
      </w:r>
      <w:r>
        <w:t>Ibid s 42ZA(1).</w:t>
      </w:r>
    </w:p>
  </w:footnote>
  <w:footnote w:id="937">
    <w:p w14:paraId="4D1CFD94" w14:textId="08EF6252" w:rsidR="00EE78D8" w:rsidRPr="00A77EBE" w:rsidRDefault="00EE78D8" w:rsidP="0014208F">
      <w:pPr>
        <w:pStyle w:val="FootnoteText"/>
      </w:pPr>
      <w:r>
        <w:rPr>
          <w:rStyle w:val="FootnoteReference"/>
        </w:rPr>
        <w:footnoteRef/>
      </w:r>
      <w:r>
        <w:t xml:space="preserve"> </w:t>
      </w:r>
      <w:r>
        <w:tab/>
      </w:r>
      <w:r>
        <w:rPr>
          <w:i/>
        </w:rPr>
        <w:t xml:space="preserve">Crimes Act 1914 </w:t>
      </w:r>
      <w:r>
        <w:t>(Cth) s 20BC(2). Note that for acquittal because of mental illness, the court must order detention in safe custody in prison or in a hospital, subject to discretion to release the person, ss 20BJ(1), (4).</w:t>
      </w:r>
    </w:p>
  </w:footnote>
  <w:footnote w:id="938">
    <w:p w14:paraId="6C38FA45" w14:textId="5BEDE8D5" w:rsidR="00EE78D8" w:rsidRDefault="00EE78D8" w:rsidP="0014208F">
      <w:pPr>
        <w:pStyle w:val="FootnoteText"/>
      </w:pPr>
      <w:r>
        <w:rPr>
          <w:rStyle w:val="FootnoteReference"/>
        </w:rPr>
        <w:footnoteRef/>
      </w:r>
      <w:r>
        <w:t xml:space="preserve"> </w:t>
      </w:r>
      <w:r>
        <w:tab/>
      </w:r>
      <w:r>
        <w:rPr>
          <w:i/>
        </w:rPr>
        <w:t xml:space="preserve">Crimes Act 1914 </w:t>
      </w:r>
      <w:r>
        <w:t>(Cth) ss 20BC(5), 20BJ(4).</w:t>
      </w:r>
    </w:p>
  </w:footnote>
  <w:footnote w:id="939">
    <w:p w14:paraId="60E60B4C" w14:textId="28FC0CA8" w:rsidR="00EE78D8" w:rsidRDefault="00EE78D8" w:rsidP="0014208F">
      <w:pPr>
        <w:pStyle w:val="FootnoteText"/>
      </w:pPr>
      <w:r>
        <w:rPr>
          <w:rStyle w:val="FootnoteReference"/>
        </w:rPr>
        <w:footnoteRef/>
      </w:r>
      <w:r>
        <w:t xml:space="preserve"> </w:t>
      </w:r>
      <w:r>
        <w:tab/>
        <w:t xml:space="preserve">NSWLRC, above n </w:t>
      </w:r>
      <w:r>
        <w:fldChar w:fldCharType="begin"/>
      </w:r>
      <w:r>
        <w:instrText xml:space="preserve"> NOTEREF _Ref534982374 \h </w:instrText>
      </w:r>
      <w:r>
        <w:fldChar w:fldCharType="separate"/>
      </w:r>
      <w:r w:rsidR="001F209C">
        <w:t>55</w:t>
      </w:r>
      <w:r>
        <w:fldChar w:fldCharType="end"/>
      </w:r>
      <w:r>
        <w:t xml:space="preserve">, 159 referring to </w:t>
      </w:r>
      <w:r w:rsidRPr="00B521CE">
        <w:rPr>
          <w:i/>
        </w:rPr>
        <w:t>R v Line</w:t>
      </w:r>
      <w:r>
        <w:t xml:space="preserve"> [2004] NSWSC 1148 [19]; </w:t>
      </w:r>
      <w:r w:rsidRPr="00B521CE">
        <w:rPr>
          <w:i/>
        </w:rPr>
        <w:t>R v Shan Shan Xu (no 2)</w:t>
      </w:r>
      <w:r>
        <w:t xml:space="preserve"> [2005] NSWSC 70 [71].</w:t>
      </w:r>
    </w:p>
  </w:footnote>
  <w:footnote w:id="940">
    <w:p w14:paraId="744C418A" w14:textId="120E835E" w:rsidR="00EE78D8" w:rsidRDefault="00EE78D8" w:rsidP="0014208F">
      <w:pPr>
        <w:pStyle w:val="FootnoteText"/>
      </w:pPr>
      <w:r>
        <w:rPr>
          <w:rStyle w:val="FootnoteReference"/>
        </w:rPr>
        <w:footnoteRef/>
      </w:r>
      <w:r>
        <w:t xml:space="preserve"> </w:t>
      </w:r>
      <w:r>
        <w:tab/>
      </w:r>
      <w:r>
        <w:rPr>
          <w:i/>
        </w:rPr>
        <w:t xml:space="preserve">Criminal Law Consolidation Act 1935 </w:t>
      </w:r>
      <w:r>
        <w:t>(SA) s 269R.</w:t>
      </w:r>
    </w:p>
  </w:footnote>
  <w:footnote w:id="941">
    <w:p w14:paraId="2C7B50A8" w14:textId="2C672CA4" w:rsidR="00EE78D8" w:rsidRDefault="00EE78D8" w:rsidP="0014208F">
      <w:pPr>
        <w:pStyle w:val="FootnoteText"/>
      </w:pPr>
      <w:r>
        <w:rPr>
          <w:rStyle w:val="FootnoteReference"/>
        </w:rPr>
        <w:footnoteRef/>
      </w:r>
      <w:r>
        <w:t xml:space="preserve"> </w:t>
      </w:r>
      <w:r>
        <w:tab/>
      </w:r>
      <w:r w:rsidRPr="003B0AB2">
        <w:t>Ibid</w:t>
      </w:r>
      <w:r>
        <w:t xml:space="preserve"> s 269NI.</w:t>
      </w:r>
    </w:p>
  </w:footnote>
  <w:footnote w:id="942">
    <w:p w14:paraId="11D20AE3" w14:textId="0BA2177D" w:rsidR="00EE78D8" w:rsidRDefault="00EE78D8" w:rsidP="0014208F">
      <w:pPr>
        <w:pStyle w:val="FootnoteText"/>
      </w:pPr>
      <w:r>
        <w:rPr>
          <w:rStyle w:val="FootnoteReference"/>
        </w:rPr>
        <w:footnoteRef/>
      </w:r>
      <w:r>
        <w:t xml:space="preserve"> </w:t>
      </w:r>
      <w:r>
        <w:tab/>
      </w:r>
      <w:r w:rsidRPr="003B0AB2">
        <w:t xml:space="preserve">Ibid </w:t>
      </w:r>
      <w:r>
        <w:t>s 269T.</w:t>
      </w:r>
    </w:p>
  </w:footnote>
  <w:footnote w:id="943">
    <w:p w14:paraId="41F84F60" w14:textId="6F4D473A" w:rsidR="00EE78D8" w:rsidRDefault="00EE78D8" w:rsidP="0014208F">
      <w:pPr>
        <w:pStyle w:val="FootnoteText"/>
      </w:pPr>
      <w:r>
        <w:rPr>
          <w:rStyle w:val="FootnoteReference"/>
        </w:rPr>
        <w:footnoteRef/>
      </w:r>
      <w:r>
        <w:t xml:space="preserve"> </w:t>
      </w:r>
      <w:r>
        <w:tab/>
      </w:r>
      <w:r w:rsidRPr="003B0AB2">
        <w:t>Ibid</w:t>
      </w:r>
      <w:r>
        <w:t>.</w:t>
      </w:r>
    </w:p>
  </w:footnote>
  <w:footnote w:id="944">
    <w:p w14:paraId="6E09F675" w14:textId="513BB76C" w:rsidR="00EE78D8" w:rsidRDefault="00EE78D8" w:rsidP="0014208F">
      <w:pPr>
        <w:pStyle w:val="FootnoteText"/>
      </w:pPr>
      <w:r>
        <w:rPr>
          <w:rStyle w:val="FootnoteReference"/>
        </w:rPr>
        <w:footnoteRef/>
      </w:r>
      <w:r>
        <w:t xml:space="preserve"> </w:t>
      </w:r>
      <w:r>
        <w:tab/>
      </w:r>
      <w:r>
        <w:rPr>
          <w:i/>
        </w:rPr>
        <w:t xml:space="preserve">Crimes (Mental Impairment and Unfitness to be Tried) Act 1997 </w:t>
      </w:r>
      <w:r>
        <w:t>(Vic) s 39(1).</w:t>
      </w:r>
    </w:p>
  </w:footnote>
  <w:footnote w:id="945">
    <w:p w14:paraId="0F40C584" w14:textId="02B27A41" w:rsidR="00EE78D8" w:rsidRDefault="00EE78D8" w:rsidP="0014208F">
      <w:pPr>
        <w:pStyle w:val="FootnoteText"/>
      </w:pPr>
      <w:r>
        <w:rPr>
          <w:rStyle w:val="FootnoteReference"/>
        </w:rPr>
        <w:footnoteRef/>
      </w:r>
      <w:r>
        <w:t xml:space="preserve"> </w:t>
      </w:r>
      <w:r>
        <w:tab/>
      </w:r>
      <w:r w:rsidRPr="000465C2">
        <w:t>Ibid</w:t>
      </w:r>
      <w:r>
        <w:t xml:space="preserve"> s 40(1).</w:t>
      </w:r>
    </w:p>
  </w:footnote>
  <w:footnote w:id="946">
    <w:p w14:paraId="42E618B8" w14:textId="2E84A2CA" w:rsidR="00EE78D8" w:rsidRPr="00DD69BD" w:rsidRDefault="00EE78D8" w:rsidP="00DD69BD">
      <w:pPr>
        <w:pStyle w:val="FootnoteText"/>
        <w:rPr>
          <w:lang w:val="en-US"/>
        </w:rPr>
      </w:pPr>
      <w:r>
        <w:rPr>
          <w:rStyle w:val="FootnoteReference"/>
        </w:rPr>
        <w:footnoteRef/>
      </w:r>
      <w:r>
        <w:t xml:space="preserve"> </w:t>
      </w:r>
      <w:r>
        <w:tab/>
      </w:r>
      <w:r w:rsidRPr="000465C2">
        <w:t>Ibid</w:t>
      </w:r>
      <w:r>
        <w:t xml:space="preserve"> s 40(2). There were changes proposed to the test in the </w:t>
      </w:r>
      <w:r>
        <w:rPr>
          <w:i/>
          <w:lang w:val="en-US"/>
        </w:rPr>
        <w:t xml:space="preserve">Crimes (Mental Impairment and Unfitness to be Tried) Amendment Bill 2016 </w:t>
      </w:r>
      <w:r>
        <w:rPr>
          <w:lang w:val="en-US"/>
        </w:rPr>
        <w:t>(Vic). This legislation has not been passed by the Victorian Parliament.</w:t>
      </w:r>
    </w:p>
  </w:footnote>
  <w:footnote w:id="947">
    <w:p w14:paraId="104F146D" w14:textId="10138CDB" w:rsidR="00EE78D8" w:rsidRDefault="00EE78D8" w:rsidP="0014208F">
      <w:pPr>
        <w:pStyle w:val="FootnoteText"/>
      </w:pPr>
      <w:r>
        <w:rPr>
          <w:rStyle w:val="FootnoteReference"/>
        </w:rPr>
        <w:footnoteRef/>
      </w:r>
      <w:r>
        <w:t xml:space="preserve"> </w:t>
      </w:r>
      <w:r>
        <w:tab/>
      </w:r>
      <w:r>
        <w:rPr>
          <w:i/>
        </w:rPr>
        <w:t xml:space="preserve">Criminal Law (Mentally Impaired Accused) Act 1996 </w:t>
      </w:r>
      <w:r>
        <w:t>(WA) s 19(5).</w:t>
      </w:r>
    </w:p>
  </w:footnote>
  <w:footnote w:id="948">
    <w:p w14:paraId="44CF5B4F" w14:textId="3165FA7F" w:rsidR="00EE78D8" w:rsidRDefault="00EE78D8" w:rsidP="0014208F">
      <w:pPr>
        <w:pStyle w:val="FootnoteText"/>
      </w:pPr>
      <w:r>
        <w:rPr>
          <w:rStyle w:val="FootnoteReference"/>
        </w:rPr>
        <w:footnoteRef/>
      </w:r>
      <w:r>
        <w:t xml:space="preserve"> </w:t>
      </w:r>
      <w:r>
        <w:tab/>
      </w:r>
      <w:r w:rsidRPr="00DF2C79">
        <w:t>Ibid</w:t>
      </w:r>
      <w:r>
        <w:t xml:space="preserve"> s 22(1), (2).</w:t>
      </w:r>
    </w:p>
  </w:footnote>
  <w:footnote w:id="949">
    <w:p w14:paraId="61EECB00" w14:textId="70FF2099" w:rsidR="00EE78D8" w:rsidRPr="00111AE6" w:rsidRDefault="00EE78D8" w:rsidP="0014208F">
      <w:pPr>
        <w:pStyle w:val="FootnoteText"/>
      </w:pPr>
      <w:r>
        <w:rPr>
          <w:rStyle w:val="FootnoteReference"/>
        </w:rPr>
        <w:footnoteRef/>
      </w:r>
      <w:r>
        <w:t xml:space="preserve"> </w:t>
      </w:r>
      <w:r>
        <w:tab/>
      </w:r>
      <w:r>
        <w:rPr>
          <w:i/>
        </w:rPr>
        <w:t xml:space="preserve">Mental Health Act 2016 </w:t>
      </w:r>
      <w:r>
        <w:t>(Qld) s 133(1).</w:t>
      </w:r>
    </w:p>
  </w:footnote>
  <w:footnote w:id="950">
    <w:p w14:paraId="20EEAF05" w14:textId="3047AF2E" w:rsidR="00EE78D8" w:rsidRDefault="00EE78D8" w:rsidP="0014208F">
      <w:pPr>
        <w:pStyle w:val="FootnoteText"/>
      </w:pPr>
      <w:r>
        <w:rPr>
          <w:rStyle w:val="FootnoteReference"/>
        </w:rPr>
        <w:footnoteRef/>
      </w:r>
      <w:r>
        <w:t xml:space="preserve"> </w:t>
      </w:r>
      <w:r>
        <w:tab/>
      </w:r>
      <w:r w:rsidRPr="00DF2C79">
        <w:t>Ibid</w:t>
      </w:r>
      <w:r>
        <w:t xml:space="preserve"> s 133(4).</w:t>
      </w:r>
    </w:p>
  </w:footnote>
  <w:footnote w:id="951">
    <w:p w14:paraId="7FBD1B7E" w14:textId="45EBF529" w:rsidR="00EE78D8" w:rsidRDefault="00EE78D8" w:rsidP="0014208F">
      <w:pPr>
        <w:pStyle w:val="FootnoteText"/>
      </w:pPr>
      <w:r>
        <w:rPr>
          <w:rStyle w:val="FootnoteReference"/>
        </w:rPr>
        <w:footnoteRef/>
      </w:r>
      <w:r>
        <w:t xml:space="preserve"> </w:t>
      </w:r>
      <w:r>
        <w:tab/>
      </w:r>
      <w:r w:rsidRPr="00DF2C79">
        <w:t xml:space="preserve">Ibid </w:t>
      </w:r>
      <w:r>
        <w:t>s 138(2).</w:t>
      </w:r>
    </w:p>
  </w:footnote>
  <w:footnote w:id="952">
    <w:p w14:paraId="14D4B852" w14:textId="1225C69F" w:rsidR="00EE78D8" w:rsidRDefault="00EE78D8" w:rsidP="0014208F">
      <w:pPr>
        <w:pStyle w:val="FootnoteText"/>
      </w:pPr>
      <w:r>
        <w:rPr>
          <w:rStyle w:val="FootnoteReference"/>
        </w:rPr>
        <w:footnoteRef/>
      </w:r>
      <w:r>
        <w:t xml:space="preserve"> </w:t>
      </w:r>
      <w:r>
        <w:tab/>
      </w:r>
      <w:r>
        <w:rPr>
          <w:i/>
        </w:rPr>
        <w:t xml:space="preserve">Crimes Act 1900 </w:t>
      </w:r>
      <w:r>
        <w:t>(ACT) s 308.</w:t>
      </w:r>
    </w:p>
  </w:footnote>
  <w:footnote w:id="953">
    <w:p w14:paraId="3FAFEBE5" w14:textId="03778958" w:rsidR="00EE78D8" w:rsidRDefault="00EE78D8" w:rsidP="0014208F">
      <w:pPr>
        <w:pStyle w:val="FootnoteText"/>
      </w:pPr>
      <w:r>
        <w:rPr>
          <w:rStyle w:val="FootnoteReference"/>
        </w:rPr>
        <w:footnoteRef/>
      </w:r>
      <w:r>
        <w:t xml:space="preserve"> </w:t>
      </w:r>
      <w:r>
        <w:tab/>
      </w:r>
      <w:r>
        <w:rPr>
          <w:i/>
        </w:rPr>
        <w:t xml:space="preserve">Criminal Code Act </w:t>
      </w:r>
      <w:r>
        <w:t>(NT) s 43ZM.</w:t>
      </w:r>
    </w:p>
  </w:footnote>
  <w:footnote w:id="954">
    <w:p w14:paraId="5AF97C51" w14:textId="08290282" w:rsidR="00EE78D8" w:rsidRDefault="00EE78D8" w:rsidP="0014208F">
      <w:pPr>
        <w:pStyle w:val="FootnoteText"/>
      </w:pPr>
      <w:r>
        <w:rPr>
          <w:rStyle w:val="FootnoteReference"/>
        </w:rPr>
        <w:footnoteRef/>
      </w:r>
      <w:r>
        <w:t xml:space="preserve"> </w:t>
      </w:r>
      <w:r>
        <w:tab/>
      </w:r>
      <w:r w:rsidRPr="00DF2C79">
        <w:t>Ibid</w:t>
      </w:r>
      <w:r>
        <w:t xml:space="preserve"> s 43ZN(1).</w:t>
      </w:r>
    </w:p>
  </w:footnote>
  <w:footnote w:id="955">
    <w:p w14:paraId="30231E3F" w14:textId="2851FC2F" w:rsidR="00EE78D8" w:rsidRDefault="00EE78D8" w:rsidP="0014208F">
      <w:pPr>
        <w:pStyle w:val="FootnoteText"/>
      </w:pPr>
      <w:r>
        <w:rPr>
          <w:rStyle w:val="FootnoteReference"/>
        </w:rPr>
        <w:footnoteRef/>
      </w:r>
      <w:r>
        <w:t xml:space="preserve"> </w:t>
      </w:r>
      <w:r>
        <w:tab/>
      </w:r>
      <w:r w:rsidRPr="00DF2C79">
        <w:t>Ibid</w:t>
      </w:r>
      <w:r>
        <w:t xml:space="preserve"> s 43ZN(2).</w:t>
      </w:r>
    </w:p>
  </w:footnote>
  <w:footnote w:id="956">
    <w:p w14:paraId="4E4C232A" w14:textId="72B83E1C" w:rsidR="00EE78D8" w:rsidRPr="00112A4F" w:rsidRDefault="00EE78D8" w:rsidP="0014208F">
      <w:pPr>
        <w:pStyle w:val="FootnoteText"/>
      </w:pPr>
      <w:r>
        <w:rPr>
          <w:rStyle w:val="FootnoteReference"/>
        </w:rPr>
        <w:footnoteRef/>
      </w:r>
      <w:r>
        <w:rPr>
          <w:i/>
        </w:rPr>
        <w:tab/>
        <w:t xml:space="preserve">Crimes Act 1914 </w:t>
      </w:r>
      <w:r>
        <w:t xml:space="preserve">(Cth) ss 20BC(2), 20BJ(1). Section 20BJ has been interpreted to mean that ‘the length of the period of detention should be fixed by reference to the sentence which would have been imposed if the person had been found guilty’: </w:t>
      </w:r>
      <w:r>
        <w:rPr>
          <w:i/>
        </w:rPr>
        <w:t xml:space="preserve">R v Goodfellow </w:t>
      </w:r>
      <w:r>
        <w:t xml:space="preserve">(1994) 33 NSWLR 308; </w:t>
      </w:r>
      <w:r>
        <w:rPr>
          <w:i/>
        </w:rPr>
        <w:t xml:space="preserve">R v Robison </w:t>
      </w:r>
      <w:r>
        <w:t>(2004) 11 VR 165.</w:t>
      </w:r>
    </w:p>
  </w:footnote>
  <w:footnote w:id="957">
    <w:p w14:paraId="59EDD8A6" w14:textId="48712311" w:rsidR="00EE78D8" w:rsidRDefault="00EE78D8" w:rsidP="0014208F">
      <w:pPr>
        <w:pStyle w:val="FootnoteText"/>
      </w:pPr>
      <w:r>
        <w:rPr>
          <w:rStyle w:val="FootnoteReference"/>
        </w:rPr>
        <w:footnoteRef/>
      </w:r>
      <w:r>
        <w:t xml:space="preserve"> </w:t>
      </w:r>
      <w:r>
        <w:tab/>
      </w:r>
      <w:r>
        <w:rPr>
          <w:i/>
        </w:rPr>
        <w:t xml:space="preserve">Mental Health (Forensic Procedure) Act 1990 </w:t>
      </w:r>
      <w:r w:rsidRPr="007F58CD">
        <w:t>(NSW)</w:t>
      </w:r>
      <w:r>
        <w:t xml:space="preserve"> s 23(1)(b).</w:t>
      </w:r>
    </w:p>
  </w:footnote>
  <w:footnote w:id="958">
    <w:p w14:paraId="149D42B5" w14:textId="50709B8A" w:rsidR="00EE78D8" w:rsidRDefault="00EE78D8" w:rsidP="0014208F">
      <w:pPr>
        <w:pStyle w:val="FootnoteText"/>
      </w:pPr>
      <w:r>
        <w:rPr>
          <w:rStyle w:val="FootnoteReference"/>
        </w:rPr>
        <w:footnoteRef/>
      </w:r>
      <w:r>
        <w:t xml:space="preserve"> </w:t>
      </w:r>
      <w:r>
        <w:tab/>
        <w:t xml:space="preserve">NSWLRC, above n </w:t>
      </w:r>
      <w:r>
        <w:fldChar w:fldCharType="begin"/>
      </w:r>
      <w:r>
        <w:instrText xml:space="preserve"> NOTEREF _Ref534982374 \h </w:instrText>
      </w:r>
      <w:r>
        <w:fldChar w:fldCharType="separate"/>
      </w:r>
      <w:r w:rsidR="001F209C">
        <w:t>55</w:t>
      </w:r>
      <w:r>
        <w:fldChar w:fldCharType="end"/>
      </w:r>
      <w:r>
        <w:t>, 166.</w:t>
      </w:r>
    </w:p>
  </w:footnote>
  <w:footnote w:id="959">
    <w:p w14:paraId="7014CA88" w14:textId="26EA276F" w:rsidR="00EE78D8" w:rsidRDefault="00EE78D8" w:rsidP="0014208F">
      <w:pPr>
        <w:pStyle w:val="FootnoteText"/>
      </w:pPr>
      <w:r>
        <w:rPr>
          <w:rStyle w:val="FootnoteReference"/>
        </w:rPr>
        <w:footnoteRef/>
      </w:r>
      <w:r>
        <w:t xml:space="preserve"> </w:t>
      </w:r>
      <w:r>
        <w:tab/>
      </w:r>
      <w:r>
        <w:rPr>
          <w:i/>
        </w:rPr>
        <w:t xml:space="preserve">Crimes (Mental Impairment and Unfitness to be Tried) Act 1997 </w:t>
      </w:r>
      <w:r>
        <w:t>(Vic) s 27.</w:t>
      </w:r>
    </w:p>
  </w:footnote>
  <w:footnote w:id="960">
    <w:p w14:paraId="68AAA6C2" w14:textId="6C44716F" w:rsidR="00EE78D8" w:rsidRDefault="00EE78D8" w:rsidP="0014208F">
      <w:pPr>
        <w:pStyle w:val="FootnoteText"/>
      </w:pPr>
      <w:r>
        <w:rPr>
          <w:rStyle w:val="FootnoteReference"/>
        </w:rPr>
        <w:footnoteRef/>
      </w:r>
      <w:r>
        <w:t xml:space="preserve"> </w:t>
      </w:r>
      <w:r>
        <w:tab/>
      </w:r>
      <w:r w:rsidRPr="002779C4">
        <w:t>Ibid</w:t>
      </w:r>
      <w:r>
        <w:t xml:space="preserve"> s 28.</w:t>
      </w:r>
    </w:p>
  </w:footnote>
  <w:footnote w:id="961">
    <w:p w14:paraId="75CC5B48" w14:textId="3370DBE9" w:rsidR="00EE78D8" w:rsidRPr="007059F0" w:rsidRDefault="00EE78D8" w:rsidP="007059F0">
      <w:pPr>
        <w:pStyle w:val="FootnoteText"/>
        <w:rPr>
          <w:lang w:val="en-US"/>
        </w:rPr>
      </w:pPr>
      <w:r>
        <w:rPr>
          <w:rStyle w:val="FootnoteReference"/>
        </w:rPr>
        <w:footnoteRef/>
      </w:r>
      <w:r>
        <w:t xml:space="preserve"> </w:t>
      </w:r>
      <w:r>
        <w:tab/>
      </w:r>
      <w:r w:rsidRPr="002779C4">
        <w:t>Ibid</w:t>
      </w:r>
      <w:r>
        <w:t xml:space="preserve"> s 35. Changes to the review system were set out in the </w:t>
      </w:r>
      <w:r>
        <w:rPr>
          <w:i/>
          <w:lang w:val="en-US"/>
        </w:rPr>
        <w:t xml:space="preserve">Crimes (Mental Impairment and Unfitness to be Tried) Amendment Bill 2016 </w:t>
      </w:r>
      <w:r>
        <w:rPr>
          <w:lang w:val="en-US"/>
        </w:rPr>
        <w:t>(Vic). This legislation has not been passed by the Victorian Parliament.</w:t>
      </w:r>
    </w:p>
  </w:footnote>
  <w:footnote w:id="962">
    <w:p w14:paraId="3BD6CE32" w14:textId="169B9B2A" w:rsidR="00EE78D8" w:rsidRDefault="00EE78D8" w:rsidP="0014208F">
      <w:pPr>
        <w:pStyle w:val="FootnoteText"/>
      </w:pPr>
      <w:r>
        <w:rPr>
          <w:rStyle w:val="FootnoteReference"/>
        </w:rPr>
        <w:footnoteRef/>
      </w:r>
      <w:r>
        <w:t xml:space="preserve"> </w:t>
      </w:r>
      <w:r>
        <w:tab/>
      </w:r>
      <w:r>
        <w:rPr>
          <w:i/>
        </w:rPr>
        <w:t xml:space="preserve">Criminal Law Consolidation Act 1935 </w:t>
      </w:r>
      <w:r>
        <w:t>(SA) s 269O(2).</w:t>
      </w:r>
    </w:p>
  </w:footnote>
  <w:footnote w:id="963">
    <w:p w14:paraId="3AB12384" w14:textId="699B4494" w:rsidR="00EE78D8" w:rsidRPr="00FC492D" w:rsidRDefault="00EE78D8" w:rsidP="0014208F">
      <w:pPr>
        <w:pStyle w:val="FootnoteText"/>
      </w:pPr>
      <w:r>
        <w:rPr>
          <w:rStyle w:val="FootnoteReference"/>
        </w:rPr>
        <w:footnoteRef/>
      </w:r>
      <w:r>
        <w:t xml:space="preserve"> </w:t>
      </w:r>
      <w:r>
        <w:tab/>
      </w:r>
      <w:r>
        <w:rPr>
          <w:i/>
        </w:rPr>
        <w:t xml:space="preserve">Criminal Law (Mentally Impaired Accused) Act 1996 </w:t>
      </w:r>
      <w:r>
        <w:t>(WA) ss 24(1), 38(1).</w:t>
      </w:r>
    </w:p>
  </w:footnote>
  <w:footnote w:id="964">
    <w:p w14:paraId="38AC4024" w14:textId="5BA58838" w:rsidR="00EE78D8" w:rsidRPr="00FC492D" w:rsidRDefault="00EE78D8" w:rsidP="0014208F">
      <w:pPr>
        <w:pStyle w:val="FootnoteText"/>
      </w:pPr>
      <w:r>
        <w:rPr>
          <w:rStyle w:val="FootnoteReference"/>
        </w:rPr>
        <w:footnoteRef/>
      </w:r>
      <w:r>
        <w:t xml:space="preserve"> </w:t>
      </w:r>
      <w:r>
        <w:tab/>
      </w:r>
      <w:r>
        <w:rPr>
          <w:i/>
        </w:rPr>
        <w:t xml:space="preserve">Mental Health Act 2016 </w:t>
      </w:r>
      <w:r>
        <w:t>(Qld) s 137(2). Prescribed offences are murder, manslaughter, grievous bodily harm and rape. Section 457 applies in relation to a person with a dual disability.</w:t>
      </w:r>
    </w:p>
  </w:footnote>
  <w:footnote w:id="965">
    <w:p w14:paraId="43257FF7" w14:textId="16FC0A2E" w:rsidR="00EE78D8" w:rsidRDefault="00EE78D8" w:rsidP="0014208F">
      <w:pPr>
        <w:pStyle w:val="FootnoteText"/>
      </w:pPr>
      <w:r>
        <w:rPr>
          <w:rStyle w:val="FootnoteReference"/>
        </w:rPr>
        <w:footnoteRef/>
      </w:r>
      <w:r>
        <w:t xml:space="preserve"> </w:t>
      </w:r>
      <w:r>
        <w:tab/>
      </w:r>
      <w:r w:rsidRPr="002779C4">
        <w:t>Ibid</w:t>
      </w:r>
      <w:r>
        <w:t xml:space="preserve"> s 137(3).</w:t>
      </w:r>
    </w:p>
  </w:footnote>
  <w:footnote w:id="966">
    <w:p w14:paraId="10AB0D3C" w14:textId="654657D1" w:rsidR="00EE78D8" w:rsidRPr="0021615E" w:rsidRDefault="00EE78D8" w:rsidP="0014208F">
      <w:pPr>
        <w:pStyle w:val="FootnoteText"/>
      </w:pPr>
      <w:r>
        <w:rPr>
          <w:rStyle w:val="FootnoteReference"/>
        </w:rPr>
        <w:footnoteRef/>
      </w:r>
      <w:r>
        <w:t xml:space="preserve"> </w:t>
      </w:r>
      <w:r>
        <w:tab/>
      </w:r>
      <w:r>
        <w:rPr>
          <w:i/>
        </w:rPr>
        <w:t xml:space="preserve">Crimes Act 1900 </w:t>
      </w:r>
      <w:r>
        <w:t>(ACT) ss 301(2), 302(2), 303.</w:t>
      </w:r>
    </w:p>
  </w:footnote>
  <w:footnote w:id="967">
    <w:p w14:paraId="0D277CDC" w14:textId="70E38502" w:rsidR="00EE78D8" w:rsidRDefault="00EE78D8" w:rsidP="0014208F">
      <w:pPr>
        <w:pStyle w:val="FootnoteText"/>
      </w:pPr>
      <w:r>
        <w:rPr>
          <w:rStyle w:val="FootnoteReference"/>
        </w:rPr>
        <w:footnoteRef/>
      </w:r>
      <w:r>
        <w:t xml:space="preserve"> </w:t>
      </w:r>
      <w:r>
        <w:tab/>
      </w:r>
      <w:r>
        <w:rPr>
          <w:i/>
        </w:rPr>
        <w:t xml:space="preserve">Criminal Code Act </w:t>
      </w:r>
      <w:r>
        <w:t>(NT) s 43ZC.</w:t>
      </w:r>
    </w:p>
  </w:footnote>
  <w:footnote w:id="968">
    <w:p w14:paraId="3EEDB107" w14:textId="13535365" w:rsidR="00EE78D8" w:rsidRDefault="00EE78D8" w:rsidP="0014208F">
      <w:pPr>
        <w:pStyle w:val="FootnoteText"/>
      </w:pPr>
      <w:r>
        <w:rPr>
          <w:rStyle w:val="FootnoteReference"/>
        </w:rPr>
        <w:footnoteRef/>
      </w:r>
      <w:r>
        <w:t xml:space="preserve"> </w:t>
      </w:r>
      <w:r>
        <w:tab/>
      </w:r>
      <w:r w:rsidRPr="002779C4">
        <w:t>Ibid</w:t>
      </w:r>
      <w:r>
        <w:t xml:space="preserve"> ss 43ZG(2), (3).</w:t>
      </w:r>
    </w:p>
  </w:footnote>
  <w:footnote w:id="969">
    <w:p w14:paraId="3FAD40B8" w14:textId="2398D56D" w:rsidR="00EE78D8" w:rsidRDefault="00EE78D8" w:rsidP="0014208F">
      <w:pPr>
        <w:pStyle w:val="FootnoteText"/>
      </w:pPr>
      <w:r>
        <w:rPr>
          <w:rStyle w:val="FootnoteReference"/>
        </w:rPr>
        <w:footnoteRef/>
      </w:r>
      <w:r>
        <w:t xml:space="preserve"> </w:t>
      </w:r>
      <w:r>
        <w:tab/>
      </w:r>
      <w:r>
        <w:rPr>
          <w:i/>
        </w:rPr>
        <w:t xml:space="preserve">Crimes Act 1914 </w:t>
      </w:r>
      <w:r>
        <w:t>(Cth) ss 20BE(2), 20BL(2).</w:t>
      </w:r>
    </w:p>
  </w:footnote>
  <w:footnote w:id="970">
    <w:p w14:paraId="7498B140" w14:textId="7B5D1F39" w:rsidR="00EE78D8" w:rsidRDefault="00EE78D8" w:rsidP="0014208F">
      <w:pPr>
        <w:pStyle w:val="FootnoteText"/>
      </w:pPr>
      <w:r>
        <w:rPr>
          <w:rStyle w:val="FootnoteReference"/>
        </w:rPr>
        <w:footnoteRef/>
      </w:r>
      <w:r>
        <w:t xml:space="preserve"> </w:t>
      </w:r>
      <w:r>
        <w:tab/>
      </w:r>
      <w:r>
        <w:rPr>
          <w:i/>
        </w:rPr>
        <w:t xml:space="preserve">Mental Health (Forensic Procedure) Act 1990 </w:t>
      </w:r>
      <w:r w:rsidRPr="007F58CD">
        <w:t>(NSW)</w:t>
      </w:r>
      <w:r>
        <w:t xml:space="preserve"> s 43.</w:t>
      </w:r>
    </w:p>
  </w:footnote>
  <w:footnote w:id="971">
    <w:p w14:paraId="20D4DF5C" w14:textId="0BB15177" w:rsidR="00EE78D8" w:rsidRDefault="00EE78D8" w:rsidP="0014208F">
      <w:pPr>
        <w:pStyle w:val="FootnoteText"/>
      </w:pPr>
      <w:r>
        <w:rPr>
          <w:rStyle w:val="FootnoteReference"/>
        </w:rPr>
        <w:footnoteRef/>
      </w:r>
      <w:r>
        <w:t xml:space="preserve"> </w:t>
      </w:r>
      <w:r>
        <w:tab/>
      </w:r>
      <w:r w:rsidRPr="007C7FF3">
        <w:t>Ibid</w:t>
      </w:r>
      <w:r>
        <w:t xml:space="preserve"> s 74.</w:t>
      </w:r>
    </w:p>
  </w:footnote>
  <w:footnote w:id="972">
    <w:p w14:paraId="2ECAB5DA" w14:textId="24932056" w:rsidR="00EE78D8" w:rsidRPr="00444857" w:rsidRDefault="00EE78D8">
      <w:pPr>
        <w:pStyle w:val="FootnoteText"/>
        <w:rPr>
          <w:lang w:val="en-US"/>
        </w:rPr>
      </w:pPr>
      <w:r>
        <w:rPr>
          <w:rStyle w:val="FootnoteReference"/>
        </w:rPr>
        <w:footnoteRef/>
      </w:r>
      <w:r>
        <w:t xml:space="preserve"> </w:t>
      </w:r>
      <w:r>
        <w:tab/>
      </w:r>
      <w:r>
        <w:rPr>
          <w:i/>
        </w:rPr>
        <w:t xml:space="preserve">Crimes (Mental Impairment and Unfitness to be Tried) Act 1997 </w:t>
      </w:r>
      <w:r>
        <w:t>(Vic) s</w:t>
      </w:r>
      <w:r>
        <w:rPr>
          <w:szCs w:val="22"/>
        </w:rPr>
        <w:t xml:space="preserve">s 32(2), </w:t>
      </w:r>
      <w:r w:rsidRPr="00A16AAC">
        <w:rPr>
          <w:szCs w:val="22"/>
        </w:rPr>
        <w:t>35(3)</w:t>
      </w:r>
      <w:r>
        <w:rPr>
          <w:szCs w:val="22"/>
        </w:rPr>
        <w:t xml:space="preserve">, </w:t>
      </w:r>
      <w:r w:rsidRPr="00A16AAC">
        <w:rPr>
          <w:szCs w:val="22"/>
        </w:rPr>
        <w:t>40(1)</w:t>
      </w:r>
      <w:r>
        <w:rPr>
          <w:szCs w:val="22"/>
        </w:rPr>
        <w:t>.</w:t>
      </w:r>
    </w:p>
  </w:footnote>
  <w:footnote w:id="973">
    <w:p w14:paraId="6E0A7D4B" w14:textId="6004478C" w:rsidR="00EE78D8" w:rsidRPr="002B53B5" w:rsidRDefault="00EE78D8" w:rsidP="00F047CA">
      <w:pPr>
        <w:pStyle w:val="FootnoteText"/>
        <w:rPr>
          <w:lang w:val="en-US"/>
        </w:rPr>
      </w:pPr>
      <w:r>
        <w:rPr>
          <w:rStyle w:val="FootnoteReference"/>
        </w:rPr>
        <w:footnoteRef/>
      </w:r>
      <w:r>
        <w:t xml:space="preserve"> </w:t>
      </w:r>
      <w:r>
        <w:tab/>
      </w:r>
      <w:r w:rsidRPr="007C7FF3">
        <w:t>Ibid</w:t>
      </w:r>
      <w:r>
        <w:t xml:space="preserve"> s 35(3)(b). It is noted that the </w:t>
      </w:r>
      <w:r>
        <w:rPr>
          <w:i/>
          <w:lang w:val="en-US"/>
        </w:rPr>
        <w:t xml:space="preserve">Crimes (Mental Impairment and Unfitness to be Tried) Amendment Bill 2016 </w:t>
      </w:r>
      <w:r>
        <w:rPr>
          <w:lang w:val="en-US"/>
        </w:rPr>
        <w:t>(Vic) changed the test from one of dangerousness to one of risk (whether the person poses an unacceptable risk of serious harm). This legislation has not been passed by the Victorian Parliament.</w:t>
      </w:r>
    </w:p>
  </w:footnote>
  <w:footnote w:id="974">
    <w:p w14:paraId="218990AF" w14:textId="3EE78185" w:rsidR="00EE78D8" w:rsidRDefault="00EE78D8" w:rsidP="0014208F">
      <w:pPr>
        <w:pStyle w:val="FootnoteText"/>
      </w:pPr>
      <w:r>
        <w:rPr>
          <w:rStyle w:val="FootnoteReference"/>
        </w:rPr>
        <w:footnoteRef/>
      </w:r>
      <w:r>
        <w:t xml:space="preserve"> </w:t>
      </w:r>
      <w:r>
        <w:tab/>
      </w:r>
      <w:r>
        <w:rPr>
          <w:i/>
        </w:rPr>
        <w:t xml:space="preserve">Criminal Law (Mentally Impaired Accused) Act 1996 </w:t>
      </w:r>
      <w:r>
        <w:t>(WA) ss 33, 34.</w:t>
      </w:r>
    </w:p>
  </w:footnote>
  <w:footnote w:id="975">
    <w:p w14:paraId="35804F42" w14:textId="1F39A3F9" w:rsidR="00EE78D8" w:rsidRDefault="00EE78D8" w:rsidP="0014208F">
      <w:pPr>
        <w:pStyle w:val="FootnoteText"/>
      </w:pPr>
      <w:r>
        <w:rPr>
          <w:rStyle w:val="FootnoteReference"/>
        </w:rPr>
        <w:footnoteRef/>
      </w:r>
      <w:r>
        <w:t xml:space="preserve"> </w:t>
      </w:r>
      <w:r>
        <w:tab/>
      </w:r>
      <w:r w:rsidRPr="007C7FF3">
        <w:t>Ibid</w:t>
      </w:r>
      <w:r>
        <w:t xml:space="preserve"> s 33(5).</w:t>
      </w:r>
    </w:p>
  </w:footnote>
  <w:footnote w:id="976">
    <w:p w14:paraId="166D6DF9" w14:textId="74C77C9C" w:rsidR="00EE78D8" w:rsidRPr="002948E9" w:rsidRDefault="00EE78D8" w:rsidP="0014208F">
      <w:pPr>
        <w:pStyle w:val="FootnoteText"/>
      </w:pPr>
      <w:r>
        <w:rPr>
          <w:rStyle w:val="FootnoteReference"/>
        </w:rPr>
        <w:footnoteRef/>
      </w:r>
      <w:r>
        <w:tab/>
      </w:r>
      <w:r>
        <w:rPr>
          <w:i/>
        </w:rPr>
        <w:t xml:space="preserve">Mental Health Act 2016 </w:t>
      </w:r>
      <w:r>
        <w:t>(Qld) s 442(1).</w:t>
      </w:r>
    </w:p>
  </w:footnote>
  <w:footnote w:id="977">
    <w:p w14:paraId="7F209882" w14:textId="01545756" w:rsidR="00EE78D8" w:rsidRPr="002948E9" w:rsidRDefault="00EE78D8" w:rsidP="0014208F">
      <w:pPr>
        <w:pStyle w:val="FootnoteText"/>
      </w:pPr>
      <w:r>
        <w:rPr>
          <w:rStyle w:val="FootnoteReference"/>
        </w:rPr>
        <w:footnoteRef/>
      </w:r>
      <w:r>
        <w:t xml:space="preserve"> </w:t>
      </w:r>
      <w:r>
        <w:tab/>
      </w:r>
      <w:r w:rsidRPr="00271298">
        <w:t xml:space="preserve">Ibid </w:t>
      </w:r>
      <w:r>
        <w:t>s 432.</w:t>
      </w:r>
    </w:p>
  </w:footnote>
  <w:footnote w:id="978">
    <w:p w14:paraId="2087B621" w14:textId="1BA7237C" w:rsidR="00EE78D8" w:rsidRDefault="00EE78D8" w:rsidP="0014208F">
      <w:pPr>
        <w:pStyle w:val="FootnoteText"/>
      </w:pPr>
      <w:r>
        <w:rPr>
          <w:rStyle w:val="FootnoteReference"/>
        </w:rPr>
        <w:footnoteRef/>
      </w:r>
      <w:r>
        <w:t xml:space="preserve"> </w:t>
      </w:r>
      <w:r>
        <w:tab/>
      </w:r>
      <w:r w:rsidRPr="00271298">
        <w:t xml:space="preserve">Ibid </w:t>
      </w:r>
      <w:r>
        <w:t>ss 442(2), 452.</w:t>
      </w:r>
    </w:p>
  </w:footnote>
  <w:footnote w:id="979">
    <w:p w14:paraId="4679C80D" w14:textId="086189C1" w:rsidR="00EE78D8" w:rsidRPr="00563021" w:rsidRDefault="00EE78D8">
      <w:pPr>
        <w:pStyle w:val="FootnoteText"/>
        <w:rPr>
          <w:lang w:val="en-US"/>
        </w:rPr>
      </w:pPr>
      <w:r>
        <w:rPr>
          <w:rStyle w:val="FootnoteReference"/>
        </w:rPr>
        <w:footnoteRef/>
      </w:r>
      <w:r>
        <w:t xml:space="preserve"> </w:t>
      </w:r>
      <w:r>
        <w:tab/>
      </w:r>
      <w:r>
        <w:rPr>
          <w:i/>
          <w:lang w:val="en-US"/>
        </w:rPr>
        <w:t xml:space="preserve">Mental Health Act 2015 </w:t>
      </w:r>
      <w:r>
        <w:rPr>
          <w:lang w:val="en-US"/>
        </w:rPr>
        <w:t>(ACT) s 180.</w:t>
      </w:r>
    </w:p>
  </w:footnote>
  <w:footnote w:id="980">
    <w:p w14:paraId="2EF9A6FE" w14:textId="2A476E02" w:rsidR="00EE78D8" w:rsidRDefault="00EE78D8" w:rsidP="0014208F">
      <w:pPr>
        <w:pStyle w:val="FootnoteText"/>
      </w:pPr>
      <w:r>
        <w:rPr>
          <w:rStyle w:val="FootnoteReference"/>
        </w:rPr>
        <w:footnoteRef/>
      </w:r>
      <w:r>
        <w:t xml:space="preserve"> </w:t>
      </w:r>
      <w:r>
        <w:tab/>
      </w:r>
      <w:r>
        <w:rPr>
          <w:i/>
        </w:rPr>
        <w:t xml:space="preserve">Criminal Code Act </w:t>
      </w:r>
      <w:r>
        <w:t>(NT) s 43ZG(6).</w:t>
      </w:r>
    </w:p>
  </w:footnote>
  <w:footnote w:id="981">
    <w:p w14:paraId="3A8819D8" w14:textId="76090A16" w:rsidR="00EE78D8" w:rsidRDefault="00EE78D8" w:rsidP="0014208F">
      <w:pPr>
        <w:pStyle w:val="FootnoteText"/>
      </w:pPr>
      <w:r>
        <w:rPr>
          <w:rStyle w:val="FootnoteReference"/>
        </w:rPr>
        <w:footnoteRef/>
      </w:r>
      <w:r>
        <w:t xml:space="preserve"> </w:t>
      </w:r>
      <w:r>
        <w:tab/>
      </w:r>
      <w:r w:rsidRPr="001F30A0">
        <w:t>Ibid</w:t>
      </w:r>
      <w:r>
        <w:t xml:space="preserve"> s 43ZH.</w:t>
      </w:r>
    </w:p>
  </w:footnote>
  <w:footnote w:id="982">
    <w:p w14:paraId="3B19711B" w14:textId="50B59E87" w:rsidR="00EE78D8" w:rsidRPr="002B52BA" w:rsidRDefault="00EE78D8">
      <w:pPr>
        <w:pStyle w:val="FootnoteText"/>
        <w:rPr>
          <w:lang w:val="en-US"/>
        </w:rPr>
      </w:pPr>
      <w:r>
        <w:rPr>
          <w:rStyle w:val="FootnoteReference"/>
        </w:rPr>
        <w:footnoteRef/>
      </w:r>
      <w:r>
        <w:rPr>
          <w:lang w:val="en-US"/>
        </w:rPr>
        <w:tab/>
        <w:t xml:space="preserve">See also the test set out </w:t>
      </w:r>
      <w:r>
        <w:t xml:space="preserve">in the </w:t>
      </w:r>
      <w:r>
        <w:rPr>
          <w:i/>
          <w:lang w:val="en-US"/>
        </w:rPr>
        <w:t xml:space="preserve">Crimes (Mental Impairment and Unfitness to be Tried) Amendment Bill 2016 </w:t>
      </w:r>
      <w:r>
        <w:rPr>
          <w:lang w:val="en-US"/>
        </w:rPr>
        <w:t>(Vic). This legislation has not been passed by the Victorian Parliament.</w:t>
      </w:r>
    </w:p>
  </w:footnote>
  <w:footnote w:id="983">
    <w:p w14:paraId="34AEE671" w14:textId="0E9A55CA" w:rsidR="00EE78D8" w:rsidRPr="009D57DA" w:rsidRDefault="00EE78D8">
      <w:pPr>
        <w:pStyle w:val="FootnoteText"/>
        <w:rPr>
          <w:lang w:val="en-US"/>
        </w:rPr>
      </w:pPr>
      <w:r>
        <w:rPr>
          <w:rStyle w:val="FootnoteReference"/>
        </w:rPr>
        <w:footnoteRef/>
      </w:r>
      <w:r>
        <w:tab/>
      </w:r>
      <w:r>
        <w:rPr>
          <w:lang w:val="en-US"/>
        </w:rPr>
        <w:t xml:space="preserve">The provision to dispense with special hearings was inserted by the </w:t>
      </w:r>
      <w:r>
        <w:rPr>
          <w:i/>
          <w:lang w:val="en-US"/>
        </w:rPr>
        <w:t xml:space="preserve">Criminal Code Amendment (Mental Impairment and Unfitness to be Tried) Act 2017 </w:t>
      </w:r>
      <w:r>
        <w:rPr>
          <w:lang w:val="en-US"/>
        </w:rPr>
        <w:t>(NT) s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4C9F3" w14:textId="77777777" w:rsidR="00EE78D8" w:rsidRDefault="00EE78D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32BBA" w14:textId="6570E7AE" w:rsidR="00EE78D8" w:rsidRPr="00496D5B" w:rsidRDefault="00EE78D8" w:rsidP="00496D5B">
    <w:pPr>
      <w:pStyle w:val="Header"/>
      <w:pBdr>
        <w:bottom w:val="single" w:sz="2" w:space="1" w:color="000000"/>
      </w:pBdr>
      <w:jc w:val="right"/>
      <w:rPr>
        <w:sz w:val="20"/>
        <w:szCs w:val="20"/>
      </w:rPr>
    </w:pPr>
    <w:r>
      <w:rPr>
        <w:sz w:val="20"/>
        <w:szCs w:val="20"/>
      </w:rPr>
      <w:t xml:space="preserve">Part 3 – </w:t>
    </w:r>
    <w:r w:rsidRPr="00496D5B">
      <w:rPr>
        <w:sz w:val="20"/>
        <w:szCs w:val="20"/>
      </w:rPr>
      <w:t>Mental Health</w:t>
    </w:r>
    <w:r>
      <w:rPr>
        <w:sz w:val="20"/>
        <w:szCs w:val="20"/>
      </w:rPr>
      <w:t xml:space="preserve"> and </w:t>
    </w:r>
    <w:r w:rsidRPr="00496D5B">
      <w:rPr>
        <w:sz w:val="20"/>
        <w:szCs w:val="20"/>
      </w:rPr>
      <w:t xml:space="preserve">Cognitive Impairments </w:t>
    </w:r>
    <w:r>
      <w:rPr>
        <w:sz w:val="20"/>
        <w:szCs w:val="20"/>
      </w:rPr>
      <w:t>and</w:t>
    </w:r>
    <w:r w:rsidRPr="00496D5B">
      <w:rPr>
        <w:sz w:val="20"/>
        <w:szCs w:val="20"/>
      </w:rPr>
      <w:t xml:space="preserve"> the Criminal Justice System</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16823" w14:textId="5BC2D0FA" w:rsidR="00EE78D8" w:rsidRPr="00496D5B" w:rsidRDefault="00EE78D8" w:rsidP="00496D5B">
    <w:pPr>
      <w:pStyle w:val="Header"/>
      <w:pBdr>
        <w:bottom w:val="single" w:sz="2" w:space="1" w:color="000000"/>
      </w:pBdr>
      <w:jc w:val="right"/>
      <w:rPr>
        <w:sz w:val="20"/>
        <w:szCs w:val="20"/>
      </w:rPr>
    </w:pPr>
    <w:r>
      <w:rPr>
        <w:sz w:val="20"/>
        <w:szCs w:val="20"/>
      </w:rPr>
      <w:t xml:space="preserve">Part 4 – </w:t>
    </w:r>
    <w:r w:rsidRPr="00496D5B">
      <w:rPr>
        <w:sz w:val="20"/>
        <w:szCs w:val="20"/>
      </w:rPr>
      <w:t>Unfitness to Stand Trial: The Test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E3960" w14:textId="6EB0DCF8" w:rsidR="00EE78D8" w:rsidRPr="00496D5B" w:rsidRDefault="00EE78D8" w:rsidP="00496D5B">
    <w:pPr>
      <w:pStyle w:val="Header"/>
      <w:pBdr>
        <w:bottom w:val="single" w:sz="2" w:space="1" w:color="000000"/>
      </w:pBdr>
      <w:jc w:val="right"/>
      <w:rPr>
        <w:sz w:val="20"/>
        <w:szCs w:val="20"/>
      </w:rPr>
    </w:pPr>
    <w:r>
      <w:rPr>
        <w:sz w:val="20"/>
        <w:szCs w:val="20"/>
      </w:rPr>
      <w:t xml:space="preserve">Part 5 – </w:t>
    </w:r>
    <w:r w:rsidRPr="00496D5B">
      <w:rPr>
        <w:sz w:val="20"/>
        <w:szCs w:val="20"/>
      </w:rPr>
      <w:t>Unfitness to Stand Trial: Procedure to Determine Unfitness to Stand Trial</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517B4" w14:textId="314A3558" w:rsidR="00EE78D8" w:rsidRPr="00496D5B" w:rsidRDefault="00EE78D8" w:rsidP="00496D5B">
    <w:pPr>
      <w:pStyle w:val="Header"/>
      <w:pBdr>
        <w:bottom w:val="single" w:sz="2" w:space="1" w:color="000000"/>
      </w:pBdr>
      <w:jc w:val="right"/>
      <w:rPr>
        <w:sz w:val="20"/>
        <w:szCs w:val="20"/>
      </w:rPr>
    </w:pPr>
    <w:r>
      <w:rPr>
        <w:sz w:val="20"/>
        <w:szCs w:val="20"/>
      </w:rPr>
      <w:t xml:space="preserve">Part 6 – </w:t>
    </w:r>
    <w:r w:rsidRPr="00496D5B">
      <w:rPr>
        <w:sz w:val="20"/>
        <w:szCs w:val="20"/>
      </w:rPr>
      <w:t>Unfitness to Stand Trial: Procedure Following a Determination of Unfitness to Stand Trial</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2DD33" w14:textId="4994428E" w:rsidR="00EE78D8" w:rsidRPr="00496D5B" w:rsidRDefault="00EE78D8" w:rsidP="00496D5B">
    <w:pPr>
      <w:pStyle w:val="Header"/>
      <w:pBdr>
        <w:bottom w:val="single" w:sz="2" w:space="1" w:color="000000"/>
      </w:pBdr>
      <w:jc w:val="right"/>
      <w:rPr>
        <w:sz w:val="20"/>
        <w:szCs w:val="20"/>
      </w:rPr>
    </w:pPr>
    <w:r>
      <w:rPr>
        <w:sz w:val="20"/>
        <w:szCs w:val="20"/>
      </w:rPr>
      <w:t>Part 7 – Insanity</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B65C0" w14:textId="490E7304" w:rsidR="00EE78D8" w:rsidRDefault="00EE78D8" w:rsidP="00480043">
    <w:pPr>
      <w:pStyle w:val="Header"/>
      <w:pBdr>
        <w:bottom w:val="single" w:sz="2" w:space="1" w:color="000000"/>
      </w:pBdr>
    </w:pPr>
    <w:r w:rsidRPr="00496D5B">
      <w:rPr>
        <w:sz w:val="20"/>
        <w:szCs w:val="20"/>
      </w:rPr>
      <w:t xml:space="preserve">Tasmania Law Reform Institute </w:t>
    </w:r>
    <w:r>
      <w:rPr>
        <w:sz w:val="20"/>
        <w:szCs w:val="20"/>
      </w:rPr>
      <w:t xml:space="preserve">– </w:t>
    </w:r>
    <w:r w:rsidRPr="00496D5B">
      <w:rPr>
        <w:sz w:val="20"/>
        <w:szCs w:val="20"/>
      </w:rPr>
      <w:t xml:space="preserve">Issues Paper </w:t>
    </w:r>
    <w:r>
      <w:rPr>
        <w:sz w:val="20"/>
        <w:szCs w:val="20"/>
      </w:rPr>
      <w:t>27: Insanity</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460FC" w14:textId="593FCBC0" w:rsidR="00EE78D8" w:rsidRDefault="00EE78D8" w:rsidP="002E640A">
    <w:pPr>
      <w:pStyle w:val="Header"/>
      <w:pBdr>
        <w:bottom w:val="single" w:sz="2" w:space="1" w:color="000000"/>
      </w:pBdr>
      <w:jc w:val="right"/>
    </w:pPr>
    <w:r>
      <w:rPr>
        <w:sz w:val="20"/>
        <w:szCs w:val="20"/>
      </w:rPr>
      <w:t>Part 7 – Insanity</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3F178" w14:textId="3CFA1196" w:rsidR="00EE78D8" w:rsidRPr="00496D5B" w:rsidRDefault="00EE78D8" w:rsidP="00496D5B">
    <w:pPr>
      <w:pStyle w:val="Header"/>
      <w:pBdr>
        <w:bottom w:val="single" w:sz="2" w:space="1" w:color="000000"/>
      </w:pBdr>
      <w:jc w:val="right"/>
      <w:rPr>
        <w:sz w:val="20"/>
        <w:szCs w:val="20"/>
      </w:rPr>
    </w:pPr>
    <w:r>
      <w:rPr>
        <w:sz w:val="20"/>
        <w:szCs w:val="20"/>
      </w:rPr>
      <w:t xml:space="preserve">Part 8 – </w:t>
    </w:r>
    <w:r w:rsidRPr="00480043">
      <w:rPr>
        <w:sz w:val="20"/>
      </w:rPr>
      <w:t>Disposition: Forensic and Treatment Orders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6951D" w14:textId="77777777" w:rsidR="00EE78D8" w:rsidRDefault="00EE78D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D1E01" w14:textId="30C72A9D" w:rsidR="00EE78D8" w:rsidRPr="00496D5B" w:rsidRDefault="00EE78D8" w:rsidP="00496D5B">
    <w:pPr>
      <w:pStyle w:val="Header"/>
      <w:pBdr>
        <w:bottom w:val="single" w:sz="2" w:space="1" w:color="000000"/>
      </w:pBdr>
      <w:jc w:val="right"/>
      <w:rPr>
        <w:sz w:val="20"/>
        <w:szCs w:val="20"/>
      </w:rPr>
    </w:pPr>
    <w:r>
      <w:rPr>
        <w:sz w:val="20"/>
        <w:szCs w:val="20"/>
      </w:rPr>
      <w:t xml:space="preserve">Appendix 1: </w:t>
    </w:r>
    <w:r w:rsidRPr="00080933">
      <w:rPr>
        <w:sz w:val="20"/>
        <w:szCs w:val="20"/>
        <w:lang w:val="en-US"/>
      </w:rPr>
      <w:t>Proposed reforms to unfitness to stand trial test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8032D" w14:textId="117E2843" w:rsidR="00EE78D8" w:rsidRPr="00496D5B" w:rsidRDefault="00EE78D8" w:rsidP="00496D5B">
    <w:pPr>
      <w:pStyle w:val="Header"/>
      <w:pBdr>
        <w:bottom w:val="single" w:sz="2" w:space="1" w:color="000000"/>
      </w:pBdr>
      <w:rPr>
        <w:sz w:val="20"/>
        <w:szCs w:val="20"/>
      </w:rPr>
    </w:pPr>
    <w:r w:rsidRPr="00496D5B">
      <w:rPr>
        <w:sz w:val="20"/>
        <w:szCs w:val="20"/>
      </w:rPr>
      <w:t xml:space="preserve">Tasmania Law Reform Institute </w:t>
    </w:r>
    <w:r>
      <w:rPr>
        <w:sz w:val="20"/>
        <w:szCs w:val="20"/>
      </w:rPr>
      <w:t xml:space="preserve">– </w:t>
    </w:r>
    <w:r w:rsidRPr="00496D5B">
      <w:rPr>
        <w:sz w:val="20"/>
        <w:szCs w:val="20"/>
      </w:rPr>
      <w:t xml:space="preserve">Issues Paper </w:t>
    </w:r>
    <w:r>
      <w:rPr>
        <w:sz w:val="20"/>
        <w:szCs w:val="20"/>
      </w:rPr>
      <w:t>27: Insanity and fitness to plead</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B6C79" w14:textId="69687C6F" w:rsidR="00EE78D8" w:rsidRPr="00496D5B" w:rsidRDefault="00EE78D8" w:rsidP="00496D5B">
    <w:pPr>
      <w:pStyle w:val="Header"/>
      <w:pBdr>
        <w:bottom w:val="single" w:sz="2" w:space="1" w:color="000000"/>
      </w:pBdr>
      <w:jc w:val="right"/>
      <w:rPr>
        <w:sz w:val="20"/>
        <w:szCs w:val="20"/>
      </w:rPr>
    </w:pPr>
    <w:r>
      <w:rPr>
        <w:sz w:val="20"/>
        <w:szCs w:val="20"/>
      </w:rPr>
      <w:t xml:space="preserve">Appendix 3: </w:t>
    </w:r>
    <w:r w:rsidRPr="00080933">
      <w:rPr>
        <w:sz w:val="20"/>
        <w:szCs w:val="20"/>
      </w:rPr>
      <w:t>Orders available and making and discharging orders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5B7C6" w14:textId="4D47F989" w:rsidR="00EE78D8" w:rsidRPr="00496D5B" w:rsidRDefault="00EE78D8" w:rsidP="00496D5B">
    <w:pPr>
      <w:pStyle w:val="Header"/>
      <w:pBdr>
        <w:bottom w:val="single" w:sz="2" w:space="1" w:color="000000"/>
      </w:pBdr>
      <w:jc w:val="right"/>
      <w:rPr>
        <w:sz w:val="20"/>
        <w:szCs w:val="20"/>
      </w:rPr>
    </w:pPr>
    <w:r>
      <w:rPr>
        <w:sz w:val="20"/>
        <w:szCs w:val="20"/>
      </w:rPr>
      <w:t xml:space="preserve">Appendix 4: </w:t>
    </w:r>
    <w:r w:rsidRPr="00350B61">
      <w:rPr>
        <w:sz w:val="20"/>
        <w:szCs w:val="20"/>
      </w:rPr>
      <w:t>Fitness to stand trial</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81C23" w14:textId="46339CDF" w:rsidR="00EE78D8" w:rsidRPr="00496D5B" w:rsidRDefault="00EE78D8" w:rsidP="00496D5B">
    <w:pPr>
      <w:pStyle w:val="Header"/>
      <w:pBdr>
        <w:bottom w:val="single" w:sz="2" w:space="1" w:color="000000"/>
      </w:pBdr>
      <w:jc w:val="right"/>
      <w:rPr>
        <w:sz w:val="20"/>
        <w:szCs w:val="20"/>
      </w:rPr>
    </w:pPr>
    <w:r>
      <w:rPr>
        <w:sz w:val="20"/>
        <w:szCs w:val="20"/>
      </w:rPr>
      <w:t xml:space="preserve">Appendix 5: </w:t>
    </w:r>
    <w:r w:rsidRPr="008265F8">
      <w:rPr>
        <w:sz w:val="20"/>
        <w:szCs w:val="20"/>
      </w:rPr>
      <w:t>Special hearing provisions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49C9F" w14:textId="0C17524F" w:rsidR="00EE78D8" w:rsidRPr="00496D5B" w:rsidRDefault="00EE78D8" w:rsidP="00496D5B">
    <w:pPr>
      <w:pStyle w:val="Header"/>
      <w:pBdr>
        <w:bottom w:val="single" w:sz="2" w:space="1" w:color="000000"/>
      </w:pBdr>
      <w:jc w:val="right"/>
      <w:rPr>
        <w:sz w:val="20"/>
        <w:szCs w:val="20"/>
      </w:rPr>
    </w:pPr>
    <w:r>
      <w:rPr>
        <w:sz w:val="20"/>
        <w:szCs w:val="20"/>
      </w:rPr>
      <w:t xml:space="preserve">Appendix 6: </w:t>
    </w:r>
    <w:r w:rsidRPr="003824B3">
      <w:rPr>
        <w:i/>
        <w:sz w:val="20"/>
        <w:szCs w:val="20"/>
      </w:rPr>
      <w:t>Mental Health (Forensic Provisions) Act 1990</w:t>
    </w:r>
    <w:r w:rsidRPr="003824B3">
      <w:rPr>
        <w:sz w:val="20"/>
        <w:szCs w:val="20"/>
      </w:rPr>
      <w:t xml:space="preserve"> (NSW) </w:t>
    </w:r>
    <w:r>
      <w:rPr>
        <w:sz w:val="20"/>
        <w:szCs w:val="20"/>
      </w:rPr>
      <w:t>sch</w:t>
    </w:r>
    <w:r w:rsidRPr="003824B3">
      <w:rPr>
        <w:sz w:val="20"/>
        <w:szCs w:val="20"/>
      </w:rPr>
      <w:t xml:space="preserve"> 1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D8215" w14:textId="61A6E796" w:rsidR="00EE78D8" w:rsidRPr="00496D5B" w:rsidRDefault="00EE78D8" w:rsidP="00496D5B">
    <w:pPr>
      <w:pStyle w:val="Header"/>
      <w:pBdr>
        <w:bottom w:val="single" w:sz="2" w:space="1" w:color="000000"/>
      </w:pBdr>
      <w:jc w:val="right"/>
      <w:rPr>
        <w:sz w:val="20"/>
        <w:szCs w:val="20"/>
      </w:rPr>
    </w:pPr>
    <w:r>
      <w:rPr>
        <w:sz w:val="20"/>
        <w:szCs w:val="20"/>
      </w:rPr>
      <w:t xml:space="preserve">Appendix 7: </w:t>
    </w:r>
    <w:r w:rsidRPr="0035660C">
      <w:rPr>
        <w:i/>
        <w:sz w:val="20"/>
        <w:szCs w:val="20"/>
      </w:rPr>
      <w:t>Law reform recommendations</w:t>
    </w:r>
    <w:r w:rsidRPr="003824B3">
      <w:rPr>
        <w:sz w:val="20"/>
        <w:szCs w:val="20"/>
      </w:rP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9B449" w14:textId="285FEA06" w:rsidR="00EE78D8" w:rsidRPr="00496D5B" w:rsidRDefault="00EE78D8" w:rsidP="00496D5B">
    <w:pPr>
      <w:pStyle w:val="Header"/>
      <w:pBdr>
        <w:bottom w:val="single" w:sz="2" w:space="1" w:color="000000"/>
      </w:pBdr>
      <w:jc w:val="right"/>
      <w:rPr>
        <w:sz w:val="20"/>
        <w:szCs w:val="20"/>
      </w:rPr>
    </w:pPr>
    <w:r>
      <w:rPr>
        <w:sz w:val="20"/>
        <w:szCs w:val="20"/>
      </w:rPr>
      <w:t xml:space="preserve">Appendix 8: </w:t>
    </w:r>
    <w:r w:rsidRPr="00782FE5">
      <w:rPr>
        <w:sz w:val="20"/>
        <w:szCs w:val="20"/>
      </w:rPr>
      <w:t>Length of restriction and supervision orders in comparison with median sentence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90056" w14:textId="3002C04C" w:rsidR="00EE78D8" w:rsidRPr="00496D5B" w:rsidRDefault="00EE78D8" w:rsidP="00496D5B">
    <w:pPr>
      <w:pStyle w:val="Header"/>
      <w:pBdr>
        <w:bottom w:val="single" w:sz="2" w:space="1" w:color="000000"/>
      </w:pBdr>
      <w:jc w:val="right"/>
      <w:rPr>
        <w:sz w:val="20"/>
        <w:szCs w:val="20"/>
      </w:rPr>
    </w:pPr>
    <w:r w:rsidRPr="00496D5B">
      <w:rPr>
        <w:sz w:val="20"/>
        <w:szCs w:val="20"/>
      </w:rPr>
      <w:t xml:space="preserve">Executive Summary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4E137" w14:textId="2BD0A062" w:rsidR="00EE78D8" w:rsidRPr="00496D5B" w:rsidRDefault="00EE78D8" w:rsidP="00496D5B">
    <w:pPr>
      <w:pStyle w:val="Header"/>
      <w:pBdr>
        <w:bottom w:val="single" w:sz="2" w:space="1" w:color="000000"/>
      </w:pBdr>
      <w:jc w:val="right"/>
      <w:rPr>
        <w:sz w:val="20"/>
        <w:szCs w:val="20"/>
      </w:rPr>
    </w:pPr>
    <w:r>
      <w:rPr>
        <w:sz w:val="20"/>
        <w:szCs w:val="20"/>
      </w:rPr>
      <w:t>Summary of Questions</w:t>
    </w:r>
    <w:r w:rsidRPr="00496D5B">
      <w:rPr>
        <w:sz w:val="20"/>
        <w:szCs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A0833" w14:textId="04EAC137" w:rsidR="00EE78D8" w:rsidRPr="00496D5B" w:rsidRDefault="00EE78D8" w:rsidP="00496D5B">
    <w:pPr>
      <w:pStyle w:val="Header"/>
      <w:pBdr>
        <w:bottom w:val="single" w:sz="2" w:space="1" w:color="000000"/>
      </w:pBdr>
      <w:jc w:val="right"/>
      <w:rPr>
        <w:sz w:val="20"/>
        <w:szCs w:val="20"/>
      </w:rPr>
    </w:pPr>
    <w:r>
      <w:rPr>
        <w:sz w:val="20"/>
        <w:szCs w:val="20"/>
      </w:rPr>
      <w:t>Part 1 – Introduction</w:t>
    </w:r>
    <w:r w:rsidRPr="00496D5B">
      <w:rPr>
        <w:sz w:val="20"/>
        <w:szCs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D91F6" w14:textId="77777777" w:rsidR="00EE78D8" w:rsidRDefault="00EE78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76DF2" w14:textId="6E1D8C56" w:rsidR="00EE78D8" w:rsidRPr="00496D5B" w:rsidRDefault="00EE78D8" w:rsidP="00496D5B">
    <w:pPr>
      <w:pStyle w:val="Header"/>
      <w:pBdr>
        <w:bottom w:val="single" w:sz="2" w:space="1" w:color="000000"/>
      </w:pBdr>
      <w:rPr>
        <w:sz w:val="20"/>
        <w:szCs w:val="20"/>
      </w:rPr>
    </w:pPr>
    <w:r w:rsidRPr="00496D5B">
      <w:rPr>
        <w:sz w:val="20"/>
        <w:szCs w:val="20"/>
      </w:rPr>
      <w:t xml:space="preserve">Tasmania Law Reform Institute </w:t>
    </w:r>
    <w:r>
      <w:rPr>
        <w:sz w:val="20"/>
        <w:szCs w:val="20"/>
      </w:rPr>
      <w:t xml:space="preserve">– </w:t>
    </w:r>
    <w:r w:rsidRPr="00496D5B">
      <w:rPr>
        <w:sz w:val="20"/>
        <w:szCs w:val="20"/>
      </w:rPr>
      <w:t xml:space="preserve">Issues Paper </w:t>
    </w:r>
    <w:r>
      <w:rPr>
        <w:sz w:val="20"/>
        <w:szCs w:val="20"/>
      </w:rPr>
      <w:t>27: Insanity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2BAA5" w14:textId="716355BF" w:rsidR="00EE78D8" w:rsidRPr="00496D5B" w:rsidRDefault="00EE78D8" w:rsidP="00496D5B">
    <w:pPr>
      <w:pStyle w:val="Header"/>
      <w:pBdr>
        <w:bottom w:val="single" w:sz="2" w:space="1" w:color="000000"/>
      </w:pBdr>
      <w:jc w:val="right"/>
      <w:rPr>
        <w:sz w:val="20"/>
        <w:szCs w:val="20"/>
      </w:rPr>
    </w:pPr>
    <w:r>
      <w:rPr>
        <w:sz w:val="20"/>
        <w:szCs w:val="20"/>
      </w:rPr>
      <w:t xml:space="preserve">Part 2 – </w:t>
    </w:r>
    <w:r w:rsidRPr="00496D5B">
      <w:rPr>
        <w:sz w:val="20"/>
        <w:szCs w:val="20"/>
      </w:rPr>
      <w:t xml:space="preserve">Background and Principles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5E3A4" w14:textId="77777777" w:rsidR="00EE78D8" w:rsidRDefault="00EE78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96E30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D661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780F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D07B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F242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549F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00DD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4838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6C57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ACB3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B35EB"/>
    <w:multiLevelType w:val="hybridMultilevel"/>
    <w:tmpl w:val="B35E89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34B071A"/>
    <w:multiLevelType w:val="hybridMultilevel"/>
    <w:tmpl w:val="4C4430B8"/>
    <w:lvl w:ilvl="0" w:tplc="67F4551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3B01845"/>
    <w:multiLevelType w:val="hybridMultilevel"/>
    <w:tmpl w:val="8828CFF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3" w15:restartNumberingAfterBreak="0">
    <w:nsid w:val="03CC46D0"/>
    <w:multiLevelType w:val="hybridMultilevel"/>
    <w:tmpl w:val="C6EE32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3CF4AA1"/>
    <w:multiLevelType w:val="hybridMultilevel"/>
    <w:tmpl w:val="80547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46F3BE7"/>
    <w:multiLevelType w:val="hybridMultilevel"/>
    <w:tmpl w:val="AC56CD1A"/>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6" w15:restartNumberingAfterBreak="0">
    <w:nsid w:val="06191BC0"/>
    <w:multiLevelType w:val="hybridMultilevel"/>
    <w:tmpl w:val="DD94E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6452F5F"/>
    <w:multiLevelType w:val="hybridMultilevel"/>
    <w:tmpl w:val="ABBCC6C8"/>
    <w:lvl w:ilvl="0" w:tplc="1D7C606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691177D"/>
    <w:multiLevelType w:val="hybridMultilevel"/>
    <w:tmpl w:val="AD9E0900"/>
    <w:lvl w:ilvl="0" w:tplc="0C090001">
      <w:start w:val="1"/>
      <w:numFmt w:val="bullet"/>
      <w:lvlText w:val=""/>
      <w:lvlJc w:val="left"/>
      <w:pPr>
        <w:ind w:left="1347" w:hanging="360"/>
      </w:pPr>
      <w:rPr>
        <w:rFonts w:ascii="Symbol" w:hAnsi="Symbol" w:hint="default"/>
      </w:rPr>
    </w:lvl>
    <w:lvl w:ilvl="1" w:tplc="0C090003" w:tentative="1">
      <w:start w:val="1"/>
      <w:numFmt w:val="bullet"/>
      <w:lvlText w:val="o"/>
      <w:lvlJc w:val="left"/>
      <w:pPr>
        <w:ind w:left="2067" w:hanging="360"/>
      </w:pPr>
      <w:rPr>
        <w:rFonts w:ascii="Courier New" w:hAnsi="Courier New" w:cs="Courier New" w:hint="default"/>
      </w:rPr>
    </w:lvl>
    <w:lvl w:ilvl="2" w:tplc="0C090005" w:tentative="1">
      <w:start w:val="1"/>
      <w:numFmt w:val="bullet"/>
      <w:lvlText w:val=""/>
      <w:lvlJc w:val="left"/>
      <w:pPr>
        <w:ind w:left="2787" w:hanging="360"/>
      </w:pPr>
      <w:rPr>
        <w:rFonts w:ascii="Wingdings" w:hAnsi="Wingdings" w:hint="default"/>
      </w:rPr>
    </w:lvl>
    <w:lvl w:ilvl="3" w:tplc="0C090001" w:tentative="1">
      <w:start w:val="1"/>
      <w:numFmt w:val="bullet"/>
      <w:lvlText w:val=""/>
      <w:lvlJc w:val="left"/>
      <w:pPr>
        <w:ind w:left="3507" w:hanging="360"/>
      </w:pPr>
      <w:rPr>
        <w:rFonts w:ascii="Symbol" w:hAnsi="Symbol" w:hint="default"/>
      </w:rPr>
    </w:lvl>
    <w:lvl w:ilvl="4" w:tplc="0C090003" w:tentative="1">
      <w:start w:val="1"/>
      <w:numFmt w:val="bullet"/>
      <w:lvlText w:val="o"/>
      <w:lvlJc w:val="left"/>
      <w:pPr>
        <w:ind w:left="4227" w:hanging="360"/>
      </w:pPr>
      <w:rPr>
        <w:rFonts w:ascii="Courier New" w:hAnsi="Courier New" w:cs="Courier New" w:hint="default"/>
      </w:rPr>
    </w:lvl>
    <w:lvl w:ilvl="5" w:tplc="0C090005" w:tentative="1">
      <w:start w:val="1"/>
      <w:numFmt w:val="bullet"/>
      <w:lvlText w:val=""/>
      <w:lvlJc w:val="left"/>
      <w:pPr>
        <w:ind w:left="4947" w:hanging="360"/>
      </w:pPr>
      <w:rPr>
        <w:rFonts w:ascii="Wingdings" w:hAnsi="Wingdings" w:hint="default"/>
      </w:rPr>
    </w:lvl>
    <w:lvl w:ilvl="6" w:tplc="0C090001" w:tentative="1">
      <w:start w:val="1"/>
      <w:numFmt w:val="bullet"/>
      <w:lvlText w:val=""/>
      <w:lvlJc w:val="left"/>
      <w:pPr>
        <w:ind w:left="5667" w:hanging="360"/>
      </w:pPr>
      <w:rPr>
        <w:rFonts w:ascii="Symbol" w:hAnsi="Symbol" w:hint="default"/>
      </w:rPr>
    </w:lvl>
    <w:lvl w:ilvl="7" w:tplc="0C090003" w:tentative="1">
      <w:start w:val="1"/>
      <w:numFmt w:val="bullet"/>
      <w:lvlText w:val="o"/>
      <w:lvlJc w:val="left"/>
      <w:pPr>
        <w:ind w:left="6387" w:hanging="360"/>
      </w:pPr>
      <w:rPr>
        <w:rFonts w:ascii="Courier New" w:hAnsi="Courier New" w:cs="Courier New" w:hint="default"/>
      </w:rPr>
    </w:lvl>
    <w:lvl w:ilvl="8" w:tplc="0C090005" w:tentative="1">
      <w:start w:val="1"/>
      <w:numFmt w:val="bullet"/>
      <w:lvlText w:val=""/>
      <w:lvlJc w:val="left"/>
      <w:pPr>
        <w:ind w:left="7107" w:hanging="360"/>
      </w:pPr>
      <w:rPr>
        <w:rFonts w:ascii="Wingdings" w:hAnsi="Wingdings" w:hint="default"/>
      </w:rPr>
    </w:lvl>
  </w:abstractNum>
  <w:abstractNum w:abstractNumId="19" w15:restartNumberingAfterBreak="0">
    <w:nsid w:val="07527ED5"/>
    <w:multiLevelType w:val="hybridMultilevel"/>
    <w:tmpl w:val="6AEC8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C693E2F"/>
    <w:multiLevelType w:val="hybridMultilevel"/>
    <w:tmpl w:val="1C787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C764403"/>
    <w:multiLevelType w:val="hybridMultilevel"/>
    <w:tmpl w:val="BA5047EA"/>
    <w:lvl w:ilvl="0" w:tplc="206C5A9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0F014E93"/>
    <w:multiLevelType w:val="hybridMultilevel"/>
    <w:tmpl w:val="7C9A93A8"/>
    <w:lvl w:ilvl="0" w:tplc="37D0A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F5D0919"/>
    <w:multiLevelType w:val="hybridMultilevel"/>
    <w:tmpl w:val="53F8E3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0F7D5870"/>
    <w:multiLevelType w:val="hybridMultilevel"/>
    <w:tmpl w:val="2ECE0B2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5" w15:restartNumberingAfterBreak="0">
    <w:nsid w:val="101F1A1C"/>
    <w:multiLevelType w:val="hybridMultilevel"/>
    <w:tmpl w:val="C0E829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02635CD"/>
    <w:multiLevelType w:val="hybridMultilevel"/>
    <w:tmpl w:val="4CF25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1535458"/>
    <w:multiLevelType w:val="hybridMultilevel"/>
    <w:tmpl w:val="97A8A1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5686948"/>
    <w:multiLevelType w:val="hybridMultilevel"/>
    <w:tmpl w:val="79CAA6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8CB4E97"/>
    <w:multiLevelType w:val="hybridMultilevel"/>
    <w:tmpl w:val="99DE8370"/>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0" w15:restartNumberingAfterBreak="0">
    <w:nsid w:val="1CDC6044"/>
    <w:multiLevelType w:val="hybridMultilevel"/>
    <w:tmpl w:val="A6B61B1C"/>
    <w:lvl w:ilvl="0" w:tplc="6B24B6AC">
      <w:start w:val="1"/>
      <w:numFmt w:val="decimal"/>
      <w:lvlText w:val="%1."/>
      <w:lvlJc w:val="left"/>
      <w:pPr>
        <w:ind w:left="360" w:hanging="360"/>
      </w:pPr>
      <w:rPr>
        <w:rFonts w:hint="default"/>
        <w:position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CED6E13"/>
    <w:multiLevelType w:val="hybridMultilevel"/>
    <w:tmpl w:val="5AE435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E252D7F"/>
    <w:multiLevelType w:val="hybridMultilevel"/>
    <w:tmpl w:val="23F25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F0C3A4E"/>
    <w:multiLevelType w:val="multilevel"/>
    <w:tmpl w:val="CA5CBAEC"/>
    <w:lvl w:ilvl="0">
      <w:start w:val="1"/>
      <w:numFmt w:val="decimal"/>
      <w:lvlText w:val="%1"/>
      <w:lvlJc w:val="left"/>
      <w:pPr>
        <w:ind w:left="792" w:hanging="432"/>
      </w:pPr>
      <w:rPr>
        <w:rFonts w:hint="default"/>
      </w:rPr>
    </w:lvl>
    <w:lvl w:ilvl="1">
      <w:start w:val="1"/>
      <w:numFmt w:val="decimal"/>
      <w:pStyle w:val="Heading2RJB"/>
      <w:lvlText w:val="%1.%2"/>
      <w:lvlJc w:val="left"/>
      <w:pPr>
        <w:ind w:left="936" w:hanging="576"/>
      </w:pPr>
      <w:rPr>
        <w:rFonts w:hint="default"/>
      </w:rPr>
    </w:lvl>
    <w:lvl w:ilvl="2">
      <w:start w:val="1"/>
      <w:numFmt w:val="decimal"/>
      <w:pStyle w:val="heading3RJB"/>
      <w:lvlText w:val="%1.%2.%3"/>
      <w:lvlJc w:val="left"/>
      <w:pPr>
        <w:ind w:left="1080" w:hanging="720"/>
      </w:pPr>
      <w:rPr>
        <w:rFonts w:hint="default"/>
      </w:rPr>
    </w:lvl>
    <w:lvl w:ilvl="3">
      <w:start w:val="2"/>
      <w:numFmt w:val="decimal"/>
      <w:pStyle w:val="heading4RJB"/>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34" w15:restartNumberingAfterBreak="0">
    <w:nsid w:val="1FC2073D"/>
    <w:multiLevelType w:val="hybridMultilevel"/>
    <w:tmpl w:val="B6C8A646"/>
    <w:lvl w:ilvl="0" w:tplc="206C5A90">
      <w:start w:val="1"/>
      <w:numFmt w:val="lowerLetter"/>
      <w:lvlText w:val="(%1)"/>
      <w:lvlJc w:val="left"/>
      <w:pPr>
        <w:ind w:left="1920"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5" w15:restartNumberingAfterBreak="0">
    <w:nsid w:val="204701CF"/>
    <w:multiLevelType w:val="hybridMultilevel"/>
    <w:tmpl w:val="116CC9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1B555B8"/>
    <w:multiLevelType w:val="hybridMultilevel"/>
    <w:tmpl w:val="82A0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20F5FCA"/>
    <w:multiLevelType w:val="hybridMultilevel"/>
    <w:tmpl w:val="692AD320"/>
    <w:lvl w:ilvl="0" w:tplc="A8A2FD2A">
      <w:start w:val="1"/>
      <w:numFmt w:val="lowerLetter"/>
      <w:lvlText w:val="(%1)"/>
      <w:lvlJc w:val="left"/>
      <w:pPr>
        <w:ind w:left="19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37215F3"/>
    <w:multiLevelType w:val="hybridMultilevel"/>
    <w:tmpl w:val="B060D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5962C2F"/>
    <w:multiLevelType w:val="hybridMultilevel"/>
    <w:tmpl w:val="A3349FDE"/>
    <w:lvl w:ilvl="0" w:tplc="A5F65D46">
      <w:start w:val="1"/>
      <w:numFmt w:val="lowerLetter"/>
      <w:lvlText w:val="(%1)"/>
      <w:lvlJc w:val="left"/>
      <w:pPr>
        <w:ind w:left="1371" w:hanging="5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15:restartNumberingAfterBreak="0">
    <w:nsid w:val="26122B67"/>
    <w:multiLevelType w:val="multilevel"/>
    <w:tmpl w:val="D0723B5E"/>
    <w:lvl w:ilvl="0">
      <w:start w:val="1"/>
      <w:numFmt w:val="decimal"/>
      <w:lvlText w:val="%1."/>
      <w:lvlJc w:val="left"/>
      <w:pPr>
        <w:ind w:left="360" w:hanging="360"/>
      </w:pPr>
      <w:rPr>
        <w:rFonts w:hint="default"/>
        <w:position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A0958E4"/>
    <w:multiLevelType w:val="hybridMultilevel"/>
    <w:tmpl w:val="1D5A8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A826802"/>
    <w:multiLevelType w:val="hybridMultilevel"/>
    <w:tmpl w:val="E1367CDE"/>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43" w15:restartNumberingAfterBreak="0">
    <w:nsid w:val="2DC2358A"/>
    <w:multiLevelType w:val="hybridMultilevel"/>
    <w:tmpl w:val="77126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DE15C62"/>
    <w:multiLevelType w:val="hybridMultilevel"/>
    <w:tmpl w:val="E042EEB0"/>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45" w15:restartNumberingAfterBreak="0">
    <w:nsid w:val="32C163CA"/>
    <w:multiLevelType w:val="hybridMultilevel"/>
    <w:tmpl w:val="CEF65938"/>
    <w:lvl w:ilvl="0" w:tplc="04090001">
      <w:start w:val="1"/>
      <w:numFmt w:val="bullet"/>
      <w:lvlText w:val=""/>
      <w:lvlJc w:val="left"/>
      <w:pPr>
        <w:ind w:left="360" w:hanging="360"/>
      </w:pPr>
      <w:rPr>
        <w:rFonts w:ascii="Symbol" w:hAnsi="Symbol" w:hint="default"/>
      </w:rPr>
    </w:lvl>
    <w:lvl w:ilvl="1" w:tplc="565EBCEC">
      <w:start w:val="5"/>
      <w:numFmt w:val="bullet"/>
      <w:lvlText w:val="•"/>
      <w:lvlJc w:val="left"/>
      <w:pPr>
        <w:ind w:left="1080" w:hanging="360"/>
      </w:pPr>
      <w:rPr>
        <w:rFonts w:ascii="Times New Roman" w:eastAsia="Times"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2F057C1"/>
    <w:multiLevelType w:val="hybridMultilevel"/>
    <w:tmpl w:val="3702956A"/>
    <w:lvl w:ilvl="0" w:tplc="6B24B6AC">
      <w:start w:val="1"/>
      <w:numFmt w:val="decimal"/>
      <w:lvlText w:val="%1."/>
      <w:lvlJc w:val="left"/>
      <w:pPr>
        <w:ind w:left="360" w:hanging="360"/>
      </w:pPr>
      <w:rPr>
        <w:rFonts w:hint="default"/>
        <w:position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4654CFE"/>
    <w:multiLevelType w:val="hybridMultilevel"/>
    <w:tmpl w:val="E94A50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4BD68DD"/>
    <w:multiLevelType w:val="hybridMultilevel"/>
    <w:tmpl w:val="8C284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35ED0FE5"/>
    <w:multiLevelType w:val="multilevel"/>
    <w:tmpl w:val="5EDC8826"/>
    <w:lvl w:ilvl="0">
      <w:start w:val="1"/>
      <w:numFmt w:val="decimal"/>
      <w:lvlText w:val="%1."/>
      <w:lvlJc w:val="left"/>
      <w:pPr>
        <w:ind w:left="360" w:hanging="360"/>
      </w:pPr>
      <w:rPr>
        <w:rFonts w:hint="default"/>
        <w:position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A3009CF"/>
    <w:multiLevelType w:val="hybridMultilevel"/>
    <w:tmpl w:val="024C7F68"/>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51" w15:restartNumberingAfterBreak="0">
    <w:nsid w:val="3D0D6D54"/>
    <w:multiLevelType w:val="hybridMultilevel"/>
    <w:tmpl w:val="D7CE7B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3EF73BD5"/>
    <w:multiLevelType w:val="hybridMultilevel"/>
    <w:tmpl w:val="4EC41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457F65E6"/>
    <w:multiLevelType w:val="hybridMultilevel"/>
    <w:tmpl w:val="F59C26B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4" w15:restartNumberingAfterBreak="0">
    <w:nsid w:val="45D25058"/>
    <w:multiLevelType w:val="hybridMultilevel"/>
    <w:tmpl w:val="20B8B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6EF75DF"/>
    <w:multiLevelType w:val="hybridMultilevel"/>
    <w:tmpl w:val="D36082C6"/>
    <w:lvl w:ilvl="0" w:tplc="865616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47513A26"/>
    <w:multiLevelType w:val="hybridMultilevel"/>
    <w:tmpl w:val="049879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78D31BF"/>
    <w:multiLevelType w:val="hybridMultilevel"/>
    <w:tmpl w:val="8F6804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480B1A5D"/>
    <w:multiLevelType w:val="hybridMultilevel"/>
    <w:tmpl w:val="3DE6FD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83C7121"/>
    <w:multiLevelType w:val="hybridMultilevel"/>
    <w:tmpl w:val="797886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486C152B"/>
    <w:multiLevelType w:val="hybridMultilevel"/>
    <w:tmpl w:val="8346B9DE"/>
    <w:lvl w:ilvl="0" w:tplc="206C5A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D4C33D1"/>
    <w:multiLevelType w:val="hybridMultilevel"/>
    <w:tmpl w:val="5AA042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2" w15:restartNumberingAfterBreak="0">
    <w:nsid w:val="4D7B38E5"/>
    <w:multiLevelType w:val="hybridMultilevel"/>
    <w:tmpl w:val="E4C615E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3" w15:restartNumberingAfterBreak="0">
    <w:nsid w:val="4EC516BD"/>
    <w:multiLevelType w:val="hybridMultilevel"/>
    <w:tmpl w:val="1842F3CC"/>
    <w:lvl w:ilvl="0" w:tplc="B8BA41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4ECC2955"/>
    <w:multiLevelType w:val="hybridMultilevel"/>
    <w:tmpl w:val="B6CC56BE"/>
    <w:lvl w:ilvl="0" w:tplc="97AC12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4FE42AA0"/>
    <w:multiLevelType w:val="hybridMultilevel"/>
    <w:tmpl w:val="FA8A44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504A6B72"/>
    <w:multiLevelType w:val="multilevel"/>
    <w:tmpl w:val="3FD6738E"/>
    <w:lvl w:ilvl="0">
      <w:start w:val="1"/>
      <w:numFmt w:val="decimal"/>
      <w:pStyle w:val="Heading1RJB"/>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510626CE"/>
    <w:multiLevelType w:val="hybridMultilevel"/>
    <w:tmpl w:val="A476C5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5163180D"/>
    <w:multiLevelType w:val="hybridMultilevel"/>
    <w:tmpl w:val="9FF62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3FB090F"/>
    <w:multiLevelType w:val="multilevel"/>
    <w:tmpl w:val="D0723B5E"/>
    <w:lvl w:ilvl="0">
      <w:start w:val="1"/>
      <w:numFmt w:val="decimal"/>
      <w:lvlText w:val="%1."/>
      <w:lvlJc w:val="left"/>
      <w:pPr>
        <w:ind w:left="360" w:hanging="360"/>
      </w:pPr>
      <w:rPr>
        <w:rFonts w:hint="default"/>
        <w:position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5475560"/>
    <w:multiLevelType w:val="hybridMultilevel"/>
    <w:tmpl w:val="2F842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55710515"/>
    <w:multiLevelType w:val="hybridMultilevel"/>
    <w:tmpl w:val="5EDC8826"/>
    <w:lvl w:ilvl="0" w:tplc="6B24B6AC">
      <w:start w:val="1"/>
      <w:numFmt w:val="decimal"/>
      <w:lvlText w:val="%1."/>
      <w:lvlJc w:val="left"/>
      <w:pPr>
        <w:ind w:left="360" w:hanging="360"/>
      </w:pPr>
      <w:rPr>
        <w:rFonts w:hint="default"/>
        <w:position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5C643DC"/>
    <w:multiLevelType w:val="multilevel"/>
    <w:tmpl w:val="3702956A"/>
    <w:lvl w:ilvl="0">
      <w:start w:val="1"/>
      <w:numFmt w:val="decimal"/>
      <w:lvlText w:val="%1."/>
      <w:lvlJc w:val="left"/>
      <w:pPr>
        <w:ind w:left="360" w:hanging="360"/>
      </w:pPr>
      <w:rPr>
        <w:rFonts w:hint="default"/>
        <w:position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6C03D23"/>
    <w:multiLevelType w:val="hybridMultilevel"/>
    <w:tmpl w:val="4BCAE21C"/>
    <w:lvl w:ilvl="0" w:tplc="D124E2E0">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4" w15:restartNumberingAfterBreak="0">
    <w:nsid w:val="58707FBB"/>
    <w:multiLevelType w:val="hybridMultilevel"/>
    <w:tmpl w:val="1338C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59671DCE"/>
    <w:multiLevelType w:val="hybridMultilevel"/>
    <w:tmpl w:val="47C6F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60375DA8"/>
    <w:multiLevelType w:val="multilevel"/>
    <w:tmpl w:val="8C0E69D2"/>
    <w:lvl w:ilvl="0">
      <w:start w:val="1"/>
      <w:numFmt w:val="lowerLetter"/>
      <w:lvlText w:val="(%1)"/>
      <w:lvlJc w:val="left"/>
      <w:pPr>
        <w:ind w:left="19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7" w15:restartNumberingAfterBreak="0">
    <w:nsid w:val="60446328"/>
    <w:multiLevelType w:val="hybridMultilevel"/>
    <w:tmpl w:val="8C066E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60C41A94"/>
    <w:multiLevelType w:val="hybridMultilevel"/>
    <w:tmpl w:val="95623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13A361D"/>
    <w:multiLevelType w:val="hybridMultilevel"/>
    <w:tmpl w:val="57442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1DC0DBD"/>
    <w:multiLevelType w:val="hybridMultilevel"/>
    <w:tmpl w:val="55CAB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38E11DC"/>
    <w:multiLevelType w:val="hybridMultilevel"/>
    <w:tmpl w:val="4E9E5712"/>
    <w:lvl w:ilvl="0" w:tplc="A37C4B2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2" w15:restartNumberingAfterBreak="0">
    <w:nsid w:val="64F97D5B"/>
    <w:multiLevelType w:val="hybridMultilevel"/>
    <w:tmpl w:val="D0723B5E"/>
    <w:lvl w:ilvl="0" w:tplc="6B24B6AC">
      <w:start w:val="1"/>
      <w:numFmt w:val="decimal"/>
      <w:lvlText w:val="%1."/>
      <w:lvlJc w:val="left"/>
      <w:pPr>
        <w:ind w:left="360" w:hanging="360"/>
      </w:pPr>
      <w:rPr>
        <w:rFonts w:hint="default"/>
        <w:position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5AE08C7"/>
    <w:multiLevelType w:val="hybridMultilevel"/>
    <w:tmpl w:val="93849930"/>
    <w:lvl w:ilvl="0" w:tplc="720CA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6930227B"/>
    <w:multiLevelType w:val="hybridMultilevel"/>
    <w:tmpl w:val="99F03C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69551EB3"/>
    <w:multiLevelType w:val="hybridMultilevel"/>
    <w:tmpl w:val="85BACCC0"/>
    <w:lvl w:ilvl="0" w:tplc="9CA84F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697509D1"/>
    <w:multiLevelType w:val="multilevel"/>
    <w:tmpl w:val="3702956A"/>
    <w:lvl w:ilvl="0">
      <w:start w:val="1"/>
      <w:numFmt w:val="decimal"/>
      <w:lvlText w:val="%1."/>
      <w:lvlJc w:val="left"/>
      <w:pPr>
        <w:ind w:left="360" w:hanging="360"/>
      </w:pPr>
      <w:rPr>
        <w:rFonts w:hint="default"/>
        <w:position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6B6B45A8"/>
    <w:multiLevelType w:val="hybridMultilevel"/>
    <w:tmpl w:val="567C33A0"/>
    <w:lvl w:ilvl="0" w:tplc="24006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6C802991"/>
    <w:multiLevelType w:val="hybridMultilevel"/>
    <w:tmpl w:val="B9628636"/>
    <w:lvl w:ilvl="0" w:tplc="342CC4A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9" w15:restartNumberingAfterBreak="0">
    <w:nsid w:val="6C8B5E32"/>
    <w:multiLevelType w:val="hybridMultilevel"/>
    <w:tmpl w:val="B8A40548"/>
    <w:lvl w:ilvl="0" w:tplc="206C5A90">
      <w:start w:val="1"/>
      <w:numFmt w:val="lowerLetter"/>
      <w:lvlText w:val="(%1)"/>
      <w:lvlJc w:val="left"/>
      <w:pPr>
        <w:ind w:left="1571" w:hanging="360"/>
      </w:pPr>
      <w:rPr>
        <w:rFonts w:hint="default"/>
      </w:rPr>
    </w:lvl>
    <w:lvl w:ilvl="1" w:tplc="04090019" w:tentative="1">
      <w:start w:val="1"/>
      <w:numFmt w:val="lowerLetter"/>
      <w:lvlText w:val="%2."/>
      <w:lvlJc w:val="left"/>
      <w:pPr>
        <w:ind w:left="2422" w:hanging="360"/>
      </w:pPr>
    </w:lvl>
    <w:lvl w:ilvl="2" w:tplc="0409001B" w:tentative="1">
      <w:start w:val="1"/>
      <w:numFmt w:val="lowerRoman"/>
      <w:lvlText w:val="%3."/>
      <w:lvlJc w:val="right"/>
      <w:pPr>
        <w:ind w:left="3142" w:hanging="180"/>
      </w:pPr>
    </w:lvl>
    <w:lvl w:ilvl="3" w:tplc="0409000F" w:tentative="1">
      <w:start w:val="1"/>
      <w:numFmt w:val="decimal"/>
      <w:lvlText w:val="%4."/>
      <w:lvlJc w:val="left"/>
      <w:pPr>
        <w:ind w:left="3862" w:hanging="360"/>
      </w:pPr>
    </w:lvl>
    <w:lvl w:ilvl="4" w:tplc="04090019" w:tentative="1">
      <w:start w:val="1"/>
      <w:numFmt w:val="lowerLetter"/>
      <w:lvlText w:val="%5."/>
      <w:lvlJc w:val="left"/>
      <w:pPr>
        <w:ind w:left="4582" w:hanging="360"/>
      </w:pPr>
    </w:lvl>
    <w:lvl w:ilvl="5" w:tplc="0409001B" w:tentative="1">
      <w:start w:val="1"/>
      <w:numFmt w:val="lowerRoman"/>
      <w:lvlText w:val="%6."/>
      <w:lvlJc w:val="right"/>
      <w:pPr>
        <w:ind w:left="5302" w:hanging="180"/>
      </w:pPr>
    </w:lvl>
    <w:lvl w:ilvl="6" w:tplc="0409000F" w:tentative="1">
      <w:start w:val="1"/>
      <w:numFmt w:val="decimal"/>
      <w:lvlText w:val="%7."/>
      <w:lvlJc w:val="left"/>
      <w:pPr>
        <w:ind w:left="6022" w:hanging="360"/>
      </w:pPr>
    </w:lvl>
    <w:lvl w:ilvl="7" w:tplc="04090019" w:tentative="1">
      <w:start w:val="1"/>
      <w:numFmt w:val="lowerLetter"/>
      <w:lvlText w:val="%8."/>
      <w:lvlJc w:val="left"/>
      <w:pPr>
        <w:ind w:left="6742" w:hanging="360"/>
      </w:pPr>
    </w:lvl>
    <w:lvl w:ilvl="8" w:tplc="0409001B" w:tentative="1">
      <w:start w:val="1"/>
      <w:numFmt w:val="lowerRoman"/>
      <w:lvlText w:val="%9."/>
      <w:lvlJc w:val="right"/>
      <w:pPr>
        <w:ind w:left="7462" w:hanging="180"/>
      </w:pPr>
    </w:lvl>
  </w:abstractNum>
  <w:abstractNum w:abstractNumId="90" w15:restartNumberingAfterBreak="0">
    <w:nsid w:val="6C984C83"/>
    <w:multiLevelType w:val="hybridMultilevel"/>
    <w:tmpl w:val="1D28D8C6"/>
    <w:lvl w:ilvl="0" w:tplc="206C5A9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D54051E"/>
    <w:multiLevelType w:val="hybridMultilevel"/>
    <w:tmpl w:val="8B70DD8C"/>
    <w:lvl w:ilvl="0" w:tplc="0C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6F056126"/>
    <w:multiLevelType w:val="multilevel"/>
    <w:tmpl w:val="E3D27D50"/>
    <w:lvl w:ilvl="0">
      <w:start w:val="1"/>
      <w:numFmt w:val="decimal"/>
      <w:pStyle w:val="PartNoTLRI"/>
      <w:suff w:val="nothing"/>
      <w:lvlText w:val="Part %1"/>
      <w:lvlJc w:val="left"/>
      <w:pPr>
        <w:ind w:left="999" w:hanging="432"/>
      </w:pPr>
      <w:rPr>
        <w:rFonts w:ascii="Times New Roman" w:hAnsi="Times New Roman" w:hint="default"/>
        <w:b/>
        <w:i w:val="0"/>
        <w:sz w:val="32"/>
      </w:rPr>
    </w:lvl>
    <w:lvl w:ilvl="1">
      <w:start w:val="1"/>
      <w:numFmt w:val="decimal"/>
      <w:pStyle w:val="NumberedHeadingTLRI"/>
      <w:lvlText w:val="%1.%2"/>
      <w:lvlJc w:val="left"/>
      <w:pPr>
        <w:tabs>
          <w:tab w:val="num" w:pos="1571"/>
        </w:tabs>
        <w:ind w:left="851" w:firstLine="0"/>
      </w:pPr>
      <w:rPr>
        <w:rFonts w:ascii="Arial" w:hAnsi="Arial" w:hint="default"/>
        <w:b/>
        <w:i w:val="0"/>
        <w:sz w:val="32"/>
      </w:rPr>
    </w:lvl>
    <w:lvl w:ilvl="2">
      <w:start w:val="1"/>
      <w:numFmt w:val="decimal"/>
      <w:pStyle w:val="NormalNumberedTextTLRI"/>
      <w:lvlText w:val="%1.%2.%3"/>
      <w:lvlJc w:val="left"/>
      <w:pPr>
        <w:tabs>
          <w:tab w:val="num" w:pos="862"/>
        </w:tabs>
        <w:ind w:left="142"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2"/>
      <w:numFmt w:val="none"/>
      <w:lvlText w:val=""/>
      <w:lvlJc w:val="left"/>
      <w:pPr>
        <w:tabs>
          <w:tab w:val="num" w:pos="1211"/>
        </w:tabs>
        <w:ind w:left="851" w:firstLine="0"/>
      </w:pPr>
      <w:rPr>
        <w:rFonts w:hint="default"/>
      </w:rPr>
    </w:lvl>
    <w:lvl w:ilvl="4">
      <w:start w:val="1"/>
      <w:numFmt w:val="none"/>
      <w:lvlText w:val=""/>
      <w:lvlJc w:val="left"/>
      <w:pPr>
        <w:tabs>
          <w:tab w:val="num" w:pos="1008"/>
        </w:tabs>
        <w:ind w:left="1008" w:hanging="1008"/>
      </w:pPr>
      <w:rPr>
        <w:rFonts w:ascii="Times New Roman" w:hAnsi="Times New Roman" w:hint="default"/>
        <w:b/>
        <w:i w:val="0"/>
        <w:sz w:val="52"/>
      </w:rPr>
    </w:lvl>
    <w:lvl w:ilvl="5">
      <w:start w:val="1"/>
      <w:numFmt w:val="none"/>
      <w:lvlRestart w:val="1"/>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93" w15:restartNumberingAfterBreak="0">
    <w:nsid w:val="6F3F0622"/>
    <w:multiLevelType w:val="hybridMultilevel"/>
    <w:tmpl w:val="E24C14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6F682830"/>
    <w:multiLevelType w:val="hybridMultilevel"/>
    <w:tmpl w:val="771AB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F6828E5"/>
    <w:multiLevelType w:val="hybridMultilevel"/>
    <w:tmpl w:val="3EAE16B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6" w15:restartNumberingAfterBreak="0">
    <w:nsid w:val="72F3369F"/>
    <w:multiLevelType w:val="hybridMultilevel"/>
    <w:tmpl w:val="F8241B70"/>
    <w:lvl w:ilvl="0" w:tplc="8758C4FC">
      <w:start w:val="1"/>
      <w:numFmt w:val="bullet"/>
      <w:pStyle w:val="DotPointTLRI"/>
      <w:lvlText w:val=""/>
      <w:lvlJc w:val="left"/>
      <w:pPr>
        <w:ind w:left="1211" w:hanging="360"/>
      </w:pPr>
      <w:rPr>
        <w:rFonts w:ascii="Symbol" w:hAnsi="Symbol" w:hint="default"/>
        <w:sz w:val="22"/>
        <w:szCs w:val="22"/>
      </w:rPr>
    </w:lvl>
    <w:lvl w:ilvl="1" w:tplc="04090003">
      <w:start w:val="1"/>
      <w:numFmt w:val="bullet"/>
      <w:lvlText w:val="o"/>
      <w:lvlJc w:val="left"/>
      <w:pPr>
        <w:ind w:left="1931" w:hanging="360"/>
      </w:pPr>
      <w:rPr>
        <w:rFonts w:ascii="Courier New" w:hAnsi="Courier New" w:hint="default"/>
      </w:rPr>
    </w:lvl>
    <w:lvl w:ilvl="2" w:tplc="04090005">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97" w15:restartNumberingAfterBreak="0">
    <w:nsid w:val="731B230D"/>
    <w:multiLevelType w:val="hybridMultilevel"/>
    <w:tmpl w:val="FA845D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8" w15:restartNumberingAfterBreak="0">
    <w:nsid w:val="74CA353E"/>
    <w:multiLevelType w:val="hybridMultilevel"/>
    <w:tmpl w:val="9126D9BC"/>
    <w:lvl w:ilvl="0" w:tplc="206C5A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74F659A1"/>
    <w:multiLevelType w:val="hybridMultilevel"/>
    <w:tmpl w:val="243A085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0" w15:restartNumberingAfterBreak="0">
    <w:nsid w:val="76CD7470"/>
    <w:multiLevelType w:val="hybridMultilevel"/>
    <w:tmpl w:val="09D22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771A0445"/>
    <w:multiLevelType w:val="hybridMultilevel"/>
    <w:tmpl w:val="0F627078"/>
    <w:lvl w:ilvl="0" w:tplc="206C5A90">
      <w:start w:val="1"/>
      <w:numFmt w:val="lowerLetter"/>
      <w:lvlText w:val="(%1)"/>
      <w:lvlJc w:val="left"/>
      <w:pPr>
        <w:ind w:left="121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77A54D55"/>
    <w:multiLevelType w:val="hybridMultilevel"/>
    <w:tmpl w:val="EA7E9FB4"/>
    <w:lvl w:ilvl="0" w:tplc="2522E52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789F2BB6"/>
    <w:multiLevelType w:val="hybridMultilevel"/>
    <w:tmpl w:val="5ED80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AB536A1"/>
    <w:multiLevelType w:val="hybridMultilevel"/>
    <w:tmpl w:val="1EA89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BCD2F94"/>
    <w:multiLevelType w:val="hybridMultilevel"/>
    <w:tmpl w:val="FEA83028"/>
    <w:lvl w:ilvl="0" w:tplc="6B24B6AC">
      <w:start w:val="1"/>
      <w:numFmt w:val="decimal"/>
      <w:lvlText w:val="%1."/>
      <w:lvlJc w:val="left"/>
      <w:pPr>
        <w:ind w:left="360" w:hanging="360"/>
      </w:pPr>
      <w:rPr>
        <w:rFonts w:hint="default"/>
        <w:position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C1B58F9"/>
    <w:multiLevelType w:val="multilevel"/>
    <w:tmpl w:val="AD6A4510"/>
    <w:lvl w:ilvl="0">
      <w:start w:val="1"/>
      <w:numFmt w:val="decimal"/>
      <w:lvlText w:val="%1."/>
      <w:lvlJc w:val="left"/>
      <w:pPr>
        <w:ind w:left="360" w:hanging="360"/>
      </w:pPr>
      <w:rPr>
        <w:rFonts w:hint="default"/>
        <w:position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7D3B0120"/>
    <w:multiLevelType w:val="multilevel"/>
    <w:tmpl w:val="C212CF1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8" w15:restartNumberingAfterBreak="0">
    <w:nsid w:val="7F4E1759"/>
    <w:multiLevelType w:val="hybridMultilevel"/>
    <w:tmpl w:val="567C33A0"/>
    <w:lvl w:ilvl="0" w:tplc="24006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F5D63FB"/>
    <w:multiLevelType w:val="hybridMultilevel"/>
    <w:tmpl w:val="BA9470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0" w15:restartNumberingAfterBreak="0">
    <w:nsid w:val="7FA06823"/>
    <w:multiLevelType w:val="multilevel"/>
    <w:tmpl w:val="FEA83028"/>
    <w:lvl w:ilvl="0">
      <w:start w:val="1"/>
      <w:numFmt w:val="decimal"/>
      <w:lvlText w:val="%1."/>
      <w:lvlJc w:val="left"/>
      <w:pPr>
        <w:ind w:left="360" w:hanging="360"/>
      </w:pPr>
      <w:rPr>
        <w:rFonts w:hint="default"/>
        <w:position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7FCC1A16"/>
    <w:multiLevelType w:val="multilevel"/>
    <w:tmpl w:val="D0723B5E"/>
    <w:lvl w:ilvl="0">
      <w:start w:val="1"/>
      <w:numFmt w:val="decimal"/>
      <w:lvlText w:val="%1."/>
      <w:lvlJc w:val="left"/>
      <w:pPr>
        <w:ind w:left="360" w:hanging="360"/>
      </w:pPr>
      <w:rPr>
        <w:rFonts w:hint="default"/>
        <w:position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2"/>
  </w:num>
  <w:num w:numId="2">
    <w:abstractNumId w:val="92"/>
  </w:num>
  <w:num w:numId="3">
    <w:abstractNumId w:val="66"/>
  </w:num>
  <w:num w:numId="4">
    <w:abstractNumId w:val="33"/>
  </w:num>
  <w:num w:numId="5">
    <w:abstractNumId w:val="59"/>
  </w:num>
  <w:num w:numId="6">
    <w:abstractNumId w:val="56"/>
  </w:num>
  <w:num w:numId="7">
    <w:abstractNumId w:val="77"/>
  </w:num>
  <w:num w:numId="8">
    <w:abstractNumId w:val="102"/>
  </w:num>
  <w:num w:numId="9">
    <w:abstractNumId w:val="32"/>
  </w:num>
  <w:num w:numId="10">
    <w:abstractNumId w:val="34"/>
  </w:num>
  <w:num w:numId="11">
    <w:abstractNumId w:val="73"/>
  </w:num>
  <w:num w:numId="12">
    <w:abstractNumId w:val="12"/>
  </w:num>
  <w:num w:numId="13">
    <w:abstractNumId w:val="88"/>
  </w:num>
  <w:num w:numId="14">
    <w:abstractNumId w:val="15"/>
  </w:num>
  <w:num w:numId="15">
    <w:abstractNumId w:val="44"/>
  </w:num>
  <w:num w:numId="16">
    <w:abstractNumId w:val="13"/>
  </w:num>
  <w:num w:numId="17">
    <w:abstractNumId w:val="51"/>
  </w:num>
  <w:num w:numId="18">
    <w:abstractNumId w:val="29"/>
  </w:num>
  <w:num w:numId="19">
    <w:abstractNumId w:val="37"/>
  </w:num>
  <w:num w:numId="20">
    <w:abstractNumId w:val="47"/>
  </w:num>
  <w:num w:numId="21">
    <w:abstractNumId w:val="85"/>
  </w:num>
  <w:num w:numId="22">
    <w:abstractNumId w:val="11"/>
  </w:num>
  <w:num w:numId="23">
    <w:abstractNumId w:val="87"/>
  </w:num>
  <w:num w:numId="24">
    <w:abstractNumId w:val="108"/>
  </w:num>
  <w:num w:numId="25">
    <w:abstractNumId w:val="55"/>
  </w:num>
  <w:num w:numId="26">
    <w:abstractNumId w:val="83"/>
  </w:num>
  <w:num w:numId="27">
    <w:abstractNumId w:val="27"/>
  </w:num>
  <w:num w:numId="28">
    <w:abstractNumId w:val="57"/>
  </w:num>
  <w:num w:numId="29">
    <w:abstractNumId w:val="84"/>
  </w:num>
  <w:num w:numId="30">
    <w:abstractNumId w:val="23"/>
  </w:num>
  <w:num w:numId="31">
    <w:abstractNumId w:val="65"/>
  </w:num>
  <w:num w:numId="32">
    <w:abstractNumId w:val="64"/>
  </w:num>
  <w:num w:numId="33">
    <w:abstractNumId w:val="75"/>
  </w:num>
  <w:num w:numId="34">
    <w:abstractNumId w:val="67"/>
  </w:num>
  <w:num w:numId="35">
    <w:abstractNumId w:val="48"/>
  </w:num>
  <w:num w:numId="36">
    <w:abstractNumId w:val="31"/>
  </w:num>
  <w:num w:numId="37">
    <w:abstractNumId w:val="93"/>
  </w:num>
  <w:num w:numId="38">
    <w:abstractNumId w:val="58"/>
  </w:num>
  <w:num w:numId="39">
    <w:abstractNumId w:val="100"/>
  </w:num>
  <w:num w:numId="40">
    <w:abstractNumId w:val="28"/>
  </w:num>
  <w:num w:numId="41">
    <w:abstractNumId w:val="35"/>
  </w:num>
  <w:num w:numId="42">
    <w:abstractNumId w:val="10"/>
  </w:num>
  <w:num w:numId="43">
    <w:abstractNumId w:val="70"/>
  </w:num>
  <w:num w:numId="44">
    <w:abstractNumId w:val="45"/>
  </w:num>
  <w:num w:numId="45">
    <w:abstractNumId w:val="52"/>
  </w:num>
  <w:num w:numId="46">
    <w:abstractNumId w:val="39"/>
  </w:num>
  <w:num w:numId="47">
    <w:abstractNumId w:val="92"/>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0"/>
  </w:num>
  <w:num w:numId="49">
    <w:abstractNumId w:val="17"/>
  </w:num>
  <w:num w:numId="50">
    <w:abstractNumId w:val="99"/>
  </w:num>
  <w:num w:numId="51">
    <w:abstractNumId w:val="62"/>
  </w:num>
  <w:num w:numId="52">
    <w:abstractNumId w:val="18"/>
  </w:num>
  <w:num w:numId="53">
    <w:abstractNumId w:val="53"/>
  </w:num>
  <w:num w:numId="54">
    <w:abstractNumId w:val="109"/>
  </w:num>
  <w:num w:numId="55">
    <w:abstractNumId w:val="42"/>
  </w:num>
  <w:num w:numId="56">
    <w:abstractNumId w:val="96"/>
  </w:num>
  <w:num w:numId="57">
    <w:abstractNumId w:val="92"/>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1"/>
  </w:num>
  <w:num w:numId="59">
    <w:abstractNumId w:val="74"/>
  </w:num>
  <w:num w:numId="60">
    <w:abstractNumId w:val="81"/>
  </w:num>
  <w:num w:numId="61">
    <w:abstractNumId w:val="41"/>
  </w:num>
  <w:num w:numId="62">
    <w:abstractNumId w:val="103"/>
  </w:num>
  <w:num w:numId="63">
    <w:abstractNumId w:val="54"/>
  </w:num>
  <w:num w:numId="64">
    <w:abstractNumId w:val="91"/>
  </w:num>
  <w:num w:numId="65">
    <w:abstractNumId w:val="95"/>
  </w:num>
  <w:num w:numId="66">
    <w:abstractNumId w:val="80"/>
  </w:num>
  <w:num w:numId="67">
    <w:abstractNumId w:val="20"/>
  </w:num>
  <w:num w:numId="68">
    <w:abstractNumId w:val="63"/>
  </w:num>
  <w:num w:numId="69">
    <w:abstractNumId w:val="92"/>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2"/>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2"/>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2"/>
  </w:num>
  <w:num w:numId="73">
    <w:abstractNumId w:val="92"/>
  </w:num>
  <w:num w:numId="74">
    <w:abstractNumId w:val="78"/>
  </w:num>
  <w:num w:numId="75">
    <w:abstractNumId w:val="97"/>
  </w:num>
  <w:num w:numId="76">
    <w:abstractNumId w:val="22"/>
  </w:num>
  <w:num w:numId="77">
    <w:abstractNumId w:val="104"/>
  </w:num>
  <w:num w:numId="78">
    <w:abstractNumId w:val="94"/>
  </w:num>
  <w:num w:numId="79">
    <w:abstractNumId w:val="19"/>
  </w:num>
  <w:num w:numId="80">
    <w:abstractNumId w:val="38"/>
  </w:num>
  <w:num w:numId="81">
    <w:abstractNumId w:val="79"/>
  </w:num>
  <w:num w:numId="82">
    <w:abstractNumId w:val="101"/>
  </w:num>
  <w:num w:numId="83">
    <w:abstractNumId w:val="14"/>
  </w:num>
  <w:num w:numId="84">
    <w:abstractNumId w:val="98"/>
  </w:num>
  <w:num w:numId="85">
    <w:abstractNumId w:val="68"/>
  </w:num>
  <w:num w:numId="86">
    <w:abstractNumId w:val="36"/>
  </w:num>
  <w:num w:numId="87">
    <w:abstractNumId w:val="16"/>
  </w:num>
  <w:num w:numId="88">
    <w:abstractNumId w:val="43"/>
  </w:num>
  <w:num w:numId="89">
    <w:abstractNumId w:val="60"/>
  </w:num>
  <w:num w:numId="90">
    <w:abstractNumId w:val="30"/>
  </w:num>
  <w:num w:numId="91">
    <w:abstractNumId w:val="105"/>
  </w:num>
  <w:num w:numId="92">
    <w:abstractNumId w:val="110"/>
  </w:num>
  <w:num w:numId="93">
    <w:abstractNumId w:val="71"/>
  </w:num>
  <w:num w:numId="94">
    <w:abstractNumId w:val="49"/>
  </w:num>
  <w:num w:numId="95">
    <w:abstractNumId w:val="46"/>
  </w:num>
  <w:num w:numId="96">
    <w:abstractNumId w:val="106"/>
  </w:num>
  <w:num w:numId="97">
    <w:abstractNumId w:val="72"/>
  </w:num>
  <w:num w:numId="98">
    <w:abstractNumId w:val="86"/>
  </w:num>
  <w:num w:numId="99">
    <w:abstractNumId w:val="90"/>
  </w:num>
  <w:num w:numId="100">
    <w:abstractNumId w:val="82"/>
  </w:num>
  <w:num w:numId="101">
    <w:abstractNumId w:val="111"/>
  </w:num>
  <w:num w:numId="102">
    <w:abstractNumId w:val="69"/>
  </w:num>
  <w:num w:numId="103">
    <w:abstractNumId w:val="40"/>
  </w:num>
  <w:num w:numId="104">
    <w:abstractNumId w:val="92"/>
  </w:num>
  <w:num w:numId="105">
    <w:abstractNumId w:val="92"/>
  </w:num>
  <w:num w:numId="106">
    <w:abstractNumId w:val="26"/>
  </w:num>
  <w:num w:numId="107">
    <w:abstractNumId w:val="24"/>
  </w:num>
  <w:num w:numId="108">
    <w:abstractNumId w:val="25"/>
  </w:num>
  <w:num w:numId="109">
    <w:abstractNumId w:val="0"/>
  </w:num>
  <w:num w:numId="110">
    <w:abstractNumId w:val="1"/>
  </w:num>
  <w:num w:numId="111">
    <w:abstractNumId w:val="2"/>
  </w:num>
  <w:num w:numId="112">
    <w:abstractNumId w:val="3"/>
  </w:num>
  <w:num w:numId="113">
    <w:abstractNumId w:val="8"/>
  </w:num>
  <w:num w:numId="114">
    <w:abstractNumId w:val="4"/>
  </w:num>
  <w:num w:numId="115">
    <w:abstractNumId w:val="5"/>
  </w:num>
  <w:num w:numId="116">
    <w:abstractNumId w:val="6"/>
  </w:num>
  <w:num w:numId="117">
    <w:abstractNumId w:val="7"/>
  </w:num>
  <w:num w:numId="118">
    <w:abstractNumId w:val="9"/>
  </w:num>
  <w:num w:numId="119">
    <w:abstractNumId w:val="107"/>
  </w:num>
  <w:num w:numId="120">
    <w:abstractNumId w:val="76"/>
  </w:num>
  <w:num w:numId="121">
    <w:abstractNumId w:val="21"/>
  </w:num>
  <w:num w:numId="122">
    <w:abstractNumId w:val="96"/>
  </w:num>
  <w:num w:numId="123">
    <w:abstractNumId w:val="89"/>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formatting="1" w:enforcement="0"/>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E3C"/>
    <w:rsid w:val="00000534"/>
    <w:rsid w:val="0000100C"/>
    <w:rsid w:val="00001357"/>
    <w:rsid w:val="00002124"/>
    <w:rsid w:val="0000330C"/>
    <w:rsid w:val="00003538"/>
    <w:rsid w:val="00003CD3"/>
    <w:rsid w:val="0000524C"/>
    <w:rsid w:val="00005878"/>
    <w:rsid w:val="000062B9"/>
    <w:rsid w:val="00006B04"/>
    <w:rsid w:val="00006CB4"/>
    <w:rsid w:val="000077F6"/>
    <w:rsid w:val="000079E4"/>
    <w:rsid w:val="00007A66"/>
    <w:rsid w:val="00007CF9"/>
    <w:rsid w:val="000102A9"/>
    <w:rsid w:val="0001098D"/>
    <w:rsid w:val="00010FA0"/>
    <w:rsid w:val="000113F8"/>
    <w:rsid w:val="0001168E"/>
    <w:rsid w:val="00011DEF"/>
    <w:rsid w:val="00011F34"/>
    <w:rsid w:val="00012ABC"/>
    <w:rsid w:val="00013EAC"/>
    <w:rsid w:val="000151FE"/>
    <w:rsid w:val="00015274"/>
    <w:rsid w:val="000152EE"/>
    <w:rsid w:val="000152F0"/>
    <w:rsid w:val="00015534"/>
    <w:rsid w:val="00015F66"/>
    <w:rsid w:val="00016188"/>
    <w:rsid w:val="00016619"/>
    <w:rsid w:val="000167F6"/>
    <w:rsid w:val="00016837"/>
    <w:rsid w:val="00016ED8"/>
    <w:rsid w:val="00017575"/>
    <w:rsid w:val="0001759F"/>
    <w:rsid w:val="00017919"/>
    <w:rsid w:val="0001791E"/>
    <w:rsid w:val="00017E3A"/>
    <w:rsid w:val="000200A7"/>
    <w:rsid w:val="00020930"/>
    <w:rsid w:val="000214A8"/>
    <w:rsid w:val="00021F9B"/>
    <w:rsid w:val="00022241"/>
    <w:rsid w:val="000223A2"/>
    <w:rsid w:val="000223EE"/>
    <w:rsid w:val="00022776"/>
    <w:rsid w:val="000234E5"/>
    <w:rsid w:val="0002405B"/>
    <w:rsid w:val="00024522"/>
    <w:rsid w:val="00025473"/>
    <w:rsid w:val="000256D0"/>
    <w:rsid w:val="000263BD"/>
    <w:rsid w:val="000268F2"/>
    <w:rsid w:val="00026AFD"/>
    <w:rsid w:val="00026CC7"/>
    <w:rsid w:val="00027523"/>
    <w:rsid w:val="000278B5"/>
    <w:rsid w:val="00030F17"/>
    <w:rsid w:val="00030F8B"/>
    <w:rsid w:val="00030FFE"/>
    <w:rsid w:val="00032270"/>
    <w:rsid w:val="000329C0"/>
    <w:rsid w:val="00033026"/>
    <w:rsid w:val="000331C8"/>
    <w:rsid w:val="0003329D"/>
    <w:rsid w:val="000332C4"/>
    <w:rsid w:val="0003383C"/>
    <w:rsid w:val="000349AA"/>
    <w:rsid w:val="00035BE8"/>
    <w:rsid w:val="00036610"/>
    <w:rsid w:val="000371E4"/>
    <w:rsid w:val="00037994"/>
    <w:rsid w:val="00037BC2"/>
    <w:rsid w:val="00037D34"/>
    <w:rsid w:val="00040929"/>
    <w:rsid w:val="00040992"/>
    <w:rsid w:val="00040B3F"/>
    <w:rsid w:val="000414BD"/>
    <w:rsid w:val="00041537"/>
    <w:rsid w:val="0004261F"/>
    <w:rsid w:val="0004335C"/>
    <w:rsid w:val="00044240"/>
    <w:rsid w:val="000444B4"/>
    <w:rsid w:val="0004523C"/>
    <w:rsid w:val="00045701"/>
    <w:rsid w:val="000465B6"/>
    <w:rsid w:val="000465C2"/>
    <w:rsid w:val="00047398"/>
    <w:rsid w:val="00047851"/>
    <w:rsid w:val="00050909"/>
    <w:rsid w:val="000513E1"/>
    <w:rsid w:val="00052305"/>
    <w:rsid w:val="00052E55"/>
    <w:rsid w:val="00053A1D"/>
    <w:rsid w:val="00054195"/>
    <w:rsid w:val="00054C81"/>
    <w:rsid w:val="00055946"/>
    <w:rsid w:val="00056ECD"/>
    <w:rsid w:val="00057386"/>
    <w:rsid w:val="000577DA"/>
    <w:rsid w:val="00057955"/>
    <w:rsid w:val="00057C29"/>
    <w:rsid w:val="00060E6F"/>
    <w:rsid w:val="0006214B"/>
    <w:rsid w:val="000622FD"/>
    <w:rsid w:val="00062702"/>
    <w:rsid w:val="0006291C"/>
    <w:rsid w:val="00062995"/>
    <w:rsid w:val="00062B2F"/>
    <w:rsid w:val="0006463E"/>
    <w:rsid w:val="000652D4"/>
    <w:rsid w:val="0006553F"/>
    <w:rsid w:val="000655E0"/>
    <w:rsid w:val="00065663"/>
    <w:rsid w:val="000658C3"/>
    <w:rsid w:val="00065DEA"/>
    <w:rsid w:val="000660E1"/>
    <w:rsid w:val="0006627F"/>
    <w:rsid w:val="00066718"/>
    <w:rsid w:val="00067557"/>
    <w:rsid w:val="000676FC"/>
    <w:rsid w:val="00067771"/>
    <w:rsid w:val="000706A5"/>
    <w:rsid w:val="00070C5D"/>
    <w:rsid w:val="00070D21"/>
    <w:rsid w:val="000714A6"/>
    <w:rsid w:val="00071A9B"/>
    <w:rsid w:val="00071E16"/>
    <w:rsid w:val="00072094"/>
    <w:rsid w:val="000724B1"/>
    <w:rsid w:val="000724DB"/>
    <w:rsid w:val="00072539"/>
    <w:rsid w:val="00072622"/>
    <w:rsid w:val="00072AD1"/>
    <w:rsid w:val="0007306F"/>
    <w:rsid w:val="00073327"/>
    <w:rsid w:val="000735B5"/>
    <w:rsid w:val="00073764"/>
    <w:rsid w:val="00073858"/>
    <w:rsid w:val="00074089"/>
    <w:rsid w:val="00074255"/>
    <w:rsid w:val="0007453E"/>
    <w:rsid w:val="000749E2"/>
    <w:rsid w:val="00075627"/>
    <w:rsid w:val="00076004"/>
    <w:rsid w:val="000763E1"/>
    <w:rsid w:val="00076E2C"/>
    <w:rsid w:val="000775B9"/>
    <w:rsid w:val="00077726"/>
    <w:rsid w:val="00080933"/>
    <w:rsid w:val="00080A96"/>
    <w:rsid w:val="00080BB4"/>
    <w:rsid w:val="0008116A"/>
    <w:rsid w:val="00081A99"/>
    <w:rsid w:val="00081B7A"/>
    <w:rsid w:val="00081C6E"/>
    <w:rsid w:val="00081E40"/>
    <w:rsid w:val="000828B1"/>
    <w:rsid w:val="000828BB"/>
    <w:rsid w:val="000830B8"/>
    <w:rsid w:val="00083754"/>
    <w:rsid w:val="00083F05"/>
    <w:rsid w:val="00084A4D"/>
    <w:rsid w:val="00084B80"/>
    <w:rsid w:val="00084E51"/>
    <w:rsid w:val="00085287"/>
    <w:rsid w:val="00085293"/>
    <w:rsid w:val="00085362"/>
    <w:rsid w:val="00085578"/>
    <w:rsid w:val="0008578D"/>
    <w:rsid w:val="00085B6F"/>
    <w:rsid w:val="0008630D"/>
    <w:rsid w:val="0008765D"/>
    <w:rsid w:val="000878AB"/>
    <w:rsid w:val="00087AF7"/>
    <w:rsid w:val="000901C6"/>
    <w:rsid w:val="00090244"/>
    <w:rsid w:val="0009097E"/>
    <w:rsid w:val="0009156C"/>
    <w:rsid w:val="00091AF0"/>
    <w:rsid w:val="00091E56"/>
    <w:rsid w:val="00092DC1"/>
    <w:rsid w:val="00092EE9"/>
    <w:rsid w:val="0009452E"/>
    <w:rsid w:val="00095F89"/>
    <w:rsid w:val="0009650B"/>
    <w:rsid w:val="00096C22"/>
    <w:rsid w:val="00096E8B"/>
    <w:rsid w:val="00097D34"/>
    <w:rsid w:val="000A00C2"/>
    <w:rsid w:val="000A11B8"/>
    <w:rsid w:val="000A3ADB"/>
    <w:rsid w:val="000A3E59"/>
    <w:rsid w:val="000A417F"/>
    <w:rsid w:val="000A4702"/>
    <w:rsid w:val="000A4B11"/>
    <w:rsid w:val="000A4CFB"/>
    <w:rsid w:val="000A4DBA"/>
    <w:rsid w:val="000A5686"/>
    <w:rsid w:val="000A577A"/>
    <w:rsid w:val="000A6713"/>
    <w:rsid w:val="000A697B"/>
    <w:rsid w:val="000A69C0"/>
    <w:rsid w:val="000A6C2E"/>
    <w:rsid w:val="000A723E"/>
    <w:rsid w:val="000A74BC"/>
    <w:rsid w:val="000B0173"/>
    <w:rsid w:val="000B0663"/>
    <w:rsid w:val="000B07B3"/>
    <w:rsid w:val="000B0BD0"/>
    <w:rsid w:val="000B0BFA"/>
    <w:rsid w:val="000B0FF1"/>
    <w:rsid w:val="000B114D"/>
    <w:rsid w:val="000B268A"/>
    <w:rsid w:val="000B279C"/>
    <w:rsid w:val="000B2F23"/>
    <w:rsid w:val="000B332E"/>
    <w:rsid w:val="000B49C6"/>
    <w:rsid w:val="000B547B"/>
    <w:rsid w:val="000B55DA"/>
    <w:rsid w:val="000B604E"/>
    <w:rsid w:val="000B71C8"/>
    <w:rsid w:val="000B71EB"/>
    <w:rsid w:val="000B7247"/>
    <w:rsid w:val="000B7D53"/>
    <w:rsid w:val="000B7D75"/>
    <w:rsid w:val="000C017D"/>
    <w:rsid w:val="000C0407"/>
    <w:rsid w:val="000C040E"/>
    <w:rsid w:val="000C0547"/>
    <w:rsid w:val="000C079C"/>
    <w:rsid w:val="000C08C3"/>
    <w:rsid w:val="000C0F8C"/>
    <w:rsid w:val="000C1DAF"/>
    <w:rsid w:val="000C2726"/>
    <w:rsid w:val="000C2DC1"/>
    <w:rsid w:val="000C34C2"/>
    <w:rsid w:val="000C389E"/>
    <w:rsid w:val="000C47A3"/>
    <w:rsid w:val="000C47A9"/>
    <w:rsid w:val="000C5509"/>
    <w:rsid w:val="000C6347"/>
    <w:rsid w:val="000C6749"/>
    <w:rsid w:val="000C6EE9"/>
    <w:rsid w:val="000C7D1F"/>
    <w:rsid w:val="000D1128"/>
    <w:rsid w:val="000D177A"/>
    <w:rsid w:val="000D17F7"/>
    <w:rsid w:val="000D309D"/>
    <w:rsid w:val="000D3580"/>
    <w:rsid w:val="000D49B4"/>
    <w:rsid w:val="000D5B8C"/>
    <w:rsid w:val="000D67D2"/>
    <w:rsid w:val="000D6DC5"/>
    <w:rsid w:val="000D79FC"/>
    <w:rsid w:val="000E00A8"/>
    <w:rsid w:val="000E01F1"/>
    <w:rsid w:val="000E0728"/>
    <w:rsid w:val="000E0955"/>
    <w:rsid w:val="000E0FB9"/>
    <w:rsid w:val="000E1E34"/>
    <w:rsid w:val="000E3DF4"/>
    <w:rsid w:val="000E450B"/>
    <w:rsid w:val="000E4EE6"/>
    <w:rsid w:val="000E566D"/>
    <w:rsid w:val="000E57E9"/>
    <w:rsid w:val="000E5933"/>
    <w:rsid w:val="000E5B9B"/>
    <w:rsid w:val="000E5DE4"/>
    <w:rsid w:val="000E66E4"/>
    <w:rsid w:val="000E697F"/>
    <w:rsid w:val="000E6D3B"/>
    <w:rsid w:val="000E743B"/>
    <w:rsid w:val="000E746A"/>
    <w:rsid w:val="000E7DA5"/>
    <w:rsid w:val="000F01CA"/>
    <w:rsid w:val="000F037B"/>
    <w:rsid w:val="000F04CD"/>
    <w:rsid w:val="000F1244"/>
    <w:rsid w:val="000F1CCA"/>
    <w:rsid w:val="000F2E2F"/>
    <w:rsid w:val="000F321F"/>
    <w:rsid w:val="000F3E5F"/>
    <w:rsid w:val="000F3E91"/>
    <w:rsid w:val="000F3F37"/>
    <w:rsid w:val="000F4476"/>
    <w:rsid w:val="000F451A"/>
    <w:rsid w:val="000F51F9"/>
    <w:rsid w:val="000F5907"/>
    <w:rsid w:val="000F6038"/>
    <w:rsid w:val="000F6F22"/>
    <w:rsid w:val="000F7330"/>
    <w:rsid w:val="000F7382"/>
    <w:rsid w:val="000F75B4"/>
    <w:rsid w:val="000F7A8D"/>
    <w:rsid w:val="000F7BF0"/>
    <w:rsid w:val="000F7FF5"/>
    <w:rsid w:val="00100869"/>
    <w:rsid w:val="0010177D"/>
    <w:rsid w:val="001017D3"/>
    <w:rsid w:val="00101822"/>
    <w:rsid w:val="0010271D"/>
    <w:rsid w:val="00102D5C"/>
    <w:rsid w:val="00103095"/>
    <w:rsid w:val="0010343C"/>
    <w:rsid w:val="00103724"/>
    <w:rsid w:val="00103DE0"/>
    <w:rsid w:val="00103E6C"/>
    <w:rsid w:val="0010401E"/>
    <w:rsid w:val="001040F6"/>
    <w:rsid w:val="0010476A"/>
    <w:rsid w:val="00104EF0"/>
    <w:rsid w:val="00105370"/>
    <w:rsid w:val="00105C7F"/>
    <w:rsid w:val="0010694B"/>
    <w:rsid w:val="00106A84"/>
    <w:rsid w:val="00106C55"/>
    <w:rsid w:val="00106E9E"/>
    <w:rsid w:val="0010760A"/>
    <w:rsid w:val="001076D3"/>
    <w:rsid w:val="001076E6"/>
    <w:rsid w:val="00107C78"/>
    <w:rsid w:val="00107ECF"/>
    <w:rsid w:val="001102B5"/>
    <w:rsid w:val="00111333"/>
    <w:rsid w:val="00112686"/>
    <w:rsid w:val="00112992"/>
    <w:rsid w:val="00112B80"/>
    <w:rsid w:val="001130D3"/>
    <w:rsid w:val="00114AC8"/>
    <w:rsid w:val="00115B79"/>
    <w:rsid w:val="00115EBD"/>
    <w:rsid w:val="001165F1"/>
    <w:rsid w:val="0011728B"/>
    <w:rsid w:val="001174A6"/>
    <w:rsid w:val="00117BA7"/>
    <w:rsid w:val="001201A2"/>
    <w:rsid w:val="001214D2"/>
    <w:rsid w:val="00121D02"/>
    <w:rsid w:val="001228F6"/>
    <w:rsid w:val="00122BE4"/>
    <w:rsid w:val="00122EA8"/>
    <w:rsid w:val="00123821"/>
    <w:rsid w:val="00123C67"/>
    <w:rsid w:val="00123CE6"/>
    <w:rsid w:val="00123F15"/>
    <w:rsid w:val="001241AF"/>
    <w:rsid w:val="00124652"/>
    <w:rsid w:val="001248BC"/>
    <w:rsid w:val="00125277"/>
    <w:rsid w:val="00125C21"/>
    <w:rsid w:val="001261E0"/>
    <w:rsid w:val="001265BD"/>
    <w:rsid w:val="001274BE"/>
    <w:rsid w:val="0012790B"/>
    <w:rsid w:val="00130DB4"/>
    <w:rsid w:val="00130FB1"/>
    <w:rsid w:val="0013396C"/>
    <w:rsid w:val="0013396E"/>
    <w:rsid w:val="00134208"/>
    <w:rsid w:val="001342B8"/>
    <w:rsid w:val="00134664"/>
    <w:rsid w:val="0013610A"/>
    <w:rsid w:val="0013613A"/>
    <w:rsid w:val="00136B77"/>
    <w:rsid w:val="00137078"/>
    <w:rsid w:val="00137ACB"/>
    <w:rsid w:val="001401B6"/>
    <w:rsid w:val="001405E5"/>
    <w:rsid w:val="00140DE6"/>
    <w:rsid w:val="0014208F"/>
    <w:rsid w:val="001429CC"/>
    <w:rsid w:val="00142C08"/>
    <w:rsid w:val="0014337D"/>
    <w:rsid w:val="001435D8"/>
    <w:rsid w:val="00143717"/>
    <w:rsid w:val="00143A13"/>
    <w:rsid w:val="00144353"/>
    <w:rsid w:val="0014607F"/>
    <w:rsid w:val="001462DE"/>
    <w:rsid w:val="00146339"/>
    <w:rsid w:val="00146DD3"/>
    <w:rsid w:val="001473A8"/>
    <w:rsid w:val="0014758F"/>
    <w:rsid w:val="00147657"/>
    <w:rsid w:val="00150950"/>
    <w:rsid w:val="00151911"/>
    <w:rsid w:val="00152FD1"/>
    <w:rsid w:val="00154653"/>
    <w:rsid w:val="00154BA5"/>
    <w:rsid w:val="00154F1D"/>
    <w:rsid w:val="00155489"/>
    <w:rsid w:val="001555F4"/>
    <w:rsid w:val="00155F68"/>
    <w:rsid w:val="001560B5"/>
    <w:rsid w:val="00156169"/>
    <w:rsid w:val="001561C2"/>
    <w:rsid w:val="00156784"/>
    <w:rsid w:val="00157B21"/>
    <w:rsid w:val="00160DA1"/>
    <w:rsid w:val="00160DCD"/>
    <w:rsid w:val="001619E5"/>
    <w:rsid w:val="00161F81"/>
    <w:rsid w:val="00162485"/>
    <w:rsid w:val="00162A39"/>
    <w:rsid w:val="00162EF1"/>
    <w:rsid w:val="00163150"/>
    <w:rsid w:val="00163170"/>
    <w:rsid w:val="001633DE"/>
    <w:rsid w:val="00163525"/>
    <w:rsid w:val="00163BD5"/>
    <w:rsid w:val="001643EA"/>
    <w:rsid w:val="00164AD7"/>
    <w:rsid w:val="00164CC3"/>
    <w:rsid w:val="00164E07"/>
    <w:rsid w:val="00165FE5"/>
    <w:rsid w:val="0016650D"/>
    <w:rsid w:val="00166666"/>
    <w:rsid w:val="00166B1F"/>
    <w:rsid w:val="00167273"/>
    <w:rsid w:val="00167380"/>
    <w:rsid w:val="00167D19"/>
    <w:rsid w:val="00170646"/>
    <w:rsid w:val="00170C6E"/>
    <w:rsid w:val="001719C2"/>
    <w:rsid w:val="00172B75"/>
    <w:rsid w:val="00172F83"/>
    <w:rsid w:val="001731A9"/>
    <w:rsid w:val="001737BA"/>
    <w:rsid w:val="00173C60"/>
    <w:rsid w:val="001742EE"/>
    <w:rsid w:val="00174491"/>
    <w:rsid w:val="001761EA"/>
    <w:rsid w:val="0017693F"/>
    <w:rsid w:val="00176C58"/>
    <w:rsid w:val="00176EB7"/>
    <w:rsid w:val="00177159"/>
    <w:rsid w:val="001775C0"/>
    <w:rsid w:val="00177EA3"/>
    <w:rsid w:val="00177ED0"/>
    <w:rsid w:val="00180290"/>
    <w:rsid w:val="00181268"/>
    <w:rsid w:val="0018288C"/>
    <w:rsid w:val="00182C57"/>
    <w:rsid w:val="00183231"/>
    <w:rsid w:val="00183AB6"/>
    <w:rsid w:val="001841DC"/>
    <w:rsid w:val="00184652"/>
    <w:rsid w:val="00184B2C"/>
    <w:rsid w:val="00184D61"/>
    <w:rsid w:val="00185065"/>
    <w:rsid w:val="0018555A"/>
    <w:rsid w:val="00186017"/>
    <w:rsid w:val="001867E2"/>
    <w:rsid w:val="001873CC"/>
    <w:rsid w:val="0018767C"/>
    <w:rsid w:val="00187DDE"/>
    <w:rsid w:val="00190368"/>
    <w:rsid w:val="00190C56"/>
    <w:rsid w:val="00190C66"/>
    <w:rsid w:val="00190C73"/>
    <w:rsid w:val="00191774"/>
    <w:rsid w:val="00191CAB"/>
    <w:rsid w:val="00192839"/>
    <w:rsid w:val="001935BC"/>
    <w:rsid w:val="0019370F"/>
    <w:rsid w:val="001939FA"/>
    <w:rsid w:val="00194176"/>
    <w:rsid w:val="00194521"/>
    <w:rsid w:val="00194645"/>
    <w:rsid w:val="001948C7"/>
    <w:rsid w:val="00194C2F"/>
    <w:rsid w:val="001958C5"/>
    <w:rsid w:val="001961C6"/>
    <w:rsid w:val="00196B29"/>
    <w:rsid w:val="00197674"/>
    <w:rsid w:val="00197A27"/>
    <w:rsid w:val="001A0328"/>
    <w:rsid w:val="001A0DBD"/>
    <w:rsid w:val="001A1854"/>
    <w:rsid w:val="001A201F"/>
    <w:rsid w:val="001A2BC8"/>
    <w:rsid w:val="001A2BEB"/>
    <w:rsid w:val="001A2CC6"/>
    <w:rsid w:val="001A3D11"/>
    <w:rsid w:val="001A3DB4"/>
    <w:rsid w:val="001A441D"/>
    <w:rsid w:val="001A51C3"/>
    <w:rsid w:val="001A5DDD"/>
    <w:rsid w:val="001A5F2A"/>
    <w:rsid w:val="001A5F82"/>
    <w:rsid w:val="001A60EC"/>
    <w:rsid w:val="001A715E"/>
    <w:rsid w:val="001B08E3"/>
    <w:rsid w:val="001B0C07"/>
    <w:rsid w:val="001B0C2A"/>
    <w:rsid w:val="001B1287"/>
    <w:rsid w:val="001B1723"/>
    <w:rsid w:val="001B178D"/>
    <w:rsid w:val="001B2491"/>
    <w:rsid w:val="001B2658"/>
    <w:rsid w:val="001B2F27"/>
    <w:rsid w:val="001B3091"/>
    <w:rsid w:val="001B36C0"/>
    <w:rsid w:val="001B3DB9"/>
    <w:rsid w:val="001B4A5B"/>
    <w:rsid w:val="001B4FEF"/>
    <w:rsid w:val="001B5680"/>
    <w:rsid w:val="001B57D5"/>
    <w:rsid w:val="001B5A4B"/>
    <w:rsid w:val="001B5F45"/>
    <w:rsid w:val="001B6264"/>
    <w:rsid w:val="001B6ADC"/>
    <w:rsid w:val="001B7805"/>
    <w:rsid w:val="001C00E2"/>
    <w:rsid w:val="001C0A1C"/>
    <w:rsid w:val="001C126E"/>
    <w:rsid w:val="001C1CFB"/>
    <w:rsid w:val="001C20B4"/>
    <w:rsid w:val="001C31FF"/>
    <w:rsid w:val="001C37D6"/>
    <w:rsid w:val="001C3EDE"/>
    <w:rsid w:val="001C3FC2"/>
    <w:rsid w:val="001C45BA"/>
    <w:rsid w:val="001C664F"/>
    <w:rsid w:val="001C6FE1"/>
    <w:rsid w:val="001C72EB"/>
    <w:rsid w:val="001C7F77"/>
    <w:rsid w:val="001C7FA2"/>
    <w:rsid w:val="001D0C94"/>
    <w:rsid w:val="001D1DAD"/>
    <w:rsid w:val="001D1E48"/>
    <w:rsid w:val="001D2018"/>
    <w:rsid w:val="001D3237"/>
    <w:rsid w:val="001D356F"/>
    <w:rsid w:val="001D3640"/>
    <w:rsid w:val="001D3EFE"/>
    <w:rsid w:val="001D4759"/>
    <w:rsid w:val="001D4834"/>
    <w:rsid w:val="001D4D1C"/>
    <w:rsid w:val="001D55FF"/>
    <w:rsid w:val="001D623A"/>
    <w:rsid w:val="001D6605"/>
    <w:rsid w:val="001D795B"/>
    <w:rsid w:val="001D7C84"/>
    <w:rsid w:val="001E0846"/>
    <w:rsid w:val="001E0CE7"/>
    <w:rsid w:val="001E1BE0"/>
    <w:rsid w:val="001E1DDD"/>
    <w:rsid w:val="001E3AB7"/>
    <w:rsid w:val="001E3AC4"/>
    <w:rsid w:val="001E3E0B"/>
    <w:rsid w:val="001E5E39"/>
    <w:rsid w:val="001E6462"/>
    <w:rsid w:val="001E6B93"/>
    <w:rsid w:val="001E6F3E"/>
    <w:rsid w:val="001E739C"/>
    <w:rsid w:val="001E75B5"/>
    <w:rsid w:val="001F00BF"/>
    <w:rsid w:val="001F0249"/>
    <w:rsid w:val="001F0821"/>
    <w:rsid w:val="001F0F48"/>
    <w:rsid w:val="001F16D7"/>
    <w:rsid w:val="001F1FF5"/>
    <w:rsid w:val="001F209C"/>
    <w:rsid w:val="001F30A0"/>
    <w:rsid w:val="001F4375"/>
    <w:rsid w:val="001F5A8A"/>
    <w:rsid w:val="001F6601"/>
    <w:rsid w:val="001F7704"/>
    <w:rsid w:val="001F7A42"/>
    <w:rsid w:val="001F7CB0"/>
    <w:rsid w:val="0020006F"/>
    <w:rsid w:val="00200CB7"/>
    <w:rsid w:val="00200CC6"/>
    <w:rsid w:val="00200E00"/>
    <w:rsid w:val="00200EFC"/>
    <w:rsid w:val="00201F85"/>
    <w:rsid w:val="00201F92"/>
    <w:rsid w:val="00202823"/>
    <w:rsid w:val="00202A01"/>
    <w:rsid w:val="002031D7"/>
    <w:rsid w:val="00203391"/>
    <w:rsid w:val="00204A86"/>
    <w:rsid w:val="00204B8E"/>
    <w:rsid w:val="00204E8A"/>
    <w:rsid w:val="00205340"/>
    <w:rsid w:val="00205587"/>
    <w:rsid w:val="0020562C"/>
    <w:rsid w:val="002058A6"/>
    <w:rsid w:val="002058F0"/>
    <w:rsid w:val="00205CB1"/>
    <w:rsid w:val="00206076"/>
    <w:rsid w:val="00210209"/>
    <w:rsid w:val="0021161F"/>
    <w:rsid w:val="002125E5"/>
    <w:rsid w:val="002129EA"/>
    <w:rsid w:val="00213022"/>
    <w:rsid w:val="00213A35"/>
    <w:rsid w:val="00213C47"/>
    <w:rsid w:val="00216988"/>
    <w:rsid w:val="002174C3"/>
    <w:rsid w:val="00217B7D"/>
    <w:rsid w:val="00217C1F"/>
    <w:rsid w:val="00217C37"/>
    <w:rsid w:val="00220568"/>
    <w:rsid w:val="00220D42"/>
    <w:rsid w:val="00221582"/>
    <w:rsid w:val="00221C06"/>
    <w:rsid w:val="002223AB"/>
    <w:rsid w:val="002225B7"/>
    <w:rsid w:val="00222DDC"/>
    <w:rsid w:val="0022324A"/>
    <w:rsid w:val="00223C00"/>
    <w:rsid w:val="00223FC1"/>
    <w:rsid w:val="002244E8"/>
    <w:rsid w:val="002245D9"/>
    <w:rsid w:val="00224FA5"/>
    <w:rsid w:val="00225D75"/>
    <w:rsid w:val="00225E4A"/>
    <w:rsid w:val="0023012B"/>
    <w:rsid w:val="00231038"/>
    <w:rsid w:val="00231834"/>
    <w:rsid w:val="0023213C"/>
    <w:rsid w:val="00233BAF"/>
    <w:rsid w:val="0023413A"/>
    <w:rsid w:val="0023417D"/>
    <w:rsid w:val="00234D86"/>
    <w:rsid w:val="00235665"/>
    <w:rsid w:val="002360B7"/>
    <w:rsid w:val="002361EF"/>
    <w:rsid w:val="00236205"/>
    <w:rsid w:val="0023682D"/>
    <w:rsid w:val="00236CDB"/>
    <w:rsid w:val="002371C7"/>
    <w:rsid w:val="002377F2"/>
    <w:rsid w:val="00237B69"/>
    <w:rsid w:val="00237B78"/>
    <w:rsid w:val="00237FA7"/>
    <w:rsid w:val="00240570"/>
    <w:rsid w:val="00241CD7"/>
    <w:rsid w:val="00243422"/>
    <w:rsid w:val="0024402C"/>
    <w:rsid w:val="0024478B"/>
    <w:rsid w:val="00245284"/>
    <w:rsid w:val="0024546A"/>
    <w:rsid w:val="00245A89"/>
    <w:rsid w:val="002468E8"/>
    <w:rsid w:val="0024704A"/>
    <w:rsid w:val="00247137"/>
    <w:rsid w:val="00247DF9"/>
    <w:rsid w:val="00250089"/>
    <w:rsid w:val="00250524"/>
    <w:rsid w:val="002509B1"/>
    <w:rsid w:val="00250A9F"/>
    <w:rsid w:val="00250CA6"/>
    <w:rsid w:val="00251380"/>
    <w:rsid w:val="00252086"/>
    <w:rsid w:val="002522B3"/>
    <w:rsid w:val="00252E9B"/>
    <w:rsid w:val="002537C0"/>
    <w:rsid w:val="00253B1C"/>
    <w:rsid w:val="00253E8A"/>
    <w:rsid w:val="00255829"/>
    <w:rsid w:val="00255910"/>
    <w:rsid w:val="00255A08"/>
    <w:rsid w:val="00255E08"/>
    <w:rsid w:val="0025639D"/>
    <w:rsid w:val="00256701"/>
    <w:rsid w:val="00256B27"/>
    <w:rsid w:val="002601BE"/>
    <w:rsid w:val="002614FB"/>
    <w:rsid w:val="00261834"/>
    <w:rsid w:val="00261BC9"/>
    <w:rsid w:val="002623AD"/>
    <w:rsid w:val="002628AE"/>
    <w:rsid w:val="00262C7A"/>
    <w:rsid w:val="00263FDE"/>
    <w:rsid w:val="00264F92"/>
    <w:rsid w:val="002663DE"/>
    <w:rsid w:val="002666AB"/>
    <w:rsid w:val="002670AB"/>
    <w:rsid w:val="00267BC1"/>
    <w:rsid w:val="00267FD6"/>
    <w:rsid w:val="00270333"/>
    <w:rsid w:val="00271097"/>
    <w:rsid w:val="00271298"/>
    <w:rsid w:val="002713DF"/>
    <w:rsid w:val="002719AF"/>
    <w:rsid w:val="00271B68"/>
    <w:rsid w:val="00271FF5"/>
    <w:rsid w:val="002721D8"/>
    <w:rsid w:val="002729A6"/>
    <w:rsid w:val="00273992"/>
    <w:rsid w:val="00274428"/>
    <w:rsid w:val="00274BFD"/>
    <w:rsid w:val="00274D7F"/>
    <w:rsid w:val="00274F14"/>
    <w:rsid w:val="002752C4"/>
    <w:rsid w:val="002758C1"/>
    <w:rsid w:val="00275D48"/>
    <w:rsid w:val="00275FAA"/>
    <w:rsid w:val="00276743"/>
    <w:rsid w:val="0027709F"/>
    <w:rsid w:val="0027751B"/>
    <w:rsid w:val="002776C6"/>
    <w:rsid w:val="00277972"/>
    <w:rsid w:val="002779C4"/>
    <w:rsid w:val="00280D6F"/>
    <w:rsid w:val="002815F2"/>
    <w:rsid w:val="00281765"/>
    <w:rsid w:val="002817C9"/>
    <w:rsid w:val="00282579"/>
    <w:rsid w:val="00282FDC"/>
    <w:rsid w:val="00283520"/>
    <w:rsid w:val="00284239"/>
    <w:rsid w:val="0028428D"/>
    <w:rsid w:val="00284AFF"/>
    <w:rsid w:val="002850C7"/>
    <w:rsid w:val="002856BC"/>
    <w:rsid w:val="002857B7"/>
    <w:rsid w:val="00286C5F"/>
    <w:rsid w:val="00286F26"/>
    <w:rsid w:val="00287224"/>
    <w:rsid w:val="002877B3"/>
    <w:rsid w:val="00290056"/>
    <w:rsid w:val="00290060"/>
    <w:rsid w:val="00290482"/>
    <w:rsid w:val="002909D3"/>
    <w:rsid w:val="00291538"/>
    <w:rsid w:val="0029170F"/>
    <w:rsid w:val="00291D4E"/>
    <w:rsid w:val="0029241E"/>
    <w:rsid w:val="0029299A"/>
    <w:rsid w:val="00292E46"/>
    <w:rsid w:val="002931FB"/>
    <w:rsid w:val="00293585"/>
    <w:rsid w:val="002944E0"/>
    <w:rsid w:val="00294815"/>
    <w:rsid w:val="00294B01"/>
    <w:rsid w:val="00294F2C"/>
    <w:rsid w:val="00295020"/>
    <w:rsid w:val="00295315"/>
    <w:rsid w:val="00295425"/>
    <w:rsid w:val="00295D38"/>
    <w:rsid w:val="0029622E"/>
    <w:rsid w:val="00296411"/>
    <w:rsid w:val="00296B0B"/>
    <w:rsid w:val="00297459"/>
    <w:rsid w:val="002A02AF"/>
    <w:rsid w:val="002A0BB2"/>
    <w:rsid w:val="002A0EED"/>
    <w:rsid w:val="002A18EC"/>
    <w:rsid w:val="002A2A46"/>
    <w:rsid w:val="002A2C4A"/>
    <w:rsid w:val="002A3D4C"/>
    <w:rsid w:val="002A4115"/>
    <w:rsid w:val="002A437C"/>
    <w:rsid w:val="002A53F7"/>
    <w:rsid w:val="002A5474"/>
    <w:rsid w:val="002A5810"/>
    <w:rsid w:val="002A6047"/>
    <w:rsid w:val="002A6C44"/>
    <w:rsid w:val="002A70E7"/>
    <w:rsid w:val="002A7196"/>
    <w:rsid w:val="002A72CC"/>
    <w:rsid w:val="002A7F58"/>
    <w:rsid w:val="002B0397"/>
    <w:rsid w:val="002B0FFB"/>
    <w:rsid w:val="002B125D"/>
    <w:rsid w:val="002B1505"/>
    <w:rsid w:val="002B1718"/>
    <w:rsid w:val="002B2647"/>
    <w:rsid w:val="002B2EF9"/>
    <w:rsid w:val="002B3A07"/>
    <w:rsid w:val="002B3F40"/>
    <w:rsid w:val="002B4454"/>
    <w:rsid w:val="002B4AB8"/>
    <w:rsid w:val="002B5044"/>
    <w:rsid w:val="002B52BA"/>
    <w:rsid w:val="002B53B5"/>
    <w:rsid w:val="002B5789"/>
    <w:rsid w:val="002B581C"/>
    <w:rsid w:val="002B6666"/>
    <w:rsid w:val="002B6AAF"/>
    <w:rsid w:val="002B716B"/>
    <w:rsid w:val="002B74B0"/>
    <w:rsid w:val="002C0411"/>
    <w:rsid w:val="002C1234"/>
    <w:rsid w:val="002C1F1C"/>
    <w:rsid w:val="002C25EB"/>
    <w:rsid w:val="002C2DF5"/>
    <w:rsid w:val="002C3259"/>
    <w:rsid w:val="002C3A8E"/>
    <w:rsid w:val="002C3A99"/>
    <w:rsid w:val="002C3E00"/>
    <w:rsid w:val="002C4072"/>
    <w:rsid w:val="002C4E2B"/>
    <w:rsid w:val="002C5150"/>
    <w:rsid w:val="002C528E"/>
    <w:rsid w:val="002C545D"/>
    <w:rsid w:val="002C684D"/>
    <w:rsid w:val="002C72C2"/>
    <w:rsid w:val="002C7C3E"/>
    <w:rsid w:val="002D0217"/>
    <w:rsid w:val="002D0494"/>
    <w:rsid w:val="002D0688"/>
    <w:rsid w:val="002D0A94"/>
    <w:rsid w:val="002D1A7B"/>
    <w:rsid w:val="002D1D0E"/>
    <w:rsid w:val="002D275D"/>
    <w:rsid w:val="002D2C97"/>
    <w:rsid w:val="002D4472"/>
    <w:rsid w:val="002D463A"/>
    <w:rsid w:val="002D4A7C"/>
    <w:rsid w:val="002D5163"/>
    <w:rsid w:val="002D6061"/>
    <w:rsid w:val="002D641D"/>
    <w:rsid w:val="002D6EF4"/>
    <w:rsid w:val="002D7597"/>
    <w:rsid w:val="002E04E6"/>
    <w:rsid w:val="002E0644"/>
    <w:rsid w:val="002E1D09"/>
    <w:rsid w:val="002E27CC"/>
    <w:rsid w:val="002E28BB"/>
    <w:rsid w:val="002E3284"/>
    <w:rsid w:val="002E3836"/>
    <w:rsid w:val="002E3EE0"/>
    <w:rsid w:val="002E4121"/>
    <w:rsid w:val="002E44D3"/>
    <w:rsid w:val="002E482B"/>
    <w:rsid w:val="002E4A58"/>
    <w:rsid w:val="002E4BAD"/>
    <w:rsid w:val="002E5103"/>
    <w:rsid w:val="002E515E"/>
    <w:rsid w:val="002E6376"/>
    <w:rsid w:val="002E640A"/>
    <w:rsid w:val="002E6CC0"/>
    <w:rsid w:val="002E6FC3"/>
    <w:rsid w:val="002E76E1"/>
    <w:rsid w:val="002F069D"/>
    <w:rsid w:val="002F11D9"/>
    <w:rsid w:val="002F15A1"/>
    <w:rsid w:val="002F171A"/>
    <w:rsid w:val="002F1DB5"/>
    <w:rsid w:val="002F21EF"/>
    <w:rsid w:val="002F3221"/>
    <w:rsid w:val="002F33F6"/>
    <w:rsid w:val="002F38D6"/>
    <w:rsid w:val="002F47F4"/>
    <w:rsid w:val="002F4AEB"/>
    <w:rsid w:val="002F5287"/>
    <w:rsid w:val="002F541F"/>
    <w:rsid w:val="002F561E"/>
    <w:rsid w:val="002F584A"/>
    <w:rsid w:val="002F5921"/>
    <w:rsid w:val="002F7A9C"/>
    <w:rsid w:val="002F7EA6"/>
    <w:rsid w:val="00300735"/>
    <w:rsid w:val="00300B44"/>
    <w:rsid w:val="003030D0"/>
    <w:rsid w:val="00303926"/>
    <w:rsid w:val="00303CE4"/>
    <w:rsid w:val="0030437E"/>
    <w:rsid w:val="00304581"/>
    <w:rsid w:val="003045B7"/>
    <w:rsid w:val="00304FFE"/>
    <w:rsid w:val="00305BE1"/>
    <w:rsid w:val="00305EFE"/>
    <w:rsid w:val="00306233"/>
    <w:rsid w:val="00306716"/>
    <w:rsid w:val="00306C43"/>
    <w:rsid w:val="00306C9F"/>
    <w:rsid w:val="003070D1"/>
    <w:rsid w:val="00307538"/>
    <w:rsid w:val="0031025E"/>
    <w:rsid w:val="00310C1C"/>
    <w:rsid w:val="00311BAD"/>
    <w:rsid w:val="00311D47"/>
    <w:rsid w:val="003120E9"/>
    <w:rsid w:val="00312C27"/>
    <w:rsid w:val="00313124"/>
    <w:rsid w:val="00313BA5"/>
    <w:rsid w:val="00314049"/>
    <w:rsid w:val="0031412F"/>
    <w:rsid w:val="00314444"/>
    <w:rsid w:val="00314D9A"/>
    <w:rsid w:val="00314E56"/>
    <w:rsid w:val="00314FC6"/>
    <w:rsid w:val="0031572A"/>
    <w:rsid w:val="00316BC8"/>
    <w:rsid w:val="0031718F"/>
    <w:rsid w:val="003173D8"/>
    <w:rsid w:val="0031749B"/>
    <w:rsid w:val="00317613"/>
    <w:rsid w:val="00320035"/>
    <w:rsid w:val="003206C8"/>
    <w:rsid w:val="00321FB3"/>
    <w:rsid w:val="003223C4"/>
    <w:rsid w:val="003228A4"/>
    <w:rsid w:val="00323BB4"/>
    <w:rsid w:val="00323DB2"/>
    <w:rsid w:val="00324CA4"/>
    <w:rsid w:val="0032543E"/>
    <w:rsid w:val="003261B3"/>
    <w:rsid w:val="003263A0"/>
    <w:rsid w:val="003270C9"/>
    <w:rsid w:val="00330CB6"/>
    <w:rsid w:val="00330D52"/>
    <w:rsid w:val="0033189D"/>
    <w:rsid w:val="0033206C"/>
    <w:rsid w:val="003322C6"/>
    <w:rsid w:val="003327CD"/>
    <w:rsid w:val="0033361B"/>
    <w:rsid w:val="00334DA6"/>
    <w:rsid w:val="003352A7"/>
    <w:rsid w:val="00335584"/>
    <w:rsid w:val="003359FA"/>
    <w:rsid w:val="00335C8B"/>
    <w:rsid w:val="00335E37"/>
    <w:rsid w:val="00336C79"/>
    <w:rsid w:val="00336F26"/>
    <w:rsid w:val="00337601"/>
    <w:rsid w:val="00337D36"/>
    <w:rsid w:val="00340E08"/>
    <w:rsid w:val="00340F67"/>
    <w:rsid w:val="00340F8D"/>
    <w:rsid w:val="003423B5"/>
    <w:rsid w:val="00342963"/>
    <w:rsid w:val="00342BA8"/>
    <w:rsid w:val="00342D80"/>
    <w:rsid w:val="00344D9A"/>
    <w:rsid w:val="00345013"/>
    <w:rsid w:val="0034515B"/>
    <w:rsid w:val="0034561B"/>
    <w:rsid w:val="00345F7D"/>
    <w:rsid w:val="003460C9"/>
    <w:rsid w:val="0034621C"/>
    <w:rsid w:val="00346DE9"/>
    <w:rsid w:val="00346E01"/>
    <w:rsid w:val="00350161"/>
    <w:rsid w:val="003501A6"/>
    <w:rsid w:val="003502C6"/>
    <w:rsid w:val="00350B61"/>
    <w:rsid w:val="00350E2D"/>
    <w:rsid w:val="00351DE6"/>
    <w:rsid w:val="00352640"/>
    <w:rsid w:val="00352B46"/>
    <w:rsid w:val="00352E49"/>
    <w:rsid w:val="00353126"/>
    <w:rsid w:val="0035344E"/>
    <w:rsid w:val="003534C6"/>
    <w:rsid w:val="0035366C"/>
    <w:rsid w:val="003537BE"/>
    <w:rsid w:val="003539EB"/>
    <w:rsid w:val="00354FF9"/>
    <w:rsid w:val="00355CAA"/>
    <w:rsid w:val="003565CE"/>
    <w:rsid w:val="0035660C"/>
    <w:rsid w:val="00356957"/>
    <w:rsid w:val="00356BEF"/>
    <w:rsid w:val="00357994"/>
    <w:rsid w:val="00357F66"/>
    <w:rsid w:val="00360EEC"/>
    <w:rsid w:val="00361816"/>
    <w:rsid w:val="00362296"/>
    <w:rsid w:val="003624B3"/>
    <w:rsid w:val="003624D8"/>
    <w:rsid w:val="0036264B"/>
    <w:rsid w:val="003629FB"/>
    <w:rsid w:val="00363E0E"/>
    <w:rsid w:val="003643B8"/>
    <w:rsid w:val="00364F65"/>
    <w:rsid w:val="003652B9"/>
    <w:rsid w:val="00365CFC"/>
    <w:rsid w:val="00365D99"/>
    <w:rsid w:val="003710CA"/>
    <w:rsid w:val="003710D5"/>
    <w:rsid w:val="003711D6"/>
    <w:rsid w:val="003711EE"/>
    <w:rsid w:val="00371767"/>
    <w:rsid w:val="00371DF4"/>
    <w:rsid w:val="00372E85"/>
    <w:rsid w:val="003732FE"/>
    <w:rsid w:val="00374273"/>
    <w:rsid w:val="0037478B"/>
    <w:rsid w:val="003747BB"/>
    <w:rsid w:val="003754C6"/>
    <w:rsid w:val="00375C8F"/>
    <w:rsid w:val="00375E4A"/>
    <w:rsid w:val="0037607A"/>
    <w:rsid w:val="00380317"/>
    <w:rsid w:val="003814BF"/>
    <w:rsid w:val="003815C8"/>
    <w:rsid w:val="00381F9A"/>
    <w:rsid w:val="003820E9"/>
    <w:rsid w:val="0038210D"/>
    <w:rsid w:val="003823AC"/>
    <w:rsid w:val="003824B3"/>
    <w:rsid w:val="003825E1"/>
    <w:rsid w:val="00384262"/>
    <w:rsid w:val="00384337"/>
    <w:rsid w:val="00384673"/>
    <w:rsid w:val="00384C83"/>
    <w:rsid w:val="00384CFC"/>
    <w:rsid w:val="00384FEF"/>
    <w:rsid w:val="0038527C"/>
    <w:rsid w:val="00386531"/>
    <w:rsid w:val="00387106"/>
    <w:rsid w:val="0038740A"/>
    <w:rsid w:val="00387EC7"/>
    <w:rsid w:val="003904F2"/>
    <w:rsid w:val="0039071B"/>
    <w:rsid w:val="00390D24"/>
    <w:rsid w:val="00391BFD"/>
    <w:rsid w:val="00391C61"/>
    <w:rsid w:val="003938B2"/>
    <w:rsid w:val="00393B2D"/>
    <w:rsid w:val="00394390"/>
    <w:rsid w:val="003946CB"/>
    <w:rsid w:val="0039505C"/>
    <w:rsid w:val="00395604"/>
    <w:rsid w:val="00395944"/>
    <w:rsid w:val="00395ECB"/>
    <w:rsid w:val="00396D12"/>
    <w:rsid w:val="00397414"/>
    <w:rsid w:val="00397584"/>
    <w:rsid w:val="00397F0F"/>
    <w:rsid w:val="003A0250"/>
    <w:rsid w:val="003A0388"/>
    <w:rsid w:val="003A0E47"/>
    <w:rsid w:val="003A0EBC"/>
    <w:rsid w:val="003A1ACA"/>
    <w:rsid w:val="003A1F7E"/>
    <w:rsid w:val="003A3915"/>
    <w:rsid w:val="003A3E29"/>
    <w:rsid w:val="003A4AC2"/>
    <w:rsid w:val="003A4F54"/>
    <w:rsid w:val="003A51E6"/>
    <w:rsid w:val="003A545A"/>
    <w:rsid w:val="003A555E"/>
    <w:rsid w:val="003A56C1"/>
    <w:rsid w:val="003A5D21"/>
    <w:rsid w:val="003A6928"/>
    <w:rsid w:val="003A75B2"/>
    <w:rsid w:val="003A7F6C"/>
    <w:rsid w:val="003B0544"/>
    <w:rsid w:val="003B069F"/>
    <w:rsid w:val="003B094B"/>
    <w:rsid w:val="003B0AB2"/>
    <w:rsid w:val="003B0EEE"/>
    <w:rsid w:val="003B15CA"/>
    <w:rsid w:val="003B1614"/>
    <w:rsid w:val="003B1A72"/>
    <w:rsid w:val="003B215C"/>
    <w:rsid w:val="003B233F"/>
    <w:rsid w:val="003B2F93"/>
    <w:rsid w:val="003B31B1"/>
    <w:rsid w:val="003B34F1"/>
    <w:rsid w:val="003B3ABD"/>
    <w:rsid w:val="003B3D6C"/>
    <w:rsid w:val="003B4AF4"/>
    <w:rsid w:val="003B5E0D"/>
    <w:rsid w:val="003B5E26"/>
    <w:rsid w:val="003B6AD3"/>
    <w:rsid w:val="003B6B17"/>
    <w:rsid w:val="003B6EAF"/>
    <w:rsid w:val="003B7063"/>
    <w:rsid w:val="003B7AA6"/>
    <w:rsid w:val="003B7AE4"/>
    <w:rsid w:val="003B7FB8"/>
    <w:rsid w:val="003C0922"/>
    <w:rsid w:val="003C127C"/>
    <w:rsid w:val="003C1F28"/>
    <w:rsid w:val="003C1FD8"/>
    <w:rsid w:val="003C4082"/>
    <w:rsid w:val="003C4F57"/>
    <w:rsid w:val="003C5124"/>
    <w:rsid w:val="003C5213"/>
    <w:rsid w:val="003C560A"/>
    <w:rsid w:val="003C6660"/>
    <w:rsid w:val="003C6A77"/>
    <w:rsid w:val="003C6BC9"/>
    <w:rsid w:val="003D12C6"/>
    <w:rsid w:val="003D1C99"/>
    <w:rsid w:val="003D21FF"/>
    <w:rsid w:val="003D2711"/>
    <w:rsid w:val="003D2909"/>
    <w:rsid w:val="003D2BCE"/>
    <w:rsid w:val="003D30B1"/>
    <w:rsid w:val="003D34C9"/>
    <w:rsid w:val="003D3E4C"/>
    <w:rsid w:val="003D45D2"/>
    <w:rsid w:val="003D58B9"/>
    <w:rsid w:val="003D5C5D"/>
    <w:rsid w:val="003D65A2"/>
    <w:rsid w:val="003D6B7C"/>
    <w:rsid w:val="003D765E"/>
    <w:rsid w:val="003D7690"/>
    <w:rsid w:val="003D7DE2"/>
    <w:rsid w:val="003E057D"/>
    <w:rsid w:val="003E0699"/>
    <w:rsid w:val="003E0E16"/>
    <w:rsid w:val="003E0ED9"/>
    <w:rsid w:val="003E10C5"/>
    <w:rsid w:val="003E18F0"/>
    <w:rsid w:val="003E21E6"/>
    <w:rsid w:val="003E21FB"/>
    <w:rsid w:val="003E3834"/>
    <w:rsid w:val="003E385B"/>
    <w:rsid w:val="003E425F"/>
    <w:rsid w:val="003E4947"/>
    <w:rsid w:val="003E4C0B"/>
    <w:rsid w:val="003E4C43"/>
    <w:rsid w:val="003E501B"/>
    <w:rsid w:val="003E5E12"/>
    <w:rsid w:val="003E71ED"/>
    <w:rsid w:val="003E7CFB"/>
    <w:rsid w:val="003F02E0"/>
    <w:rsid w:val="003F14DB"/>
    <w:rsid w:val="003F1B8F"/>
    <w:rsid w:val="003F1B95"/>
    <w:rsid w:val="003F2389"/>
    <w:rsid w:val="003F40DC"/>
    <w:rsid w:val="003F414F"/>
    <w:rsid w:val="003F47B4"/>
    <w:rsid w:val="003F4DA0"/>
    <w:rsid w:val="003F667C"/>
    <w:rsid w:val="003F6E00"/>
    <w:rsid w:val="003F70F7"/>
    <w:rsid w:val="003F7E04"/>
    <w:rsid w:val="004019C8"/>
    <w:rsid w:val="004028DA"/>
    <w:rsid w:val="004030F1"/>
    <w:rsid w:val="00403A46"/>
    <w:rsid w:val="00404D75"/>
    <w:rsid w:val="00405406"/>
    <w:rsid w:val="00406B20"/>
    <w:rsid w:val="00406B48"/>
    <w:rsid w:val="00407573"/>
    <w:rsid w:val="004078AC"/>
    <w:rsid w:val="00407CEC"/>
    <w:rsid w:val="00410A12"/>
    <w:rsid w:val="00410CBA"/>
    <w:rsid w:val="00411253"/>
    <w:rsid w:val="00411331"/>
    <w:rsid w:val="004114A9"/>
    <w:rsid w:val="004121E9"/>
    <w:rsid w:val="00412E9A"/>
    <w:rsid w:val="004133B7"/>
    <w:rsid w:val="00413574"/>
    <w:rsid w:val="00413F7D"/>
    <w:rsid w:val="00414631"/>
    <w:rsid w:val="004147BA"/>
    <w:rsid w:val="004147CB"/>
    <w:rsid w:val="00414F9D"/>
    <w:rsid w:val="004151E6"/>
    <w:rsid w:val="00415939"/>
    <w:rsid w:val="00416C2F"/>
    <w:rsid w:val="0041716E"/>
    <w:rsid w:val="00417E0C"/>
    <w:rsid w:val="00417E66"/>
    <w:rsid w:val="0042002A"/>
    <w:rsid w:val="00420D47"/>
    <w:rsid w:val="00420E0B"/>
    <w:rsid w:val="00420E13"/>
    <w:rsid w:val="00420FC6"/>
    <w:rsid w:val="00421312"/>
    <w:rsid w:val="00421948"/>
    <w:rsid w:val="00421B35"/>
    <w:rsid w:val="00421CE7"/>
    <w:rsid w:val="004229A2"/>
    <w:rsid w:val="004230AD"/>
    <w:rsid w:val="0042381C"/>
    <w:rsid w:val="00423EF7"/>
    <w:rsid w:val="004243B4"/>
    <w:rsid w:val="004243DB"/>
    <w:rsid w:val="00424D38"/>
    <w:rsid w:val="00424F53"/>
    <w:rsid w:val="00425488"/>
    <w:rsid w:val="0042596D"/>
    <w:rsid w:val="00425D95"/>
    <w:rsid w:val="00426744"/>
    <w:rsid w:val="00426AC7"/>
    <w:rsid w:val="00426BAF"/>
    <w:rsid w:val="004271C7"/>
    <w:rsid w:val="00427C21"/>
    <w:rsid w:val="00427FE8"/>
    <w:rsid w:val="00430148"/>
    <w:rsid w:val="0043074C"/>
    <w:rsid w:val="00431D74"/>
    <w:rsid w:val="0043341C"/>
    <w:rsid w:val="00433498"/>
    <w:rsid w:val="00435204"/>
    <w:rsid w:val="0043540C"/>
    <w:rsid w:val="0043560F"/>
    <w:rsid w:val="00435BA1"/>
    <w:rsid w:val="00435E77"/>
    <w:rsid w:val="00435ECD"/>
    <w:rsid w:val="0043614C"/>
    <w:rsid w:val="00436904"/>
    <w:rsid w:val="00437129"/>
    <w:rsid w:val="004371C3"/>
    <w:rsid w:val="004403ED"/>
    <w:rsid w:val="004405C1"/>
    <w:rsid w:val="00440AAA"/>
    <w:rsid w:val="00440E32"/>
    <w:rsid w:val="00440EF6"/>
    <w:rsid w:val="00441982"/>
    <w:rsid w:val="0044239A"/>
    <w:rsid w:val="004427C8"/>
    <w:rsid w:val="00442FD0"/>
    <w:rsid w:val="00443183"/>
    <w:rsid w:val="00444510"/>
    <w:rsid w:val="00444857"/>
    <w:rsid w:val="0044488D"/>
    <w:rsid w:val="00444890"/>
    <w:rsid w:val="00445018"/>
    <w:rsid w:val="004451F5"/>
    <w:rsid w:val="004457A5"/>
    <w:rsid w:val="00445A83"/>
    <w:rsid w:val="00445AC1"/>
    <w:rsid w:val="00445C71"/>
    <w:rsid w:val="00446A17"/>
    <w:rsid w:val="00446A5B"/>
    <w:rsid w:val="00446E94"/>
    <w:rsid w:val="0044709E"/>
    <w:rsid w:val="00447A5F"/>
    <w:rsid w:val="00450D56"/>
    <w:rsid w:val="004511D3"/>
    <w:rsid w:val="0045207D"/>
    <w:rsid w:val="0045284A"/>
    <w:rsid w:val="00452AE1"/>
    <w:rsid w:val="00454110"/>
    <w:rsid w:val="00454659"/>
    <w:rsid w:val="00454F69"/>
    <w:rsid w:val="0045518E"/>
    <w:rsid w:val="0045523F"/>
    <w:rsid w:val="004569C9"/>
    <w:rsid w:val="00457299"/>
    <w:rsid w:val="004578F0"/>
    <w:rsid w:val="00457921"/>
    <w:rsid w:val="00460AEB"/>
    <w:rsid w:val="00460D34"/>
    <w:rsid w:val="00460E2B"/>
    <w:rsid w:val="004610AF"/>
    <w:rsid w:val="004619C7"/>
    <w:rsid w:val="004622F2"/>
    <w:rsid w:val="0046363D"/>
    <w:rsid w:val="00464354"/>
    <w:rsid w:val="004647EF"/>
    <w:rsid w:val="0046509E"/>
    <w:rsid w:val="00465183"/>
    <w:rsid w:val="00465957"/>
    <w:rsid w:val="00465D3A"/>
    <w:rsid w:val="00466622"/>
    <w:rsid w:val="00466F48"/>
    <w:rsid w:val="00467274"/>
    <w:rsid w:val="0046741D"/>
    <w:rsid w:val="004676DF"/>
    <w:rsid w:val="004702CA"/>
    <w:rsid w:val="00470464"/>
    <w:rsid w:val="004716DE"/>
    <w:rsid w:val="004718B4"/>
    <w:rsid w:val="00471932"/>
    <w:rsid w:val="00471CAF"/>
    <w:rsid w:val="0047236B"/>
    <w:rsid w:val="00472543"/>
    <w:rsid w:val="00472E3A"/>
    <w:rsid w:val="0047375A"/>
    <w:rsid w:val="00473AF2"/>
    <w:rsid w:val="00473E40"/>
    <w:rsid w:val="00474A71"/>
    <w:rsid w:val="004751A1"/>
    <w:rsid w:val="00475E2F"/>
    <w:rsid w:val="00476214"/>
    <w:rsid w:val="00476B0D"/>
    <w:rsid w:val="0047789D"/>
    <w:rsid w:val="00477D08"/>
    <w:rsid w:val="00480043"/>
    <w:rsid w:val="00481E2C"/>
    <w:rsid w:val="00482B76"/>
    <w:rsid w:val="004835D1"/>
    <w:rsid w:val="0048398D"/>
    <w:rsid w:val="00483DBF"/>
    <w:rsid w:val="00484526"/>
    <w:rsid w:val="004847DA"/>
    <w:rsid w:val="00485428"/>
    <w:rsid w:val="00485B27"/>
    <w:rsid w:val="004870EC"/>
    <w:rsid w:val="004901A2"/>
    <w:rsid w:val="0049063E"/>
    <w:rsid w:val="00491732"/>
    <w:rsid w:val="00491910"/>
    <w:rsid w:val="00491ACB"/>
    <w:rsid w:val="00491C90"/>
    <w:rsid w:val="00492033"/>
    <w:rsid w:val="004929F0"/>
    <w:rsid w:val="004929F7"/>
    <w:rsid w:val="00492E13"/>
    <w:rsid w:val="00493548"/>
    <w:rsid w:val="004937FE"/>
    <w:rsid w:val="004946BA"/>
    <w:rsid w:val="00494740"/>
    <w:rsid w:val="004948A8"/>
    <w:rsid w:val="00494BB4"/>
    <w:rsid w:val="00496316"/>
    <w:rsid w:val="00496440"/>
    <w:rsid w:val="004968CA"/>
    <w:rsid w:val="00496A67"/>
    <w:rsid w:val="00496AAB"/>
    <w:rsid w:val="00496B0B"/>
    <w:rsid w:val="00496D5B"/>
    <w:rsid w:val="004A0831"/>
    <w:rsid w:val="004A1B22"/>
    <w:rsid w:val="004A1D2A"/>
    <w:rsid w:val="004A25CA"/>
    <w:rsid w:val="004A4294"/>
    <w:rsid w:val="004A43CD"/>
    <w:rsid w:val="004A46D2"/>
    <w:rsid w:val="004A5777"/>
    <w:rsid w:val="004A581C"/>
    <w:rsid w:val="004A5F55"/>
    <w:rsid w:val="004A65D2"/>
    <w:rsid w:val="004A69F7"/>
    <w:rsid w:val="004A7C3D"/>
    <w:rsid w:val="004A7E9A"/>
    <w:rsid w:val="004B00EB"/>
    <w:rsid w:val="004B0A87"/>
    <w:rsid w:val="004B245A"/>
    <w:rsid w:val="004B2E87"/>
    <w:rsid w:val="004B38C3"/>
    <w:rsid w:val="004B4948"/>
    <w:rsid w:val="004B53E7"/>
    <w:rsid w:val="004B5662"/>
    <w:rsid w:val="004B5E4B"/>
    <w:rsid w:val="004B5E9F"/>
    <w:rsid w:val="004B6482"/>
    <w:rsid w:val="004B659F"/>
    <w:rsid w:val="004B6B49"/>
    <w:rsid w:val="004B75E4"/>
    <w:rsid w:val="004B76DF"/>
    <w:rsid w:val="004B791B"/>
    <w:rsid w:val="004C039D"/>
    <w:rsid w:val="004C2365"/>
    <w:rsid w:val="004C35E5"/>
    <w:rsid w:val="004C37A3"/>
    <w:rsid w:val="004C3928"/>
    <w:rsid w:val="004C4DD6"/>
    <w:rsid w:val="004C5D3F"/>
    <w:rsid w:val="004C5EE0"/>
    <w:rsid w:val="004C6180"/>
    <w:rsid w:val="004C637B"/>
    <w:rsid w:val="004C6417"/>
    <w:rsid w:val="004C6DBB"/>
    <w:rsid w:val="004C6E85"/>
    <w:rsid w:val="004C77DA"/>
    <w:rsid w:val="004D02A0"/>
    <w:rsid w:val="004D2B60"/>
    <w:rsid w:val="004D2D6E"/>
    <w:rsid w:val="004D369E"/>
    <w:rsid w:val="004D3B53"/>
    <w:rsid w:val="004D3F91"/>
    <w:rsid w:val="004D4A9A"/>
    <w:rsid w:val="004D4AB8"/>
    <w:rsid w:val="004D5135"/>
    <w:rsid w:val="004D54CA"/>
    <w:rsid w:val="004D57E9"/>
    <w:rsid w:val="004D60E2"/>
    <w:rsid w:val="004D623C"/>
    <w:rsid w:val="004D6A5C"/>
    <w:rsid w:val="004D6E08"/>
    <w:rsid w:val="004D6E4F"/>
    <w:rsid w:val="004D70D3"/>
    <w:rsid w:val="004D71CE"/>
    <w:rsid w:val="004D7C3F"/>
    <w:rsid w:val="004D7D44"/>
    <w:rsid w:val="004E0C1D"/>
    <w:rsid w:val="004E1C69"/>
    <w:rsid w:val="004E1DF5"/>
    <w:rsid w:val="004E1F1B"/>
    <w:rsid w:val="004E24E9"/>
    <w:rsid w:val="004E2849"/>
    <w:rsid w:val="004E37EB"/>
    <w:rsid w:val="004E46A0"/>
    <w:rsid w:val="004E4DAF"/>
    <w:rsid w:val="004E56E8"/>
    <w:rsid w:val="004E661A"/>
    <w:rsid w:val="004F03E6"/>
    <w:rsid w:val="004F08E1"/>
    <w:rsid w:val="004F12AB"/>
    <w:rsid w:val="004F1A2B"/>
    <w:rsid w:val="004F211D"/>
    <w:rsid w:val="004F310D"/>
    <w:rsid w:val="004F31D6"/>
    <w:rsid w:val="004F31EC"/>
    <w:rsid w:val="004F4274"/>
    <w:rsid w:val="004F455C"/>
    <w:rsid w:val="004F4F20"/>
    <w:rsid w:val="004F5ED9"/>
    <w:rsid w:val="004F6B8F"/>
    <w:rsid w:val="004F6E29"/>
    <w:rsid w:val="004F7738"/>
    <w:rsid w:val="004F7990"/>
    <w:rsid w:val="005001C3"/>
    <w:rsid w:val="00500787"/>
    <w:rsid w:val="00501A1E"/>
    <w:rsid w:val="005022E2"/>
    <w:rsid w:val="00502A0B"/>
    <w:rsid w:val="00502A9E"/>
    <w:rsid w:val="005037A5"/>
    <w:rsid w:val="0050446D"/>
    <w:rsid w:val="005044C7"/>
    <w:rsid w:val="005047F3"/>
    <w:rsid w:val="00504DA7"/>
    <w:rsid w:val="0050574D"/>
    <w:rsid w:val="00505797"/>
    <w:rsid w:val="0050686E"/>
    <w:rsid w:val="00506BA3"/>
    <w:rsid w:val="0050729B"/>
    <w:rsid w:val="00507ECB"/>
    <w:rsid w:val="00510D61"/>
    <w:rsid w:val="00511B97"/>
    <w:rsid w:val="00512D7E"/>
    <w:rsid w:val="005135A6"/>
    <w:rsid w:val="00513943"/>
    <w:rsid w:val="005140EB"/>
    <w:rsid w:val="005147BC"/>
    <w:rsid w:val="005149F6"/>
    <w:rsid w:val="00514E01"/>
    <w:rsid w:val="005154AF"/>
    <w:rsid w:val="00515536"/>
    <w:rsid w:val="00515565"/>
    <w:rsid w:val="005158FA"/>
    <w:rsid w:val="00515AA1"/>
    <w:rsid w:val="00515C47"/>
    <w:rsid w:val="00515D1E"/>
    <w:rsid w:val="00516536"/>
    <w:rsid w:val="005168F7"/>
    <w:rsid w:val="00516931"/>
    <w:rsid w:val="00517187"/>
    <w:rsid w:val="00517FF4"/>
    <w:rsid w:val="00520DA1"/>
    <w:rsid w:val="005213DA"/>
    <w:rsid w:val="00521745"/>
    <w:rsid w:val="00521770"/>
    <w:rsid w:val="00523068"/>
    <w:rsid w:val="00523083"/>
    <w:rsid w:val="005230C9"/>
    <w:rsid w:val="0052390C"/>
    <w:rsid w:val="00523C6E"/>
    <w:rsid w:val="00523F68"/>
    <w:rsid w:val="00523F7A"/>
    <w:rsid w:val="0052480A"/>
    <w:rsid w:val="00524841"/>
    <w:rsid w:val="00525165"/>
    <w:rsid w:val="005258B8"/>
    <w:rsid w:val="00525A74"/>
    <w:rsid w:val="00526A4C"/>
    <w:rsid w:val="00526CC8"/>
    <w:rsid w:val="00526D09"/>
    <w:rsid w:val="00526FA7"/>
    <w:rsid w:val="0052713A"/>
    <w:rsid w:val="00527429"/>
    <w:rsid w:val="005278E5"/>
    <w:rsid w:val="00530122"/>
    <w:rsid w:val="005303B1"/>
    <w:rsid w:val="005304F3"/>
    <w:rsid w:val="005307FE"/>
    <w:rsid w:val="00530A8F"/>
    <w:rsid w:val="00530D49"/>
    <w:rsid w:val="00531F98"/>
    <w:rsid w:val="005327C2"/>
    <w:rsid w:val="00532C3B"/>
    <w:rsid w:val="00532E7D"/>
    <w:rsid w:val="00532FBF"/>
    <w:rsid w:val="00533270"/>
    <w:rsid w:val="0053372A"/>
    <w:rsid w:val="00533C39"/>
    <w:rsid w:val="00533DF0"/>
    <w:rsid w:val="00534881"/>
    <w:rsid w:val="00535095"/>
    <w:rsid w:val="00535375"/>
    <w:rsid w:val="00535454"/>
    <w:rsid w:val="005355F5"/>
    <w:rsid w:val="0053624B"/>
    <w:rsid w:val="005365E7"/>
    <w:rsid w:val="0053687E"/>
    <w:rsid w:val="00537857"/>
    <w:rsid w:val="00537908"/>
    <w:rsid w:val="00537CA8"/>
    <w:rsid w:val="00540002"/>
    <w:rsid w:val="005402E7"/>
    <w:rsid w:val="00540371"/>
    <w:rsid w:val="0054039B"/>
    <w:rsid w:val="0054055D"/>
    <w:rsid w:val="00540709"/>
    <w:rsid w:val="00540E44"/>
    <w:rsid w:val="005411CE"/>
    <w:rsid w:val="0054216E"/>
    <w:rsid w:val="005423FC"/>
    <w:rsid w:val="00542C53"/>
    <w:rsid w:val="005434FB"/>
    <w:rsid w:val="00543BD6"/>
    <w:rsid w:val="00544005"/>
    <w:rsid w:val="005441A0"/>
    <w:rsid w:val="00544C41"/>
    <w:rsid w:val="00544FFF"/>
    <w:rsid w:val="00545215"/>
    <w:rsid w:val="005455BD"/>
    <w:rsid w:val="00545A11"/>
    <w:rsid w:val="00546D66"/>
    <w:rsid w:val="00547923"/>
    <w:rsid w:val="00547B7B"/>
    <w:rsid w:val="005502B0"/>
    <w:rsid w:val="005507A3"/>
    <w:rsid w:val="00550EDA"/>
    <w:rsid w:val="00552520"/>
    <w:rsid w:val="005527B0"/>
    <w:rsid w:val="00552AAE"/>
    <w:rsid w:val="00553BF8"/>
    <w:rsid w:val="00553E6A"/>
    <w:rsid w:val="005545C9"/>
    <w:rsid w:val="00554A1A"/>
    <w:rsid w:val="00554D75"/>
    <w:rsid w:val="00555A58"/>
    <w:rsid w:val="00556DD2"/>
    <w:rsid w:val="00557077"/>
    <w:rsid w:val="00557311"/>
    <w:rsid w:val="00557985"/>
    <w:rsid w:val="0056009E"/>
    <w:rsid w:val="005615CA"/>
    <w:rsid w:val="00563021"/>
    <w:rsid w:val="00563179"/>
    <w:rsid w:val="0056339A"/>
    <w:rsid w:val="0056352E"/>
    <w:rsid w:val="00563A24"/>
    <w:rsid w:val="00563E5E"/>
    <w:rsid w:val="00563E79"/>
    <w:rsid w:val="005645FD"/>
    <w:rsid w:val="00564865"/>
    <w:rsid w:val="00564EAF"/>
    <w:rsid w:val="005650F9"/>
    <w:rsid w:val="005651FA"/>
    <w:rsid w:val="005656B7"/>
    <w:rsid w:val="00565AA8"/>
    <w:rsid w:val="00565B6F"/>
    <w:rsid w:val="005660E4"/>
    <w:rsid w:val="00566E85"/>
    <w:rsid w:val="005674BE"/>
    <w:rsid w:val="00567EA8"/>
    <w:rsid w:val="005701F9"/>
    <w:rsid w:val="005704A2"/>
    <w:rsid w:val="00570730"/>
    <w:rsid w:val="00571D0C"/>
    <w:rsid w:val="00571DCD"/>
    <w:rsid w:val="00571E22"/>
    <w:rsid w:val="0057276C"/>
    <w:rsid w:val="00572C24"/>
    <w:rsid w:val="00572E5A"/>
    <w:rsid w:val="005738BB"/>
    <w:rsid w:val="00574472"/>
    <w:rsid w:val="00574872"/>
    <w:rsid w:val="0057491C"/>
    <w:rsid w:val="00574ED0"/>
    <w:rsid w:val="00574F07"/>
    <w:rsid w:val="00574F58"/>
    <w:rsid w:val="00575623"/>
    <w:rsid w:val="005761E6"/>
    <w:rsid w:val="005768AE"/>
    <w:rsid w:val="0057714A"/>
    <w:rsid w:val="00577918"/>
    <w:rsid w:val="00581206"/>
    <w:rsid w:val="0058158E"/>
    <w:rsid w:val="0058169E"/>
    <w:rsid w:val="00581825"/>
    <w:rsid w:val="00581A5E"/>
    <w:rsid w:val="00581DE7"/>
    <w:rsid w:val="00582015"/>
    <w:rsid w:val="00582B5B"/>
    <w:rsid w:val="00582C7F"/>
    <w:rsid w:val="0058316E"/>
    <w:rsid w:val="005833C7"/>
    <w:rsid w:val="00583742"/>
    <w:rsid w:val="00583E26"/>
    <w:rsid w:val="00583FB5"/>
    <w:rsid w:val="00584142"/>
    <w:rsid w:val="0058539A"/>
    <w:rsid w:val="0058587B"/>
    <w:rsid w:val="00585DD7"/>
    <w:rsid w:val="00585E8C"/>
    <w:rsid w:val="00585EF8"/>
    <w:rsid w:val="00586137"/>
    <w:rsid w:val="005869D7"/>
    <w:rsid w:val="005877E4"/>
    <w:rsid w:val="00587C75"/>
    <w:rsid w:val="00587CDB"/>
    <w:rsid w:val="005901A5"/>
    <w:rsid w:val="00590384"/>
    <w:rsid w:val="005903F7"/>
    <w:rsid w:val="00590D53"/>
    <w:rsid w:val="005912B8"/>
    <w:rsid w:val="00592229"/>
    <w:rsid w:val="00592416"/>
    <w:rsid w:val="005925CB"/>
    <w:rsid w:val="00593195"/>
    <w:rsid w:val="005932CC"/>
    <w:rsid w:val="00593A82"/>
    <w:rsid w:val="0059468F"/>
    <w:rsid w:val="005947CA"/>
    <w:rsid w:val="00594FA4"/>
    <w:rsid w:val="00595197"/>
    <w:rsid w:val="00595239"/>
    <w:rsid w:val="00596478"/>
    <w:rsid w:val="00596690"/>
    <w:rsid w:val="005969C8"/>
    <w:rsid w:val="005970BC"/>
    <w:rsid w:val="00597BDA"/>
    <w:rsid w:val="005A02AA"/>
    <w:rsid w:val="005A02C0"/>
    <w:rsid w:val="005A0BBF"/>
    <w:rsid w:val="005A1287"/>
    <w:rsid w:val="005A1371"/>
    <w:rsid w:val="005A1828"/>
    <w:rsid w:val="005A1E7B"/>
    <w:rsid w:val="005A26A9"/>
    <w:rsid w:val="005A26B2"/>
    <w:rsid w:val="005A2D2A"/>
    <w:rsid w:val="005A4290"/>
    <w:rsid w:val="005A4392"/>
    <w:rsid w:val="005A48C8"/>
    <w:rsid w:val="005A516C"/>
    <w:rsid w:val="005A51ED"/>
    <w:rsid w:val="005A565A"/>
    <w:rsid w:val="005A57B6"/>
    <w:rsid w:val="005A61AC"/>
    <w:rsid w:val="005A61FF"/>
    <w:rsid w:val="005A7182"/>
    <w:rsid w:val="005A793A"/>
    <w:rsid w:val="005B04CF"/>
    <w:rsid w:val="005B0651"/>
    <w:rsid w:val="005B0880"/>
    <w:rsid w:val="005B08CB"/>
    <w:rsid w:val="005B0C7B"/>
    <w:rsid w:val="005B19A5"/>
    <w:rsid w:val="005B1CB5"/>
    <w:rsid w:val="005B1EBF"/>
    <w:rsid w:val="005B3082"/>
    <w:rsid w:val="005B36A8"/>
    <w:rsid w:val="005B3F85"/>
    <w:rsid w:val="005B432C"/>
    <w:rsid w:val="005B4401"/>
    <w:rsid w:val="005B4AD6"/>
    <w:rsid w:val="005B504C"/>
    <w:rsid w:val="005B528C"/>
    <w:rsid w:val="005B5A72"/>
    <w:rsid w:val="005B6232"/>
    <w:rsid w:val="005B676A"/>
    <w:rsid w:val="005B6C3A"/>
    <w:rsid w:val="005B6D57"/>
    <w:rsid w:val="005B6E45"/>
    <w:rsid w:val="005C010B"/>
    <w:rsid w:val="005C0386"/>
    <w:rsid w:val="005C08ED"/>
    <w:rsid w:val="005C09A7"/>
    <w:rsid w:val="005C2010"/>
    <w:rsid w:val="005C223B"/>
    <w:rsid w:val="005C4292"/>
    <w:rsid w:val="005C45C6"/>
    <w:rsid w:val="005C5C8C"/>
    <w:rsid w:val="005C62F1"/>
    <w:rsid w:val="005C76E7"/>
    <w:rsid w:val="005D096F"/>
    <w:rsid w:val="005D1472"/>
    <w:rsid w:val="005D308B"/>
    <w:rsid w:val="005D3C67"/>
    <w:rsid w:val="005D4386"/>
    <w:rsid w:val="005D4649"/>
    <w:rsid w:val="005D46D3"/>
    <w:rsid w:val="005D4A5F"/>
    <w:rsid w:val="005D4BBA"/>
    <w:rsid w:val="005D5728"/>
    <w:rsid w:val="005D5AC6"/>
    <w:rsid w:val="005D63C9"/>
    <w:rsid w:val="005D6538"/>
    <w:rsid w:val="005D6888"/>
    <w:rsid w:val="005D6B64"/>
    <w:rsid w:val="005D6E82"/>
    <w:rsid w:val="005E0861"/>
    <w:rsid w:val="005E1BA3"/>
    <w:rsid w:val="005E1CB3"/>
    <w:rsid w:val="005E23AA"/>
    <w:rsid w:val="005E23DA"/>
    <w:rsid w:val="005E27DE"/>
    <w:rsid w:val="005E339D"/>
    <w:rsid w:val="005E33CF"/>
    <w:rsid w:val="005E36D7"/>
    <w:rsid w:val="005E398F"/>
    <w:rsid w:val="005E3EB2"/>
    <w:rsid w:val="005E4938"/>
    <w:rsid w:val="005E5E31"/>
    <w:rsid w:val="005E624E"/>
    <w:rsid w:val="005E66DF"/>
    <w:rsid w:val="005E674C"/>
    <w:rsid w:val="005F0D48"/>
    <w:rsid w:val="005F0DCD"/>
    <w:rsid w:val="005F0E4B"/>
    <w:rsid w:val="005F29F8"/>
    <w:rsid w:val="005F2C54"/>
    <w:rsid w:val="005F2E61"/>
    <w:rsid w:val="005F31B6"/>
    <w:rsid w:val="005F368F"/>
    <w:rsid w:val="005F4484"/>
    <w:rsid w:val="005F4817"/>
    <w:rsid w:val="005F518E"/>
    <w:rsid w:val="005F5B58"/>
    <w:rsid w:val="005F6A1A"/>
    <w:rsid w:val="005F7AFC"/>
    <w:rsid w:val="005F7CF4"/>
    <w:rsid w:val="005F7DBE"/>
    <w:rsid w:val="005F7EAA"/>
    <w:rsid w:val="006000A8"/>
    <w:rsid w:val="00600265"/>
    <w:rsid w:val="006003F9"/>
    <w:rsid w:val="00600DAE"/>
    <w:rsid w:val="00600ED4"/>
    <w:rsid w:val="0060113B"/>
    <w:rsid w:val="00601522"/>
    <w:rsid w:val="00601572"/>
    <w:rsid w:val="0060190B"/>
    <w:rsid w:val="00601EE6"/>
    <w:rsid w:val="00602100"/>
    <w:rsid w:val="006025F5"/>
    <w:rsid w:val="00602606"/>
    <w:rsid w:val="00602B80"/>
    <w:rsid w:val="00602CD3"/>
    <w:rsid w:val="00602DF4"/>
    <w:rsid w:val="00602F4C"/>
    <w:rsid w:val="00604031"/>
    <w:rsid w:val="006048F3"/>
    <w:rsid w:val="00605A8B"/>
    <w:rsid w:val="00605D0C"/>
    <w:rsid w:val="00606094"/>
    <w:rsid w:val="006072ED"/>
    <w:rsid w:val="00607C73"/>
    <w:rsid w:val="00610538"/>
    <w:rsid w:val="00610CCE"/>
    <w:rsid w:val="00610DD4"/>
    <w:rsid w:val="006111DD"/>
    <w:rsid w:val="00611439"/>
    <w:rsid w:val="00612900"/>
    <w:rsid w:val="006141C5"/>
    <w:rsid w:val="00614AA1"/>
    <w:rsid w:val="00615687"/>
    <w:rsid w:val="006156B1"/>
    <w:rsid w:val="00615A90"/>
    <w:rsid w:val="00616524"/>
    <w:rsid w:val="006171C6"/>
    <w:rsid w:val="00617598"/>
    <w:rsid w:val="006202AA"/>
    <w:rsid w:val="0062039D"/>
    <w:rsid w:val="006203D1"/>
    <w:rsid w:val="00620606"/>
    <w:rsid w:val="006208F5"/>
    <w:rsid w:val="00621371"/>
    <w:rsid w:val="00621668"/>
    <w:rsid w:val="00621990"/>
    <w:rsid w:val="00622626"/>
    <w:rsid w:val="006226FF"/>
    <w:rsid w:val="006233A7"/>
    <w:rsid w:val="00623760"/>
    <w:rsid w:val="00623972"/>
    <w:rsid w:val="0062405B"/>
    <w:rsid w:val="00624F7A"/>
    <w:rsid w:val="006255CE"/>
    <w:rsid w:val="00626B26"/>
    <w:rsid w:val="00626D51"/>
    <w:rsid w:val="00626EC8"/>
    <w:rsid w:val="006275EE"/>
    <w:rsid w:val="0063027C"/>
    <w:rsid w:val="00630314"/>
    <w:rsid w:val="0063035E"/>
    <w:rsid w:val="00630776"/>
    <w:rsid w:val="0063160E"/>
    <w:rsid w:val="00631748"/>
    <w:rsid w:val="00631777"/>
    <w:rsid w:val="00631CBB"/>
    <w:rsid w:val="00631FC9"/>
    <w:rsid w:val="00632032"/>
    <w:rsid w:val="00632247"/>
    <w:rsid w:val="0063337E"/>
    <w:rsid w:val="00634420"/>
    <w:rsid w:val="00634509"/>
    <w:rsid w:val="00636FDF"/>
    <w:rsid w:val="006373A4"/>
    <w:rsid w:val="00637D01"/>
    <w:rsid w:val="00637EEF"/>
    <w:rsid w:val="00637FB8"/>
    <w:rsid w:val="0064065B"/>
    <w:rsid w:val="00640821"/>
    <w:rsid w:val="0064181D"/>
    <w:rsid w:val="00641D0E"/>
    <w:rsid w:val="00642314"/>
    <w:rsid w:val="00642AE0"/>
    <w:rsid w:val="006436EF"/>
    <w:rsid w:val="00643A43"/>
    <w:rsid w:val="00644124"/>
    <w:rsid w:val="00644D01"/>
    <w:rsid w:val="00644F25"/>
    <w:rsid w:val="00645369"/>
    <w:rsid w:val="00645866"/>
    <w:rsid w:val="006458D4"/>
    <w:rsid w:val="00645C81"/>
    <w:rsid w:val="00645F68"/>
    <w:rsid w:val="00645F9A"/>
    <w:rsid w:val="00646218"/>
    <w:rsid w:val="00647409"/>
    <w:rsid w:val="0065163E"/>
    <w:rsid w:val="00651E54"/>
    <w:rsid w:val="0065213A"/>
    <w:rsid w:val="006523C3"/>
    <w:rsid w:val="0065254E"/>
    <w:rsid w:val="00653479"/>
    <w:rsid w:val="00653927"/>
    <w:rsid w:val="00654F03"/>
    <w:rsid w:val="00654F6F"/>
    <w:rsid w:val="0065547B"/>
    <w:rsid w:val="0065558E"/>
    <w:rsid w:val="0065565B"/>
    <w:rsid w:val="00655CFB"/>
    <w:rsid w:val="006560E2"/>
    <w:rsid w:val="0065613C"/>
    <w:rsid w:val="006573A0"/>
    <w:rsid w:val="0065769D"/>
    <w:rsid w:val="00657CB2"/>
    <w:rsid w:val="00660268"/>
    <w:rsid w:val="0066045F"/>
    <w:rsid w:val="00661AC8"/>
    <w:rsid w:val="006621AA"/>
    <w:rsid w:val="0066255E"/>
    <w:rsid w:val="00662C0F"/>
    <w:rsid w:val="006638D9"/>
    <w:rsid w:val="00663CE7"/>
    <w:rsid w:val="006640F8"/>
    <w:rsid w:val="0066462D"/>
    <w:rsid w:val="00664945"/>
    <w:rsid w:val="00664987"/>
    <w:rsid w:val="00664B7C"/>
    <w:rsid w:val="00664C0A"/>
    <w:rsid w:val="00664FA9"/>
    <w:rsid w:val="006660D4"/>
    <w:rsid w:val="00666487"/>
    <w:rsid w:val="00666640"/>
    <w:rsid w:val="00666AC1"/>
    <w:rsid w:val="0066717C"/>
    <w:rsid w:val="006678C2"/>
    <w:rsid w:val="00670147"/>
    <w:rsid w:val="00670390"/>
    <w:rsid w:val="0067088D"/>
    <w:rsid w:val="0067174C"/>
    <w:rsid w:val="006718CD"/>
    <w:rsid w:val="00672689"/>
    <w:rsid w:val="00672841"/>
    <w:rsid w:val="00672E8D"/>
    <w:rsid w:val="0067468C"/>
    <w:rsid w:val="00674ADD"/>
    <w:rsid w:val="00675C82"/>
    <w:rsid w:val="0067708D"/>
    <w:rsid w:val="00677471"/>
    <w:rsid w:val="00677F09"/>
    <w:rsid w:val="00680265"/>
    <w:rsid w:val="00680349"/>
    <w:rsid w:val="00680528"/>
    <w:rsid w:val="006805D2"/>
    <w:rsid w:val="0068248A"/>
    <w:rsid w:val="006830FC"/>
    <w:rsid w:val="00683D28"/>
    <w:rsid w:val="006847E9"/>
    <w:rsid w:val="00685820"/>
    <w:rsid w:val="006861B2"/>
    <w:rsid w:val="00686407"/>
    <w:rsid w:val="00686D04"/>
    <w:rsid w:val="006906A6"/>
    <w:rsid w:val="00690F71"/>
    <w:rsid w:val="006911EE"/>
    <w:rsid w:val="00691690"/>
    <w:rsid w:val="00692225"/>
    <w:rsid w:val="006922AF"/>
    <w:rsid w:val="00692357"/>
    <w:rsid w:val="006928EE"/>
    <w:rsid w:val="00692F8A"/>
    <w:rsid w:val="006932C5"/>
    <w:rsid w:val="00694033"/>
    <w:rsid w:val="006940B7"/>
    <w:rsid w:val="00694540"/>
    <w:rsid w:val="00695170"/>
    <w:rsid w:val="00695972"/>
    <w:rsid w:val="006959B7"/>
    <w:rsid w:val="00695FBB"/>
    <w:rsid w:val="00696D8E"/>
    <w:rsid w:val="00696E94"/>
    <w:rsid w:val="00697097"/>
    <w:rsid w:val="006972B8"/>
    <w:rsid w:val="006972FB"/>
    <w:rsid w:val="006979A2"/>
    <w:rsid w:val="006A02DF"/>
    <w:rsid w:val="006A0E71"/>
    <w:rsid w:val="006A116E"/>
    <w:rsid w:val="006A122C"/>
    <w:rsid w:val="006A138C"/>
    <w:rsid w:val="006A18D2"/>
    <w:rsid w:val="006A25E5"/>
    <w:rsid w:val="006A2A67"/>
    <w:rsid w:val="006A2A89"/>
    <w:rsid w:val="006A3070"/>
    <w:rsid w:val="006A3160"/>
    <w:rsid w:val="006A3920"/>
    <w:rsid w:val="006A3C17"/>
    <w:rsid w:val="006A3CEF"/>
    <w:rsid w:val="006A3E4C"/>
    <w:rsid w:val="006A441F"/>
    <w:rsid w:val="006A4DAA"/>
    <w:rsid w:val="006A56BE"/>
    <w:rsid w:val="006A587E"/>
    <w:rsid w:val="006A64EB"/>
    <w:rsid w:val="006A6946"/>
    <w:rsid w:val="006A7DBA"/>
    <w:rsid w:val="006B0A70"/>
    <w:rsid w:val="006B1BE3"/>
    <w:rsid w:val="006B22FB"/>
    <w:rsid w:val="006B2B68"/>
    <w:rsid w:val="006B2D21"/>
    <w:rsid w:val="006B4772"/>
    <w:rsid w:val="006B487D"/>
    <w:rsid w:val="006B4AF9"/>
    <w:rsid w:val="006B4D6F"/>
    <w:rsid w:val="006B4E62"/>
    <w:rsid w:val="006B4FC2"/>
    <w:rsid w:val="006B5729"/>
    <w:rsid w:val="006B59D1"/>
    <w:rsid w:val="006B5AA2"/>
    <w:rsid w:val="006B60D4"/>
    <w:rsid w:val="006B67F9"/>
    <w:rsid w:val="006B770A"/>
    <w:rsid w:val="006B7CC3"/>
    <w:rsid w:val="006B7D8A"/>
    <w:rsid w:val="006C2318"/>
    <w:rsid w:val="006C2562"/>
    <w:rsid w:val="006C3663"/>
    <w:rsid w:val="006C3FEF"/>
    <w:rsid w:val="006C5245"/>
    <w:rsid w:val="006C612C"/>
    <w:rsid w:val="006C67F5"/>
    <w:rsid w:val="006C6C52"/>
    <w:rsid w:val="006C702C"/>
    <w:rsid w:val="006C7405"/>
    <w:rsid w:val="006C75D2"/>
    <w:rsid w:val="006D0349"/>
    <w:rsid w:val="006D0F1E"/>
    <w:rsid w:val="006D0F40"/>
    <w:rsid w:val="006D116E"/>
    <w:rsid w:val="006D16F2"/>
    <w:rsid w:val="006D2BED"/>
    <w:rsid w:val="006D3A3E"/>
    <w:rsid w:val="006D3A7B"/>
    <w:rsid w:val="006D4067"/>
    <w:rsid w:val="006D508E"/>
    <w:rsid w:val="006D57E6"/>
    <w:rsid w:val="006D57F9"/>
    <w:rsid w:val="006D59DA"/>
    <w:rsid w:val="006D5B39"/>
    <w:rsid w:val="006D5B4B"/>
    <w:rsid w:val="006D613E"/>
    <w:rsid w:val="006D6953"/>
    <w:rsid w:val="006D743E"/>
    <w:rsid w:val="006D7DE8"/>
    <w:rsid w:val="006E016E"/>
    <w:rsid w:val="006E02A0"/>
    <w:rsid w:val="006E0930"/>
    <w:rsid w:val="006E17B4"/>
    <w:rsid w:val="006E2E2B"/>
    <w:rsid w:val="006E2EA6"/>
    <w:rsid w:val="006E3A62"/>
    <w:rsid w:val="006E3E32"/>
    <w:rsid w:val="006E43CF"/>
    <w:rsid w:val="006E452A"/>
    <w:rsid w:val="006E4ED4"/>
    <w:rsid w:val="006E569F"/>
    <w:rsid w:val="006E5ABF"/>
    <w:rsid w:val="006E5F1A"/>
    <w:rsid w:val="006E6378"/>
    <w:rsid w:val="006E6B5E"/>
    <w:rsid w:val="006E6C14"/>
    <w:rsid w:val="006E74F2"/>
    <w:rsid w:val="006E77A8"/>
    <w:rsid w:val="006E7A62"/>
    <w:rsid w:val="006F0B8C"/>
    <w:rsid w:val="006F336D"/>
    <w:rsid w:val="006F3647"/>
    <w:rsid w:val="006F3998"/>
    <w:rsid w:val="006F3C6A"/>
    <w:rsid w:val="006F42C0"/>
    <w:rsid w:val="006F4B4C"/>
    <w:rsid w:val="006F526A"/>
    <w:rsid w:val="006F5A27"/>
    <w:rsid w:val="006F6AAC"/>
    <w:rsid w:val="006F70FB"/>
    <w:rsid w:val="006F7B71"/>
    <w:rsid w:val="006F7FB7"/>
    <w:rsid w:val="007002EF"/>
    <w:rsid w:val="00701587"/>
    <w:rsid w:val="00702843"/>
    <w:rsid w:val="00702EB4"/>
    <w:rsid w:val="00703717"/>
    <w:rsid w:val="00704074"/>
    <w:rsid w:val="00704783"/>
    <w:rsid w:val="007059F0"/>
    <w:rsid w:val="00705B0E"/>
    <w:rsid w:val="00705B17"/>
    <w:rsid w:val="007067A9"/>
    <w:rsid w:val="007071E2"/>
    <w:rsid w:val="007073E2"/>
    <w:rsid w:val="00707428"/>
    <w:rsid w:val="00707A50"/>
    <w:rsid w:val="00707B7F"/>
    <w:rsid w:val="007101F2"/>
    <w:rsid w:val="00710486"/>
    <w:rsid w:val="00710823"/>
    <w:rsid w:val="007120B6"/>
    <w:rsid w:val="00712B57"/>
    <w:rsid w:val="007130AE"/>
    <w:rsid w:val="0071312E"/>
    <w:rsid w:val="007131A3"/>
    <w:rsid w:val="007131DD"/>
    <w:rsid w:val="007136B5"/>
    <w:rsid w:val="00713745"/>
    <w:rsid w:val="00713862"/>
    <w:rsid w:val="00714F89"/>
    <w:rsid w:val="007158D7"/>
    <w:rsid w:val="007168E2"/>
    <w:rsid w:val="00716C1D"/>
    <w:rsid w:val="0071730C"/>
    <w:rsid w:val="007175F1"/>
    <w:rsid w:val="007178BB"/>
    <w:rsid w:val="00717C6F"/>
    <w:rsid w:val="00721330"/>
    <w:rsid w:val="00721DEA"/>
    <w:rsid w:val="00722482"/>
    <w:rsid w:val="007227B0"/>
    <w:rsid w:val="00722B02"/>
    <w:rsid w:val="00722C63"/>
    <w:rsid w:val="007231A3"/>
    <w:rsid w:val="007233D1"/>
    <w:rsid w:val="0072346F"/>
    <w:rsid w:val="00723E40"/>
    <w:rsid w:val="007245F1"/>
    <w:rsid w:val="00724A7D"/>
    <w:rsid w:val="007259E2"/>
    <w:rsid w:val="007261B0"/>
    <w:rsid w:val="00726405"/>
    <w:rsid w:val="00726CE1"/>
    <w:rsid w:val="007270FD"/>
    <w:rsid w:val="00727661"/>
    <w:rsid w:val="007278F6"/>
    <w:rsid w:val="007279E1"/>
    <w:rsid w:val="00727C70"/>
    <w:rsid w:val="00727FCD"/>
    <w:rsid w:val="00730C21"/>
    <w:rsid w:val="00730FDC"/>
    <w:rsid w:val="00731F7E"/>
    <w:rsid w:val="0073202C"/>
    <w:rsid w:val="00732059"/>
    <w:rsid w:val="00732C80"/>
    <w:rsid w:val="00733848"/>
    <w:rsid w:val="0073397B"/>
    <w:rsid w:val="007341CA"/>
    <w:rsid w:val="0073494E"/>
    <w:rsid w:val="00734968"/>
    <w:rsid w:val="00734C90"/>
    <w:rsid w:val="00734DC0"/>
    <w:rsid w:val="007355D5"/>
    <w:rsid w:val="00735857"/>
    <w:rsid w:val="00735CBC"/>
    <w:rsid w:val="00736316"/>
    <w:rsid w:val="00736E6A"/>
    <w:rsid w:val="007372F7"/>
    <w:rsid w:val="007373AA"/>
    <w:rsid w:val="007374E5"/>
    <w:rsid w:val="00737F4F"/>
    <w:rsid w:val="007401BF"/>
    <w:rsid w:val="00740AEC"/>
    <w:rsid w:val="00740CFA"/>
    <w:rsid w:val="0074254F"/>
    <w:rsid w:val="0074267A"/>
    <w:rsid w:val="00742EE8"/>
    <w:rsid w:val="00742F20"/>
    <w:rsid w:val="007435D3"/>
    <w:rsid w:val="00743892"/>
    <w:rsid w:val="00743ADC"/>
    <w:rsid w:val="00743FFD"/>
    <w:rsid w:val="007441E3"/>
    <w:rsid w:val="00744227"/>
    <w:rsid w:val="00744503"/>
    <w:rsid w:val="00744C6A"/>
    <w:rsid w:val="00744FAA"/>
    <w:rsid w:val="00745282"/>
    <w:rsid w:val="00745B02"/>
    <w:rsid w:val="00745BF2"/>
    <w:rsid w:val="00745C18"/>
    <w:rsid w:val="0074609C"/>
    <w:rsid w:val="00746A2C"/>
    <w:rsid w:val="00747832"/>
    <w:rsid w:val="00747D04"/>
    <w:rsid w:val="00747EB8"/>
    <w:rsid w:val="00750ADC"/>
    <w:rsid w:val="00750C1B"/>
    <w:rsid w:val="00751391"/>
    <w:rsid w:val="007519E7"/>
    <w:rsid w:val="00751CC6"/>
    <w:rsid w:val="00752FCD"/>
    <w:rsid w:val="0075310B"/>
    <w:rsid w:val="007532EC"/>
    <w:rsid w:val="00753532"/>
    <w:rsid w:val="007536FD"/>
    <w:rsid w:val="00753D67"/>
    <w:rsid w:val="00753DCF"/>
    <w:rsid w:val="00753F38"/>
    <w:rsid w:val="0075410D"/>
    <w:rsid w:val="00754547"/>
    <w:rsid w:val="00754ABD"/>
    <w:rsid w:val="00755737"/>
    <w:rsid w:val="00755B62"/>
    <w:rsid w:val="00755DEE"/>
    <w:rsid w:val="00755EE2"/>
    <w:rsid w:val="00755F82"/>
    <w:rsid w:val="00756395"/>
    <w:rsid w:val="007565B1"/>
    <w:rsid w:val="007572C2"/>
    <w:rsid w:val="007575F8"/>
    <w:rsid w:val="00757F72"/>
    <w:rsid w:val="0076064F"/>
    <w:rsid w:val="00760A0C"/>
    <w:rsid w:val="00760F13"/>
    <w:rsid w:val="0076154A"/>
    <w:rsid w:val="00761598"/>
    <w:rsid w:val="00761ADF"/>
    <w:rsid w:val="00762DA9"/>
    <w:rsid w:val="00763013"/>
    <w:rsid w:val="007630BC"/>
    <w:rsid w:val="007644FE"/>
    <w:rsid w:val="00765785"/>
    <w:rsid w:val="00765DC9"/>
    <w:rsid w:val="00766CE9"/>
    <w:rsid w:val="007703A7"/>
    <w:rsid w:val="0077086E"/>
    <w:rsid w:val="00770ABD"/>
    <w:rsid w:val="00770BC6"/>
    <w:rsid w:val="00772858"/>
    <w:rsid w:val="00772C12"/>
    <w:rsid w:val="00773CF9"/>
    <w:rsid w:val="00773F5C"/>
    <w:rsid w:val="007742BD"/>
    <w:rsid w:val="00775324"/>
    <w:rsid w:val="00775929"/>
    <w:rsid w:val="007764BE"/>
    <w:rsid w:val="00776C32"/>
    <w:rsid w:val="00776C8D"/>
    <w:rsid w:val="00777074"/>
    <w:rsid w:val="00780F13"/>
    <w:rsid w:val="00781535"/>
    <w:rsid w:val="00781FFA"/>
    <w:rsid w:val="00782EBA"/>
    <w:rsid w:val="00782FE5"/>
    <w:rsid w:val="00784667"/>
    <w:rsid w:val="00784B17"/>
    <w:rsid w:val="00784BDB"/>
    <w:rsid w:val="007851F8"/>
    <w:rsid w:val="00785553"/>
    <w:rsid w:val="007858CD"/>
    <w:rsid w:val="00785D73"/>
    <w:rsid w:val="00786272"/>
    <w:rsid w:val="0078717A"/>
    <w:rsid w:val="0078774A"/>
    <w:rsid w:val="0078782C"/>
    <w:rsid w:val="00787AD9"/>
    <w:rsid w:val="00787B9F"/>
    <w:rsid w:val="00790233"/>
    <w:rsid w:val="007902DB"/>
    <w:rsid w:val="007907E8"/>
    <w:rsid w:val="00790AE1"/>
    <w:rsid w:val="00790CF4"/>
    <w:rsid w:val="00791676"/>
    <w:rsid w:val="00791B7F"/>
    <w:rsid w:val="00791D5F"/>
    <w:rsid w:val="00791E8A"/>
    <w:rsid w:val="007920E6"/>
    <w:rsid w:val="007922D1"/>
    <w:rsid w:val="00792634"/>
    <w:rsid w:val="00792A94"/>
    <w:rsid w:val="00792B27"/>
    <w:rsid w:val="00793814"/>
    <w:rsid w:val="00793FCB"/>
    <w:rsid w:val="00794721"/>
    <w:rsid w:val="00794DD8"/>
    <w:rsid w:val="00794DF6"/>
    <w:rsid w:val="00795C4E"/>
    <w:rsid w:val="007961DE"/>
    <w:rsid w:val="007A0284"/>
    <w:rsid w:val="007A0F75"/>
    <w:rsid w:val="007A26DE"/>
    <w:rsid w:val="007A283A"/>
    <w:rsid w:val="007A32EB"/>
    <w:rsid w:val="007A37F0"/>
    <w:rsid w:val="007A3885"/>
    <w:rsid w:val="007A4079"/>
    <w:rsid w:val="007A4149"/>
    <w:rsid w:val="007A474D"/>
    <w:rsid w:val="007A4971"/>
    <w:rsid w:val="007A5B28"/>
    <w:rsid w:val="007A6066"/>
    <w:rsid w:val="007A6D69"/>
    <w:rsid w:val="007A79BF"/>
    <w:rsid w:val="007B0C25"/>
    <w:rsid w:val="007B1812"/>
    <w:rsid w:val="007B1B5D"/>
    <w:rsid w:val="007B1BA5"/>
    <w:rsid w:val="007B1D15"/>
    <w:rsid w:val="007B2CE4"/>
    <w:rsid w:val="007B2FCB"/>
    <w:rsid w:val="007B3E02"/>
    <w:rsid w:val="007B3EAA"/>
    <w:rsid w:val="007B46D2"/>
    <w:rsid w:val="007B6EFC"/>
    <w:rsid w:val="007B6F24"/>
    <w:rsid w:val="007B772A"/>
    <w:rsid w:val="007C1606"/>
    <w:rsid w:val="007C19C9"/>
    <w:rsid w:val="007C1C52"/>
    <w:rsid w:val="007C21F4"/>
    <w:rsid w:val="007C2483"/>
    <w:rsid w:val="007C29C2"/>
    <w:rsid w:val="007C34A4"/>
    <w:rsid w:val="007C3813"/>
    <w:rsid w:val="007C3AF7"/>
    <w:rsid w:val="007C3C1A"/>
    <w:rsid w:val="007C3C56"/>
    <w:rsid w:val="007C420B"/>
    <w:rsid w:val="007C4A4A"/>
    <w:rsid w:val="007C4FF1"/>
    <w:rsid w:val="007C5546"/>
    <w:rsid w:val="007C58B6"/>
    <w:rsid w:val="007C6463"/>
    <w:rsid w:val="007C6BA7"/>
    <w:rsid w:val="007C6F2B"/>
    <w:rsid w:val="007C79CE"/>
    <w:rsid w:val="007C7D69"/>
    <w:rsid w:val="007C7FF3"/>
    <w:rsid w:val="007D0D07"/>
    <w:rsid w:val="007D0FDF"/>
    <w:rsid w:val="007D13F8"/>
    <w:rsid w:val="007D1430"/>
    <w:rsid w:val="007D1D76"/>
    <w:rsid w:val="007D2466"/>
    <w:rsid w:val="007D2958"/>
    <w:rsid w:val="007D320C"/>
    <w:rsid w:val="007D3B83"/>
    <w:rsid w:val="007D3E42"/>
    <w:rsid w:val="007D3FBA"/>
    <w:rsid w:val="007D4687"/>
    <w:rsid w:val="007D587C"/>
    <w:rsid w:val="007D5BF7"/>
    <w:rsid w:val="007D6F7A"/>
    <w:rsid w:val="007D71D1"/>
    <w:rsid w:val="007D7560"/>
    <w:rsid w:val="007D776B"/>
    <w:rsid w:val="007D77EA"/>
    <w:rsid w:val="007E0C35"/>
    <w:rsid w:val="007E12CC"/>
    <w:rsid w:val="007E2E89"/>
    <w:rsid w:val="007E2F54"/>
    <w:rsid w:val="007E3040"/>
    <w:rsid w:val="007E3D5F"/>
    <w:rsid w:val="007E4932"/>
    <w:rsid w:val="007E53F6"/>
    <w:rsid w:val="007E587D"/>
    <w:rsid w:val="007E58C5"/>
    <w:rsid w:val="007E64D1"/>
    <w:rsid w:val="007E6B2B"/>
    <w:rsid w:val="007E72FB"/>
    <w:rsid w:val="007E73A3"/>
    <w:rsid w:val="007F0147"/>
    <w:rsid w:val="007F1584"/>
    <w:rsid w:val="007F18AF"/>
    <w:rsid w:val="007F20E0"/>
    <w:rsid w:val="007F31DD"/>
    <w:rsid w:val="007F3316"/>
    <w:rsid w:val="007F45E6"/>
    <w:rsid w:val="007F4F54"/>
    <w:rsid w:val="007F6177"/>
    <w:rsid w:val="007F710C"/>
    <w:rsid w:val="007F750C"/>
    <w:rsid w:val="007F7A59"/>
    <w:rsid w:val="007F7C26"/>
    <w:rsid w:val="007F7E37"/>
    <w:rsid w:val="00800DBA"/>
    <w:rsid w:val="008016CE"/>
    <w:rsid w:val="008018FE"/>
    <w:rsid w:val="00802CBD"/>
    <w:rsid w:val="0080307F"/>
    <w:rsid w:val="0080362B"/>
    <w:rsid w:val="00803674"/>
    <w:rsid w:val="00803ABF"/>
    <w:rsid w:val="00804327"/>
    <w:rsid w:val="008045CF"/>
    <w:rsid w:val="00804980"/>
    <w:rsid w:val="00804D43"/>
    <w:rsid w:val="00804E0B"/>
    <w:rsid w:val="008050DE"/>
    <w:rsid w:val="00805558"/>
    <w:rsid w:val="00810695"/>
    <w:rsid w:val="0081088A"/>
    <w:rsid w:val="00810D82"/>
    <w:rsid w:val="00810EFC"/>
    <w:rsid w:val="00810FAF"/>
    <w:rsid w:val="008110B8"/>
    <w:rsid w:val="00811545"/>
    <w:rsid w:val="0081199F"/>
    <w:rsid w:val="00812552"/>
    <w:rsid w:val="00812BA8"/>
    <w:rsid w:val="008136B8"/>
    <w:rsid w:val="00813935"/>
    <w:rsid w:val="00813F1D"/>
    <w:rsid w:val="008144AF"/>
    <w:rsid w:val="00815048"/>
    <w:rsid w:val="0081509F"/>
    <w:rsid w:val="00815E03"/>
    <w:rsid w:val="00820A4D"/>
    <w:rsid w:val="00820C99"/>
    <w:rsid w:val="0082128C"/>
    <w:rsid w:val="00821529"/>
    <w:rsid w:val="00821C1E"/>
    <w:rsid w:val="00824948"/>
    <w:rsid w:val="00824F8B"/>
    <w:rsid w:val="00825C8A"/>
    <w:rsid w:val="00826376"/>
    <w:rsid w:val="00826473"/>
    <w:rsid w:val="008265F8"/>
    <w:rsid w:val="008266AB"/>
    <w:rsid w:val="00827703"/>
    <w:rsid w:val="00827D59"/>
    <w:rsid w:val="008308C0"/>
    <w:rsid w:val="00831509"/>
    <w:rsid w:val="008316D4"/>
    <w:rsid w:val="0083178C"/>
    <w:rsid w:val="0083193C"/>
    <w:rsid w:val="00833675"/>
    <w:rsid w:val="00834316"/>
    <w:rsid w:val="00834F0F"/>
    <w:rsid w:val="00834F23"/>
    <w:rsid w:val="008354CF"/>
    <w:rsid w:val="00836779"/>
    <w:rsid w:val="008372AA"/>
    <w:rsid w:val="008403AE"/>
    <w:rsid w:val="008413B1"/>
    <w:rsid w:val="00841C40"/>
    <w:rsid w:val="00841DFE"/>
    <w:rsid w:val="00842328"/>
    <w:rsid w:val="00842ABB"/>
    <w:rsid w:val="00842B18"/>
    <w:rsid w:val="00842C30"/>
    <w:rsid w:val="008435EB"/>
    <w:rsid w:val="00843CBE"/>
    <w:rsid w:val="00844C7C"/>
    <w:rsid w:val="00844E94"/>
    <w:rsid w:val="0084508A"/>
    <w:rsid w:val="008457C3"/>
    <w:rsid w:val="00846C5A"/>
    <w:rsid w:val="0084737D"/>
    <w:rsid w:val="00847A00"/>
    <w:rsid w:val="00847A71"/>
    <w:rsid w:val="00847E0C"/>
    <w:rsid w:val="00847E34"/>
    <w:rsid w:val="00850451"/>
    <w:rsid w:val="0085121D"/>
    <w:rsid w:val="00851C39"/>
    <w:rsid w:val="00851D91"/>
    <w:rsid w:val="00852528"/>
    <w:rsid w:val="00852AB8"/>
    <w:rsid w:val="00852EF7"/>
    <w:rsid w:val="00853082"/>
    <w:rsid w:val="00853BFB"/>
    <w:rsid w:val="00854573"/>
    <w:rsid w:val="008549B3"/>
    <w:rsid w:val="00855B75"/>
    <w:rsid w:val="00855C5E"/>
    <w:rsid w:val="00856129"/>
    <w:rsid w:val="008562C7"/>
    <w:rsid w:val="00856442"/>
    <w:rsid w:val="008567AD"/>
    <w:rsid w:val="0085681D"/>
    <w:rsid w:val="008568F1"/>
    <w:rsid w:val="00856C01"/>
    <w:rsid w:val="00856C88"/>
    <w:rsid w:val="00856F2F"/>
    <w:rsid w:val="00857ECF"/>
    <w:rsid w:val="008601D8"/>
    <w:rsid w:val="00860A90"/>
    <w:rsid w:val="00860C8E"/>
    <w:rsid w:val="00861376"/>
    <w:rsid w:val="00861FB9"/>
    <w:rsid w:val="0086222D"/>
    <w:rsid w:val="00862383"/>
    <w:rsid w:val="00862DF9"/>
    <w:rsid w:val="00862F67"/>
    <w:rsid w:val="00863BB1"/>
    <w:rsid w:val="008644BD"/>
    <w:rsid w:val="008649FB"/>
    <w:rsid w:val="008653D5"/>
    <w:rsid w:val="008657F3"/>
    <w:rsid w:val="00865D01"/>
    <w:rsid w:val="0086710C"/>
    <w:rsid w:val="00870587"/>
    <w:rsid w:val="00870A5F"/>
    <w:rsid w:val="00871A9A"/>
    <w:rsid w:val="00873079"/>
    <w:rsid w:val="00874579"/>
    <w:rsid w:val="00874592"/>
    <w:rsid w:val="0087462D"/>
    <w:rsid w:val="0087467A"/>
    <w:rsid w:val="00874E8A"/>
    <w:rsid w:val="00875257"/>
    <w:rsid w:val="0087559D"/>
    <w:rsid w:val="0087591B"/>
    <w:rsid w:val="00875EB8"/>
    <w:rsid w:val="0087710D"/>
    <w:rsid w:val="008778D1"/>
    <w:rsid w:val="00877A38"/>
    <w:rsid w:val="00880363"/>
    <w:rsid w:val="008810EB"/>
    <w:rsid w:val="0088130F"/>
    <w:rsid w:val="00881A59"/>
    <w:rsid w:val="00882300"/>
    <w:rsid w:val="00883CDC"/>
    <w:rsid w:val="008847D8"/>
    <w:rsid w:val="0088483E"/>
    <w:rsid w:val="00884A8B"/>
    <w:rsid w:val="00884ADA"/>
    <w:rsid w:val="008856B0"/>
    <w:rsid w:val="00885A12"/>
    <w:rsid w:val="00885EF8"/>
    <w:rsid w:val="00886BA4"/>
    <w:rsid w:val="00887E9C"/>
    <w:rsid w:val="00887F0D"/>
    <w:rsid w:val="00890291"/>
    <w:rsid w:val="0089052D"/>
    <w:rsid w:val="00890540"/>
    <w:rsid w:val="00891957"/>
    <w:rsid w:val="00891FDF"/>
    <w:rsid w:val="0089246E"/>
    <w:rsid w:val="0089268A"/>
    <w:rsid w:val="008926CB"/>
    <w:rsid w:val="00892B25"/>
    <w:rsid w:val="00892E9F"/>
    <w:rsid w:val="00892FB0"/>
    <w:rsid w:val="0089346A"/>
    <w:rsid w:val="008934CB"/>
    <w:rsid w:val="00893DE3"/>
    <w:rsid w:val="0089413E"/>
    <w:rsid w:val="00894693"/>
    <w:rsid w:val="008949D9"/>
    <w:rsid w:val="008956EB"/>
    <w:rsid w:val="0089630F"/>
    <w:rsid w:val="00896950"/>
    <w:rsid w:val="00897AB2"/>
    <w:rsid w:val="008A0782"/>
    <w:rsid w:val="008A0964"/>
    <w:rsid w:val="008A1058"/>
    <w:rsid w:val="008A16E9"/>
    <w:rsid w:val="008A1B0B"/>
    <w:rsid w:val="008A2272"/>
    <w:rsid w:val="008A26F7"/>
    <w:rsid w:val="008A2E6C"/>
    <w:rsid w:val="008A3CE9"/>
    <w:rsid w:val="008A429C"/>
    <w:rsid w:val="008A4C06"/>
    <w:rsid w:val="008A5805"/>
    <w:rsid w:val="008A5A73"/>
    <w:rsid w:val="008A6D7C"/>
    <w:rsid w:val="008A7141"/>
    <w:rsid w:val="008A7910"/>
    <w:rsid w:val="008A79F8"/>
    <w:rsid w:val="008A7FC9"/>
    <w:rsid w:val="008B042F"/>
    <w:rsid w:val="008B09A5"/>
    <w:rsid w:val="008B119E"/>
    <w:rsid w:val="008B1273"/>
    <w:rsid w:val="008B1CF6"/>
    <w:rsid w:val="008B1EB4"/>
    <w:rsid w:val="008B23D5"/>
    <w:rsid w:val="008B279E"/>
    <w:rsid w:val="008B2DA5"/>
    <w:rsid w:val="008B2F4B"/>
    <w:rsid w:val="008B3913"/>
    <w:rsid w:val="008B399E"/>
    <w:rsid w:val="008B3DA3"/>
    <w:rsid w:val="008B3F1F"/>
    <w:rsid w:val="008B416A"/>
    <w:rsid w:val="008B492A"/>
    <w:rsid w:val="008B4E0E"/>
    <w:rsid w:val="008B50A2"/>
    <w:rsid w:val="008B5CA4"/>
    <w:rsid w:val="008B6515"/>
    <w:rsid w:val="008B6798"/>
    <w:rsid w:val="008B6F45"/>
    <w:rsid w:val="008B72C4"/>
    <w:rsid w:val="008C1900"/>
    <w:rsid w:val="008C1E6B"/>
    <w:rsid w:val="008C217A"/>
    <w:rsid w:val="008C21F0"/>
    <w:rsid w:val="008C3677"/>
    <w:rsid w:val="008C3C9E"/>
    <w:rsid w:val="008C4D79"/>
    <w:rsid w:val="008C4FD0"/>
    <w:rsid w:val="008C5066"/>
    <w:rsid w:val="008C52C4"/>
    <w:rsid w:val="008C53C5"/>
    <w:rsid w:val="008C5B56"/>
    <w:rsid w:val="008C5D23"/>
    <w:rsid w:val="008C603A"/>
    <w:rsid w:val="008C695C"/>
    <w:rsid w:val="008C6CD0"/>
    <w:rsid w:val="008C7756"/>
    <w:rsid w:val="008C779D"/>
    <w:rsid w:val="008D0215"/>
    <w:rsid w:val="008D044D"/>
    <w:rsid w:val="008D0507"/>
    <w:rsid w:val="008D0965"/>
    <w:rsid w:val="008D2949"/>
    <w:rsid w:val="008D29E6"/>
    <w:rsid w:val="008D2D2E"/>
    <w:rsid w:val="008D36B4"/>
    <w:rsid w:val="008D3776"/>
    <w:rsid w:val="008D3BC6"/>
    <w:rsid w:val="008D3CC5"/>
    <w:rsid w:val="008D4028"/>
    <w:rsid w:val="008D51F0"/>
    <w:rsid w:val="008D56FD"/>
    <w:rsid w:val="008D5B47"/>
    <w:rsid w:val="008D5F8D"/>
    <w:rsid w:val="008D64AE"/>
    <w:rsid w:val="008D6A65"/>
    <w:rsid w:val="008D6EF6"/>
    <w:rsid w:val="008D6F0B"/>
    <w:rsid w:val="008D738D"/>
    <w:rsid w:val="008D7FEC"/>
    <w:rsid w:val="008E0663"/>
    <w:rsid w:val="008E16EB"/>
    <w:rsid w:val="008E188F"/>
    <w:rsid w:val="008E35EF"/>
    <w:rsid w:val="008E480A"/>
    <w:rsid w:val="008E64B6"/>
    <w:rsid w:val="008E6600"/>
    <w:rsid w:val="008E6715"/>
    <w:rsid w:val="008E6783"/>
    <w:rsid w:val="008E76A3"/>
    <w:rsid w:val="008E78E0"/>
    <w:rsid w:val="008F01C4"/>
    <w:rsid w:val="008F02BA"/>
    <w:rsid w:val="008F0CC0"/>
    <w:rsid w:val="008F170D"/>
    <w:rsid w:val="008F175F"/>
    <w:rsid w:val="008F1D09"/>
    <w:rsid w:val="008F20F1"/>
    <w:rsid w:val="008F22E7"/>
    <w:rsid w:val="008F23B1"/>
    <w:rsid w:val="008F2927"/>
    <w:rsid w:val="008F3D6D"/>
    <w:rsid w:val="008F432B"/>
    <w:rsid w:val="008F471A"/>
    <w:rsid w:val="008F4A22"/>
    <w:rsid w:val="008F5CB5"/>
    <w:rsid w:val="008F62D9"/>
    <w:rsid w:val="008F70A8"/>
    <w:rsid w:val="008F7566"/>
    <w:rsid w:val="00900193"/>
    <w:rsid w:val="00900A0A"/>
    <w:rsid w:val="00900D5E"/>
    <w:rsid w:val="00900D95"/>
    <w:rsid w:val="00901DD1"/>
    <w:rsid w:val="00902749"/>
    <w:rsid w:val="00903318"/>
    <w:rsid w:val="0090351C"/>
    <w:rsid w:val="00904069"/>
    <w:rsid w:val="00904776"/>
    <w:rsid w:val="00905330"/>
    <w:rsid w:val="0090582B"/>
    <w:rsid w:val="00905BD6"/>
    <w:rsid w:val="00906315"/>
    <w:rsid w:val="0090672D"/>
    <w:rsid w:val="00906763"/>
    <w:rsid w:val="00906B51"/>
    <w:rsid w:val="009073CB"/>
    <w:rsid w:val="00907A05"/>
    <w:rsid w:val="00907AC2"/>
    <w:rsid w:val="00907B2C"/>
    <w:rsid w:val="00907B3E"/>
    <w:rsid w:val="00911395"/>
    <w:rsid w:val="0091154B"/>
    <w:rsid w:val="009123F6"/>
    <w:rsid w:val="00912730"/>
    <w:rsid w:val="0091311A"/>
    <w:rsid w:val="0091313F"/>
    <w:rsid w:val="00913305"/>
    <w:rsid w:val="009133D1"/>
    <w:rsid w:val="00914322"/>
    <w:rsid w:val="00914544"/>
    <w:rsid w:val="009165DD"/>
    <w:rsid w:val="00916D66"/>
    <w:rsid w:val="00916E8D"/>
    <w:rsid w:val="00917139"/>
    <w:rsid w:val="00917C5E"/>
    <w:rsid w:val="00917CB5"/>
    <w:rsid w:val="00920178"/>
    <w:rsid w:val="009206BE"/>
    <w:rsid w:val="00920A11"/>
    <w:rsid w:val="00921152"/>
    <w:rsid w:val="00921447"/>
    <w:rsid w:val="009214CE"/>
    <w:rsid w:val="0092151F"/>
    <w:rsid w:val="0092170F"/>
    <w:rsid w:val="00921BEA"/>
    <w:rsid w:val="00922112"/>
    <w:rsid w:val="00922F4B"/>
    <w:rsid w:val="0092335A"/>
    <w:rsid w:val="00924874"/>
    <w:rsid w:val="00924BE1"/>
    <w:rsid w:val="00924DE9"/>
    <w:rsid w:val="009250E8"/>
    <w:rsid w:val="0092556A"/>
    <w:rsid w:val="009259E2"/>
    <w:rsid w:val="00926421"/>
    <w:rsid w:val="00926851"/>
    <w:rsid w:val="00926CF1"/>
    <w:rsid w:val="00926CF3"/>
    <w:rsid w:val="00926F17"/>
    <w:rsid w:val="009276CC"/>
    <w:rsid w:val="00927FCC"/>
    <w:rsid w:val="0093029B"/>
    <w:rsid w:val="00930309"/>
    <w:rsid w:val="00930E7C"/>
    <w:rsid w:val="00931148"/>
    <w:rsid w:val="009312DF"/>
    <w:rsid w:val="00931824"/>
    <w:rsid w:val="00931975"/>
    <w:rsid w:val="00932132"/>
    <w:rsid w:val="00933A2A"/>
    <w:rsid w:val="00933B84"/>
    <w:rsid w:val="0093475B"/>
    <w:rsid w:val="0093533D"/>
    <w:rsid w:val="0093534A"/>
    <w:rsid w:val="009354FD"/>
    <w:rsid w:val="009358F8"/>
    <w:rsid w:val="009358FF"/>
    <w:rsid w:val="00935ED0"/>
    <w:rsid w:val="00940B55"/>
    <w:rsid w:val="00940D0D"/>
    <w:rsid w:val="00940E08"/>
    <w:rsid w:val="009411A3"/>
    <w:rsid w:val="0094163A"/>
    <w:rsid w:val="00941E62"/>
    <w:rsid w:val="0094258D"/>
    <w:rsid w:val="00942AF8"/>
    <w:rsid w:val="00942FAF"/>
    <w:rsid w:val="0094324D"/>
    <w:rsid w:val="009434D7"/>
    <w:rsid w:val="0094366A"/>
    <w:rsid w:val="009437BD"/>
    <w:rsid w:val="00943D7B"/>
    <w:rsid w:val="00944DF3"/>
    <w:rsid w:val="00944E5A"/>
    <w:rsid w:val="00944FE2"/>
    <w:rsid w:val="00946721"/>
    <w:rsid w:val="00946801"/>
    <w:rsid w:val="00946C02"/>
    <w:rsid w:val="00947EB4"/>
    <w:rsid w:val="00950725"/>
    <w:rsid w:val="0095087C"/>
    <w:rsid w:val="00950C62"/>
    <w:rsid w:val="009512CF"/>
    <w:rsid w:val="009525FC"/>
    <w:rsid w:val="009537F1"/>
    <w:rsid w:val="009540FF"/>
    <w:rsid w:val="009547E5"/>
    <w:rsid w:val="00954B05"/>
    <w:rsid w:val="0095563C"/>
    <w:rsid w:val="00955922"/>
    <w:rsid w:val="00955DDA"/>
    <w:rsid w:val="00956251"/>
    <w:rsid w:val="00957E9B"/>
    <w:rsid w:val="00960288"/>
    <w:rsid w:val="00960BDC"/>
    <w:rsid w:val="00961BC5"/>
    <w:rsid w:val="00961C07"/>
    <w:rsid w:val="00961F16"/>
    <w:rsid w:val="00962D36"/>
    <w:rsid w:val="00962F28"/>
    <w:rsid w:val="00962F4D"/>
    <w:rsid w:val="009632FD"/>
    <w:rsid w:val="00963A94"/>
    <w:rsid w:val="00963DBE"/>
    <w:rsid w:val="0096480F"/>
    <w:rsid w:val="00964B56"/>
    <w:rsid w:val="00964DD1"/>
    <w:rsid w:val="00965345"/>
    <w:rsid w:val="00965539"/>
    <w:rsid w:val="009655D2"/>
    <w:rsid w:val="00966B55"/>
    <w:rsid w:val="00966BF9"/>
    <w:rsid w:val="00967071"/>
    <w:rsid w:val="0096719A"/>
    <w:rsid w:val="00967641"/>
    <w:rsid w:val="00967DC7"/>
    <w:rsid w:val="00967EDB"/>
    <w:rsid w:val="0097014F"/>
    <w:rsid w:val="0097093D"/>
    <w:rsid w:val="00971689"/>
    <w:rsid w:val="009718BA"/>
    <w:rsid w:val="00971F49"/>
    <w:rsid w:val="0097210C"/>
    <w:rsid w:val="00972285"/>
    <w:rsid w:val="00972441"/>
    <w:rsid w:val="0097340C"/>
    <w:rsid w:val="00973904"/>
    <w:rsid w:val="009739A7"/>
    <w:rsid w:val="009739B0"/>
    <w:rsid w:val="00973E93"/>
    <w:rsid w:val="00973FB0"/>
    <w:rsid w:val="0097443E"/>
    <w:rsid w:val="00974A85"/>
    <w:rsid w:val="009762AE"/>
    <w:rsid w:val="009764A9"/>
    <w:rsid w:val="00977073"/>
    <w:rsid w:val="00977591"/>
    <w:rsid w:val="00977780"/>
    <w:rsid w:val="009778D2"/>
    <w:rsid w:val="00977B0C"/>
    <w:rsid w:val="00980470"/>
    <w:rsid w:val="00980884"/>
    <w:rsid w:val="00980C39"/>
    <w:rsid w:val="009810B9"/>
    <w:rsid w:val="009815C1"/>
    <w:rsid w:val="00983082"/>
    <w:rsid w:val="009832E1"/>
    <w:rsid w:val="00984233"/>
    <w:rsid w:val="009842E0"/>
    <w:rsid w:val="0098464E"/>
    <w:rsid w:val="009847C1"/>
    <w:rsid w:val="009855A5"/>
    <w:rsid w:val="0098560D"/>
    <w:rsid w:val="00985DB3"/>
    <w:rsid w:val="00985EE8"/>
    <w:rsid w:val="00986848"/>
    <w:rsid w:val="00987783"/>
    <w:rsid w:val="009909FB"/>
    <w:rsid w:val="00990D00"/>
    <w:rsid w:val="00990D2F"/>
    <w:rsid w:val="00990E50"/>
    <w:rsid w:val="00991900"/>
    <w:rsid w:val="009926C4"/>
    <w:rsid w:val="0099271A"/>
    <w:rsid w:val="00992EFD"/>
    <w:rsid w:val="00993FE2"/>
    <w:rsid w:val="00994108"/>
    <w:rsid w:val="009945DB"/>
    <w:rsid w:val="00995284"/>
    <w:rsid w:val="009952BB"/>
    <w:rsid w:val="009954BB"/>
    <w:rsid w:val="00995653"/>
    <w:rsid w:val="00995C42"/>
    <w:rsid w:val="00995D70"/>
    <w:rsid w:val="00995D78"/>
    <w:rsid w:val="00996E11"/>
    <w:rsid w:val="009972F0"/>
    <w:rsid w:val="00997C0A"/>
    <w:rsid w:val="009A052E"/>
    <w:rsid w:val="009A123A"/>
    <w:rsid w:val="009A2CCE"/>
    <w:rsid w:val="009A32EB"/>
    <w:rsid w:val="009A38A6"/>
    <w:rsid w:val="009A3B5E"/>
    <w:rsid w:val="009A5AE4"/>
    <w:rsid w:val="009A5B76"/>
    <w:rsid w:val="009A7A55"/>
    <w:rsid w:val="009B036B"/>
    <w:rsid w:val="009B0BDF"/>
    <w:rsid w:val="009B11D7"/>
    <w:rsid w:val="009B29FB"/>
    <w:rsid w:val="009B2DB3"/>
    <w:rsid w:val="009B33DF"/>
    <w:rsid w:val="009B394C"/>
    <w:rsid w:val="009B3C5A"/>
    <w:rsid w:val="009B3FBE"/>
    <w:rsid w:val="009B421C"/>
    <w:rsid w:val="009B490D"/>
    <w:rsid w:val="009B5029"/>
    <w:rsid w:val="009B6B0C"/>
    <w:rsid w:val="009B70E2"/>
    <w:rsid w:val="009B73CC"/>
    <w:rsid w:val="009C0C72"/>
    <w:rsid w:val="009C193D"/>
    <w:rsid w:val="009C297E"/>
    <w:rsid w:val="009C3931"/>
    <w:rsid w:val="009C3C51"/>
    <w:rsid w:val="009C4234"/>
    <w:rsid w:val="009C4420"/>
    <w:rsid w:val="009C4B1E"/>
    <w:rsid w:val="009C503C"/>
    <w:rsid w:val="009C5CA7"/>
    <w:rsid w:val="009C5DE2"/>
    <w:rsid w:val="009C647B"/>
    <w:rsid w:val="009C7120"/>
    <w:rsid w:val="009C7D8D"/>
    <w:rsid w:val="009D07EC"/>
    <w:rsid w:val="009D09FD"/>
    <w:rsid w:val="009D1550"/>
    <w:rsid w:val="009D17A9"/>
    <w:rsid w:val="009D2833"/>
    <w:rsid w:val="009D2FBA"/>
    <w:rsid w:val="009D34CC"/>
    <w:rsid w:val="009D369C"/>
    <w:rsid w:val="009D3B4F"/>
    <w:rsid w:val="009D3D96"/>
    <w:rsid w:val="009D403F"/>
    <w:rsid w:val="009D4C4E"/>
    <w:rsid w:val="009D5213"/>
    <w:rsid w:val="009D57DA"/>
    <w:rsid w:val="009D5D46"/>
    <w:rsid w:val="009D733A"/>
    <w:rsid w:val="009D7517"/>
    <w:rsid w:val="009D7DCC"/>
    <w:rsid w:val="009D7EC0"/>
    <w:rsid w:val="009E015A"/>
    <w:rsid w:val="009E092E"/>
    <w:rsid w:val="009E11A9"/>
    <w:rsid w:val="009E1210"/>
    <w:rsid w:val="009E24E7"/>
    <w:rsid w:val="009E2BB7"/>
    <w:rsid w:val="009E2FC7"/>
    <w:rsid w:val="009E324A"/>
    <w:rsid w:val="009E3776"/>
    <w:rsid w:val="009E3E76"/>
    <w:rsid w:val="009E4512"/>
    <w:rsid w:val="009E4663"/>
    <w:rsid w:val="009E51C2"/>
    <w:rsid w:val="009E56E5"/>
    <w:rsid w:val="009E5716"/>
    <w:rsid w:val="009E7057"/>
    <w:rsid w:val="009E7522"/>
    <w:rsid w:val="009E7B0B"/>
    <w:rsid w:val="009E7E35"/>
    <w:rsid w:val="009F0704"/>
    <w:rsid w:val="009F0C1E"/>
    <w:rsid w:val="009F0D95"/>
    <w:rsid w:val="009F1228"/>
    <w:rsid w:val="009F12BA"/>
    <w:rsid w:val="009F3034"/>
    <w:rsid w:val="009F4182"/>
    <w:rsid w:val="009F49C6"/>
    <w:rsid w:val="009F4E1B"/>
    <w:rsid w:val="009F509B"/>
    <w:rsid w:val="009F52A6"/>
    <w:rsid w:val="009F5976"/>
    <w:rsid w:val="009F668E"/>
    <w:rsid w:val="009F691F"/>
    <w:rsid w:val="009F7320"/>
    <w:rsid w:val="009F734C"/>
    <w:rsid w:val="009F77DB"/>
    <w:rsid w:val="009F7BCB"/>
    <w:rsid w:val="00A00898"/>
    <w:rsid w:val="00A00948"/>
    <w:rsid w:val="00A009CD"/>
    <w:rsid w:val="00A00CF2"/>
    <w:rsid w:val="00A00D35"/>
    <w:rsid w:val="00A01332"/>
    <w:rsid w:val="00A01963"/>
    <w:rsid w:val="00A01E73"/>
    <w:rsid w:val="00A01F01"/>
    <w:rsid w:val="00A02937"/>
    <w:rsid w:val="00A0367E"/>
    <w:rsid w:val="00A037BF"/>
    <w:rsid w:val="00A03957"/>
    <w:rsid w:val="00A04458"/>
    <w:rsid w:val="00A047B9"/>
    <w:rsid w:val="00A049E0"/>
    <w:rsid w:val="00A059C7"/>
    <w:rsid w:val="00A05D25"/>
    <w:rsid w:val="00A05E38"/>
    <w:rsid w:val="00A0795B"/>
    <w:rsid w:val="00A07B7C"/>
    <w:rsid w:val="00A102AF"/>
    <w:rsid w:val="00A1064B"/>
    <w:rsid w:val="00A106AB"/>
    <w:rsid w:val="00A10D2B"/>
    <w:rsid w:val="00A111A1"/>
    <w:rsid w:val="00A12835"/>
    <w:rsid w:val="00A12DA9"/>
    <w:rsid w:val="00A12DC1"/>
    <w:rsid w:val="00A12E61"/>
    <w:rsid w:val="00A13B59"/>
    <w:rsid w:val="00A15653"/>
    <w:rsid w:val="00A157AD"/>
    <w:rsid w:val="00A15AE6"/>
    <w:rsid w:val="00A16AAC"/>
    <w:rsid w:val="00A16EF1"/>
    <w:rsid w:val="00A1713B"/>
    <w:rsid w:val="00A17742"/>
    <w:rsid w:val="00A17A91"/>
    <w:rsid w:val="00A20162"/>
    <w:rsid w:val="00A20B05"/>
    <w:rsid w:val="00A20B92"/>
    <w:rsid w:val="00A213C5"/>
    <w:rsid w:val="00A2156C"/>
    <w:rsid w:val="00A217C9"/>
    <w:rsid w:val="00A219A6"/>
    <w:rsid w:val="00A21D51"/>
    <w:rsid w:val="00A22A1A"/>
    <w:rsid w:val="00A22E30"/>
    <w:rsid w:val="00A23027"/>
    <w:rsid w:val="00A2310D"/>
    <w:rsid w:val="00A236B1"/>
    <w:rsid w:val="00A23822"/>
    <w:rsid w:val="00A23932"/>
    <w:rsid w:val="00A23CF0"/>
    <w:rsid w:val="00A23D2B"/>
    <w:rsid w:val="00A25236"/>
    <w:rsid w:val="00A2677C"/>
    <w:rsid w:val="00A26A01"/>
    <w:rsid w:val="00A26BF8"/>
    <w:rsid w:val="00A26FF7"/>
    <w:rsid w:val="00A2703E"/>
    <w:rsid w:val="00A270A1"/>
    <w:rsid w:val="00A27532"/>
    <w:rsid w:val="00A301AB"/>
    <w:rsid w:val="00A3040B"/>
    <w:rsid w:val="00A308D9"/>
    <w:rsid w:val="00A313A7"/>
    <w:rsid w:val="00A313B9"/>
    <w:rsid w:val="00A318AA"/>
    <w:rsid w:val="00A31DF9"/>
    <w:rsid w:val="00A32BA1"/>
    <w:rsid w:val="00A32DE9"/>
    <w:rsid w:val="00A3323B"/>
    <w:rsid w:val="00A34839"/>
    <w:rsid w:val="00A3502A"/>
    <w:rsid w:val="00A350C0"/>
    <w:rsid w:val="00A35DCA"/>
    <w:rsid w:val="00A360C9"/>
    <w:rsid w:val="00A3750D"/>
    <w:rsid w:val="00A37B9B"/>
    <w:rsid w:val="00A400F2"/>
    <w:rsid w:val="00A4098C"/>
    <w:rsid w:val="00A42246"/>
    <w:rsid w:val="00A423A4"/>
    <w:rsid w:val="00A42657"/>
    <w:rsid w:val="00A429D1"/>
    <w:rsid w:val="00A43B6E"/>
    <w:rsid w:val="00A43DBE"/>
    <w:rsid w:val="00A454F2"/>
    <w:rsid w:val="00A462B5"/>
    <w:rsid w:val="00A465D5"/>
    <w:rsid w:val="00A46828"/>
    <w:rsid w:val="00A46E8E"/>
    <w:rsid w:val="00A471EA"/>
    <w:rsid w:val="00A47716"/>
    <w:rsid w:val="00A47C04"/>
    <w:rsid w:val="00A50086"/>
    <w:rsid w:val="00A507F4"/>
    <w:rsid w:val="00A50A7D"/>
    <w:rsid w:val="00A53599"/>
    <w:rsid w:val="00A54367"/>
    <w:rsid w:val="00A54439"/>
    <w:rsid w:val="00A55124"/>
    <w:rsid w:val="00A563AD"/>
    <w:rsid w:val="00A56EE5"/>
    <w:rsid w:val="00A57A3E"/>
    <w:rsid w:val="00A60239"/>
    <w:rsid w:val="00A607D8"/>
    <w:rsid w:val="00A60DDD"/>
    <w:rsid w:val="00A615E0"/>
    <w:rsid w:val="00A61B86"/>
    <w:rsid w:val="00A63E9D"/>
    <w:rsid w:val="00A65488"/>
    <w:rsid w:val="00A656B0"/>
    <w:rsid w:val="00A65B50"/>
    <w:rsid w:val="00A65D83"/>
    <w:rsid w:val="00A65E1E"/>
    <w:rsid w:val="00A6641F"/>
    <w:rsid w:val="00A66660"/>
    <w:rsid w:val="00A6672C"/>
    <w:rsid w:val="00A67319"/>
    <w:rsid w:val="00A67A5D"/>
    <w:rsid w:val="00A67DEF"/>
    <w:rsid w:val="00A70562"/>
    <w:rsid w:val="00A71945"/>
    <w:rsid w:val="00A71C9A"/>
    <w:rsid w:val="00A73311"/>
    <w:rsid w:val="00A73F74"/>
    <w:rsid w:val="00A74747"/>
    <w:rsid w:val="00A74CD9"/>
    <w:rsid w:val="00A74E96"/>
    <w:rsid w:val="00A75773"/>
    <w:rsid w:val="00A75EF3"/>
    <w:rsid w:val="00A76EC6"/>
    <w:rsid w:val="00A77437"/>
    <w:rsid w:val="00A774E1"/>
    <w:rsid w:val="00A807C0"/>
    <w:rsid w:val="00A80AED"/>
    <w:rsid w:val="00A80BB4"/>
    <w:rsid w:val="00A81544"/>
    <w:rsid w:val="00A8173F"/>
    <w:rsid w:val="00A820D6"/>
    <w:rsid w:val="00A82CF2"/>
    <w:rsid w:val="00A843BA"/>
    <w:rsid w:val="00A845E8"/>
    <w:rsid w:val="00A849A1"/>
    <w:rsid w:val="00A84DD7"/>
    <w:rsid w:val="00A84EAE"/>
    <w:rsid w:val="00A85A81"/>
    <w:rsid w:val="00A85D1C"/>
    <w:rsid w:val="00A8635D"/>
    <w:rsid w:val="00A86541"/>
    <w:rsid w:val="00A86FEA"/>
    <w:rsid w:val="00A87155"/>
    <w:rsid w:val="00A87BF8"/>
    <w:rsid w:val="00A904D2"/>
    <w:rsid w:val="00A90A63"/>
    <w:rsid w:val="00A914D4"/>
    <w:rsid w:val="00A91758"/>
    <w:rsid w:val="00A91C4B"/>
    <w:rsid w:val="00A92027"/>
    <w:rsid w:val="00A94160"/>
    <w:rsid w:val="00A94279"/>
    <w:rsid w:val="00A94524"/>
    <w:rsid w:val="00A9470C"/>
    <w:rsid w:val="00A94EA8"/>
    <w:rsid w:val="00A95443"/>
    <w:rsid w:val="00A96D15"/>
    <w:rsid w:val="00A97684"/>
    <w:rsid w:val="00A97C18"/>
    <w:rsid w:val="00AA005C"/>
    <w:rsid w:val="00AA0A76"/>
    <w:rsid w:val="00AA0D75"/>
    <w:rsid w:val="00AA143A"/>
    <w:rsid w:val="00AA2088"/>
    <w:rsid w:val="00AA22FC"/>
    <w:rsid w:val="00AA2B28"/>
    <w:rsid w:val="00AA3394"/>
    <w:rsid w:val="00AA39D8"/>
    <w:rsid w:val="00AA3B5F"/>
    <w:rsid w:val="00AA4C63"/>
    <w:rsid w:val="00AA53A5"/>
    <w:rsid w:val="00AA5F90"/>
    <w:rsid w:val="00AA6B56"/>
    <w:rsid w:val="00AA6ECC"/>
    <w:rsid w:val="00AA70B7"/>
    <w:rsid w:val="00AA7DFC"/>
    <w:rsid w:val="00AB212E"/>
    <w:rsid w:val="00AB218F"/>
    <w:rsid w:val="00AB2867"/>
    <w:rsid w:val="00AB343B"/>
    <w:rsid w:val="00AB3BD8"/>
    <w:rsid w:val="00AB5758"/>
    <w:rsid w:val="00AB5FCB"/>
    <w:rsid w:val="00AB6094"/>
    <w:rsid w:val="00AB682F"/>
    <w:rsid w:val="00AB6D36"/>
    <w:rsid w:val="00AB78CA"/>
    <w:rsid w:val="00AB7F7E"/>
    <w:rsid w:val="00AC0B4B"/>
    <w:rsid w:val="00AC0BBB"/>
    <w:rsid w:val="00AC0D6D"/>
    <w:rsid w:val="00AC1C3C"/>
    <w:rsid w:val="00AC20E5"/>
    <w:rsid w:val="00AC3C06"/>
    <w:rsid w:val="00AC4154"/>
    <w:rsid w:val="00AC4FFD"/>
    <w:rsid w:val="00AC581C"/>
    <w:rsid w:val="00AD01BE"/>
    <w:rsid w:val="00AD05C3"/>
    <w:rsid w:val="00AD05FC"/>
    <w:rsid w:val="00AD0676"/>
    <w:rsid w:val="00AD0D97"/>
    <w:rsid w:val="00AD110E"/>
    <w:rsid w:val="00AD1985"/>
    <w:rsid w:val="00AD1C11"/>
    <w:rsid w:val="00AD2232"/>
    <w:rsid w:val="00AD34EE"/>
    <w:rsid w:val="00AD48E9"/>
    <w:rsid w:val="00AD596E"/>
    <w:rsid w:val="00AD5BB2"/>
    <w:rsid w:val="00AD5CA9"/>
    <w:rsid w:val="00AD5CBC"/>
    <w:rsid w:val="00AD5DC1"/>
    <w:rsid w:val="00AD61C8"/>
    <w:rsid w:val="00AD63DF"/>
    <w:rsid w:val="00AD64A5"/>
    <w:rsid w:val="00AE0128"/>
    <w:rsid w:val="00AE0550"/>
    <w:rsid w:val="00AE142A"/>
    <w:rsid w:val="00AE1BB7"/>
    <w:rsid w:val="00AE1D25"/>
    <w:rsid w:val="00AE1E5C"/>
    <w:rsid w:val="00AE1FED"/>
    <w:rsid w:val="00AE2ABF"/>
    <w:rsid w:val="00AE3578"/>
    <w:rsid w:val="00AE4A34"/>
    <w:rsid w:val="00AE5625"/>
    <w:rsid w:val="00AE5892"/>
    <w:rsid w:val="00AE65BB"/>
    <w:rsid w:val="00AE6F25"/>
    <w:rsid w:val="00AE71FE"/>
    <w:rsid w:val="00AF0885"/>
    <w:rsid w:val="00AF1733"/>
    <w:rsid w:val="00AF195E"/>
    <w:rsid w:val="00AF2295"/>
    <w:rsid w:val="00AF2A67"/>
    <w:rsid w:val="00AF2FD6"/>
    <w:rsid w:val="00AF33EB"/>
    <w:rsid w:val="00AF347B"/>
    <w:rsid w:val="00AF3554"/>
    <w:rsid w:val="00AF35F3"/>
    <w:rsid w:val="00AF3C47"/>
    <w:rsid w:val="00AF3EED"/>
    <w:rsid w:val="00AF4523"/>
    <w:rsid w:val="00AF4566"/>
    <w:rsid w:val="00AF4652"/>
    <w:rsid w:val="00AF48E9"/>
    <w:rsid w:val="00AF4A39"/>
    <w:rsid w:val="00AF4D7B"/>
    <w:rsid w:val="00AF4DDC"/>
    <w:rsid w:val="00AF5F07"/>
    <w:rsid w:val="00AF6A14"/>
    <w:rsid w:val="00AF71C0"/>
    <w:rsid w:val="00AF72C8"/>
    <w:rsid w:val="00AF78D1"/>
    <w:rsid w:val="00B00490"/>
    <w:rsid w:val="00B00739"/>
    <w:rsid w:val="00B011C5"/>
    <w:rsid w:val="00B012B8"/>
    <w:rsid w:val="00B01A1C"/>
    <w:rsid w:val="00B01BC2"/>
    <w:rsid w:val="00B01E46"/>
    <w:rsid w:val="00B01EAF"/>
    <w:rsid w:val="00B0339A"/>
    <w:rsid w:val="00B03592"/>
    <w:rsid w:val="00B03752"/>
    <w:rsid w:val="00B054CD"/>
    <w:rsid w:val="00B05607"/>
    <w:rsid w:val="00B05DB2"/>
    <w:rsid w:val="00B0712C"/>
    <w:rsid w:val="00B07531"/>
    <w:rsid w:val="00B076D7"/>
    <w:rsid w:val="00B07FD6"/>
    <w:rsid w:val="00B10186"/>
    <w:rsid w:val="00B10B4B"/>
    <w:rsid w:val="00B11D3E"/>
    <w:rsid w:val="00B11FF7"/>
    <w:rsid w:val="00B12B6F"/>
    <w:rsid w:val="00B130F3"/>
    <w:rsid w:val="00B132C7"/>
    <w:rsid w:val="00B13AAC"/>
    <w:rsid w:val="00B13CDE"/>
    <w:rsid w:val="00B141C4"/>
    <w:rsid w:val="00B144EC"/>
    <w:rsid w:val="00B14A1F"/>
    <w:rsid w:val="00B14D02"/>
    <w:rsid w:val="00B14E0E"/>
    <w:rsid w:val="00B17B01"/>
    <w:rsid w:val="00B17CB1"/>
    <w:rsid w:val="00B17E1C"/>
    <w:rsid w:val="00B20339"/>
    <w:rsid w:val="00B21010"/>
    <w:rsid w:val="00B218DD"/>
    <w:rsid w:val="00B225BD"/>
    <w:rsid w:val="00B22B52"/>
    <w:rsid w:val="00B22E21"/>
    <w:rsid w:val="00B237F8"/>
    <w:rsid w:val="00B23948"/>
    <w:rsid w:val="00B23958"/>
    <w:rsid w:val="00B24334"/>
    <w:rsid w:val="00B256A1"/>
    <w:rsid w:val="00B2603E"/>
    <w:rsid w:val="00B261B2"/>
    <w:rsid w:val="00B269C5"/>
    <w:rsid w:val="00B26DBD"/>
    <w:rsid w:val="00B2731F"/>
    <w:rsid w:val="00B27769"/>
    <w:rsid w:val="00B27864"/>
    <w:rsid w:val="00B300C3"/>
    <w:rsid w:val="00B30146"/>
    <w:rsid w:val="00B30712"/>
    <w:rsid w:val="00B31066"/>
    <w:rsid w:val="00B31500"/>
    <w:rsid w:val="00B3197E"/>
    <w:rsid w:val="00B31D6A"/>
    <w:rsid w:val="00B32AC4"/>
    <w:rsid w:val="00B3399B"/>
    <w:rsid w:val="00B34C96"/>
    <w:rsid w:val="00B35242"/>
    <w:rsid w:val="00B35DB2"/>
    <w:rsid w:val="00B3609D"/>
    <w:rsid w:val="00B36220"/>
    <w:rsid w:val="00B3631F"/>
    <w:rsid w:val="00B370C7"/>
    <w:rsid w:val="00B3718A"/>
    <w:rsid w:val="00B401AE"/>
    <w:rsid w:val="00B4028B"/>
    <w:rsid w:val="00B40420"/>
    <w:rsid w:val="00B40833"/>
    <w:rsid w:val="00B40E1A"/>
    <w:rsid w:val="00B40FA7"/>
    <w:rsid w:val="00B4114D"/>
    <w:rsid w:val="00B41430"/>
    <w:rsid w:val="00B414FA"/>
    <w:rsid w:val="00B41D72"/>
    <w:rsid w:val="00B4265E"/>
    <w:rsid w:val="00B44480"/>
    <w:rsid w:val="00B4542A"/>
    <w:rsid w:val="00B456A0"/>
    <w:rsid w:val="00B45910"/>
    <w:rsid w:val="00B45B8D"/>
    <w:rsid w:val="00B45C49"/>
    <w:rsid w:val="00B45CE4"/>
    <w:rsid w:val="00B465DC"/>
    <w:rsid w:val="00B466E6"/>
    <w:rsid w:val="00B467E1"/>
    <w:rsid w:val="00B4747C"/>
    <w:rsid w:val="00B4760A"/>
    <w:rsid w:val="00B500E7"/>
    <w:rsid w:val="00B50AA1"/>
    <w:rsid w:val="00B50BE8"/>
    <w:rsid w:val="00B521CE"/>
    <w:rsid w:val="00B5252D"/>
    <w:rsid w:val="00B526C3"/>
    <w:rsid w:val="00B52ED2"/>
    <w:rsid w:val="00B52EEB"/>
    <w:rsid w:val="00B536EE"/>
    <w:rsid w:val="00B53BB4"/>
    <w:rsid w:val="00B54211"/>
    <w:rsid w:val="00B5435E"/>
    <w:rsid w:val="00B56103"/>
    <w:rsid w:val="00B567CD"/>
    <w:rsid w:val="00B568D9"/>
    <w:rsid w:val="00B56AB0"/>
    <w:rsid w:val="00B575DD"/>
    <w:rsid w:val="00B604E3"/>
    <w:rsid w:val="00B6167A"/>
    <w:rsid w:val="00B61CF9"/>
    <w:rsid w:val="00B62084"/>
    <w:rsid w:val="00B630EB"/>
    <w:rsid w:val="00B63C40"/>
    <w:rsid w:val="00B64BD5"/>
    <w:rsid w:val="00B6521F"/>
    <w:rsid w:val="00B65358"/>
    <w:rsid w:val="00B65A8A"/>
    <w:rsid w:val="00B6645A"/>
    <w:rsid w:val="00B67316"/>
    <w:rsid w:val="00B67685"/>
    <w:rsid w:val="00B67AA3"/>
    <w:rsid w:val="00B67AD1"/>
    <w:rsid w:val="00B67B38"/>
    <w:rsid w:val="00B67BFD"/>
    <w:rsid w:val="00B67EF1"/>
    <w:rsid w:val="00B70268"/>
    <w:rsid w:val="00B70412"/>
    <w:rsid w:val="00B70540"/>
    <w:rsid w:val="00B70E9F"/>
    <w:rsid w:val="00B7141B"/>
    <w:rsid w:val="00B72137"/>
    <w:rsid w:val="00B722D4"/>
    <w:rsid w:val="00B72B03"/>
    <w:rsid w:val="00B732A5"/>
    <w:rsid w:val="00B740E3"/>
    <w:rsid w:val="00B74B62"/>
    <w:rsid w:val="00B750C6"/>
    <w:rsid w:val="00B75BCC"/>
    <w:rsid w:val="00B75DF6"/>
    <w:rsid w:val="00B75F48"/>
    <w:rsid w:val="00B766A6"/>
    <w:rsid w:val="00B76EEB"/>
    <w:rsid w:val="00B77DCF"/>
    <w:rsid w:val="00B8043B"/>
    <w:rsid w:val="00B804A0"/>
    <w:rsid w:val="00B807E9"/>
    <w:rsid w:val="00B80AB7"/>
    <w:rsid w:val="00B8296B"/>
    <w:rsid w:val="00B82AEF"/>
    <w:rsid w:val="00B830E9"/>
    <w:rsid w:val="00B830EB"/>
    <w:rsid w:val="00B837C0"/>
    <w:rsid w:val="00B83BEB"/>
    <w:rsid w:val="00B859DD"/>
    <w:rsid w:val="00B86273"/>
    <w:rsid w:val="00B8627B"/>
    <w:rsid w:val="00B862F6"/>
    <w:rsid w:val="00B866B2"/>
    <w:rsid w:val="00B87258"/>
    <w:rsid w:val="00B87A0E"/>
    <w:rsid w:val="00B87CEF"/>
    <w:rsid w:val="00B87DD8"/>
    <w:rsid w:val="00B90A10"/>
    <w:rsid w:val="00B90D26"/>
    <w:rsid w:val="00B90EFB"/>
    <w:rsid w:val="00B91449"/>
    <w:rsid w:val="00B91F24"/>
    <w:rsid w:val="00B922E6"/>
    <w:rsid w:val="00B928AB"/>
    <w:rsid w:val="00B9292F"/>
    <w:rsid w:val="00B9337E"/>
    <w:rsid w:val="00B9394B"/>
    <w:rsid w:val="00B93A98"/>
    <w:rsid w:val="00B9416A"/>
    <w:rsid w:val="00B94567"/>
    <w:rsid w:val="00B94F69"/>
    <w:rsid w:val="00B9501E"/>
    <w:rsid w:val="00B9604E"/>
    <w:rsid w:val="00B96500"/>
    <w:rsid w:val="00B969F2"/>
    <w:rsid w:val="00B96B14"/>
    <w:rsid w:val="00B97AB1"/>
    <w:rsid w:val="00BA08EB"/>
    <w:rsid w:val="00BA0AFB"/>
    <w:rsid w:val="00BA0E54"/>
    <w:rsid w:val="00BA11CF"/>
    <w:rsid w:val="00BA1628"/>
    <w:rsid w:val="00BA180A"/>
    <w:rsid w:val="00BA1BDF"/>
    <w:rsid w:val="00BA1C1B"/>
    <w:rsid w:val="00BA1CB8"/>
    <w:rsid w:val="00BA2A49"/>
    <w:rsid w:val="00BA2BFF"/>
    <w:rsid w:val="00BA2E28"/>
    <w:rsid w:val="00BA3263"/>
    <w:rsid w:val="00BA3375"/>
    <w:rsid w:val="00BA338D"/>
    <w:rsid w:val="00BA3CB8"/>
    <w:rsid w:val="00BA4488"/>
    <w:rsid w:val="00BA474F"/>
    <w:rsid w:val="00BA5CB0"/>
    <w:rsid w:val="00BA5D22"/>
    <w:rsid w:val="00BA607D"/>
    <w:rsid w:val="00BA7447"/>
    <w:rsid w:val="00BA77D8"/>
    <w:rsid w:val="00BB187A"/>
    <w:rsid w:val="00BB1A21"/>
    <w:rsid w:val="00BB2273"/>
    <w:rsid w:val="00BB2339"/>
    <w:rsid w:val="00BB26C5"/>
    <w:rsid w:val="00BB2CDF"/>
    <w:rsid w:val="00BB3220"/>
    <w:rsid w:val="00BB3644"/>
    <w:rsid w:val="00BB3BC3"/>
    <w:rsid w:val="00BB4222"/>
    <w:rsid w:val="00BB4955"/>
    <w:rsid w:val="00BB7991"/>
    <w:rsid w:val="00BB79CE"/>
    <w:rsid w:val="00BC0C92"/>
    <w:rsid w:val="00BC1414"/>
    <w:rsid w:val="00BC20C3"/>
    <w:rsid w:val="00BC2548"/>
    <w:rsid w:val="00BC2C05"/>
    <w:rsid w:val="00BC2E3E"/>
    <w:rsid w:val="00BC335C"/>
    <w:rsid w:val="00BC3611"/>
    <w:rsid w:val="00BC4432"/>
    <w:rsid w:val="00BC4F28"/>
    <w:rsid w:val="00BC5EA4"/>
    <w:rsid w:val="00BC5F68"/>
    <w:rsid w:val="00BC61FF"/>
    <w:rsid w:val="00BC7555"/>
    <w:rsid w:val="00BD0027"/>
    <w:rsid w:val="00BD073B"/>
    <w:rsid w:val="00BD147A"/>
    <w:rsid w:val="00BD1BC1"/>
    <w:rsid w:val="00BD1D12"/>
    <w:rsid w:val="00BD1F51"/>
    <w:rsid w:val="00BD2257"/>
    <w:rsid w:val="00BD2360"/>
    <w:rsid w:val="00BD2879"/>
    <w:rsid w:val="00BD2BA1"/>
    <w:rsid w:val="00BD4A60"/>
    <w:rsid w:val="00BD5424"/>
    <w:rsid w:val="00BD5790"/>
    <w:rsid w:val="00BD5906"/>
    <w:rsid w:val="00BD5BC3"/>
    <w:rsid w:val="00BD5D77"/>
    <w:rsid w:val="00BD5E92"/>
    <w:rsid w:val="00BD7393"/>
    <w:rsid w:val="00BE03C0"/>
    <w:rsid w:val="00BE059A"/>
    <w:rsid w:val="00BE065E"/>
    <w:rsid w:val="00BE0709"/>
    <w:rsid w:val="00BE079F"/>
    <w:rsid w:val="00BE07D9"/>
    <w:rsid w:val="00BE0D25"/>
    <w:rsid w:val="00BE15C7"/>
    <w:rsid w:val="00BE171C"/>
    <w:rsid w:val="00BE2105"/>
    <w:rsid w:val="00BE2450"/>
    <w:rsid w:val="00BE24A6"/>
    <w:rsid w:val="00BE2524"/>
    <w:rsid w:val="00BE25A9"/>
    <w:rsid w:val="00BE2A05"/>
    <w:rsid w:val="00BE31E0"/>
    <w:rsid w:val="00BE3806"/>
    <w:rsid w:val="00BE3891"/>
    <w:rsid w:val="00BE4BE7"/>
    <w:rsid w:val="00BE4DAE"/>
    <w:rsid w:val="00BE5C12"/>
    <w:rsid w:val="00BE5C95"/>
    <w:rsid w:val="00BE6F72"/>
    <w:rsid w:val="00BE78A5"/>
    <w:rsid w:val="00BE7A6F"/>
    <w:rsid w:val="00BE7EBF"/>
    <w:rsid w:val="00BF0A3C"/>
    <w:rsid w:val="00BF0EB9"/>
    <w:rsid w:val="00BF1D9F"/>
    <w:rsid w:val="00BF2549"/>
    <w:rsid w:val="00BF2649"/>
    <w:rsid w:val="00BF2CCF"/>
    <w:rsid w:val="00BF3A1C"/>
    <w:rsid w:val="00BF3B2B"/>
    <w:rsid w:val="00BF3DAC"/>
    <w:rsid w:val="00BF3EC8"/>
    <w:rsid w:val="00BF4382"/>
    <w:rsid w:val="00BF4656"/>
    <w:rsid w:val="00BF4F3F"/>
    <w:rsid w:val="00BF5380"/>
    <w:rsid w:val="00BF5D56"/>
    <w:rsid w:val="00BF6D8A"/>
    <w:rsid w:val="00BF7572"/>
    <w:rsid w:val="00BF766C"/>
    <w:rsid w:val="00BF76A2"/>
    <w:rsid w:val="00C0057C"/>
    <w:rsid w:val="00C01406"/>
    <w:rsid w:val="00C022D6"/>
    <w:rsid w:val="00C02FBC"/>
    <w:rsid w:val="00C02FCC"/>
    <w:rsid w:val="00C032F0"/>
    <w:rsid w:val="00C03819"/>
    <w:rsid w:val="00C04CBB"/>
    <w:rsid w:val="00C04DCE"/>
    <w:rsid w:val="00C052E4"/>
    <w:rsid w:val="00C057E7"/>
    <w:rsid w:val="00C059DF"/>
    <w:rsid w:val="00C060BA"/>
    <w:rsid w:val="00C069BD"/>
    <w:rsid w:val="00C06D1C"/>
    <w:rsid w:val="00C0734B"/>
    <w:rsid w:val="00C100D9"/>
    <w:rsid w:val="00C100FD"/>
    <w:rsid w:val="00C10B57"/>
    <w:rsid w:val="00C1120B"/>
    <w:rsid w:val="00C11A19"/>
    <w:rsid w:val="00C121BA"/>
    <w:rsid w:val="00C12363"/>
    <w:rsid w:val="00C12886"/>
    <w:rsid w:val="00C128F9"/>
    <w:rsid w:val="00C13FB8"/>
    <w:rsid w:val="00C147BE"/>
    <w:rsid w:val="00C14CEA"/>
    <w:rsid w:val="00C14E76"/>
    <w:rsid w:val="00C153C6"/>
    <w:rsid w:val="00C1543A"/>
    <w:rsid w:val="00C1548F"/>
    <w:rsid w:val="00C15491"/>
    <w:rsid w:val="00C157FF"/>
    <w:rsid w:val="00C15A4E"/>
    <w:rsid w:val="00C1662A"/>
    <w:rsid w:val="00C16A28"/>
    <w:rsid w:val="00C16B6F"/>
    <w:rsid w:val="00C17697"/>
    <w:rsid w:val="00C1771C"/>
    <w:rsid w:val="00C1775D"/>
    <w:rsid w:val="00C179B9"/>
    <w:rsid w:val="00C20379"/>
    <w:rsid w:val="00C207F4"/>
    <w:rsid w:val="00C210B1"/>
    <w:rsid w:val="00C21D07"/>
    <w:rsid w:val="00C22297"/>
    <w:rsid w:val="00C22C40"/>
    <w:rsid w:val="00C22D37"/>
    <w:rsid w:val="00C2303F"/>
    <w:rsid w:val="00C23155"/>
    <w:rsid w:val="00C2383F"/>
    <w:rsid w:val="00C23B7A"/>
    <w:rsid w:val="00C23DCB"/>
    <w:rsid w:val="00C24A2C"/>
    <w:rsid w:val="00C251A6"/>
    <w:rsid w:val="00C25BCA"/>
    <w:rsid w:val="00C25FD3"/>
    <w:rsid w:val="00C2642A"/>
    <w:rsid w:val="00C26563"/>
    <w:rsid w:val="00C30442"/>
    <w:rsid w:val="00C30FAD"/>
    <w:rsid w:val="00C3102F"/>
    <w:rsid w:val="00C31542"/>
    <w:rsid w:val="00C315AC"/>
    <w:rsid w:val="00C3173A"/>
    <w:rsid w:val="00C325F2"/>
    <w:rsid w:val="00C32876"/>
    <w:rsid w:val="00C328EC"/>
    <w:rsid w:val="00C32907"/>
    <w:rsid w:val="00C3365A"/>
    <w:rsid w:val="00C3381B"/>
    <w:rsid w:val="00C34379"/>
    <w:rsid w:val="00C3456B"/>
    <w:rsid w:val="00C362F0"/>
    <w:rsid w:val="00C36616"/>
    <w:rsid w:val="00C36FA4"/>
    <w:rsid w:val="00C36FE9"/>
    <w:rsid w:val="00C37786"/>
    <w:rsid w:val="00C37D5C"/>
    <w:rsid w:val="00C404CE"/>
    <w:rsid w:val="00C40C84"/>
    <w:rsid w:val="00C40C92"/>
    <w:rsid w:val="00C42319"/>
    <w:rsid w:val="00C4252E"/>
    <w:rsid w:val="00C4376E"/>
    <w:rsid w:val="00C46652"/>
    <w:rsid w:val="00C4731A"/>
    <w:rsid w:val="00C473BF"/>
    <w:rsid w:val="00C47BCB"/>
    <w:rsid w:val="00C50094"/>
    <w:rsid w:val="00C504F7"/>
    <w:rsid w:val="00C505FB"/>
    <w:rsid w:val="00C5067B"/>
    <w:rsid w:val="00C50A58"/>
    <w:rsid w:val="00C50DCA"/>
    <w:rsid w:val="00C51882"/>
    <w:rsid w:val="00C527D9"/>
    <w:rsid w:val="00C52E9B"/>
    <w:rsid w:val="00C5316B"/>
    <w:rsid w:val="00C53A32"/>
    <w:rsid w:val="00C54144"/>
    <w:rsid w:val="00C55452"/>
    <w:rsid w:val="00C56EFD"/>
    <w:rsid w:val="00C6041D"/>
    <w:rsid w:val="00C62413"/>
    <w:rsid w:val="00C62FA1"/>
    <w:rsid w:val="00C63190"/>
    <w:rsid w:val="00C6357B"/>
    <w:rsid w:val="00C63908"/>
    <w:rsid w:val="00C63FE2"/>
    <w:rsid w:val="00C64140"/>
    <w:rsid w:val="00C64A7B"/>
    <w:rsid w:val="00C65059"/>
    <w:rsid w:val="00C65A59"/>
    <w:rsid w:val="00C663D2"/>
    <w:rsid w:val="00C672FF"/>
    <w:rsid w:val="00C6745B"/>
    <w:rsid w:val="00C67929"/>
    <w:rsid w:val="00C67AC2"/>
    <w:rsid w:val="00C67E45"/>
    <w:rsid w:val="00C70270"/>
    <w:rsid w:val="00C7053A"/>
    <w:rsid w:val="00C70CB9"/>
    <w:rsid w:val="00C716C3"/>
    <w:rsid w:val="00C71C2C"/>
    <w:rsid w:val="00C7215F"/>
    <w:rsid w:val="00C72550"/>
    <w:rsid w:val="00C7291C"/>
    <w:rsid w:val="00C7296B"/>
    <w:rsid w:val="00C729A5"/>
    <w:rsid w:val="00C72B1C"/>
    <w:rsid w:val="00C733E3"/>
    <w:rsid w:val="00C73F1F"/>
    <w:rsid w:val="00C74426"/>
    <w:rsid w:val="00C744BF"/>
    <w:rsid w:val="00C751BF"/>
    <w:rsid w:val="00C76B3B"/>
    <w:rsid w:val="00C76C3E"/>
    <w:rsid w:val="00C774D0"/>
    <w:rsid w:val="00C774D1"/>
    <w:rsid w:val="00C77588"/>
    <w:rsid w:val="00C77CD8"/>
    <w:rsid w:val="00C8036B"/>
    <w:rsid w:val="00C80EE0"/>
    <w:rsid w:val="00C81DB1"/>
    <w:rsid w:val="00C822C7"/>
    <w:rsid w:val="00C830BF"/>
    <w:rsid w:val="00C8325B"/>
    <w:rsid w:val="00C83333"/>
    <w:rsid w:val="00C834A8"/>
    <w:rsid w:val="00C837B9"/>
    <w:rsid w:val="00C8397A"/>
    <w:rsid w:val="00C83C2E"/>
    <w:rsid w:val="00C8436E"/>
    <w:rsid w:val="00C84388"/>
    <w:rsid w:val="00C8494F"/>
    <w:rsid w:val="00C851EB"/>
    <w:rsid w:val="00C86120"/>
    <w:rsid w:val="00C90812"/>
    <w:rsid w:val="00C90C33"/>
    <w:rsid w:val="00C90E35"/>
    <w:rsid w:val="00C911A2"/>
    <w:rsid w:val="00C918B8"/>
    <w:rsid w:val="00C91D89"/>
    <w:rsid w:val="00C91DCE"/>
    <w:rsid w:val="00C92151"/>
    <w:rsid w:val="00C9222D"/>
    <w:rsid w:val="00C92F06"/>
    <w:rsid w:val="00C9331D"/>
    <w:rsid w:val="00C9394D"/>
    <w:rsid w:val="00C93E1B"/>
    <w:rsid w:val="00C94C82"/>
    <w:rsid w:val="00C94EE0"/>
    <w:rsid w:val="00C952E4"/>
    <w:rsid w:val="00C95BCB"/>
    <w:rsid w:val="00C95D70"/>
    <w:rsid w:val="00C95DFB"/>
    <w:rsid w:val="00C960B5"/>
    <w:rsid w:val="00C960B8"/>
    <w:rsid w:val="00C9643C"/>
    <w:rsid w:val="00C96A25"/>
    <w:rsid w:val="00C96AD5"/>
    <w:rsid w:val="00C96B4A"/>
    <w:rsid w:val="00CA0075"/>
    <w:rsid w:val="00CA23E9"/>
    <w:rsid w:val="00CA2421"/>
    <w:rsid w:val="00CA268B"/>
    <w:rsid w:val="00CA2B20"/>
    <w:rsid w:val="00CA38CC"/>
    <w:rsid w:val="00CA3CC0"/>
    <w:rsid w:val="00CA3CF5"/>
    <w:rsid w:val="00CA44C2"/>
    <w:rsid w:val="00CA58F3"/>
    <w:rsid w:val="00CA5A23"/>
    <w:rsid w:val="00CA6013"/>
    <w:rsid w:val="00CA65CD"/>
    <w:rsid w:val="00CA6742"/>
    <w:rsid w:val="00CA7AD6"/>
    <w:rsid w:val="00CB063F"/>
    <w:rsid w:val="00CB0794"/>
    <w:rsid w:val="00CB0D72"/>
    <w:rsid w:val="00CB0E6B"/>
    <w:rsid w:val="00CB15D7"/>
    <w:rsid w:val="00CB1671"/>
    <w:rsid w:val="00CB2221"/>
    <w:rsid w:val="00CB2393"/>
    <w:rsid w:val="00CB23CE"/>
    <w:rsid w:val="00CB288E"/>
    <w:rsid w:val="00CB4119"/>
    <w:rsid w:val="00CB42EC"/>
    <w:rsid w:val="00CB4A7B"/>
    <w:rsid w:val="00CB4E20"/>
    <w:rsid w:val="00CB4EC9"/>
    <w:rsid w:val="00CB5195"/>
    <w:rsid w:val="00CB5556"/>
    <w:rsid w:val="00CB5FC6"/>
    <w:rsid w:val="00CB79C3"/>
    <w:rsid w:val="00CB7A25"/>
    <w:rsid w:val="00CC016A"/>
    <w:rsid w:val="00CC0FDC"/>
    <w:rsid w:val="00CC15ED"/>
    <w:rsid w:val="00CC2D4A"/>
    <w:rsid w:val="00CC31F3"/>
    <w:rsid w:val="00CC32F9"/>
    <w:rsid w:val="00CC34FE"/>
    <w:rsid w:val="00CC3D68"/>
    <w:rsid w:val="00CC4BC7"/>
    <w:rsid w:val="00CC4E7D"/>
    <w:rsid w:val="00CC5ADB"/>
    <w:rsid w:val="00CC6259"/>
    <w:rsid w:val="00CC6529"/>
    <w:rsid w:val="00CC7EF5"/>
    <w:rsid w:val="00CD0292"/>
    <w:rsid w:val="00CD0FEC"/>
    <w:rsid w:val="00CD139F"/>
    <w:rsid w:val="00CD1505"/>
    <w:rsid w:val="00CD1D22"/>
    <w:rsid w:val="00CD2308"/>
    <w:rsid w:val="00CD25B5"/>
    <w:rsid w:val="00CD3429"/>
    <w:rsid w:val="00CD4331"/>
    <w:rsid w:val="00CD4D75"/>
    <w:rsid w:val="00CD537F"/>
    <w:rsid w:val="00CD5793"/>
    <w:rsid w:val="00CD6674"/>
    <w:rsid w:val="00CD6D53"/>
    <w:rsid w:val="00CD6FA3"/>
    <w:rsid w:val="00CD745A"/>
    <w:rsid w:val="00CD781E"/>
    <w:rsid w:val="00CD7AF9"/>
    <w:rsid w:val="00CD7C8D"/>
    <w:rsid w:val="00CD7E8F"/>
    <w:rsid w:val="00CE00FB"/>
    <w:rsid w:val="00CE02EC"/>
    <w:rsid w:val="00CE030F"/>
    <w:rsid w:val="00CE0B85"/>
    <w:rsid w:val="00CE0F3D"/>
    <w:rsid w:val="00CE0F5B"/>
    <w:rsid w:val="00CE164B"/>
    <w:rsid w:val="00CE176B"/>
    <w:rsid w:val="00CE1F40"/>
    <w:rsid w:val="00CE2168"/>
    <w:rsid w:val="00CE2927"/>
    <w:rsid w:val="00CE3F73"/>
    <w:rsid w:val="00CE4482"/>
    <w:rsid w:val="00CE4BD4"/>
    <w:rsid w:val="00CE4CFA"/>
    <w:rsid w:val="00CE528B"/>
    <w:rsid w:val="00CE58B0"/>
    <w:rsid w:val="00CE5A81"/>
    <w:rsid w:val="00CE67CA"/>
    <w:rsid w:val="00CE6872"/>
    <w:rsid w:val="00CE6ED1"/>
    <w:rsid w:val="00CE74AF"/>
    <w:rsid w:val="00CE759D"/>
    <w:rsid w:val="00CE76B1"/>
    <w:rsid w:val="00CE7C93"/>
    <w:rsid w:val="00CF0788"/>
    <w:rsid w:val="00CF0AC9"/>
    <w:rsid w:val="00CF1188"/>
    <w:rsid w:val="00CF1882"/>
    <w:rsid w:val="00CF1B7B"/>
    <w:rsid w:val="00CF1BD8"/>
    <w:rsid w:val="00CF20A9"/>
    <w:rsid w:val="00CF22D3"/>
    <w:rsid w:val="00CF23A1"/>
    <w:rsid w:val="00CF2A80"/>
    <w:rsid w:val="00CF2B73"/>
    <w:rsid w:val="00CF2B79"/>
    <w:rsid w:val="00CF43C9"/>
    <w:rsid w:val="00CF4550"/>
    <w:rsid w:val="00CF457E"/>
    <w:rsid w:val="00CF4820"/>
    <w:rsid w:val="00CF59C6"/>
    <w:rsid w:val="00CF5C2E"/>
    <w:rsid w:val="00CF5CB5"/>
    <w:rsid w:val="00CF6CAC"/>
    <w:rsid w:val="00CF6EC4"/>
    <w:rsid w:val="00CF708F"/>
    <w:rsid w:val="00CF7B0C"/>
    <w:rsid w:val="00D003B6"/>
    <w:rsid w:val="00D01CE7"/>
    <w:rsid w:val="00D02682"/>
    <w:rsid w:val="00D0271E"/>
    <w:rsid w:val="00D02E29"/>
    <w:rsid w:val="00D02EB8"/>
    <w:rsid w:val="00D03074"/>
    <w:rsid w:val="00D03190"/>
    <w:rsid w:val="00D03B9C"/>
    <w:rsid w:val="00D03D27"/>
    <w:rsid w:val="00D046AB"/>
    <w:rsid w:val="00D05046"/>
    <w:rsid w:val="00D0550F"/>
    <w:rsid w:val="00D0570A"/>
    <w:rsid w:val="00D05B20"/>
    <w:rsid w:val="00D05E32"/>
    <w:rsid w:val="00D066F6"/>
    <w:rsid w:val="00D06A43"/>
    <w:rsid w:val="00D06A48"/>
    <w:rsid w:val="00D072D4"/>
    <w:rsid w:val="00D07308"/>
    <w:rsid w:val="00D079CC"/>
    <w:rsid w:val="00D11568"/>
    <w:rsid w:val="00D116B2"/>
    <w:rsid w:val="00D11AC9"/>
    <w:rsid w:val="00D11D8E"/>
    <w:rsid w:val="00D11FDC"/>
    <w:rsid w:val="00D14F42"/>
    <w:rsid w:val="00D15255"/>
    <w:rsid w:val="00D15C0D"/>
    <w:rsid w:val="00D1674D"/>
    <w:rsid w:val="00D16BE6"/>
    <w:rsid w:val="00D170DF"/>
    <w:rsid w:val="00D1725B"/>
    <w:rsid w:val="00D1729A"/>
    <w:rsid w:val="00D177D7"/>
    <w:rsid w:val="00D179EA"/>
    <w:rsid w:val="00D17D79"/>
    <w:rsid w:val="00D17ECD"/>
    <w:rsid w:val="00D20427"/>
    <w:rsid w:val="00D20734"/>
    <w:rsid w:val="00D2156E"/>
    <w:rsid w:val="00D21796"/>
    <w:rsid w:val="00D2181E"/>
    <w:rsid w:val="00D218C5"/>
    <w:rsid w:val="00D21FD9"/>
    <w:rsid w:val="00D2228B"/>
    <w:rsid w:val="00D22334"/>
    <w:rsid w:val="00D2244C"/>
    <w:rsid w:val="00D22535"/>
    <w:rsid w:val="00D235A9"/>
    <w:rsid w:val="00D23D36"/>
    <w:rsid w:val="00D23D81"/>
    <w:rsid w:val="00D248FE"/>
    <w:rsid w:val="00D24AC6"/>
    <w:rsid w:val="00D25C96"/>
    <w:rsid w:val="00D26B03"/>
    <w:rsid w:val="00D26BEA"/>
    <w:rsid w:val="00D2753C"/>
    <w:rsid w:val="00D27D6F"/>
    <w:rsid w:val="00D3065D"/>
    <w:rsid w:val="00D30F2A"/>
    <w:rsid w:val="00D318B7"/>
    <w:rsid w:val="00D319D9"/>
    <w:rsid w:val="00D31A25"/>
    <w:rsid w:val="00D322B8"/>
    <w:rsid w:val="00D32D80"/>
    <w:rsid w:val="00D3429B"/>
    <w:rsid w:val="00D34820"/>
    <w:rsid w:val="00D34A3E"/>
    <w:rsid w:val="00D34E2F"/>
    <w:rsid w:val="00D34E95"/>
    <w:rsid w:val="00D352ED"/>
    <w:rsid w:val="00D3536D"/>
    <w:rsid w:val="00D3549B"/>
    <w:rsid w:val="00D35A12"/>
    <w:rsid w:val="00D37BAB"/>
    <w:rsid w:val="00D37D53"/>
    <w:rsid w:val="00D4013C"/>
    <w:rsid w:val="00D41B9B"/>
    <w:rsid w:val="00D41D93"/>
    <w:rsid w:val="00D42E17"/>
    <w:rsid w:val="00D4304F"/>
    <w:rsid w:val="00D44385"/>
    <w:rsid w:val="00D44BCE"/>
    <w:rsid w:val="00D44BD5"/>
    <w:rsid w:val="00D44CC5"/>
    <w:rsid w:val="00D45DAA"/>
    <w:rsid w:val="00D461C4"/>
    <w:rsid w:val="00D466C2"/>
    <w:rsid w:val="00D47380"/>
    <w:rsid w:val="00D4758B"/>
    <w:rsid w:val="00D5008F"/>
    <w:rsid w:val="00D50EC2"/>
    <w:rsid w:val="00D51AE0"/>
    <w:rsid w:val="00D51C83"/>
    <w:rsid w:val="00D52024"/>
    <w:rsid w:val="00D54422"/>
    <w:rsid w:val="00D5590D"/>
    <w:rsid w:val="00D55934"/>
    <w:rsid w:val="00D55CDB"/>
    <w:rsid w:val="00D5694B"/>
    <w:rsid w:val="00D5698D"/>
    <w:rsid w:val="00D56E76"/>
    <w:rsid w:val="00D575F5"/>
    <w:rsid w:val="00D6057D"/>
    <w:rsid w:val="00D6081C"/>
    <w:rsid w:val="00D612CB"/>
    <w:rsid w:val="00D615CD"/>
    <w:rsid w:val="00D6192B"/>
    <w:rsid w:val="00D6244E"/>
    <w:rsid w:val="00D63350"/>
    <w:rsid w:val="00D636FC"/>
    <w:rsid w:val="00D63886"/>
    <w:rsid w:val="00D64190"/>
    <w:rsid w:val="00D641AD"/>
    <w:rsid w:val="00D6423C"/>
    <w:rsid w:val="00D64B49"/>
    <w:rsid w:val="00D64E31"/>
    <w:rsid w:val="00D64EE3"/>
    <w:rsid w:val="00D651B3"/>
    <w:rsid w:val="00D664E9"/>
    <w:rsid w:val="00D66522"/>
    <w:rsid w:val="00D66678"/>
    <w:rsid w:val="00D66889"/>
    <w:rsid w:val="00D668E4"/>
    <w:rsid w:val="00D66DE5"/>
    <w:rsid w:val="00D6711B"/>
    <w:rsid w:val="00D67366"/>
    <w:rsid w:val="00D6762C"/>
    <w:rsid w:val="00D67771"/>
    <w:rsid w:val="00D67AC9"/>
    <w:rsid w:val="00D710F0"/>
    <w:rsid w:val="00D71DB5"/>
    <w:rsid w:val="00D7249E"/>
    <w:rsid w:val="00D73883"/>
    <w:rsid w:val="00D73B70"/>
    <w:rsid w:val="00D73EC5"/>
    <w:rsid w:val="00D74A0B"/>
    <w:rsid w:val="00D74EB2"/>
    <w:rsid w:val="00D75185"/>
    <w:rsid w:val="00D75872"/>
    <w:rsid w:val="00D759FD"/>
    <w:rsid w:val="00D75DFF"/>
    <w:rsid w:val="00D76007"/>
    <w:rsid w:val="00D764A1"/>
    <w:rsid w:val="00D767EA"/>
    <w:rsid w:val="00D80045"/>
    <w:rsid w:val="00D80132"/>
    <w:rsid w:val="00D809CA"/>
    <w:rsid w:val="00D80AEA"/>
    <w:rsid w:val="00D80B69"/>
    <w:rsid w:val="00D80F70"/>
    <w:rsid w:val="00D81103"/>
    <w:rsid w:val="00D81A92"/>
    <w:rsid w:val="00D82877"/>
    <w:rsid w:val="00D82A1C"/>
    <w:rsid w:val="00D8320E"/>
    <w:rsid w:val="00D839F7"/>
    <w:rsid w:val="00D83E44"/>
    <w:rsid w:val="00D83F1F"/>
    <w:rsid w:val="00D84111"/>
    <w:rsid w:val="00D84186"/>
    <w:rsid w:val="00D848E3"/>
    <w:rsid w:val="00D86D1A"/>
    <w:rsid w:val="00D86F82"/>
    <w:rsid w:val="00D86FC4"/>
    <w:rsid w:val="00D874B3"/>
    <w:rsid w:val="00D902F5"/>
    <w:rsid w:val="00D90487"/>
    <w:rsid w:val="00D90726"/>
    <w:rsid w:val="00D90785"/>
    <w:rsid w:val="00D9085C"/>
    <w:rsid w:val="00D90C93"/>
    <w:rsid w:val="00D90F27"/>
    <w:rsid w:val="00D91AB9"/>
    <w:rsid w:val="00D91F08"/>
    <w:rsid w:val="00D92029"/>
    <w:rsid w:val="00D922F3"/>
    <w:rsid w:val="00D92548"/>
    <w:rsid w:val="00D92573"/>
    <w:rsid w:val="00D92784"/>
    <w:rsid w:val="00D933F8"/>
    <w:rsid w:val="00D94122"/>
    <w:rsid w:val="00D95E33"/>
    <w:rsid w:val="00D962D4"/>
    <w:rsid w:val="00D97283"/>
    <w:rsid w:val="00DA1DBF"/>
    <w:rsid w:val="00DA1E67"/>
    <w:rsid w:val="00DA362B"/>
    <w:rsid w:val="00DA36C8"/>
    <w:rsid w:val="00DA3754"/>
    <w:rsid w:val="00DA5044"/>
    <w:rsid w:val="00DA54C7"/>
    <w:rsid w:val="00DA6022"/>
    <w:rsid w:val="00DA6F8B"/>
    <w:rsid w:val="00DA70B2"/>
    <w:rsid w:val="00DA7836"/>
    <w:rsid w:val="00DA7F6E"/>
    <w:rsid w:val="00DB00EE"/>
    <w:rsid w:val="00DB0349"/>
    <w:rsid w:val="00DB0731"/>
    <w:rsid w:val="00DB0B80"/>
    <w:rsid w:val="00DB114F"/>
    <w:rsid w:val="00DB186B"/>
    <w:rsid w:val="00DB19CB"/>
    <w:rsid w:val="00DB1F84"/>
    <w:rsid w:val="00DB20D2"/>
    <w:rsid w:val="00DB20F3"/>
    <w:rsid w:val="00DB24CD"/>
    <w:rsid w:val="00DB2B5A"/>
    <w:rsid w:val="00DB313D"/>
    <w:rsid w:val="00DB3241"/>
    <w:rsid w:val="00DB3B0D"/>
    <w:rsid w:val="00DB3F82"/>
    <w:rsid w:val="00DB4C95"/>
    <w:rsid w:val="00DB4D05"/>
    <w:rsid w:val="00DB57BE"/>
    <w:rsid w:val="00DB77CA"/>
    <w:rsid w:val="00DC0134"/>
    <w:rsid w:val="00DC02D3"/>
    <w:rsid w:val="00DC05C8"/>
    <w:rsid w:val="00DC0DD6"/>
    <w:rsid w:val="00DC0F85"/>
    <w:rsid w:val="00DC1696"/>
    <w:rsid w:val="00DC191A"/>
    <w:rsid w:val="00DC1DF0"/>
    <w:rsid w:val="00DC40F2"/>
    <w:rsid w:val="00DC482B"/>
    <w:rsid w:val="00DC4A97"/>
    <w:rsid w:val="00DC543F"/>
    <w:rsid w:val="00DC55A7"/>
    <w:rsid w:val="00DC58DE"/>
    <w:rsid w:val="00DC5CF9"/>
    <w:rsid w:val="00DC6B01"/>
    <w:rsid w:val="00DC759D"/>
    <w:rsid w:val="00DC7CB0"/>
    <w:rsid w:val="00DD0358"/>
    <w:rsid w:val="00DD03E8"/>
    <w:rsid w:val="00DD1010"/>
    <w:rsid w:val="00DD1013"/>
    <w:rsid w:val="00DD1114"/>
    <w:rsid w:val="00DD13A3"/>
    <w:rsid w:val="00DD1A90"/>
    <w:rsid w:val="00DD1CFE"/>
    <w:rsid w:val="00DD1D15"/>
    <w:rsid w:val="00DD1FD6"/>
    <w:rsid w:val="00DD202A"/>
    <w:rsid w:val="00DD214F"/>
    <w:rsid w:val="00DD4243"/>
    <w:rsid w:val="00DD4586"/>
    <w:rsid w:val="00DD45FA"/>
    <w:rsid w:val="00DD4DF6"/>
    <w:rsid w:val="00DD4F1F"/>
    <w:rsid w:val="00DD56AA"/>
    <w:rsid w:val="00DD69BD"/>
    <w:rsid w:val="00DD72CE"/>
    <w:rsid w:val="00DD7E00"/>
    <w:rsid w:val="00DE0D31"/>
    <w:rsid w:val="00DE1FC7"/>
    <w:rsid w:val="00DE3759"/>
    <w:rsid w:val="00DE45C0"/>
    <w:rsid w:val="00DE487A"/>
    <w:rsid w:val="00DE4F69"/>
    <w:rsid w:val="00DE512F"/>
    <w:rsid w:val="00DE5420"/>
    <w:rsid w:val="00DE6538"/>
    <w:rsid w:val="00DE7ABE"/>
    <w:rsid w:val="00DF0327"/>
    <w:rsid w:val="00DF0872"/>
    <w:rsid w:val="00DF13C6"/>
    <w:rsid w:val="00DF154A"/>
    <w:rsid w:val="00DF18D3"/>
    <w:rsid w:val="00DF2C79"/>
    <w:rsid w:val="00DF2CCD"/>
    <w:rsid w:val="00DF2F62"/>
    <w:rsid w:val="00DF3301"/>
    <w:rsid w:val="00DF349D"/>
    <w:rsid w:val="00DF4983"/>
    <w:rsid w:val="00DF4BD5"/>
    <w:rsid w:val="00DF5041"/>
    <w:rsid w:val="00DF55E7"/>
    <w:rsid w:val="00DF57C2"/>
    <w:rsid w:val="00DF5CB6"/>
    <w:rsid w:val="00DF5E2D"/>
    <w:rsid w:val="00DF65D2"/>
    <w:rsid w:val="00DF7272"/>
    <w:rsid w:val="00DF7294"/>
    <w:rsid w:val="00DF7635"/>
    <w:rsid w:val="00E0091A"/>
    <w:rsid w:val="00E00988"/>
    <w:rsid w:val="00E00A1B"/>
    <w:rsid w:val="00E00F1E"/>
    <w:rsid w:val="00E01B71"/>
    <w:rsid w:val="00E02D0D"/>
    <w:rsid w:val="00E034AA"/>
    <w:rsid w:val="00E0355C"/>
    <w:rsid w:val="00E03960"/>
    <w:rsid w:val="00E03B0A"/>
    <w:rsid w:val="00E0482F"/>
    <w:rsid w:val="00E04C92"/>
    <w:rsid w:val="00E04F28"/>
    <w:rsid w:val="00E052D9"/>
    <w:rsid w:val="00E057DB"/>
    <w:rsid w:val="00E066C9"/>
    <w:rsid w:val="00E06BBF"/>
    <w:rsid w:val="00E06E47"/>
    <w:rsid w:val="00E07166"/>
    <w:rsid w:val="00E1017E"/>
    <w:rsid w:val="00E104C6"/>
    <w:rsid w:val="00E10920"/>
    <w:rsid w:val="00E1152D"/>
    <w:rsid w:val="00E11A90"/>
    <w:rsid w:val="00E11C9E"/>
    <w:rsid w:val="00E11E75"/>
    <w:rsid w:val="00E12143"/>
    <w:rsid w:val="00E12467"/>
    <w:rsid w:val="00E124D2"/>
    <w:rsid w:val="00E13550"/>
    <w:rsid w:val="00E13598"/>
    <w:rsid w:val="00E14797"/>
    <w:rsid w:val="00E161E3"/>
    <w:rsid w:val="00E16936"/>
    <w:rsid w:val="00E17B07"/>
    <w:rsid w:val="00E2086A"/>
    <w:rsid w:val="00E2090F"/>
    <w:rsid w:val="00E20B7A"/>
    <w:rsid w:val="00E20C21"/>
    <w:rsid w:val="00E20E7A"/>
    <w:rsid w:val="00E2211F"/>
    <w:rsid w:val="00E24D03"/>
    <w:rsid w:val="00E24DF6"/>
    <w:rsid w:val="00E24EF0"/>
    <w:rsid w:val="00E24F5A"/>
    <w:rsid w:val="00E25379"/>
    <w:rsid w:val="00E25830"/>
    <w:rsid w:val="00E25EE5"/>
    <w:rsid w:val="00E26E2D"/>
    <w:rsid w:val="00E27C7E"/>
    <w:rsid w:val="00E322B4"/>
    <w:rsid w:val="00E32334"/>
    <w:rsid w:val="00E32917"/>
    <w:rsid w:val="00E32A28"/>
    <w:rsid w:val="00E3337A"/>
    <w:rsid w:val="00E33401"/>
    <w:rsid w:val="00E33484"/>
    <w:rsid w:val="00E334DC"/>
    <w:rsid w:val="00E336D5"/>
    <w:rsid w:val="00E33EA5"/>
    <w:rsid w:val="00E343EB"/>
    <w:rsid w:val="00E34F90"/>
    <w:rsid w:val="00E35AE5"/>
    <w:rsid w:val="00E35C64"/>
    <w:rsid w:val="00E371E5"/>
    <w:rsid w:val="00E3777F"/>
    <w:rsid w:val="00E37F8E"/>
    <w:rsid w:val="00E40934"/>
    <w:rsid w:val="00E40EA3"/>
    <w:rsid w:val="00E413E2"/>
    <w:rsid w:val="00E41785"/>
    <w:rsid w:val="00E41A65"/>
    <w:rsid w:val="00E438C9"/>
    <w:rsid w:val="00E438D5"/>
    <w:rsid w:val="00E43BFA"/>
    <w:rsid w:val="00E43E3A"/>
    <w:rsid w:val="00E44496"/>
    <w:rsid w:val="00E4510B"/>
    <w:rsid w:val="00E453DC"/>
    <w:rsid w:val="00E4565C"/>
    <w:rsid w:val="00E45AB8"/>
    <w:rsid w:val="00E46681"/>
    <w:rsid w:val="00E46E44"/>
    <w:rsid w:val="00E475CE"/>
    <w:rsid w:val="00E5072C"/>
    <w:rsid w:val="00E50A9C"/>
    <w:rsid w:val="00E5192E"/>
    <w:rsid w:val="00E5312D"/>
    <w:rsid w:val="00E531B7"/>
    <w:rsid w:val="00E543CB"/>
    <w:rsid w:val="00E5479E"/>
    <w:rsid w:val="00E555EC"/>
    <w:rsid w:val="00E55829"/>
    <w:rsid w:val="00E562CE"/>
    <w:rsid w:val="00E56693"/>
    <w:rsid w:val="00E56AF0"/>
    <w:rsid w:val="00E56C03"/>
    <w:rsid w:val="00E57B96"/>
    <w:rsid w:val="00E57E9F"/>
    <w:rsid w:val="00E603B3"/>
    <w:rsid w:val="00E61660"/>
    <w:rsid w:val="00E61C17"/>
    <w:rsid w:val="00E61C3C"/>
    <w:rsid w:val="00E62FBF"/>
    <w:rsid w:val="00E639C8"/>
    <w:rsid w:val="00E64AC1"/>
    <w:rsid w:val="00E654B4"/>
    <w:rsid w:val="00E65B4A"/>
    <w:rsid w:val="00E668B2"/>
    <w:rsid w:val="00E6783C"/>
    <w:rsid w:val="00E6784A"/>
    <w:rsid w:val="00E67A3B"/>
    <w:rsid w:val="00E67A59"/>
    <w:rsid w:val="00E70419"/>
    <w:rsid w:val="00E7067D"/>
    <w:rsid w:val="00E7084B"/>
    <w:rsid w:val="00E71204"/>
    <w:rsid w:val="00E71C78"/>
    <w:rsid w:val="00E72A0D"/>
    <w:rsid w:val="00E72AEA"/>
    <w:rsid w:val="00E72C2B"/>
    <w:rsid w:val="00E74220"/>
    <w:rsid w:val="00E745C8"/>
    <w:rsid w:val="00E75857"/>
    <w:rsid w:val="00E758F5"/>
    <w:rsid w:val="00E75B82"/>
    <w:rsid w:val="00E761FF"/>
    <w:rsid w:val="00E76488"/>
    <w:rsid w:val="00E76881"/>
    <w:rsid w:val="00E80030"/>
    <w:rsid w:val="00E80036"/>
    <w:rsid w:val="00E8036B"/>
    <w:rsid w:val="00E81011"/>
    <w:rsid w:val="00E819FF"/>
    <w:rsid w:val="00E82E4E"/>
    <w:rsid w:val="00E8329F"/>
    <w:rsid w:val="00E83A94"/>
    <w:rsid w:val="00E840D9"/>
    <w:rsid w:val="00E840FD"/>
    <w:rsid w:val="00E84797"/>
    <w:rsid w:val="00E84F5A"/>
    <w:rsid w:val="00E8539F"/>
    <w:rsid w:val="00E8627B"/>
    <w:rsid w:val="00E8699D"/>
    <w:rsid w:val="00E87175"/>
    <w:rsid w:val="00E87556"/>
    <w:rsid w:val="00E900BF"/>
    <w:rsid w:val="00E91EC7"/>
    <w:rsid w:val="00E9280F"/>
    <w:rsid w:val="00E9285F"/>
    <w:rsid w:val="00E928B5"/>
    <w:rsid w:val="00E9320D"/>
    <w:rsid w:val="00E9352A"/>
    <w:rsid w:val="00E9390E"/>
    <w:rsid w:val="00E93A03"/>
    <w:rsid w:val="00E93DF5"/>
    <w:rsid w:val="00E94335"/>
    <w:rsid w:val="00E955A0"/>
    <w:rsid w:val="00E95D00"/>
    <w:rsid w:val="00E95DEF"/>
    <w:rsid w:val="00E96728"/>
    <w:rsid w:val="00E96759"/>
    <w:rsid w:val="00E972D8"/>
    <w:rsid w:val="00E97E1F"/>
    <w:rsid w:val="00E97EAE"/>
    <w:rsid w:val="00EA11B2"/>
    <w:rsid w:val="00EA181D"/>
    <w:rsid w:val="00EA1CAD"/>
    <w:rsid w:val="00EA2361"/>
    <w:rsid w:val="00EA255E"/>
    <w:rsid w:val="00EA2982"/>
    <w:rsid w:val="00EA2E68"/>
    <w:rsid w:val="00EA3D8B"/>
    <w:rsid w:val="00EA64B7"/>
    <w:rsid w:val="00EA6CA9"/>
    <w:rsid w:val="00EA6EE6"/>
    <w:rsid w:val="00EA7088"/>
    <w:rsid w:val="00EA7532"/>
    <w:rsid w:val="00EA7F13"/>
    <w:rsid w:val="00EA7F3C"/>
    <w:rsid w:val="00EA7F97"/>
    <w:rsid w:val="00EB02C1"/>
    <w:rsid w:val="00EB18E9"/>
    <w:rsid w:val="00EB19C0"/>
    <w:rsid w:val="00EB1D81"/>
    <w:rsid w:val="00EB1D88"/>
    <w:rsid w:val="00EB20CE"/>
    <w:rsid w:val="00EB399A"/>
    <w:rsid w:val="00EB3AA6"/>
    <w:rsid w:val="00EB439A"/>
    <w:rsid w:val="00EB51FF"/>
    <w:rsid w:val="00EB67EB"/>
    <w:rsid w:val="00EB7602"/>
    <w:rsid w:val="00EB7993"/>
    <w:rsid w:val="00EC0127"/>
    <w:rsid w:val="00EC0947"/>
    <w:rsid w:val="00EC09B6"/>
    <w:rsid w:val="00EC0C7E"/>
    <w:rsid w:val="00EC22FC"/>
    <w:rsid w:val="00EC2715"/>
    <w:rsid w:val="00EC2896"/>
    <w:rsid w:val="00EC289D"/>
    <w:rsid w:val="00EC3760"/>
    <w:rsid w:val="00EC3DE9"/>
    <w:rsid w:val="00EC4908"/>
    <w:rsid w:val="00EC5286"/>
    <w:rsid w:val="00EC5D1A"/>
    <w:rsid w:val="00EC5D25"/>
    <w:rsid w:val="00EC5DC7"/>
    <w:rsid w:val="00EC5F62"/>
    <w:rsid w:val="00EC772F"/>
    <w:rsid w:val="00EC7745"/>
    <w:rsid w:val="00EC7DE2"/>
    <w:rsid w:val="00EC7E2A"/>
    <w:rsid w:val="00ED05D5"/>
    <w:rsid w:val="00ED06B0"/>
    <w:rsid w:val="00ED0A47"/>
    <w:rsid w:val="00ED0BB5"/>
    <w:rsid w:val="00ED1D65"/>
    <w:rsid w:val="00ED382B"/>
    <w:rsid w:val="00ED3A75"/>
    <w:rsid w:val="00ED40BF"/>
    <w:rsid w:val="00ED470A"/>
    <w:rsid w:val="00ED53DA"/>
    <w:rsid w:val="00ED5DDE"/>
    <w:rsid w:val="00ED6886"/>
    <w:rsid w:val="00ED6EE8"/>
    <w:rsid w:val="00ED7034"/>
    <w:rsid w:val="00ED7CCC"/>
    <w:rsid w:val="00EE0443"/>
    <w:rsid w:val="00EE0653"/>
    <w:rsid w:val="00EE0C80"/>
    <w:rsid w:val="00EE14C8"/>
    <w:rsid w:val="00EE15BE"/>
    <w:rsid w:val="00EE166A"/>
    <w:rsid w:val="00EE2307"/>
    <w:rsid w:val="00EE23E0"/>
    <w:rsid w:val="00EE252D"/>
    <w:rsid w:val="00EE292A"/>
    <w:rsid w:val="00EE310E"/>
    <w:rsid w:val="00EE3437"/>
    <w:rsid w:val="00EE3ADF"/>
    <w:rsid w:val="00EE42A7"/>
    <w:rsid w:val="00EE4FDD"/>
    <w:rsid w:val="00EE55F8"/>
    <w:rsid w:val="00EE5A6E"/>
    <w:rsid w:val="00EE5EC6"/>
    <w:rsid w:val="00EE6521"/>
    <w:rsid w:val="00EE6A56"/>
    <w:rsid w:val="00EE6EFE"/>
    <w:rsid w:val="00EE70D0"/>
    <w:rsid w:val="00EE78D8"/>
    <w:rsid w:val="00EE7DB8"/>
    <w:rsid w:val="00EF083B"/>
    <w:rsid w:val="00EF0A37"/>
    <w:rsid w:val="00EF166C"/>
    <w:rsid w:val="00EF1D03"/>
    <w:rsid w:val="00EF2748"/>
    <w:rsid w:val="00EF3A20"/>
    <w:rsid w:val="00EF465A"/>
    <w:rsid w:val="00EF4CF3"/>
    <w:rsid w:val="00EF5655"/>
    <w:rsid w:val="00EF5BE9"/>
    <w:rsid w:val="00EF5DF7"/>
    <w:rsid w:val="00EF68EF"/>
    <w:rsid w:val="00EF6D5E"/>
    <w:rsid w:val="00EF70EF"/>
    <w:rsid w:val="00EF71FB"/>
    <w:rsid w:val="00EF7800"/>
    <w:rsid w:val="00F00137"/>
    <w:rsid w:val="00F00DCE"/>
    <w:rsid w:val="00F015A3"/>
    <w:rsid w:val="00F02E67"/>
    <w:rsid w:val="00F03270"/>
    <w:rsid w:val="00F036F8"/>
    <w:rsid w:val="00F039FE"/>
    <w:rsid w:val="00F03E8C"/>
    <w:rsid w:val="00F0433A"/>
    <w:rsid w:val="00F047CA"/>
    <w:rsid w:val="00F04B5E"/>
    <w:rsid w:val="00F04DA8"/>
    <w:rsid w:val="00F04E6A"/>
    <w:rsid w:val="00F04F5B"/>
    <w:rsid w:val="00F05185"/>
    <w:rsid w:val="00F052EF"/>
    <w:rsid w:val="00F05D49"/>
    <w:rsid w:val="00F05F33"/>
    <w:rsid w:val="00F06EA2"/>
    <w:rsid w:val="00F07676"/>
    <w:rsid w:val="00F0780C"/>
    <w:rsid w:val="00F101C2"/>
    <w:rsid w:val="00F1030E"/>
    <w:rsid w:val="00F10459"/>
    <w:rsid w:val="00F1067B"/>
    <w:rsid w:val="00F11041"/>
    <w:rsid w:val="00F11296"/>
    <w:rsid w:val="00F120C7"/>
    <w:rsid w:val="00F128B7"/>
    <w:rsid w:val="00F13558"/>
    <w:rsid w:val="00F13CCB"/>
    <w:rsid w:val="00F13FE6"/>
    <w:rsid w:val="00F141DF"/>
    <w:rsid w:val="00F142EC"/>
    <w:rsid w:val="00F14343"/>
    <w:rsid w:val="00F14D63"/>
    <w:rsid w:val="00F154B0"/>
    <w:rsid w:val="00F15C85"/>
    <w:rsid w:val="00F16620"/>
    <w:rsid w:val="00F1680D"/>
    <w:rsid w:val="00F17483"/>
    <w:rsid w:val="00F1756C"/>
    <w:rsid w:val="00F17DA3"/>
    <w:rsid w:val="00F20542"/>
    <w:rsid w:val="00F211F5"/>
    <w:rsid w:val="00F217EF"/>
    <w:rsid w:val="00F21AD9"/>
    <w:rsid w:val="00F21B38"/>
    <w:rsid w:val="00F21BF1"/>
    <w:rsid w:val="00F23B97"/>
    <w:rsid w:val="00F23DB5"/>
    <w:rsid w:val="00F24336"/>
    <w:rsid w:val="00F252FE"/>
    <w:rsid w:val="00F2597F"/>
    <w:rsid w:val="00F25E9F"/>
    <w:rsid w:val="00F25EC1"/>
    <w:rsid w:val="00F2621C"/>
    <w:rsid w:val="00F27DB8"/>
    <w:rsid w:val="00F302C1"/>
    <w:rsid w:val="00F314CD"/>
    <w:rsid w:val="00F31663"/>
    <w:rsid w:val="00F31B14"/>
    <w:rsid w:val="00F326DD"/>
    <w:rsid w:val="00F32AA9"/>
    <w:rsid w:val="00F3345B"/>
    <w:rsid w:val="00F34F75"/>
    <w:rsid w:val="00F35BEE"/>
    <w:rsid w:val="00F35C80"/>
    <w:rsid w:val="00F35CD1"/>
    <w:rsid w:val="00F36F8B"/>
    <w:rsid w:val="00F37203"/>
    <w:rsid w:val="00F377FA"/>
    <w:rsid w:val="00F379F5"/>
    <w:rsid w:val="00F37AD1"/>
    <w:rsid w:val="00F400A4"/>
    <w:rsid w:val="00F401AD"/>
    <w:rsid w:val="00F415B4"/>
    <w:rsid w:val="00F41B62"/>
    <w:rsid w:val="00F42223"/>
    <w:rsid w:val="00F42B68"/>
    <w:rsid w:val="00F42C40"/>
    <w:rsid w:val="00F432DE"/>
    <w:rsid w:val="00F43690"/>
    <w:rsid w:val="00F4383A"/>
    <w:rsid w:val="00F43B36"/>
    <w:rsid w:val="00F443D8"/>
    <w:rsid w:val="00F44B73"/>
    <w:rsid w:val="00F458CC"/>
    <w:rsid w:val="00F4658B"/>
    <w:rsid w:val="00F47017"/>
    <w:rsid w:val="00F4731F"/>
    <w:rsid w:val="00F477F8"/>
    <w:rsid w:val="00F507C3"/>
    <w:rsid w:val="00F513F6"/>
    <w:rsid w:val="00F51523"/>
    <w:rsid w:val="00F518ED"/>
    <w:rsid w:val="00F52091"/>
    <w:rsid w:val="00F52ABB"/>
    <w:rsid w:val="00F52EFD"/>
    <w:rsid w:val="00F52F95"/>
    <w:rsid w:val="00F535EF"/>
    <w:rsid w:val="00F53948"/>
    <w:rsid w:val="00F54A0D"/>
    <w:rsid w:val="00F54CAB"/>
    <w:rsid w:val="00F560F6"/>
    <w:rsid w:val="00F56777"/>
    <w:rsid w:val="00F57B21"/>
    <w:rsid w:val="00F60116"/>
    <w:rsid w:val="00F614C0"/>
    <w:rsid w:val="00F619D6"/>
    <w:rsid w:val="00F61B26"/>
    <w:rsid w:val="00F6201F"/>
    <w:rsid w:val="00F62856"/>
    <w:rsid w:val="00F629ED"/>
    <w:rsid w:val="00F6315C"/>
    <w:rsid w:val="00F63BF6"/>
    <w:rsid w:val="00F63C81"/>
    <w:rsid w:val="00F63E2A"/>
    <w:rsid w:val="00F63E84"/>
    <w:rsid w:val="00F64964"/>
    <w:rsid w:val="00F64970"/>
    <w:rsid w:val="00F64EAE"/>
    <w:rsid w:val="00F654FB"/>
    <w:rsid w:val="00F656F5"/>
    <w:rsid w:val="00F661FD"/>
    <w:rsid w:val="00F6658F"/>
    <w:rsid w:val="00F6664B"/>
    <w:rsid w:val="00F66B32"/>
    <w:rsid w:val="00F66C2F"/>
    <w:rsid w:val="00F67A5A"/>
    <w:rsid w:val="00F67BF9"/>
    <w:rsid w:val="00F67DA4"/>
    <w:rsid w:val="00F70C44"/>
    <w:rsid w:val="00F70DE4"/>
    <w:rsid w:val="00F711C3"/>
    <w:rsid w:val="00F71C59"/>
    <w:rsid w:val="00F72354"/>
    <w:rsid w:val="00F72A3C"/>
    <w:rsid w:val="00F72DE4"/>
    <w:rsid w:val="00F73A82"/>
    <w:rsid w:val="00F74183"/>
    <w:rsid w:val="00F74C0B"/>
    <w:rsid w:val="00F754A5"/>
    <w:rsid w:val="00F7559C"/>
    <w:rsid w:val="00F76253"/>
    <w:rsid w:val="00F763AC"/>
    <w:rsid w:val="00F76BF7"/>
    <w:rsid w:val="00F7722B"/>
    <w:rsid w:val="00F777F9"/>
    <w:rsid w:val="00F77A6D"/>
    <w:rsid w:val="00F805CC"/>
    <w:rsid w:val="00F80C10"/>
    <w:rsid w:val="00F80D5F"/>
    <w:rsid w:val="00F81874"/>
    <w:rsid w:val="00F82AFF"/>
    <w:rsid w:val="00F83074"/>
    <w:rsid w:val="00F8371D"/>
    <w:rsid w:val="00F85A5D"/>
    <w:rsid w:val="00F85BBC"/>
    <w:rsid w:val="00F86755"/>
    <w:rsid w:val="00F86ECA"/>
    <w:rsid w:val="00F8708E"/>
    <w:rsid w:val="00F87970"/>
    <w:rsid w:val="00F87AFB"/>
    <w:rsid w:val="00F87B32"/>
    <w:rsid w:val="00F87D13"/>
    <w:rsid w:val="00F90BDF"/>
    <w:rsid w:val="00F90F49"/>
    <w:rsid w:val="00F91633"/>
    <w:rsid w:val="00F91782"/>
    <w:rsid w:val="00F91BB1"/>
    <w:rsid w:val="00F922C7"/>
    <w:rsid w:val="00F9241A"/>
    <w:rsid w:val="00F92AE9"/>
    <w:rsid w:val="00F94213"/>
    <w:rsid w:val="00F947AD"/>
    <w:rsid w:val="00F95162"/>
    <w:rsid w:val="00F952D3"/>
    <w:rsid w:val="00F95409"/>
    <w:rsid w:val="00F967EC"/>
    <w:rsid w:val="00F978EF"/>
    <w:rsid w:val="00F97E12"/>
    <w:rsid w:val="00FA073D"/>
    <w:rsid w:val="00FA09CE"/>
    <w:rsid w:val="00FA0C12"/>
    <w:rsid w:val="00FA0DF1"/>
    <w:rsid w:val="00FA1032"/>
    <w:rsid w:val="00FA142F"/>
    <w:rsid w:val="00FA2930"/>
    <w:rsid w:val="00FA31B7"/>
    <w:rsid w:val="00FA32AF"/>
    <w:rsid w:val="00FA3345"/>
    <w:rsid w:val="00FA368D"/>
    <w:rsid w:val="00FA3E3C"/>
    <w:rsid w:val="00FA414E"/>
    <w:rsid w:val="00FA4CA5"/>
    <w:rsid w:val="00FA4D43"/>
    <w:rsid w:val="00FA52B8"/>
    <w:rsid w:val="00FA5B92"/>
    <w:rsid w:val="00FA5E28"/>
    <w:rsid w:val="00FA675B"/>
    <w:rsid w:val="00FA72EA"/>
    <w:rsid w:val="00FA7A73"/>
    <w:rsid w:val="00FB0031"/>
    <w:rsid w:val="00FB0CBF"/>
    <w:rsid w:val="00FB10EC"/>
    <w:rsid w:val="00FB1EC4"/>
    <w:rsid w:val="00FB2717"/>
    <w:rsid w:val="00FB2E8B"/>
    <w:rsid w:val="00FB3FCB"/>
    <w:rsid w:val="00FB4A7D"/>
    <w:rsid w:val="00FB4CDD"/>
    <w:rsid w:val="00FB4FE6"/>
    <w:rsid w:val="00FB576B"/>
    <w:rsid w:val="00FB5CB8"/>
    <w:rsid w:val="00FC008F"/>
    <w:rsid w:val="00FC0A0C"/>
    <w:rsid w:val="00FC0B72"/>
    <w:rsid w:val="00FC1268"/>
    <w:rsid w:val="00FC13E8"/>
    <w:rsid w:val="00FC197D"/>
    <w:rsid w:val="00FC2055"/>
    <w:rsid w:val="00FC233F"/>
    <w:rsid w:val="00FC28C6"/>
    <w:rsid w:val="00FC3029"/>
    <w:rsid w:val="00FC3383"/>
    <w:rsid w:val="00FC35E9"/>
    <w:rsid w:val="00FC3745"/>
    <w:rsid w:val="00FC3785"/>
    <w:rsid w:val="00FC41E9"/>
    <w:rsid w:val="00FC44D9"/>
    <w:rsid w:val="00FC477F"/>
    <w:rsid w:val="00FC4823"/>
    <w:rsid w:val="00FC49F7"/>
    <w:rsid w:val="00FC4E5F"/>
    <w:rsid w:val="00FC511A"/>
    <w:rsid w:val="00FC64C4"/>
    <w:rsid w:val="00FC7144"/>
    <w:rsid w:val="00FC715D"/>
    <w:rsid w:val="00FC73D8"/>
    <w:rsid w:val="00FC78FC"/>
    <w:rsid w:val="00FD122F"/>
    <w:rsid w:val="00FD1424"/>
    <w:rsid w:val="00FD1B79"/>
    <w:rsid w:val="00FD2594"/>
    <w:rsid w:val="00FD2681"/>
    <w:rsid w:val="00FD29DC"/>
    <w:rsid w:val="00FD2E86"/>
    <w:rsid w:val="00FD4A4C"/>
    <w:rsid w:val="00FD4C78"/>
    <w:rsid w:val="00FD4EF9"/>
    <w:rsid w:val="00FD5AE4"/>
    <w:rsid w:val="00FD721A"/>
    <w:rsid w:val="00FD756D"/>
    <w:rsid w:val="00FD7618"/>
    <w:rsid w:val="00FE0FAC"/>
    <w:rsid w:val="00FE13E8"/>
    <w:rsid w:val="00FE1A01"/>
    <w:rsid w:val="00FE1C4B"/>
    <w:rsid w:val="00FE37D1"/>
    <w:rsid w:val="00FE38C8"/>
    <w:rsid w:val="00FE4360"/>
    <w:rsid w:val="00FE4390"/>
    <w:rsid w:val="00FE4DF1"/>
    <w:rsid w:val="00FE5618"/>
    <w:rsid w:val="00FE660D"/>
    <w:rsid w:val="00FE6AE2"/>
    <w:rsid w:val="00FE720F"/>
    <w:rsid w:val="00FE736B"/>
    <w:rsid w:val="00FE738A"/>
    <w:rsid w:val="00FE74E0"/>
    <w:rsid w:val="00FE7A6D"/>
    <w:rsid w:val="00FE7D25"/>
    <w:rsid w:val="00FE7E07"/>
    <w:rsid w:val="00FF07C3"/>
    <w:rsid w:val="00FF0CEC"/>
    <w:rsid w:val="00FF108F"/>
    <w:rsid w:val="00FF1207"/>
    <w:rsid w:val="00FF19AC"/>
    <w:rsid w:val="00FF2383"/>
    <w:rsid w:val="00FF2AE3"/>
    <w:rsid w:val="00FF2B5D"/>
    <w:rsid w:val="00FF3495"/>
    <w:rsid w:val="00FF46F5"/>
    <w:rsid w:val="00FF53C0"/>
    <w:rsid w:val="00FF546E"/>
    <w:rsid w:val="00FF5FEA"/>
    <w:rsid w:val="00FF6166"/>
    <w:rsid w:val="00FF6540"/>
    <w:rsid w:val="00FF6C60"/>
    <w:rsid w:val="00FF6E45"/>
    <w:rsid w:val="00FF7004"/>
    <w:rsid w:val="00FF76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08AF34"/>
  <w14:defaultImageDpi w14:val="300"/>
  <w15:docId w15:val="{96E4D92D-CA54-4C4B-9730-27A8CE7A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1" w:defUIPriority="99" w:defSemiHidden="0" w:defUnhideWhenUsed="0" w:defQFormat="0" w:count="375">
    <w:lsdException w:name="Normal" w:locked="0" w:uiPriority="1"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locked="0" w:semiHidden="1" w:unhideWhenUsed="1"/>
    <w:lsdException w:name="endnote reference" w:locked="0"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atentStyles>
  <w:style w:type="paragraph" w:default="1" w:styleId="Normal">
    <w:name w:val="Normal"/>
    <w:uiPriority w:val="1"/>
    <w:qFormat/>
    <w:rsid w:val="00204E8A"/>
    <w:rPr>
      <w:rFonts w:ascii="Times New Roman" w:eastAsia="Times New Roman" w:hAnsi="Times New Roman" w:cs="Times New Roman"/>
      <w:lang w:val="en-AU" w:eastAsia="en-US"/>
    </w:rPr>
  </w:style>
  <w:style w:type="paragraph" w:styleId="Heading1">
    <w:name w:val="heading 1"/>
    <w:basedOn w:val="Normal"/>
    <w:next w:val="Normal"/>
    <w:link w:val="Heading1Char"/>
    <w:uiPriority w:val="9"/>
    <w:qFormat/>
    <w:locked/>
    <w:rsid w:val="0024478B"/>
    <w:pPr>
      <w:keepNext/>
      <w:keepLines/>
      <w:spacing w:before="480"/>
      <w:jc w:val="both"/>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locked/>
    <w:rsid w:val="008B09A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BF0EB9"/>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locked/>
    <w:rsid w:val="00785553"/>
    <w:pPr>
      <w:keepNext/>
      <w:keepLines/>
      <w:spacing w:before="240" w:after="120"/>
      <w:jc w:val="both"/>
      <w:outlineLvl w:val="3"/>
    </w:pPr>
    <w:rPr>
      <w:rFonts w:eastAsiaTheme="majorEastAsia" w:cstheme="majorBidi"/>
      <w:b/>
      <w:bCs/>
      <w:i/>
      <w:iCs/>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ckgroundHeadingTLRI">
    <w:name w:val="Background Heading TLRI"/>
    <w:locked/>
    <w:rsid w:val="002377F2"/>
    <w:pPr>
      <w:tabs>
        <w:tab w:val="left" w:pos="851"/>
        <w:tab w:val="num" w:pos="1571"/>
      </w:tabs>
      <w:spacing w:before="640" w:after="220"/>
      <w:ind w:left="851"/>
    </w:pPr>
    <w:rPr>
      <w:rFonts w:ascii="Arial" w:eastAsia="Times" w:hAnsi="Arial" w:cs="Times New Roman"/>
      <w:b/>
      <w:sz w:val="32"/>
      <w:szCs w:val="20"/>
      <w:lang w:val="en-AU"/>
    </w:rPr>
  </w:style>
  <w:style w:type="paragraph" w:customStyle="1" w:styleId="BackgroundNormalTextTLRI">
    <w:name w:val="Background Normal Text TLRI"/>
    <w:locked/>
    <w:rsid w:val="002377F2"/>
    <w:pPr>
      <w:tabs>
        <w:tab w:val="left" w:pos="851"/>
      </w:tabs>
      <w:spacing w:before="220" w:after="220"/>
      <w:jc w:val="both"/>
    </w:pPr>
    <w:rPr>
      <w:rFonts w:ascii="Times New Roman" w:eastAsia="Times" w:hAnsi="Times New Roman" w:cs="Times New Roman"/>
      <w:sz w:val="22"/>
      <w:szCs w:val="20"/>
      <w:lang w:val="en-AU"/>
    </w:rPr>
  </w:style>
  <w:style w:type="paragraph" w:styleId="ListParagraph">
    <w:name w:val="List Paragraph"/>
    <w:basedOn w:val="Normal"/>
    <w:uiPriority w:val="34"/>
    <w:qFormat/>
    <w:locked/>
    <w:rsid w:val="002377F2"/>
    <w:pPr>
      <w:spacing w:after="120"/>
      <w:ind w:left="720"/>
      <w:contextualSpacing/>
      <w:jc w:val="both"/>
    </w:pPr>
    <w:rPr>
      <w:sz w:val="22"/>
    </w:rPr>
  </w:style>
  <w:style w:type="paragraph" w:customStyle="1" w:styleId="DotPointTLRI">
    <w:name w:val="Dot Point TLRI"/>
    <w:basedOn w:val="ListParagraph"/>
    <w:qFormat/>
    <w:locked/>
    <w:rsid w:val="005B676A"/>
    <w:pPr>
      <w:numPr>
        <w:numId w:val="56"/>
      </w:numPr>
      <w:spacing w:line="271" w:lineRule="auto"/>
      <w:contextualSpacing w:val="0"/>
    </w:pPr>
  </w:style>
  <w:style w:type="character" w:styleId="EndnoteReference">
    <w:name w:val="endnote reference"/>
    <w:basedOn w:val="DefaultParagraphFont"/>
    <w:semiHidden/>
    <w:locked/>
    <w:rsid w:val="002377F2"/>
    <w:rPr>
      <w:vertAlign w:val="superscript"/>
    </w:rPr>
  </w:style>
  <w:style w:type="character" w:styleId="FootnoteReference">
    <w:name w:val="footnote reference"/>
    <w:basedOn w:val="DefaultParagraphFont"/>
    <w:uiPriority w:val="99"/>
    <w:locked/>
    <w:rsid w:val="002377F2"/>
    <w:rPr>
      <w:sz w:val="20"/>
      <w:vertAlign w:val="superscript"/>
    </w:rPr>
  </w:style>
  <w:style w:type="paragraph" w:styleId="FootnoteText">
    <w:name w:val="footnote text"/>
    <w:basedOn w:val="Normal"/>
    <w:link w:val="FootnoteTextChar"/>
    <w:uiPriority w:val="99"/>
    <w:locked/>
    <w:rsid w:val="00D80045"/>
    <w:pPr>
      <w:spacing w:after="60"/>
      <w:ind w:left="284" w:hanging="284"/>
      <w:jc w:val="both"/>
    </w:pPr>
    <w:rPr>
      <w:sz w:val="18"/>
    </w:rPr>
  </w:style>
  <w:style w:type="character" w:customStyle="1" w:styleId="FootnoteTextChar">
    <w:name w:val="Footnote Text Char"/>
    <w:basedOn w:val="DefaultParagraphFont"/>
    <w:link w:val="FootnoteText"/>
    <w:uiPriority w:val="99"/>
    <w:rsid w:val="00D80045"/>
    <w:rPr>
      <w:rFonts w:ascii="Times New Roman" w:eastAsia="Times New Roman" w:hAnsi="Times New Roman" w:cs="Times New Roman"/>
      <w:sz w:val="18"/>
      <w:lang w:val="en-AU" w:eastAsia="en-US"/>
    </w:rPr>
  </w:style>
  <w:style w:type="paragraph" w:customStyle="1" w:styleId="FootnoteTextTLRI">
    <w:name w:val="Footnote Text TLRI"/>
    <w:basedOn w:val="FootnoteText"/>
    <w:link w:val="FootnoteTextTLRIChar"/>
    <w:qFormat/>
    <w:locked/>
    <w:rsid w:val="00A47716"/>
    <w:rPr>
      <w:lang w:val="en-US" w:eastAsia="ja-JP"/>
    </w:rPr>
  </w:style>
  <w:style w:type="character" w:customStyle="1" w:styleId="FootnoteTextTLRIChar">
    <w:name w:val="Footnote Text TLRI Char"/>
    <w:basedOn w:val="FootnoteTextChar"/>
    <w:link w:val="FootnoteTextTLRI"/>
    <w:rsid w:val="00A47716"/>
    <w:rPr>
      <w:rFonts w:ascii="Times New Roman" w:eastAsia="Times New Roman" w:hAnsi="Times New Roman" w:cs="Times New Roman"/>
      <w:sz w:val="18"/>
      <w:lang w:val="en-AU" w:eastAsia="en-US"/>
    </w:rPr>
  </w:style>
  <w:style w:type="character" w:customStyle="1" w:styleId="hit">
    <w:name w:val="hit"/>
    <w:basedOn w:val="DefaultParagraphFont"/>
    <w:semiHidden/>
    <w:locked/>
    <w:rsid w:val="002377F2"/>
  </w:style>
  <w:style w:type="paragraph" w:customStyle="1" w:styleId="NormalNumberedTextTLRI">
    <w:name w:val="Normal Numbered Text TLRI"/>
    <w:basedOn w:val="Normal"/>
    <w:link w:val="NormalNumberedTextTLRIChar"/>
    <w:qFormat/>
    <w:locked/>
    <w:rsid w:val="00CE3F73"/>
    <w:pPr>
      <w:numPr>
        <w:ilvl w:val="2"/>
        <w:numId w:val="2"/>
      </w:numPr>
      <w:tabs>
        <w:tab w:val="clear" w:pos="862"/>
        <w:tab w:val="left" w:pos="851"/>
      </w:tabs>
      <w:spacing w:before="220" w:after="220" w:line="271" w:lineRule="auto"/>
      <w:ind w:left="0"/>
      <w:jc w:val="both"/>
    </w:pPr>
    <w:rPr>
      <w:rFonts w:eastAsia="Times"/>
      <w:sz w:val="22"/>
      <w:szCs w:val="20"/>
    </w:rPr>
  </w:style>
  <w:style w:type="character" w:customStyle="1" w:styleId="NormalNumberedTextTLRIChar">
    <w:name w:val="Normal Numbered Text TLRI Char"/>
    <w:basedOn w:val="DefaultParagraphFont"/>
    <w:link w:val="NormalNumberedTextTLRI"/>
    <w:rsid w:val="00CE3F73"/>
    <w:rPr>
      <w:rFonts w:ascii="Times New Roman" w:eastAsia="Times" w:hAnsi="Times New Roman" w:cs="Times New Roman"/>
      <w:sz w:val="22"/>
      <w:szCs w:val="20"/>
      <w:lang w:val="en-AU" w:eastAsia="en-US"/>
    </w:rPr>
  </w:style>
  <w:style w:type="paragraph" w:customStyle="1" w:styleId="NumberedHeadingTLRI">
    <w:name w:val="Numbered Heading TLRI"/>
    <w:basedOn w:val="Normal"/>
    <w:next w:val="NormalNumberedTextTLRI"/>
    <w:link w:val="NumberedHeadingTLRIChar"/>
    <w:qFormat/>
    <w:locked/>
    <w:rsid w:val="00D80045"/>
    <w:pPr>
      <w:numPr>
        <w:ilvl w:val="1"/>
        <w:numId w:val="2"/>
      </w:numPr>
      <w:tabs>
        <w:tab w:val="clear" w:pos="1571"/>
        <w:tab w:val="num" w:pos="851"/>
      </w:tabs>
      <w:spacing w:before="480" w:after="220"/>
      <w:ind w:left="0"/>
      <w:jc w:val="both"/>
    </w:pPr>
    <w:rPr>
      <w:rFonts w:ascii="Arial" w:eastAsia="Times" w:hAnsi="Arial"/>
      <w:b/>
      <w:sz w:val="32"/>
      <w:szCs w:val="20"/>
    </w:rPr>
  </w:style>
  <w:style w:type="character" w:customStyle="1" w:styleId="NumberedHeadingTLRIChar">
    <w:name w:val="Numbered Heading TLRI Char"/>
    <w:basedOn w:val="DefaultParagraphFont"/>
    <w:link w:val="NumberedHeadingTLRI"/>
    <w:rsid w:val="00D80045"/>
    <w:rPr>
      <w:rFonts w:ascii="Arial" w:eastAsia="Times" w:hAnsi="Arial" w:cs="Times New Roman"/>
      <w:b/>
      <w:sz w:val="32"/>
      <w:szCs w:val="20"/>
      <w:lang w:val="en-AU" w:eastAsia="en-US"/>
    </w:rPr>
  </w:style>
  <w:style w:type="paragraph" w:customStyle="1" w:styleId="PartHeadingTLRI">
    <w:name w:val="Part Heading TLRI"/>
    <w:basedOn w:val="Normal"/>
    <w:link w:val="PartHeadingTLRIChar"/>
    <w:qFormat/>
    <w:locked/>
    <w:rsid w:val="002377F2"/>
    <w:pPr>
      <w:tabs>
        <w:tab w:val="num" w:pos="0"/>
      </w:tabs>
      <w:spacing w:before="480" w:after="640"/>
      <w:jc w:val="center"/>
    </w:pPr>
    <w:rPr>
      <w:rFonts w:eastAsia="Times"/>
      <w:b/>
      <w:sz w:val="52"/>
      <w:szCs w:val="20"/>
    </w:rPr>
  </w:style>
  <w:style w:type="character" w:customStyle="1" w:styleId="PartHeadingTLRIChar">
    <w:name w:val="Part Heading TLRI Char"/>
    <w:basedOn w:val="DefaultParagraphFont"/>
    <w:link w:val="PartHeadingTLRI"/>
    <w:rsid w:val="002377F2"/>
    <w:rPr>
      <w:rFonts w:ascii="Times New Roman" w:eastAsia="Times" w:hAnsi="Times New Roman" w:cs="Times New Roman"/>
      <w:b/>
      <w:sz w:val="52"/>
      <w:szCs w:val="20"/>
      <w:lang w:val="en-AU"/>
    </w:rPr>
  </w:style>
  <w:style w:type="paragraph" w:customStyle="1" w:styleId="PartNoTLRI">
    <w:name w:val="Part No TLRI"/>
    <w:basedOn w:val="Normal"/>
    <w:link w:val="PartNoTLRIChar"/>
    <w:qFormat/>
    <w:locked/>
    <w:rsid w:val="00D82A1C"/>
    <w:pPr>
      <w:numPr>
        <w:numId w:val="2"/>
      </w:numPr>
      <w:spacing w:after="120"/>
      <w:ind w:left="432"/>
      <w:jc w:val="center"/>
    </w:pPr>
    <w:rPr>
      <w:rFonts w:eastAsia="Times"/>
      <w:b/>
      <w:sz w:val="36"/>
      <w:szCs w:val="20"/>
    </w:rPr>
  </w:style>
  <w:style w:type="character" w:customStyle="1" w:styleId="PartNoTLRIChar">
    <w:name w:val="Part No TLRI Char"/>
    <w:basedOn w:val="DefaultParagraphFont"/>
    <w:link w:val="PartNoTLRI"/>
    <w:rsid w:val="002377F2"/>
    <w:rPr>
      <w:rFonts w:ascii="Times New Roman" w:eastAsia="Times" w:hAnsi="Times New Roman" w:cs="Times New Roman"/>
      <w:b/>
      <w:sz w:val="36"/>
      <w:szCs w:val="20"/>
      <w:lang w:val="en-AU" w:eastAsia="en-US"/>
    </w:rPr>
  </w:style>
  <w:style w:type="paragraph" w:styleId="Quote">
    <w:name w:val="Quote"/>
    <w:basedOn w:val="Normal"/>
    <w:next w:val="Normal"/>
    <w:link w:val="QuoteChar"/>
    <w:uiPriority w:val="29"/>
    <w:qFormat/>
    <w:locked/>
    <w:rsid w:val="002377F2"/>
    <w:pPr>
      <w:spacing w:after="120"/>
      <w:jc w:val="both"/>
    </w:pPr>
    <w:rPr>
      <w:i/>
      <w:iCs/>
      <w:color w:val="000000" w:themeColor="text1"/>
      <w:sz w:val="22"/>
    </w:rPr>
  </w:style>
  <w:style w:type="character" w:customStyle="1" w:styleId="QuoteChar">
    <w:name w:val="Quote Char"/>
    <w:basedOn w:val="DefaultParagraphFont"/>
    <w:link w:val="Quote"/>
    <w:uiPriority w:val="29"/>
    <w:rsid w:val="002377F2"/>
    <w:rPr>
      <w:rFonts w:ascii="Times New Roman" w:eastAsia="Times New Roman" w:hAnsi="Times New Roman" w:cs="Times New Roman"/>
      <w:i/>
      <w:iCs/>
      <w:color w:val="000000" w:themeColor="text1"/>
      <w:lang w:val="en-AU"/>
    </w:rPr>
  </w:style>
  <w:style w:type="paragraph" w:customStyle="1" w:styleId="QuoteTLRI">
    <w:name w:val="Quote TLRI"/>
    <w:basedOn w:val="Normal"/>
    <w:locked/>
    <w:rsid w:val="0074267A"/>
    <w:pPr>
      <w:spacing w:after="220" w:line="271" w:lineRule="auto"/>
      <w:ind w:left="851" w:right="787"/>
      <w:jc w:val="both"/>
    </w:pPr>
    <w:rPr>
      <w:rFonts w:eastAsia="Times"/>
      <w:sz w:val="20"/>
      <w:szCs w:val="20"/>
      <w:lang w:eastAsia="ja-JP"/>
    </w:rPr>
  </w:style>
  <w:style w:type="paragraph" w:customStyle="1" w:styleId="SecondLevelofQuoteTLRI">
    <w:name w:val="Second Level of Quote TLRI"/>
    <w:locked/>
    <w:rsid w:val="002377F2"/>
    <w:pPr>
      <w:spacing w:after="220"/>
      <w:ind w:left="851" w:right="851"/>
      <w:jc w:val="both"/>
    </w:pPr>
    <w:rPr>
      <w:rFonts w:ascii="Times New Roman" w:eastAsia="Times" w:hAnsi="Times New Roman" w:cs="Times New Roman"/>
      <w:sz w:val="20"/>
      <w:szCs w:val="20"/>
      <w:lang w:val="en-AU"/>
    </w:rPr>
  </w:style>
  <w:style w:type="paragraph" w:customStyle="1" w:styleId="Sub-HeadingTLRI">
    <w:name w:val="Sub-Heading TLRI"/>
    <w:basedOn w:val="Normal"/>
    <w:link w:val="Sub-HeadingTLRIChar"/>
    <w:qFormat/>
    <w:locked/>
    <w:rsid w:val="00D25C96"/>
    <w:pPr>
      <w:spacing w:before="360" w:after="220"/>
      <w:jc w:val="both"/>
    </w:pPr>
    <w:rPr>
      <w:rFonts w:eastAsia="Times"/>
      <w:b/>
      <w:i/>
      <w:sz w:val="22"/>
      <w:szCs w:val="20"/>
    </w:rPr>
  </w:style>
  <w:style w:type="character" w:customStyle="1" w:styleId="Sub-HeadingTLRIChar">
    <w:name w:val="Sub-Heading TLRI Char"/>
    <w:basedOn w:val="DefaultParagraphFont"/>
    <w:link w:val="Sub-HeadingTLRI"/>
    <w:rsid w:val="00D25C96"/>
    <w:rPr>
      <w:rFonts w:ascii="Times New Roman" w:eastAsia="Times" w:hAnsi="Times New Roman" w:cs="Times New Roman"/>
      <w:b/>
      <w:i/>
      <w:sz w:val="22"/>
      <w:szCs w:val="20"/>
      <w:lang w:val="en-AU" w:eastAsia="en-US"/>
    </w:rPr>
  </w:style>
  <w:style w:type="character" w:customStyle="1" w:styleId="verdana">
    <w:name w:val="verdana"/>
    <w:basedOn w:val="DefaultParagraphFont"/>
    <w:semiHidden/>
    <w:locked/>
    <w:rsid w:val="002377F2"/>
  </w:style>
  <w:style w:type="paragraph" w:customStyle="1" w:styleId="Heading">
    <w:name w:val="Heading"/>
    <w:basedOn w:val="NormalWeb"/>
    <w:uiPriority w:val="1"/>
    <w:qFormat/>
    <w:locked/>
    <w:rsid w:val="00614AA1"/>
    <w:pPr>
      <w:spacing w:before="100" w:beforeAutospacing="1" w:after="100" w:afterAutospacing="1" w:line="360" w:lineRule="auto"/>
      <w:outlineLvl w:val="0"/>
    </w:pPr>
    <w:rPr>
      <w:rFonts w:eastAsiaTheme="minorEastAsia"/>
      <w:b/>
    </w:rPr>
  </w:style>
  <w:style w:type="paragraph" w:styleId="NormalWeb">
    <w:name w:val="Normal (Web)"/>
    <w:basedOn w:val="Normal"/>
    <w:uiPriority w:val="99"/>
    <w:unhideWhenUsed/>
    <w:locked/>
    <w:rsid w:val="00614AA1"/>
    <w:pPr>
      <w:spacing w:after="120"/>
      <w:jc w:val="both"/>
    </w:pPr>
    <w:rPr>
      <w:sz w:val="22"/>
    </w:rPr>
  </w:style>
  <w:style w:type="paragraph" w:customStyle="1" w:styleId="Heading1RB">
    <w:name w:val="Heading 1 RB"/>
    <w:basedOn w:val="NormalWeb"/>
    <w:uiPriority w:val="1"/>
    <w:qFormat/>
    <w:locked/>
    <w:rsid w:val="00614AA1"/>
    <w:pPr>
      <w:spacing w:before="100" w:beforeAutospacing="1" w:after="100" w:afterAutospacing="1" w:line="360" w:lineRule="auto"/>
      <w:outlineLvl w:val="0"/>
    </w:pPr>
    <w:rPr>
      <w:rFonts w:eastAsiaTheme="minorEastAsia"/>
      <w:b/>
    </w:rPr>
  </w:style>
  <w:style w:type="paragraph" w:customStyle="1" w:styleId="Heading2RB">
    <w:name w:val="Heading 2 RB"/>
    <w:basedOn w:val="Normal"/>
    <w:uiPriority w:val="1"/>
    <w:qFormat/>
    <w:locked/>
    <w:rsid w:val="00614AA1"/>
    <w:pPr>
      <w:spacing w:after="120" w:line="360" w:lineRule="auto"/>
      <w:jc w:val="both"/>
    </w:pPr>
    <w:rPr>
      <w:b/>
      <w:bCs/>
      <w:sz w:val="22"/>
    </w:rPr>
  </w:style>
  <w:style w:type="paragraph" w:customStyle="1" w:styleId="Heading2RJB">
    <w:name w:val="Heading 2 RJB"/>
    <w:basedOn w:val="Normal"/>
    <w:uiPriority w:val="1"/>
    <w:qFormat/>
    <w:locked/>
    <w:rsid w:val="00E0482F"/>
    <w:pPr>
      <w:numPr>
        <w:ilvl w:val="1"/>
        <w:numId w:val="4"/>
      </w:numPr>
      <w:spacing w:after="120"/>
      <w:jc w:val="both"/>
      <w:outlineLvl w:val="0"/>
    </w:pPr>
    <w:rPr>
      <w:b/>
      <w:sz w:val="22"/>
      <w:lang w:eastAsia="ja-JP"/>
    </w:rPr>
  </w:style>
  <w:style w:type="paragraph" w:customStyle="1" w:styleId="heading3RJB">
    <w:name w:val="heading 3 RJB"/>
    <w:basedOn w:val="Normal"/>
    <w:uiPriority w:val="1"/>
    <w:qFormat/>
    <w:locked/>
    <w:rsid w:val="005F0DCD"/>
    <w:pPr>
      <w:numPr>
        <w:ilvl w:val="2"/>
        <w:numId w:val="4"/>
      </w:numPr>
      <w:spacing w:after="120"/>
      <w:jc w:val="both"/>
      <w:outlineLvl w:val="0"/>
    </w:pPr>
    <w:rPr>
      <w:sz w:val="22"/>
      <w:u w:val="single"/>
    </w:rPr>
  </w:style>
  <w:style w:type="paragraph" w:customStyle="1" w:styleId="heading4RJB">
    <w:name w:val="heading 4 RJB"/>
    <w:basedOn w:val="ListParagraph"/>
    <w:uiPriority w:val="1"/>
    <w:qFormat/>
    <w:locked/>
    <w:rsid w:val="005F0DCD"/>
    <w:pPr>
      <w:numPr>
        <w:ilvl w:val="3"/>
        <w:numId w:val="4"/>
      </w:numPr>
    </w:pPr>
    <w:rPr>
      <w:bCs/>
      <w:i/>
    </w:rPr>
  </w:style>
  <w:style w:type="paragraph" w:customStyle="1" w:styleId="numberedparagraphs">
    <w:name w:val="numbered paragraphs"/>
    <w:basedOn w:val="NormalNumberedTextTLRI"/>
    <w:uiPriority w:val="1"/>
    <w:qFormat/>
    <w:locked/>
    <w:rsid w:val="00D82A1C"/>
    <w:pPr>
      <w:numPr>
        <w:ilvl w:val="0"/>
        <w:numId w:val="0"/>
      </w:numPr>
    </w:pPr>
  </w:style>
  <w:style w:type="paragraph" w:customStyle="1" w:styleId="Heading1RJB">
    <w:name w:val="Heading 1 RJB"/>
    <w:basedOn w:val="TOC1"/>
    <w:uiPriority w:val="1"/>
    <w:qFormat/>
    <w:locked/>
    <w:rsid w:val="00D82A1C"/>
    <w:pPr>
      <w:numPr>
        <w:numId w:val="3"/>
      </w:numPr>
      <w:outlineLvl w:val="0"/>
    </w:pPr>
    <w:rPr>
      <w:b w:val="0"/>
    </w:rPr>
  </w:style>
  <w:style w:type="paragraph" w:styleId="TOC1">
    <w:name w:val="toc 1"/>
    <w:basedOn w:val="Normal"/>
    <w:next w:val="Normal"/>
    <w:autoRedefine/>
    <w:uiPriority w:val="39"/>
    <w:unhideWhenUsed/>
    <w:locked/>
    <w:rsid w:val="00D47380"/>
    <w:pPr>
      <w:keepNext/>
      <w:tabs>
        <w:tab w:val="right" w:leader="dot" w:pos="8296"/>
      </w:tabs>
      <w:spacing w:after="100"/>
      <w:jc w:val="both"/>
    </w:pPr>
    <w:rPr>
      <w:b/>
      <w:noProof/>
      <w:sz w:val="22"/>
    </w:rPr>
  </w:style>
  <w:style w:type="paragraph" w:customStyle="1" w:styleId="furhtersub-heading2">
    <w:name w:val="furhter sub-heading 2"/>
    <w:basedOn w:val="Normal"/>
    <w:uiPriority w:val="1"/>
    <w:qFormat/>
    <w:locked/>
    <w:rsid w:val="00AC3C06"/>
    <w:pPr>
      <w:spacing w:before="240" w:after="220"/>
      <w:jc w:val="both"/>
    </w:pPr>
    <w:rPr>
      <w:rFonts w:eastAsia="Times"/>
      <w:i/>
      <w:sz w:val="22"/>
      <w:szCs w:val="20"/>
    </w:rPr>
  </w:style>
  <w:style w:type="character" w:customStyle="1" w:styleId="Heading4Char">
    <w:name w:val="Heading 4 Char"/>
    <w:basedOn w:val="DefaultParagraphFont"/>
    <w:link w:val="Heading4"/>
    <w:uiPriority w:val="9"/>
    <w:rsid w:val="00785553"/>
    <w:rPr>
      <w:rFonts w:ascii="Times New Roman" w:eastAsiaTheme="majorEastAsia" w:hAnsi="Times New Roman" w:cstheme="majorBidi"/>
      <w:b/>
      <w:bCs/>
      <w:i/>
      <w:iCs/>
      <w:color w:val="000000" w:themeColor="text1"/>
      <w:sz w:val="22"/>
      <w:szCs w:val="22"/>
      <w:lang w:val="en-AU" w:eastAsia="en-US"/>
    </w:rPr>
  </w:style>
  <w:style w:type="table" w:styleId="TableGrid">
    <w:name w:val="Table Grid"/>
    <w:basedOn w:val="TableNormal"/>
    <w:uiPriority w:val="39"/>
    <w:locked/>
    <w:rsid w:val="00940B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ddedbox">
    <w:name w:val="paddedbox"/>
    <w:basedOn w:val="DefaultParagraphFont"/>
    <w:locked/>
    <w:rsid w:val="001D795B"/>
  </w:style>
  <w:style w:type="character" w:customStyle="1" w:styleId="TLRIFootnoteRef">
    <w:name w:val="TLRI Footnote Ref"/>
    <w:uiPriority w:val="1"/>
    <w:locked/>
    <w:rsid w:val="001D795B"/>
    <w:rPr>
      <w:position w:val="2"/>
      <w:sz w:val="18"/>
      <w:szCs w:val="18"/>
      <w:vertAlign w:val="superscript"/>
      <w:lang w:val="en-US"/>
    </w:rPr>
  </w:style>
  <w:style w:type="character" w:customStyle="1" w:styleId="Heading1Char">
    <w:name w:val="Heading 1 Char"/>
    <w:basedOn w:val="DefaultParagraphFont"/>
    <w:link w:val="Heading1"/>
    <w:uiPriority w:val="9"/>
    <w:rsid w:val="0024478B"/>
    <w:rPr>
      <w:rFonts w:asciiTheme="majorHAnsi" w:eastAsiaTheme="majorEastAsia" w:hAnsiTheme="majorHAnsi" w:cstheme="majorBidi"/>
      <w:b/>
      <w:bCs/>
      <w:color w:val="345A8A" w:themeColor="accent1" w:themeShade="B5"/>
      <w:sz w:val="32"/>
      <w:szCs w:val="32"/>
      <w:lang w:val="en-AU" w:eastAsia="en-US"/>
    </w:rPr>
  </w:style>
  <w:style w:type="paragraph" w:customStyle="1" w:styleId="p1">
    <w:name w:val="p1"/>
    <w:basedOn w:val="Normal"/>
    <w:locked/>
    <w:rsid w:val="00BD1D12"/>
    <w:rPr>
      <w:rFonts w:ascii="Helvetica" w:eastAsiaTheme="minorEastAsia" w:hAnsi="Helvetica"/>
      <w:sz w:val="17"/>
      <w:szCs w:val="17"/>
      <w:lang w:val="en-US"/>
    </w:rPr>
  </w:style>
  <w:style w:type="paragraph" w:customStyle="1" w:styleId="p2">
    <w:name w:val="p2"/>
    <w:basedOn w:val="Normal"/>
    <w:locked/>
    <w:rsid w:val="00BD1D12"/>
    <w:rPr>
      <w:rFonts w:ascii="Helvetica" w:eastAsiaTheme="minorEastAsia" w:hAnsi="Helvetica"/>
      <w:sz w:val="14"/>
      <w:szCs w:val="14"/>
      <w:lang w:val="en-US"/>
    </w:rPr>
  </w:style>
  <w:style w:type="paragraph" w:customStyle="1" w:styleId="p3">
    <w:name w:val="p3"/>
    <w:basedOn w:val="Normal"/>
    <w:locked/>
    <w:rsid w:val="00BD1D12"/>
    <w:rPr>
      <w:rFonts w:ascii="Helvetica" w:eastAsiaTheme="minorEastAsia" w:hAnsi="Helvetica"/>
      <w:sz w:val="15"/>
      <w:szCs w:val="15"/>
      <w:lang w:val="en-US"/>
    </w:rPr>
  </w:style>
  <w:style w:type="character" w:customStyle="1" w:styleId="s1">
    <w:name w:val="s1"/>
    <w:basedOn w:val="DefaultParagraphFont"/>
    <w:locked/>
    <w:rsid w:val="00BD1D12"/>
    <w:rPr>
      <w:rFonts w:ascii="Helvetica" w:hAnsi="Helvetica" w:hint="default"/>
      <w:sz w:val="10"/>
      <w:szCs w:val="10"/>
    </w:rPr>
  </w:style>
  <w:style w:type="character" w:customStyle="1" w:styleId="apple-converted-space">
    <w:name w:val="apple-converted-space"/>
    <w:basedOn w:val="DefaultParagraphFont"/>
    <w:locked/>
    <w:rsid w:val="006E77A8"/>
  </w:style>
  <w:style w:type="character" w:styleId="CommentReference">
    <w:name w:val="annotation reference"/>
    <w:basedOn w:val="DefaultParagraphFont"/>
    <w:uiPriority w:val="99"/>
    <w:semiHidden/>
    <w:unhideWhenUsed/>
    <w:locked/>
    <w:rsid w:val="004F31EC"/>
    <w:rPr>
      <w:sz w:val="18"/>
      <w:szCs w:val="18"/>
    </w:rPr>
  </w:style>
  <w:style w:type="paragraph" w:styleId="CommentText">
    <w:name w:val="annotation text"/>
    <w:basedOn w:val="Normal"/>
    <w:link w:val="CommentTextChar"/>
    <w:uiPriority w:val="99"/>
    <w:unhideWhenUsed/>
    <w:locked/>
    <w:rsid w:val="004F31EC"/>
  </w:style>
  <w:style w:type="character" w:customStyle="1" w:styleId="CommentTextChar">
    <w:name w:val="Comment Text Char"/>
    <w:basedOn w:val="DefaultParagraphFont"/>
    <w:link w:val="CommentText"/>
    <w:uiPriority w:val="99"/>
    <w:rsid w:val="004F31EC"/>
    <w:rPr>
      <w:rFonts w:ascii="Times New Roman" w:eastAsia="Times New Roman" w:hAnsi="Times New Roman" w:cs="Times New Roman"/>
      <w:lang w:val="en-AU" w:eastAsia="en-US"/>
    </w:rPr>
  </w:style>
  <w:style w:type="paragraph" w:styleId="CommentSubject">
    <w:name w:val="annotation subject"/>
    <w:basedOn w:val="CommentText"/>
    <w:next w:val="CommentText"/>
    <w:link w:val="CommentSubjectChar"/>
    <w:uiPriority w:val="99"/>
    <w:semiHidden/>
    <w:unhideWhenUsed/>
    <w:locked/>
    <w:rsid w:val="004F31EC"/>
    <w:rPr>
      <w:b/>
      <w:bCs/>
      <w:sz w:val="20"/>
      <w:szCs w:val="20"/>
    </w:rPr>
  </w:style>
  <w:style w:type="character" w:customStyle="1" w:styleId="CommentSubjectChar">
    <w:name w:val="Comment Subject Char"/>
    <w:basedOn w:val="CommentTextChar"/>
    <w:link w:val="CommentSubject"/>
    <w:uiPriority w:val="99"/>
    <w:semiHidden/>
    <w:rsid w:val="004F31EC"/>
    <w:rPr>
      <w:rFonts w:ascii="Times New Roman" w:eastAsia="Times New Roman" w:hAnsi="Times New Roman" w:cs="Times New Roman"/>
      <w:b/>
      <w:bCs/>
      <w:sz w:val="20"/>
      <w:szCs w:val="20"/>
      <w:lang w:val="en-AU" w:eastAsia="en-US"/>
    </w:rPr>
  </w:style>
  <w:style w:type="paragraph" w:styleId="BalloonText">
    <w:name w:val="Balloon Text"/>
    <w:basedOn w:val="Normal"/>
    <w:link w:val="BalloonTextChar"/>
    <w:uiPriority w:val="99"/>
    <w:semiHidden/>
    <w:unhideWhenUsed/>
    <w:locked/>
    <w:rsid w:val="004F31EC"/>
    <w:pPr>
      <w:jc w:val="both"/>
    </w:pPr>
    <w:rPr>
      <w:sz w:val="18"/>
      <w:szCs w:val="18"/>
    </w:rPr>
  </w:style>
  <w:style w:type="character" w:customStyle="1" w:styleId="BalloonTextChar">
    <w:name w:val="Balloon Text Char"/>
    <w:basedOn w:val="DefaultParagraphFont"/>
    <w:link w:val="BalloonText"/>
    <w:uiPriority w:val="99"/>
    <w:semiHidden/>
    <w:rsid w:val="004F31EC"/>
    <w:rPr>
      <w:rFonts w:ascii="Times New Roman" w:eastAsia="Times New Roman" w:hAnsi="Times New Roman" w:cs="Times New Roman"/>
      <w:sz w:val="18"/>
      <w:szCs w:val="18"/>
      <w:lang w:val="en-AU" w:eastAsia="en-US"/>
    </w:rPr>
  </w:style>
  <w:style w:type="paragraph" w:styleId="Footer">
    <w:name w:val="footer"/>
    <w:basedOn w:val="Normal"/>
    <w:link w:val="FooterChar"/>
    <w:uiPriority w:val="99"/>
    <w:unhideWhenUsed/>
    <w:locked/>
    <w:rsid w:val="00EC7DE2"/>
    <w:pPr>
      <w:tabs>
        <w:tab w:val="center" w:pos="4513"/>
        <w:tab w:val="right" w:pos="9026"/>
      </w:tabs>
      <w:jc w:val="both"/>
    </w:pPr>
    <w:rPr>
      <w:sz w:val="22"/>
    </w:rPr>
  </w:style>
  <w:style w:type="character" w:customStyle="1" w:styleId="FooterChar">
    <w:name w:val="Footer Char"/>
    <w:basedOn w:val="DefaultParagraphFont"/>
    <w:link w:val="Footer"/>
    <w:uiPriority w:val="99"/>
    <w:rsid w:val="00EC7DE2"/>
    <w:rPr>
      <w:rFonts w:ascii="Times New Roman" w:eastAsia="Times New Roman" w:hAnsi="Times New Roman" w:cs="Times New Roman"/>
      <w:sz w:val="22"/>
      <w:lang w:val="en-AU" w:eastAsia="en-US"/>
    </w:rPr>
  </w:style>
  <w:style w:type="character" w:styleId="PageNumber">
    <w:name w:val="page number"/>
    <w:basedOn w:val="DefaultParagraphFont"/>
    <w:uiPriority w:val="99"/>
    <w:semiHidden/>
    <w:unhideWhenUsed/>
    <w:locked/>
    <w:rsid w:val="00EC7DE2"/>
  </w:style>
  <w:style w:type="character" w:styleId="Hyperlink">
    <w:name w:val="Hyperlink"/>
    <w:basedOn w:val="DefaultParagraphFont"/>
    <w:uiPriority w:val="99"/>
    <w:unhideWhenUsed/>
    <w:locked/>
    <w:rsid w:val="006922AF"/>
    <w:rPr>
      <w:color w:val="auto"/>
      <w:u w:val="none"/>
    </w:rPr>
  </w:style>
  <w:style w:type="character" w:styleId="FollowedHyperlink">
    <w:name w:val="FollowedHyperlink"/>
    <w:basedOn w:val="DefaultParagraphFont"/>
    <w:uiPriority w:val="99"/>
    <w:unhideWhenUsed/>
    <w:locked/>
    <w:rsid w:val="00436904"/>
    <w:rPr>
      <w:color w:val="000000" w:themeColor="text1"/>
      <w:u w:val="none"/>
    </w:rPr>
  </w:style>
  <w:style w:type="paragraph" w:customStyle="1" w:styleId="Default">
    <w:name w:val="Default"/>
    <w:locked/>
    <w:rsid w:val="00E034AA"/>
    <w:pPr>
      <w:autoSpaceDE w:val="0"/>
      <w:autoSpaceDN w:val="0"/>
      <w:adjustRightInd w:val="0"/>
    </w:pPr>
    <w:rPr>
      <w:rFonts w:ascii="Frutiger 45 Light" w:hAnsi="Frutiger 45 Light" w:cs="Frutiger 45 Light"/>
      <w:color w:val="000000"/>
    </w:rPr>
  </w:style>
  <w:style w:type="character" w:customStyle="1" w:styleId="A9">
    <w:name w:val="A9"/>
    <w:uiPriority w:val="99"/>
    <w:locked/>
    <w:rsid w:val="00E034AA"/>
    <w:rPr>
      <w:rFonts w:cs="Frutiger 45 Light"/>
      <w:color w:val="000000"/>
      <w:sz w:val="12"/>
      <w:szCs w:val="12"/>
    </w:rPr>
  </w:style>
  <w:style w:type="character" w:customStyle="1" w:styleId="A4">
    <w:name w:val="A4"/>
    <w:uiPriority w:val="99"/>
    <w:locked/>
    <w:rsid w:val="00E034AA"/>
    <w:rPr>
      <w:rFonts w:cs="Frutiger 45 Light"/>
      <w:color w:val="000000"/>
      <w:sz w:val="21"/>
      <w:szCs w:val="21"/>
    </w:rPr>
  </w:style>
  <w:style w:type="paragraph" w:styleId="Revision">
    <w:name w:val="Revision"/>
    <w:hidden/>
    <w:uiPriority w:val="99"/>
    <w:semiHidden/>
    <w:rsid w:val="00DF349D"/>
    <w:rPr>
      <w:rFonts w:ascii="Times New Roman" w:eastAsia="Times New Roman" w:hAnsi="Times New Roman" w:cs="Times New Roman"/>
      <w:lang w:val="en-AU" w:eastAsia="en-US"/>
    </w:rPr>
  </w:style>
  <w:style w:type="character" w:styleId="UnresolvedMention">
    <w:name w:val="Unresolved Mention"/>
    <w:basedOn w:val="DefaultParagraphFont"/>
    <w:uiPriority w:val="99"/>
    <w:semiHidden/>
    <w:unhideWhenUsed/>
    <w:locked/>
    <w:rsid w:val="00B26DBD"/>
    <w:rPr>
      <w:color w:val="605E5C"/>
      <w:shd w:val="clear" w:color="auto" w:fill="E1DFDD"/>
    </w:rPr>
  </w:style>
  <w:style w:type="character" w:styleId="Emphasis">
    <w:name w:val="Emphasis"/>
    <w:basedOn w:val="DefaultParagraphFont"/>
    <w:uiPriority w:val="20"/>
    <w:qFormat/>
    <w:locked/>
    <w:rsid w:val="007270FD"/>
    <w:rPr>
      <w:i/>
      <w:iCs/>
    </w:rPr>
  </w:style>
  <w:style w:type="paragraph" w:customStyle="1" w:styleId="Referenceheading">
    <w:name w:val="Reference heading"/>
    <w:basedOn w:val="Normal"/>
    <w:locked/>
    <w:rsid w:val="00BF0A3C"/>
    <w:pPr>
      <w:spacing w:before="120" w:after="120" w:line="360" w:lineRule="auto"/>
      <w:jc w:val="center"/>
    </w:pPr>
    <w:rPr>
      <w:caps/>
      <w:sz w:val="28"/>
    </w:rPr>
  </w:style>
  <w:style w:type="paragraph" w:customStyle="1" w:styleId="NumberlessNormalText">
    <w:name w:val="Numberless Normal Text"/>
    <w:locked/>
    <w:rsid w:val="003D7DE2"/>
    <w:pPr>
      <w:tabs>
        <w:tab w:val="left" w:pos="851"/>
      </w:tabs>
      <w:spacing w:before="120" w:after="120" w:line="271" w:lineRule="auto"/>
      <w:jc w:val="both"/>
    </w:pPr>
    <w:rPr>
      <w:rFonts w:ascii="Times New Roman" w:eastAsia="Times" w:hAnsi="Times New Roman" w:cs="Times New Roman"/>
      <w:sz w:val="22"/>
      <w:szCs w:val="22"/>
      <w:lang w:val="en-AU" w:eastAsia="en-US"/>
    </w:rPr>
  </w:style>
  <w:style w:type="paragraph" w:customStyle="1" w:styleId="NumberlessSectionHeading">
    <w:name w:val="Numberless Section Heading"/>
    <w:next w:val="NumberlessNormalText"/>
    <w:locked/>
    <w:rsid w:val="006922AF"/>
    <w:pPr>
      <w:keepNext/>
      <w:tabs>
        <w:tab w:val="left" w:pos="851"/>
        <w:tab w:val="num" w:pos="1571"/>
      </w:tabs>
      <w:spacing w:before="480" w:after="220"/>
      <w:ind w:right="142"/>
    </w:pPr>
    <w:rPr>
      <w:rFonts w:ascii="Garamond" w:eastAsia="Times" w:hAnsi="Garamond" w:cs="Times New Roman"/>
      <w:b/>
      <w:sz w:val="32"/>
      <w:lang w:val="en-AU" w:eastAsia="en-US"/>
    </w:rPr>
  </w:style>
  <w:style w:type="character" w:customStyle="1" w:styleId="Heading2Char">
    <w:name w:val="Heading 2 Char"/>
    <w:basedOn w:val="DefaultParagraphFont"/>
    <w:link w:val="Heading2"/>
    <w:uiPriority w:val="9"/>
    <w:semiHidden/>
    <w:rsid w:val="008B09A5"/>
    <w:rPr>
      <w:rFonts w:asciiTheme="majorHAnsi" w:eastAsiaTheme="majorEastAsia" w:hAnsiTheme="majorHAnsi" w:cstheme="majorBidi"/>
      <w:color w:val="365F91" w:themeColor="accent1" w:themeShade="BF"/>
      <w:sz w:val="26"/>
      <w:szCs w:val="26"/>
      <w:lang w:val="en-AU" w:eastAsia="en-US"/>
    </w:rPr>
  </w:style>
  <w:style w:type="paragraph" w:styleId="TOC3">
    <w:name w:val="toc 3"/>
    <w:basedOn w:val="Normal"/>
    <w:next w:val="Normal"/>
    <w:autoRedefine/>
    <w:uiPriority w:val="39"/>
    <w:unhideWhenUsed/>
    <w:locked/>
    <w:rsid w:val="00460D34"/>
    <w:pPr>
      <w:tabs>
        <w:tab w:val="right" w:leader="dot" w:pos="8296"/>
      </w:tabs>
      <w:spacing w:after="100"/>
      <w:ind w:left="567"/>
    </w:pPr>
  </w:style>
  <w:style w:type="paragraph" w:styleId="TOC2">
    <w:name w:val="toc 2"/>
    <w:basedOn w:val="Normal"/>
    <w:next w:val="Normal"/>
    <w:autoRedefine/>
    <w:uiPriority w:val="39"/>
    <w:unhideWhenUsed/>
    <w:locked/>
    <w:rsid w:val="004C5EE0"/>
    <w:pPr>
      <w:tabs>
        <w:tab w:val="left" w:pos="567"/>
        <w:tab w:val="right" w:leader="dot" w:pos="8296"/>
      </w:tabs>
      <w:spacing w:after="100"/>
      <w:ind w:left="142"/>
    </w:pPr>
  </w:style>
  <w:style w:type="paragraph" w:styleId="TOC4">
    <w:name w:val="toc 4"/>
    <w:basedOn w:val="Normal"/>
    <w:next w:val="Normal"/>
    <w:autoRedefine/>
    <w:uiPriority w:val="39"/>
    <w:unhideWhenUsed/>
    <w:locked/>
    <w:rsid w:val="008B09A5"/>
    <w:pPr>
      <w:spacing w:after="100"/>
      <w:ind w:left="720"/>
    </w:pPr>
    <w:rPr>
      <w:rFonts w:asciiTheme="minorHAnsi" w:eastAsiaTheme="minorEastAsia" w:hAnsiTheme="minorHAnsi" w:cstheme="minorBidi"/>
    </w:rPr>
  </w:style>
  <w:style w:type="paragraph" w:styleId="TOC5">
    <w:name w:val="toc 5"/>
    <w:basedOn w:val="Normal"/>
    <w:next w:val="Normal"/>
    <w:autoRedefine/>
    <w:uiPriority w:val="39"/>
    <w:unhideWhenUsed/>
    <w:locked/>
    <w:rsid w:val="008B09A5"/>
    <w:pPr>
      <w:spacing w:after="100"/>
      <w:ind w:left="960"/>
    </w:pPr>
    <w:rPr>
      <w:rFonts w:asciiTheme="minorHAnsi" w:eastAsiaTheme="minorEastAsia" w:hAnsiTheme="minorHAnsi" w:cstheme="minorBidi"/>
    </w:rPr>
  </w:style>
  <w:style w:type="paragraph" w:styleId="TOC6">
    <w:name w:val="toc 6"/>
    <w:basedOn w:val="Normal"/>
    <w:next w:val="Normal"/>
    <w:autoRedefine/>
    <w:uiPriority w:val="39"/>
    <w:unhideWhenUsed/>
    <w:locked/>
    <w:rsid w:val="008B09A5"/>
    <w:pPr>
      <w:spacing w:after="100"/>
      <w:ind w:left="1200"/>
    </w:pPr>
    <w:rPr>
      <w:rFonts w:asciiTheme="minorHAnsi" w:eastAsiaTheme="minorEastAsia" w:hAnsiTheme="minorHAnsi" w:cstheme="minorBidi"/>
    </w:rPr>
  </w:style>
  <w:style w:type="paragraph" w:styleId="TOC7">
    <w:name w:val="toc 7"/>
    <w:basedOn w:val="Normal"/>
    <w:next w:val="Normal"/>
    <w:autoRedefine/>
    <w:uiPriority w:val="39"/>
    <w:unhideWhenUsed/>
    <w:locked/>
    <w:rsid w:val="008B09A5"/>
    <w:pPr>
      <w:spacing w:after="100"/>
      <w:ind w:left="1440"/>
    </w:pPr>
    <w:rPr>
      <w:rFonts w:asciiTheme="minorHAnsi" w:eastAsiaTheme="minorEastAsia" w:hAnsiTheme="minorHAnsi" w:cstheme="minorBidi"/>
    </w:rPr>
  </w:style>
  <w:style w:type="paragraph" w:styleId="TOC8">
    <w:name w:val="toc 8"/>
    <w:basedOn w:val="Normal"/>
    <w:next w:val="Normal"/>
    <w:autoRedefine/>
    <w:uiPriority w:val="39"/>
    <w:unhideWhenUsed/>
    <w:locked/>
    <w:rsid w:val="008B09A5"/>
    <w:pPr>
      <w:spacing w:after="100"/>
      <w:ind w:left="1680"/>
    </w:pPr>
    <w:rPr>
      <w:rFonts w:asciiTheme="minorHAnsi" w:eastAsiaTheme="minorEastAsia" w:hAnsiTheme="minorHAnsi" w:cstheme="minorBidi"/>
    </w:rPr>
  </w:style>
  <w:style w:type="paragraph" w:styleId="TOC9">
    <w:name w:val="toc 9"/>
    <w:basedOn w:val="Normal"/>
    <w:next w:val="Normal"/>
    <w:autoRedefine/>
    <w:uiPriority w:val="39"/>
    <w:unhideWhenUsed/>
    <w:locked/>
    <w:rsid w:val="008B09A5"/>
    <w:pPr>
      <w:spacing w:after="100"/>
      <w:ind w:left="1920"/>
    </w:pPr>
    <w:rPr>
      <w:rFonts w:asciiTheme="minorHAnsi" w:eastAsiaTheme="minorEastAsia" w:hAnsiTheme="minorHAnsi" w:cstheme="minorBidi"/>
    </w:rPr>
  </w:style>
  <w:style w:type="character" w:customStyle="1" w:styleId="Heading3Char">
    <w:name w:val="Heading 3 Char"/>
    <w:basedOn w:val="DefaultParagraphFont"/>
    <w:link w:val="Heading3"/>
    <w:uiPriority w:val="9"/>
    <w:semiHidden/>
    <w:rsid w:val="00BF0EB9"/>
    <w:rPr>
      <w:rFonts w:asciiTheme="majorHAnsi" w:eastAsiaTheme="majorEastAsia" w:hAnsiTheme="majorHAnsi" w:cstheme="majorBidi"/>
      <w:color w:val="243F60" w:themeColor="accent1" w:themeShade="7F"/>
      <w:lang w:val="en-AU" w:eastAsia="en-US"/>
    </w:rPr>
  </w:style>
  <w:style w:type="paragraph" w:styleId="Header">
    <w:name w:val="header"/>
    <w:basedOn w:val="Normal"/>
    <w:link w:val="HeaderChar"/>
    <w:uiPriority w:val="99"/>
    <w:unhideWhenUsed/>
    <w:locked/>
    <w:rsid w:val="005F2C54"/>
    <w:pPr>
      <w:tabs>
        <w:tab w:val="center" w:pos="4680"/>
        <w:tab w:val="right" w:pos="9360"/>
      </w:tabs>
    </w:pPr>
  </w:style>
  <w:style w:type="character" w:customStyle="1" w:styleId="HeaderChar">
    <w:name w:val="Header Char"/>
    <w:basedOn w:val="DefaultParagraphFont"/>
    <w:link w:val="Header"/>
    <w:uiPriority w:val="99"/>
    <w:rsid w:val="005F2C54"/>
    <w:rPr>
      <w:rFonts w:ascii="Times New Roman" w:eastAsia="Times New Roman" w:hAnsi="Times New Roman" w:cs="Times New Roman"/>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9509">
      <w:bodyDiv w:val="1"/>
      <w:marLeft w:val="0"/>
      <w:marRight w:val="0"/>
      <w:marTop w:val="0"/>
      <w:marBottom w:val="0"/>
      <w:divBdr>
        <w:top w:val="none" w:sz="0" w:space="0" w:color="auto"/>
        <w:left w:val="none" w:sz="0" w:space="0" w:color="auto"/>
        <w:bottom w:val="none" w:sz="0" w:space="0" w:color="auto"/>
        <w:right w:val="none" w:sz="0" w:space="0" w:color="auto"/>
      </w:divBdr>
    </w:div>
    <w:div w:id="99030217">
      <w:bodyDiv w:val="1"/>
      <w:marLeft w:val="0"/>
      <w:marRight w:val="0"/>
      <w:marTop w:val="0"/>
      <w:marBottom w:val="0"/>
      <w:divBdr>
        <w:top w:val="none" w:sz="0" w:space="0" w:color="auto"/>
        <w:left w:val="none" w:sz="0" w:space="0" w:color="auto"/>
        <w:bottom w:val="none" w:sz="0" w:space="0" w:color="auto"/>
        <w:right w:val="none" w:sz="0" w:space="0" w:color="auto"/>
      </w:divBdr>
    </w:div>
    <w:div w:id="135034635">
      <w:bodyDiv w:val="1"/>
      <w:marLeft w:val="0"/>
      <w:marRight w:val="0"/>
      <w:marTop w:val="0"/>
      <w:marBottom w:val="0"/>
      <w:divBdr>
        <w:top w:val="none" w:sz="0" w:space="0" w:color="auto"/>
        <w:left w:val="none" w:sz="0" w:space="0" w:color="auto"/>
        <w:bottom w:val="none" w:sz="0" w:space="0" w:color="auto"/>
        <w:right w:val="none" w:sz="0" w:space="0" w:color="auto"/>
      </w:divBdr>
    </w:div>
    <w:div w:id="155414777">
      <w:bodyDiv w:val="1"/>
      <w:marLeft w:val="0"/>
      <w:marRight w:val="0"/>
      <w:marTop w:val="0"/>
      <w:marBottom w:val="0"/>
      <w:divBdr>
        <w:top w:val="none" w:sz="0" w:space="0" w:color="auto"/>
        <w:left w:val="none" w:sz="0" w:space="0" w:color="auto"/>
        <w:bottom w:val="none" w:sz="0" w:space="0" w:color="auto"/>
        <w:right w:val="none" w:sz="0" w:space="0" w:color="auto"/>
      </w:divBdr>
    </w:div>
    <w:div w:id="159975181">
      <w:bodyDiv w:val="1"/>
      <w:marLeft w:val="0"/>
      <w:marRight w:val="0"/>
      <w:marTop w:val="0"/>
      <w:marBottom w:val="0"/>
      <w:divBdr>
        <w:top w:val="none" w:sz="0" w:space="0" w:color="auto"/>
        <w:left w:val="none" w:sz="0" w:space="0" w:color="auto"/>
        <w:bottom w:val="none" w:sz="0" w:space="0" w:color="auto"/>
        <w:right w:val="none" w:sz="0" w:space="0" w:color="auto"/>
      </w:divBdr>
      <w:divsChild>
        <w:div w:id="243875918">
          <w:marLeft w:val="0"/>
          <w:marRight w:val="0"/>
          <w:marTop w:val="0"/>
          <w:marBottom w:val="0"/>
          <w:divBdr>
            <w:top w:val="none" w:sz="0" w:space="0" w:color="auto"/>
            <w:left w:val="none" w:sz="0" w:space="0" w:color="auto"/>
            <w:bottom w:val="none" w:sz="0" w:space="0" w:color="auto"/>
            <w:right w:val="none" w:sz="0" w:space="0" w:color="auto"/>
          </w:divBdr>
          <w:divsChild>
            <w:div w:id="1805344805">
              <w:marLeft w:val="0"/>
              <w:marRight w:val="0"/>
              <w:marTop w:val="0"/>
              <w:marBottom w:val="0"/>
              <w:divBdr>
                <w:top w:val="none" w:sz="0" w:space="0" w:color="auto"/>
                <w:left w:val="none" w:sz="0" w:space="0" w:color="auto"/>
                <w:bottom w:val="none" w:sz="0" w:space="0" w:color="auto"/>
                <w:right w:val="none" w:sz="0" w:space="0" w:color="auto"/>
              </w:divBdr>
              <w:divsChild>
                <w:div w:id="42782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7010">
      <w:bodyDiv w:val="1"/>
      <w:marLeft w:val="0"/>
      <w:marRight w:val="0"/>
      <w:marTop w:val="0"/>
      <w:marBottom w:val="0"/>
      <w:divBdr>
        <w:top w:val="none" w:sz="0" w:space="0" w:color="auto"/>
        <w:left w:val="none" w:sz="0" w:space="0" w:color="auto"/>
        <w:bottom w:val="none" w:sz="0" w:space="0" w:color="auto"/>
        <w:right w:val="none" w:sz="0" w:space="0" w:color="auto"/>
      </w:divBdr>
    </w:div>
    <w:div w:id="187178012">
      <w:bodyDiv w:val="1"/>
      <w:marLeft w:val="0"/>
      <w:marRight w:val="0"/>
      <w:marTop w:val="0"/>
      <w:marBottom w:val="0"/>
      <w:divBdr>
        <w:top w:val="none" w:sz="0" w:space="0" w:color="auto"/>
        <w:left w:val="none" w:sz="0" w:space="0" w:color="auto"/>
        <w:bottom w:val="none" w:sz="0" w:space="0" w:color="auto"/>
        <w:right w:val="none" w:sz="0" w:space="0" w:color="auto"/>
      </w:divBdr>
    </w:div>
    <w:div w:id="252009750">
      <w:bodyDiv w:val="1"/>
      <w:marLeft w:val="0"/>
      <w:marRight w:val="0"/>
      <w:marTop w:val="0"/>
      <w:marBottom w:val="0"/>
      <w:divBdr>
        <w:top w:val="none" w:sz="0" w:space="0" w:color="auto"/>
        <w:left w:val="none" w:sz="0" w:space="0" w:color="auto"/>
        <w:bottom w:val="none" w:sz="0" w:space="0" w:color="auto"/>
        <w:right w:val="none" w:sz="0" w:space="0" w:color="auto"/>
      </w:divBdr>
    </w:div>
    <w:div w:id="257980335">
      <w:bodyDiv w:val="1"/>
      <w:marLeft w:val="0"/>
      <w:marRight w:val="0"/>
      <w:marTop w:val="0"/>
      <w:marBottom w:val="0"/>
      <w:divBdr>
        <w:top w:val="none" w:sz="0" w:space="0" w:color="auto"/>
        <w:left w:val="none" w:sz="0" w:space="0" w:color="auto"/>
        <w:bottom w:val="none" w:sz="0" w:space="0" w:color="auto"/>
        <w:right w:val="none" w:sz="0" w:space="0" w:color="auto"/>
      </w:divBdr>
    </w:div>
    <w:div w:id="258174471">
      <w:bodyDiv w:val="1"/>
      <w:marLeft w:val="0"/>
      <w:marRight w:val="0"/>
      <w:marTop w:val="0"/>
      <w:marBottom w:val="0"/>
      <w:divBdr>
        <w:top w:val="none" w:sz="0" w:space="0" w:color="auto"/>
        <w:left w:val="none" w:sz="0" w:space="0" w:color="auto"/>
        <w:bottom w:val="none" w:sz="0" w:space="0" w:color="auto"/>
        <w:right w:val="none" w:sz="0" w:space="0" w:color="auto"/>
      </w:divBdr>
      <w:divsChild>
        <w:div w:id="1391465320">
          <w:marLeft w:val="0"/>
          <w:marRight w:val="0"/>
          <w:marTop w:val="0"/>
          <w:marBottom w:val="0"/>
          <w:divBdr>
            <w:top w:val="none" w:sz="0" w:space="0" w:color="auto"/>
            <w:left w:val="none" w:sz="0" w:space="0" w:color="auto"/>
            <w:bottom w:val="none" w:sz="0" w:space="0" w:color="auto"/>
            <w:right w:val="none" w:sz="0" w:space="0" w:color="auto"/>
          </w:divBdr>
          <w:divsChild>
            <w:div w:id="227762995">
              <w:marLeft w:val="0"/>
              <w:marRight w:val="0"/>
              <w:marTop w:val="0"/>
              <w:marBottom w:val="0"/>
              <w:divBdr>
                <w:top w:val="none" w:sz="0" w:space="0" w:color="auto"/>
                <w:left w:val="none" w:sz="0" w:space="0" w:color="auto"/>
                <w:bottom w:val="none" w:sz="0" w:space="0" w:color="auto"/>
                <w:right w:val="none" w:sz="0" w:space="0" w:color="auto"/>
              </w:divBdr>
              <w:divsChild>
                <w:div w:id="24846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671875">
      <w:bodyDiv w:val="1"/>
      <w:marLeft w:val="0"/>
      <w:marRight w:val="0"/>
      <w:marTop w:val="0"/>
      <w:marBottom w:val="0"/>
      <w:divBdr>
        <w:top w:val="none" w:sz="0" w:space="0" w:color="auto"/>
        <w:left w:val="none" w:sz="0" w:space="0" w:color="auto"/>
        <w:bottom w:val="none" w:sz="0" w:space="0" w:color="auto"/>
        <w:right w:val="none" w:sz="0" w:space="0" w:color="auto"/>
      </w:divBdr>
    </w:div>
    <w:div w:id="377169265">
      <w:bodyDiv w:val="1"/>
      <w:marLeft w:val="0"/>
      <w:marRight w:val="0"/>
      <w:marTop w:val="0"/>
      <w:marBottom w:val="0"/>
      <w:divBdr>
        <w:top w:val="none" w:sz="0" w:space="0" w:color="auto"/>
        <w:left w:val="none" w:sz="0" w:space="0" w:color="auto"/>
        <w:bottom w:val="none" w:sz="0" w:space="0" w:color="auto"/>
        <w:right w:val="none" w:sz="0" w:space="0" w:color="auto"/>
      </w:divBdr>
    </w:div>
    <w:div w:id="399596686">
      <w:bodyDiv w:val="1"/>
      <w:marLeft w:val="0"/>
      <w:marRight w:val="0"/>
      <w:marTop w:val="0"/>
      <w:marBottom w:val="0"/>
      <w:divBdr>
        <w:top w:val="none" w:sz="0" w:space="0" w:color="auto"/>
        <w:left w:val="none" w:sz="0" w:space="0" w:color="auto"/>
        <w:bottom w:val="none" w:sz="0" w:space="0" w:color="auto"/>
        <w:right w:val="none" w:sz="0" w:space="0" w:color="auto"/>
      </w:divBdr>
    </w:div>
    <w:div w:id="437718035">
      <w:bodyDiv w:val="1"/>
      <w:marLeft w:val="0"/>
      <w:marRight w:val="0"/>
      <w:marTop w:val="0"/>
      <w:marBottom w:val="0"/>
      <w:divBdr>
        <w:top w:val="none" w:sz="0" w:space="0" w:color="auto"/>
        <w:left w:val="none" w:sz="0" w:space="0" w:color="auto"/>
        <w:bottom w:val="none" w:sz="0" w:space="0" w:color="auto"/>
        <w:right w:val="none" w:sz="0" w:space="0" w:color="auto"/>
      </w:divBdr>
    </w:div>
    <w:div w:id="439646827">
      <w:bodyDiv w:val="1"/>
      <w:marLeft w:val="0"/>
      <w:marRight w:val="0"/>
      <w:marTop w:val="0"/>
      <w:marBottom w:val="0"/>
      <w:divBdr>
        <w:top w:val="none" w:sz="0" w:space="0" w:color="auto"/>
        <w:left w:val="none" w:sz="0" w:space="0" w:color="auto"/>
        <w:bottom w:val="none" w:sz="0" w:space="0" w:color="auto"/>
        <w:right w:val="none" w:sz="0" w:space="0" w:color="auto"/>
      </w:divBdr>
    </w:div>
    <w:div w:id="457795128">
      <w:bodyDiv w:val="1"/>
      <w:marLeft w:val="0"/>
      <w:marRight w:val="0"/>
      <w:marTop w:val="0"/>
      <w:marBottom w:val="0"/>
      <w:divBdr>
        <w:top w:val="none" w:sz="0" w:space="0" w:color="auto"/>
        <w:left w:val="none" w:sz="0" w:space="0" w:color="auto"/>
        <w:bottom w:val="none" w:sz="0" w:space="0" w:color="auto"/>
        <w:right w:val="none" w:sz="0" w:space="0" w:color="auto"/>
      </w:divBdr>
    </w:div>
    <w:div w:id="461076595">
      <w:bodyDiv w:val="1"/>
      <w:marLeft w:val="0"/>
      <w:marRight w:val="0"/>
      <w:marTop w:val="0"/>
      <w:marBottom w:val="0"/>
      <w:divBdr>
        <w:top w:val="none" w:sz="0" w:space="0" w:color="auto"/>
        <w:left w:val="none" w:sz="0" w:space="0" w:color="auto"/>
        <w:bottom w:val="none" w:sz="0" w:space="0" w:color="auto"/>
        <w:right w:val="none" w:sz="0" w:space="0" w:color="auto"/>
      </w:divBdr>
    </w:div>
    <w:div w:id="486552238">
      <w:bodyDiv w:val="1"/>
      <w:marLeft w:val="0"/>
      <w:marRight w:val="0"/>
      <w:marTop w:val="0"/>
      <w:marBottom w:val="0"/>
      <w:divBdr>
        <w:top w:val="none" w:sz="0" w:space="0" w:color="auto"/>
        <w:left w:val="none" w:sz="0" w:space="0" w:color="auto"/>
        <w:bottom w:val="none" w:sz="0" w:space="0" w:color="auto"/>
        <w:right w:val="none" w:sz="0" w:space="0" w:color="auto"/>
      </w:divBdr>
      <w:divsChild>
        <w:div w:id="1760635774">
          <w:marLeft w:val="0"/>
          <w:marRight w:val="0"/>
          <w:marTop w:val="0"/>
          <w:marBottom w:val="0"/>
          <w:divBdr>
            <w:top w:val="none" w:sz="0" w:space="0" w:color="auto"/>
            <w:left w:val="none" w:sz="0" w:space="0" w:color="auto"/>
            <w:bottom w:val="none" w:sz="0" w:space="0" w:color="auto"/>
            <w:right w:val="none" w:sz="0" w:space="0" w:color="auto"/>
          </w:divBdr>
          <w:divsChild>
            <w:div w:id="2074111607">
              <w:marLeft w:val="0"/>
              <w:marRight w:val="0"/>
              <w:marTop w:val="0"/>
              <w:marBottom w:val="0"/>
              <w:divBdr>
                <w:top w:val="none" w:sz="0" w:space="0" w:color="auto"/>
                <w:left w:val="none" w:sz="0" w:space="0" w:color="auto"/>
                <w:bottom w:val="none" w:sz="0" w:space="0" w:color="auto"/>
                <w:right w:val="none" w:sz="0" w:space="0" w:color="auto"/>
              </w:divBdr>
              <w:divsChild>
                <w:div w:id="287050299">
                  <w:marLeft w:val="0"/>
                  <w:marRight w:val="0"/>
                  <w:marTop w:val="0"/>
                  <w:marBottom w:val="0"/>
                  <w:divBdr>
                    <w:top w:val="none" w:sz="0" w:space="0" w:color="auto"/>
                    <w:left w:val="none" w:sz="0" w:space="0" w:color="auto"/>
                    <w:bottom w:val="none" w:sz="0" w:space="0" w:color="auto"/>
                    <w:right w:val="none" w:sz="0" w:space="0" w:color="auto"/>
                  </w:divBdr>
                  <w:divsChild>
                    <w:div w:id="42500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2443315">
      <w:bodyDiv w:val="1"/>
      <w:marLeft w:val="0"/>
      <w:marRight w:val="0"/>
      <w:marTop w:val="0"/>
      <w:marBottom w:val="0"/>
      <w:divBdr>
        <w:top w:val="none" w:sz="0" w:space="0" w:color="auto"/>
        <w:left w:val="none" w:sz="0" w:space="0" w:color="auto"/>
        <w:bottom w:val="none" w:sz="0" w:space="0" w:color="auto"/>
        <w:right w:val="none" w:sz="0" w:space="0" w:color="auto"/>
      </w:divBdr>
    </w:div>
    <w:div w:id="614949497">
      <w:bodyDiv w:val="1"/>
      <w:marLeft w:val="0"/>
      <w:marRight w:val="0"/>
      <w:marTop w:val="0"/>
      <w:marBottom w:val="0"/>
      <w:divBdr>
        <w:top w:val="none" w:sz="0" w:space="0" w:color="auto"/>
        <w:left w:val="none" w:sz="0" w:space="0" w:color="auto"/>
        <w:bottom w:val="none" w:sz="0" w:space="0" w:color="auto"/>
        <w:right w:val="none" w:sz="0" w:space="0" w:color="auto"/>
      </w:divBdr>
      <w:divsChild>
        <w:div w:id="1782456443">
          <w:marLeft w:val="0"/>
          <w:marRight w:val="0"/>
          <w:marTop w:val="0"/>
          <w:marBottom w:val="0"/>
          <w:divBdr>
            <w:top w:val="none" w:sz="0" w:space="0" w:color="auto"/>
            <w:left w:val="none" w:sz="0" w:space="0" w:color="auto"/>
            <w:bottom w:val="none" w:sz="0" w:space="0" w:color="auto"/>
            <w:right w:val="none" w:sz="0" w:space="0" w:color="auto"/>
          </w:divBdr>
          <w:divsChild>
            <w:div w:id="1645356534">
              <w:marLeft w:val="0"/>
              <w:marRight w:val="0"/>
              <w:marTop w:val="0"/>
              <w:marBottom w:val="0"/>
              <w:divBdr>
                <w:top w:val="none" w:sz="0" w:space="0" w:color="auto"/>
                <w:left w:val="none" w:sz="0" w:space="0" w:color="auto"/>
                <w:bottom w:val="none" w:sz="0" w:space="0" w:color="auto"/>
                <w:right w:val="none" w:sz="0" w:space="0" w:color="auto"/>
              </w:divBdr>
              <w:divsChild>
                <w:div w:id="159069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4265">
      <w:bodyDiv w:val="1"/>
      <w:marLeft w:val="0"/>
      <w:marRight w:val="0"/>
      <w:marTop w:val="0"/>
      <w:marBottom w:val="0"/>
      <w:divBdr>
        <w:top w:val="none" w:sz="0" w:space="0" w:color="auto"/>
        <w:left w:val="none" w:sz="0" w:space="0" w:color="auto"/>
        <w:bottom w:val="none" w:sz="0" w:space="0" w:color="auto"/>
        <w:right w:val="none" w:sz="0" w:space="0" w:color="auto"/>
      </w:divBdr>
      <w:divsChild>
        <w:div w:id="900674064">
          <w:marLeft w:val="0"/>
          <w:marRight w:val="0"/>
          <w:marTop w:val="0"/>
          <w:marBottom w:val="0"/>
          <w:divBdr>
            <w:top w:val="none" w:sz="0" w:space="0" w:color="auto"/>
            <w:left w:val="none" w:sz="0" w:space="0" w:color="auto"/>
            <w:bottom w:val="none" w:sz="0" w:space="0" w:color="auto"/>
            <w:right w:val="none" w:sz="0" w:space="0" w:color="auto"/>
          </w:divBdr>
          <w:divsChild>
            <w:div w:id="1246959025">
              <w:marLeft w:val="0"/>
              <w:marRight w:val="0"/>
              <w:marTop w:val="0"/>
              <w:marBottom w:val="0"/>
              <w:divBdr>
                <w:top w:val="none" w:sz="0" w:space="0" w:color="auto"/>
                <w:left w:val="none" w:sz="0" w:space="0" w:color="auto"/>
                <w:bottom w:val="none" w:sz="0" w:space="0" w:color="auto"/>
                <w:right w:val="none" w:sz="0" w:space="0" w:color="auto"/>
              </w:divBdr>
              <w:divsChild>
                <w:div w:id="144569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376165">
      <w:bodyDiv w:val="1"/>
      <w:marLeft w:val="0"/>
      <w:marRight w:val="0"/>
      <w:marTop w:val="0"/>
      <w:marBottom w:val="0"/>
      <w:divBdr>
        <w:top w:val="none" w:sz="0" w:space="0" w:color="auto"/>
        <w:left w:val="none" w:sz="0" w:space="0" w:color="auto"/>
        <w:bottom w:val="none" w:sz="0" w:space="0" w:color="auto"/>
        <w:right w:val="none" w:sz="0" w:space="0" w:color="auto"/>
      </w:divBdr>
    </w:div>
    <w:div w:id="663512692">
      <w:bodyDiv w:val="1"/>
      <w:marLeft w:val="0"/>
      <w:marRight w:val="0"/>
      <w:marTop w:val="0"/>
      <w:marBottom w:val="0"/>
      <w:divBdr>
        <w:top w:val="none" w:sz="0" w:space="0" w:color="auto"/>
        <w:left w:val="none" w:sz="0" w:space="0" w:color="auto"/>
        <w:bottom w:val="none" w:sz="0" w:space="0" w:color="auto"/>
        <w:right w:val="none" w:sz="0" w:space="0" w:color="auto"/>
      </w:divBdr>
      <w:divsChild>
        <w:div w:id="291402434">
          <w:marLeft w:val="0"/>
          <w:marRight w:val="0"/>
          <w:marTop w:val="0"/>
          <w:marBottom w:val="0"/>
          <w:divBdr>
            <w:top w:val="none" w:sz="0" w:space="0" w:color="auto"/>
            <w:left w:val="none" w:sz="0" w:space="0" w:color="auto"/>
            <w:bottom w:val="none" w:sz="0" w:space="0" w:color="auto"/>
            <w:right w:val="none" w:sz="0" w:space="0" w:color="auto"/>
          </w:divBdr>
          <w:divsChild>
            <w:div w:id="1595239796">
              <w:marLeft w:val="0"/>
              <w:marRight w:val="0"/>
              <w:marTop w:val="0"/>
              <w:marBottom w:val="0"/>
              <w:divBdr>
                <w:top w:val="none" w:sz="0" w:space="0" w:color="auto"/>
                <w:left w:val="none" w:sz="0" w:space="0" w:color="auto"/>
                <w:bottom w:val="none" w:sz="0" w:space="0" w:color="auto"/>
                <w:right w:val="none" w:sz="0" w:space="0" w:color="auto"/>
              </w:divBdr>
              <w:divsChild>
                <w:div w:id="133348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349751">
      <w:bodyDiv w:val="1"/>
      <w:marLeft w:val="0"/>
      <w:marRight w:val="0"/>
      <w:marTop w:val="0"/>
      <w:marBottom w:val="0"/>
      <w:divBdr>
        <w:top w:val="none" w:sz="0" w:space="0" w:color="auto"/>
        <w:left w:val="none" w:sz="0" w:space="0" w:color="auto"/>
        <w:bottom w:val="none" w:sz="0" w:space="0" w:color="auto"/>
        <w:right w:val="none" w:sz="0" w:space="0" w:color="auto"/>
      </w:divBdr>
    </w:div>
    <w:div w:id="807825171">
      <w:bodyDiv w:val="1"/>
      <w:marLeft w:val="0"/>
      <w:marRight w:val="0"/>
      <w:marTop w:val="0"/>
      <w:marBottom w:val="0"/>
      <w:divBdr>
        <w:top w:val="none" w:sz="0" w:space="0" w:color="auto"/>
        <w:left w:val="none" w:sz="0" w:space="0" w:color="auto"/>
        <w:bottom w:val="none" w:sz="0" w:space="0" w:color="auto"/>
        <w:right w:val="none" w:sz="0" w:space="0" w:color="auto"/>
      </w:divBdr>
    </w:div>
    <w:div w:id="817528562">
      <w:bodyDiv w:val="1"/>
      <w:marLeft w:val="0"/>
      <w:marRight w:val="0"/>
      <w:marTop w:val="0"/>
      <w:marBottom w:val="0"/>
      <w:divBdr>
        <w:top w:val="none" w:sz="0" w:space="0" w:color="auto"/>
        <w:left w:val="none" w:sz="0" w:space="0" w:color="auto"/>
        <w:bottom w:val="none" w:sz="0" w:space="0" w:color="auto"/>
        <w:right w:val="none" w:sz="0" w:space="0" w:color="auto"/>
      </w:divBdr>
    </w:div>
    <w:div w:id="831138316">
      <w:bodyDiv w:val="1"/>
      <w:marLeft w:val="0"/>
      <w:marRight w:val="0"/>
      <w:marTop w:val="0"/>
      <w:marBottom w:val="0"/>
      <w:divBdr>
        <w:top w:val="none" w:sz="0" w:space="0" w:color="auto"/>
        <w:left w:val="none" w:sz="0" w:space="0" w:color="auto"/>
        <w:bottom w:val="none" w:sz="0" w:space="0" w:color="auto"/>
        <w:right w:val="none" w:sz="0" w:space="0" w:color="auto"/>
      </w:divBdr>
      <w:divsChild>
        <w:div w:id="417168821">
          <w:marLeft w:val="0"/>
          <w:marRight w:val="0"/>
          <w:marTop w:val="0"/>
          <w:marBottom w:val="0"/>
          <w:divBdr>
            <w:top w:val="none" w:sz="0" w:space="0" w:color="auto"/>
            <w:left w:val="none" w:sz="0" w:space="0" w:color="auto"/>
            <w:bottom w:val="none" w:sz="0" w:space="0" w:color="auto"/>
            <w:right w:val="none" w:sz="0" w:space="0" w:color="auto"/>
          </w:divBdr>
          <w:divsChild>
            <w:div w:id="366873304">
              <w:marLeft w:val="0"/>
              <w:marRight w:val="0"/>
              <w:marTop w:val="0"/>
              <w:marBottom w:val="0"/>
              <w:divBdr>
                <w:top w:val="none" w:sz="0" w:space="0" w:color="auto"/>
                <w:left w:val="none" w:sz="0" w:space="0" w:color="auto"/>
                <w:bottom w:val="none" w:sz="0" w:space="0" w:color="auto"/>
                <w:right w:val="none" w:sz="0" w:space="0" w:color="auto"/>
              </w:divBdr>
              <w:divsChild>
                <w:div w:id="601299670">
                  <w:marLeft w:val="0"/>
                  <w:marRight w:val="0"/>
                  <w:marTop w:val="0"/>
                  <w:marBottom w:val="0"/>
                  <w:divBdr>
                    <w:top w:val="none" w:sz="0" w:space="0" w:color="auto"/>
                    <w:left w:val="none" w:sz="0" w:space="0" w:color="auto"/>
                    <w:bottom w:val="none" w:sz="0" w:space="0" w:color="auto"/>
                    <w:right w:val="none" w:sz="0" w:space="0" w:color="auto"/>
                  </w:divBdr>
                  <w:divsChild>
                    <w:div w:id="15639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029468">
      <w:bodyDiv w:val="1"/>
      <w:marLeft w:val="0"/>
      <w:marRight w:val="0"/>
      <w:marTop w:val="0"/>
      <w:marBottom w:val="0"/>
      <w:divBdr>
        <w:top w:val="none" w:sz="0" w:space="0" w:color="auto"/>
        <w:left w:val="none" w:sz="0" w:space="0" w:color="auto"/>
        <w:bottom w:val="none" w:sz="0" w:space="0" w:color="auto"/>
        <w:right w:val="none" w:sz="0" w:space="0" w:color="auto"/>
      </w:divBdr>
    </w:div>
    <w:div w:id="858009852">
      <w:bodyDiv w:val="1"/>
      <w:marLeft w:val="0"/>
      <w:marRight w:val="0"/>
      <w:marTop w:val="0"/>
      <w:marBottom w:val="0"/>
      <w:divBdr>
        <w:top w:val="none" w:sz="0" w:space="0" w:color="auto"/>
        <w:left w:val="none" w:sz="0" w:space="0" w:color="auto"/>
        <w:bottom w:val="none" w:sz="0" w:space="0" w:color="auto"/>
        <w:right w:val="none" w:sz="0" w:space="0" w:color="auto"/>
      </w:divBdr>
    </w:div>
    <w:div w:id="875503221">
      <w:bodyDiv w:val="1"/>
      <w:marLeft w:val="0"/>
      <w:marRight w:val="0"/>
      <w:marTop w:val="0"/>
      <w:marBottom w:val="0"/>
      <w:divBdr>
        <w:top w:val="none" w:sz="0" w:space="0" w:color="auto"/>
        <w:left w:val="none" w:sz="0" w:space="0" w:color="auto"/>
        <w:bottom w:val="none" w:sz="0" w:space="0" w:color="auto"/>
        <w:right w:val="none" w:sz="0" w:space="0" w:color="auto"/>
      </w:divBdr>
    </w:div>
    <w:div w:id="882716274">
      <w:bodyDiv w:val="1"/>
      <w:marLeft w:val="0"/>
      <w:marRight w:val="0"/>
      <w:marTop w:val="0"/>
      <w:marBottom w:val="0"/>
      <w:divBdr>
        <w:top w:val="none" w:sz="0" w:space="0" w:color="auto"/>
        <w:left w:val="none" w:sz="0" w:space="0" w:color="auto"/>
        <w:bottom w:val="none" w:sz="0" w:space="0" w:color="auto"/>
        <w:right w:val="none" w:sz="0" w:space="0" w:color="auto"/>
      </w:divBdr>
      <w:divsChild>
        <w:div w:id="1385373693">
          <w:marLeft w:val="0"/>
          <w:marRight w:val="0"/>
          <w:marTop w:val="0"/>
          <w:marBottom w:val="0"/>
          <w:divBdr>
            <w:top w:val="none" w:sz="0" w:space="0" w:color="auto"/>
            <w:left w:val="none" w:sz="0" w:space="0" w:color="auto"/>
            <w:bottom w:val="none" w:sz="0" w:space="0" w:color="auto"/>
            <w:right w:val="none" w:sz="0" w:space="0" w:color="auto"/>
          </w:divBdr>
          <w:divsChild>
            <w:div w:id="579604270">
              <w:marLeft w:val="0"/>
              <w:marRight w:val="0"/>
              <w:marTop w:val="0"/>
              <w:marBottom w:val="0"/>
              <w:divBdr>
                <w:top w:val="none" w:sz="0" w:space="0" w:color="auto"/>
                <w:left w:val="none" w:sz="0" w:space="0" w:color="auto"/>
                <w:bottom w:val="none" w:sz="0" w:space="0" w:color="auto"/>
                <w:right w:val="none" w:sz="0" w:space="0" w:color="auto"/>
              </w:divBdr>
              <w:divsChild>
                <w:div w:id="159779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47316">
      <w:bodyDiv w:val="1"/>
      <w:marLeft w:val="0"/>
      <w:marRight w:val="0"/>
      <w:marTop w:val="0"/>
      <w:marBottom w:val="0"/>
      <w:divBdr>
        <w:top w:val="none" w:sz="0" w:space="0" w:color="auto"/>
        <w:left w:val="none" w:sz="0" w:space="0" w:color="auto"/>
        <w:bottom w:val="none" w:sz="0" w:space="0" w:color="auto"/>
        <w:right w:val="none" w:sz="0" w:space="0" w:color="auto"/>
      </w:divBdr>
      <w:divsChild>
        <w:div w:id="331296893">
          <w:marLeft w:val="0"/>
          <w:marRight w:val="0"/>
          <w:marTop w:val="0"/>
          <w:marBottom w:val="0"/>
          <w:divBdr>
            <w:top w:val="none" w:sz="0" w:space="0" w:color="auto"/>
            <w:left w:val="none" w:sz="0" w:space="0" w:color="auto"/>
            <w:bottom w:val="none" w:sz="0" w:space="0" w:color="auto"/>
            <w:right w:val="none" w:sz="0" w:space="0" w:color="auto"/>
          </w:divBdr>
          <w:divsChild>
            <w:div w:id="1995986470">
              <w:marLeft w:val="0"/>
              <w:marRight w:val="0"/>
              <w:marTop w:val="0"/>
              <w:marBottom w:val="0"/>
              <w:divBdr>
                <w:top w:val="none" w:sz="0" w:space="0" w:color="auto"/>
                <w:left w:val="none" w:sz="0" w:space="0" w:color="auto"/>
                <w:bottom w:val="none" w:sz="0" w:space="0" w:color="auto"/>
                <w:right w:val="none" w:sz="0" w:space="0" w:color="auto"/>
              </w:divBdr>
              <w:divsChild>
                <w:div w:id="9012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986775">
      <w:bodyDiv w:val="1"/>
      <w:marLeft w:val="0"/>
      <w:marRight w:val="0"/>
      <w:marTop w:val="0"/>
      <w:marBottom w:val="0"/>
      <w:divBdr>
        <w:top w:val="none" w:sz="0" w:space="0" w:color="auto"/>
        <w:left w:val="none" w:sz="0" w:space="0" w:color="auto"/>
        <w:bottom w:val="none" w:sz="0" w:space="0" w:color="auto"/>
        <w:right w:val="none" w:sz="0" w:space="0" w:color="auto"/>
      </w:divBdr>
      <w:divsChild>
        <w:div w:id="1531996184">
          <w:marLeft w:val="0"/>
          <w:marRight w:val="0"/>
          <w:marTop w:val="0"/>
          <w:marBottom w:val="0"/>
          <w:divBdr>
            <w:top w:val="none" w:sz="0" w:space="0" w:color="auto"/>
            <w:left w:val="none" w:sz="0" w:space="0" w:color="auto"/>
            <w:bottom w:val="none" w:sz="0" w:space="0" w:color="auto"/>
            <w:right w:val="none" w:sz="0" w:space="0" w:color="auto"/>
          </w:divBdr>
          <w:divsChild>
            <w:div w:id="1953201333">
              <w:marLeft w:val="0"/>
              <w:marRight w:val="0"/>
              <w:marTop w:val="0"/>
              <w:marBottom w:val="0"/>
              <w:divBdr>
                <w:top w:val="none" w:sz="0" w:space="0" w:color="auto"/>
                <w:left w:val="none" w:sz="0" w:space="0" w:color="auto"/>
                <w:bottom w:val="none" w:sz="0" w:space="0" w:color="auto"/>
                <w:right w:val="none" w:sz="0" w:space="0" w:color="auto"/>
              </w:divBdr>
              <w:divsChild>
                <w:div w:id="1720548143">
                  <w:marLeft w:val="0"/>
                  <w:marRight w:val="0"/>
                  <w:marTop w:val="0"/>
                  <w:marBottom w:val="0"/>
                  <w:divBdr>
                    <w:top w:val="none" w:sz="0" w:space="0" w:color="auto"/>
                    <w:left w:val="none" w:sz="0" w:space="0" w:color="auto"/>
                    <w:bottom w:val="none" w:sz="0" w:space="0" w:color="auto"/>
                    <w:right w:val="none" w:sz="0" w:space="0" w:color="auto"/>
                  </w:divBdr>
                  <w:divsChild>
                    <w:div w:id="1470514800">
                      <w:marLeft w:val="0"/>
                      <w:marRight w:val="0"/>
                      <w:marTop w:val="0"/>
                      <w:marBottom w:val="0"/>
                      <w:divBdr>
                        <w:top w:val="none" w:sz="0" w:space="0" w:color="auto"/>
                        <w:left w:val="none" w:sz="0" w:space="0" w:color="auto"/>
                        <w:bottom w:val="none" w:sz="0" w:space="0" w:color="auto"/>
                        <w:right w:val="none" w:sz="0" w:space="0" w:color="auto"/>
                      </w:divBdr>
                    </w:div>
                  </w:divsChild>
                </w:div>
                <w:div w:id="1134564827">
                  <w:marLeft w:val="0"/>
                  <w:marRight w:val="0"/>
                  <w:marTop w:val="0"/>
                  <w:marBottom w:val="0"/>
                  <w:divBdr>
                    <w:top w:val="none" w:sz="0" w:space="0" w:color="auto"/>
                    <w:left w:val="none" w:sz="0" w:space="0" w:color="auto"/>
                    <w:bottom w:val="none" w:sz="0" w:space="0" w:color="auto"/>
                    <w:right w:val="none" w:sz="0" w:space="0" w:color="auto"/>
                  </w:divBdr>
                  <w:divsChild>
                    <w:div w:id="162715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001429">
              <w:marLeft w:val="0"/>
              <w:marRight w:val="0"/>
              <w:marTop w:val="0"/>
              <w:marBottom w:val="0"/>
              <w:divBdr>
                <w:top w:val="none" w:sz="0" w:space="0" w:color="auto"/>
                <w:left w:val="none" w:sz="0" w:space="0" w:color="auto"/>
                <w:bottom w:val="none" w:sz="0" w:space="0" w:color="auto"/>
                <w:right w:val="none" w:sz="0" w:space="0" w:color="auto"/>
              </w:divBdr>
              <w:divsChild>
                <w:div w:id="1448281007">
                  <w:marLeft w:val="0"/>
                  <w:marRight w:val="0"/>
                  <w:marTop w:val="0"/>
                  <w:marBottom w:val="0"/>
                  <w:divBdr>
                    <w:top w:val="none" w:sz="0" w:space="0" w:color="auto"/>
                    <w:left w:val="none" w:sz="0" w:space="0" w:color="auto"/>
                    <w:bottom w:val="none" w:sz="0" w:space="0" w:color="auto"/>
                    <w:right w:val="none" w:sz="0" w:space="0" w:color="auto"/>
                  </w:divBdr>
                  <w:divsChild>
                    <w:div w:id="170702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77657">
          <w:marLeft w:val="0"/>
          <w:marRight w:val="0"/>
          <w:marTop w:val="0"/>
          <w:marBottom w:val="0"/>
          <w:divBdr>
            <w:top w:val="none" w:sz="0" w:space="0" w:color="auto"/>
            <w:left w:val="none" w:sz="0" w:space="0" w:color="auto"/>
            <w:bottom w:val="none" w:sz="0" w:space="0" w:color="auto"/>
            <w:right w:val="none" w:sz="0" w:space="0" w:color="auto"/>
          </w:divBdr>
          <w:divsChild>
            <w:div w:id="1170098586">
              <w:marLeft w:val="0"/>
              <w:marRight w:val="0"/>
              <w:marTop w:val="0"/>
              <w:marBottom w:val="0"/>
              <w:divBdr>
                <w:top w:val="none" w:sz="0" w:space="0" w:color="auto"/>
                <w:left w:val="none" w:sz="0" w:space="0" w:color="auto"/>
                <w:bottom w:val="none" w:sz="0" w:space="0" w:color="auto"/>
                <w:right w:val="none" w:sz="0" w:space="0" w:color="auto"/>
              </w:divBdr>
              <w:divsChild>
                <w:div w:id="1032269092">
                  <w:marLeft w:val="0"/>
                  <w:marRight w:val="0"/>
                  <w:marTop w:val="0"/>
                  <w:marBottom w:val="0"/>
                  <w:divBdr>
                    <w:top w:val="none" w:sz="0" w:space="0" w:color="auto"/>
                    <w:left w:val="none" w:sz="0" w:space="0" w:color="auto"/>
                    <w:bottom w:val="none" w:sz="0" w:space="0" w:color="auto"/>
                    <w:right w:val="none" w:sz="0" w:space="0" w:color="auto"/>
                  </w:divBdr>
                  <w:divsChild>
                    <w:div w:id="962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450110">
      <w:bodyDiv w:val="1"/>
      <w:marLeft w:val="0"/>
      <w:marRight w:val="0"/>
      <w:marTop w:val="0"/>
      <w:marBottom w:val="0"/>
      <w:divBdr>
        <w:top w:val="none" w:sz="0" w:space="0" w:color="auto"/>
        <w:left w:val="none" w:sz="0" w:space="0" w:color="auto"/>
        <w:bottom w:val="none" w:sz="0" w:space="0" w:color="auto"/>
        <w:right w:val="none" w:sz="0" w:space="0" w:color="auto"/>
      </w:divBdr>
    </w:div>
    <w:div w:id="1006519353">
      <w:bodyDiv w:val="1"/>
      <w:marLeft w:val="0"/>
      <w:marRight w:val="0"/>
      <w:marTop w:val="0"/>
      <w:marBottom w:val="0"/>
      <w:divBdr>
        <w:top w:val="none" w:sz="0" w:space="0" w:color="auto"/>
        <w:left w:val="none" w:sz="0" w:space="0" w:color="auto"/>
        <w:bottom w:val="none" w:sz="0" w:space="0" w:color="auto"/>
        <w:right w:val="none" w:sz="0" w:space="0" w:color="auto"/>
      </w:divBdr>
    </w:div>
    <w:div w:id="1026372377">
      <w:bodyDiv w:val="1"/>
      <w:marLeft w:val="0"/>
      <w:marRight w:val="0"/>
      <w:marTop w:val="0"/>
      <w:marBottom w:val="0"/>
      <w:divBdr>
        <w:top w:val="none" w:sz="0" w:space="0" w:color="auto"/>
        <w:left w:val="none" w:sz="0" w:space="0" w:color="auto"/>
        <w:bottom w:val="none" w:sz="0" w:space="0" w:color="auto"/>
        <w:right w:val="none" w:sz="0" w:space="0" w:color="auto"/>
      </w:divBdr>
    </w:div>
    <w:div w:id="1047223464">
      <w:bodyDiv w:val="1"/>
      <w:marLeft w:val="0"/>
      <w:marRight w:val="0"/>
      <w:marTop w:val="0"/>
      <w:marBottom w:val="0"/>
      <w:divBdr>
        <w:top w:val="none" w:sz="0" w:space="0" w:color="auto"/>
        <w:left w:val="none" w:sz="0" w:space="0" w:color="auto"/>
        <w:bottom w:val="none" w:sz="0" w:space="0" w:color="auto"/>
        <w:right w:val="none" w:sz="0" w:space="0" w:color="auto"/>
      </w:divBdr>
    </w:div>
    <w:div w:id="1060327579">
      <w:bodyDiv w:val="1"/>
      <w:marLeft w:val="0"/>
      <w:marRight w:val="0"/>
      <w:marTop w:val="0"/>
      <w:marBottom w:val="0"/>
      <w:divBdr>
        <w:top w:val="none" w:sz="0" w:space="0" w:color="auto"/>
        <w:left w:val="none" w:sz="0" w:space="0" w:color="auto"/>
        <w:bottom w:val="none" w:sz="0" w:space="0" w:color="auto"/>
        <w:right w:val="none" w:sz="0" w:space="0" w:color="auto"/>
      </w:divBdr>
    </w:div>
    <w:div w:id="1066413821">
      <w:bodyDiv w:val="1"/>
      <w:marLeft w:val="0"/>
      <w:marRight w:val="0"/>
      <w:marTop w:val="0"/>
      <w:marBottom w:val="0"/>
      <w:divBdr>
        <w:top w:val="none" w:sz="0" w:space="0" w:color="auto"/>
        <w:left w:val="none" w:sz="0" w:space="0" w:color="auto"/>
        <w:bottom w:val="none" w:sz="0" w:space="0" w:color="auto"/>
        <w:right w:val="none" w:sz="0" w:space="0" w:color="auto"/>
      </w:divBdr>
    </w:div>
    <w:div w:id="1095596653">
      <w:bodyDiv w:val="1"/>
      <w:marLeft w:val="0"/>
      <w:marRight w:val="0"/>
      <w:marTop w:val="0"/>
      <w:marBottom w:val="0"/>
      <w:divBdr>
        <w:top w:val="none" w:sz="0" w:space="0" w:color="auto"/>
        <w:left w:val="none" w:sz="0" w:space="0" w:color="auto"/>
        <w:bottom w:val="none" w:sz="0" w:space="0" w:color="auto"/>
        <w:right w:val="none" w:sz="0" w:space="0" w:color="auto"/>
      </w:divBdr>
    </w:div>
    <w:div w:id="1166017435">
      <w:bodyDiv w:val="1"/>
      <w:marLeft w:val="0"/>
      <w:marRight w:val="0"/>
      <w:marTop w:val="0"/>
      <w:marBottom w:val="0"/>
      <w:divBdr>
        <w:top w:val="none" w:sz="0" w:space="0" w:color="auto"/>
        <w:left w:val="none" w:sz="0" w:space="0" w:color="auto"/>
        <w:bottom w:val="none" w:sz="0" w:space="0" w:color="auto"/>
        <w:right w:val="none" w:sz="0" w:space="0" w:color="auto"/>
      </w:divBdr>
      <w:divsChild>
        <w:div w:id="1549606973">
          <w:marLeft w:val="0"/>
          <w:marRight w:val="0"/>
          <w:marTop w:val="0"/>
          <w:marBottom w:val="0"/>
          <w:divBdr>
            <w:top w:val="none" w:sz="0" w:space="0" w:color="auto"/>
            <w:left w:val="none" w:sz="0" w:space="0" w:color="auto"/>
            <w:bottom w:val="none" w:sz="0" w:space="0" w:color="auto"/>
            <w:right w:val="none" w:sz="0" w:space="0" w:color="auto"/>
          </w:divBdr>
          <w:divsChild>
            <w:div w:id="653796807">
              <w:marLeft w:val="0"/>
              <w:marRight w:val="0"/>
              <w:marTop w:val="0"/>
              <w:marBottom w:val="0"/>
              <w:divBdr>
                <w:top w:val="none" w:sz="0" w:space="0" w:color="auto"/>
                <w:left w:val="none" w:sz="0" w:space="0" w:color="auto"/>
                <w:bottom w:val="none" w:sz="0" w:space="0" w:color="auto"/>
                <w:right w:val="none" w:sz="0" w:space="0" w:color="auto"/>
              </w:divBdr>
              <w:divsChild>
                <w:div w:id="153677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04185">
      <w:bodyDiv w:val="1"/>
      <w:marLeft w:val="0"/>
      <w:marRight w:val="0"/>
      <w:marTop w:val="0"/>
      <w:marBottom w:val="0"/>
      <w:divBdr>
        <w:top w:val="none" w:sz="0" w:space="0" w:color="auto"/>
        <w:left w:val="none" w:sz="0" w:space="0" w:color="auto"/>
        <w:bottom w:val="none" w:sz="0" w:space="0" w:color="auto"/>
        <w:right w:val="none" w:sz="0" w:space="0" w:color="auto"/>
      </w:divBdr>
    </w:div>
    <w:div w:id="1303122057">
      <w:bodyDiv w:val="1"/>
      <w:marLeft w:val="0"/>
      <w:marRight w:val="0"/>
      <w:marTop w:val="0"/>
      <w:marBottom w:val="0"/>
      <w:divBdr>
        <w:top w:val="none" w:sz="0" w:space="0" w:color="auto"/>
        <w:left w:val="none" w:sz="0" w:space="0" w:color="auto"/>
        <w:bottom w:val="none" w:sz="0" w:space="0" w:color="auto"/>
        <w:right w:val="none" w:sz="0" w:space="0" w:color="auto"/>
      </w:divBdr>
      <w:divsChild>
        <w:div w:id="371882935">
          <w:marLeft w:val="0"/>
          <w:marRight w:val="0"/>
          <w:marTop w:val="0"/>
          <w:marBottom w:val="0"/>
          <w:divBdr>
            <w:top w:val="none" w:sz="0" w:space="0" w:color="auto"/>
            <w:left w:val="none" w:sz="0" w:space="0" w:color="auto"/>
            <w:bottom w:val="none" w:sz="0" w:space="0" w:color="auto"/>
            <w:right w:val="none" w:sz="0" w:space="0" w:color="auto"/>
          </w:divBdr>
          <w:divsChild>
            <w:div w:id="65109482">
              <w:marLeft w:val="0"/>
              <w:marRight w:val="0"/>
              <w:marTop w:val="0"/>
              <w:marBottom w:val="0"/>
              <w:divBdr>
                <w:top w:val="none" w:sz="0" w:space="0" w:color="auto"/>
                <w:left w:val="none" w:sz="0" w:space="0" w:color="auto"/>
                <w:bottom w:val="none" w:sz="0" w:space="0" w:color="auto"/>
                <w:right w:val="none" w:sz="0" w:space="0" w:color="auto"/>
              </w:divBdr>
              <w:divsChild>
                <w:div w:id="134821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05208">
      <w:bodyDiv w:val="1"/>
      <w:marLeft w:val="0"/>
      <w:marRight w:val="0"/>
      <w:marTop w:val="0"/>
      <w:marBottom w:val="0"/>
      <w:divBdr>
        <w:top w:val="none" w:sz="0" w:space="0" w:color="auto"/>
        <w:left w:val="none" w:sz="0" w:space="0" w:color="auto"/>
        <w:bottom w:val="none" w:sz="0" w:space="0" w:color="auto"/>
        <w:right w:val="none" w:sz="0" w:space="0" w:color="auto"/>
      </w:divBdr>
      <w:divsChild>
        <w:div w:id="509756983">
          <w:marLeft w:val="0"/>
          <w:marRight w:val="0"/>
          <w:marTop w:val="0"/>
          <w:marBottom w:val="0"/>
          <w:divBdr>
            <w:top w:val="none" w:sz="0" w:space="0" w:color="auto"/>
            <w:left w:val="none" w:sz="0" w:space="0" w:color="auto"/>
            <w:bottom w:val="none" w:sz="0" w:space="0" w:color="auto"/>
            <w:right w:val="none" w:sz="0" w:space="0" w:color="auto"/>
          </w:divBdr>
          <w:divsChild>
            <w:div w:id="38556091">
              <w:marLeft w:val="0"/>
              <w:marRight w:val="0"/>
              <w:marTop w:val="0"/>
              <w:marBottom w:val="0"/>
              <w:divBdr>
                <w:top w:val="none" w:sz="0" w:space="0" w:color="auto"/>
                <w:left w:val="none" w:sz="0" w:space="0" w:color="auto"/>
                <w:bottom w:val="none" w:sz="0" w:space="0" w:color="auto"/>
                <w:right w:val="none" w:sz="0" w:space="0" w:color="auto"/>
              </w:divBdr>
              <w:divsChild>
                <w:div w:id="201819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906805">
      <w:bodyDiv w:val="1"/>
      <w:marLeft w:val="0"/>
      <w:marRight w:val="0"/>
      <w:marTop w:val="0"/>
      <w:marBottom w:val="0"/>
      <w:divBdr>
        <w:top w:val="none" w:sz="0" w:space="0" w:color="auto"/>
        <w:left w:val="none" w:sz="0" w:space="0" w:color="auto"/>
        <w:bottom w:val="none" w:sz="0" w:space="0" w:color="auto"/>
        <w:right w:val="none" w:sz="0" w:space="0" w:color="auto"/>
      </w:divBdr>
      <w:divsChild>
        <w:div w:id="1605263249">
          <w:marLeft w:val="0"/>
          <w:marRight w:val="0"/>
          <w:marTop w:val="0"/>
          <w:marBottom w:val="0"/>
          <w:divBdr>
            <w:top w:val="none" w:sz="0" w:space="0" w:color="auto"/>
            <w:left w:val="none" w:sz="0" w:space="0" w:color="auto"/>
            <w:bottom w:val="none" w:sz="0" w:space="0" w:color="auto"/>
            <w:right w:val="none" w:sz="0" w:space="0" w:color="auto"/>
          </w:divBdr>
          <w:divsChild>
            <w:div w:id="1383867050">
              <w:marLeft w:val="0"/>
              <w:marRight w:val="0"/>
              <w:marTop w:val="0"/>
              <w:marBottom w:val="0"/>
              <w:divBdr>
                <w:top w:val="none" w:sz="0" w:space="0" w:color="auto"/>
                <w:left w:val="none" w:sz="0" w:space="0" w:color="auto"/>
                <w:bottom w:val="none" w:sz="0" w:space="0" w:color="auto"/>
                <w:right w:val="none" w:sz="0" w:space="0" w:color="auto"/>
              </w:divBdr>
              <w:divsChild>
                <w:div w:id="6297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2934">
      <w:bodyDiv w:val="1"/>
      <w:marLeft w:val="0"/>
      <w:marRight w:val="0"/>
      <w:marTop w:val="0"/>
      <w:marBottom w:val="0"/>
      <w:divBdr>
        <w:top w:val="none" w:sz="0" w:space="0" w:color="auto"/>
        <w:left w:val="none" w:sz="0" w:space="0" w:color="auto"/>
        <w:bottom w:val="none" w:sz="0" w:space="0" w:color="auto"/>
        <w:right w:val="none" w:sz="0" w:space="0" w:color="auto"/>
      </w:divBdr>
    </w:div>
    <w:div w:id="1471511326">
      <w:bodyDiv w:val="1"/>
      <w:marLeft w:val="0"/>
      <w:marRight w:val="0"/>
      <w:marTop w:val="0"/>
      <w:marBottom w:val="0"/>
      <w:divBdr>
        <w:top w:val="none" w:sz="0" w:space="0" w:color="auto"/>
        <w:left w:val="none" w:sz="0" w:space="0" w:color="auto"/>
        <w:bottom w:val="none" w:sz="0" w:space="0" w:color="auto"/>
        <w:right w:val="none" w:sz="0" w:space="0" w:color="auto"/>
      </w:divBdr>
    </w:div>
    <w:div w:id="1504971402">
      <w:bodyDiv w:val="1"/>
      <w:marLeft w:val="0"/>
      <w:marRight w:val="0"/>
      <w:marTop w:val="0"/>
      <w:marBottom w:val="0"/>
      <w:divBdr>
        <w:top w:val="none" w:sz="0" w:space="0" w:color="auto"/>
        <w:left w:val="none" w:sz="0" w:space="0" w:color="auto"/>
        <w:bottom w:val="none" w:sz="0" w:space="0" w:color="auto"/>
        <w:right w:val="none" w:sz="0" w:space="0" w:color="auto"/>
      </w:divBdr>
    </w:div>
    <w:div w:id="1530483768">
      <w:bodyDiv w:val="1"/>
      <w:marLeft w:val="0"/>
      <w:marRight w:val="0"/>
      <w:marTop w:val="0"/>
      <w:marBottom w:val="0"/>
      <w:divBdr>
        <w:top w:val="none" w:sz="0" w:space="0" w:color="auto"/>
        <w:left w:val="none" w:sz="0" w:space="0" w:color="auto"/>
        <w:bottom w:val="none" w:sz="0" w:space="0" w:color="auto"/>
        <w:right w:val="none" w:sz="0" w:space="0" w:color="auto"/>
      </w:divBdr>
      <w:divsChild>
        <w:div w:id="1336879329">
          <w:marLeft w:val="0"/>
          <w:marRight w:val="0"/>
          <w:marTop w:val="0"/>
          <w:marBottom w:val="0"/>
          <w:divBdr>
            <w:top w:val="none" w:sz="0" w:space="0" w:color="auto"/>
            <w:left w:val="none" w:sz="0" w:space="0" w:color="auto"/>
            <w:bottom w:val="none" w:sz="0" w:space="0" w:color="auto"/>
            <w:right w:val="none" w:sz="0" w:space="0" w:color="auto"/>
          </w:divBdr>
          <w:divsChild>
            <w:div w:id="1454907163">
              <w:marLeft w:val="0"/>
              <w:marRight w:val="0"/>
              <w:marTop w:val="0"/>
              <w:marBottom w:val="0"/>
              <w:divBdr>
                <w:top w:val="none" w:sz="0" w:space="0" w:color="auto"/>
                <w:left w:val="none" w:sz="0" w:space="0" w:color="auto"/>
                <w:bottom w:val="none" w:sz="0" w:space="0" w:color="auto"/>
                <w:right w:val="none" w:sz="0" w:space="0" w:color="auto"/>
              </w:divBdr>
              <w:divsChild>
                <w:div w:id="186876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446008">
      <w:bodyDiv w:val="1"/>
      <w:marLeft w:val="0"/>
      <w:marRight w:val="0"/>
      <w:marTop w:val="0"/>
      <w:marBottom w:val="0"/>
      <w:divBdr>
        <w:top w:val="none" w:sz="0" w:space="0" w:color="auto"/>
        <w:left w:val="none" w:sz="0" w:space="0" w:color="auto"/>
        <w:bottom w:val="none" w:sz="0" w:space="0" w:color="auto"/>
        <w:right w:val="none" w:sz="0" w:space="0" w:color="auto"/>
      </w:divBdr>
    </w:div>
    <w:div w:id="1550679984">
      <w:bodyDiv w:val="1"/>
      <w:marLeft w:val="0"/>
      <w:marRight w:val="0"/>
      <w:marTop w:val="0"/>
      <w:marBottom w:val="0"/>
      <w:divBdr>
        <w:top w:val="none" w:sz="0" w:space="0" w:color="auto"/>
        <w:left w:val="none" w:sz="0" w:space="0" w:color="auto"/>
        <w:bottom w:val="none" w:sz="0" w:space="0" w:color="auto"/>
        <w:right w:val="none" w:sz="0" w:space="0" w:color="auto"/>
      </w:divBdr>
    </w:div>
    <w:div w:id="1556505851">
      <w:bodyDiv w:val="1"/>
      <w:marLeft w:val="0"/>
      <w:marRight w:val="0"/>
      <w:marTop w:val="0"/>
      <w:marBottom w:val="0"/>
      <w:divBdr>
        <w:top w:val="none" w:sz="0" w:space="0" w:color="auto"/>
        <w:left w:val="none" w:sz="0" w:space="0" w:color="auto"/>
        <w:bottom w:val="none" w:sz="0" w:space="0" w:color="auto"/>
        <w:right w:val="none" w:sz="0" w:space="0" w:color="auto"/>
      </w:divBdr>
      <w:divsChild>
        <w:div w:id="385644715">
          <w:marLeft w:val="0"/>
          <w:marRight w:val="0"/>
          <w:marTop w:val="0"/>
          <w:marBottom w:val="0"/>
          <w:divBdr>
            <w:top w:val="none" w:sz="0" w:space="0" w:color="auto"/>
            <w:left w:val="none" w:sz="0" w:space="0" w:color="auto"/>
            <w:bottom w:val="none" w:sz="0" w:space="0" w:color="auto"/>
            <w:right w:val="none" w:sz="0" w:space="0" w:color="auto"/>
          </w:divBdr>
          <w:divsChild>
            <w:div w:id="2120292771">
              <w:marLeft w:val="0"/>
              <w:marRight w:val="0"/>
              <w:marTop w:val="0"/>
              <w:marBottom w:val="0"/>
              <w:divBdr>
                <w:top w:val="none" w:sz="0" w:space="0" w:color="auto"/>
                <w:left w:val="none" w:sz="0" w:space="0" w:color="auto"/>
                <w:bottom w:val="none" w:sz="0" w:space="0" w:color="auto"/>
                <w:right w:val="none" w:sz="0" w:space="0" w:color="auto"/>
              </w:divBdr>
              <w:divsChild>
                <w:div w:id="3887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85096">
      <w:bodyDiv w:val="1"/>
      <w:marLeft w:val="0"/>
      <w:marRight w:val="0"/>
      <w:marTop w:val="0"/>
      <w:marBottom w:val="0"/>
      <w:divBdr>
        <w:top w:val="none" w:sz="0" w:space="0" w:color="auto"/>
        <w:left w:val="none" w:sz="0" w:space="0" w:color="auto"/>
        <w:bottom w:val="none" w:sz="0" w:space="0" w:color="auto"/>
        <w:right w:val="none" w:sz="0" w:space="0" w:color="auto"/>
      </w:divBdr>
    </w:div>
    <w:div w:id="1596547301">
      <w:bodyDiv w:val="1"/>
      <w:marLeft w:val="0"/>
      <w:marRight w:val="0"/>
      <w:marTop w:val="0"/>
      <w:marBottom w:val="0"/>
      <w:divBdr>
        <w:top w:val="none" w:sz="0" w:space="0" w:color="auto"/>
        <w:left w:val="none" w:sz="0" w:space="0" w:color="auto"/>
        <w:bottom w:val="none" w:sz="0" w:space="0" w:color="auto"/>
        <w:right w:val="none" w:sz="0" w:space="0" w:color="auto"/>
      </w:divBdr>
    </w:div>
    <w:div w:id="1644432430">
      <w:bodyDiv w:val="1"/>
      <w:marLeft w:val="0"/>
      <w:marRight w:val="0"/>
      <w:marTop w:val="0"/>
      <w:marBottom w:val="0"/>
      <w:divBdr>
        <w:top w:val="none" w:sz="0" w:space="0" w:color="auto"/>
        <w:left w:val="none" w:sz="0" w:space="0" w:color="auto"/>
        <w:bottom w:val="none" w:sz="0" w:space="0" w:color="auto"/>
        <w:right w:val="none" w:sz="0" w:space="0" w:color="auto"/>
      </w:divBdr>
    </w:div>
    <w:div w:id="1654523928">
      <w:bodyDiv w:val="1"/>
      <w:marLeft w:val="0"/>
      <w:marRight w:val="0"/>
      <w:marTop w:val="0"/>
      <w:marBottom w:val="0"/>
      <w:divBdr>
        <w:top w:val="none" w:sz="0" w:space="0" w:color="auto"/>
        <w:left w:val="none" w:sz="0" w:space="0" w:color="auto"/>
        <w:bottom w:val="none" w:sz="0" w:space="0" w:color="auto"/>
        <w:right w:val="none" w:sz="0" w:space="0" w:color="auto"/>
      </w:divBdr>
    </w:div>
    <w:div w:id="1667778123">
      <w:bodyDiv w:val="1"/>
      <w:marLeft w:val="0"/>
      <w:marRight w:val="0"/>
      <w:marTop w:val="0"/>
      <w:marBottom w:val="0"/>
      <w:divBdr>
        <w:top w:val="none" w:sz="0" w:space="0" w:color="auto"/>
        <w:left w:val="none" w:sz="0" w:space="0" w:color="auto"/>
        <w:bottom w:val="none" w:sz="0" w:space="0" w:color="auto"/>
        <w:right w:val="none" w:sz="0" w:space="0" w:color="auto"/>
      </w:divBdr>
    </w:div>
    <w:div w:id="1670476005">
      <w:bodyDiv w:val="1"/>
      <w:marLeft w:val="0"/>
      <w:marRight w:val="0"/>
      <w:marTop w:val="0"/>
      <w:marBottom w:val="0"/>
      <w:divBdr>
        <w:top w:val="none" w:sz="0" w:space="0" w:color="auto"/>
        <w:left w:val="none" w:sz="0" w:space="0" w:color="auto"/>
        <w:bottom w:val="none" w:sz="0" w:space="0" w:color="auto"/>
        <w:right w:val="none" w:sz="0" w:space="0" w:color="auto"/>
      </w:divBdr>
    </w:div>
    <w:div w:id="1681080840">
      <w:bodyDiv w:val="1"/>
      <w:marLeft w:val="0"/>
      <w:marRight w:val="0"/>
      <w:marTop w:val="0"/>
      <w:marBottom w:val="0"/>
      <w:divBdr>
        <w:top w:val="none" w:sz="0" w:space="0" w:color="auto"/>
        <w:left w:val="none" w:sz="0" w:space="0" w:color="auto"/>
        <w:bottom w:val="none" w:sz="0" w:space="0" w:color="auto"/>
        <w:right w:val="none" w:sz="0" w:space="0" w:color="auto"/>
      </w:divBdr>
    </w:div>
    <w:div w:id="1732072747">
      <w:bodyDiv w:val="1"/>
      <w:marLeft w:val="0"/>
      <w:marRight w:val="0"/>
      <w:marTop w:val="0"/>
      <w:marBottom w:val="0"/>
      <w:divBdr>
        <w:top w:val="none" w:sz="0" w:space="0" w:color="auto"/>
        <w:left w:val="none" w:sz="0" w:space="0" w:color="auto"/>
        <w:bottom w:val="none" w:sz="0" w:space="0" w:color="auto"/>
        <w:right w:val="none" w:sz="0" w:space="0" w:color="auto"/>
      </w:divBdr>
    </w:div>
    <w:div w:id="1749957231">
      <w:bodyDiv w:val="1"/>
      <w:marLeft w:val="0"/>
      <w:marRight w:val="0"/>
      <w:marTop w:val="0"/>
      <w:marBottom w:val="0"/>
      <w:divBdr>
        <w:top w:val="none" w:sz="0" w:space="0" w:color="auto"/>
        <w:left w:val="none" w:sz="0" w:space="0" w:color="auto"/>
        <w:bottom w:val="none" w:sz="0" w:space="0" w:color="auto"/>
        <w:right w:val="none" w:sz="0" w:space="0" w:color="auto"/>
      </w:divBdr>
    </w:div>
    <w:div w:id="1768308718">
      <w:bodyDiv w:val="1"/>
      <w:marLeft w:val="0"/>
      <w:marRight w:val="0"/>
      <w:marTop w:val="0"/>
      <w:marBottom w:val="0"/>
      <w:divBdr>
        <w:top w:val="none" w:sz="0" w:space="0" w:color="auto"/>
        <w:left w:val="none" w:sz="0" w:space="0" w:color="auto"/>
        <w:bottom w:val="none" w:sz="0" w:space="0" w:color="auto"/>
        <w:right w:val="none" w:sz="0" w:space="0" w:color="auto"/>
      </w:divBdr>
    </w:div>
    <w:div w:id="1805808789">
      <w:bodyDiv w:val="1"/>
      <w:marLeft w:val="0"/>
      <w:marRight w:val="0"/>
      <w:marTop w:val="0"/>
      <w:marBottom w:val="0"/>
      <w:divBdr>
        <w:top w:val="none" w:sz="0" w:space="0" w:color="auto"/>
        <w:left w:val="none" w:sz="0" w:space="0" w:color="auto"/>
        <w:bottom w:val="none" w:sz="0" w:space="0" w:color="auto"/>
        <w:right w:val="none" w:sz="0" w:space="0" w:color="auto"/>
      </w:divBdr>
      <w:divsChild>
        <w:div w:id="1255743359">
          <w:marLeft w:val="0"/>
          <w:marRight w:val="0"/>
          <w:marTop w:val="0"/>
          <w:marBottom w:val="0"/>
          <w:divBdr>
            <w:top w:val="none" w:sz="0" w:space="0" w:color="auto"/>
            <w:left w:val="none" w:sz="0" w:space="0" w:color="auto"/>
            <w:bottom w:val="none" w:sz="0" w:space="0" w:color="auto"/>
            <w:right w:val="none" w:sz="0" w:space="0" w:color="auto"/>
          </w:divBdr>
          <w:divsChild>
            <w:div w:id="804617163">
              <w:marLeft w:val="0"/>
              <w:marRight w:val="0"/>
              <w:marTop w:val="0"/>
              <w:marBottom w:val="0"/>
              <w:divBdr>
                <w:top w:val="none" w:sz="0" w:space="0" w:color="auto"/>
                <w:left w:val="none" w:sz="0" w:space="0" w:color="auto"/>
                <w:bottom w:val="none" w:sz="0" w:space="0" w:color="auto"/>
                <w:right w:val="none" w:sz="0" w:space="0" w:color="auto"/>
              </w:divBdr>
              <w:divsChild>
                <w:div w:id="140267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886363">
      <w:bodyDiv w:val="1"/>
      <w:marLeft w:val="0"/>
      <w:marRight w:val="0"/>
      <w:marTop w:val="0"/>
      <w:marBottom w:val="0"/>
      <w:divBdr>
        <w:top w:val="none" w:sz="0" w:space="0" w:color="auto"/>
        <w:left w:val="none" w:sz="0" w:space="0" w:color="auto"/>
        <w:bottom w:val="none" w:sz="0" w:space="0" w:color="auto"/>
        <w:right w:val="none" w:sz="0" w:space="0" w:color="auto"/>
      </w:divBdr>
      <w:divsChild>
        <w:div w:id="1478913702">
          <w:marLeft w:val="0"/>
          <w:marRight w:val="0"/>
          <w:marTop w:val="0"/>
          <w:marBottom w:val="0"/>
          <w:divBdr>
            <w:top w:val="none" w:sz="0" w:space="0" w:color="auto"/>
            <w:left w:val="none" w:sz="0" w:space="0" w:color="auto"/>
            <w:bottom w:val="none" w:sz="0" w:space="0" w:color="auto"/>
            <w:right w:val="none" w:sz="0" w:space="0" w:color="auto"/>
          </w:divBdr>
          <w:divsChild>
            <w:div w:id="1006401934">
              <w:marLeft w:val="0"/>
              <w:marRight w:val="0"/>
              <w:marTop w:val="0"/>
              <w:marBottom w:val="0"/>
              <w:divBdr>
                <w:top w:val="none" w:sz="0" w:space="0" w:color="auto"/>
                <w:left w:val="none" w:sz="0" w:space="0" w:color="auto"/>
                <w:bottom w:val="none" w:sz="0" w:space="0" w:color="auto"/>
                <w:right w:val="none" w:sz="0" w:space="0" w:color="auto"/>
              </w:divBdr>
              <w:divsChild>
                <w:div w:id="205896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46650">
      <w:bodyDiv w:val="1"/>
      <w:marLeft w:val="0"/>
      <w:marRight w:val="0"/>
      <w:marTop w:val="0"/>
      <w:marBottom w:val="0"/>
      <w:divBdr>
        <w:top w:val="none" w:sz="0" w:space="0" w:color="auto"/>
        <w:left w:val="none" w:sz="0" w:space="0" w:color="auto"/>
        <w:bottom w:val="none" w:sz="0" w:space="0" w:color="auto"/>
        <w:right w:val="none" w:sz="0" w:space="0" w:color="auto"/>
      </w:divBdr>
      <w:divsChild>
        <w:div w:id="2050959192">
          <w:marLeft w:val="0"/>
          <w:marRight w:val="0"/>
          <w:marTop w:val="0"/>
          <w:marBottom w:val="0"/>
          <w:divBdr>
            <w:top w:val="none" w:sz="0" w:space="0" w:color="auto"/>
            <w:left w:val="none" w:sz="0" w:space="0" w:color="auto"/>
            <w:bottom w:val="none" w:sz="0" w:space="0" w:color="auto"/>
            <w:right w:val="none" w:sz="0" w:space="0" w:color="auto"/>
          </w:divBdr>
          <w:divsChild>
            <w:div w:id="321546781">
              <w:marLeft w:val="0"/>
              <w:marRight w:val="0"/>
              <w:marTop w:val="0"/>
              <w:marBottom w:val="0"/>
              <w:divBdr>
                <w:top w:val="none" w:sz="0" w:space="0" w:color="auto"/>
                <w:left w:val="none" w:sz="0" w:space="0" w:color="auto"/>
                <w:bottom w:val="none" w:sz="0" w:space="0" w:color="auto"/>
                <w:right w:val="none" w:sz="0" w:space="0" w:color="auto"/>
              </w:divBdr>
              <w:divsChild>
                <w:div w:id="113063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92225">
      <w:bodyDiv w:val="1"/>
      <w:marLeft w:val="0"/>
      <w:marRight w:val="0"/>
      <w:marTop w:val="0"/>
      <w:marBottom w:val="0"/>
      <w:divBdr>
        <w:top w:val="none" w:sz="0" w:space="0" w:color="auto"/>
        <w:left w:val="none" w:sz="0" w:space="0" w:color="auto"/>
        <w:bottom w:val="none" w:sz="0" w:space="0" w:color="auto"/>
        <w:right w:val="none" w:sz="0" w:space="0" w:color="auto"/>
      </w:divBdr>
    </w:div>
    <w:div w:id="1933004046">
      <w:bodyDiv w:val="1"/>
      <w:marLeft w:val="0"/>
      <w:marRight w:val="0"/>
      <w:marTop w:val="0"/>
      <w:marBottom w:val="0"/>
      <w:divBdr>
        <w:top w:val="none" w:sz="0" w:space="0" w:color="auto"/>
        <w:left w:val="none" w:sz="0" w:space="0" w:color="auto"/>
        <w:bottom w:val="none" w:sz="0" w:space="0" w:color="auto"/>
        <w:right w:val="none" w:sz="0" w:space="0" w:color="auto"/>
      </w:divBdr>
      <w:divsChild>
        <w:div w:id="209729179">
          <w:marLeft w:val="0"/>
          <w:marRight w:val="0"/>
          <w:marTop w:val="0"/>
          <w:marBottom w:val="0"/>
          <w:divBdr>
            <w:top w:val="none" w:sz="0" w:space="0" w:color="auto"/>
            <w:left w:val="none" w:sz="0" w:space="0" w:color="auto"/>
            <w:bottom w:val="none" w:sz="0" w:space="0" w:color="auto"/>
            <w:right w:val="none" w:sz="0" w:space="0" w:color="auto"/>
          </w:divBdr>
          <w:divsChild>
            <w:div w:id="1318925122">
              <w:marLeft w:val="0"/>
              <w:marRight w:val="0"/>
              <w:marTop w:val="0"/>
              <w:marBottom w:val="0"/>
              <w:divBdr>
                <w:top w:val="none" w:sz="0" w:space="0" w:color="auto"/>
                <w:left w:val="none" w:sz="0" w:space="0" w:color="auto"/>
                <w:bottom w:val="none" w:sz="0" w:space="0" w:color="auto"/>
                <w:right w:val="none" w:sz="0" w:space="0" w:color="auto"/>
              </w:divBdr>
              <w:divsChild>
                <w:div w:id="3134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825374">
      <w:bodyDiv w:val="1"/>
      <w:marLeft w:val="0"/>
      <w:marRight w:val="0"/>
      <w:marTop w:val="0"/>
      <w:marBottom w:val="0"/>
      <w:divBdr>
        <w:top w:val="none" w:sz="0" w:space="0" w:color="auto"/>
        <w:left w:val="none" w:sz="0" w:space="0" w:color="auto"/>
        <w:bottom w:val="none" w:sz="0" w:space="0" w:color="auto"/>
        <w:right w:val="none" w:sz="0" w:space="0" w:color="auto"/>
      </w:divBdr>
      <w:divsChild>
        <w:div w:id="1095708888">
          <w:marLeft w:val="0"/>
          <w:marRight w:val="0"/>
          <w:marTop w:val="0"/>
          <w:marBottom w:val="0"/>
          <w:divBdr>
            <w:top w:val="none" w:sz="0" w:space="0" w:color="auto"/>
            <w:left w:val="none" w:sz="0" w:space="0" w:color="auto"/>
            <w:bottom w:val="none" w:sz="0" w:space="0" w:color="auto"/>
            <w:right w:val="none" w:sz="0" w:space="0" w:color="auto"/>
          </w:divBdr>
          <w:divsChild>
            <w:div w:id="1229071457">
              <w:marLeft w:val="0"/>
              <w:marRight w:val="0"/>
              <w:marTop w:val="0"/>
              <w:marBottom w:val="0"/>
              <w:divBdr>
                <w:top w:val="none" w:sz="0" w:space="0" w:color="auto"/>
                <w:left w:val="none" w:sz="0" w:space="0" w:color="auto"/>
                <w:bottom w:val="none" w:sz="0" w:space="0" w:color="auto"/>
                <w:right w:val="none" w:sz="0" w:space="0" w:color="auto"/>
              </w:divBdr>
              <w:divsChild>
                <w:div w:id="119612594">
                  <w:marLeft w:val="0"/>
                  <w:marRight w:val="0"/>
                  <w:marTop w:val="0"/>
                  <w:marBottom w:val="0"/>
                  <w:divBdr>
                    <w:top w:val="none" w:sz="0" w:space="0" w:color="auto"/>
                    <w:left w:val="none" w:sz="0" w:space="0" w:color="auto"/>
                    <w:bottom w:val="none" w:sz="0" w:space="0" w:color="auto"/>
                    <w:right w:val="none" w:sz="0" w:space="0" w:color="auto"/>
                  </w:divBdr>
                  <w:divsChild>
                    <w:div w:id="21433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309907">
      <w:bodyDiv w:val="1"/>
      <w:marLeft w:val="0"/>
      <w:marRight w:val="0"/>
      <w:marTop w:val="0"/>
      <w:marBottom w:val="0"/>
      <w:divBdr>
        <w:top w:val="none" w:sz="0" w:space="0" w:color="auto"/>
        <w:left w:val="none" w:sz="0" w:space="0" w:color="auto"/>
        <w:bottom w:val="none" w:sz="0" w:space="0" w:color="auto"/>
        <w:right w:val="none" w:sz="0" w:space="0" w:color="auto"/>
      </w:divBdr>
    </w:div>
    <w:div w:id="1952392074">
      <w:bodyDiv w:val="1"/>
      <w:marLeft w:val="0"/>
      <w:marRight w:val="0"/>
      <w:marTop w:val="0"/>
      <w:marBottom w:val="0"/>
      <w:divBdr>
        <w:top w:val="none" w:sz="0" w:space="0" w:color="auto"/>
        <w:left w:val="none" w:sz="0" w:space="0" w:color="auto"/>
        <w:bottom w:val="none" w:sz="0" w:space="0" w:color="auto"/>
        <w:right w:val="none" w:sz="0" w:space="0" w:color="auto"/>
      </w:divBdr>
    </w:div>
    <w:div w:id="1958368349">
      <w:bodyDiv w:val="1"/>
      <w:marLeft w:val="0"/>
      <w:marRight w:val="0"/>
      <w:marTop w:val="0"/>
      <w:marBottom w:val="0"/>
      <w:divBdr>
        <w:top w:val="none" w:sz="0" w:space="0" w:color="auto"/>
        <w:left w:val="none" w:sz="0" w:space="0" w:color="auto"/>
        <w:bottom w:val="none" w:sz="0" w:space="0" w:color="auto"/>
        <w:right w:val="none" w:sz="0" w:space="0" w:color="auto"/>
      </w:divBdr>
      <w:divsChild>
        <w:div w:id="1397439065">
          <w:marLeft w:val="0"/>
          <w:marRight w:val="0"/>
          <w:marTop w:val="0"/>
          <w:marBottom w:val="0"/>
          <w:divBdr>
            <w:top w:val="none" w:sz="0" w:space="0" w:color="auto"/>
            <w:left w:val="none" w:sz="0" w:space="0" w:color="auto"/>
            <w:bottom w:val="none" w:sz="0" w:space="0" w:color="auto"/>
            <w:right w:val="none" w:sz="0" w:space="0" w:color="auto"/>
          </w:divBdr>
          <w:divsChild>
            <w:div w:id="1075014339">
              <w:marLeft w:val="0"/>
              <w:marRight w:val="0"/>
              <w:marTop w:val="0"/>
              <w:marBottom w:val="0"/>
              <w:divBdr>
                <w:top w:val="none" w:sz="0" w:space="0" w:color="auto"/>
                <w:left w:val="none" w:sz="0" w:space="0" w:color="auto"/>
                <w:bottom w:val="none" w:sz="0" w:space="0" w:color="auto"/>
                <w:right w:val="none" w:sz="0" w:space="0" w:color="auto"/>
              </w:divBdr>
              <w:divsChild>
                <w:div w:id="132038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374388">
      <w:bodyDiv w:val="1"/>
      <w:marLeft w:val="0"/>
      <w:marRight w:val="0"/>
      <w:marTop w:val="0"/>
      <w:marBottom w:val="0"/>
      <w:divBdr>
        <w:top w:val="none" w:sz="0" w:space="0" w:color="auto"/>
        <w:left w:val="none" w:sz="0" w:space="0" w:color="auto"/>
        <w:bottom w:val="none" w:sz="0" w:space="0" w:color="auto"/>
        <w:right w:val="none" w:sz="0" w:space="0" w:color="auto"/>
      </w:divBdr>
    </w:div>
    <w:div w:id="1966231290">
      <w:bodyDiv w:val="1"/>
      <w:marLeft w:val="0"/>
      <w:marRight w:val="0"/>
      <w:marTop w:val="0"/>
      <w:marBottom w:val="0"/>
      <w:divBdr>
        <w:top w:val="none" w:sz="0" w:space="0" w:color="auto"/>
        <w:left w:val="none" w:sz="0" w:space="0" w:color="auto"/>
        <w:bottom w:val="none" w:sz="0" w:space="0" w:color="auto"/>
        <w:right w:val="none" w:sz="0" w:space="0" w:color="auto"/>
      </w:divBdr>
    </w:div>
    <w:div w:id="1981498016">
      <w:bodyDiv w:val="1"/>
      <w:marLeft w:val="0"/>
      <w:marRight w:val="0"/>
      <w:marTop w:val="0"/>
      <w:marBottom w:val="0"/>
      <w:divBdr>
        <w:top w:val="none" w:sz="0" w:space="0" w:color="auto"/>
        <w:left w:val="none" w:sz="0" w:space="0" w:color="auto"/>
        <w:bottom w:val="none" w:sz="0" w:space="0" w:color="auto"/>
        <w:right w:val="none" w:sz="0" w:space="0" w:color="auto"/>
      </w:divBdr>
      <w:divsChild>
        <w:div w:id="300158536">
          <w:marLeft w:val="0"/>
          <w:marRight w:val="0"/>
          <w:marTop w:val="0"/>
          <w:marBottom w:val="0"/>
          <w:divBdr>
            <w:top w:val="none" w:sz="0" w:space="0" w:color="auto"/>
            <w:left w:val="none" w:sz="0" w:space="0" w:color="auto"/>
            <w:bottom w:val="none" w:sz="0" w:space="0" w:color="auto"/>
            <w:right w:val="none" w:sz="0" w:space="0" w:color="auto"/>
          </w:divBdr>
          <w:divsChild>
            <w:div w:id="2128699856">
              <w:marLeft w:val="0"/>
              <w:marRight w:val="0"/>
              <w:marTop w:val="0"/>
              <w:marBottom w:val="0"/>
              <w:divBdr>
                <w:top w:val="none" w:sz="0" w:space="0" w:color="auto"/>
                <w:left w:val="none" w:sz="0" w:space="0" w:color="auto"/>
                <w:bottom w:val="none" w:sz="0" w:space="0" w:color="auto"/>
                <w:right w:val="none" w:sz="0" w:space="0" w:color="auto"/>
              </w:divBdr>
              <w:divsChild>
                <w:div w:id="7827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202">
      <w:bodyDiv w:val="1"/>
      <w:marLeft w:val="0"/>
      <w:marRight w:val="0"/>
      <w:marTop w:val="0"/>
      <w:marBottom w:val="0"/>
      <w:divBdr>
        <w:top w:val="none" w:sz="0" w:space="0" w:color="auto"/>
        <w:left w:val="none" w:sz="0" w:space="0" w:color="auto"/>
        <w:bottom w:val="none" w:sz="0" w:space="0" w:color="auto"/>
        <w:right w:val="none" w:sz="0" w:space="0" w:color="auto"/>
      </w:divBdr>
    </w:div>
    <w:div w:id="2029021970">
      <w:bodyDiv w:val="1"/>
      <w:marLeft w:val="0"/>
      <w:marRight w:val="0"/>
      <w:marTop w:val="0"/>
      <w:marBottom w:val="0"/>
      <w:divBdr>
        <w:top w:val="none" w:sz="0" w:space="0" w:color="auto"/>
        <w:left w:val="none" w:sz="0" w:space="0" w:color="auto"/>
        <w:bottom w:val="none" w:sz="0" w:space="0" w:color="auto"/>
        <w:right w:val="none" w:sz="0" w:space="0" w:color="auto"/>
      </w:divBdr>
      <w:divsChild>
        <w:div w:id="107698959">
          <w:marLeft w:val="0"/>
          <w:marRight w:val="0"/>
          <w:marTop w:val="0"/>
          <w:marBottom w:val="0"/>
          <w:divBdr>
            <w:top w:val="none" w:sz="0" w:space="0" w:color="auto"/>
            <w:left w:val="none" w:sz="0" w:space="0" w:color="auto"/>
            <w:bottom w:val="none" w:sz="0" w:space="0" w:color="auto"/>
            <w:right w:val="none" w:sz="0" w:space="0" w:color="auto"/>
          </w:divBdr>
          <w:divsChild>
            <w:div w:id="1487017529">
              <w:marLeft w:val="0"/>
              <w:marRight w:val="0"/>
              <w:marTop w:val="0"/>
              <w:marBottom w:val="0"/>
              <w:divBdr>
                <w:top w:val="none" w:sz="0" w:space="0" w:color="auto"/>
                <w:left w:val="none" w:sz="0" w:space="0" w:color="auto"/>
                <w:bottom w:val="none" w:sz="0" w:space="0" w:color="auto"/>
                <w:right w:val="none" w:sz="0" w:space="0" w:color="auto"/>
              </w:divBdr>
              <w:divsChild>
                <w:div w:id="20408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400632">
      <w:bodyDiv w:val="1"/>
      <w:marLeft w:val="0"/>
      <w:marRight w:val="0"/>
      <w:marTop w:val="0"/>
      <w:marBottom w:val="0"/>
      <w:divBdr>
        <w:top w:val="none" w:sz="0" w:space="0" w:color="auto"/>
        <w:left w:val="none" w:sz="0" w:space="0" w:color="auto"/>
        <w:bottom w:val="none" w:sz="0" w:space="0" w:color="auto"/>
        <w:right w:val="none" w:sz="0" w:space="0" w:color="auto"/>
      </w:divBdr>
      <w:divsChild>
        <w:div w:id="82123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877508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9875402">
              <w:marLeft w:val="0"/>
              <w:marRight w:val="0"/>
              <w:marTop w:val="0"/>
              <w:marBottom w:val="0"/>
              <w:divBdr>
                <w:top w:val="none" w:sz="0" w:space="0" w:color="auto"/>
                <w:left w:val="none" w:sz="0" w:space="0" w:color="auto"/>
                <w:bottom w:val="none" w:sz="0" w:space="0" w:color="auto"/>
                <w:right w:val="none" w:sz="0" w:space="0" w:color="auto"/>
              </w:divBdr>
              <w:divsChild>
                <w:div w:id="1509444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6682052">
              <w:marLeft w:val="0"/>
              <w:marRight w:val="0"/>
              <w:marTop w:val="0"/>
              <w:marBottom w:val="0"/>
              <w:divBdr>
                <w:top w:val="none" w:sz="0" w:space="0" w:color="auto"/>
                <w:left w:val="none" w:sz="0" w:space="0" w:color="auto"/>
                <w:bottom w:val="none" w:sz="0" w:space="0" w:color="auto"/>
                <w:right w:val="none" w:sz="0" w:space="0" w:color="auto"/>
              </w:divBdr>
              <w:divsChild>
                <w:div w:id="19326596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34727212">
      <w:bodyDiv w:val="1"/>
      <w:marLeft w:val="0"/>
      <w:marRight w:val="0"/>
      <w:marTop w:val="0"/>
      <w:marBottom w:val="0"/>
      <w:divBdr>
        <w:top w:val="none" w:sz="0" w:space="0" w:color="auto"/>
        <w:left w:val="none" w:sz="0" w:space="0" w:color="auto"/>
        <w:bottom w:val="none" w:sz="0" w:space="0" w:color="auto"/>
        <w:right w:val="none" w:sz="0" w:space="0" w:color="auto"/>
      </w:divBdr>
      <w:divsChild>
        <w:div w:id="500850911">
          <w:marLeft w:val="0"/>
          <w:marRight w:val="0"/>
          <w:marTop w:val="0"/>
          <w:marBottom w:val="0"/>
          <w:divBdr>
            <w:top w:val="none" w:sz="0" w:space="0" w:color="auto"/>
            <w:left w:val="none" w:sz="0" w:space="0" w:color="auto"/>
            <w:bottom w:val="none" w:sz="0" w:space="0" w:color="auto"/>
            <w:right w:val="none" w:sz="0" w:space="0" w:color="auto"/>
          </w:divBdr>
          <w:divsChild>
            <w:div w:id="2052685647">
              <w:marLeft w:val="0"/>
              <w:marRight w:val="0"/>
              <w:marTop w:val="0"/>
              <w:marBottom w:val="0"/>
              <w:divBdr>
                <w:top w:val="none" w:sz="0" w:space="0" w:color="auto"/>
                <w:left w:val="none" w:sz="0" w:space="0" w:color="auto"/>
                <w:bottom w:val="none" w:sz="0" w:space="0" w:color="auto"/>
                <w:right w:val="none" w:sz="0" w:space="0" w:color="auto"/>
              </w:divBdr>
              <w:divsChild>
                <w:div w:id="1398284767">
                  <w:marLeft w:val="0"/>
                  <w:marRight w:val="0"/>
                  <w:marTop w:val="0"/>
                  <w:marBottom w:val="0"/>
                  <w:divBdr>
                    <w:top w:val="none" w:sz="0" w:space="0" w:color="auto"/>
                    <w:left w:val="none" w:sz="0" w:space="0" w:color="auto"/>
                    <w:bottom w:val="none" w:sz="0" w:space="0" w:color="auto"/>
                    <w:right w:val="none" w:sz="0" w:space="0" w:color="auto"/>
                  </w:divBdr>
                  <w:divsChild>
                    <w:div w:id="69307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143149">
      <w:bodyDiv w:val="1"/>
      <w:marLeft w:val="0"/>
      <w:marRight w:val="0"/>
      <w:marTop w:val="0"/>
      <w:marBottom w:val="0"/>
      <w:divBdr>
        <w:top w:val="none" w:sz="0" w:space="0" w:color="auto"/>
        <w:left w:val="none" w:sz="0" w:space="0" w:color="auto"/>
        <w:bottom w:val="none" w:sz="0" w:space="0" w:color="auto"/>
        <w:right w:val="none" w:sz="0" w:space="0" w:color="auto"/>
      </w:divBdr>
      <w:divsChild>
        <w:div w:id="1467578076">
          <w:marLeft w:val="0"/>
          <w:marRight w:val="0"/>
          <w:marTop w:val="0"/>
          <w:marBottom w:val="0"/>
          <w:divBdr>
            <w:top w:val="none" w:sz="0" w:space="0" w:color="auto"/>
            <w:left w:val="none" w:sz="0" w:space="0" w:color="auto"/>
            <w:bottom w:val="none" w:sz="0" w:space="0" w:color="auto"/>
            <w:right w:val="none" w:sz="0" w:space="0" w:color="auto"/>
          </w:divBdr>
          <w:divsChild>
            <w:div w:id="1763138932">
              <w:marLeft w:val="0"/>
              <w:marRight w:val="0"/>
              <w:marTop w:val="0"/>
              <w:marBottom w:val="0"/>
              <w:divBdr>
                <w:top w:val="none" w:sz="0" w:space="0" w:color="auto"/>
                <w:left w:val="none" w:sz="0" w:space="0" w:color="auto"/>
                <w:bottom w:val="none" w:sz="0" w:space="0" w:color="auto"/>
                <w:right w:val="none" w:sz="0" w:space="0" w:color="auto"/>
              </w:divBdr>
              <w:divsChild>
                <w:div w:id="34413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201867">
      <w:bodyDiv w:val="1"/>
      <w:marLeft w:val="0"/>
      <w:marRight w:val="0"/>
      <w:marTop w:val="0"/>
      <w:marBottom w:val="0"/>
      <w:divBdr>
        <w:top w:val="none" w:sz="0" w:space="0" w:color="auto"/>
        <w:left w:val="none" w:sz="0" w:space="0" w:color="auto"/>
        <w:bottom w:val="none" w:sz="0" w:space="0" w:color="auto"/>
        <w:right w:val="none" w:sz="0" w:space="0" w:color="auto"/>
      </w:divBdr>
      <w:divsChild>
        <w:div w:id="56707691">
          <w:marLeft w:val="0"/>
          <w:marRight w:val="0"/>
          <w:marTop w:val="0"/>
          <w:marBottom w:val="0"/>
          <w:divBdr>
            <w:top w:val="none" w:sz="0" w:space="0" w:color="auto"/>
            <w:left w:val="none" w:sz="0" w:space="0" w:color="auto"/>
            <w:bottom w:val="none" w:sz="0" w:space="0" w:color="auto"/>
            <w:right w:val="none" w:sz="0" w:space="0" w:color="auto"/>
          </w:divBdr>
          <w:divsChild>
            <w:div w:id="870806439">
              <w:marLeft w:val="0"/>
              <w:marRight w:val="0"/>
              <w:marTop w:val="0"/>
              <w:marBottom w:val="0"/>
              <w:divBdr>
                <w:top w:val="none" w:sz="0" w:space="0" w:color="auto"/>
                <w:left w:val="none" w:sz="0" w:space="0" w:color="auto"/>
                <w:bottom w:val="none" w:sz="0" w:space="0" w:color="auto"/>
                <w:right w:val="none" w:sz="0" w:space="0" w:color="auto"/>
              </w:divBdr>
              <w:divsChild>
                <w:div w:id="1154377303">
                  <w:marLeft w:val="0"/>
                  <w:marRight w:val="0"/>
                  <w:marTop w:val="0"/>
                  <w:marBottom w:val="0"/>
                  <w:divBdr>
                    <w:top w:val="none" w:sz="0" w:space="0" w:color="auto"/>
                    <w:left w:val="none" w:sz="0" w:space="0" w:color="auto"/>
                    <w:bottom w:val="none" w:sz="0" w:space="0" w:color="auto"/>
                    <w:right w:val="none" w:sz="0" w:space="0" w:color="auto"/>
                  </w:divBdr>
                  <w:divsChild>
                    <w:div w:id="29001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134945">
      <w:bodyDiv w:val="1"/>
      <w:marLeft w:val="0"/>
      <w:marRight w:val="0"/>
      <w:marTop w:val="0"/>
      <w:marBottom w:val="0"/>
      <w:divBdr>
        <w:top w:val="none" w:sz="0" w:space="0" w:color="auto"/>
        <w:left w:val="none" w:sz="0" w:space="0" w:color="auto"/>
        <w:bottom w:val="none" w:sz="0" w:space="0" w:color="auto"/>
        <w:right w:val="none" w:sz="0" w:space="0" w:color="auto"/>
      </w:divBdr>
      <w:divsChild>
        <w:div w:id="2101293736">
          <w:marLeft w:val="0"/>
          <w:marRight w:val="0"/>
          <w:marTop w:val="0"/>
          <w:marBottom w:val="0"/>
          <w:divBdr>
            <w:top w:val="none" w:sz="0" w:space="0" w:color="auto"/>
            <w:left w:val="none" w:sz="0" w:space="0" w:color="auto"/>
            <w:bottom w:val="none" w:sz="0" w:space="0" w:color="auto"/>
            <w:right w:val="none" w:sz="0" w:space="0" w:color="auto"/>
          </w:divBdr>
          <w:divsChild>
            <w:div w:id="714356389">
              <w:marLeft w:val="0"/>
              <w:marRight w:val="0"/>
              <w:marTop w:val="0"/>
              <w:marBottom w:val="0"/>
              <w:divBdr>
                <w:top w:val="none" w:sz="0" w:space="0" w:color="auto"/>
                <w:left w:val="none" w:sz="0" w:space="0" w:color="auto"/>
                <w:bottom w:val="none" w:sz="0" w:space="0" w:color="auto"/>
                <w:right w:val="none" w:sz="0" w:space="0" w:color="auto"/>
              </w:divBdr>
              <w:divsChild>
                <w:div w:id="75459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mailto:Law.Reform@utas.edu.au" TargetMode="External"/><Relationship Id="rId26" Type="http://schemas.openxmlformats.org/officeDocument/2006/relationships/diagramLayout" Target="diagrams/layout1.xml"/><Relationship Id="rId39" Type="http://schemas.openxmlformats.org/officeDocument/2006/relationships/header" Target="header16.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eader" Target="header11.xml"/><Relationship Id="rId42" Type="http://schemas.openxmlformats.org/officeDocument/2006/relationships/header" Target="header19.xml"/><Relationship Id="rId47" Type="http://schemas.openxmlformats.org/officeDocument/2006/relationships/header" Target="header24.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Law.Reform@utas.edu.au" TargetMode="External"/><Relationship Id="rId25" Type="http://schemas.openxmlformats.org/officeDocument/2006/relationships/diagramData" Target="diagrams/data1.xml"/><Relationship Id="rId33" Type="http://schemas.openxmlformats.org/officeDocument/2006/relationships/header" Target="header10.xml"/><Relationship Id="rId38" Type="http://schemas.openxmlformats.org/officeDocument/2006/relationships/header" Target="header15.xml"/><Relationship Id="rId46" Type="http://schemas.openxmlformats.org/officeDocument/2006/relationships/header" Target="header23.xml"/><Relationship Id="rId2" Type="http://schemas.openxmlformats.org/officeDocument/2006/relationships/numbering" Target="numbering.xml"/><Relationship Id="rId16" Type="http://schemas.openxmlformats.org/officeDocument/2006/relationships/hyperlink" Target="http://www.utas.edu.au/law-reform/" TargetMode="External"/><Relationship Id="rId20" Type="http://schemas.openxmlformats.org/officeDocument/2006/relationships/header" Target="header2.xml"/><Relationship Id="rId29" Type="http://schemas.microsoft.com/office/2007/relationships/diagramDrawing" Target="diagrams/drawing1.xml"/><Relationship Id="rId4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6.xml"/><Relationship Id="rId32" Type="http://schemas.openxmlformats.org/officeDocument/2006/relationships/header" Target="header9.xml"/><Relationship Id="rId37" Type="http://schemas.openxmlformats.org/officeDocument/2006/relationships/header" Target="header14.xml"/><Relationship Id="rId40" Type="http://schemas.openxmlformats.org/officeDocument/2006/relationships/header" Target="header17.xml"/><Relationship Id="rId45"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eader" Target="header5.xml"/><Relationship Id="rId28" Type="http://schemas.openxmlformats.org/officeDocument/2006/relationships/diagramColors" Target="diagrams/colors1.xml"/><Relationship Id="rId36" Type="http://schemas.openxmlformats.org/officeDocument/2006/relationships/header" Target="header13.xm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header" Target="header8.xml"/><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eader" Target="header4.xml"/><Relationship Id="rId27" Type="http://schemas.openxmlformats.org/officeDocument/2006/relationships/diagramQuickStyle" Target="diagrams/quickStyle1.xml"/><Relationship Id="rId30" Type="http://schemas.openxmlformats.org/officeDocument/2006/relationships/header" Target="header7.xml"/><Relationship Id="rId35" Type="http://schemas.openxmlformats.org/officeDocument/2006/relationships/header" Target="header12.xml"/><Relationship Id="rId43" Type="http://schemas.openxmlformats.org/officeDocument/2006/relationships/header" Target="header20.xml"/><Relationship Id="rId48" Type="http://schemas.openxmlformats.org/officeDocument/2006/relationships/header" Target="header25.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publicdefenders.nsw.gov.au/Pages/public_defenders_research/Papers%20by%20Public%20Defenders/public_defenders_papers_pd.aspx"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3114C5-67AA-F443-A25A-7332A458BECF}" type="doc">
      <dgm:prSet loTypeId="urn:microsoft.com/office/officeart/2005/8/layout/hierarchy6" loCatId="" qsTypeId="urn:microsoft.com/office/officeart/2005/8/quickstyle/simple1" qsCatId="simple" csTypeId="urn:microsoft.com/office/officeart/2005/8/colors/accent0_1" csCatId="mainScheme" phldr="1"/>
      <dgm:spPr/>
      <dgm:t>
        <a:bodyPr/>
        <a:lstStyle/>
        <a:p>
          <a:endParaRPr lang="en-US"/>
        </a:p>
      </dgm:t>
    </dgm:pt>
    <dgm:pt modelId="{C4D179B6-B282-AB40-94BB-BF62BD09A97C}">
      <dgm:prSet phldrT="[Text]" custT="1"/>
      <dgm:spPr>
        <a:ln w="12700"/>
      </dgm:spPr>
      <dgm:t>
        <a:bodyPr/>
        <a:lstStyle/>
        <a:p>
          <a:r>
            <a:rPr lang="en-US" sz="900"/>
            <a:t>Issue of fitness raised</a:t>
          </a:r>
        </a:p>
      </dgm:t>
    </dgm:pt>
    <dgm:pt modelId="{E8BD7677-D473-434A-8D24-97CD6F6A6E28}" type="parTrans" cxnId="{41826F47-FA9E-234C-9CEE-CDF02EF75CDD}">
      <dgm:prSet/>
      <dgm:spPr/>
      <dgm:t>
        <a:bodyPr/>
        <a:lstStyle/>
        <a:p>
          <a:endParaRPr lang="en-US"/>
        </a:p>
      </dgm:t>
    </dgm:pt>
    <dgm:pt modelId="{6FBC75CF-DDB5-CB46-B267-31F34215BD8C}" type="sibTrans" cxnId="{41826F47-FA9E-234C-9CEE-CDF02EF75CDD}">
      <dgm:prSet/>
      <dgm:spPr/>
      <dgm:t>
        <a:bodyPr/>
        <a:lstStyle/>
        <a:p>
          <a:endParaRPr lang="en-US"/>
        </a:p>
      </dgm:t>
    </dgm:pt>
    <dgm:pt modelId="{C300BB0B-3543-A845-8C5B-36B5670EFCC1}">
      <dgm:prSet phldrT="[Text]" custT="1"/>
      <dgm:spPr>
        <a:ln w="12700"/>
      </dgm:spPr>
      <dgm:t>
        <a:bodyPr/>
        <a:lstStyle/>
        <a:p>
          <a:r>
            <a:rPr lang="en-US" sz="900"/>
            <a:t>Yes</a:t>
          </a:r>
        </a:p>
      </dgm:t>
    </dgm:pt>
    <dgm:pt modelId="{47D7E9CA-C72D-234B-9E77-F4768B8DAE79}" type="parTrans" cxnId="{884EBF07-2BFD-8742-9042-2615BAD71DCC}">
      <dgm:prSet/>
      <dgm:spPr>
        <a:ln w="12700"/>
      </dgm:spPr>
      <dgm:t>
        <a:bodyPr/>
        <a:lstStyle/>
        <a:p>
          <a:endParaRPr lang="en-US"/>
        </a:p>
      </dgm:t>
    </dgm:pt>
    <dgm:pt modelId="{43B7CD7B-A924-CF46-BAAB-4C469658314A}" type="sibTrans" cxnId="{884EBF07-2BFD-8742-9042-2615BAD71DCC}">
      <dgm:prSet/>
      <dgm:spPr/>
      <dgm:t>
        <a:bodyPr/>
        <a:lstStyle/>
        <a:p>
          <a:endParaRPr lang="en-US"/>
        </a:p>
      </dgm:t>
    </dgm:pt>
    <dgm:pt modelId="{5483B319-BCCE-4948-9372-11914403565A}">
      <dgm:prSet phldrT="[Text]" custT="1"/>
      <dgm:spPr>
        <a:ln w="12700"/>
      </dgm:spPr>
      <dgm:t>
        <a:bodyPr/>
        <a:lstStyle/>
        <a:p>
          <a:r>
            <a:rPr lang="en-US" sz="900"/>
            <a:t>No</a:t>
          </a:r>
        </a:p>
      </dgm:t>
    </dgm:pt>
    <dgm:pt modelId="{6C7A16EB-A947-E74D-B10E-621E2E0D5984}" type="parTrans" cxnId="{4397989F-17B6-F546-94B9-369E58EE6943}">
      <dgm:prSet/>
      <dgm:spPr>
        <a:ln w="12700"/>
      </dgm:spPr>
      <dgm:t>
        <a:bodyPr/>
        <a:lstStyle/>
        <a:p>
          <a:endParaRPr lang="en-US"/>
        </a:p>
      </dgm:t>
    </dgm:pt>
    <dgm:pt modelId="{5338332F-C7BA-6F49-8D1B-F05081B6B600}" type="sibTrans" cxnId="{4397989F-17B6-F546-94B9-369E58EE6943}">
      <dgm:prSet/>
      <dgm:spPr/>
      <dgm:t>
        <a:bodyPr/>
        <a:lstStyle/>
        <a:p>
          <a:endParaRPr lang="en-US"/>
        </a:p>
      </dgm:t>
    </dgm:pt>
    <dgm:pt modelId="{195E03CA-8C88-0B42-8711-6E7B61D99F47}">
      <dgm:prSet phldrT="[Text]" custT="1"/>
      <dgm:spPr>
        <a:ln w="12700"/>
      </dgm:spPr>
      <dgm:t>
        <a:bodyPr/>
        <a:lstStyle/>
        <a:p>
          <a:r>
            <a:rPr lang="en-US" sz="900"/>
            <a:t>Unfit to stand trial</a:t>
          </a:r>
        </a:p>
      </dgm:t>
    </dgm:pt>
    <dgm:pt modelId="{26244E0F-E2A6-B745-930C-662E3DB34ECD}" type="parTrans" cxnId="{8912AB87-AF3E-9A4E-B838-CD220C5D4F15}">
      <dgm:prSet/>
      <dgm:spPr>
        <a:ln w="12700"/>
      </dgm:spPr>
      <dgm:t>
        <a:bodyPr/>
        <a:lstStyle/>
        <a:p>
          <a:endParaRPr lang="en-US"/>
        </a:p>
      </dgm:t>
    </dgm:pt>
    <dgm:pt modelId="{77D45D32-0DAE-6C47-836B-2BDA8F87DE79}" type="sibTrans" cxnId="{8912AB87-AF3E-9A4E-B838-CD220C5D4F15}">
      <dgm:prSet/>
      <dgm:spPr/>
      <dgm:t>
        <a:bodyPr/>
        <a:lstStyle/>
        <a:p>
          <a:endParaRPr lang="en-US"/>
        </a:p>
      </dgm:t>
    </dgm:pt>
    <dgm:pt modelId="{F12B39D2-8337-934E-B00F-BB49C3760053}" type="asst">
      <dgm:prSet custT="1"/>
      <dgm:spPr>
        <a:ln w="12700"/>
      </dgm:spPr>
      <dgm:t>
        <a:bodyPr/>
        <a:lstStyle/>
        <a:p>
          <a:r>
            <a:rPr lang="en-US" sz="900"/>
            <a:t>Special hearing</a:t>
          </a:r>
        </a:p>
      </dgm:t>
    </dgm:pt>
    <dgm:pt modelId="{FA219C50-4A40-CB44-BB63-10504BE49E34}" type="parTrans" cxnId="{AA7EEEB0-B30A-6C4E-84BE-8F00CC9DF289}">
      <dgm:prSet/>
      <dgm:spPr>
        <a:ln w="12700"/>
      </dgm:spPr>
      <dgm:t>
        <a:bodyPr/>
        <a:lstStyle/>
        <a:p>
          <a:endParaRPr lang="en-US"/>
        </a:p>
      </dgm:t>
    </dgm:pt>
    <dgm:pt modelId="{11CDB064-FC8F-6546-9B53-7AFB3A28CC31}" type="sibTrans" cxnId="{AA7EEEB0-B30A-6C4E-84BE-8F00CC9DF289}">
      <dgm:prSet/>
      <dgm:spPr/>
      <dgm:t>
        <a:bodyPr/>
        <a:lstStyle/>
        <a:p>
          <a:endParaRPr lang="en-US"/>
        </a:p>
      </dgm:t>
    </dgm:pt>
    <dgm:pt modelId="{4CEB78B8-6BEA-A340-9F9F-0E26C11C2D6D}" type="asst">
      <dgm:prSet custT="1"/>
      <dgm:spPr>
        <a:ln w="12700"/>
      </dgm:spPr>
      <dgm:t>
        <a:bodyPr/>
        <a:lstStyle/>
        <a:p>
          <a:r>
            <a:rPr lang="en-US" sz="900"/>
            <a:t>Not guilty</a:t>
          </a:r>
        </a:p>
      </dgm:t>
    </dgm:pt>
    <dgm:pt modelId="{14B10DFD-1F6E-5C43-B2D6-B435E3D50B55}" type="parTrans" cxnId="{378E1DCF-A38F-B54C-B4DE-F7B12830CAB0}">
      <dgm:prSet/>
      <dgm:spPr>
        <a:ln w="12700"/>
      </dgm:spPr>
      <dgm:t>
        <a:bodyPr/>
        <a:lstStyle/>
        <a:p>
          <a:endParaRPr lang="en-US"/>
        </a:p>
      </dgm:t>
    </dgm:pt>
    <dgm:pt modelId="{B7BD8B90-EF46-2744-AE9C-F9C4E1933B6A}" type="sibTrans" cxnId="{378E1DCF-A38F-B54C-B4DE-F7B12830CAB0}">
      <dgm:prSet/>
      <dgm:spPr/>
      <dgm:t>
        <a:bodyPr/>
        <a:lstStyle/>
        <a:p>
          <a:endParaRPr lang="en-US"/>
        </a:p>
      </dgm:t>
    </dgm:pt>
    <dgm:pt modelId="{EE877B2D-2A63-AC4F-8BA1-B1F02D121EFA}" type="asst">
      <dgm:prSet custT="1"/>
      <dgm:spPr>
        <a:ln w="12700"/>
      </dgm:spPr>
      <dgm:t>
        <a:bodyPr/>
        <a:lstStyle/>
        <a:p>
          <a:r>
            <a:rPr lang="en-US" sz="900"/>
            <a:t>Not guilty by reason of insanity</a:t>
          </a:r>
        </a:p>
      </dgm:t>
    </dgm:pt>
    <dgm:pt modelId="{D503C6CF-8A35-BD4C-8430-C349FD0E4104}" type="parTrans" cxnId="{5736F04F-51E2-9343-8A83-89C40636F70B}">
      <dgm:prSet/>
      <dgm:spPr>
        <a:ln w="12700"/>
      </dgm:spPr>
      <dgm:t>
        <a:bodyPr/>
        <a:lstStyle/>
        <a:p>
          <a:endParaRPr lang="en-US"/>
        </a:p>
      </dgm:t>
    </dgm:pt>
    <dgm:pt modelId="{6A86FB42-FCB4-6D47-B7D4-C91414B2C676}" type="sibTrans" cxnId="{5736F04F-51E2-9343-8A83-89C40636F70B}">
      <dgm:prSet/>
      <dgm:spPr/>
      <dgm:t>
        <a:bodyPr/>
        <a:lstStyle/>
        <a:p>
          <a:endParaRPr lang="en-US"/>
        </a:p>
      </dgm:t>
    </dgm:pt>
    <dgm:pt modelId="{2C357A4A-1E49-F141-ACC5-25E2E4194F79}" type="asst">
      <dgm:prSet custT="1"/>
      <dgm:spPr>
        <a:ln w="12700"/>
      </dgm:spPr>
      <dgm:t>
        <a:bodyPr/>
        <a:lstStyle/>
        <a:p>
          <a:r>
            <a:rPr lang="en-US" sz="900"/>
            <a:t>Disposition available under the </a:t>
          </a:r>
          <a:r>
            <a:rPr lang="en-US" sz="900" i="1"/>
            <a:t>CJMIA 1999</a:t>
          </a:r>
          <a:r>
            <a:rPr lang="en-US" sz="900"/>
            <a:t>. These include  restriction orders, supervision orders, treatment orders, conditional release or unconditional release.</a:t>
          </a:r>
        </a:p>
      </dgm:t>
    </dgm:pt>
    <dgm:pt modelId="{2B57049F-11CE-4849-A870-C11E923AA6E8}" type="parTrans" cxnId="{83CAF37E-CD19-A341-9F1E-03F6EAEB17DD}">
      <dgm:prSet/>
      <dgm:spPr>
        <a:ln w="12700"/>
      </dgm:spPr>
      <dgm:t>
        <a:bodyPr/>
        <a:lstStyle/>
        <a:p>
          <a:endParaRPr lang="en-US"/>
        </a:p>
      </dgm:t>
    </dgm:pt>
    <dgm:pt modelId="{DB720747-A236-BA49-A126-2F8A0BB30B2D}" type="sibTrans" cxnId="{83CAF37E-CD19-A341-9F1E-03F6EAEB17DD}">
      <dgm:prSet/>
      <dgm:spPr/>
      <dgm:t>
        <a:bodyPr/>
        <a:lstStyle/>
        <a:p>
          <a:endParaRPr lang="en-US"/>
        </a:p>
      </dgm:t>
    </dgm:pt>
    <dgm:pt modelId="{F35B2CB1-375B-8C46-96DA-125381F95CC8}" type="asst">
      <dgm:prSet custT="1"/>
      <dgm:spPr>
        <a:ln w="12700"/>
      </dgm:spPr>
      <dgm:t>
        <a:bodyPr/>
        <a:lstStyle/>
        <a:p>
          <a:r>
            <a:rPr lang="en-US" sz="900"/>
            <a:t>Finding not made that not guilty</a:t>
          </a:r>
        </a:p>
      </dgm:t>
    </dgm:pt>
    <dgm:pt modelId="{916FFA01-F68C-DD4B-8F7D-B22B354F150E}" type="parTrans" cxnId="{CFDF9E46-00BE-C34A-993E-CC5CF88C77CA}">
      <dgm:prSet/>
      <dgm:spPr>
        <a:ln w="12700"/>
      </dgm:spPr>
      <dgm:t>
        <a:bodyPr/>
        <a:lstStyle/>
        <a:p>
          <a:endParaRPr lang="en-US"/>
        </a:p>
      </dgm:t>
    </dgm:pt>
    <dgm:pt modelId="{FA7E7F16-533D-7940-982D-CA19F060F96B}" type="sibTrans" cxnId="{CFDF9E46-00BE-C34A-993E-CC5CF88C77CA}">
      <dgm:prSet/>
      <dgm:spPr/>
      <dgm:t>
        <a:bodyPr/>
        <a:lstStyle/>
        <a:p>
          <a:endParaRPr lang="en-US"/>
        </a:p>
      </dgm:t>
    </dgm:pt>
    <dgm:pt modelId="{70C6A171-A83A-624F-89E3-D88945766836}" type="asst">
      <dgm:prSet custT="1"/>
      <dgm:spPr>
        <a:ln w="12700"/>
      </dgm:spPr>
      <dgm:t>
        <a:bodyPr/>
        <a:lstStyle/>
        <a:p>
          <a:r>
            <a:rPr lang="en-US" sz="900"/>
            <a:t>Trial</a:t>
          </a:r>
        </a:p>
      </dgm:t>
    </dgm:pt>
    <dgm:pt modelId="{352B5111-2180-7446-8645-7258994D039B}" type="parTrans" cxnId="{C3664455-831D-554C-87D8-1F3403A776EB}">
      <dgm:prSet/>
      <dgm:spPr>
        <a:ln w="12700"/>
      </dgm:spPr>
      <dgm:t>
        <a:bodyPr/>
        <a:lstStyle/>
        <a:p>
          <a:endParaRPr lang="en-US"/>
        </a:p>
      </dgm:t>
    </dgm:pt>
    <dgm:pt modelId="{0CA47E47-033F-EA43-97CF-5347FAB2A9EB}" type="sibTrans" cxnId="{C3664455-831D-554C-87D8-1F3403A776EB}">
      <dgm:prSet/>
      <dgm:spPr/>
      <dgm:t>
        <a:bodyPr/>
        <a:lstStyle/>
        <a:p>
          <a:endParaRPr lang="en-US"/>
        </a:p>
      </dgm:t>
    </dgm:pt>
    <dgm:pt modelId="{719218A7-6183-3844-BA5D-926544274BC4}" type="asst">
      <dgm:prSet custT="1"/>
      <dgm:spPr>
        <a:ln w="12700"/>
      </dgm:spPr>
      <dgm:t>
        <a:bodyPr/>
        <a:lstStyle/>
        <a:p>
          <a:r>
            <a:rPr lang="en-US" sz="900"/>
            <a:t>Not guilty by reason of insanity</a:t>
          </a:r>
        </a:p>
      </dgm:t>
    </dgm:pt>
    <dgm:pt modelId="{759D3669-3A3B-8344-93AF-0F53FCCE4750}" type="parTrans" cxnId="{864F5A6E-4F79-734F-BD4C-2431019D5E36}">
      <dgm:prSet/>
      <dgm:spPr>
        <a:ln w="12700"/>
      </dgm:spPr>
      <dgm:t>
        <a:bodyPr/>
        <a:lstStyle/>
        <a:p>
          <a:endParaRPr lang="en-US"/>
        </a:p>
      </dgm:t>
    </dgm:pt>
    <dgm:pt modelId="{91F5ABE0-9500-944A-9341-040AFD7FD6EE}" type="sibTrans" cxnId="{864F5A6E-4F79-734F-BD4C-2431019D5E36}">
      <dgm:prSet/>
      <dgm:spPr/>
      <dgm:t>
        <a:bodyPr/>
        <a:lstStyle/>
        <a:p>
          <a:endParaRPr lang="en-US"/>
        </a:p>
      </dgm:t>
    </dgm:pt>
    <dgm:pt modelId="{036BE294-921A-A94E-B91A-4143793DB208}" type="asst">
      <dgm:prSet custT="1"/>
      <dgm:spPr>
        <a:ln w="12700"/>
      </dgm:spPr>
      <dgm:t>
        <a:bodyPr/>
        <a:lstStyle/>
        <a:p>
          <a:r>
            <a:rPr lang="en-US" sz="900"/>
            <a:t>Guilty</a:t>
          </a:r>
        </a:p>
      </dgm:t>
    </dgm:pt>
    <dgm:pt modelId="{7F6ECAB1-569D-7147-8EC7-E7CE5DFB7D33}" type="parTrans" cxnId="{6337B2EB-DD88-BA43-B72C-F49562A321EC}">
      <dgm:prSet/>
      <dgm:spPr>
        <a:ln w="12700"/>
      </dgm:spPr>
      <dgm:t>
        <a:bodyPr/>
        <a:lstStyle/>
        <a:p>
          <a:endParaRPr lang="en-US"/>
        </a:p>
      </dgm:t>
    </dgm:pt>
    <dgm:pt modelId="{627A8617-42CC-D24D-81EC-99ECB573E88E}" type="sibTrans" cxnId="{6337B2EB-DD88-BA43-B72C-F49562A321EC}">
      <dgm:prSet/>
      <dgm:spPr/>
      <dgm:t>
        <a:bodyPr/>
        <a:lstStyle/>
        <a:p>
          <a:endParaRPr lang="en-US"/>
        </a:p>
      </dgm:t>
    </dgm:pt>
    <dgm:pt modelId="{E685A6A8-0581-0B4A-875C-D5EE5C2C2995}" type="asst">
      <dgm:prSet custT="1"/>
      <dgm:spPr>
        <a:ln w="12700"/>
      </dgm:spPr>
      <dgm:t>
        <a:bodyPr/>
        <a:lstStyle/>
        <a:p>
          <a:r>
            <a:rPr lang="en-US" sz="900"/>
            <a:t>Sentencing options available under </a:t>
          </a:r>
          <a:r>
            <a:rPr lang="en-US" sz="900" i="1"/>
            <a:t>Sentencing Act 1997</a:t>
          </a:r>
          <a:r>
            <a:rPr lang="en-US" sz="900"/>
            <a:t>. These include assessment orders, treatment orders, supervision orders and restriction orders. It is also noted that mental and intellectual impairment is a mitigatory factor in sentencing.</a:t>
          </a:r>
        </a:p>
      </dgm:t>
    </dgm:pt>
    <dgm:pt modelId="{CEACEDB6-B81B-DD44-85CA-D3B6BF25347A}" type="parTrans" cxnId="{95921724-31CD-A44D-9DB4-FEA0B5C7374A}">
      <dgm:prSet/>
      <dgm:spPr>
        <a:ln w="12700"/>
      </dgm:spPr>
      <dgm:t>
        <a:bodyPr/>
        <a:lstStyle/>
        <a:p>
          <a:endParaRPr lang="en-US"/>
        </a:p>
      </dgm:t>
    </dgm:pt>
    <dgm:pt modelId="{14318A4B-F87A-DD4A-8DEB-C43F87D26976}" type="sibTrans" cxnId="{95921724-31CD-A44D-9DB4-FEA0B5C7374A}">
      <dgm:prSet/>
      <dgm:spPr/>
      <dgm:t>
        <a:bodyPr/>
        <a:lstStyle/>
        <a:p>
          <a:endParaRPr lang="en-US"/>
        </a:p>
      </dgm:t>
    </dgm:pt>
    <dgm:pt modelId="{04559BB2-2302-B843-9D18-C86057B84625}" type="asst">
      <dgm:prSet custT="1"/>
      <dgm:spPr>
        <a:ln w="12700"/>
      </dgm:spPr>
      <dgm:t>
        <a:bodyPr/>
        <a:lstStyle/>
        <a:p>
          <a:r>
            <a:rPr lang="en-US" sz="900"/>
            <a:t>Not guilty</a:t>
          </a:r>
        </a:p>
      </dgm:t>
    </dgm:pt>
    <dgm:pt modelId="{F19BB1D5-6DCA-B64F-A5F7-FBC544B199CC}" type="parTrans" cxnId="{BE36B789-AD0E-DB42-AD09-0B00045390AF}">
      <dgm:prSet/>
      <dgm:spPr>
        <a:ln w="12700"/>
      </dgm:spPr>
      <dgm:t>
        <a:bodyPr/>
        <a:lstStyle/>
        <a:p>
          <a:endParaRPr lang="en-US"/>
        </a:p>
      </dgm:t>
    </dgm:pt>
    <dgm:pt modelId="{AC3C2EEF-61DD-F742-8577-A02DCC520BC5}" type="sibTrans" cxnId="{BE36B789-AD0E-DB42-AD09-0B00045390AF}">
      <dgm:prSet/>
      <dgm:spPr/>
      <dgm:t>
        <a:bodyPr/>
        <a:lstStyle/>
        <a:p>
          <a:endParaRPr lang="en-US"/>
        </a:p>
      </dgm:t>
    </dgm:pt>
    <dgm:pt modelId="{DF88FBC3-EA5C-E246-AB76-3C8F9446B608}" type="asst">
      <dgm:prSet phldrT="[Text]" custT="1"/>
      <dgm:spPr>
        <a:ln w="12700"/>
      </dgm:spPr>
      <dgm:t>
        <a:bodyPr/>
        <a:lstStyle/>
        <a:p>
          <a:r>
            <a:rPr lang="en-US" sz="900"/>
            <a:t>Fit to stand trial</a:t>
          </a:r>
        </a:p>
      </dgm:t>
    </dgm:pt>
    <dgm:pt modelId="{3A1C90F7-FA69-004E-927E-5E7D283F5D1F}" type="parTrans" cxnId="{3852E695-B147-7D4D-87FB-C9EC5C6DD8A8}">
      <dgm:prSet/>
      <dgm:spPr>
        <a:ln w="12700"/>
      </dgm:spPr>
      <dgm:t>
        <a:bodyPr/>
        <a:lstStyle/>
        <a:p>
          <a:endParaRPr lang="en-US"/>
        </a:p>
      </dgm:t>
    </dgm:pt>
    <dgm:pt modelId="{D8839243-B7CE-DD4D-9B76-9ECFC207D15E}" type="sibTrans" cxnId="{3852E695-B147-7D4D-87FB-C9EC5C6DD8A8}">
      <dgm:prSet/>
      <dgm:spPr/>
      <dgm:t>
        <a:bodyPr/>
        <a:lstStyle/>
        <a:p>
          <a:endParaRPr lang="en-US"/>
        </a:p>
      </dgm:t>
    </dgm:pt>
    <dgm:pt modelId="{C34DDD8F-EFAA-474D-BE56-2D2B66B8B9E9}" type="pres">
      <dgm:prSet presAssocID="{BA3114C5-67AA-F443-A25A-7332A458BECF}" presName="mainComposite" presStyleCnt="0">
        <dgm:presLayoutVars>
          <dgm:chPref val="1"/>
          <dgm:dir/>
          <dgm:animOne val="branch"/>
          <dgm:animLvl val="lvl"/>
          <dgm:resizeHandles val="exact"/>
        </dgm:presLayoutVars>
      </dgm:prSet>
      <dgm:spPr/>
    </dgm:pt>
    <dgm:pt modelId="{5CD0A458-19A7-8347-A702-23089C0C5672}" type="pres">
      <dgm:prSet presAssocID="{BA3114C5-67AA-F443-A25A-7332A458BECF}" presName="hierFlow" presStyleCnt="0"/>
      <dgm:spPr/>
    </dgm:pt>
    <dgm:pt modelId="{2AB09F22-529A-6448-9613-20969EF72656}" type="pres">
      <dgm:prSet presAssocID="{BA3114C5-67AA-F443-A25A-7332A458BECF}" presName="hierChild1" presStyleCnt="0">
        <dgm:presLayoutVars>
          <dgm:chPref val="1"/>
          <dgm:animOne val="branch"/>
          <dgm:animLvl val="lvl"/>
        </dgm:presLayoutVars>
      </dgm:prSet>
      <dgm:spPr/>
    </dgm:pt>
    <dgm:pt modelId="{52B8F79F-C6E2-784E-B85C-55B652D5D5A4}" type="pres">
      <dgm:prSet presAssocID="{C4D179B6-B282-AB40-94BB-BF62BD09A97C}" presName="Name14" presStyleCnt="0"/>
      <dgm:spPr/>
    </dgm:pt>
    <dgm:pt modelId="{6E1D9C81-5669-3847-BA5C-0E737D0E79B7}" type="pres">
      <dgm:prSet presAssocID="{C4D179B6-B282-AB40-94BB-BF62BD09A97C}" presName="level1Shape" presStyleLbl="node0" presStyleIdx="0" presStyleCnt="1" custLinFactNeighborY="-65991">
        <dgm:presLayoutVars>
          <dgm:chPref val="3"/>
        </dgm:presLayoutVars>
      </dgm:prSet>
      <dgm:spPr/>
    </dgm:pt>
    <dgm:pt modelId="{FA010CC1-BD62-C84F-BA42-0EE0C6DFDA44}" type="pres">
      <dgm:prSet presAssocID="{C4D179B6-B282-AB40-94BB-BF62BD09A97C}" presName="hierChild2" presStyleCnt="0"/>
      <dgm:spPr/>
    </dgm:pt>
    <dgm:pt modelId="{0AFC7375-2BB6-F64F-B47F-EAAF712CD859}" type="pres">
      <dgm:prSet presAssocID="{47D7E9CA-C72D-234B-9E77-F4768B8DAE79}" presName="Name19" presStyleLbl="parChTrans1D2" presStyleIdx="0" presStyleCnt="2"/>
      <dgm:spPr/>
    </dgm:pt>
    <dgm:pt modelId="{8C82E6C3-8A0A-D548-A796-12D5B8E8B97D}" type="pres">
      <dgm:prSet presAssocID="{C300BB0B-3543-A845-8C5B-36B5670EFCC1}" presName="Name21" presStyleCnt="0"/>
      <dgm:spPr/>
    </dgm:pt>
    <dgm:pt modelId="{6FB29FCF-6278-914C-A9C4-A86ED9478989}" type="pres">
      <dgm:prSet presAssocID="{C300BB0B-3543-A845-8C5B-36B5670EFCC1}" presName="level2Shape" presStyleLbl="node2" presStyleIdx="0" presStyleCnt="2" custLinFactNeighborY="-12656"/>
      <dgm:spPr/>
    </dgm:pt>
    <dgm:pt modelId="{8C062FD1-6E21-4645-B049-1FAA0D2FE98D}" type="pres">
      <dgm:prSet presAssocID="{C300BB0B-3543-A845-8C5B-36B5670EFCC1}" presName="hierChild3" presStyleCnt="0"/>
      <dgm:spPr/>
    </dgm:pt>
    <dgm:pt modelId="{E5EC9223-BF9E-B84F-A972-FE0DFA2B9A30}" type="pres">
      <dgm:prSet presAssocID="{26244E0F-E2A6-B745-930C-662E3DB34ECD}" presName="Name19" presStyleLbl="parChTrans1D3" presStyleIdx="0" presStyleCnt="3"/>
      <dgm:spPr/>
    </dgm:pt>
    <dgm:pt modelId="{30821695-6794-EB48-8C78-A29B6300272F}" type="pres">
      <dgm:prSet presAssocID="{195E03CA-8C88-0B42-8711-6E7B61D99F47}" presName="Name21" presStyleCnt="0"/>
      <dgm:spPr/>
    </dgm:pt>
    <dgm:pt modelId="{17BBCB8F-6850-6F42-A7DF-3CF81657712D}" type="pres">
      <dgm:prSet presAssocID="{195E03CA-8C88-0B42-8711-6E7B61D99F47}" presName="level2Shape" presStyleLbl="node3" presStyleIdx="0" presStyleCnt="1"/>
      <dgm:spPr/>
    </dgm:pt>
    <dgm:pt modelId="{BC5D7EF8-1B85-6F4D-9783-9CF45765D7A9}" type="pres">
      <dgm:prSet presAssocID="{195E03CA-8C88-0B42-8711-6E7B61D99F47}" presName="hierChild3" presStyleCnt="0"/>
      <dgm:spPr/>
    </dgm:pt>
    <dgm:pt modelId="{B6CF496F-93D3-AF46-A8B9-C723ADFB8A68}" type="pres">
      <dgm:prSet presAssocID="{FA219C50-4A40-CB44-BB63-10504BE49E34}" presName="Name19" presStyleLbl="parChTrans1D4" presStyleIdx="0" presStyleCnt="9"/>
      <dgm:spPr/>
    </dgm:pt>
    <dgm:pt modelId="{1931A532-8E13-5A4E-B8BE-16991AF39E2F}" type="pres">
      <dgm:prSet presAssocID="{F12B39D2-8337-934E-B00F-BB49C3760053}" presName="Name21" presStyleCnt="0"/>
      <dgm:spPr/>
    </dgm:pt>
    <dgm:pt modelId="{87FC9D1E-6C2D-4B4F-81A2-326FBC2C58D6}" type="pres">
      <dgm:prSet presAssocID="{F12B39D2-8337-934E-B00F-BB49C3760053}" presName="level2Shape" presStyleLbl="asst3" presStyleIdx="0" presStyleCnt="5"/>
      <dgm:spPr/>
    </dgm:pt>
    <dgm:pt modelId="{FA79D414-6FA6-934D-9E8A-5AEFF2BF32D2}" type="pres">
      <dgm:prSet presAssocID="{F12B39D2-8337-934E-B00F-BB49C3760053}" presName="hierChild3" presStyleCnt="0"/>
      <dgm:spPr/>
    </dgm:pt>
    <dgm:pt modelId="{9CDCAFF9-FF07-D848-8D1F-F23F3F7A6AC4}" type="pres">
      <dgm:prSet presAssocID="{14B10DFD-1F6E-5C43-B2D6-B435E3D50B55}" presName="Name19" presStyleLbl="parChTrans1D4" presStyleIdx="1" presStyleCnt="9"/>
      <dgm:spPr/>
    </dgm:pt>
    <dgm:pt modelId="{1A156499-EA63-9D45-8DCB-B4A03DCBAC19}" type="pres">
      <dgm:prSet presAssocID="{4CEB78B8-6BEA-A340-9F9F-0E26C11C2D6D}" presName="Name21" presStyleCnt="0"/>
      <dgm:spPr/>
    </dgm:pt>
    <dgm:pt modelId="{6CF1D3AE-7BD5-994E-97E8-D512A973E120}" type="pres">
      <dgm:prSet presAssocID="{4CEB78B8-6BEA-A340-9F9F-0E26C11C2D6D}" presName="level2Shape" presStyleLbl="asst3" presStyleIdx="1" presStyleCnt="5"/>
      <dgm:spPr/>
    </dgm:pt>
    <dgm:pt modelId="{7A8F7844-40FE-3542-B4E2-8640D6D6B781}" type="pres">
      <dgm:prSet presAssocID="{4CEB78B8-6BEA-A340-9F9F-0E26C11C2D6D}" presName="hierChild3" presStyleCnt="0"/>
      <dgm:spPr/>
    </dgm:pt>
    <dgm:pt modelId="{A5180218-88C1-0348-B07A-1123AE530018}" type="pres">
      <dgm:prSet presAssocID="{D503C6CF-8A35-BD4C-8430-C349FD0E4104}" presName="Name19" presStyleLbl="parChTrans1D4" presStyleIdx="2" presStyleCnt="9"/>
      <dgm:spPr/>
    </dgm:pt>
    <dgm:pt modelId="{74F090F2-5715-1F43-8F27-0E4DEEE46048}" type="pres">
      <dgm:prSet presAssocID="{EE877B2D-2A63-AC4F-8BA1-B1F02D121EFA}" presName="Name21" presStyleCnt="0"/>
      <dgm:spPr/>
    </dgm:pt>
    <dgm:pt modelId="{FF2179DE-9F08-A14F-A72F-957374BA98C9}" type="pres">
      <dgm:prSet presAssocID="{EE877B2D-2A63-AC4F-8BA1-B1F02D121EFA}" presName="level2Shape" presStyleLbl="asst3" presStyleIdx="2" presStyleCnt="5"/>
      <dgm:spPr/>
    </dgm:pt>
    <dgm:pt modelId="{9D11ABC0-8A1A-DC4B-B713-59901C02B31D}" type="pres">
      <dgm:prSet presAssocID="{EE877B2D-2A63-AC4F-8BA1-B1F02D121EFA}" presName="hierChild3" presStyleCnt="0"/>
      <dgm:spPr/>
    </dgm:pt>
    <dgm:pt modelId="{DBF0B8FF-3001-EA43-8812-14C90E6901E1}" type="pres">
      <dgm:prSet presAssocID="{2B57049F-11CE-4849-A870-C11E923AA6E8}" presName="Name19" presStyleLbl="parChTrans1D4" presStyleIdx="3" presStyleCnt="9"/>
      <dgm:spPr/>
    </dgm:pt>
    <dgm:pt modelId="{A758BCB2-49FB-D747-B1F5-7C6A46ABE544}" type="pres">
      <dgm:prSet presAssocID="{2C357A4A-1E49-F141-ACC5-25E2E4194F79}" presName="Name21" presStyleCnt="0"/>
      <dgm:spPr/>
    </dgm:pt>
    <dgm:pt modelId="{70592B2A-5608-C84E-A0CC-AAFA368FBEF3}" type="pres">
      <dgm:prSet presAssocID="{2C357A4A-1E49-F141-ACC5-25E2E4194F79}" presName="level2Shape" presStyleLbl="asst3" presStyleIdx="3" presStyleCnt="5" custScaleX="309567" custScaleY="168105"/>
      <dgm:spPr/>
    </dgm:pt>
    <dgm:pt modelId="{3CADD1DA-3901-1A4A-B634-FDAE735BFDA1}" type="pres">
      <dgm:prSet presAssocID="{2C357A4A-1E49-F141-ACC5-25E2E4194F79}" presName="hierChild3" presStyleCnt="0"/>
      <dgm:spPr/>
    </dgm:pt>
    <dgm:pt modelId="{BBB04818-71AD-C548-9846-533CCDE5BE3A}" type="pres">
      <dgm:prSet presAssocID="{916FFA01-F68C-DD4B-8F7D-B22B354F150E}" presName="Name19" presStyleLbl="parChTrans1D4" presStyleIdx="4" presStyleCnt="9"/>
      <dgm:spPr/>
    </dgm:pt>
    <dgm:pt modelId="{D8F19394-9F14-8D48-A333-154416115F2A}" type="pres">
      <dgm:prSet presAssocID="{F35B2CB1-375B-8C46-96DA-125381F95CC8}" presName="Name21" presStyleCnt="0"/>
      <dgm:spPr/>
    </dgm:pt>
    <dgm:pt modelId="{559B7A41-5895-D644-BEEC-9EC92E822380}" type="pres">
      <dgm:prSet presAssocID="{F35B2CB1-375B-8C46-96DA-125381F95CC8}" presName="level2Shape" presStyleLbl="asst3" presStyleIdx="4" presStyleCnt="5"/>
      <dgm:spPr/>
    </dgm:pt>
    <dgm:pt modelId="{ABD919FB-BE04-6E46-B574-472D4A6FF3B2}" type="pres">
      <dgm:prSet presAssocID="{F35B2CB1-375B-8C46-96DA-125381F95CC8}" presName="hierChild3" presStyleCnt="0"/>
      <dgm:spPr/>
    </dgm:pt>
    <dgm:pt modelId="{DF35486E-5A4A-2D46-85D3-71CAEDCD7C9D}" type="pres">
      <dgm:prSet presAssocID="{3A1C90F7-FA69-004E-927E-5E7D283F5D1F}" presName="Name19" presStyleLbl="parChTrans1D3" presStyleIdx="1" presStyleCnt="3"/>
      <dgm:spPr/>
    </dgm:pt>
    <dgm:pt modelId="{1658D4B1-6DBA-5642-B5E9-6DBB9D63BC1F}" type="pres">
      <dgm:prSet presAssocID="{DF88FBC3-EA5C-E246-AB76-3C8F9446B608}" presName="Name21" presStyleCnt="0"/>
      <dgm:spPr/>
    </dgm:pt>
    <dgm:pt modelId="{5B251204-E5CD-2041-97F7-7FDF5C84D3E3}" type="pres">
      <dgm:prSet presAssocID="{DF88FBC3-EA5C-E246-AB76-3C8F9446B608}" presName="level2Shape" presStyleLbl="asst2" presStyleIdx="0" presStyleCnt="6"/>
      <dgm:spPr/>
    </dgm:pt>
    <dgm:pt modelId="{5990C295-C21A-D041-9F14-8AD24E0764FD}" type="pres">
      <dgm:prSet presAssocID="{DF88FBC3-EA5C-E246-AB76-3C8F9446B608}" presName="hierChild3" presStyleCnt="0"/>
      <dgm:spPr/>
    </dgm:pt>
    <dgm:pt modelId="{3D618AB9-FFFA-8D4F-B2BF-53D48939C2BD}" type="pres">
      <dgm:prSet presAssocID="{6C7A16EB-A947-E74D-B10E-621E2E0D5984}" presName="Name19" presStyleLbl="parChTrans1D2" presStyleIdx="1" presStyleCnt="2"/>
      <dgm:spPr/>
    </dgm:pt>
    <dgm:pt modelId="{E9A2B217-E698-2041-ADD8-4BDC98FF5B93}" type="pres">
      <dgm:prSet presAssocID="{5483B319-BCCE-4948-9372-11914403565A}" presName="Name21" presStyleCnt="0"/>
      <dgm:spPr/>
    </dgm:pt>
    <dgm:pt modelId="{B5D5E578-9C21-A642-8744-CD082CD82062}" type="pres">
      <dgm:prSet presAssocID="{5483B319-BCCE-4948-9372-11914403565A}" presName="level2Shape" presStyleLbl="node2" presStyleIdx="1" presStyleCnt="2" custLinFactNeighborY="-12656"/>
      <dgm:spPr/>
    </dgm:pt>
    <dgm:pt modelId="{3BDF5391-C064-CC4B-83E7-EE37FE7F7EB8}" type="pres">
      <dgm:prSet presAssocID="{5483B319-BCCE-4948-9372-11914403565A}" presName="hierChild3" presStyleCnt="0"/>
      <dgm:spPr/>
    </dgm:pt>
    <dgm:pt modelId="{280102E7-482E-4B4F-977A-FA26A8B932C8}" type="pres">
      <dgm:prSet presAssocID="{352B5111-2180-7446-8645-7258994D039B}" presName="Name19" presStyleLbl="parChTrans1D3" presStyleIdx="2" presStyleCnt="3"/>
      <dgm:spPr/>
    </dgm:pt>
    <dgm:pt modelId="{80EA5936-5009-BA4E-993F-3B5E2F7586ED}" type="pres">
      <dgm:prSet presAssocID="{70C6A171-A83A-624F-89E3-D88945766836}" presName="Name21" presStyleCnt="0"/>
      <dgm:spPr/>
    </dgm:pt>
    <dgm:pt modelId="{470C34AD-A695-2747-880C-D16D83BBF20D}" type="pres">
      <dgm:prSet presAssocID="{70C6A171-A83A-624F-89E3-D88945766836}" presName="level2Shape" presStyleLbl="asst2" presStyleIdx="1" presStyleCnt="6"/>
      <dgm:spPr/>
    </dgm:pt>
    <dgm:pt modelId="{9F549A0E-EE8E-5542-9368-5A832032131B}" type="pres">
      <dgm:prSet presAssocID="{70C6A171-A83A-624F-89E3-D88945766836}" presName="hierChild3" presStyleCnt="0"/>
      <dgm:spPr/>
    </dgm:pt>
    <dgm:pt modelId="{BB614D08-C038-BF44-9CBE-D5E70FD208F2}" type="pres">
      <dgm:prSet presAssocID="{759D3669-3A3B-8344-93AF-0F53FCCE4750}" presName="Name19" presStyleLbl="parChTrans1D4" presStyleIdx="5" presStyleCnt="9"/>
      <dgm:spPr/>
    </dgm:pt>
    <dgm:pt modelId="{27B08282-3602-5A43-96B9-A3F7B547478A}" type="pres">
      <dgm:prSet presAssocID="{719218A7-6183-3844-BA5D-926544274BC4}" presName="Name21" presStyleCnt="0"/>
      <dgm:spPr/>
    </dgm:pt>
    <dgm:pt modelId="{5680BC9C-43E2-A64B-92D8-7A09864ADFEA}" type="pres">
      <dgm:prSet presAssocID="{719218A7-6183-3844-BA5D-926544274BC4}" presName="level2Shape" presStyleLbl="asst2" presStyleIdx="2" presStyleCnt="6"/>
      <dgm:spPr/>
    </dgm:pt>
    <dgm:pt modelId="{F36BD2EE-2397-0643-A5A8-B2AA7E59EDEB}" type="pres">
      <dgm:prSet presAssocID="{719218A7-6183-3844-BA5D-926544274BC4}" presName="hierChild3" presStyleCnt="0"/>
      <dgm:spPr/>
    </dgm:pt>
    <dgm:pt modelId="{70FF3AF1-E577-0E46-B281-474378DF197A}" type="pres">
      <dgm:prSet presAssocID="{7F6ECAB1-569D-7147-8EC7-E7CE5DFB7D33}" presName="Name19" presStyleLbl="parChTrans1D4" presStyleIdx="6" presStyleCnt="9"/>
      <dgm:spPr/>
    </dgm:pt>
    <dgm:pt modelId="{CE283536-27D4-ED4A-9279-B7C20496C8EE}" type="pres">
      <dgm:prSet presAssocID="{036BE294-921A-A94E-B91A-4143793DB208}" presName="Name21" presStyleCnt="0"/>
      <dgm:spPr/>
    </dgm:pt>
    <dgm:pt modelId="{201A63AE-28B5-6844-9B49-AA2ED55220F2}" type="pres">
      <dgm:prSet presAssocID="{036BE294-921A-A94E-B91A-4143793DB208}" presName="level2Shape" presStyleLbl="asst2" presStyleIdx="3" presStyleCnt="6"/>
      <dgm:spPr/>
    </dgm:pt>
    <dgm:pt modelId="{C1DE9143-1A9B-A74C-9B26-29819A091820}" type="pres">
      <dgm:prSet presAssocID="{036BE294-921A-A94E-B91A-4143793DB208}" presName="hierChild3" presStyleCnt="0"/>
      <dgm:spPr/>
    </dgm:pt>
    <dgm:pt modelId="{F942C631-A403-FA41-9A0A-AC7312D4FB7E}" type="pres">
      <dgm:prSet presAssocID="{CEACEDB6-B81B-DD44-85CA-D3B6BF25347A}" presName="Name19" presStyleLbl="parChTrans1D4" presStyleIdx="7" presStyleCnt="9"/>
      <dgm:spPr/>
    </dgm:pt>
    <dgm:pt modelId="{D49732C9-AEDF-3645-8E2E-85A82F0AB300}" type="pres">
      <dgm:prSet presAssocID="{E685A6A8-0581-0B4A-875C-D5EE5C2C2995}" presName="Name21" presStyleCnt="0"/>
      <dgm:spPr/>
    </dgm:pt>
    <dgm:pt modelId="{007164F9-EA9B-8B4C-BDD4-B27CA003097E}" type="pres">
      <dgm:prSet presAssocID="{E685A6A8-0581-0B4A-875C-D5EE5C2C2995}" presName="level2Shape" presStyleLbl="asst2" presStyleIdx="4" presStyleCnt="6" custScaleX="328505" custScaleY="201805" custLinFactNeighborY="95814"/>
      <dgm:spPr/>
    </dgm:pt>
    <dgm:pt modelId="{818E743B-AFE6-1647-941A-2AC6ABB9440C}" type="pres">
      <dgm:prSet presAssocID="{E685A6A8-0581-0B4A-875C-D5EE5C2C2995}" presName="hierChild3" presStyleCnt="0"/>
      <dgm:spPr/>
    </dgm:pt>
    <dgm:pt modelId="{F782E62D-142F-7546-842A-0C8B5826260D}" type="pres">
      <dgm:prSet presAssocID="{F19BB1D5-6DCA-B64F-A5F7-FBC544B199CC}" presName="Name19" presStyleLbl="parChTrans1D4" presStyleIdx="8" presStyleCnt="9"/>
      <dgm:spPr/>
    </dgm:pt>
    <dgm:pt modelId="{6607102E-AEC5-0845-9894-B73193EA4D96}" type="pres">
      <dgm:prSet presAssocID="{04559BB2-2302-B843-9D18-C86057B84625}" presName="Name21" presStyleCnt="0"/>
      <dgm:spPr/>
    </dgm:pt>
    <dgm:pt modelId="{FA676082-D1B3-024A-8537-4F5820F35AC9}" type="pres">
      <dgm:prSet presAssocID="{04559BB2-2302-B843-9D18-C86057B84625}" presName="level2Shape" presStyleLbl="asst2" presStyleIdx="5" presStyleCnt="6"/>
      <dgm:spPr/>
    </dgm:pt>
    <dgm:pt modelId="{5DE9EF43-787A-2448-98DE-A8666A520ECE}" type="pres">
      <dgm:prSet presAssocID="{04559BB2-2302-B843-9D18-C86057B84625}" presName="hierChild3" presStyleCnt="0"/>
      <dgm:spPr/>
    </dgm:pt>
    <dgm:pt modelId="{4271A8F6-854C-2F4A-9F0B-B77E29EAE165}" type="pres">
      <dgm:prSet presAssocID="{BA3114C5-67AA-F443-A25A-7332A458BECF}" presName="bgShapesFlow" presStyleCnt="0"/>
      <dgm:spPr/>
    </dgm:pt>
  </dgm:ptLst>
  <dgm:cxnLst>
    <dgm:cxn modelId="{884EBF07-2BFD-8742-9042-2615BAD71DCC}" srcId="{C4D179B6-B282-AB40-94BB-BF62BD09A97C}" destId="{C300BB0B-3543-A845-8C5B-36B5670EFCC1}" srcOrd="0" destOrd="0" parTransId="{47D7E9CA-C72D-234B-9E77-F4768B8DAE79}" sibTransId="{43B7CD7B-A924-CF46-BAAB-4C469658314A}"/>
    <dgm:cxn modelId="{1639D507-E42E-D245-83A6-10A2AEF68674}" type="presOf" srcId="{352B5111-2180-7446-8645-7258994D039B}" destId="{280102E7-482E-4B4F-977A-FA26A8B932C8}" srcOrd="0" destOrd="0" presId="urn:microsoft.com/office/officeart/2005/8/layout/hierarchy6"/>
    <dgm:cxn modelId="{A622A40A-1390-BD43-8B57-ACA565E32192}" type="presOf" srcId="{C4D179B6-B282-AB40-94BB-BF62BD09A97C}" destId="{6E1D9C81-5669-3847-BA5C-0E737D0E79B7}" srcOrd="0" destOrd="0" presId="urn:microsoft.com/office/officeart/2005/8/layout/hierarchy6"/>
    <dgm:cxn modelId="{C460F315-484A-F14C-9D6B-672D74191793}" type="presOf" srcId="{916FFA01-F68C-DD4B-8F7D-B22B354F150E}" destId="{BBB04818-71AD-C548-9846-533CCDE5BE3A}" srcOrd="0" destOrd="0" presId="urn:microsoft.com/office/officeart/2005/8/layout/hierarchy6"/>
    <dgm:cxn modelId="{8A3B2F21-CD45-2645-8401-4E643B4AA332}" type="presOf" srcId="{759D3669-3A3B-8344-93AF-0F53FCCE4750}" destId="{BB614D08-C038-BF44-9CBE-D5E70FD208F2}" srcOrd="0" destOrd="0" presId="urn:microsoft.com/office/officeart/2005/8/layout/hierarchy6"/>
    <dgm:cxn modelId="{95921724-31CD-A44D-9DB4-FEA0B5C7374A}" srcId="{036BE294-921A-A94E-B91A-4143793DB208}" destId="{E685A6A8-0581-0B4A-875C-D5EE5C2C2995}" srcOrd="0" destOrd="0" parTransId="{CEACEDB6-B81B-DD44-85CA-D3B6BF25347A}" sibTransId="{14318A4B-F87A-DD4A-8DEB-C43F87D26976}"/>
    <dgm:cxn modelId="{8F8E4B25-EC25-8749-9452-32530612C1DD}" type="presOf" srcId="{5483B319-BCCE-4948-9372-11914403565A}" destId="{B5D5E578-9C21-A642-8744-CD082CD82062}" srcOrd="0" destOrd="0" presId="urn:microsoft.com/office/officeart/2005/8/layout/hierarchy6"/>
    <dgm:cxn modelId="{DD30AA37-3AB3-3B49-88CC-6D6452D4B05A}" type="presOf" srcId="{D503C6CF-8A35-BD4C-8430-C349FD0E4104}" destId="{A5180218-88C1-0348-B07A-1123AE530018}" srcOrd="0" destOrd="0" presId="urn:microsoft.com/office/officeart/2005/8/layout/hierarchy6"/>
    <dgm:cxn modelId="{FE7BF63C-F462-C141-B3AF-48D0A1BD490A}" type="presOf" srcId="{E685A6A8-0581-0B4A-875C-D5EE5C2C2995}" destId="{007164F9-EA9B-8B4C-BDD4-B27CA003097E}" srcOrd="0" destOrd="0" presId="urn:microsoft.com/office/officeart/2005/8/layout/hierarchy6"/>
    <dgm:cxn modelId="{3B52C664-2A9E-5F42-A764-26C43EC3C0E4}" type="presOf" srcId="{47D7E9CA-C72D-234B-9E77-F4768B8DAE79}" destId="{0AFC7375-2BB6-F64F-B47F-EAAF712CD859}" srcOrd="0" destOrd="0" presId="urn:microsoft.com/office/officeart/2005/8/layout/hierarchy6"/>
    <dgm:cxn modelId="{CFDF9E46-00BE-C34A-993E-CC5CF88C77CA}" srcId="{F12B39D2-8337-934E-B00F-BB49C3760053}" destId="{F35B2CB1-375B-8C46-96DA-125381F95CC8}" srcOrd="2" destOrd="0" parTransId="{916FFA01-F68C-DD4B-8F7D-B22B354F150E}" sibTransId="{FA7E7F16-533D-7940-982D-CA19F060F96B}"/>
    <dgm:cxn modelId="{41826F47-FA9E-234C-9CEE-CDF02EF75CDD}" srcId="{BA3114C5-67AA-F443-A25A-7332A458BECF}" destId="{C4D179B6-B282-AB40-94BB-BF62BD09A97C}" srcOrd="0" destOrd="0" parTransId="{E8BD7677-D473-434A-8D24-97CD6F6A6E28}" sibTransId="{6FBC75CF-DDB5-CB46-B267-31F34215BD8C}"/>
    <dgm:cxn modelId="{B38B1948-2210-DA40-B77F-5960DA297326}" type="presOf" srcId="{2C357A4A-1E49-F141-ACC5-25E2E4194F79}" destId="{70592B2A-5608-C84E-A0CC-AAFA368FBEF3}" srcOrd="0" destOrd="0" presId="urn:microsoft.com/office/officeart/2005/8/layout/hierarchy6"/>
    <dgm:cxn modelId="{909C1A4B-A4FA-2443-AA7F-B01E9EE339E3}" type="presOf" srcId="{F12B39D2-8337-934E-B00F-BB49C3760053}" destId="{87FC9D1E-6C2D-4B4F-81A2-326FBC2C58D6}" srcOrd="0" destOrd="0" presId="urn:microsoft.com/office/officeart/2005/8/layout/hierarchy6"/>
    <dgm:cxn modelId="{127E924B-A923-234D-867C-0BFBB85EDB19}" type="presOf" srcId="{BA3114C5-67AA-F443-A25A-7332A458BECF}" destId="{C34DDD8F-EFAA-474D-BE56-2D2B66B8B9E9}" srcOrd="0" destOrd="0" presId="urn:microsoft.com/office/officeart/2005/8/layout/hierarchy6"/>
    <dgm:cxn modelId="{864F5A6E-4F79-734F-BD4C-2431019D5E36}" srcId="{70C6A171-A83A-624F-89E3-D88945766836}" destId="{719218A7-6183-3844-BA5D-926544274BC4}" srcOrd="0" destOrd="0" parTransId="{759D3669-3A3B-8344-93AF-0F53FCCE4750}" sibTransId="{91F5ABE0-9500-944A-9341-040AFD7FD6EE}"/>
    <dgm:cxn modelId="{668CD46E-AF58-BA4A-9B4C-3CC82B967CD3}" type="presOf" srcId="{F35B2CB1-375B-8C46-96DA-125381F95CC8}" destId="{559B7A41-5895-D644-BEEC-9EC92E822380}" srcOrd="0" destOrd="0" presId="urn:microsoft.com/office/officeart/2005/8/layout/hierarchy6"/>
    <dgm:cxn modelId="{B53B936F-D9FF-D441-928D-939E665DA49F}" type="presOf" srcId="{14B10DFD-1F6E-5C43-B2D6-B435E3D50B55}" destId="{9CDCAFF9-FF07-D848-8D1F-F23F3F7A6AC4}" srcOrd="0" destOrd="0" presId="urn:microsoft.com/office/officeart/2005/8/layout/hierarchy6"/>
    <dgm:cxn modelId="{5736F04F-51E2-9343-8A83-89C40636F70B}" srcId="{F12B39D2-8337-934E-B00F-BB49C3760053}" destId="{EE877B2D-2A63-AC4F-8BA1-B1F02D121EFA}" srcOrd="1" destOrd="0" parTransId="{D503C6CF-8A35-BD4C-8430-C349FD0E4104}" sibTransId="{6A86FB42-FCB4-6D47-B7D4-C91414B2C676}"/>
    <dgm:cxn modelId="{C3664455-831D-554C-87D8-1F3403A776EB}" srcId="{5483B319-BCCE-4948-9372-11914403565A}" destId="{70C6A171-A83A-624F-89E3-D88945766836}" srcOrd="0" destOrd="0" parTransId="{352B5111-2180-7446-8645-7258994D039B}" sibTransId="{0CA47E47-033F-EA43-97CF-5347FAB2A9EB}"/>
    <dgm:cxn modelId="{9D580C58-9401-5E48-BFEF-B116104D9132}" type="presOf" srcId="{C300BB0B-3543-A845-8C5B-36B5670EFCC1}" destId="{6FB29FCF-6278-914C-A9C4-A86ED9478989}" srcOrd="0" destOrd="0" presId="urn:microsoft.com/office/officeart/2005/8/layout/hierarchy6"/>
    <dgm:cxn modelId="{BF7F625A-D088-874B-ACA3-64F7F889B770}" type="presOf" srcId="{719218A7-6183-3844-BA5D-926544274BC4}" destId="{5680BC9C-43E2-A64B-92D8-7A09864ADFEA}" srcOrd="0" destOrd="0" presId="urn:microsoft.com/office/officeart/2005/8/layout/hierarchy6"/>
    <dgm:cxn modelId="{2AAE397C-DE9A-9F4D-A1FC-B45CD4213520}" type="presOf" srcId="{7F6ECAB1-569D-7147-8EC7-E7CE5DFB7D33}" destId="{70FF3AF1-E577-0E46-B281-474378DF197A}" srcOrd="0" destOrd="0" presId="urn:microsoft.com/office/officeart/2005/8/layout/hierarchy6"/>
    <dgm:cxn modelId="{3955587E-DDD4-3545-B157-D339C7AEC580}" type="presOf" srcId="{CEACEDB6-B81B-DD44-85CA-D3B6BF25347A}" destId="{F942C631-A403-FA41-9A0A-AC7312D4FB7E}" srcOrd="0" destOrd="0" presId="urn:microsoft.com/office/officeart/2005/8/layout/hierarchy6"/>
    <dgm:cxn modelId="{83CAF37E-CD19-A341-9F1E-03F6EAEB17DD}" srcId="{EE877B2D-2A63-AC4F-8BA1-B1F02D121EFA}" destId="{2C357A4A-1E49-F141-ACC5-25E2E4194F79}" srcOrd="0" destOrd="0" parTransId="{2B57049F-11CE-4849-A870-C11E923AA6E8}" sibTransId="{DB720747-A236-BA49-A126-2F8A0BB30B2D}"/>
    <dgm:cxn modelId="{8912AB87-AF3E-9A4E-B838-CD220C5D4F15}" srcId="{C300BB0B-3543-A845-8C5B-36B5670EFCC1}" destId="{195E03CA-8C88-0B42-8711-6E7B61D99F47}" srcOrd="0" destOrd="0" parTransId="{26244E0F-E2A6-B745-930C-662E3DB34ECD}" sibTransId="{77D45D32-0DAE-6C47-836B-2BDA8F87DE79}"/>
    <dgm:cxn modelId="{BE36B789-AD0E-DB42-AD09-0B00045390AF}" srcId="{70C6A171-A83A-624F-89E3-D88945766836}" destId="{04559BB2-2302-B843-9D18-C86057B84625}" srcOrd="2" destOrd="0" parTransId="{F19BB1D5-6DCA-B64F-A5F7-FBC544B199CC}" sibTransId="{AC3C2EEF-61DD-F742-8577-A02DCC520BC5}"/>
    <dgm:cxn modelId="{3852E695-B147-7D4D-87FB-C9EC5C6DD8A8}" srcId="{C300BB0B-3543-A845-8C5B-36B5670EFCC1}" destId="{DF88FBC3-EA5C-E246-AB76-3C8F9446B608}" srcOrd="1" destOrd="0" parTransId="{3A1C90F7-FA69-004E-927E-5E7D283F5D1F}" sibTransId="{D8839243-B7CE-DD4D-9B76-9ECFC207D15E}"/>
    <dgm:cxn modelId="{1D1C229C-0FBA-2848-AF29-5CEB996904D3}" type="presOf" srcId="{036BE294-921A-A94E-B91A-4143793DB208}" destId="{201A63AE-28B5-6844-9B49-AA2ED55220F2}" srcOrd="0" destOrd="0" presId="urn:microsoft.com/office/officeart/2005/8/layout/hierarchy6"/>
    <dgm:cxn modelId="{4397989F-17B6-F546-94B9-369E58EE6943}" srcId="{C4D179B6-B282-AB40-94BB-BF62BD09A97C}" destId="{5483B319-BCCE-4948-9372-11914403565A}" srcOrd="1" destOrd="0" parTransId="{6C7A16EB-A947-E74D-B10E-621E2E0D5984}" sibTransId="{5338332F-C7BA-6F49-8D1B-F05081B6B600}"/>
    <dgm:cxn modelId="{AD10A4A0-4B2C-9B43-9CBE-DF6C4194F198}" type="presOf" srcId="{4CEB78B8-6BEA-A340-9F9F-0E26C11C2D6D}" destId="{6CF1D3AE-7BD5-994E-97E8-D512A973E120}" srcOrd="0" destOrd="0" presId="urn:microsoft.com/office/officeart/2005/8/layout/hierarchy6"/>
    <dgm:cxn modelId="{AA7EEEB0-B30A-6C4E-84BE-8F00CC9DF289}" srcId="{195E03CA-8C88-0B42-8711-6E7B61D99F47}" destId="{F12B39D2-8337-934E-B00F-BB49C3760053}" srcOrd="0" destOrd="0" parTransId="{FA219C50-4A40-CB44-BB63-10504BE49E34}" sibTransId="{11CDB064-FC8F-6546-9B53-7AFB3A28CC31}"/>
    <dgm:cxn modelId="{80D431B3-8981-BB4A-9EAA-CB82FF063FA0}" type="presOf" srcId="{EE877B2D-2A63-AC4F-8BA1-B1F02D121EFA}" destId="{FF2179DE-9F08-A14F-A72F-957374BA98C9}" srcOrd="0" destOrd="0" presId="urn:microsoft.com/office/officeart/2005/8/layout/hierarchy6"/>
    <dgm:cxn modelId="{5459ADB6-722B-1B48-A6F1-E761F9F7A86B}" type="presOf" srcId="{3A1C90F7-FA69-004E-927E-5E7D283F5D1F}" destId="{DF35486E-5A4A-2D46-85D3-71CAEDCD7C9D}" srcOrd="0" destOrd="0" presId="urn:microsoft.com/office/officeart/2005/8/layout/hierarchy6"/>
    <dgm:cxn modelId="{F01C4EC0-BA0B-5C4F-B88B-7BC392B3C099}" type="presOf" srcId="{DF88FBC3-EA5C-E246-AB76-3C8F9446B608}" destId="{5B251204-E5CD-2041-97F7-7FDF5C84D3E3}" srcOrd="0" destOrd="0" presId="urn:microsoft.com/office/officeart/2005/8/layout/hierarchy6"/>
    <dgm:cxn modelId="{90712BCB-92CB-D74C-8374-C43635534CC7}" type="presOf" srcId="{FA219C50-4A40-CB44-BB63-10504BE49E34}" destId="{B6CF496F-93D3-AF46-A8B9-C723ADFB8A68}" srcOrd="0" destOrd="0" presId="urn:microsoft.com/office/officeart/2005/8/layout/hierarchy6"/>
    <dgm:cxn modelId="{378E1DCF-A38F-B54C-B4DE-F7B12830CAB0}" srcId="{F12B39D2-8337-934E-B00F-BB49C3760053}" destId="{4CEB78B8-6BEA-A340-9F9F-0E26C11C2D6D}" srcOrd="0" destOrd="0" parTransId="{14B10DFD-1F6E-5C43-B2D6-B435E3D50B55}" sibTransId="{B7BD8B90-EF46-2744-AE9C-F9C4E1933B6A}"/>
    <dgm:cxn modelId="{FE88D5D6-4C4D-4D4F-B40E-ABD71DE2562F}" type="presOf" srcId="{6C7A16EB-A947-E74D-B10E-621E2E0D5984}" destId="{3D618AB9-FFFA-8D4F-B2BF-53D48939C2BD}" srcOrd="0" destOrd="0" presId="urn:microsoft.com/office/officeart/2005/8/layout/hierarchy6"/>
    <dgm:cxn modelId="{922260DD-57F5-C449-89BC-B9CFD7DBABCB}" type="presOf" srcId="{195E03CA-8C88-0B42-8711-6E7B61D99F47}" destId="{17BBCB8F-6850-6F42-A7DF-3CF81657712D}" srcOrd="0" destOrd="0" presId="urn:microsoft.com/office/officeart/2005/8/layout/hierarchy6"/>
    <dgm:cxn modelId="{59A79BE1-E86F-1545-A582-7D6F9418110B}" type="presOf" srcId="{70C6A171-A83A-624F-89E3-D88945766836}" destId="{470C34AD-A695-2747-880C-D16D83BBF20D}" srcOrd="0" destOrd="0" presId="urn:microsoft.com/office/officeart/2005/8/layout/hierarchy6"/>
    <dgm:cxn modelId="{6337B2EB-DD88-BA43-B72C-F49562A321EC}" srcId="{70C6A171-A83A-624F-89E3-D88945766836}" destId="{036BE294-921A-A94E-B91A-4143793DB208}" srcOrd="1" destOrd="0" parTransId="{7F6ECAB1-569D-7147-8EC7-E7CE5DFB7D33}" sibTransId="{627A8617-42CC-D24D-81EC-99ECB573E88E}"/>
    <dgm:cxn modelId="{77E40CEE-569F-924F-93F6-B5A9E7AD5979}" type="presOf" srcId="{F19BB1D5-6DCA-B64F-A5F7-FBC544B199CC}" destId="{F782E62D-142F-7546-842A-0C8B5826260D}" srcOrd="0" destOrd="0" presId="urn:microsoft.com/office/officeart/2005/8/layout/hierarchy6"/>
    <dgm:cxn modelId="{75354EF2-1F40-C549-8E5C-03355435AD10}" type="presOf" srcId="{2B57049F-11CE-4849-A870-C11E923AA6E8}" destId="{DBF0B8FF-3001-EA43-8812-14C90E6901E1}" srcOrd="0" destOrd="0" presId="urn:microsoft.com/office/officeart/2005/8/layout/hierarchy6"/>
    <dgm:cxn modelId="{F206A1F6-D033-FE48-B7D9-E3E993328625}" type="presOf" srcId="{04559BB2-2302-B843-9D18-C86057B84625}" destId="{FA676082-D1B3-024A-8537-4F5820F35AC9}" srcOrd="0" destOrd="0" presId="urn:microsoft.com/office/officeart/2005/8/layout/hierarchy6"/>
    <dgm:cxn modelId="{9E01C9FA-EFAB-6649-BC25-3EEF6CE5BB8D}" type="presOf" srcId="{26244E0F-E2A6-B745-930C-662E3DB34ECD}" destId="{E5EC9223-BF9E-B84F-A972-FE0DFA2B9A30}" srcOrd="0" destOrd="0" presId="urn:microsoft.com/office/officeart/2005/8/layout/hierarchy6"/>
    <dgm:cxn modelId="{3485E024-4FA3-D445-91CA-3291605948E6}" type="presParOf" srcId="{C34DDD8F-EFAA-474D-BE56-2D2B66B8B9E9}" destId="{5CD0A458-19A7-8347-A702-23089C0C5672}" srcOrd="0" destOrd="0" presId="urn:microsoft.com/office/officeart/2005/8/layout/hierarchy6"/>
    <dgm:cxn modelId="{01021E45-BE0A-EC40-AD70-82B7CDC871DA}" type="presParOf" srcId="{5CD0A458-19A7-8347-A702-23089C0C5672}" destId="{2AB09F22-529A-6448-9613-20969EF72656}" srcOrd="0" destOrd="0" presId="urn:microsoft.com/office/officeart/2005/8/layout/hierarchy6"/>
    <dgm:cxn modelId="{F44C6BB8-2750-8F44-9650-AE5B7A0C90AA}" type="presParOf" srcId="{2AB09F22-529A-6448-9613-20969EF72656}" destId="{52B8F79F-C6E2-784E-B85C-55B652D5D5A4}" srcOrd="0" destOrd="0" presId="urn:microsoft.com/office/officeart/2005/8/layout/hierarchy6"/>
    <dgm:cxn modelId="{B8AA9689-C479-9246-8B63-601556126AF9}" type="presParOf" srcId="{52B8F79F-C6E2-784E-B85C-55B652D5D5A4}" destId="{6E1D9C81-5669-3847-BA5C-0E737D0E79B7}" srcOrd="0" destOrd="0" presId="urn:microsoft.com/office/officeart/2005/8/layout/hierarchy6"/>
    <dgm:cxn modelId="{9F3027EA-B0E0-814A-897A-2BD8475FE6DF}" type="presParOf" srcId="{52B8F79F-C6E2-784E-B85C-55B652D5D5A4}" destId="{FA010CC1-BD62-C84F-BA42-0EE0C6DFDA44}" srcOrd="1" destOrd="0" presId="urn:microsoft.com/office/officeart/2005/8/layout/hierarchy6"/>
    <dgm:cxn modelId="{181C3396-5AF8-B14C-AB13-C99706F56F2B}" type="presParOf" srcId="{FA010CC1-BD62-C84F-BA42-0EE0C6DFDA44}" destId="{0AFC7375-2BB6-F64F-B47F-EAAF712CD859}" srcOrd="0" destOrd="0" presId="urn:microsoft.com/office/officeart/2005/8/layout/hierarchy6"/>
    <dgm:cxn modelId="{9EFCF8C1-ED9D-1945-9DCD-B82974F28FB1}" type="presParOf" srcId="{FA010CC1-BD62-C84F-BA42-0EE0C6DFDA44}" destId="{8C82E6C3-8A0A-D548-A796-12D5B8E8B97D}" srcOrd="1" destOrd="0" presId="urn:microsoft.com/office/officeart/2005/8/layout/hierarchy6"/>
    <dgm:cxn modelId="{DF76A387-A2A1-3743-9ABA-5E2FA69D9631}" type="presParOf" srcId="{8C82E6C3-8A0A-D548-A796-12D5B8E8B97D}" destId="{6FB29FCF-6278-914C-A9C4-A86ED9478989}" srcOrd="0" destOrd="0" presId="urn:microsoft.com/office/officeart/2005/8/layout/hierarchy6"/>
    <dgm:cxn modelId="{A8423434-3DFB-394C-A8FD-F0D6A1CEE467}" type="presParOf" srcId="{8C82E6C3-8A0A-D548-A796-12D5B8E8B97D}" destId="{8C062FD1-6E21-4645-B049-1FAA0D2FE98D}" srcOrd="1" destOrd="0" presId="urn:microsoft.com/office/officeart/2005/8/layout/hierarchy6"/>
    <dgm:cxn modelId="{4230B7C2-D1A3-0541-A549-AE9C8AE57AFE}" type="presParOf" srcId="{8C062FD1-6E21-4645-B049-1FAA0D2FE98D}" destId="{E5EC9223-BF9E-B84F-A972-FE0DFA2B9A30}" srcOrd="0" destOrd="0" presId="urn:microsoft.com/office/officeart/2005/8/layout/hierarchy6"/>
    <dgm:cxn modelId="{B1343B01-8FC1-6F4A-9D40-2A84A38FAB67}" type="presParOf" srcId="{8C062FD1-6E21-4645-B049-1FAA0D2FE98D}" destId="{30821695-6794-EB48-8C78-A29B6300272F}" srcOrd="1" destOrd="0" presId="urn:microsoft.com/office/officeart/2005/8/layout/hierarchy6"/>
    <dgm:cxn modelId="{FB43A224-2595-064D-B4C5-0CCFD90F3AE1}" type="presParOf" srcId="{30821695-6794-EB48-8C78-A29B6300272F}" destId="{17BBCB8F-6850-6F42-A7DF-3CF81657712D}" srcOrd="0" destOrd="0" presId="urn:microsoft.com/office/officeart/2005/8/layout/hierarchy6"/>
    <dgm:cxn modelId="{9AE39F58-905B-1942-9DDF-C2A2FD4927F1}" type="presParOf" srcId="{30821695-6794-EB48-8C78-A29B6300272F}" destId="{BC5D7EF8-1B85-6F4D-9783-9CF45765D7A9}" srcOrd="1" destOrd="0" presId="urn:microsoft.com/office/officeart/2005/8/layout/hierarchy6"/>
    <dgm:cxn modelId="{100C74BD-0208-B349-BA8C-21E75EBF276A}" type="presParOf" srcId="{BC5D7EF8-1B85-6F4D-9783-9CF45765D7A9}" destId="{B6CF496F-93D3-AF46-A8B9-C723ADFB8A68}" srcOrd="0" destOrd="0" presId="urn:microsoft.com/office/officeart/2005/8/layout/hierarchy6"/>
    <dgm:cxn modelId="{FEC20735-8B3E-284D-ACE8-95D942ED61AB}" type="presParOf" srcId="{BC5D7EF8-1B85-6F4D-9783-9CF45765D7A9}" destId="{1931A532-8E13-5A4E-B8BE-16991AF39E2F}" srcOrd="1" destOrd="0" presId="urn:microsoft.com/office/officeart/2005/8/layout/hierarchy6"/>
    <dgm:cxn modelId="{3F29F6EC-FCA4-F344-84F2-5D98F9A0589A}" type="presParOf" srcId="{1931A532-8E13-5A4E-B8BE-16991AF39E2F}" destId="{87FC9D1E-6C2D-4B4F-81A2-326FBC2C58D6}" srcOrd="0" destOrd="0" presId="urn:microsoft.com/office/officeart/2005/8/layout/hierarchy6"/>
    <dgm:cxn modelId="{D4A97202-3224-4848-94FC-92CFCFAB8A5E}" type="presParOf" srcId="{1931A532-8E13-5A4E-B8BE-16991AF39E2F}" destId="{FA79D414-6FA6-934D-9E8A-5AEFF2BF32D2}" srcOrd="1" destOrd="0" presId="urn:microsoft.com/office/officeart/2005/8/layout/hierarchy6"/>
    <dgm:cxn modelId="{C823BED5-3506-9440-B9DA-B93083F9C29A}" type="presParOf" srcId="{FA79D414-6FA6-934D-9E8A-5AEFF2BF32D2}" destId="{9CDCAFF9-FF07-D848-8D1F-F23F3F7A6AC4}" srcOrd="0" destOrd="0" presId="urn:microsoft.com/office/officeart/2005/8/layout/hierarchy6"/>
    <dgm:cxn modelId="{2B6DAB8F-C707-4145-92FD-A9602C3CF7A9}" type="presParOf" srcId="{FA79D414-6FA6-934D-9E8A-5AEFF2BF32D2}" destId="{1A156499-EA63-9D45-8DCB-B4A03DCBAC19}" srcOrd="1" destOrd="0" presId="urn:microsoft.com/office/officeart/2005/8/layout/hierarchy6"/>
    <dgm:cxn modelId="{4CD1ECC0-4DA7-7148-8392-62990273C2AE}" type="presParOf" srcId="{1A156499-EA63-9D45-8DCB-B4A03DCBAC19}" destId="{6CF1D3AE-7BD5-994E-97E8-D512A973E120}" srcOrd="0" destOrd="0" presId="urn:microsoft.com/office/officeart/2005/8/layout/hierarchy6"/>
    <dgm:cxn modelId="{E5F5AFE1-9371-DF49-9043-EBD2CE7B205D}" type="presParOf" srcId="{1A156499-EA63-9D45-8DCB-B4A03DCBAC19}" destId="{7A8F7844-40FE-3542-B4E2-8640D6D6B781}" srcOrd="1" destOrd="0" presId="urn:microsoft.com/office/officeart/2005/8/layout/hierarchy6"/>
    <dgm:cxn modelId="{BAB9F104-F823-294A-A3F5-6625512FF473}" type="presParOf" srcId="{FA79D414-6FA6-934D-9E8A-5AEFF2BF32D2}" destId="{A5180218-88C1-0348-B07A-1123AE530018}" srcOrd="2" destOrd="0" presId="urn:microsoft.com/office/officeart/2005/8/layout/hierarchy6"/>
    <dgm:cxn modelId="{0EBC7087-22B8-274A-B5A6-1CE7A44BC5CF}" type="presParOf" srcId="{FA79D414-6FA6-934D-9E8A-5AEFF2BF32D2}" destId="{74F090F2-5715-1F43-8F27-0E4DEEE46048}" srcOrd="3" destOrd="0" presId="urn:microsoft.com/office/officeart/2005/8/layout/hierarchy6"/>
    <dgm:cxn modelId="{1E8EFE21-F761-A44B-A833-545147EB2EAA}" type="presParOf" srcId="{74F090F2-5715-1F43-8F27-0E4DEEE46048}" destId="{FF2179DE-9F08-A14F-A72F-957374BA98C9}" srcOrd="0" destOrd="0" presId="urn:microsoft.com/office/officeart/2005/8/layout/hierarchy6"/>
    <dgm:cxn modelId="{E98A7421-D333-9641-8137-5CE02F81ED3B}" type="presParOf" srcId="{74F090F2-5715-1F43-8F27-0E4DEEE46048}" destId="{9D11ABC0-8A1A-DC4B-B713-59901C02B31D}" srcOrd="1" destOrd="0" presId="urn:microsoft.com/office/officeart/2005/8/layout/hierarchy6"/>
    <dgm:cxn modelId="{93CC09C6-6EA6-D940-94BB-BB82D74339B0}" type="presParOf" srcId="{9D11ABC0-8A1A-DC4B-B713-59901C02B31D}" destId="{DBF0B8FF-3001-EA43-8812-14C90E6901E1}" srcOrd="0" destOrd="0" presId="urn:microsoft.com/office/officeart/2005/8/layout/hierarchy6"/>
    <dgm:cxn modelId="{5013A737-4A6F-E649-A4E9-5755F7D11C8D}" type="presParOf" srcId="{9D11ABC0-8A1A-DC4B-B713-59901C02B31D}" destId="{A758BCB2-49FB-D747-B1F5-7C6A46ABE544}" srcOrd="1" destOrd="0" presId="urn:microsoft.com/office/officeart/2005/8/layout/hierarchy6"/>
    <dgm:cxn modelId="{D03E584B-72DF-D746-9B90-5890B324100E}" type="presParOf" srcId="{A758BCB2-49FB-D747-B1F5-7C6A46ABE544}" destId="{70592B2A-5608-C84E-A0CC-AAFA368FBEF3}" srcOrd="0" destOrd="0" presId="urn:microsoft.com/office/officeart/2005/8/layout/hierarchy6"/>
    <dgm:cxn modelId="{BC41792B-7D47-C14D-9D6C-20AFCF888888}" type="presParOf" srcId="{A758BCB2-49FB-D747-B1F5-7C6A46ABE544}" destId="{3CADD1DA-3901-1A4A-B634-FDAE735BFDA1}" srcOrd="1" destOrd="0" presId="urn:microsoft.com/office/officeart/2005/8/layout/hierarchy6"/>
    <dgm:cxn modelId="{A17A473F-48D2-CE4C-AEDD-A3906E7D4650}" type="presParOf" srcId="{FA79D414-6FA6-934D-9E8A-5AEFF2BF32D2}" destId="{BBB04818-71AD-C548-9846-533CCDE5BE3A}" srcOrd="4" destOrd="0" presId="urn:microsoft.com/office/officeart/2005/8/layout/hierarchy6"/>
    <dgm:cxn modelId="{0CD23EB8-1FA2-D143-A25E-256F68859D45}" type="presParOf" srcId="{FA79D414-6FA6-934D-9E8A-5AEFF2BF32D2}" destId="{D8F19394-9F14-8D48-A333-154416115F2A}" srcOrd="5" destOrd="0" presId="urn:microsoft.com/office/officeart/2005/8/layout/hierarchy6"/>
    <dgm:cxn modelId="{CB605E28-C77B-0248-96F1-6D9D8D6F47E3}" type="presParOf" srcId="{D8F19394-9F14-8D48-A333-154416115F2A}" destId="{559B7A41-5895-D644-BEEC-9EC92E822380}" srcOrd="0" destOrd="0" presId="urn:microsoft.com/office/officeart/2005/8/layout/hierarchy6"/>
    <dgm:cxn modelId="{6A5EF29C-69FC-5944-B620-7056C86AFA49}" type="presParOf" srcId="{D8F19394-9F14-8D48-A333-154416115F2A}" destId="{ABD919FB-BE04-6E46-B574-472D4A6FF3B2}" srcOrd="1" destOrd="0" presId="urn:microsoft.com/office/officeart/2005/8/layout/hierarchy6"/>
    <dgm:cxn modelId="{F26E180F-06B2-F241-91CA-893128BAF18F}" type="presParOf" srcId="{8C062FD1-6E21-4645-B049-1FAA0D2FE98D}" destId="{DF35486E-5A4A-2D46-85D3-71CAEDCD7C9D}" srcOrd="2" destOrd="0" presId="urn:microsoft.com/office/officeart/2005/8/layout/hierarchy6"/>
    <dgm:cxn modelId="{9301B41E-E415-BB4D-BC3C-F7D15D422FEF}" type="presParOf" srcId="{8C062FD1-6E21-4645-B049-1FAA0D2FE98D}" destId="{1658D4B1-6DBA-5642-B5E9-6DBB9D63BC1F}" srcOrd="3" destOrd="0" presId="urn:microsoft.com/office/officeart/2005/8/layout/hierarchy6"/>
    <dgm:cxn modelId="{1ED5AD35-6A1B-A944-AC21-7BC53B647A51}" type="presParOf" srcId="{1658D4B1-6DBA-5642-B5E9-6DBB9D63BC1F}" destId="{5B251204-E5CD-2041-97F7-7FDF5C84D3E3}" srcOrd="0" destOrd="0" presId="urn:microsoft.com/office/officeart/2005/8/layout/hierarchy6"/>
    <dgm:cxn modelId="{B374F345-1053-F743-80A0-0A5BE3D35E6E}" type="presParOf" srcId="{1658D4B1-6DBA-5642-B5E9-6DBB9D63BC1F}" destId="{5990C295-C21A-D041-9F14-8AD24E0764FD}" srcOrd="1" destOrd="0" presId="urn:microsoft.com/office/officeart/2005/8/layout/hierarchy6"/>
    <dgm:cxn modelId="{85D8A2AD-CB72-F744-A557-56164FBFB885}" type="presParOf" srcId="{FA010CC1-BD62-C84F-BA42-0EE0C6DFDA44}" destId="{3D618AB9-FFFA-8D4F-B2BF-53D48939C2BD}" srcOrd="2" destOrd="0" presId="urn:microsoft.com/office/officeart/2005/8/layout/hierarchy6"/>
    <dgm:cxn modelId="{E23D3C64-47DF-0249-91BB-CFC5744AAA63}" type="presParOf" srcId="{FA010CC1-BD62-C84F-BA42-0EE0C6DFDA44}" destId="{E9A2B217-E698-2041-ADD8-4BDC98FF5B93}" srcOrd="3" destOrd="0" presId="urn:microsoft.com/office/officeart/2005/8/layout/hierarchy6"/>
    <dgm:cxn modelId="{55859CA1-BC5E-C04B-927E-957229E46922}" type="presParOf" srcId="{E9A2B217-E698-2041-ADD8-4BDC98FF5B93}" destId="{B5D5E578-9C21-A642-8744-CD082CD82062}" srcOrd="0" destOrd="0" presId="urn:microsoft.com/office/officeart/2005/8/layout/hierarchy6"/>
    <dgm:cxn modelId="{A872B897-296D-7845-983F-05E38ECF123D}" type="presParOf" srcId="{E9A2B217-E698-2041-ADD8-4BDC98FF5B93}" destId="{3BDF5391-C064-CC4B-83E7-EE37FE7F7EB8}" srcOrd="1" destOrd="0" presId="urn:microsoft.com/office/officeart/2005/8/layout/hierarchy6"/>
    <dgm:cxn modelId="{6B0BE6F3-BB49-0E49-97CE-808E7638D2CE}" type="presParOf" srcId="{3BDF5391-C064-CC4B-83E7-EE37FE7F7EB8}" destId="{280102E7-482E-4B4F-977A-FA26A8B932C8}" srcOrd="0" destOrd="0" presId="urn:microsoft.com/office/officeart/2005/8/layout/hierarchy6"/>
    <dgm:cxn modelId="{FBF6593D-A352-2E44-B4CD-D11425C220FA}" type="presParOf" srcId="{3BDF5391-C064-CC4B-83E7-EE37FE7F7EB8}" destId="{80EA5936-5009-BA4E-993F-3B5E2F7586ED}" srcOrd="1" destOrd="0" presId="urn:microsoft.com/office/officeart/2005/8/layout/hierarchy6"/>
    <dgm:cxn modelId="{A49FF90C-5AB3-E24B-9DB3-604CEA2AD299}" type="presParOf" srcId="{80EA5936-5009-BA4E-993F-3B5E2F7586ED}" destId="{470C34AD-A695-2747-880C-D16D83BBF20D}" srcOrd="0" destOrd="0" presId="urn:microsoft.com/office/officeart/2005/8/layout/hierarchy6"/>
    <dgm:cxn modelId="{9FFD612A-42ED-3041-B743-554AC03C34A6}" type="presParOf" srcId="{80EA5936-5009-BA4E-993F-3B5E2F7586ED}" destId="{9F549A0E-EE8E-5542-9368-5A832032131B}" srcOrd="1" destOrd="0" presId="urn:microsoft.com/office/officeart/2005/8/layout/hierarchy6"/>
    <dgm:cxn modelId="{1AFEA016-C44A-1C4D-B0C0-676FE609B331}" type="presParOf" srcId="{9F549A0E-EE8E-5542-9368-5A832032131B}" destId="{BB614D08-C038-BF44-9CBE-D5E70FD208F2}" srcOrd="0" destOrd="0" presId="urn:microsoft.com/office/officeart/2005/8/layout/hierarchy6"/>
    <dgm:cxn modelId="{979286B7-90F2-F744-8068-1041A016AB26}" type="presParOf" srcId="{9F549A0E-EE8E-5542-9368-5A832032131B}" destId="{27B08282-3602-5A43-96B9-A3F7B547478A}" srcOrd="1" destOrd="0" presId="urn:microsoft.com/office/officeart/2005/8/layout/hierarchy6"/>
    <dgm:cxn modelId="{643DC2D2-D592-2F44-B783-CD4A722289FC}" type="presParOf" srcId="{27B08282-3602-5A43-96B9-A3F7B547478A}" destId="{5680BC9C-43E2-A64B-92D8-7A09864ADFEA}" srcOrd="0" destOrd="0" presId="urn:microsoft.com/office/officeart/2005/8/layout/hierarchy6"/>
    <dgm:cxn modelId="{1EA134FF-CBBB-054F-8961-2C5EB9881FEF}" type="presParOf" srcId="{27B08282-3602-5A43-96B9-A3F7B547478A}" destId="{F36BD2EE-2397-0643-A5A8-B2AA7E59EDEB}" srcOrd="1" destOrd="0" presId="urn:microsoft.com/office/officeart/2005/8/layout/hierarchy6"/>
    <dgm:cxn modelId="{EA84D1FA-3456-E342-A4C5-3F44E69BBE74}" type="presParOf" srcId="{9F549A0E-EE8E-5542-9368-5A832032131B}" destId="{70FF3AF1-E577-0E46-B281-474378DF197A}" srcOrd="2" destOrd="0" presId="urn:microsoft.com/office/officeart/2005/8/layout/hierarchy6"/>
    <dgm:cxn modelId="{497CF26E-BB23-624E-A00D-1CEF2F897062}" type="presParOf" srcId="{9F549A0E-EE8E-5542-9368-5A832032131B}" destId="{CE283536-27D4-ED4A-9279-B7C20496C8EE}" srcOrd="3" destOrd="0" presId="urn:microsoft.com/office/officeart/2005/8/layout/hierarchy6"/>
    <dgm:cxn modelId="{315AD6C6-5FC5-4243-92AF-0C2119329BF4}" type="presParOf" srcId="{CE283536-27D4-ED4A-9279-B7C20496C8EE}" destId="{201A63AE-28B5-6844-9B49-AA2ED55220F2}" srcOrd="0" destOrd="0" presId="urn:microsoft.com/office/officeart/2005/8/layout/hierarchy6"/>
    <dgm:cxn modelId="{AFADB32C-32C9-AE41-AC62-360FCBA92334}" type="presParOf" srcId="{CE283536-27D4-ED4A-9279-B7C20496C8EE}" destId="{C1DE9143-1A9B-A74C-9B26-29819A091820}" srcOrd="1" destOrd="0" presId="urn:microsoft.com/office/officeart/2005/8/layout/hierarchy6"/>
    <dgm:cxn modelId="{D7174577-9A4B-884E-92C0-DCFDB8683FEC}" type="presParOf" srcId="{C1DE9143-1A9B-A74C-9B26-29819A091820}" destId="{F942C631-A403-FA41-9A0A-AC7312D4FB7E}" srcOrd="0" destOrd="0" presId="urn:microsoft.com/office/officeart/2005/8/layout/hierarchy6"/>
    <dgm:cxn modelId="{37D45A0F-3EC0-474F-B62E-DECE8C65F3A1}" type="presParOf" srcId="{C1DE9143-1A9B-A74C-9B26-29819A091820}" destId="{D49732C9-AEDF-3645-8E2E-85A82F0AB300}" srcOrd="1" destOrd="0" presId="urn:microsoft.com/office/officeart/2005/8/layout/hierarchy6"/>
    <dgm:cxn modelId="{394A904A-32F7-664D-A60E-16108C435F06}" type="presParOf" srcId="{D49732C9-AEDF-3645-8E2E-85A82F0AB300}" destId="{007164F9-EA9B-8B4C-BDD4-B27CA003097E}" srcOrd="0" destOrd="0" presId="urn:microsoft.com/office/officeart/2005/8/layout/hierarchy6"/>
    <dgm:cxn modelId="{6AA82FC2-B685-F44D-9C98-1A9A2355003B}" type="presParOf" srcId="{D49732C9-AEDF-3645-8E2E-85A82F0AB300}" destId="{818E743B-AFE6-1647-941A-2AC6ABB9440C}" srcOrd="1" destOrd="0" presId="urn:microsoft.com/office/officeart/2005/8/layout/hierarchy6"/>
    <dgm:cxn modelId="{9E70E7F8-5EE6-FD4F-9AE3-FE2C3DE1FF9D}" type="presParOf" srcId="{9F549A0E-EE8E-5542-9368-5A832032131B}" destId="{F782E62D-142F-7546-842A-0C8B5826260D}" srcOrd="4" destOrd="0" presId="urn:microsoft.com/office/officeart/2005/8/layout/hierarchy6"/>
    <dgm:cxn modelId="{8BEE8C79-EEDD-C741-8FAF-8041AE7BC069}" type="presParOf" srcId="{9F549A0E-EE8E-5542-9368-5A832032131B}" destId="{6607102E-AEC5-0845-9894-B73193EA4D96}" srcOrd="5" destOrd="0" presId="urn:microsoft.com/office/officeart/2005/8/layout/hierarchy6"/>
    <dgm:cxn modelId="{D6741A79-686E-8247-914A-0033E8072DB0}" type="presParOf" srcId="{6607102E-AEC5-0845-9894-B73193EA4D96}" destId="{FA676082-D1B3-024A-8537-4F5820F35AC9}" srcOrd="0" destOrd="0" presId="urn:microsoft.com/office/officeart/2005/8/layout/hierarchy6"/>
    <dgm:cxn modelId="{4206FA41-43DC-9C4A-BD0A-796BE0C5EF8D}" type="presParOf" srcId="{6607102E-AEC5-0845-9894-B73193EA4D96}" destId="{5DE9EF43-787A-2448-98DE-A8666A520ECE}" srcOrd="1" destOrd="0" presId="urn:microsoft.com/office/officeart/2005/8/layout/hierarchy6"/>
    <dgm:cxn modelId="{41CD4D9D-227F-0645-96E7-1BEFD66F5909}" type="presParOf" srcId="{C34DDD8F-EFAA-474D-BE56-2D2B66B8B9E9}" destId="{4271A8F6-854C-2F4A-9F0B-B77E29EAE165}" srcOrd="1" destOrd="0" presId="urn:microsoft.com/office/officeart/2005/8/layout/hierarchy6"/>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1D9C81-5669-3847-BA5C-0E737D0E79B7}">
      <dsp:nvSpPr>
        <dsp:cNvPr id="0" name=""/>
        <dsp:cNvSpPr/>
      </dsp:nvSpPr>
      <dsp:spPr>
        <a:xfrm>
          <a:off x="2512301" y="0"/>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Issue of fitness raised</a:t>
          </a:r>
        </a:p>
      </dsp:txBody>
      <dsp:txXfrm>
        <a:off x="2526019" y="13718"/>
        <a:ext cx="675125" cy="440938"/>
      </dsp:txXfrm>
    </dsp:sp>
    <dsp:sp modelId="{0AFC7375-2BB6-F64F-B47F-EAAF712CD859}">
      <dsp:nvSpPr>
        <dsp:cNvPr id="0" name=""/>
        <dsp:cNvSpPr/>
      </dsp:nvSpPr>
      <dsp:spPr>
        <a:xfrm>
          <a:off x="1721919" y="468374"/>
          <a:ext cx="1141662" cy="291081"/>
        </a:xfrm>
        <a:custGeom>
          <a:avLst/>
          <a:gdLst/>
          <a:ahLst/>
          <a:cxnLst/>
          <a:rect l="0" t="0" r="0" b="0"/>
          <a:pathLst>
            <a:path>
              <a:moveTo>
                <a:pt x="1141662" y="0"/>
              </a:moveTo>
              <a:lnTo>
                <a:pt x="1141662" y="145540"/>
              </a:lnTo>
              <a:lnTo>
                <a:pt x="0" y="145540"/>
              </a:lnTo>
              <a:lnTo>
                <a:pt x="0" y="291081"/>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6FB29FCF-6278-914C-A9C4-A86ED9478989}">
      <dsp:nvSpPr>
        <dsp:cNvPr id="0" name=""/>
        <dsp:cNvSpPr/>
      </dsp:nvSpPr>
      <dsp:spPr>
        <a:xfrm>
          <a:off x="1370638" y="759455"/>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Yes</a:t>
          </a:r>
        </a:p>
      </dsp:txBody>
      <dsp:txXfrm>
        <a:off x="1384356" y="773173"/>
        <a:ext cx="675125" cy="440938"/>
      </dsp:txXfrm>
    </dsp:sp>
    <dsp:sp modelId="{E5EC9223-BF9E-B84F-A972-FE0DFA2B9A30}">
      <dsp:nvSpPr>
        <dsp:cNvPr id="0" name=""/>
        <dsp:cNvSpPr/>
      </dsp:nvSpPr>
      <dsp:spPr>
        <a:xfrm>
          <a:off x="1265254" y="1227830"/>
          <a:ext cx="456665" cy="246627"/>
        </a:xfrm>
        <a:custGeom>
          <a:avLst/>
          <a:gdLst/>
          <a:ahLst/>
          <a:cxnLst/>
          <a:rect l="0" t="0" r="0" b="0"/>
          <a:pathLst>
            <a:path>
              <a:moveTo>
                <a:pt x="456665" y="0"/>
              </a:moveTo>
              <a:lnTo>
                <a:pt x="456665" y="123313"/>
              </a:lnTo>
              <a:lnTo>
                <a:pt x="0" y="123313"/>
              </a:lnTo>
              <a:lnTo>
                <a:pt x="0" y="246627"/>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17BBCB8F-6850-6F42-A7DF-3CF81657712D}">
      <dsp:nvSpPr>
        <dsp:cNvPr id="0" name=""/>
        <dsp:cNvSpPr/>
      </dsp:nvSpPr>
      <dsp:spPr>
        <a:xfrm>
          <a:off x="913973" y="1474457"/>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Unfit to stand trial</a:t>
          </a:r>
        </a:p>
      </dsp:txBody>
      <dsp:txXfrm>
        <a:off x="927691" y="1488175"/>
        <a:ext cx="675125" cy="440938"/>
      </dsp:txXfrm>
    </dsp:sp>
    <dsp:sp modelId="{B6CF496F-93D3-AF46-A8B9-C723ADFB8A68}">
      <dsp:nvSpPr>
        <dsp:cNvPr id="0" name=""/>
        <dsp:cNvSpPr/>
      </dsp:nvSpPr>
      <dsp:spPr>
        <a:xfrm>
          <a:off x="1219534" y="1942831"/>
          <a:ext cx="91440" cy="187349"/>
        </a:xfrm>
        <a:custGeom>
          <a:avLst/>
          <a:gdLst/>
          <a:ahLst/>
          <a:cxnLst/>
          <a:rect l="0" t="0" r="0" b="0"/>
          <a:pathLst>
            <a:path>
              <a:moveTo>
                <a:pt x="45720" y="0"/>
              </a:moveTo>
              <a:lnTo>
                <a:pt x="45720" y="187349"/>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87FC9D1E-6C2D-4B4F-81A2-326FBC2C58D6}">
      <dsp:nvSpPr>
        <dsp:cNvPr id="0" name=""/>
        <dsp:cNvSpPr/>
      </dsp:nvSpPr>
      <dsp:spPr>
        <a:xfrm>
          <a:off x="913973" y="2130181"/>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Special hearing</a:t>
          </a:r>
        </a:p>
      </dsp:txBody>
      <dsp:txXfrm>
        <a:off x="927691" y="2143899"/>
        <a:ext cx="675125" cy="440938"/>
      </dsp:txXfrm>
    </dsp:sp>
    <dsp:sp modelId="{9CDCAFF9-FF07-D848-8D1F-F23F3F7A6AC4}">
      <dsp:nvSpPr>
        <dsp:cNvPr id="0" name=""/>
        <dsp:cNvSpPr/>
      </dsp:nvSpPr>
      <dsp:spPr>
        <a:xfrm>
          <a:off x="351924" y="2598556"/>
          <a:ext cx="913330" cy="187349"/>
        </a:xfrm>
        <a:custGeom>
          <a:avLst/>
          <a:gdLst/>
          <a:ahLst/>
          <a:cxnLst/>
          <a:rect l="0" t="0" r="0" b="0"/>
          <a:pathLst>
            <a:path>
              <a:moveTo>
                <a:pt x="913330" y="0"/>
              </a:moveTo>
              <a:lnTo>
                <a:pt x="913330" y="93674"/>
              </a:lnTo>
              <a:lnTo>
                <a:pt x="0" y="93674"/>
              </a:lnTo>
              <a:lnTo>
                <a:pt x="0" y="187349"/>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6CF1D3AE-7BD5-994E-97E8-D512A973E120}">
      <dsp:nvSpPr>
        <dsp:cNvPr id="0" name=""/>
        <dsp:cNvSpPr/>
      </dsp:nvSpPr>
      <dsp:spPr>
        <a:xfrm>
          <a:off x="643" y="2785905"/>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Not guilty</a:t>
          </a:r>
        </a:p>
      </dsp:txBody>
      <dsp:txXfrm>
        <a:off x="14361" y="2799623"/>
        <a:ext cx="675125" cy="440938"/>
      </dsp:txXfrm>
    </dsp:sp>
    <dsp:sp modelId="{A5180218-88C1-0348-B07A-1123AE530018}">
      <dsp:nvSpPr>
        <dsp:cNvPr id="0" name=""/>
        <dsp:cNvSpPr/>
      </dsp:nvSpPr>
      <dsp:spPr>
        <a:xfrm>
          <a:off x="1219534" y="2598556"/>
          <a:ext cx="91440" cy="187349"/>
        </a:xfrm>
        <a:custGeom>
          <a:avLst/>
          <a:gdLst/>
          <a:ahLst/>
          <a:cxnLst/>
          <a:rect l="0" t="0" r="0" b="0"/>
          <a:pathLst>
            <a:path>
              <a:moveTo>
                <a:pt x="45720" y="0"/>
              </a:moveTo>
              <a:lnTo>
                <a:pt x="45720" y="187349"/>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FF2179DE-9F08-A14F-A72F-957374BA98C9}">
      <dsp:nvSpPr>
        <dsp:cNvPr id="0" name=""/>
        <dsp:cNvSpPr/>
      </dsp:nvSpPr>
      <dsp:spPr>
        <a:xfrm>
          <a:off x="913973" y="2785905"/>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Not guilty by reason of insanity</a:t>
          </a:r>
        </a:p>
      </dsp:txBody>
      <dsp:txXfrm>
        <a:off x="927691" y="2799623"/>
        <a:ext cx="675125" cy="440938"/>
      </dsp:txXfrm>
    </dsp:sp>
    <dsp:sp modelId="{DBF0B8FF-3001-EA43-8812-14C90E6901E1}">
      <dsp:nvSpPr>
        <dsp:cNvPr id="0" name=""/>
        <dsp:cNvSpPr/>
      </dsp:nvSpPr>
      <dsp:spPr>
        <a:xfrm>
          <a:off x="1219534" y="3254280"/>
          <a:ext cx="91440" cy="187349"/>
        </a:xfrm>
        <a:custGeom>
          <a:avLst/>
          <a:gdLst/>
          <a:ahLst/>
          <a:cxnLst/>
          <a:rect l="0" t="0" r="0" b="0"/>
          <a:pathLst>
            <a:path>
              <a:moveTo>
                <a:pt x="45720" y="0"/>
              </a:moveTo>
              <a:lnTo>
                <a:pt x="45720" y="187349"/>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70592B2A-5608-C84E-A0CC-AAFA368FBEF3}">
      <dsp:nvSpPr>
        <dsp:cNvPr id="0" name=""/>
        <dsp:cNvSpPr/>
      </dsp:nvSpPr>
      <dsp:spPr>
        <a:xfrm>
          <a:off x="177804" y="3441630"/>
          <a:ext cx="2174899" cy="787360"/>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Disposition available under the </a:t>
          </a:r>
          <a:r>
            <a:rPr lang="en-US" sz="900" i="1" kern="1200"/>
            <a:t>CJMIA 1999</a:t>
          </a:r>
          <a:r>
            <a:rPr lang="en-US" sz="900" kern="1200"/>
            <a:t>. These include  restriction orders, supervision orders, treatment orders, conditional release or unconditional release.</a:t>
          </a:r>
        </a:p>
      </dsp:txBody>
      <dsp:txXfrm>
        <a:off x="200865" y="3464691"/>
        <a:ext cx="2128777" cy="741238"/>
      </dsp:txXfrm>
    </dsp:sp>
    <dsp:sp modelId="{BBB04818-71AD-C548-9846-533CCDE5BE3A}">
      <dsp:nvSpPr>
        <dsp:cNvPr id="0" name=""/>
        <dsp:cNvSpPr/>
      </dsp:nvSpPr>
      <dsp:spPr>
        <a:xfrm>
          <a:off x="1265254" y="2598556"/>
          <a:ext cx="913330" cy="187349"/>
        </a:xfrm>
        <a:custGeom>
          <a:avLst/>
          <a:gdLst/>
          <a:ahLst/>
          <a:cxnLst/>
          <a:rect l="0" t="0" r="0" b="0"/>
          <a:pathLst>
            <a:path>
              <a:moveTo>
                <a:pt x="0" y="0"/>
              </a:moveTo>
              <a:lnTo>
                <a:pt x="0" y="93674"/>
              </a:lnTo>
              <a:lnTo>
                <a:pt x="913330" y="93674"/>
              </a:lnTo>
              <a:lnTo>
                <a:pt x="913330" y="187349"/>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559B7A41-5895-D644-BEEC-9EC92E822380}">
      <dsp:nvSpPr>
        <dsp:cNvPr id="0" name=""/>
        <dsp:cNvSpPr/>
      </dsp:nvSpPr>
      <dsp:spPr>
        <a:xfrm>
          <a:off x="1827303" y="2785905"/>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Finding not made that not guilty</a:t>
          </a:r>
        </a:p>
      </dsp:txBody>
      <dsp:txXfrm>
        <a:off x="1841021" y="2799623"/>
        <a:ext cx="675125" cy="440938"/>
      </dsp:txXfrm>
    </dsp:sp>
    <dsp:sp modelId="{DF35486E-5A4A-2D46-85D3-71CAEDCD7C9D}">
      <dsp:nvSpPr>
        <dsp:cNvPr id="0" name=""/>
        <dsp:cNvSpPr/>
      </dsp:nvSpPr>
      <dsp:spPr>
        <a:xfrm>
          <a:off x="1721919" y="1227830"/>
          <a:ext cx="456665" cy="246627"/>
        </a:xfrm>
        <a:custGeom>
          <a:avLst/>
          <a:gdLst/>
          <a:ahLst/>
          <a:cxnLst/>
          <a:rect l="0" t="0" r="0" b="0"/>
          <a:pathLst>
            <a:path>
              <a:moveTo>
                <a:pt x="0" y="0"/>
              </a:moveTo>
              <a:lnTo>
                <a:pt x="0" y="123313"/>
              </a:lnTo>
              <a:lnTo>
                <a:pt x="456665" y="123313"/>
              </a:lnTo>
              <a:lnTo>
                <a:pt x="456665" y="246627"/>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5B251204-E5CD-2041-97F7-7FDF5C84D3E3}">
      <dsp:nvSpPr>
        <dsp:cNvPr id="0" name=""/>
        <dsp:cNvSpPr/>
      </dsp:nvSpPr>
      <dsp:spPr>
        <a:xfrm>
          <a:off x="1827303" y="1474457"/>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Fit to stand trial</a:t>
          </a:r>
        </a:p>
      </dsp:txBody>
      <dsp:txXfrm>
        <a:off x="1841021" y="1488175"/>
        <a:ext cx="675125" cy="440938"/>
      </dsp:txXfrm>
    </dsp:sp>
    <dsp:sp modelId="{3D618AB9-FFFA-8D4F-B2BF-53D48939C2BD}">
      <dsp:nvSpPr>
        <dsp:cNvPr id="0" name=""/>
        <dsp:cNvSpPr/>
      </dsp:nvSpPr>
      <dsp:spPr>
        <a:xfrm>
          <a:off x="2863582" y="468374"/>
          <a:ext cx="1141662" cy="291081"/>
        </a:xfrm>
        <a:custGeom>
          <a:avLst/>
          <a:gdLst/>
          <a:ahLst/>
          <a:cxnLst/>
          <a:rect l="0" t="0" r="0" b="0"/>
          <a:pathLst>
            <a:path>
              <a:moveTo>
                <a:pt x="0" y="0"/>
              </a:moveTo>
              <a:lnTo>
                <a:pt x="0" y="145540"/>
              </a:lnTo>
              <a:lnTo>
                <a:pt x="1141662" y="145540"/>
              </a:lnTo>
              <a:lnTo>
                <a:pt x="1141662" y="291081"/>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B5D5E578-9C21-A642-8744-CD082CD82062}">
      <dsp:nvSpPr>
        <dsp:cNvPr id="0" name=""/>
        <dsp:cNvSpPr/>
      </dsp:nvSpPr>
      <dsp:spPr>
        <a:xfrm>
          <a:off x="3653964" y="759455"/>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a:t>
          </a:r>
        </a:p>
      </dsp:txBody>
      <dsp:txXfrm>
        <a:off x="3667682" y="773173"/>
        <a:ext cx="675125" cy="440938"/>
      </dsp:txXfrm>
    </dsp:sp>
    <dsp:sp modelId="{280102E7-482E-4B4F-977A-FA26A8B932C8}">
      <dsp:nvSpPr>
        <dsp:cNvPr id="0" name=""/>
        <dsp:cNvSpPr/>
      </dsp:nvSpPr>
      <dsp:spPr>
        <a:xfrm>
          <a:off x="3959525" y="1227830"/>
          <a:ext cx="91440" cy="246627"/>
        </a:xfrm>
        <a:custGeom>
          <a:avLst/>
          <a:gdLst/>
          <a:ahLst/>
          <a:cxnLst/>
          <a:rect l="0" t="0" r="0" b="0"/>
          <a:pathLst>
            <a:path>
              <a:moveTo>
                <a:pt x="45720" y="0"/>
              </a:moveTo>
              <a:lnTo>
                <a:pt x="45720" y="246627"/>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470C34AD-A695-2747-880C-D16D83BBF20D}">
      <dsp:nvSpPr>
        <dsp:cNvPr id="0" name=""/>
        <dsp:cNvSpPr/>
      </dsp:nvSpPr>
      <dsp:spPr>
        <a:xfrm>
          <a:off x="3653964" y="1474457"/>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Trial</a:t>
          </a:r>
        </a:p>
      </dsp:txBody>
      <dsp:txXfrm>
        <a:off x="3667682" y="1488175"/>
        <a:ext cx="675125" cy="440938"/>
      </dsp:txXfrm>
    </dsp:sp>
    <dsp:sp modelId="{BB614D08-C038-BF44-9CBE-D5E70FD208F2}">
      <dsp:nvSpPr>
        <dsp:cNvPr id="0" name=""/>
        <dsp:cNvSpPr/>
      </dsp:nvSpPr>
      <dsp:spPr>
        <a:xfrm>
          <a:off x="3091915" y="1942831"/>
          <a:ext cx="913330" cy="187349"/>
        </a:xfrm>
        <a:custGeom>
          <a:avLst/>
          <a:gdLst/>
          <a:ahLst/>
          <a:cxnLst/>
          <a:rect l="0" t="0" r="0" b="0"/>
          <a:pathLst>
            <a:path>
              <a:moveTo>
                <a:pt x="913330" y="0"/>
              </a:moveTo>
              <a:lnTo>
                <a:pt x="913330" y="93674"/>
              </a:lnTo>
              <a:lnTo>
                <a:pt x="0" y="93674"/>
              </a:lnTo>
              <a:lnTo>
                <a:pt x="0" y="187349"/>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5680BC9C-43E2-A64B-92D8-7A09864ADFEA}">
      <dsp:nvSpPr>
        <dsp:cNvPr id="0" name=""/>
        <dsp:cNvSpPr/>
      </dsp:nvSpPr>
      <dsp:spPr>
        <a:xfrm>
          <a:off x="2740634" y="2130181"/>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Not guilty by reason of insanity</a:t>
          </a:r>
        </a:p>
      </dsp:txBody>
      <dsp:txXfrm>
        <a:off x="2754352" y="2143899"/>
        <a:ext cx="675125" cy="440938"/>
      </dsp:txXfrm>
    </dsp:sp>
    <dsp:sp modelId="{70FF3AF1-E577-0E46-B281-474378DF197A}">
      <dsp:nvSpPr>
        <dsp:cNvPr id="0" name=""/>
        <dsp:cNvSpPr/>
      </dsp:nvSpPr>
      <dsp:spPr>
        <a:xfrm>
          <a:off x="3959525" y="1942831"/>
          <a:ext cx="91440" cy="187349"/>
        </a:xfrm>
        <a:custGeom>
          <a:avLst/>
          <a:gdLst/>
          <a:ahLst/>
          <a:cxnLst/>
          <a:rect l="0" t="0" r="0" b="0"/>
          <a:pathLst>
            <a:path>
              <a:moveTo>
                <a:pt x="45720" y="0"/>
              </a:moveTo>
              <a:lnTo>
                <a:pt x="45720" y="187349"/>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201A63AE-28B5-6844-9B49-AA2ED55220F2}">
      <dsp:nvSpPr>
        <dsp:cNvPr id="0" name=""/>
        <dsp:cNvSpPr/>
      </dsp:nvSpPr>
      <dsp:spPr>
        <a:xfrm>
          <a:off x="3653964" y="2130181"/>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Guilty</a:t>
          </a:r>
        </a:p>
      </dsp:txBody>
      <dsp:txXfrm>
        <a:off x="3667682" y="2143899"/>
        <a:ext cx="675125" cy="440938"/>
      </dsp:txXfrm>
    </dsp:sp>
    <dsp:sp modelId="{F942C631-A403-FA41-9A0A-AC7312D4FB7E}">
      <dsp:nvSpPr>
        <dsp:cNvPr id="0" name=""/>
        <dsp:cNvSpPr/>
      </dsp:nvSpPr>
      <dsp:spPr>
        <a:xfrm>
          <a:off x="3959525" y="2598556"/>
          <a:ext cx="91440" cy="636118"/>
        </a:xfrm>
        <a:custGeom>
          <a:avLst/>
          <a:gdLst/>
          <a:ahLst/>
          <a:cxnLst/>
          <a:rect l="0" t="0" r="0" b="0"/>
          <a:pathLst>
            <a:path>
              <a:moveTo>
                <a:pt x="45720" y="0"/>
              </a:moveTo>
              <a:lnTo>
                <a:pt x="45720" y="636118"/>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007164F9-EA9B-8B4C-BDD4-B27CA003097E}">
      <dsp:nvSpPr>
        <dsp:cNvPr id="0" name=""/>
        <dsp:cNvSpPr/>
      </dsp:nvSpPr>
      <dsp:spPr>
        <a:xfrm>
          <a:off x="2851270" y="3234674"/>
          <a:ext cx="2307950" cy="945203"/>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Sentencing options available under </a:t>
          </a:r>
          <a:r>
            <a:rPr lang="en-US" sz="900" i="1" kern="1200"/>
            <a:t>Sentencing Act 1997</a:t>
          </a:r>
          <a:r>
            <a:rPr lang="en-US" sz="900" kern="1200"/>
            <a:t>. These include assessment orders, treatment orders, supervision orders and restriction orders. It is also noted that mental and intellectual impairment is a mitigatory factor in sentencing.</a:t>
          </a:r>
        </a:p>
      </dsp:txBody>
      <dsp:txXfrm>
        <a:off x="2878954" y="3262358"/>
        <a:ext cx="2252582" cy="889835"/>
      </dsp:txXfrm>
    </dsp:sp>
    <dsp:sp modelId="{F782E62D-142F-7546-842A-0C8B5826260D}">
      <dsp:nvSpPr>
        <dsp:cNvPr id="0" name=""/>
        <dsp:cNvSpPr/>
      </dsp:nvSpPr>
      <dsp:spPr>
        <a:xfrm>
          <a:off x="4005245" y="1942831"/>
          <a:ext cx="913330" cy="187349"/>
        </a:xfrm>
        <a:custGeom>
          <a:avLst/>
          <a:gdLst/>
          <a:ahLst/>
          <a:cxnLst/>
          <a:rect l="0" t="0" r="0" b="0"/>
          <a:pathLst>
            <a:path>
              <a:moveTo>
                <a:pt x="0" y="0"/>
              </a:moveTo>
              <a:lnTo>
                <a:pt x="0" y="93674"/>
              </a:lnTo>
              <a:lnTo>
                <a:pt x="913330" y="93674"/>
              </a:lnTo>
              <a:lnTo>
                <a:pt x="913330" y="187349"/>
              </a:lnTo>
            </a:path>
          </a:pathLst>
        </a:custGeom>
        <a:noFill/>
        <a:ln w="12700" cap="flat" cmpd="sng" algn="ctr">
          <a:solidFill>
            <a:scrgbClr r="0" g="0" b="0"/>
          </a:solidFill>
          <a:prstDash val="solid"/>
        </a:ln>
        <a:effectLst/>
      </dsp:spPr>
      <dsp:style>
        <a:lnRef idx="2">
          <a:scrgbClr r="0" g="0" b="0"/>
        </a:lnRef>
        <a:fillRef idx="0">
          <a:scrgbClr r="0" g="0" b="0"/>
        </a:fillRef>
        <a:effectRef idx="0">
          <a:scrgbClr r="0" g="0" b="0"/>
        </a:effectRef>
        <a:fontRef idx="minor"/>
      </dsp:style>
    </dsp:sp>
    <dsp:sp modelId="{FA676082-D1B3-024A-8537-4F5820F35AC9}">
      <dsp:nvSpPr>
        <dsp:cNvPr id="0" name=""/>
        <dsp:cNvSpPr/>
      </dsp:nvSpPr>
      <dsp:spPr>
        <a:xfrm>
          <a:off x="4567294" y="2130181"/>
          <a:ext cx="702561" cy="468374"/>
        </a:xfrm>
        <a:prstGeom prst="roundRect">
          <a:avLst>
            <a:gd name="adj" fmla="val 10000"/>
          </a:avLst>
        </a:prstGeom>
        <a:solidFill>
          <a:schemeClr val="lt1">
            <a:hueOff val="0"/>
            <a:satOff val="0"/>
            <a:lumOff val="0"/>
            <a:alphaOff val="0"/>
          </a:schemeClr>
        </a:solidFill>
        <a:ln w="12700"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t>Not guilty</a:t>
          </a:r>
        </a:p>
      </dsp:txBody>
      <dsp:txXfrm>
        <a:off x="4581012" y="2143899"/>
        <a:ext cx="675125" cy="44093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12892-181D-4526-A42B-8079D8700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77187</Words>
  <Characters>439967</Characters>
  <Application>Microsoft Office Word</Application>
  <DocSecurity>0</DocSecurity>
  <Lines>3666</Lines>
  <Paragraphs>1032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516122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Bradfield</dc:creator>
  <cp:keywords/>
  <dc:description/>
  <cp:lastModifiedBy>Kira White</cp:lastModifiedBy>
  <cp:revision>3</cp:revision>
  <cp:lastPrinted>2019-02-05T01:39:00Z</cp:lastPrinted>
  <dcterms:created xsi:type="dcterms:W3CDTF">2019-02-27T05:00:00Z</dcterms:created>
  <dcterms:modified xsi:type="dcterms:W3CDTF">2019-02-27T05:00:00Z</dcterms:modified>
  <cp:category/>
</cp:coreProperties>
</file>